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An all-Python ecLand–CaMa-Flood chain: eclandpy on the LIAISE domain</w:t>
      </w:r>
    </w:p>
    <w:p>
      <w:r>
        <w:rPr>
          <w:i/>
        </w:rPr>
        <w:t>Porting strategy, validation against the Fortran ecLand CY50R1 control, and results, 1988–2024. G. Balsamo, ECMWF, September 2026 — for N. Wedi and C. Kühnlein.</w:t>
      </w:r>
    </w:p>
    <w:p>
      <w:pPr>
        <w:pStyle w:val="Heading1"/>
      </w:pPr>
      <w:r>
        <w:rPr>
          <w:color w:val="1C1B19"/>
        </w:rPr>
        <w:t>Summary</w:t>
      </w:r>
    </w:p>
    <w:p>
      <w:r>
        <w:rPr>
          <w:i w:val="0"/>
        </w:rPr>
        <w:t>We ran the full LIAISE land–river chain entirely in Python: eclandpy — a GT4Py port of ecLand with cy50r1 physics, executed on one NVIDIA A100 — for the land surface over 37 years (1988–2024) on the 16×23 LIAISE grid, and CaMa-Flood-GPU (Kang, Yin &amp; Yamazaki 2026) for river routing. Against the Fortran ecLand CY50R1 control run with identical forcing and ancillaries, surface temperature is indistinguishable (+0.05 °C, r = 0.99 over 37 years), evapotranspiration is 2 % low, and total runoff 21 % low — the one substantive physics gap, traced to a regionally coherent deep-soil-moisture divergence that domain means hide. Routed to the six GRDC gauges of the domain, the Python chain scores marginally better than the Fortran chain (median KGE −0.135 vs −0.155, r 0.45 vs 0.34, ahead in 15 of 25 station-years). The year-by-year restart mechanism built for eclandpy reproduces the Fortran restart state after ten chained years to within 0.1 K in soil temperature and 1–2 % in soil moisture. On this small domain the GPU is 2.9× faster than one CPU core but still ~4× slower than Fortran on four cores: 368 columns cannot fill an A100, so the port pays off at scale.</w:t>
      </w:r>
    </w:p>
    <w:p>
      <w:pPr>
        <w:pStyle w:val="Heading1"/>
      </w:pPr>
      <w:r>
        <w:rPr>
          <w:color w:val="1C1B19"/>
        </w:rPr>
        <w:t>1. Porting strategy</w:t>
      </w:r>
    </w:p>
    <w:p>
      <w:r>
        <w:rPr>
          <w:i w:val="0"/>
        </w:rPr>
        <w:t>The aim was a standalone Python land-surface model behaving like ecLand — same namelists, same NetCDF I/O, same physics — validated at every step against the Fortran, and coupled to the GPU reimplementation of CaMa-Flood so that the whole land–river chain runs in Python. Five principles carried the work:</w:t>
      </w:r>
    </w:p>
    <w:p>
      <w:pPr>
        <w:pStyle w:val="ListBullet"/>
      </w:pPr>
      <w:r>
        <w:rPr>
          <w:b/>
        </w:rPr>
        <w:t xml:space="preserve">Reuse, don't re-derive. </w:t>
      </w:r>
      <w:r>
        <w:t>eclandpy drives the Fortran-twin-validated GT4Py kernels of ecland_porting (C. Kühnlein) unmodified through their own offline driver; eclandpy's own code is the I/O layer, the adapter, and what the port lacks.</w:t>
      </w:r>
    </w:p>
    <w:p>
      <w:pPr>
        <w:pStyle w:val="ListBullet"/>
      </w:pPr>
      <w:r>
        <w:rPr>
          <w:b/>
        </w:rPr>
        <w:t xml:space="preserve">Close the cy48r1→cy50r1 gap surgically. </w:t>
      </w:r>
      <w:r>
        <w:t>Diffing two clean Fortran checkouts across every module on the real execution path found that most cy50r1 physics was already in the 'cy48r1' port; three genuine gaps were ported (RTF2 freezing curve, snow-cover fraction, vegetation tables) and the seven experimental hydrology flags kept off on both sides — a plain cy50r1 vs plain cy50r1 comparison.</w:t>
      </w:r>
    </w:p>
    <w:p>
      <w:pPr>
        <w:pStyle w:val="ListBullet"/>
      </w:pPr>
      <w:r>
        <w:rPr>
          <w:b/>
        </w:rPr>
        <w:t xml:space="preserve">Validate on points before grids. </w:t>
      </w:r>
      <w:r>
        <w:t>PLUMBER2: 42 then all 170 flux-tower sites, scored against FLUXNET; Qle/Qh match Fortran within noise, NEE is the known weaker variable. Only then the first multi-point run ever attempted with this core — the LIAISE grid — and its 5-day check against Fortran.</w:t>
      </w:r>
    </w:p>
    <w:p>
      <w:pPr>
        <w:pStyle w:val="ListBullet"/>
      </w:pPr>
      <w:r>
        <w:rPr>
          <w:b/>
        </w:rPr>
        <w:t xml:space="preserve">Build what the offline driver lacks. </w:t>
      </w:r>
      <w:r>
        <w:t>A restart chain (ecland_porting has none), diagnostic recorders, lat/lon on outputs so Python files are drop-ins for the Fortran-schema tools, and a coupling layer (eclandpy.cmfgpu) that mirrors cnt41s.F90's hand-over: −(Qs+Qsb), the weights, the advance loop.</w:t>
      </w:r>
    </w:p>
    <w:p>
      <w:pPr>
        <w:pStyle w:val="ListBullet"/>
      </w:pPr>
      <w:r>
        <w:rPr>
          <w:b/>
        </w:rPr>
        <w:t xml:space="preserve">Keep the reference run as the arbiter. </w:t>
      </w:r>
      <w:r>
        <w:t>Every step is checked against the Fortran control: initial state, budgets, restart state, annual diagnostics, gauge skill. Where the Python chain is better or worse, we say so with the number.</w:t>
      </w:r>
    </w:p>
    <w:p>
      <w:pPr>
        <w:pStyle w:val="Heading1"/>
      </w:pPr>
      <w:r>
        <w:rPr>
          <w:color w:val="1C1B19"/>
        </w:rPr>
        <w:t>2. What was built</w:t>
      </w:r>
    </w:p>
    <w:p>
      <w:r>
        <w:rPr>
          <w:i w:val="0"/>
        </w:rPr>
        <w:t>eclandpy (repo gpbalsamo/eclandpy): the I/O layer for plumber2-ecland and LIAISE file conventions; the adapter onto ecland_porting's OfflineDriver; Phase 4a (six of the seven cy50r1 hydrology flags as compile-time-gated overrides, default off); a year-by-year restart chain; and eclandpy.cmfgpu, the coupling layer to CaMa-Flood-GPU — runoff hand-over, inpmat→npz weights, regional subsetting, the chained multi-year driver and discharge export — each a CLI, domain-agnostic, with LIAISE as the worked example.</w:t>
      </w:r>
    </w:p>
    <w:p>
      <w:r>
        <w:rPr>
          <w:i w:val="0"/>
        </w:rPr>
        <w:t>ecland-porting (fork, branch cy50r1): three cy50r1 physics ports on top of C. Kühnlein's cleaned-up main (merged 2026-09-14): the RTF2 freezing-curve constant, the LESN09 snow-cover-fraction reformulation (a standing bug — the port matched neither cycle's default), and the vegetation tables.</w:t>
      </w:r>
    </w:p>
    <w:p>
      <w:r>
        <w:rPr>
          <w:i w:val="0"/>
        </w:rPr>
        <w:t>liaise-ecland: the LIAISE configuration of all of it, the Fortran control run, and the archived CaMa-Flood-GPU driver scripts that produced every documented number.</w:t>
      </w:r>
    </w:p>
    <w:p>
      <w:pPr>
        <w:pStyle w:val="Heading1"/>
      </w:pPr>
      <w:r>
        <w:rPr>
          <w:color w:val="1C1B19"/>
        </w:rPr>
        <w:t>3. Environments and lessons</w:t>
      </w:r>
    </w:p>
    <w:p>
      <w:pPr>
        <w:pStyle w:val="ListBullet"/>
      </w:pPr>
      <w:r>
        <w:t>GPU needs its own environment: cupy-cuda12x 13.6 (14.x forces numpy≥2), nanobind 1.9.2, gcc 11 as nvcc host (nvcc rejects &gt;11), CUDA 12.6, LD_LIBRARY_PATH for GLIBCXX_3.4.26, GT4PY_EXTRA_COMPILE_ARGS unset, ≥64 GB for the nvcc compile of the largest stencil, SLURM qos ng.</w:t>
      </w:r>
    </w:p>
    <w:p>
      <w:pPr>
        <w:pStyle w:val="ListBullet"/>
      </w:pPr>
      <w:r>
        <w:t>gt4py compiles stencils lazily and re-reads their source from disk: editing model source under a live run recompiles and crashes it (cost us a 20-hour and a 2-hour run). Never touch the source tree while a job runs.</w:t>
      </w:r>
    </w:p>
    <w:p>
      <w:pPr>
        <w:pStyle w:val="ListBullet"/>
      </w:pPr>
      <w:r>
        <w:t>stencil_validation went public during this work: the pmap-ifs shim eclandpy used lacked freeze() and get_stencil_id; the real package rejects the registry re-registration Phase 4a relied on and re-registers per instantiation. All three now handled; both backends pass single- and multi-driver tests.</w:t>
      </w:r>
    </w:p>
    <w:p>
      <w:pPr>
        <w:pStyle w:val="ListBullet"/>
      </w:pPr>
      <w:r>
        <w:t>Sign conventions cost real effort: Qsb is a negative soil-column loss, so total runoff is −(Qs+Qsb); Qs−Qsb double-counts surface runoff and passed every plausibility check until compared with Fortran discharge.</w:t>
      </w:r>
    </w:p>
    <w:p>
      <w:pPr>
        <w:pStyle w:val="Heading1"/>
      </w:pPr>
      <w:r>
        <w:rPr>
          <w:color w:val="1C1B19"/>
        </w:rPr>
        <w:t>4. Results: land surface vs the Fortran control</w:t>
      </w:r>
    </w:p>
    <w:p>
      <w:r>
        <w:rPr>
          <w:i w:val="0"/>
        </w:rPr>
        <w:t>Domain means over the 235 active land points, all 37 common years. Precipitation identical confirms identical forcing; the runoff and root-zone deficits are the same signal.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</w:tcPr>
          <w:p>
            <w:r>
              <w:rPr>
                <w:sz w:val="19"/>
              </w:rPr>
            </w:r>
          </w:p>
        </w:tc>
        <w:tc>
          <w:tcPr>
            <w:tcW w:type="dxa" w:w="1949"/>
          </w:tcPr>
          <w:p>
            <w:pPr>
              <w:jc w:val="right"/>
            </w:pPr>
            <w:r>
              <w:rPr>
                <w:sz w:val="19"/>
              </w:rPr>
              <w:t>eclandpy (GPU)</w:t>
            </w:r>
          </w:p>
        </w:tc>
        <w:tc>
          <w:tcPr>
            <w:tcW w:type="dxa" w:w="1949"/>
          </w:tcPr>
          <w:p>
            <w:pPr>
              <w:jc w:val="right"/>
            </w:pPr>
            <w:r>
              <w:rPr>
                <w:sz w:val="19"/>
              </w:rPr>
              <w:t>Fortran</w:t>
            </w:r>
          </w:p>
        </w:tc>
        <w:tc>
          <w:tcPr>
            <w:tcW w:type="dxa" w:w="1949"/>
          </w:tcPr>
          <w:p>
            <w:pPr>
              <w:jc w:val="right"/>
            </w:pPr>
            <w:r>
              <w:rPr>
                <w:sz w:val="19"/>
              </w:rPr>
              <w:t>bias</w:t>
            </w:r>
          </w:p>
        </w:tc>
        <w:tc>
          <w:tcPr>
            <w:tcW w:type="dxa" w:w="1949"/>
          </w:tcPr>
          <w:p>
            <w:pPr>
              <w:jc w:val="right"/>
            </w:pPr>
            <w:r>
              <w:rPr>
                <w:sz w:val="19"/>
              </w:rPr>
              <w:t>r</w:t>
            </w:r>
          </w:p>
        </w:tc>
      </w:tr>
      <w:tr>
        <w:tc>
          <w:tcPr>
            <w:tcW w:type="dxa" w:w="1949"/>
          </w:tcPr>
          <w:p>
            <w:r>
              <w:rPr>
                <w:sz w:val="19"/>
              </w:rPr>
              <w:t>Precipitation, mm/yr</w:t>
            </w:r>
          </w:p>
        </w:tc>
        <w:tc>
          <w:tcPr>
            <w:tcW w:type="dxa" w:w="1949"/>
          </w:tcPr>
          <w:p>
            <w:pPr>
              <w:jc w:val="right"/>
            </w:pPr>
            <w:r>
              <w:rPr>
                <w:sz w:val="19"/>
              </w:rPr>
              <w:t>812.7</w:t>
            </w:r>
          </w:p>
        </w:tc>
        <w:tc>
          <w:tcPr>
            <w:tcW w:type="dxa" w:w="1949"/>
          </w:tcPr>
          <w:p>
            <w:pPr>
              <w:jc w:val="right"/>
            </w:pPr>
            <w:r>
              <w:rPr>
                <w:sz w:val="19"/>
              </w:rPr>
              <w:t>812.7</w:t>
            </w:r>
          </w:p>
        </w:tc>
        <w:tc>
          <w:tcPr>
            <w:tcW w:type="dxa" w:w="1949"/>
          </w:tcPr>
          <w:p>
            <w:pPr>
              <w:jc w:val="right"/>
            </w:pPr>
            <w:r>
              <w:rPr>
                <w:sz w:val="19"/>
              </w:rPr>
              <w:t>+0.0</w:t>
            </w:r>
          </w:p>
        </w:tc>
        <w:tc>
          <w:tcPr>
            <w:tcW w:type="dxa" w:w="1949"/>
          </w:tcPr>
          <w:p>
            <w:pPr>
              <w:jc w:val="right"/>
            </w:pPr>
            <w:r>
              <w:rPr>
                <w:sz w:val="19"/>
              </w:rPr>
              <w:t>1.000</w:t>
            </w:r>
          </w:p>
        </w:tc>
      </w:tr>
      <w:tr>
        <w:tc>
          <w:tcPr>
            <w:tcW w:type="dxa" w:w="1949"/>
          </w:tcPr>
          <w:p>
            <w:r>
              <w:rPr>
                <w:sz w:val="19"/>
              </w:rPr>
              <w:t>Evapotranspiration, mm/yr</w:t>
            </w:r>
          </w:p>
        </w:tc>
        <w:tc>
          <w:tcPr>
            <w:tcW w:type="dxa" w:w="1949"/>
          </w:tcPr>
          <w:p>
            <w:pPr>
              <w:jc w:val="right"/>
            </w:pPr>
            <w:r>
              <w:rPr>
                <w:sz w:val="19"/>
              </w:rPr>
              <w:t>-654.5</w:t>
            </w:r>
          </w:p>
        </w:tc>
        <w:tc>
          <w:tcPr>
            <w:tcW w:type="dxa" w:w="1949"/>
          </w:tcPr>
          <w:p>
            <w:pPr>
              <w:jc w:val="right"/>
            </w:pPr>
            <w:r>
              <w:rPr>
                <w:sz w:val="19"/>
              </w:rPr>
              <w:t>-668.3</w:t>
            </w:r>
          </w:p>
        </w:tc>
        <w:tc>
          <w:tcPr>
            <w:tcW w:type="dxa" w:w="1949"/>
          </w:tcPr>
          <w:p>
            <w:pPr>
              <w:jc w:val="right"/>
            </w:pPr>
            <w:r>
              <w:rPr>
                <w:sz w:val="19"/>
              </w:rPr>
              <w:t>+13.8</w:t>
            </w:r>
          </w:p>
        </w:tc>
        <w:tc>
          <w:tcPr>
            <w:tcW w:type="dxa" w:w="1949"/>
          </w:tcPr>
          <w:p>
            <w:pPr>
              <w:jc w:val="right"/>
            </w:pPr>
            <w:r>
              <w:rPr>
                <w:sz w:val="19"/>
              </w:rPr>
              <w:t>0.955</w:t>
            </w:r>
          </w:p>
        </w:tc>
      </w:tr>
      <w:tr>
        <w:tc>
          <w:tcPr>
            <w:tcW w:type="dxa" w:w="1949"/>
          </w:tcPr>
          <w:p>
            <w:r>
              <w:rPr>
                <w:sz w:val="19"/>
              </w:rPr>
              <w:t>Total runoff −(Qs+Qsb), mm/yr</w:t>
            </w:r>
          </w:p>
        </w:tc>
        <w:tc>
          <w:tcPr>
            <w:tcW w:type="dxa" w:w="1949"/>
          </w:tcPr>
          <w:p>
            <w:pPr>
              <w:jc w:val="right"/>
            </w:pPr>
            <w:r>
              <w:rPr>
                <w:sz w:val="19"/>
              </w:rPr>
              <w:t>160.8</w:t>
            </w:r>
          </w:p>
        </w:tc>
        <w:tc>
          <w:tcPr>
            <w:tcW w:type="dxa" w:w="1949"/>
          </w:tcPr>
          <w:p>
            <w:pPr>
              <w:jc w:val="right"/>
            </w:pPr>
            <w:r>
              <w:rPr>
                <w:sz w:val="19"/>
              </w:rPr>
              <w:t>203.4</w:t>
            </w:r>
          </w:p>
        </w:tc>
        <w:tc>
          <w:tcPr>
            <w:tcW w:type="dxa" w:w="1949"/>
          </w:tcPr>
          <w:p>
            <w:pPr>
              <w:jc w:val="right"/>
            </w:pPr>
            <w:r>
              <w:rPr>
                <w:sz w:val="19"/>
              </w:rPr>
              <w:t>-42.6</w:t>
            </w:r>
          </w:p>
        </w:tc>
        <w:tc>
          <w:tcPr>
            <w:tcW w:type="dxa" w:w="1949"/>
          </w:tcPr>
          <w:p>
            <w:pPr>
              <w:jc w:val="right"/>
            </w:pPr>
            <w:r>
              <w:rPr>
                <w:sz w:val="19"/>
              </w:rPr>
              <w:t>0.848</w:t>
            </w:r>
          </w:p>
        </w:tc>
      </w:tr>
      <w:tr>
        <w:tc>
          <w:tcPr>
            <w:tcW w:type="dxa" w:w="1949"/>
          </w:tcPr>
          <w:p>
            <w:r>
              <w:rPr>
                <w:sz w:val="19"/>
              </w:rPr>
              <w:t>Surface T (AvgSurfT vs T2m), °C</w:t>
            </w:r>
          </w:p>
        </w:tc>
        <w:tc>
          <w:tcPr>
            <w:tcW w:type="dxa" w:w="1949"/>
          </w:tcPr>
          <w:p>
            <w:pPr>
              <w:jc w:val="right"/>
            </w:pPr>
            <w:r>
              <w:rPr>
                <w:sz w:val="19"/>
              </w:rPr>
              <w:t>12.61</w:t>
            </w:r>
          </w:p>
        </w:tc>
        <w:tc>
          <w:tcPr>
            <w:tcW w:type="dxa" w:w="1949"/>
          </w:tcPr>
          <w:p>
            <w:pPr>
              <w:jc w:val="right"/>
            </w:pPr>
            <w:r>
              <w:rPr>
                <w:sz w:val="19"/>
              </w:rPr>
              <w:t>12.56</w:t>
            </w:r>
          </w:p>
        </w:tc>
        <w:tc>
          <w:tcPr>
            <w:tcW w:type="dxa" w:w="1949"/>
          </w:tcPr>
          <w:p>
            <w:pPr>
              <w:jc w:val="right"/>
            </w:pPr>
            <w:r>
              <w:rPr>
                <w:sz w:val="19"/>
              </w:rPr>
              <w:t>+0.05</w:t>
            </w:r>
          </w:p>
        </w:tc>
        <w:tc>
          <w:tcPr>
            <w:tcW w:type="dxa" w:w="1949"/>
          </w:tcPr>
          <w:p>
            <w:pPr>
              <w:jc w:val="right"/>
            </w:pPr>
            <w:r>
              <w:rPr>
                <w:sz w:val="19"/>
              </w:rPr>
              <w:t>0.988</w:t>
            </w:r>
          </w:p>
        </w:tc>
      </w:tr>
      <w:tr>
        <w:tc>
          <w:tcPr>
            <w:tcW w:type="dxa" w:w="1949"/>
          </w:tcPr>
          <w:p>
            <w:r>
              <w:rPr>
                <w:sz w:val="19"/>
              </w:rPr>
              <w:t>Root-zone soil moisture, kg/m²</w:t>
            </w:r>
          </w:p>
        </w:tc>
        <w:tc>
          <w:tcPr>
            <w:tcW w:type="dxa" w:w="1949"/>
          </w:tcPr>
          <w:p>
            <w:pPr>
              <w:jc w:val="right"/>
            </w:pPr>
            <w:r>
              <w:rPr>
                <w:sz w:val="19"/>
              </w:rPr>
              <w:t>410.8</w:t>
            </w:r>
          </w:p>
        </w:tc>
        <w:tc>
          <w:tcPr>
            <w:tcW w:type="dxa" w:w="1949"/>
          </w:tcPr>
          <w:p>
            <w:pPr>
              <w:jc w:val="right"/>
            </w:pPr>
            <w:r>
              <w:rPr>
                <w:sz w:val="19"/>
              </w:rPr>
              <w:t>445.3</w:t>
            </w:r>
          </w:p>
        </w:tc>
        <w:tc>
          <w:tcPr>
            <w:tcW w:type="dxa" w:w="1949"/>
          </w:tcPr>
          <w:p>
            <w:pPr>
              <w:jc w:val="right"/>
            </w:pPr>
            <w:r>
              <w:rPr>
                <w:sz w:val="19"/>
              </w:rPr>
              <w:t>-34.6</w:t>
            </w:r>
          </w:p>
        </w:tc>
        <w:tc>
          <w:tcPr>
            <w:tcW w:type="dxa" w:w="1949"/>
          </w:tcPr>
          <w:p>
            <w:pPr>
              <w:jc w:val="right"/>
            </w:pPr>
            <w:r>
              <w:rPr>
                <w:sz w:val="19"/>
              </w:rPr>
              <w:t>0.711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760000" cy="3571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nnual_seri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571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left"/>
      </w:pPr>
      <w:r>
        <w:rPr>
          <w:i/>
          <w:sz w:val="18"/>
        </w:rPr>
        <w:t>Figure 1. Annual domain means, eclandpy (blue) vs the Fortran control (grey). Both start from the same soilinit in 1988; the runoff and root-zone offsets establish within two years and then persist as an offset, not a drift.</w:t>
      </w:r>
    </w:p>
    <w:p>
      <w:r>
        <w:drawing>
          <wp:inline xmlns:a="http://schemas.openxmlformats.org/drawingml/2006/main" xmlns:pic="http://schemas.openxmlformats.org/drawingml/2006/picture">
            <wp:extent cx="5760000" cy="1958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asonal_cycl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958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left"/>
      </w:pPr>
      <w:r>
        <w:rPr>
          <w:i/>
          <w:sz w:val="18"/>
        </w:rPr>
        <w:t>Figure 2. Climatology over 37 years. The larger temperature amplitude in eclandpy is the skin-vs-2 m distinction (AvgSurfT vs T2m), not a physics difference.</w:t>
      </w:r>
    </w:p>
    <w:p>
      <w:pPr>
        <w:pStyle w:val="Heading1"/>
      </w:pPr>
      <w:r>
        <w:rPr>
          <w:color w:val="1C1B19"/>
        </w:rPr>
        <w:t>5. The restart chain, checked against the Fortran restart</w:t>
      </w:r>
    </w:p>
    <w:p>
      <w:r>
        <w:rPr>
          <w:i w:val="0"/>
        </w:rPr>
        <w:t>ecland_porting has no restart; eclandpy pickles the driver's carried state (OfflineState, generically over its dataclass fields, plus the carbon accumulators) at each year boundary and re-injects it into a fresh driver. Checked at 1998-01-01 after ten chained years against the Fortran run's own restart_in.nc: identical at 1988 t=0 (the surfinit conversion is exact); AvgSurfT 276.96 vs 277.02 K; soil temperature within 0.1 K and soil moisture within 1–2 % in all four layers; one clean timestep across the 1997→1998 boundary. Two real differences: SWE 0.83 vs 0.56 and canopy water 0.22 vs 0.14 kg/m² (small, snow and interception), and the deep-layer divergence of §7.</w:t>
      </w:r>
    </w:p>
    <w:p>
      <w:pPr>
        <w:pStyle w:val="Heading1"/>
      </w:pPr>
      <w:r>
        <w:rPr>
          <w:color w:val="1C1B19"/>
        </w:rPr>
        <w:t>6. Results: river discharge vs GRDC gauges</w:t>
      </w:r>
    </w:p>
    <w:p>
      <w:r>
        <w:rPr>
          <w:i w:val="0"/>
        </w:rPr>
        <w:t>Runoff −(Qs+Qsb) routed by CaMa-Flood-GPU with river storage carried across all 37 years, scored on daily discharge at the six LIAISE gauges over the five benchmark years (Guadalope at Caspe excluded as a regulated river), against the Fortran ecLand + CaMa-Flood control chain.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rPr>
                <w:sz w:val="19"/>
              </w:rPr>
            </w:r>
          </w:p>
        </w:tc>
        <w:tc>
          <w:tcPr>
            <w:tcW w:type="dxa" w:w="3249"/>
          </w:tcPr>
          <w:p>
            <w:pPr>
              <w:jc w:val="right"/>
            </w:pPr>
            <w:r>
              <w:rPr>
                <w:sz w:val="19"/>
              </w:rPr>
              <w:t>eclandpy → CaMa-Flood-GPU</w:t>
            </w:r>
          </w:p>
        </w:tc>
        <w:tc>
          <w:tcPr>
            <w:tcW w:type="dxa" w:w="3249"/>
          </w:tcPr>
          <w:p>
            <w:pPr>
              <w:jc w:val="right"/>
            </w:pPr>
            <w:r>
              <w:rPr>
                <w:sz w:val="19"/>
              </w:rPr>
              <w:t>Fortran chain</w:t>
            </w:r>
          </w:p>
        </w:tc>
      </w:tr>
      <w:tr>
        <w:tc>
          <w:tcPr>
            <w:tcW w:type="dxa" w:w="3249"/>
          </w:tcPr>
          <w:p>
            <w:r>
              <w:rPr>
                <w:sz w:val="19"/>
              </w:rPr>
              <w:t>median KGE</w:t>
            </w:r>
          </w:p>
        </w:tc>
        <w:tc>
          <w:tcPr>
            <w:tcW w:type="dxa" w:w="3249"/>
          </w:tcPr>
          <w:p>
            <w:pPr>
              <w:jc w:val="right"/>
            </w:pPr>
            <w:r>
              <w:rPr>
                <w:sz w:val="19"/>
              </w:rPr>
              <w:t>-0.135</w:t>
            </w:r>
          </w:p>
        </w:tc>
        <w:tc>
          <w:tcPr>
            <w:tcW w:type="dxa" w:w="3249"/>
          </w:tcPr>
          <w:p>
            <w:pPr>
              <w:jc w:val="right"/>
            </w:pPr>
            <w:r>
              <w:rPr>
                <w:sz w:val="19"/>
              </w:rPr>
              <w:t>-0.155</w:t>
            </w:r>
          </w:p>
        </w:tc>
      </w:tr>
      <w:tr>
        <w:tc>
          <w:tcPr>
            <w:tcW w:type="dxa" w:w="3249"/>
          </w:tcPr>
          <w:p>
            <w:r>
              <w:rPr>
                <w:sz w:val="19"/>
              </w:rPr>
              <w:t>median NSE</w:t>
            </w:r>
          </w:p>
        </w:tc>
        <w:tc>
          <w:tcPr>
            <w:tcW w:type="dxa" w:w="3249"/>
          </w:tcPr>
          <w:p>
            <w:pPr>
              <w:jc w:val="right"/>
            </w:pPr>
            <w:r>
              <w:rPr>
                <w:sz w:val="19"/>
              </w:rPr>
              <w:t>-1.003</w:t>
            </w:r>
          </w:p>
        </w:tc>
        <w:tc>
          <w:tcPr>
            <w:tcW w:type="dxa" w:w="3249"/>
          </w:tcPr>
          <w:p>
            <w:pPr>
              <w:jc w:val="right"/>
            </w:pPr>
            <w:r>
              <w:rPr>
                <w:sz w:val="19"/>
              </w:rPr>
              <w:t>-1.181</w:t>
            </w:r>
          </w:p>
        </w:tc>
      </w:tr>
      <w:tr>
        <w:tc>
          <w:tcPr>
            <w:tcW w:type="dxa" w:w="3249"/>
          </w:tcPr>
          <w:p>
            <w:r>
              <w:rPr>
                <w:sz w:val="19"/>
              </w:rPr>
              <w:t>median correlation r</w:t>
            </w:r>
          </w:p>
        </w:tc>
        <w:tc>
          <w:tcPr>
            <w:tcW w:type="dxa" w:w="3249"/>
          </w:tcPr>
          <w:p>
            <w:pPr>
              <w:jc w:val="right"/>
            </w:pPr>
            <w:r>
              <w:rPr>
                <w:sz w:val="19"/>
              </w:rPr>
              <w:t>0.451</w:t>
            </w:r>
          </w:p>
        </w:tc>
        <w:tc>
          <w:tcPr>
            <w:tcW w:type="dxa" w:w="3249"/>
          </w:tcPr>
          <w:p>
            <w:pPr>
              <w:jc w:val="right"/>
            </w:pPr>
            <w:r>
              <w:rPr>
                <w:sz w:val="19"/>
              </w:rPr>
              <w:t>0.342</w:t>
            </w:r>
          </w:p>
        </w:tc>
      </w:tr>
      <w:tr>
        <w:tc>
          <w:tcPr>
            <w:tcW w:type="dxa" w:w="3249"/>
          </w:tcPr>
          <w:p>
            <w:r>
              <w:rPr>
                <w:sz w:val="19"/>
              </w:rPr>
              <w:t>median PBIAS, %</w:t>
            </w:r>
          </w:p>
        </w:tc>
        <w:tc>
          <w:tcPr>
            <w:tcW w:type="dxa" w:w="3249"/>
          </w:tcPr>
          <w:p>
            <w:pPr>
              <w:jc w:val="right"/>
            </w:pPr>
            <w:r>
              <w:rPr>
                <w:sz w:val="19"/>
              </w:rPr>
              <w:t>-42.4</w:t>
            </w:r>
          </w:p>
        </w:tc>
        <w:tc>
          <w:tcPr>
            <w:tcW w:type="dxa" w:w="3249"/>
          </w:tcPr>
          <w:p>
            <w:pPr>
              <w:jc w:val="right"/>
            </w:pPr>
            <w:r>
              <w:rPr>
                <w:sz w:val="19"/>
              </w:rPr>
              <w:t>-35.5</w:t>
            </w:r>
          </w:p>
        </w:tc>
      </w:tr>
      <w:tr>
        <w:tc>
          <w:tcPr>
            <w:tcW w:type="dxa" w:w="3249"/>
          </w:tcPr>
          <w:p>
            <w:r>
              <w:rPr>
                <w:sz w:val="19"/>
              </w:rPr>
              <w:t>station-years won on KGE</w:t>
            </w:r>
          </w:p>
        </w:tc>
        <w:tc>
          <w:tcPr>
            <w:tcW w:type="dxa" w:w="3249"/>
          </w:tcPr>
          <w:p>
            <w:pPr>
              <w:jc w:val="right"/>
            </w:pPr>
            <w:r>
              <w:rPr>
                <w:sz w:val="19"/>
              </w:rPr>
              <w:t>15 of 25</w:t>
            </w:r>
          </w:p>
        </w:tc>
        <w:tc>
          <w:tcPr>
            <w:tcW w:type="dxa" w:w="3249"/>
          </w:tcPr>
          <w:p>
            <w:pPr>
              <w:jc w:val="right"/>
            </w:pPr>
            <w:r>
              <w:rPr>
                <w:sz w:val="19"/>
              </w:rPr>
              <w:t>10 of 25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760000" cy="21888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dc_k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18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left"/>
      </w:pPr>
      <w:r>
        <w:rPr>
          <w:i/>
          <w:sz w:val="18"/>
        </w:rPr>
        <w:t>Figure 3. Median KGE per gauge. Both chains are poor in absolute terms on this domain; the Python chain is marginally better correlated and drier.</w:t>
      </w:r>
    </w:p>
    <w:p>
      <w:pPr>
        <w:pStyle w:val="Heading1"/>
      </w:pPr>
      <w:r>
        <w:rPr>
          <w:color w:val="1C1B19"/>
        </w:rPr>
        <w:t>7. Known gaps and next steps</w:t>
      </w:r>
    </w:p>
    <w:p>
      <w:pPr>
        <w:pStyle w:val="ListBullet"/>
      </w:pPr>
      <w:r>
        <w:t>Deep-layer (1.9 m) soil moisture diverges regionally after ~2 years — eclandpy drier on the Duero plateau, wetter on the Mediterranean and Cantabrian coasts; 35 of 235 cells by &gt;100 kg/m². The runoff and root-zone offsets follow from it. Next: locate when and where it develops in the L4 time series.</w:t>
      </w:r>
    </w:p>
    <w:p>
      <w:pPr>
        <w:pStyle w:val="ListBullet"/>
      </w:pPr>
      <w:r>
        <w:t>No T2m/D2m diagnostic in eclandpy (surfpp_ctl_mod's per-tile 2 m scheme is unported); AvgSurfT stands in, which also explains the larger seasonal amplitude in the climatology.</w:t>
      </w:r>
    </w:p>
    <w:p>
      <w:pPr>
        <w:pStyle w:val="ListBullet"/>
      </w:pPr>
      <w:r>
        <w:t>Two Fortran coupling switches are unported and off in the reference: LWEVAP (lake-tile potential evaporation extracted from floodplain storage — CaMa-Flood-GPU has no evaporation sink) and LROSPLIT (surface/sub-surface passed separately — equivalent while LGDWDLY is off).</w:t>
      </w:r>
    </w:p>
    <w:p>
      <w:pPr>
        <w:pStyle w:val="ListBullet"/>
      </w:pPr>
      <w:r>
        <w:t>The land-ice tile is dead code in the port (InputBinder hardcodes pcil = 0), harmless on LIAISE; NEE remains the weakest PLUMBER2 variable.</w:t>
      </w:r>
    </w:p>
    <w:p>
      <w:pPr>
        <w:pStyle w:val="ListBullet"/>
      </w:pPr>
      <w:r>
        <w:t>Performance case must be made at scale: at 368 columns per-step cost is launch latency; CaMa-Flood-GPU's own benchmarks run at 17,675×N columns. Batching the 170 PLUMBER2 sites into one domain is the natural test.</w:t>
      </w:r>
    </w:p>
    <w:p>
      <w:pPr>
        <w:pStyle w:val="Heading1"/>
      </w:pPr>
      <w:r>
        <w:rPr>
          <w:color w:val="1C1B19"/>
        </w:rPr>
        <w:t>8. Performance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r>
              <w:rPr>
                <w:sz w:val="19"/>
              </w:rPr>
              <w:t>configuration</w:t>
            </w:r>
          </w:p>
        </w:tc>
        <w:tc>
          <w:tcPr>
            <w:tcW w:type="dxa" w:w="2436"/>
          </w:tcPr>
          <w:p>
            <w:pPr>
              <w:jc w:val="right"/>
            </w:pPr>
            <w:r>
              <w:rPr>
                <w:sz w:val="19"/>
              </w:rPr>
              <w:t>per year</w:t>
            </w:r>
          </w:p>
        </w:tc>
        <w:tc>
          <w:tcPr>
            <w:tcW w:type="dxa" w:w="2436"/>
          </w:tcPr>
          <w:p>
            <w:pPr>
              <w:jc w:val="right"/>
            </w:pPr>
            <w:r>
              <w:rPr>
                <w:sz w:val="19"/>
              </w:rPr>
              <w:t>per step</w:t>
            </w:r>
          </w:p>
        </w:tc>
        <w:tc>
          <w:tcPr>
            <w:tcW w:type="dxa" w:w="2436"/>
          </w:tcPr>
          <w:p>
            <w:pPr>
              <w:jc w:val="right"/>
            </w:pPr>
            <w:r>
              <w:rPr>
                <w:sz w:val="19"/>
              </w:rPr>
              <w:t>37 years</w:t>
            </w:r>
          </w:p>
        </w:tc>
      </w:tr>
      <w:tr>
        <w:tc>
          <w:tcPr>
            <w:tcW w:type="dxa" w:w="2436"/>
          </w:tcPr>
          <w:p>
            <w:r>
              <w:rPr>
                <w:sz w:val="19"/>
              </w:rPr>
              <w:t>Fortran ecLand CY50R1, 1 node, 4 OpenMP threads</w:t>
            </w:r>
          </w:p>
        </w:tc>
        <w:tc>
          <w:tcPr>
            <w:tcW w:type="dxa" w:w="2436"/>
          </w:tcPr>
          <w:p>
            <w:pPr>
              <w:jc w:val="right"/>
            </w:pPr>
            <w:r>
              <w:rPr>
                <w:sz w:val="19"/>
              </w:rPr>
              <w:t>2.56 min</w:t>
            </w:r>
          </w:p>
        </w:tc>
        <w:tc>
          <w:tcPr>
            <w:tcW w:type="dxa" w:w="2436"/>
          </w:tcPr>
          <w:p>
            <w:pPr>
              <w:jc w:val="right"/>
            </w:pPr>
            <w:r>
              <w:rPr>
                <w:sz w:val="19"/>
              </w:rPr>
              <w:t>~8.8 ms</w:t>
            </w:r>
          </w:p>
        </w:tc>
        <w:tc>
          <w:tcPr>
            <w:tcW w:type="dxa" w:w="2436"/>
          </w:tcPr>
          <w:p>
            <w:pPr>
              <w:jc w:val="right"/>
            </w:pPr>
            <w:r>
              <w:rPr>
                <w:sz w:val="19"/>
              </w:rPr>
              <w:t>1 h 35 m (measured)</w:t>
            </w:r>
          </w:p>
        </w:tc>
      </w:tr>
      <w:tr>
        <w:tc>
          <w:tcPr>
            <w:tcW w:type="dxa" w:w="2436"/>
          </w:tcPr>
          <w:p>
            <w:r>
              <w:rPr>
                <w:sz w:val="19"/>
              </w:rPr>
              <w:t>eclandpy, gt:cpu_kfirst, 1 CPU core</w:t>
            </w:r>
          </w:p>
        </w:tc>
        <w:tc>
          <w:tcPr>
            <w:tcW w:type="dxa" w:w="2436"/>
          </w:tcPr>
          <w:p>
            <w:pPr>
              <w:jc w:val="right"/>
            </w:pPr>
            <w:r>
              <w:rPr>
                <w:sz w:val="19"/>
              </w:rPr>
              <w:t>30.5 min</w:t>
            </w:r>
          </w:p>
        </w:tc>
        <w:tc>
          <w:tcPr>
            <w:tcW w:type="dxa" w:w="2436"/>
          </w:tcPr>
          <w:p>
            <w:pPr>
              <w:jc w:val="right"/>
            </w:pPr>
            <w:r>
              <w:rPr>
                <w:sz w:val="19"/>
              </w:rPr>
              <w:t>~109 ms</w:t>
            </w:r>
          </w:p>
        </w:tc>
        <w:tc>
          <w:tcPr>
            <w:tcW w:type="dxa" w:w="2436"/>
          </w:tcPr>
          <w:p>
            <w:pPr>
              <w:jc w:val="right"/>
            </w:pPr>
            <w:r>
              <w:rPr>
                <w:sz w:val="19"/>
              </w:rPr>
              <w:t>~19 h</w:t>
            </w:r>
          </w:p>
        </w:tc>
      </w:tr>
      <w:tr>
        <w:tc>
          <w:tcPr>
            <w:tcW w:type="dxa" w:w="2436"/>
          </w:tcPr>
          <w:p>
            <w:r>
              <w:rPr>
                <w:sz w:val="19"/>
              </w:rPr>
              <w:t>eclandpy, gt:gpu, 1× NVIDIA A100</w:t>
            </w:r>
          </w:p>
        </w:tc>
        <w:tc>
          <w:tcPr>
            <w:tcW w:type="dxa" w:w="2436"/>
          </w:tcPr>
          <w:p>
            <w:pPr>
              <w:jc w:val="right"/>
            </w:pPr>
            <w:r>
              <w:rPr>
                <w:sz w:val="19"/>
              </w:rPr>
              <w:t>10.6 min</w:t>
            </w:r>
          </w:p>
        </w:tc>
        <w:tc>
          <w:tcPr>
            <w:tcW w:type="dxa" w:w="2436"/>
          </w:tcPr>
          <w:p>
            <w:pPr>
              <w:jc w:val="right"/>
            </w:pPr>
            <w:r>
              <w:rPr>
                <w:sz w:val="19"/>
              </w:rPr>
              <w:t>31 ms</w:t>
            </w:r>
          </w:p>
        </w:tc>
        <w:tc>
          <w:tcPr>
            <w:tcW w:type="dxa" w:w="2436"/>
          </w:tcPr>
          <w:p>
            <w:pPr>
              <w:jc w:val="right"/>
            </w:pPr>
            <w:r>
              <w:rPr>
                <w:sz w:val="19"/>
              </w:rPr>
              <w:t>6.5 h (measured, incl. resume)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4320000" cy="197485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erformanc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9748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left"/>
      </w:pPr>
      <w:r>
        <w:rPr>
          <w:i/>
          <w:sz w:val="18"/>
        </w:rPr>
        <w:t>Figure 4. Wall-clock per simulated year on the 368-column LIAISE grid.</w:t>
      </w:r>
    </w:p>
    <w:p>
      <w:pPr>
        <w:pStyle w:val="Heading1"/>
      </w:pPr>
      <w:r>
        <w:rPr>
          <w:color w:val="1C1B19"/>
        </w:rPr>
        <w:t>9. Reproducing this work</w:t>
      </w:r>
    </w:p>
    <w:p>
      <w:r>
        <w:rPr>
          <w:i w:val="0"/>
        </w:rPr>
        <w:t>liaise-ecland/eclandpy_bridge/README.md gives the four commands (prepare inputs, land run, routing chain, dashboard) and both environments; eclandpy/README.md the coupling CLIs. Dashboards: sites.ecmwf.int/pad/liaise/eclandpy/ beside /pad/liaise/control/; sites.ecmwf.int/pad/plumber2/dashboards/ for PLUMBER2.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rPr>
                <w:sz w:val="19"/>
              </w:rPr>
              <w:t>repository</w:t>
            </w:r>
          </w:p>
        </w:tc>
        <w:tc>
          <w:tcPr>
            <w:tcW w:type="dxa" w:w="4873"/>
          </w:tcPr>
          <w:p>
            <w:pPr>
              <w:jc w:val="right"/>
            </w:pPr>
            <w:r>
              <w:rPr>
                <w:sz w:val="19"/>
              </w:rPr>
              <w:t>role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  <w:t>github.com/gpbalsamo/eclandpy</w:t>
            </w:r>
          </w:p>
        </w:tc>
        <w:tc>
          <w:tcPr>
            <w:tcW w:type="dxa" w:w="4873"/>
          </w:tcPr>
          <w:p>
            <w:pPr>
              <w:jc w:val="right"/>
            </w:pPr>
            <w:r>
              <w:rPr>
                <w:sz w:val="19"/>
              </w:rPr>
              <w:t>the land model + eclandpy.cmfgpu coupling layer (this work: 4e35128 and later)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  <w:t>github.com/gpbalsamo/liaise-ecland</w:t>
            </w:r>
          </w:p>
        </w:tc>
        <w:tc>
          <w:tcPr>
            <w:tcW w:type="dxa" w:w="4873"/>
          </w:tcPr>
          <w:p>
            <w:pPr>
              <w:jc w:val="right"/>
            </w:pPr>
            <w:r>
              <w:rPr>
                <w:sz w:val="19"/>
              </w:rPr>
              <w:t>LIAISE configuration, Fortran control, eclandpy_bridge/ (93fae86 and later), the archived CaMa-Flood-GPU drivers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  <w:t>github.com/gpbalsamo/ecland-porting, branch cy50r1</w:t>
            </w:r>
          </w:p>
        </w:tc>
        <w:tc>
          <w:tcPr>
            <w:tcW w:type="dxa" w:w="4873"/>
          </w:tcPr>
          <w:p>
            <w:pPr>
              <w:jc w:val="right"/>
            </w:pPr>
            <w:r>
              <w:rPr>
                <w:sz w:val="19"/>
              </w:rPr>
              <w:t>the three cy50r1 physics ports on top of C. Kühnlein's main (merged 29e6152)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  <w:t>github.com/Kshy0/CaMa-Flood-GPU + Kshy0/hydroforge</w:t>
            </w:r>
          </w:p>
        </w:tc>
        <w:tc>
          <w:tcPr>
            <w:tcW w:type="dxa" w:w="4873"/>
          </w:tcPr>
          <w:p>
            <w:pPr>
              <w:jc w:val="right"/>
            </w:pPr>
            <w:r>
              <w:rPr>
                <w:sz w:val="19"/>
              </w:rPr>
              <w:t>the routing model, unmodified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  <w:t>github.com/stubbiali/stencil-validation (public since 2026-09-14)</w:t>
            </w:r>
          </w:p>
        </w:tc>
        <w:tc>
          <w:tcPr>
            <w:tcW w:type="dxa" w:w="4873"/>
          </w:tcPr>
          <w:p>
            <w:pPr>
              <w:jc w:val="right"/>
            </w:pPr>
            <w:r>
              <w:rPr>
                <w:sz w:val="19"/>
              </w:rPr>
              <w:t>the stencil framework at ecland-porting's pinned commit</w:t>
            </w:r>
          </w:p>
        </w:tc>
      </w:tr>
    </w:tbl>
    <w:p/>
    <w:sectPr w:rsidR="00FC693F" w:rsidRPr="0006063C" w:rsidSect="00034616">
      <w:pgSz w:w="12240" w:h="15840"/>
      <w:pgMar w:top="1440" w:right="1247" w:bottom="144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