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Quattrocento Sans" w:cs="Quattrocento Sans" w:eastAsia="Quattrocento Sans" w:hAnsi="Quattrocento Sans"/>
          <w:b w:val="1"/>
          <w:bCs w:val="1"/>
          <w:color w:val="0c4a60"/>
          <w:sz w:val="56"/>
          <w:szCs w:val="56"/>
          <w:rtl w:val="0"/>
        </w:rPr>
        <w:t xml:space="preserve">KESTREL</w:t>
      </w:r>
      <w:r w:rsidDel="00000000" w:rsidR="00000000" w:rsidRPr="00000000">
        <w:rPr>
          <w:rtl w:val="0"/>
        </w:rPr>
      </w:r>
    </w:p>
    <w:p w:rsidR="00000000" w:rsidDel="00000000" w:rsidP="00000000" w:rsidRDefault="00000000" w:rsidRPr="00000000" w14:paraId="00000002">
      <w:pPr>
        <w:spacing w:after="480" w:lineRule="auto"/>
        <w:rPr/>
      </w:pPr>
      <w:r w:rsidDel="00000000" w:rsidR="00000000" w:rsidRPr="00000000">
        <w:rPr>
          <w:rFonts w:ascii="Quattrocento Sans" w:cs="Quattrocento Sans" w:eastAsia="Quattrocento Sans" w:hAnsi="Quattrocento Sans"/>
          <w:i w:val="1"/>
          <w:iCs w:val="1"/>
          <w:color w:val="404040"/>
          <w:sz w:val="26"/>
          <w:szCs w:val="26"/>
          <w:rtl w:val="0"/>
        </w:rPr>
        <w:t xml:space="preserve">Advanced Project Overview &amp; Architecture Specification</w:t>
        <w:br w:type="textWrapping"/>
        <w:t xml:space="preserve">Next-Generation Lightweight, Windows-Native AI Coding Agent</w:t>
      </w:r>
      <w:r w:rsidDel="00000000" w:rsidR="00000000" w:rsidRPr="00000000">
        <w:rPr>
          <w:rtl w:val="0"/>
        </w:rPr>
      </w:r>
    </w:p>
    <w:p w:rsidR="00000000" w:rsidDel="00000000" w:rsidP="00000000" w:rsidRDefault="00000000" w:rsidRPr="00000000" w14:paraId="00000003">
      <w:pPr>
        <w:pBdr>
          <w:bottom w:color="0c4a60" w:space="1" w:sz="12" w:val="single"/>
        </w:pBdr>
        <w:spacing w:after="480" w:lineRule="auto"/>
        <w:rPr/>
      </w:pPr>
      <w:r w:rsidDel="00000000" w:rsidR="00000000" w:rsidRPr="00000000">
        <w:rPr>
          <w:rtl w:val="0"/>
        </w:rPr>
      </w:r>
    </w:p>
    <w:p w:rsidR="00000000" w:rsidDel="00000000" w:rsidP="00000000" w:rsidRDefault="00000000" w:rsidRPr="00000000" w14:paraId="00000004">
      <w:pPr>
        <w:keepNext w:val="1"/>
        <w:pBdr>
          <w:bottom w:color="0c4a60" w:space="4" w:sz="6" w:val="single"/>
        </w:pBdr>
        <w:spacing w:after="120" w:before="360" w:lineRule="auto"/>
        <w:rPr/>
      </w:pPr>
      <w:r w:rsidDel="00000000" w:rsidR="00000000" w:rsidRPr="00000000">
        <w:rPr>
          <w:rFonts w:ascii="Quattrocento Sans" w:cs="Quattrocento Sans" w:eastAsia="Quattrocento Sans" w:hAnsi="Quattrocento Sans"/>
          <w:b w:val="1"/>
          <w:bCs w:val="1"/>
          <w:color w:val="0c4a60"/>
          <w:sz w:val="32"/>
          <w:szCs w:val="32"/>
          <w:rtl w:val="0"/>
        </w:rPr>
        <w:t xml:space="preserve">1. Executive Summary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Kestrel is a ultra-high-performance, lightweight, desktop-native AI coding agent built exclusively for the Windows operating system. Unlike incumbent platforms built on resource-heavy Electron shells that rely on raw text injection and unoptimized file scanning, Kestrel is engineered down to the system metal using Rust and a native presentation layer. It maximizes intelligence while minimizing hardware overhead.</w:t>
      </w:r>
    </w:p>
    <w:p w:rsidR="00000000" w:rsidDel="00000000" w:rsidP="00000000" w:rsidRDefault="00000000" w:rsidRPr="00000000" w14:paraId="00000006">
      <w:pPr>
        <w:rPr/>
      </w:pPr>
      <w:r w:rsidDel="00000000" w:rsidR="00000000" w:rsidRPr="00000000">
        <w:rPr>
          <w:rtl w:val="0"/>
        </w:rPr>
        <w:t xml:space="preserve">By harnessing advanced Windows kernel features such as the USN (Update Sequence Number) Journal alongside local Abstract Syntax Tree (AST) deep mapping, Kestrel eliminates the latency and context confusion plaguing current instruments. The objective is to deliver a zero-latency assistant that feels like a high-performance terminal utility but executes with the strategic capabilities of a Principal Staff Engineer.</w:t>
      </w:r>
    </w:p>
    <w:p w:rsidR="00000000" w:rsidDel="00000000" w:rsidP="00000000" w:rsidRDefault="00000000" w:rsidRPr="00000000" w14:paraId="00000007">
      <w:pPr>
        <w:keepNext w:val="1"/>
        <w:pBdr>
          <w:bottom w:color="0c4a60" w:space="4" w:sz="6" w:val="single"/>
        </w:pBdr>
        <w:spacing w:after="120" w:before="360" w:lineRule="auto"/>
        <w:rPr/>
      </w:pPr>
      <w:r w:rsidDel="00000000" w:rsidR="00000000" w:rsidRPr="00000000">
        <w:rPr>
          <w:rFonts w:ascii="Quattrocento Sans" w:cs="Quattrocento Sans" w:eastAsia="Quattrocento Sans" w:hAnsi="Quattrocento Sans"/>
          <w:b w:val="1"/>
          <w:bCs w:val="1"/>
          <w:color w:val="0c4a60"/>
          <w:sz w:val="32"/>
          <w:szCs w:val="32"/>
          <w:rtl w:val="0"/>
        </w:rPr>
        <w:t xml:space="preserve">2. Core Philosophy &amp; Design Principles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engineering roadmap for Kestrel is defined by three uncompromising architectural mandates: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62626"/>
          <w:sz w:val="21"/>
          <w:szCs w:val="21"/>
          <w:u w:val="none"/>
          <w:shd w:fill="auto" w:val="clear"/>
          <w:vertAlign w:val="baseline"/>
          <w:rtl w:val="0"/>
        </w:rPr>
        <w:t xml:space="preserve">Zero-Bloat Native Performance: </w:t>
      </w:r>
      <w:r w:rsidDel="00000000" w:rsidR="00000000" w:rsidRPr="00000000">
        <w:rPr>
          <w:rFonts w:ascii="Quattrocento Sans" w:cs="Quattrocento Sans" w:eastAsia="Quattrocento Sans" w:hAnsi="Quattrocento Sans"/>
          <w:b w:val="0"/>
          <w:bCs w:val="0"/>
          <w:i w:val="0"/>
          <w:iCs w:val="0"/>
          <w:smallCaps w:val="0"/>
          <w:strike w:val="0"/>
          <w:color w:val="262626"/>
          <w:sz w:val="21"/>
          <w:szCs w:val="21"/>
          <w:u w:val="none"/>
          <w:shd w:fill="auto" w:val="clear"/>
          <w:vertAlign w:val="baseline"/>
          <w:rtl w:val="0"/>
        </w:rPr>
        <w:t xml:space="preserve">Strict enforcement of local memory allocations under 100MB at idle. Absolute elimination of Chromium embedded frameworks.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62626"/>
          <w:sz w:val="21"/>
          <w:szCs w:val="21"/>
          <w:u w:val="none"/>
          <w:shd w:fill="auto" w:val="clear"/>
          <w:vertAlign w:val="baseline"/>
          <w:rtl w:val="0"/>
        </w:rPr>
        <w:t xml:space="preserve">Deterministic Context Awareness: </w:t>
      </w:r>
      <w:r w:rsidDel="00000000" w:rsidR="00000000" w:rsidRPr="00000000">
        <w:rPr>
          <w:rFonts w:ascii="Quattrocento Sans" w:cs="Quattrocento Sans" w:eastAsia="Quattrocento Sans" w:hAnsi="Quattrocento Sans"/>
          <w:b w:val="0"/>
          <w:bCs w:val="0"/>
          <w:i w:val="0"/>
          <w:iCs w:val="0"/>
          <w:smallCaps w:val="0"/>
          <w:strike w:val="0"/>
          <w:color w:val="262626"/>
          <w:sz w:val="21"/>
          <w:szCs w:val="21"/>
          <w:u w:val="none"/>
          <w:shd w:fill="auto" w:val="clear"/>
          <w:vertAlign w:val="baseline"/>
          <w:rtl w:val="0"/>
        </w:rPr>
        <w:t xml:space="preserve">Moving away from fragile heuristics and massive text dumps toward exact structural graphs using compiler-grade AST models.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Quattrocento Sans" w:cs="Quattrocento Sans" w:eastAsia="Quattrocento Sans" w:hAnsi="Quattrocento Sans"/>
          <w:b w:val="1"/>
          <w:bCs w:val="1"/>
          <w:i w:val="0"/>
          <w:iCs w:val="0"/>
          <w:smallCaps w:val="0"/>
          <w:strike w:val="0"/>
          <w:color w:val="262626"/>
          <w:sz w:val="21"/>
          <w:szCs w:val="21"/>
          <w:u w:val="none"/>
          <w:shd w:fill="auto" w:val="clear"/>
          <w:vertAlign w:val="baseline"/>
          <w:rtl w:val="0"/>
        </w:rPr>
        <w:t xml:space="preserve">Local-First Execution Hybrid: </w:t>
      </w:r>
      <w:r w:rsidDel="00000000" w:rsidR="00000000" w:rsidRPr="00000000">
        <w:rPr>
          <w:rFonts w:ascii="Quattrocento Sans" w:cs="Quattrocento Sans" w:eastAsia="Quattrocento Sans" w:hAnsi="Quattrocento Sans"/>
          <w:b w:val="0"/>
          <w:bCs w:val="0"/>
          <w:i w:val="0"/>
          <w:iCs w:val="0"/>
          <w:smallCaps w:val="0"/>
          <w:strike w:val="0"/>
          <w:color w:val="262626"/>
          <w:sz w:val="21"/>
          <w:szCs w:val="21"/>
          <w:u w:val="none"/>
          <w:shd w:fill="auto" w:val="clear"/>
          <w:vertAlign w:val="baseline"/>
          <w:rtl w:val="0"/>
        </w:rPr>
        <w:t xml:space="preserve">All heavy telemetry, file parsing, and system-state tracking happen locally via optimized native binaries, communicating asynchronously with remote or local LLM inference engines.</w:t>
      </w:r>
    </w:p>
    <w:p w:rsidR="00000000" w:rsidDel="00000000" w:rsidP="00000000" w:rsidRDefault="00000000" w:rsidRPr="00000000" w14:paraId="0000000C">
      <w:pPr>
        <w:keepNext w:val="1"/>
        <w:pBdr>
          <w:bottom w:color="0c4a60" w:space="4" w:sz="6" w:val="single"/>
        </w:pBdr>
        <w:spacing w:after="120" w:before="360" w:lineRule="auto"/>
        <w:rPr/>
      </w:pPr>
      <w:r w:rsidDel="00000000" w:rsidR="00000000" w:rsidRPr="00000000">
        <w:rPr>
          <w:rFonts w:ascii="Quattrocento Sans" w:cs="Quattrocento Sans" w:eastAsia="Quattrocento Sans" w:hAnsi="Quattrocento Sans"/>
          <w:b w:val="1"/>
          <w:bCs w:val="1"/>
          <w:color w:val="0c4a60"/>
          <w:sz w:val="32"/>
          <w:szCs w:val="32"/>
          <w:rtl w:val="0"/>
        </w:rPr>
        <w:t xml:space="preserve">3. Advanced Feature Specification</w:t>
      </w:r>
      <w:r w:rsidDel="00000000" w:rsidR="00000000" w:rsidRPr="00000000">
        <w:rPr>
          <w:rtl w:val="0"/>
        </w:rPr>
      </w:r>
    </w:p>
    <w:p w:rsidR="00000000" w:rsidDel="00000000" w:rsidP="00000000" w:rsidRDefault="00000000" w:rsidRPr="00000000" w14:paraId="0000000D">
      <w:pPr>
        <w:keepNext w:val="1"/>
        <w:spacing w:after="80" w:before="240" w:lineRule="auto"/>
        <w:rPr/>
      </w:pPr>
      <w:r w:rsidDel="00000000" w:rsidR="00000000" w:rsidRPr="00000000">
        <w:rPr>
          <w:rFonts w:ascii="Quattrocento Sans" w:cs="Quattrocento Sans" w:eastAsia="Quattrocento Sans" w:hAnsi="Quattrocento Sans"/>
          <w:b w:val="1"/>
          <w:bCs w:val="1"/>
          <w:color w:val="404040"/>
          <w:sz w:val="24"/>
          <w:szCs w:val="24"/>
          <w:rtl w:val="0"/>
        </w:rPr>
        <w:t xml:space="preserve">3.1 The Ghost Context Engine (AST + Git History)</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Instead of feeding loose code blocks to LLMs, Kestrel builds a persistent, optimized in-memory dependency graph. Using tree-sitter bindings, it maps structural symbols, function definitions, call sites, and inheritance trees. This is combined with structural telemetry extracted from local Git blame logs, tracking the last three commits that touched any affected area. When a modification is requested, the model receives an ultra-dense, token-cached 'Code Architecture Map' rather than bloated raw code strings.</w:t>
      </w:r>
    </w:p>
    <w:p w:rsidR="00000000" w:rsidDel="00000000" w:rsidP="00000000" w:rsidRDefault="00000000" w:rsidRPr="00000000" w14:paraId="0000000F">
      <w:pPr>
        <w:keepNext w:val="1"/>
        <w:spacing w:after="80" w:before="240" w:lineRule="auto"/>
        <w:rPr/>
      </w:pPr>
      <w:r w:rsidDel="00000000" w:rsidR="00000000" w:rsidRPr="00000000">
        <w:rPr>
          <w:rFonts w:ascii="Quattrocento Sans" w:cs="Quattrocento Sans" w:eastAsia="Quattrocento Sans" w:hAnsi="Quattrocento Sans"/>
          <w:b w:val="1"/>
          <w:bCs w:val="1"/>
          <w:color w:val="404040"/>
          <w:sz w:val="24"/>
          <w:szCs w:val="24"/>
          <w:rtl w:val="0"/>
        </w:rPr>
        <w:t xml:space="preserve">3.2 Proactive Shadow-Compiling &amp; Self-Healing Loop</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Kestrel runs a low-priority background worker thread ('Shadow Build'). Every time code is generated or staged by the agent, it is silently evaluated against the local environment's native linter, language server (LSP), or compiler. If compilation warnings, syntax breaks, or type exceptions are raised, Kestrel automatically captures the exact compiler trace, feeds it back into its generation loop, and heals the code before presenting it to the user. The engineer only sees syntax-validated, clean diffs.</w:t>
      </w:r>
    </w:p>
    <w:p w:rsidR="00000000" w:rsidDel="00000000" w:rsidP="00000000" w:rsidRDefault="00000000" w:rsidRPr="00000000" w14:paraId="00000011">
      <w:pPr>
        <w:keepNext w:val="1"/>
        <w:spacing w:after="80" w:before="240" w:lineRule="auto"/>
        <w:rPr/>
      </w:pPr>
      <w:r w:rsidDel="00000000" w:rsidR="00000000" w:rsidRPr="00000000">
        <w:rPr>
          <w:rFonts w:ascii="Quattrocento Sans" w:cs="Quattrocento Sans" w:eastAsia="Quattrocento Sans" w:hAnsi="Quattrocento Sans"/>
          <w:b w:val="1"/>
          <w:bCs w:val="1"/>
          <w:color w:val="404040"/>
          <w:sz w:val="24"/>
          <w:szCs w:val="24"/>
          <w:rtl w:val="0"/>
        </w:rPr>
        <w:t xml:space="preserve">3.3 Native WSL &amp; Docker Container Bridging</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To solve cross-boundary file I/O latency between Windows hosts and Linux environments, Kestrel implements a lightweight native communication daemon that runs inside the Windows Subsystem for Linux (WSL) or destination Docker container. The Windows native UI commands this daemon directly over optimized inter-process communication (IPC) channels, executing commands, checking files, and processing system states at bare-metal speeds without path translation faults.</w:t>
      </w:r>
    </w:p>
    <w:p w:rsidR="00000000" w:rsidDel="00000000" w:rsidP="00000000" w:rsidRDefault="00000000" w:rsidRPr="00000000" w14:paraId="00000013">
      <w:pPr>
        <w:keepNext w:val="1"/>
        <w:spacing w:after="80" w:before="240" w:lineRule="auto"/>
        <w:rPr/>
      </w:pPr>
      <w:r w:rsidDel="00000000" w:rsidR="00000000" w:rsidRPr="00000000">
        <w:rPr>
          <w:rFonts w:ascii="Quattrocento Sans" w:cs="Quattrocento Sans" w:eastAsia="Quattrocento Sans" w:hAnsi="Quattrocento Sans"/>
          <w:b w:val="1"/>
          <w:bCs w:val="1"/>
          <w:color w:val="404040"/>
          <w:sz w:val="24"/>
          <w:szCs w:val="24"/>
          <w:rtl w:val="0"/>
        </w:rPr>
        <w:t xml:space="preserve">3.4 Predictable Token Economics &amp; Cost Budgeting</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To protect developers from compounding usage expenses, Kestrel incorporates an interactive, transparent accounting layer. Before executing any complex multi-file codebase manipulation, the tool evaluates the context footprint and presents an exact breakdown of anticipated token costs. Utilizing Anthropic's prompt caching mechanics and local semantic lookups, it compresses repetitive lookups, slashing recurring API expenses by up to 90%.</w:t>
      </w:r>
    </w:p>
    <w:p w:rsidR="00000000" w:rsidDel="00000000" w:rsidP="00000000" w:rsidRDefault="00000000" w:rsidRPr="00000000" w14:paraId="00000015">
      <w:pPr>
        <w:keepNext w:val="1"/>
        <w:pBdr>
          <w:bottom w:color="0c4a60" w:space="4" w:sz="6" w:val="single"/>
        </w:pBdr>
        <w:spacing w:after="120" w:before="360" w:lineRule="auto"/>
        <w:rPr/>
      </w:pPr>
      <w:r w:rsidDel="00000000" w:rsidR="00000000" w:rsidRPr="00000000">
        <w:rPr>
          <w:rFonts w:ascii="Quattrocento Sans" w:cs="Quattrocento Sans" w:eastAsia="Quattrocento Sans" w:hAnsi="Quattrocento Sans"/>
          <w:b w:val="1"/>
          <w:bCs w:val="1"/>
          <w:color w:val="0c4a60"/>
          <w:sz w:val="32"/>
          <w:szCs w:val="32"/>
          <w:rtl w:val="0"/>
        </w:rPr>
        <w:t xml:space="preserve">4. Technical Architecture Stack</w:t>
      </w:r>
      <w:r w:rsidDel="00000000" w:rsidR="00000000" w:rsidRPr="00000000">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shd w:fill="0c4a60" w:val="clear"/>
            <w:tcMar>
              <w:top w:w="120.0" w:type="dxa"/>
              <w:left w:w="150.0" w:type="dxa"/>
              <w:bottom w:w="120.0" w:type="dxa"/>
              <w:right w:w="150.0" w:type="dxa"/>
            </w:tcMar>
          </w:tcPr>
          <w:p w:rsidR="00000000" w:rsidDel="00000000" w:rsidP="00000000" w:rsidRDefault="00000000" w:rsidRPr="00000000" w14:paraId="00000016">
            <w:pPr>
              <w:rPr/>
            </w:pPr>
            <w:r w:rsidDel="00000000" w:rsidR="00000000" w:rsidRPr="00000000">
              <w:rPr>
                <w:b w:val="1"/>
                <w:bCs w:val="1"/>
                <w:color w:val="ffffff"/>
                <w:rtl w:val="0"/>
              </w:rPr>
              <w:t xml:space="preserve">Architectural Layer</w:t>
            </w:r>
            <w:r w:rsidDel="00000000" w:rsidR="00000000" w:rsidRPr="00000000">
              <w:rPr>
                <w:rtl w:val="0"/>
              </w:rPr>
            </w:r>
          </w:p>
        </w:tc>
        <w:tc>
          <w:tcPr>
            <w:shd w:fill="0c4a60" w:val="clear"/>
            <w:tcMar>
              <w:top w:w="120.0" w:type="dxa"/>
              <w:left w:w="150.0" w:type="dxa"/>
              <w:bottom w:w="120.0" w:type="dxa"/>
              <w:right w:w="150.0" w:type="dxa"/>
            </w:tcMar>
          </w:tcPr>
          <w:p w:rsidR="00000000" w:rsidDel="00000000" w:rsidP="00000000" w:rsidRDefault="00000000" w:rsidRPr="00000000" w14:paraId="00000017">
            <w:pPr>
              <w:rPr/>
            </w:pPr>
            <w:r w:rsidDel="00000000" w:rsidR="00000000" w:rsidRPr="00000000">
              <w:rPr>
                <w:b w:val="1"/>
                <w:bCs w:val="1"/>
                <w:color w:val="ffffff"/>
                <w:rtl w:val="0"/>
              </w:rPr>
              <w:t xml:space="preserve">Technology Selection &amp; Purpose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tl w:val="0"/>
              </w:rPr>
              <w:t xml:space="preserve">Core Backend Engine</w:t>
            </w:r>
          </w:p>
        </w:tc>
        <w:tc>
          <w:tcP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tl w:val="0"/>
              </w:rPr>
              <w:t xml:space="preserve">Rust (Thread-safe, zero-cost abstractions, rapid local file operations)</w:t>
            </w:r>
          </w:p>
        </w:tc>
      </w:tr>
      <w:tr>
        <w:trPr>
          <w:cantSplit w:val="0"/>
          <w:tblHeader w:val="0"/>
        </w:trPr>
        <w:tc>
          <w:tcPr>
            <w:shd w:fill="f4f7f6"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tl w:val="0"/>
              </w:rPr>
              <w:t xml:space="preserve">Native User Interface</w:t>
            </w:r>
          </w:p>
        </w:tc>
        <w:tc>
          <w:tcPr>
            <w:shd w:fill="f4f7f6"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tl w:val="0"/>
              </w:rPr>
              <w:t xml:space="preserve">WinUI 3 / Flutter Desktop Windows Native Embeds (No Electron/Chromium)</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tl w:val="0"/>
              </w:rPr>
              <w:t xml:space="preserve">File Indexing System</w:t>
            </w:r>
          </w:p>
        </w:tc>
        <w:tc>
          <w:tcP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tl w:val="0"/>
              </w:rPr>
              <w:t xml:space="preserve">Windows USN Journal API (Near-zero CPU daemon tracking physical sector shifts)</w:t>
            </w:r>
          </w:p>
        </w:tc>
      </w:tr>
      <w:tr>
        <w:trPr>
          <w:cantSplit w:val="0"/>
          <w:tblHeader w:val="0"/>
        </w:trPr>
        <w:tc>
          <w:tcPr>
            <w:shd w:fill="f4f7f6" w:val="clear"/>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tl w:val="0"/>
              </w:rPr>
              <w:t xml:space="preserve">Code Parsing / Mapping</w:t>
            </w:r>
          </w:p>
        </w:tc>
        <w:tc>
          <w:tcPr>
            <w:shd w:fill="f4f7f6" w:val="clear"/>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rtl w:val="0"/>
              </w:rPr>
              <w:t xml:space="preserve">Tree-sitter AST Bindings (Local structural language parsing)</w:t>
            </w:r>
          </w:p>
        </w:tc>
      </w:tr>
    </w:tbl>
    <w:p w:rsidR="00000000" w:rsidDel="00000000" w:rsidP="00000000" w:rsidRDefault="00000000" w:rsidRPr="00000000" w14:paraId="00000020">
      <w:pPr>
        <w:keepNext w:val="1"/>
        <w:pBdr>
          <w:bottom w:color="0c4a60" w:space="4" w:sz="6" w:val="single"/>
        </w:pBdr>
        <w:spacing w:after="120" w:before="360" w:lineRule="auto"/>
        <w:rPr/>
      </w:pPr>
      <w:r w:rsidDel="00000000" w:rsidR="00000000" w:rsidRPr="00000000">
        <w:rPr>
          <w:rFonts w:ascii="Quattrocento Sans" w:cs="Quattrocento Sans" w:eastAsia="Quattrocento Sans" w:hAnsi="Quattrocento Sans"/>
          <w:b w:val="1"/>
          <w:bCs w:val="1"/>
          <w:color w:val="0c4a60"/>
          <w:sz w:val="32"/>
          <w:szCs w:val="32"/>
          <w:rtl w:val="0"/>
        </w:rPr>
        <w:t xml:space="preserve">5. Competitive Differentiation Matrix</w:t>
      </w:r>
      <w:r w:rsidDel="00000000" w:rsidR="00000000" w:rsidRPr="00000000">
        <w:rPr>
          <w:rtl w:val="0"/>
        </w:rPr>
      </w:r>
    </w:p>
    <w:tbl>
      <w:tblPr>
        <w:tblStyle w:val="Table2"/>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404040" w:val="clear"/>
            <w:tcMar>
              <w:top w:w="120.0" w:type="dxa"/>
              <w:left w:w="150.0" w:type="dxa"/>
              <w:bottom w:w="120.0" w:type="dxa"/>
              <w:right w:w="150.0" w:type="dxa"/>
            </w:tcMar>
          </w:tcPr>
          <w:p w:rsidR="00000000" w:rsidDel="00000000" w:rsidP="00000000" w:rsidRDefault="00000000" w:rsidRPr="00000000" w14:paraId="00000021">
            <w:pPr>
              <w:rPr/>
            </w:pPr>
            <w:r w:rsidDel="00000000" w:rsidR="00000000" w:rsidRPr="00000000">
              <w:rPr>
                <w:b w:val="1"/>
                <w:bCs w:val="1"/>
                <w:color w:val="ffffff"/>
                <w:rtl w:val="0"/>
              </w:rPr>
              <w:t xml:space="preserve">Dimension</w:t>
            </w:r>
            <w:r w:rsidDel="00000000" w:rsidR="00000000" w:rsidRPr="00000000">
              <w:rPr>
                <w:rtl w:val="0"/>
              </w:rPr>
            </w:r>
          </w:p>
        </w:tc>
        <w:tc>
          <w:tcPr>
            <w:shd w:fill="404040" w:val="clear"/>
            <w:tcMar>
              <w:top w:w="120.0" w:type="dxa"/>
              <w:left w:w="150.0" w:type="dxa"/>
              <w:bottom w:w="120.0" w:type="dxa"/>
              <w:right w:w="150.0" w:type="dxa"/>
            </w:tcMar>
          </w:tcPr>
          <w:p w:rsidR="00000000" w:rsidDel="00000000" w:rsidP="00000000" w:rsidRDefault="00000000" w:rsidRPr="00000000" w14:paraId="00000022">
            <w:pPr>
              <w:rPr/>
            </w:pPr>
            <w:r w:rsidDel="00000000" w:rsidR="00000000" w:rsidRPr="00000000">
              <w:rPr>
                <w:b w:val="1"/>
                <w:bCs w:val="1"/>
                <w:color w:val="ffffff"/>
                <w:rtl w:val="0"/>
              </w:rPr>
              <w:t xml:space="preserve">Incumbent Platforms (Cursor, Devin, etc.)</w:t>
            </w:r>
            <w:r w:rsidDel="00000000" w:rsidR="00000000" w:rsidRPr="00000000">
              <w:rPr>
                <w:rtl w:val="0"/>
              </w:rPr>
            </w:r>
          </w:p>
        </w:tc>
        <w:tc>
          <w:tcPr>
            <w:shd w:fill="404040" w:val="clear"/>
            <w:tcMar>
              <w:top w:w="120.0" w:type="dxa"/>
              <w:left w:w="150.0" w:type="dxa"/>
              <w:bottom w:w="120.0" w:type="dxa"/>
              <w:right w:w="150.0" w:type="dxa"/>
            </w:tcMar>
          </w:tcPr>
          <w:p w:rsidR="00000000" w:rsidDel="00000000" w:rsidP="00000000" w:rsidRDefault="00000000" w:rsidRPr="00000000" w14:paraId="00000023">
            <w:pPr>
              <w:rPr/>
            </w:pPr>
            <w:r w:rsidDel="00000000" w:rsidR="00000000" w:rsidRPr="00000000">
              <w:rPr>
                <w:b w:val="1"/>
                <w:bCs w:val="1"/>
                <w:color w:val="ffffff"/>
                <w:rtl w:val="0"/>
              </w:rPr>
              <w:t xml:space="preserve">Kestrel Architecture</w:t>
            </w:r>
            <w:r w:rsidDel="00000000" w:rsidR="00000000" w:rsidRPr="00000000">
              <w:rPr>
                <w:rtl w:val="0"/>
              </w:rPr>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rtl w:val="0"/>
              </w:rPr>
              <w:t xml:space="preserve">Runtime Footprint</w:t>
            </w:r>
          </w:p>
        </w:tc>
        <w:tc>
          <w:tcPr>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rtl w:val="0"/>
              </w:rPr>
              <w:t xml:space="preserve">Heavy Electron wrappers; 500MB - 1.5GB RAM overhead at baseline.</w:t>
            </w:r>
          </w:p>
        </w:tc>
        <w:tc>
          <w:tcP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rtl w:val="0"/>
              </w:rPr>
              <w:t xml:space="preserve">Compiled Native Code; &lt;100MB RAM consumption at idle.</w:t>
            </w:r>
          </w:p>
        </w:tc>
      </w:tr>
      <w:tr>
        <w:trPr>
          <w:cantSplit w:val="0"/>
          <w:tblHeader w:val="0"/>
        </w:trPr>
        <w:tc>
          <w:tcPr>
            <w:shd w:fill="f4f7f6"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rtl w:val="0"/>
              </w:rPr>
              <w:t xml:space="preserve">Context Discovery</w:t>
            </w:r>
          </w:p>
        </w:tc>
        <w:tc>
          <w:tcPr>
            <w:shd w:fill="f4f7f6"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rtl w:val="0"/>
              </w:rPr>
              <w:t xml:space="preserve">Naive full-text file dumping or raw unstructured vector searching.</w:t>
            </w:r>
          </w:p>
        </w:tc>
        <w:tc>
          <w:tcPr>
            <w:shd w:fill="f4f7f6"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rtl w:val="0"/>
              </w:rPr>
              <w:t xml:space="preserve">Compiler-grade AST maps blended with local Git telemetry.</w:t>
            </w:r>
          </w:p>
        </w:tc>
      </w:tr>
      <w:tr>
        <w:trPr>
          <w:cantSplit w:val="0"/>
          <w:tblHeader w:val="0"/>
        </w:trPr>
        <w:tc>
          <w:tcP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rtl w:val="0"/>
              </w:rPr>
              <w:t xml:space="preserve">Execution Model</w:t>
            </w:r>
          </w:p>
        </w:tc>
        <w:tc>
          <w:tcP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rtl w:val="0"/>
              </w:rPr>
              <w:t xml:space="preserve">Sluggish terminal abstractions or fragile virtual environment piping.</w:t>
            </w:r>
          </w:p>
        </w:tc>
        <w:tc>
          <w:tcP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rtl w:val="0"/>
              </w:rPr>
              <w:t xml:space="preserve">Native Windows API hookups coupled with direct-process WSL/Docker daemons.</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color w:val="262626"/>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