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lang w:val="pt-BR"/>
        </w:rPr>
      </w:pPr>
      <w:r>
        <w:rPr>
          <w:lang w:val="pt-BR"/>
        </w:rPr>
        <w:t>Projeto de VPC para CANES Ltda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Grupo: Erick Calazães, </w:t>
      </w:r>
      <w:r>
        <w:rPr>
          <w:lang w:val="pt-BR"/>
        </w:rPr>
        <w:t>Raphael Henrique</w:t>
      </w:r>
      <w:r>
        <w:rPr>
          <w:lang w:val="pt-BR"/>
        </w:rPr>
        <w:t xml:space="preserve">, </w:t>
      </w:r>
      <w:r>
        <w:rPr>
          <w:lang w:val="pt-BR"/>
        </w:rPr>
        <w:t>Gabriel Marques</w:t>
      </w:r>
      <w:r>
        <w:rPr>
          <w:lang w:val="pt-BR"/>
        </w:rPr>
        <w:t>, [Nome Participante 4]</w:t>
      </w:r>
    </w:p>
    <w:p>
      <w:pPr>
        <w:pStyle w:val="Heading1"/>
        <w:rPr>
          <w:lang w:val="pt-BR"/>
        </w:rPr>
      </w:pPr>
      <w:r>
        <w:rPr>
          <w:lang w:val="pt-BR"/>
        </w:rPr>
        <w:t>1. Visão Geral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A CANES Ltda é uma empresa que mantém um site hospedado em uma instância EC2. Seus dados de clientes são sensíveis e armazenados em um banco de dados, exigindo controle rigoroso de acesso. </w:t>
      </w:r>
    </w:p>
    <w:p>
      <w:pPr>
        <w:pStyle w:val="Normal"/>
        <w:rPr/>
      </w:pPr>
      <w:r>
        <w:rPr>
          <w:lang w:val="pt-BR"/>
        </w:rPr>
        <w:t xml:space="preserve">Com base nisso, projetamos uma </w:t>
      </w:r>
      <w:r>
        <w:rPr>
          <w:rStyle w:val="Strong"/>
          <w:lang w:val="pt-BR"/>
        </w:rPr>
        <w:t>VPC escalável, segura e altamente disponível</w:t>
      </w:r>
      <w:r>
        <w:rPr>
          <w:lang w:val="pt-BR"/>
        </w:rPr>
        <w:t xml:space="preserve">, que separa logicamente os recursos e implementa camadas de segurança robustas. </w:t>
      </w:r>
    </w:p>
    <w:p>
      <w:pPr>
        <w:pStyle w:val="Heading1"/>
        <w:rPr>
          <w:lang w:val="pt-BR"/>
        </w:rPr>
      </w:pPr>
      <w:r>
        <w:rPr>
          <w:lang w:val="pt-BR"/>
        </w:rPr>
        <w:t>2. Componentes e Arquitetura da VPC</w:t>
      </w:r>
    </w:p>
    <w:p>
      <w:pPr>
        <w:pStyle w:val="BodyText"/>
        <w:rPr/>
      </w:pPr>
      <w:r>
        <w:rPr>
          <w:rStyle w:val="Strong"/>
          <w:lang w:val="pt-BR"/>
        </w:rPr>
        <w:t>CIDR da VPC:</w:t>
      </w:r>
      <w:r>
        <w:rPr>
          <w:lang w:val="pt-BR"/>
        </w:rPr>
        <w:t xml:space="preserve"> </w:t>
      </w:r>
      <w:r>
        <w:rPr>
          <w:rStyle w:val="Cdigo-fonte"/>
          <w:lang w:val="pt-BR"/>
        </w:rPr>
        <w:t>10.0.0.0/16</w:t>
      </w:r>
      <w:r>
        <w:rPr>
          <w:lang w:val="pt-BR"/>
        </w:rPr>
        <w:br/>
        <w:t>Essa faixa foi escolhida para possibilitar criação de múltiplas sub-redes no futuro.</w:t>
      </w:r>
    </w:p>
    <w:p>
      <w:pPr>
        <w:pStyle w:val="BodyText"/>
        <w:rPr>
          <w:lang w:val="pt-BR"/>
        </w:rPr>
      </w:pPr>
      <w:r>
        <w:rPr>
          <w:lang w:val="pt-BR"/>
        </w:rPr>
      </w:r>
    </w:p>
    <w:p>
      <w:pPr>
        <w:pStyle w:val="BodyText"/>
        <w:rPr/>
      </w:pPr>
      <w:r>
        <w:rPr>
          <w:rStyle w:val="Strong"/>
          <w:lang w:val="pt-BR"/>
        </w:rPr>
        <w:t>Sub-redes criadas:</w:t>
      </w:r>
    </w:p>
    <w:tbl>
      <w:tblPr>
        <w:tblW w:w="8342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846"/>
        <w:gridCol w:w="1202"/>
        <w:gridCol w:w="2682"/>
        <w:gridCol w:w="2612"/>
      </w:tblGrid>
      <w:tr>
        <w:trPr>
          <w:tblHeader w:val="true"/>
        </w:trPr>
        <w:tc>
          <w:tcPr>
            <w:tcW w:w="1846" w:type="dxa"/>
            <w:tcBorders/>
            <w:vAlign w:val="center"/>
          </w:tcPr>
          <w:p>
            <w:pPr>
              <w:pStyle w:val="Ttulode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Tipo de Sub-rede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tulode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CIDR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Ttulode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Função</w:t>
            </w:r>
          </w:p>
        </w:tc>
        <w:tc>
          <w:tcPr>
            <w:tcW w:w="2612" w:type="dxa"/>
            <w:tcBorders/>
            <w:vAlign w:val="center"/>
          </w:tcPr>
          <w:p>
            <w:pPr>
              <w:pStyle w:val="Ttulode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Zona de Disponibilidade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Pública 1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10.0.0.0/24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Servidor Web (EC2)</w:t>
            </w:r>
          </w:p>
        </w:tc>
        <w:tc>
          <w:tcPr>
            <w:tcW w:w="261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us-east-1a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Pública 2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10.0.1.0/24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Servidor Web (EC2)</w:t>
            </w:r>
          </w:p>
        </w:tc>
        <w:tc>
          <w:tcPr>
            <w:tcW w:w="261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us-east-1b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Privada 1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10.0.2.0/24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Banco de Dados (RDS/EC2)</w:t>
            </w:r>
          </w:p>
        </w:tc>
        <w:tc>
          <w:tcPr>
            <w:tcW w:w="261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us-east-1a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Privada 2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10.0.3.0/24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Banco de Dados (RDS/EC2)</w:t>
            </w:r>
          </w:p>
        </w:tc>
        <w:tc>
          <w:tcPr>
            <w:tcW w:w="2612" w:type="dxa"/>
            <w:tcBorders/>
            <w:vAlign w:val="center"/>
          </w:tcPr>
          <w:p>
            <w:pPr>
              <w:pStyle w:val="Contedodatabela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us-east-1b</w:t>
            </w:r>
          </w:p>
        </w:tc>
      </w:tr>
    </w:tbl>
    <w:p>
      <w:pPr>
        <w:pStyle w:val="BodyText"/>
        <w:rPr>
          <w:rStyle w:val="Strong"/>
          <w:lang w:val="pt-BR"/>
        </w:rPr>
      </w:pPr>
      <w:r>
        <w:rPr/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Cada sub-rede possui 256 endereços IP (prefixo /24), conforme a exigência. O uso de duas Zonas de Disponibilidade (AZs) oferece </w:t>
      </w:r>
      <w:r>
        <w:rPr>
          <w:rStyle w:val="Strong"/>
          <w:lang w:val="pt-BR"/>
        </w:rPr>
        <w:t>alta disponibilidade e tolerância a falhas</w:t>
      </w:r>
      <w:r>
        <w:rPr>
          <w:lang w:val="pt-BR"/>
        </w:rPr>
        <w:t>.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Heading1"/>
        <w:rPr>
          <w:lang w:val="pt-BR"/>
        </w:rPr>
      </w:pPr>
      <w:r>
        <w:rPr>
          <w:lang w:val="pt-BR"/>
        </w:rPr>
        <w:t>3. Conectividade e Acesso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Internet Gateway (IGW):</w:t>
      </w:r>
      <w:r>
        <w:rPr>
          <w:lang w:val="pt-BR"/>
        </w:rPr>
        <w:t xml:space="preserve"> Associado à VPC para permitir que as instâncias nas sub-redes públicas se comuniquem com a internet.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NAT Gateway:</w:t>
      </w:r>
      <w:r>
        <w:rPr>
          <w:lang w:val="pt-BR"/>
        </w:rPr>
        <w:t xml:space="preserve"> Posicionado em uma sub-rede pública para que o banco de dados, que está em uma sub-rede privada, possa acessar a internet com segurança (para atualizações e patches).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Route Tables:</w:t>
      </w:r>
    </w:p>
    <w:p>
      <w:pPr>
        <w:pStyle w:val="BodyText"/>
        <w:numPr>
          <w:ilvl w:val="1"/>
          <w:numId w:val="7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Sub-redes públicas têm rotas para o IGW.</w:t>
      </w:r>
    </w:p>
    <w:p>
      <w:pPr>
        <w:pStyle w:val="BodyText"/>
        <w:numPr>
          <w:ilvl w:val="1"/>
          <w:numId w:val="7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Sub-redes privadas têm rotas para o NAT Gateway.</w:t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O uso do </w:t>
      </w:r>
      <w:r>
        <w:rPr>
          <w:rStyle w:val="Strong"/>
          <w:lang w:val="pt-BR"/>
        </w:rPr>
        <w:t>NAT Gateway</w:t>
      </w:r>
      <w:r>
        <w:rPr>
          <w:lang w:val="pt-BR"/>
        </w:rPr>
        <w:t>, em vez de uma NAT Instance, garante melhor desempenho, alta disponibilidade automática e menor manutenção.</w:t>
      </w:r>
    </w:p>
    <w:p>
      <w:pPr>
        <w:pStyle w:val="Heading1"/>
        <w:rPr>
          <w:lang w:val="pt-BR"/>
        </w:rPr>
      </w:pPr>
      <w:r>
        <w:rPr>
          <w:lang w:val="pt-BR"/>
        </w:rPr>
        <w:t>4. Segurança e Firewalls</w:t>
      </w:r>
    </w:p>
    <w:p>
      <w:pPr>
        <w:pStyle w:val="BodyText"/>
        <w:numPr>
          <w:ilvl w:val="0"/>
          <w:numId w:val="9"/>
        </w:numPr>
        <w:rPr/>
      </w:pPr>
      <w:r>
        <w:rPr>
          <w:rStyle w:val="Strong"/>
          <w:lang w:val="pt-BR"/>
        </w:rPr>
        <w:t>Security Groups (SG):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Web Server SG: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/>
      </w:pPr>
      <w:r>
        <w:rPr>
          <w:lang w:val="pt-BR"/>
        </w:rPr>
        <w:t xml:space="preserve">Libera as portas </w:t>
      </w:r>
      <w:r>
        <w:rPr>
          <w:rStyle w:val="Strong"/>
          <w:lang w:val="pt-BR"/>
        </w:rPr>
        <w:t>80 (HTTP)</w:t>
      </w:r>
      <w:r>
        <w:rPr>
          <w:lang w:val="pt-BR"/>
        </w:rPr>
        <w:t xml:space="preserve"> e </w:t>
      </w:r>
      <w:r>
        <w:rPr>
          <w:rStyle w:val="Strong"/>
          <w:lang w:val="pt-BR"/>
        </w:rPr>
        <w:t>443 (HTTPS)</w:t>
      </w:r>
      <w:r>
        <w:rPr>
          <w:lang w:val="pt-BR"/>
        </w:rPr>
        <w:t xml:space="preserve"> para acesso público.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/>
      </w:pPr>
      <w:r>
        <w:rPr>
          <w:lang w:val="pt-BR"/>
        </w:rPr>
        <w:t>Acesso SSH (</w:t>
      </w:r>
      <w:r>
        <w:rPr>
          <w:rStyle w:val="Strong"/>
          <w:lang w:val="pt-BR"/>
        </w:rPr>
        <w:t>porta 22</w:t>
      </w:r>
      <w:r>
        <w:rPr>
          <w:lang w:val="pt-BR"/>
        </w:rPr>
        <w:t>) limitado ao IP fixo do administrador.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DB Server SG: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>
          <w:lang w:val="pt-BR"/>
        </w:rPr>
      </w:pPr>
      <w:r>
        <w:rPr>
          <w:lang w:val="pt-BR"/>
        </w:rPr>
        <w:t>Só permite conexões vindas do Web Server SG.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>
          <w:lang w:val="pt-BR"/>
        </w:rPr>
      </w:pPr>
      <w:r>
        <w:rPr>
          <w:lang w:val="pt-BR"/>
        </w:rPr>
        <w:t>Não aceita acessos diretos da internet.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NACLs (Network ACLs):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Personalizadas para permitir/recusar tráfego de sub-redes específicas.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Controlam tráfego de entrada e saída por IP e porta.</w:t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Implementar </w:t>
      </w:r>
      <w:r>
        <w:rPr>
          <w:rStyle w:val="Strong"/>
          <w:lang w:val="pt-BR"/>
        </w:rPr>
        <w:t>dupla camada de segurança</w:t>
      </w:r>
      <w:r>
        <w:rPr>
          <w:lang w:val="pt-BR"/>
        </w:rPr>
        <w:t xml:space="preserve"> com SGs e NACLs cria uma estrutura de defesa em profundidade, seguindo boas práticas da AWS.</w:t>
      </w:r>
    </w:p>
    <w:p>
      <w:pPr>
        <w:pStyle w:val="Heading1"/>
        <w:rPr>
          <w:lang w:val="pt-BR"/>
        </w:rPr>
      </w:pPr>
      <w:r>
        <w:rPr>
          <w:lang w:val="pt-BR"/>
        </w:rPr>
        <w:t>5. Alta Disponibilidade</w:t>
      </w:r>
    </w:p>
    <w:p>
      <w:pPr>
        <w:pStyle w:val="BodyText"/>
        <w:rPr>
          <w:lang w:val="pt-BR"/>
        </w:rPr>
      </w:pPr>
      <w:r>
        <w:rPr>
          <w:lang w:val="pt-BR"/>
        </w:rPr>
        <w:t xml:space="preserve">A arquitetura distribui os recursos entre </w:t>
      </w:r>
      <w:r>
        <w:rPr>
          <w:rStyle w:val="Strong"/>
          <w:lang w:val="pt-BR"/>
        </w:rPr>
        <w:t>duas Zonas de Disponibilidade (AZs)</w:t>
      </w:r>
      <w:r>
        <w:rPr>
          <w:lang w:val="pt-BR"/>
        </w:rPr>
        <w:t>: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>
          <w:lang w:val="pt-BR"/>
        </w:rPr>
      </w:pPr>
      <w:r>
        <w:rPr>
          <w:lang w:val="pt-BR"/>
        </w:rPr>
        <w:t>Web Servers em us-east-1a e us-east-1b.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>
          <w:lang w:val="pt-BR"/>
        </w:rPr>
      </w:pPr>
      <w:r>
        <w:rPr>
          <w:lang w:val="pt-BR"/>
        </w:rPr>
        <w:t>Banco de Dados em us-east-1a e us-east-1b.</w:t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Essa estratégia permite que, caso uma zona falhe, a outra continue funcionando, reduzindo o downtime e aumentando a confiabilidade do ambiente.</w:t>
      </w:r>
    </w:p>
    <w:p>
      <w:pPr>
        <w:pStyle w:val="Heading1"/>
        <w:rPr>
          <w:lang w:val="pt-BR"/>
        </w:rPr>
      </w:pPr>
      <w:r>
        <w:rPr>
          <w:lang w:val="pt-BR"/>
        </w:rPr>
        <w:t>6. Recursos AWS Envolvidos</w:t>
      </w:r>
    </w:p>
    <w:p>
      <w:pPr>
        <w:pStyle w:val="BodyText"/>
        <w:numPr>
          <w:ilvl w:val="0"/>
          <w:numId w:val="17"/>
        </w:numPr>
        <w:rPr/>
      </w:pPr>
      <w:r>
        <w:rPr>
          <w:rStyle w:val="Strong"/>
          <w:lang w:val="pt-BR"/>
        </w:rPr>
        <w:t>Amazon VPC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20"/>
        <w:rPr/>
      </w:pPr>
      <w:r>
        <w:rPr>
          <w:rStyle w:val="Strong"/>
          <w:lang w:val="pt-BR"/>
        </w:rPr>
        <w:t>Sub-redes Públicas e Privadas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20"/>
        <w:rPr/>
      </w:pPr>
      <w:r>
        <w:rPr>
          <w:rStyle w:val="Strong"/>
          <w:lang w:val="pt-BR"/>
        </w:rPr>
        <w:t>Internet Gateway e NAT Gateway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20"/>
        <w:rPr/>
      </w:pPr>
      <w:r>
        <w:rPr>
          <w:rStyle w:val="Strong"/>
          <w:lang w:val="pt-BR"/>
        </w:rPr>
        <w:t>Security Groups e NACLs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20"/>
        <w:rPr/>
      </w:pPr>
      <w:r>
        <w:rPr>
          <w:rStyle w:val="Strong"/>
          <w:lang w:val="pt-BR"/>
        </w:rPr>
        <w:t>Tabelas de Roteamento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20"/>
        <w:rPr/>
      </w:pPr>
      <w:r>
        <w:rPr>
          <w:rStyle w:val="Strong"/>
          <w:lang w:val="pt-BR"/>
        </w:rPr>
        <w:t>Amazon EC2</w:t>
      </w:r>
      <w:r>
        <w:rPr>
          <w:lang w:val="pt-BR"/>
        </w:rPr>
        <w:t xml:space="preserve"> para o servidor Web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20"/>
        <w:rPr/>
      </w:pPr>
      <w:r>
        <w:rPr>
          <w:rStyle w:val="Strong"/>
          <w:lang w:val="pt-BR"/>
        </w:rPr>
        <w:t>Amazon RDS ou EC2</w:t>
      </w:r>
      <w:r>
        <w:rPr>
          <w:lang w:val="pt-BR"/>
        </w:rPr>
        <w:t xml:space="preserve"> para o banco de dados (dependendo da escolha final da arquitetura)</w:t>
      </w:r>
    </w:p>
    <w:p>
      <w:pPr>
        <w:pStyle w:val="Heading1"/>
        <w:rPr>
          <w:lang w:val="pt-BR"/>
        </w:rPr>
      </w:pPr>
      <w:r>
        <w:rPr>
          <w:lang w:val="pt-BR"/>
        </w:rPr>
        <w:t>7. Diagrama da Arquitetura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✅ </w:t>
      </w:r>
      <w:r>
        <w:rPr>
          <w:lang w:val="pt-BR"/>
        </w:rPr>
        <w:t>Sub-redes distintas para Web e Banco de Dados</w:t>
        <w:br/>
        <w:t>✅ Cada sub-rede com 256 IPs (/24)</w:t>
        <w:br/>
        <w:t>✅ Web acessível ao público</w:t>
        <w:br/>
        <w:t>✅ Banco com acesso à internet via NAT Gateway</w:t>
        <w:br/>
        <w:t>✅ Alta disponibilidade com uso de múltiplas AZs</w:t>
        <w:br/>
        <w:t xml:space="preserve">✅ Camadas de firewall personalizadas (SG + NACL) </w:t>
      </w:r>
    </w:p>
    <w:p>
      <w:pPr>
        <w:pStyle w:val="Heading1"/>
        <w:rPr>
          <w:lang w:val="pt-BR"/>
        </w:rPr>
      </w:pPr>
      <w:r>
        <w:rPr>
          <w:lang w:val="pt-BR"/>
        </w:rPr>
        <w:t>8. Conformidade com os Requisitos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✔️ </w:t>
      </w:r>
      <w:r>
        <w:rPr>
          <w:lang w:val="pt-BR"/>
        </w:rPr>
        <w:t>Servidor web e banco em sub-redes separadas</w:t>
        <w:br/>
        <w:t>✔️ Rede começa em 10.0.0.0 com sub-redes de 256 IPs</w:t>
        <w:br/>
        <w:t>✔️ Acesso público ao servidor web</w:t>
        <w:br/>
        <w:t>✔️ Banco com acesso à Internet via NAT Gateway</w:t>
        <w:br/>
        <w:t>✔️ Alta disponibilidade e firewalls personalizados</w:t>
      </w:r>
    </w:p>
    <w:p>
      <w:pPr>
        <w:pStyle w:val="Heading1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-38100</wp:posOffset>
            </wp:positionH>
            <wp:positionV relativeFrom="paragraph">
              <wp:posOffset>60325</wp:posOffset>
            </wp:positionV>
            <wp:extent cx="3138170" cy="470789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470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Heading1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Heading1"/>
        <w:rPr>
          <w:lang w:val="pt-BR"/>
        </w:rPr>
      </w:pPr>
      <w:r>
        <w:rPr>
          <w:lang w:val="pt-BR"/>
        </w:rPr>
        <w:t>9. Observações Finais</w:t>
      </w:r>
    </w:p>
    <w:p>
      <w:pPr>
        <w:pStyle w:val="BodyText"/>
        <w:rPr/>
      </w:pPr>
      <w:r>
        <w:rPr>
          <w:lang w:val="pt-BR"/>
        </w:rPr>
        <w:t xml:space="preserve">🔐 </w:t>
      </w:r>
      <w:r>
        <w:rPr>
          <w:rStyle w:val="Strong"/>
          <w:lang w:val="pt-BR"/>
        </w:rPr>
        <w:t>Segurança</w:t>
      </w:r>
      <w:r>
        <w:rPr>
          <w:lang w:val="pt-BR"/>
        </w:rPr>
        <w:t xml:space="preserve"> foi prioridade: separação de camadas, uso de NAT e camadas de firewall.</w:t>
      </w:r>
    </w:p>
    <w:p>
      <w:pPr>
        <w:pStyle w:val="BodyText"/>
        <w:rPr/>
      </w:pPr>
      <w:r>
        <w:rPr>
          <w:lang w:val="pt-BR"/>
        </w:rPr>
        <w:t xml:space="preserve">📈 </w:t>
      </w:r>
      <w:r>
        <w:rPr>
          <w:rStyle w:val="Strong"/>
          <w:lang w:val="pt-BR"/>
        </w:rPr>
        <w:t>Escalabilidade:</w:t>
      </w:r>
      <w:r>
        <w:rPr>
          <w:lang w:val="pt-BR"/>
        </w:rPr>
        <w:t xml:space="preserve"> A VPC foi criada com um bloco grande (/16) para permitir expansão futura.</w:t>
      </w:r>
    </w:p>
    <w:p>
      <w:pPr>
        <w:pStyle w:val="BodyText"/>
        <w:rPr/>
      </w:pPr>
      <w:r>
        <w:rPr>
          <w:lang w:val="pt-BR"/>
        </w:rPr>
        <w:t xml:space="preserve">⚙️ </w:t>
      </w:r>
      <w:r>
        <w:rPr>
          <w:rStyle w:val="Strong"/>
          <w:lang w:val="pt-BR"/>
        </w:rPr>
        <w:t>Manutenção simplificada:</w:t>
      </w:r>
      <w:r>
        <w:rPr>
          <w:lang w:val="pt-BR"/>
        </w:rPr>
        <w:t xml:space="preserve"> Uso de recursos gerenciados (NAT Gateway, RDS) quando possível.</w:t>
      </w:r>
    </w:p>
    <w:p>
      <w:pPr>
        <w:pStyle w:val="BodyText"/>
        <w:rPr/>
      </w:pPr>
      <w:r>
        <w:rPr>
          <w:lang w:val="pt-BR"/>
        </w:rPr>
        <w:t xml:space="preserve">🌍 </w:t>
      </w:r>
      <w:r>
        <w:rPr>
          <w:rStyle w:val="Strong"/>
          <w:lang w:val="pt-BR"/>
        </w:rPr>
        <w:t>Alta disponibilidade e redundância:</w:t>
      </w:r>
      <w:r>
        <w:rPr>
          <w:lang w:val="pt-BR"/>
        </w:rPr>
        <w:t xml:space="preserve"> Uso de AZs distintas e estrutura pronta para balanceamento de carga (caso necessário no futuro).</w:t>
      </w:r>
    </w:p>
    <w:p>
      <w:pPr>
        <w:pStyle w:val="Normal"/>
        <w:spacing w:before="0" w:after="200"/>
        <w:rPr>
          <w:lang w:val="pt-BR"/>
        </w:rPr>
      </w:pPr>
      <w:r>
        <w:rPr>
          <w:lang w:val="pt-BR"/>
        </w:rPr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auto"/>
    <w:pitch w:val="variable"/>
  </w:font>
  <w:font w:name="Liberation Mono">
    <w:altName w:val="Courier New"/>
    <w:charset w:val="00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Cdigo-fonte">
    <w:name w:val="Código-fonte"/>
    <w:qFormat/>
    <w:rPr>
      <w:rFonts w:ascii="Liberation Mono" w:hAnsi="Liberation Mono" w:eastAsia="Liberation Mono" w:cs="Liberation Mono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LibreOffice/24.8.5.2$Windows_X86_64 LibreOffice_project/fddf2685c70b461e7832239a0162a77216259f22</Application>
  <AppVersion>15.0000</AppVersion>
  <Pages>4</Pages>
  <Words>617</Words>
  <Characters>3226</Characters>
  <CharactersWithSpaces>3752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pt-BR</dc:language>
  <cp:lastModifiedBy/>
  <dcterms:modified xsi:type="dcterms:W3CDTF">2025-04-15T15:34:10Z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