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Title: Water, nutrients, or both? Effects of multiple belowground resources on early seedling growth and physiology in eight species of tropical dry forest trees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Erick Calderón-Morales, Leland K.Werden, Chris M. Smith-Martin, Bonnie G. Waring, Roberto Cordero-Solorzano and Jennifer S. Powers</w:t>
      </w:r>
      <w:r>
        <w:rPr>
          <w:rFonts w:ascii="Times New Roman" w:hAnsi="Times New Roman" w:cs="Times New Roman" w:eastAsia="Times New Roman"/>
          <w:color w:val="000000"/>
          <w:sz w:val="24"/>
        </w:rPr>
        <w:t xml:space="preserve">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u w:val="single"/>
        </w:rPr>
        <w:t xml:space="preserve">Introduction </w:t>
      </w:r>
      <w:r/>
    </w:p>
    <w:p>
      <w:pPr>
        <w:ind w:left="0" w:right="0" w:firstLine="72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Plants require multiple belowground resources including water and a variety of nutrients. Differences in both how plants acquire these resources and how they respond to variability in the availability of soil-borne resources contribute to niche differentia</w:t>
      </w:r>
      <w:r>
        <w:rPr>
          <w:rFonts w:ascii="Times New Roman" w:hAnsi="Times New Roman" w:cs="Times New Roman" w:eastAsia="Times New Roman"/>
          <w:color w:val="000000"/>
          <w:sz w:val="24"/>
        </w:rPr>
        <w:t xml:space="preserve">tion and the maintenance of diversity (Levine and HilleRisLambers 2009, Holste et al. 2011).  Because the seedling stage is a vulnerable time in trees’ life histories during which populations suffer elevated mortality (Ribbens et al. 1994), many studies ha</w:t>
      </w:r>
      <w:r>
        <w:rPr>
          <w:rFonts w:ascii="Times New Roman" w:hAnsi="Times New Roman" w:cs="Times New Roman" w:eastAsia="Times New Roman"/>
          <w:color w:val="000000"/>
          <w:sz w:val="24"/>
        </w:rPr>
        <w:t xml:space="preserve">ve evaluated how water and nutrients affect seedling growth rates (Yavitt 199?,Baraloto et al. 2006), allocation to roots versus shoots (Burslem et al. 1996, Canham et al. 1996), physiological process rates (Graciano et al. 2005), and relationships with sy</w:t>
      </w:r>
      <w:r>
        <w:rPr>
          <w:rFonts w:ascii="Times New Roman" w:hAnsi="Times New Roman" w:cs="Times New Roman" w:eastAsia="Times New Roman"/>
          <w:color w:val="000000"/>
          <w:sz w:val="24"/>
        </w:rPr>
        <w:t xml:space="preserve">mbionts such as mycorrhizae and nitrogen fixing bacteria in Fabaceae (Birhane et al. 2015).  These studies typically find that responses to multiple belowground resources are often species-specific and also may depend upon whether above- or belowground org</w:t>
      </w:r>
      <w:r>
        <w:rPr>
          <w:rFonts w:ascii="Times New Roman" w:hAnsi="Times New Roman" w:cs="Times New Roman" w:eastAsia="Times New Roman"/>
          <w:color w:val="000000"/>
          <w:sz w:val="24"/>
        </w:rPr>
        <w:t xml:space="preserve">ans are considered (Freschet et al. 2013).  Thus, we still lack a general framework for understanding the joint effects of belowground resources on seedling performance, particularly in environments with large seasonal or temporal variability in soil moist</w:t>
      </w:r>
      <w:r>
        <w:rPr>
          <w:rFonts w:ascii="Times New Roman" w:hAnsi="Times New Roman" w:cs="Times New Roman" w:eastAsia="Times New Roman"/>
          <w:color w:val="000000"/>
          <w:sz w:val="24"/>
        </w:rPr>
        <w:t xml:space="preserve">ure and nutrient availability (Lodge et al. 1994), such as seasonally dry tropical forests. </w:t>
      </w:r>
      <w:r/>
    </w:p>
    <w:p>
      <w:pPr>
        <w:ind w:left="0" w:right="0" w:firstLine="0"/>
        <w:spacing w:after="0" w:before="0"/>
        <w:pBdr>
          <w:left w:val="none" w:color="000000" w:sz="4" w:space="0"/>
          <w:top w:val="none" w:color="000000" w:sz="4" w:space="0"/>
          <w:right w:val="none" w:color="000000" w:sz="4" w:space="0"/>
          <w:bottom w:val="none" w:color="000000" w:sz="4" w:space="0"/>
        </w:pBdr>
      </w:pPr>
      <w:r>
        <w:br/>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Paragraph 2 introduce TDF..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Seedling growth in TDF is thought to be strongly constrained by water availability and is typically restricted to the wet season (Gerhardt 1993, Maza-Villalobos et al. 2013).  However, studies have also shown that TDF seedlings respond positively to increa</w:t>
      </w:r>
      <w:r>
        <w:rPr>
          <w:rFonts w:ascii="Times New Roman" w:hAnsi="Times New Roman" w:cs="Times New Roman" w:eastAsia="Times New Roman"/>
          <w:color w:val="000000"/>
          <w:sz w:val="24"/>
        </w:rPr>
        <w:t xml:space="preserve">sed nutrient availability (Huante et al. 1995a, Huante et al. 1995b, Ceccon et al. 2003).  Surprisingly, few studies have investigated how nutrients and soil water jointly affect tropical dry forest tree seedlings.  There are a number of possible responses</w:t>
      </w:r>
      <w:r>
        <w:rPr>
          <w:rFonts w:ascii="Times New Roman" w:hAnsi="Times New Roman" w:cs="Times New Roman" w:eastAsia="Times New Roman"/>
          <w:color w:val="000000"/>
          <w:sz w:val="24"/>
        </w:rPr>
        <w:t xml:space="preserve"> to increased water and nutrients, from </w:t>
      </w:r>
      <w:r>
        <w:rPr>
          <w:rFonts w:ascii="Times New Roman" w:hAnsi="Times New Roman" w:cs="Times New Roman" w:eastAsia="Times New Roman"/>
          <w:color w:val="222222"/>
          <w:sz w:val="24"/>
        </w:rPr>
        <w:t xml:space="preserve">additive, synergistic, antagonistic, or no response.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How does drought/nutrients affect relationships with symbionts, i.e. N fixing bacteria or mycorrhizae?Paragraph 3 Goals and Specific Objectives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Here we examine the effects of water and nutrient addition on early growth and above- and belowground traits  of eight species from the tropical dry forest of Costa Rica. We used three species cable of fixing nitrogens and five non-ixers species from diffe</w:t>
      </w:r>
      <w:r>
        <w:rPr>
          <w:rFonts w:ascii="Times New Roman" w:hAnsi="Times New Roman" w:cs="Times New Roman" w:eastAsia="Times New Roman"/>
          <w:color w:val="000000"/>
          <w:sz w:val="24"/>
        </w:rPr>
        <w:t xml:space="preserve">rent plant families. We hypothesized that water and/or nutrient addition will cause plants to shift their traits in order to uptake the new resources available, which will lead to a biomass gain. (ref)</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We used a diverse sample of tropical dry forest tree species from different functional groups in a seedling pot experiment to answer the following questions: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(Q1) What is the relative influence of water vs. nutrient availability on tropical dry forest seedling growth and biomass allocation.</w:t>
      </w:r>
      <w:r/>
    </w:p>
    <w:p>
      <w:pPr>
        <w:ind w:left="0" w:right="0" w:firstLine="0"/>
        <w:spacing w:after="360" w:before="36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(Q2) How does increased nutrient and/or water availability influence seedling water- and nutrient-use traits and relationships with symbionts?</w:t>
      </w:r>
      <w:r/>
    </w:p>
    <w:p>
      <w:pPr>
        <w:ind w:left="0" w:right="0" w:firstLine="0"/>
        <w:spacing w:after="360" w:before="36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(Q3) Are traits coordinated along the “fast to slow” continuum and to what extent does this correlate with growth rates among species?</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Based on previous studies (Smith et al, 2017), we expected nitrogen fixing legumes to have higher growth rates and respond differently to treatments compared to non-fixing species.</w:t>
      </w:r>
      <w:r/>
    </w:p>
    <w:p>
      <w:pPr>
        <w:ind w:left="0" w:right="0" w:firstLine="0"/>
        <w:spacing w:after="0" w:before="0"/>
        <w:pBdr>
          <w:left w:val="none" w:color="000000" w:sz="4" w:space="0"/>
          <w:top w:val="none" w:color="000000" w:sz="4" w:space="0"/>
          <w:right w:val="none" w:color="000000" w:sz="4" w:space="0"/>
          <w:bottom w:val="none" w:color="000000" w:sz="4" w:space="0"/>
        </w:pBdr>
      </w:pPr>
      <w:r>
        <w:br/>
        <w:br/>
        <w:br/>
        <w:br/>
        <w:br/>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i/>
          <w:color w:val="000000"/>
          <w:sz w:val="24"/>
          <w:u w:val="single"/>
        </w:rPr>
        <w:t xml:space="preserve">Methods</w:t>
      </w:r>
      <w:r>
        <w:rPr>
          <w:rFonts w:ascii="Times New Roman" w:hAnsi="Times New Roman" w:cs="Times New Roman" w:eastAsia="Times New Roman"/>
          <w:b/>
          <w:i/>
          <w:color w:val="000000"/>
          <w:sz w:val="24"/>
        </w:rPr>
        <w:t xml:space="preserve">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Study site and species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Our experiment took place between June to November, 2015, in a shade house located at the Estacion Experimental Forestal Horizontes, Área de Conservación Guanacaste, Costa Rica (10°420 46″ N, 85°350 44″). Rainfall is highly seasonal, with a dry period of 5</w:t>
      </w:r>
      <w:r>
        <w:rPr>
          <w:rFonts w:ascii="Times New Roman" w:hAnsi="Times New Roman" w:cs="Times New Roman" w:eastAsia="Times New Roman"/>
          <w:color w:val="000000"/>
          <w:sz w:val="24"/>
        </w:rPr>
        <w:t xml:space="preserve">-6 months. Mean annual precipitation at nearby Sector Santa Rosa is 1729 mm and mean temperature is 25 C (Becknell and Powers 2014), although Horizontes likely has lower rainfall than Santa Rosa (Gutiérrez-Leitón 2013). Our study occurred during one of the</w:t>
      </w:r>
      <w:r>
        <w:rPr>
          <w:rFonts w:ascii="Times New Roman" w:hAnsi="Times New Roman" w:cs="Times New Roman" w:eastAsia="Times New Roman"/>
          <w:color w:val="000000"/>
          <w:sz w:val="24"/>
        </w:rPr>
        <w:t xml:space="preserve"> driest years on record (Cooley et al. 2019), wherein rainy season rainfall was </w:t>
      </w:r>
      <w:r>
        <w:rPr>
          <w:rFonts w:ascii="Times New Roman" w:hAnsi="Times New Roman" w:cs="Times New Roman" w:eastAsia="Times New Roman"/>
          <w:color w:val="FF0000"/>
          <w:sz w:val="24"/>
        </w:rPr>
        <w:t xml:space="preserve">less than X </w:t>
      </w:r>
      <w:r>
        <w:rPr>
          <w:rFonts w:ascii="Times New Roman" w:hAnsi="Times New Roman" w:cs="Times New Roman" w:eastAsia="Times New Roman"/>
          <w:color w:val="000000"/>
          <w:sz w:val="24"/>
        </w:rPr>
        <w:t xml:space="preserve">of average due to the very strong El Niño Southern Oscillation (ENSO) event of 2015; thus we considered ambient rainfall as a drought.  We used 8 species that belong to 5 different families. The Fabaceae included </w:t>
      </w:r>
      <w:r>
        <w:rPr>
          <w:rFonts w:ascii="Times New Roman" w:hAnsi="Times New Roman" w:cs="Times New Roman" w:eastAsia="Times New Roman"/>
          <w:i/>
          <w:color w:val="000000"/>
          <w:sz w:val="24"/>
        </w:rPr>
        <w:t xml:space="preserve">Enterolobium cyclocarpum, Gliricidia sepium,, Dalbergia retusa,</w:t>
      </w:r>
      <w:r>
        <w:rPr>
          <w:rFonts w:ascii="Times New Roman" w:hAnsi="Times New Roman" w:cs="Times New Roman" w:eastAsia="Times New Roman"/>
          <w:color w:val="000000"/>
          <w:sz w:val="24"/>
        </w:rPr>
        <w:t xml:space="preserve"> all of which fix nitrogen, as well as the non-fixer </w:t>
      </w:r>
      <w:r>
        <w:rPr>
          <w:rFonts w:ascii="Times New Roman" w:hAnsi="Times New Roman" w:cs="Times New Roman" w:eastAsia="Times New Roman"/>
          <w:i/>
          <w:color w:val="000000"/>
          <w:sz w:val="24"/>
        </w:rPr>
        <w:t xml:space="preserve">Hymenea courbaril.  </w:t>
      </w:r>
      <w:r>
        <w:rPr>
          <w:rFonts w:ascii="Times New Roman" w:hAnsi="Times New Roman" w:cs="Times New Roman" w:eastAsia="Times New Roman"/>
          <w:color w:val="000000"/>
          <w:sz w:val="24"/>
        </w:rPr>
        <w:t xml:space="preserve">The other families and species we studied included Meliaceea-</w:t>
      </w:r>
      <w:r>
        <w:rPr>
          <w:rFonts w:ascii="Times New Roman" w:hAnsi="Times New Roman" w:cs="Times New Roman" w:eastAsia="Times New Roman"/>
          <w:i/>
          <w:color w:val="000000"/>
          <w:sz w:val="24"/>
        </w:rPr>
        <w:t xml:space="preserve">Swietenia macrophylla, </w:t>
      </w:r>
      <w:r>
        <w:rPr>
          <w:rFonts w:ascii="Times New Roman" w:hAnsi="Times New Roman" w:cs="Times New Roman" w:eastAsia="Times New Roman"/>
          <w:color w:val="000000"/>
          <w:sz w:val="24"/>
        </w:rPr>
        <w:t xml:space="preserve">Simaroubaceae</w:t>
      </w:r>
      <w:r>
        <w:rPr>
          <w:rFonts w:ascii="Times New Roman" w:hAnsi="Times New Roman" w:cs="Times New Roman" w:eastAsia="Times New Roman"/>
          <w:i/>
          <w:color w:val="000000"/>
          <w:sz w:val="24"/>
        </w:rPr>
        <w:t xml:space="preserve"> -Simarouba glauca, </w:t>
      </w:r>
      <w:r>
        <w:rPr>
          <w:rFonts w:ascii="Times New Roman" w:hAnsi="Times New Roman" w:cs="Times New Roman" w:eastAsia="Times New Roman"/>
          <w:color w:val="000000"/>
          <w:sz w:val="24"/>
        </w:rPr>
        <w:t xml:space="preserve">Bignoniaceae-</w:t>
      </w:r>
      <w:r>
        <w:rPr>
          <w:rFonts w:ascii="Times New Roman" w:hAnsi="Times New Roman" w:cs="Times New Roman" w:eastAsia="Times New Roman"/>
          <w:i/>
          <w:color w:val="000000"/>
          <w:sz w:val="24"/>
        </w:rPr>
        <w:t xml:space="preserve">Tabebuia ochraceae </w:t>
      </w:r>
      <w:r>
        <w:rPr>
          <w:rFonts w:ascii="Times New Roman" w:hAnsi="Times New Roman" w:cs="Times New Roman" w:eastAsia="Times New Roman"/>
          <w:color w:val="000000"/>
          <w:sz w:val="24"/>
        </w:rPr>
        <w:t xml:space="preserve">and Bombaceae-</w:t>
      </w:r>
      <w:r>
        <w:rPr>
          <w:rFonts w:ascii="Times New Roman" w:hAnsi="Times New Roman" w:cs="Times New Roman" w:eastAsia="Times New Roman"/>
          <w:i/>
          <w:color w:val="000000"/>
          <w:sz w:val="24"/>
        </w:rPr>
        <w:t xml:space="preserve">Pachira quinata</w:t>
      </w:r>
      <w:r>
        <w:rPr>
          <w:rFonts w:ascii="Times New Roman" w:hAnsi="Times New Roman" w:cs="Times New Roman" w:eastAsia="Times New Roman"/>
          <w:color w:val="000000"/>
          <w:sz w:val="24"/>
        </w:rPr>
        <w:t xml:space="preserve"> (Table 1). Collectively, these species represent the full range of functional trait variation that defines different tropical dry forest plant functional types in ecosystem simulation models (Xu et al 2016), including nitrogen (N) fixing and non-N fixing </w:t>
      </w:r>
      <w:r>
        <w:rPr>
          <w:rFonts w:ascii="Times New Roman" w:hAnsi="Times New Roman" w:cs="Times New Roman" w:eastAsia="Times New Roman"/>
          <w:color w:val="000000"/>
          <w:sz w:val="24"/>
        </w:rPr>
        <w:t xml:space="preserve">legume species, and evergreen and deciduous leaf phenologies.</w:t>
      </w:r>
      <w:r>
        <w:rPr>
          <w:rFonts w:ascii="Times New Roman" w:hAnsi="Times New Roman" w:cs="Times New Roman" w:eastAsia="Times New Roman"/>
          <w:color w:val="222222"/>
          <w:sz w:val="24"/>
        </w:rPr>
        <w:t xml:space="preserve">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Seed germination, growing conditions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The shade house was covered with a 50% shade cloth. All  seeds were sown directly into pots containing a soil mixture of 2 parts of locally collected soil and 1 part sand. To improve germination rates, we applied two different treatments to the seeds. </w:t>
      </w:r>
      <w:r>
        <w:rPr>
          <w:rFonts w:ascii="Times New Roman" w:hAnsi="Times New Roman" w:cs="Times New Roman" w:eastAsia="Times New Roman"/>
          <w:i/>
          <w:color w:val="000000"/>
          <w:sz w:val="24"/>
        </w:rPr>
        <w:t xml:space="preserve">Enterolobium</w:t>
      </w:r>
      <w:r>
        <w:rPr>
          <w:rFonts w:ascii="Times New Roman" w:hAnsi="Times New Roman" w:cs="Times New Roman" w:eastAsia="Times New Roman"/>
          <w:color w:val="000000"/>
          <w:sz w:val="24"/>
        </w:rPr>
        <w:t xml:space="preserve"> seeds were subject to water baths alternating from boiling to cold water for 30 seconds for breaking the seed coat. All other species were soaked in water overnight.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Seeds were sown directly into pots in early June, 2015.  Following germination and establishment, pots were thinned to one seedling per pot.  All plants received supplemental water when needed during this period.  After ~12 weeks, an initial harvest of fou</w:t>
      </w:r>
      <w:r>
        <w:rPr>
          <w:rFonts w:ascii="Times New Roman" w:hAnsi="Times New Roman" w:cs="Times New Roman" w:eastAsia="Times New Roman"/>
          <w:color w:val="000000"/>
          <w:sz w:val="24"/>
        </w:rPr>
        <w:t xml:space="preserve">r individuals per species was made (see Methods below). Watering and/or fertilizer treatments on the remaining seedlings were started two days later, and were imposed for 12 weeks (N = 4 plants per species per treatment) prior to harvest.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Watering and fertilization treatments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At 12 weeks, plants were randomly assigned to one of four treatments: control (no additions), nutrient addition, water addition, water + nutrient addition.  Water additions consisted of 500 mL added every two weeks.  The nutrient addition treatment consist</w:t>
      </w:r>
      <w:r>
        <w:rPr>
          <w:rFonts w:ascii="Times New Roman" w:hAnsi="Times New Roman" w:cs="Times New Roman" w:eastAsia="Times New Roman"/>
          <w:color w:val="000000"/>
          <w:sz w:val="24"/>
        </w:rPr>
        <w:t xml:space="preserve">ed of a commercial fertilizer containing NPK and complete micronutrients.  Nutrient addition rates were corresponded to 150 kg N ha</w:t>
      </w:r>
      <w:r>
        <w:rPr>
          <w:rFonts w:ascii="Times New Roman" w:hAnsi="Times New Roman" w:cs="Times New Roman" w:eastAsia="Times New Roman"/>
          <w:color w:val="000000"/>
          <w:vertAlign w:val="superscript"/>
        </w:rPr>
        <w:t xml:space="preserve">-1</w:t>
      </w:r>
      <w:r>
        <w:rPr>
          <w:rFonts w:ascii="Times New Roman" w:hAnsi="Times New Roman" w:cs="Times New Roman" w:eastAsia="Times New Roman"/>
          <w:color w:val="000000"/>
          <w:sz w:val="24"/>
        </w:rPr>
        <w:t xml:space="preserve"> yr</w:t>
      </w:r>
      <w:r>
        <w:rPr>
          <w:rFonts w:ascii="Times New Roman" w:hAnsi="Times New Roman" w:cs="Times New Roman" w:eastAsia="Times New Roman"/>
          <w:color w:val="000000"/>
          <w:vertAlign w:val="superscript"/>
        </w:rPr>
        <w:t xml:space="preserve">-1</w:t>
      </w:r>
      <w:r>
        <w:rPr>
          <w:rFonts w:ascii="Times New Roman" w:hAnsi="Times New Roman" w:cs="Times New Roman" w:eastAsia="Times New Roman"/>
          <w:color w:val="000000"/>
          <w:sz w:val="24"/>
        </w:rPr>
        <w:t xml:space="preserve">, prorated to the duration of the experiment (3 months). Fertilizer was dissolved in water and added to the surface soil in the pots every two weeks in 20 mL doses with a syringe. Soil moisture readings were taken in all pots (0-5 cm soil depth) immediatel</w:t>
      </w:r>
      <w:r>
        <w:rPr>
          <w:rFonts w:ascii="Times New Roman" w:hAnsi="Times New Roman" w:cs="Times New Roman" w:eastAsia="Times New Roman"/>
          <w:color w:val="000000"/>
          <w:sz w:val="24"/>
        </w:rPr>
        <w:t xml:space="preserve">y prior to watering treatments and then ~1 day following watering, and these measurements were repeated six equally spaced times during the growing season after the treatments began. This allowed us to quantify the magnitude of the watering effect on soil </w:t>
      </w:r>
      <w:r>
        <w:rPr>
          <w:rFonts w:ascii="Times New Roman" w:hAnsi="Times New Roman" w:cs="Times New Roman" w:eastAsia="Times New Roman"/>
          <w:color w:val="000000"/>
          <w:sz w:val="24"/>
        </w:rPr>
        <w:t xml:space="preserve">moisture, and also allowed us to know whether elevated soil moisture in the watered pots persisted beyond two weeks. These measurements were made with a SM150 Soil Moisture Sensor (Delta-T Devices, Ltd, Cambridge, England).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Functional trait  measurements</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We measured morphological and physiological traits related to carbon, nutrient, water acquisition and use for each individual seedling (</w:t>
      </w:r>
      <w:r>
        <w:rPr>
          <w:rFonts w:ascii="Times New Roman" w:hAnsi="Times New Roman" w:cs="Times New Roman" w:eastAsia="Times New Roman"/>
          <w:color w:val="FF0000"/>
          <w:sz w:val="24"/>
        </w:rPr>
        <w:t xml:space="preserve">N = ZZ at the end of the experiment</w:t>
      </w:r>
      <w:r>
        <w:rPr>
          <w:rFonts w:ascii="Times New Roman" w:hAnsi="Times New Roman" w:cs="Times New Roman" w:eastAsia="Times New Roman"/>
          <w:color w:val="000000"/>
          <w:sz w:val="24"/>
        </w:rPr>
        <w:t xml:space="preserve">). Prior harvesting the plants at the end of the experiment, we measured maximum photosynthetic capacity at 1200 PAR</w:t>
      </w:r>
      <w:r>
        <w:rPr>
          <w:rFonts w:ascii="Times New Roman" w:hAnsi="Times New Roman" w:cs="Times New Roman" w:eastAsia="Times New Roman"/>
          <w:color w:val="FF0000"/>
          <w:sz w:val="24"/>
        </w:rPr>
        <w:t xml:space="preserve"> </w:t>
      </w:r>
      <w:r>
        <w:rPr>
          <w:rFonts w:ascii="Times New Roman" w:hAnsi="Times New Roman" w:cs="Times New Roman" w:eastAsia="Times New Roman"/>
          <w:color w:val="000000"/>
          <w:sz w:val="24"/>
        </w:rPr>
        <w:t xml:space="preserve">(Amax; μmol CO2 m−2 s−), stomatal conductance (gs; mmol m−2 s−1) and instantaneous water use efficiency (WUE; μmol CO2 mmol H2O−1) with a LCi portable photosynthesis system (ADC Bioscientific Ltd. Hoddesdon, UK).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For specific leaf area (SLA), leaf area-based nitrogen concentration (Narea) and leaf mass-based nitrogen concentration (Nmass) one leaf per plant was scanned and dried at ~60 °C for 48 h and weighed. SLA was calculated by dividing leaf area by leaf weight</w:t>
      </w:r>
      <w:r>
        <w:rPr>
          <w:rFonts w:ascii="Times New Roman" w:hAnsi="Times New Roman" w:cs="Times New Roman" w:eastAsia="Times New Roman"/>
          <w:color w:val="000000"/>
          <w:sz w:val="24"/>
        </w:rPr>
        <w:t xml:space="preserve">. After measuring SLA, this same leaf was ground to fine powder and wrapped into tin capsules to quantify leaf nitrogen concentration and the stable isotope of δ13C. δ13C was measured on a PDZ Europa ANCA-GSL elemental analyzer interfaced to a PDZ Europa 2</w:t>
      </w:r>
      <w:r>
        <w:rPr>
          <w:rFonts w:ascii="Times New Roman" w:hAnsi="Times New Roman" w:cs="Times New Roman" w:eastAsia="Times New Roman"/>
          <w:color w:val="000000"/>
          <w:sz w:val="24"/>
        </w:rPr>
        <w:t xml:space="preserve">0–20 isotope ratio mass spectrometer (Sercon, Cheshire, UK) at the Stable Isotope Facility at the University of California, Davis. We then calculated Nmass and Narea by dividing leaf nitrogen concentration by its dry weight and leaf area respectively.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All these leaf traits were measured on the untreated individuals harvested at the beginning of the experiment and all individuals in the final harvest, while the physiological traits were only measured in the individuals at the end of the experiment prior </w:t>
      </w:r>
      <w:r>
        <w:rPr>
          <w:rFonts w:ascii="Times New Roman" w:hAnsi="Times New Roman" w:cs="Times New Roman" w:eastAsia="Times New Roman"/>
          <w:color w:val="000000"/>
          <w:sz w:val="24"/>
        </w:rPr>
        <w:t xml:space="preserve">to the harvest.</w:t>
      </w:r>
      <w:r>
        <w:rPr>
          <w:rFonts w:ascii="Times New Roman" w:hAnsi="Times New Roman" w:cs="Times New Roman" w:eastAsia="Times New Roman"/>
          <w:color w:val="FF0000"/>
          <w:sz w:val="24"/>
        </w:rPr>
        <w:t xml:space="preserve">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Plant performance: Biomass and Growth.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Every two weeks height was measured on each individual seedling to calculate absolute growth rate in terms of height (AGRh). We calculated AGRh as (Hf) - Hi)/(t2-t1) where Hi is the initial height of the plant and Hf is the final height of the plant.</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After the gas exchange measurements at the end of the experiment, we harvested each individual seedling for biomass quantification. First, we divided the plants into leaves and stems, then the roots were carefully extracted and washed from the pots and for</w:t>
      </w:r>
      <w:r>
        <w:rPr>
          <w:rFonts w:ascii="Times New Roman" w:hAnsi="Times New Roman" w:cs="Times New Roman" w:eastAsia="Times New Roman"/>
          <w:color w:val="000000"/>
          <w:sz w:val="24"/>
        </w:rPr>
        <w:t xml:space="preserve"> </w:t>
      </w:r>
      <w:r>
        <w:rPr>
          <w:rFonts w:ascii="Times New Roman" w:hAnsi="Times New Roman" w:cs="Times New Roman" w:eastAsia="Times New Roman"/>
          <w:i/>
          <w:color w:val="000000"/>
          <w:sz w:val="24"/>
        </w:rPr>
        <w:t xml:space="preserve">Enterolobium cyclocarpum, Gliricidia sepium and Dalbergia retusa </w:t>
      </w:r>
      <w:r>
        <w:rPr>
          <w:rFonts w:ascii="Times New Roman" w:hAnsi="Times New Roman" w:cs="Times New Roman" w:eastAsia="Times New Roman"/>
          <w:color w:val="000000"/>
          <w:sz w:val="24"/>
        </w:rPr>
        <w:t xml:space="preserve">every single nodule was counted. After this, all roots, stems, and leaves were dried at ~ 60° C for 48h then weighed.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Symbiotes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For quantifying mycorrhizal colonization we stainined the roots with alanine blue (Koske &amp; Gemma 1989). Three washed 2-3 cm long roots of each seedling were cleared in 20% KOH for 3-5 d at room temperature (highly pigmented roots received the KOH treatment</w:t>
      </w:r>
      <w:r>
        <w:rPr>
          <w:rFonts w:ascii="Times New Roman" w:hAnsi="Times New Roman" w:cs="Times New Roman" w:eastAsia="Times New Roman"/>
          <w:color w:val="000000"/>
          <w:sz w:val="24"/>
        </w:rPr>
        <w:t xml:space="preserve">, then spent 3 hr at 90 C, and finally were submerged in H</w:t>
      </w:r>
      <w:r>
        <w:rPr>
          <w:rFonts w:ascii="Times New Roman" w:hAnsi="Times New Roman" w:cs="Times New Roman" w:eastAsia="Times New Roman"/>
          <w:color w:val="000000"/>
          <w:vertAlign w:val="subscript"/>
        </w:rPr>
        <w:t xml:space="preserve">2</w:t>
      </w:r>
      <w:r>
        <w:rPr>
          <w:rFonts w:ascii="Times New Roman" w:hAnsi="Times New Roman" w:cs="Times New Roman" w:eastAsia="Times New Roman"/>
          <w:color w:val="000000"/>
          <w:sz w:val="24"/>
        </w:rPr>
        <w:t xml:space="preserve">O</w:t>
      </w:r>
      <w:r>
        <w:rPr>
          <w:rFonts w:ascii="Times New Roman" w:hAnsi="Times New Roman" w:cs="Times New Roman" w:eastAsia="Times New Roman"/>
          <w:color w:val="000000"/>
          <w:vertAlign w:val="subscript"/>
        </w:rPr>
        <w:t xml:space="preserve">2</w:t>
      </w:r>
      <w:r>
        <w:rPr>
          <w:rFonts w:ascii="Times New Roman" w:hAnsi="Times New Roman" w:cs="Times New Roman" w:eastAsia="Times New Roman"/>
          <w:color w:val="000000"/>
          <w:sz w:val="24"/>
        </w:rPr>
        <w:t xml:space="preserve">), rinsed with DI water and acidified in 1% HCl overnight. Roots were stained in 0.05% alanine blue for 3 days and destained in 14:1:1 mixture of lactic acid, glycerol and water for 3 days. Stained root pieces were mounted on slides and root colonization w</w:t>
      </w:r>
      <w:r>
        <w:rPr>
          <w:rFonts w:ascii="Times New Roman" w:hAnsi="Times New Roman" w:cs="Times New Roman" w:eastAsia="Times New Roman"/>
          <w:color w:val="000000"/>
          <w:sz w:val="24"/>
        </w:rPr>
        <w:t xml:space="preserve">as quantified microscopically </w:t>
      </w:r>
      <w:r>
        <w:rPr>
          <w:rFonts w:ascii="Times New Roman" w:hAnsi="Times New Roman" w:cs="Times New Roman" w:eastAsia="Times New Roman"/>
          <w:color w:val="FF0000"/>
          <w:sz w:val="24"/>
        </w:rPr>
        <w:t xml:space="preserve">using the magnified intersection method (McGonigle et al. 1990) on ~100 intersections per root fragment. We calculated colonization as the percentage of root length colonized by AM fungi.</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Data analysis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We hypothesized that N fixing legumes and non-legumes would respond differently to treatments, so we considered N-fixing status as a main effect in our analyses (Powers and Tiffin, 2010; Pineda-Garcia et al 2016, Adams et al 2016).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To address how the addition of water and/or nutrients affected plant biomass and allocation (Q1</w:t>
      </w:r>
      <w:r>
        <w:rPr>
          <w:rFonts w:ascii="Times New Roman" w:hAnsi="Times New Roman" w:cs="Times New Roman" w:eastAsia="Times New Roman"/>
          <w:i/>
          <w:color w:val="000000"/>
          <w:sz w:val="24"/>
        </w:rPr>
        <w:t xml:space="preserve">)</w:t>
      </w:r>
      <w:r>
        <w:rPr>
          <w:rFonts w:ascii="Times New Roman" w:hAnsi="Times New Roman" w:cs="Times New Roman" w:eastAsia="Times New Roman"/>
          <w:color w:val="000000"/>
          <w:sz w:val="24"/>
        </w:rPr>
        <w:t xml:space="preserve">, we built linear mixed models  (gaussian error distribution) with treatment (ambient rain, ambient rain plus water, ambient rain plus nutrients, ambient rain plus water and nutrients) and fixer category (fixer- vs. non-fixer) and their interaction as the </w:t>
      </w:r>
      <w:r>
        <w:rPr>
          <w:rFonts w:ascii="Times New Roman" w:hAnsi="Times New Roman" w:cs="Times New Roman" w:eastAsia="Times New Roman"/>
          <w:color w:val="000000"/>
          <w:sz w:val="24"/>
        </w:rPr>
        <w:t xml:space="preserve">main effects, initial height as a covariate to control for the differences in height between plants, and species as a random effect. We constructed separate models as described above for the following response variables: total biomass, AGRh, root mass frac</w:t>
      </w:r>
      <w:r>
        <w:rPr>
          <w:rFonts w:ascii="Times New Roman" w:hAnsi="Times New Roman" w:cs="Times New Roman" w:eastAsia="Times New Roman"/>
          <w:color w:val="000000"/>
          <w:sz w:val="24"/>
        </w:rPr>
        <w:t xml:space="preserve">tion (RMF), stem mass fraction (SMF), and leaf mass fractions (LMF).  The mass fractions were calculated as the proportion of a given tissue mass relative to total seedling biomass and express the relative allocation of biomass to different functions.</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For all models we performed likelihood ratio F-tests on type-III ANOVAs to detect significant model terms (to account for the unbalanced seedlings within treatments; </w:t>
      </w:r>
      <w:r>
        <w:rPr>
          <w:rFonts w:ascii="Times New Roman" w:hAnsi="Times New Roman" w:cs="Times New Roman" w:eastAsia="Times New Roman"/>
          <w:i/>
          <w:color w:val="000000"/>
          <w:sz w:val="24"/>
        </w:rPr>
        <w:t xml:space="preserve">car</w:t>
      </w:r>
      <w:r>
        <w:rPr>
          <w:rFonts w:ascii="Times New Roman" w:hAnsi="Times New Roman" w:cs="Times New Roman" w:eastAsia="Times New Roman"/>
          <w:color w:val="000000"/>
          <w:sz w:val="24"/>
        </w:rPr>
        <w:t xml:space="preserve"> package), then used Tukey’s HSD post-hoc tests to detect differences between groups using the </w:t>
      </w:r>
      <w:r>
        <w:rPr>
          <w:rFonts w:ascii="Times New Roman" w:hAnsi="Times New Roman" w:cs="Times New Roman" w:eastAsia="Times New Roman"/>
          <w:i/>
          <w:color w:val="000000"/>
          <w:sz w:val="24"/>
        </w:rPr>
        <w:t xml:space="preserve">emmeans</w:t>
      </w:r>
      <w:r>
        <w:rPr>
          <w:rFonts w:ascii="Times New Roman" w:hAnsi="Times New Roman" w:cs="Times New Roman" w:eastAsia="Times New Roman"/>
          <w:color w:val="000000"/>
          <w:sz w:val="24"/>
        </w:rPr>
        <w:t xml:space="preserve"> R package (</w:t>
      </w:r>
      <w:r>
        <w:rPr>
          <w:rFonts w:ascii="Times New Roman" w:hAnsi="Times New Roman" w:cs="Times New Roman" w:eastAsia="Times New Roman"/>
          <w:color w:val="FF0000"/>
          <w:sz w:val="24"/>
        </w:rPr>
        <w:t xml:space="preserve">ref</w:t>
      </w:r>
      <w:r>
        <w:rPr>
          <w:rFonts w:ascii="Times New Roman" w:hAnsi="Times New Roman" w:cs="Times New Roman" w:eastAsia="Times New Roman"/>
          <w:color w:val="000000"/>
          <w:sz w:val="24"/>
        </w:rPr>
        <w:t xml:space="preserve">). For each linear model we also determined marginal (R2m; fixed effects) and conditional (R2c; fixed and random effects) R2 values (performance R package; Nakagawa and Schielzeth 2013).</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Then, to investigate </w:t>
      </w:r>
      <w:r>
        <w:rPr>
          <w:rFonts w:ascii="Times New Roman" w:hAnsi="Times New Roman" w:cs="Times New Roman" w:eastAsia="Times New Roman"/>
          <w:i/>
          <w:color w:val="000000"/>
          <w:sz w:val="24"/>
        </w:rPr>
        <w:t xml:space="preserve">how water and/or nutrient addition influenced seedling functional traits (Q2) </w:t>
      </w:r>
      <w:r>
        <w:rPr>
          <w:rFonts w:ascii="Times New Roman" w:hAnsi="Times New Roman" w:cs="Times New Roman" w:eastAsia="Times New Roman"/>
          <w:color w:val="000000"/>
          <w:sz w:val="24"/>
        </w:rPr>
        <w:t xml:space="preserve">we used the same mixed modeling approach as above, instead using Amax, gs, and instantaneous WUE, SLA, Nmass, Narea, foliar δ</w:t>
      </w:r>
      <w:r>
        <w:rPr>
          <w:rFonts w:ascii="Times New Roman" w:hAnsi="Times New Roman" w:cs="Times New Roman" w:eastAsia="Times New Roman"/>
          <w:color w:val="000000"/>
          <w:vertAlign w:val="superscript"/>
        </w:rPr>
        <w:t xml:space="preserve">13</w:t>
      </w:r>
      <w:r>
        <w:rPr>
          <w:rFonts w:ascii="Times New Roman" w:hAnsi="Times New Roman" w:cs="Times New Roman" w:eastAsia="Times New Roman"/>
          <w:color w:val="000000"/>
          <w:sz w:val="24"/>
        </w:rPr>
        <w:t xml:space="preserve">C (as an integrated metric of water use efficiency), as response variables. This allowed us to interpret any changes in seedling traits after we imposed the watering and fertilization treatments within the context of developmental changes over the growing </w:t>
      </w:r>
      <w:r>
        <w:rPr>
          <w:rFonts w:ascii="Times New Roman" w:hAnsi="Times New Roman" w:cs="Times New Roman" w:eastAsia="Times New Roman"/>
          <w:color w:val="000000"/>
          <w:sz w:val="24"/>
        </w:rPr>
        <w:t xml:space="preserve">season.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Finally, to determine </w:t>
      </w:r>
      <w:r>
        <w:rPr>
          <w:rFonts w:ascii="Times New Roman" w:hAnsi="Times New Roman" w:cs="Times New Roman" w:eastAsia="Times New Roman"/>
          <w:i/>
          <w:color w:val="000000"/>
          <w:sz w:val="24"/>
        </w:rPr>
        <w:t xml:space="preserve">if seedling traits across nutrient and/or water addition treatments were related with differences in seedling growth rates among treatments (Q3)</w:t>
      </w:r>
      <w:r>
        <w:rPr>
          <w:rFonts w:ascii="Times New Roman" w:hAnsi="Times New Roman" w:cs="Times New Roman" w:eastAsia="Times New Roman"/>
          <w:color w:val="000000"/>
          <w:sz w:val="24"/>
        </w:rPr>
        <w:t xml:space="preserve"> we used the same mixed model framework as above, this time adding principal components axes to integrate across all seedling-level functional traits. First, we performed a principal components analysis to reduce data dimensionality and selected the princi</w:t>
      </w:r>
      <w:r>
        <w:rPr>
          <w:rFonts w:ascii="Times New Roman" w:hAnsi="Times New Roman" w:cs="Times New Roman" w:eastAsia="Times New Roman"/>
          <w:color w:val="000000"/>
          <w:sz w:val="24"/>
        </w:rPr>
        <w:t xml:space="preserve">pal component axes that explained most of the variation in the data using scaled and centered functional trait data for each individual seedling (Amax, Nmass, Narea, WUE, gs, SLA, and foliar δ13C). The PCA provides information on trait coordination and int</w:t>
      </w:r>
      <w:r>
        <w:rPr>
          <w:rFonts w:ascii="Times New Roman" w:hAnsi="Times New Roman" w:cs="Times New Roman" w:eastAsia="Times New Roman"/>
          <w:color w:val="000000"/>
          <w:sz w:val="24"/>
        </w:rPr>
        <w:t xml:space="preserve">egration.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Then, we built linear mixed models with two and three-way interactions (gaussian error distribution) and selected the model most appropriate to determine how seedling-level functional traits (PCs), treatment, fixer-category influenced seedling-level absolu</w:t>
      </w:r>
      <w:r>
        <w:rPr>
          <w:rFonts w:ascii="Times New Roman" w:hAnsi="Times New Roman" w:cs="Times New Roman" w:eastAsia="Times New Roman"/>
          <w:color w:val="000000"/>
          <w:sz w:val="24"/>
        </w:rPr>
        <w:t xml:space="preserve">te growth rates.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We used the model:</w:t>
      </w:r>
      <w:r/>
    </w:p>
    <w:p>
      <w:pPr>
        <w:ind w:left="0" w:right="0" w:firstLine="0"/>
        <w:jc w:val="center"/>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     AGRh ~ treatment + PCn +  nfixer +</w:t>
      </w:r>
      <w:r/>
    </w:p>
    <w:p>
      <w:pPr>
        <w:ind w:left="0" w:right="0" w:firstLine="720"/>
        <w:jc w:val="center"/>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  initial seedling height + random effect(species)</w:t>
      </w:r>
      <w:r>
        <w:rPr>
          <w:rFonts w:ascii="Times New Roman" w:hAnsi="Times New Roman" w:cs="Times New Roman" w:eastAsia="Times New Roman"/>
          <w:color w:val="000000"/>
          <w:sz w:val="24"/>
        </w:rPr>
        <w:t xml:space="preserve"> </w:t>
      </w:r>
      <w:r/>
    </w:p>
    <w:p>
      <w:pPr>
        <w:ind w:left="0" w:right="0" w:firstLine="0"/>
        <w:jc w:val="center"/>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rPr>
        <w:t xml:space="preserve">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Last, we assessed the strength of relationships between functional traits (PCs) and seedling absolute growth rate in each treatment in the presence of significant interaction terms (i.e., Treatment * PC1). If the slope of the relationship between PC and a </w:t>
      </w:r>
      <w:r>
        <w:rPr>
          <w:rFonts w:ascii="Times New Roman" w:hAnsi="Times New Roman" w:cs="Times New Roman" w:eastAsia="Times New Roman"/>
          <w:color w:val="000000"/>
          <w:sz w:val="24"/>
        </w:rPr>
        <w:t xml:space="preserve">treatment was steeper we interpreted this as evidence that overall shifts in seedling-level traits within a treatment were correlated with higher seedling growth rates. We visualized these relationships by plotting interaction plots for the full model (</w:t>
      </w:r>
      <w:r>
        <w:rPr>
          <w:rFonts w:ascii="Times New Roman" w:hAnsi="Times New Roman" w:cs="Times New Roman" w:eastAsia="Times New Roman"/>
          <w:i/>
          <w:color w:val="000000"/>
          <w:sz w:val="24"/>
        </w:rPr>
        <w:t xml:space="preserve">emmeans</w:t>
      </w:r>
      <w:r>
        <w:rPr>
          <w:rFonts w:ascii="Times New Roman" w:hAnsi="Times New Roman" w:cs="Times New Roman" w:eastAsia="Times New Roman"/>
          <w:color w:val="000000"/>
          <w:sz w:val="24"/>
        </w:rPr>
        <w:t xml:space="preserve"> R package). Mixed models were carried using the lme4 R package.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Finally for checking that model assumptions were not violated we used the R package performance to assess the normality of the residuals and the homogeneity of variances. All analyses were done using R.  </w:t>
      </w:r>
      <w:r/>
    </w:p>
    <w:p>
      <w:pPr>
        <w:ind w:left="0" w:right="0" w:firstLine="0"/>
        <w:spacing w:after="0" w:before="0"/>
        <w:pBdr>
          <w:left w:val="none" w:color="000000" w:sz="4" w:space="0"/>
          <w:top w:val="none" w:color="000000" w:sz="4" w:space="0"/>
          <w:right w:val="none" w:color="000000" w:sz="4" w:space="0"/>
          <w:bottom w:val="none" w:color="000000" w:sz="4" w:space="0"/>
        </w:pBdr>
      </w:pPr>
      <w:r>
        <w:br/>
        <w:br/>
        <w:br/>
        <w:br/>
        <w:br/>
        <w:br/>
        <w:b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u w:val="single"/>
        </w:rPr>
        <w:t xml:space="preserve">Results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i/>
          <w:color w:val="000000"/>
          <w:sz w:val="24"/>
        </w:rPr>
        <w:t xml:space="preserve">(Q1) What is the relative influence of water vs. nutrient availability on tropical dry forest seedling performance?</w:t>
      </w:r>
      <w:r/>
    </w:p>
    <w:p>
      <w:pPr>
        <w:ind w:left="0" w:right="0" w:firstLine="0"/>
        <w:spacing w:after="36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i/>
          <w:color w:val="000000"/>
          <w:sz w:val="24"/>
        </w:rPr>
        <w:t xml:space="preserve">This needs to be improved, I am listing every single result, sounds boring</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Overall, the effects of the treatments over total plant biomass, aboveground, belowground and AGRh depended on the capacity of the species to fix nitrogen </w:t>
      </w:r>
      <w:r>
        <w:rPr>
          <w:rFonts w:ascii="Times New Roman" w:hAnsi="Times New Roman" w:cs="Times New Roman" w:eastAsia="Times New Roman"/>
          <w:color w:val="FF0000"/>
          <w:sz w:val="24"/>
        </w:rPr>
        <w:t xml:space="preserve">FIGURE XXX</w:t>
      </w:r>
      <w:r>
        <w:rPr>
          <w:rFonts w:ascii="Times New Roman" w:hAnsi="Times New Roman" w:cs="Times New Roman" w:eastAsia="Times New Roman"/>
          <w:color w:val="000000"/>
          <w:sz w:val="24"/>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N-Fixer species increased by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responded significantly to all treatments when compared to the ambient rain treatment. When water was added, total biomass increased 32%, while the addition of nutrients increased 64% and the addition of nutrients and water increased it 67% . In the case o</w:t>
      </w:r>
      <w:r>
        <w:rPr>
          <w:rFonts w:ascii="Times New Roman" w:hAnsi="Times New Roman" w:cs="Times New Roman" w:eastAsia="Times New Roman"/>
          <w:color w:val="000000"/>
          <w:sz w:val="24"/>
        </w:rPr>
        <w:t xml:space="preserve">f non-Nfixer species, total biomass only increased significantly in the plus nutrients treatment by 39% and 41% in the plus nutrients and water treatment.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Following the same trend as total biomass, the effect of the treatment on the aboveground biomass depended on whether  the species were N-fixers or non-Nfixers</w:t>
      </w:r>
      <w:r>
        <w:rPr>
          <w:rFonts w:ascii="Times New Roman" w:hAnsi="Times New Roman" w:cs="Times New Roman" w:eastAsia="Times New Roman"/>
          <w:color w:val="000000"/>
          <w:sz w:val="24"/>
          <w:highlight w:val="white"/>
        </w:rPr>
        <w:t xml:space="preserve"> (F = 5.94, p-values = 0.0008)</w:t>
      </w:r>
      <w:r>
        <w:rPr>
          <w:rFonts w:ascii="Times New Roman" w:hAnsi="Times New Roman" w:cs="Times New Roman" w:eastAsia="Times New Roman"/>
          <w:color w:val="000000"/>
          <w:sz w:val="24"/>
        </w:rPr>
        <w:t xml:space="preserve">. In the case of N-fixer species,  aboveground biomass increased significantly by 47% in the plus nutrient treatment and 82% in the plus nutrient and water addition. While for non-fixers, aboveground biomass increased significantly 31% when nutrients were </w:t>
      </w:r>
      <w:r>
        <w:rPr>
          <w:rFonts w:ascii="Times New Roman" w:hAnsi="Times New Roman" w:cs="Times New Roman" w:eastAsia="Times New Roman"/>
          <w:color w:val="000000"/>
          <w:sz w:val="24"/>
        </w:rPr>
        <w:t xml:space="preserve">added and 44%</w:t>
      </w:r>
      <w:r>
        <w:rPr>
          <w:rFonts w:ascii="Times New Roman" w:hAnsi="Times New Roman" w:cs="Times New Roman" w:eastAsia="Times New Roman"/>
          <w:color w:val="FF0000"/>
          <w:sz w:val="24"/>
        </w:rPr>
        <w:t xml:space="preserve"> </w:t>
      </w:r>
      <w:r>
        <w:rPr>
          <w:rFonts w:ascii="Times New Roman" w:hAnsi="Times New Roman" w:cs="Times New Roman" w:eastAsia="Times New Roman"/>
          <w:color w:val="000000"/>
          <w:sz w:val="24"/>
        </w:rPr>
        <w:t xml:space="preserve">when nutrients and water were added (</w:t>
      </w:r>
      <w:r>
        <w:rPr>
          <w:rFonts w:ascii="Times New Roman" w:hAnsi="Times New Roman" w:cs="Times New Roman" w:eastAsia="Times New Roman"/>
          <w:color w:val="FF0000"/>
          <w:sz w:val="24"/>
        </w:rPr>
        <w:t xml:space="preserve">FIGURE XXX</w:t>
      </w:r>
      <w:r>
        <w:rPr>
          <w:rFonts w:ascii="Times New Roman" w:hAnsi="Times New Roman" w:cs="Times New Roman" w:eastAsia="Times New Roman"/>
          <w:color w:val="000000"/>
          <w:sz w:val="24"/>
        </w:rPr>
        <w:t xml:space="preserve">).</w:t>
      </w:r>
      <w:r>
        <w:rPr>
          <w:rFonts w:ascii="Times New Roman" w:hAnsi="Times New Roman" w:cs="Times New Roman" w:eastAsia="Times New Roman"/>
          <w:color w:val="FF0000"/>
          <w:sz w:val="24"/>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For belowground biomass (only roots), all species responded to the treatments no matter if they were Nfixers or non-Fixers </w:t>
      </w:r>
      <w:r>
        <w:rPr>
          <w:rFonts w:ascii="Times New Roman" w:hAnsi="Times New Roman" w:cs="Times New Roman" w:eastAsia="Times New Roman"/>
          <w:color w:val="000000"/>
          <w:sz w:val="24"/>
          <w:highlight w:val="white"/>
        </w:rPr>
        <w:t xml:space="preserve">(F = 9.76, p-values &lt; 0.001)</w:t>
      </w:r>
      <w:r>
        <w:rPr>
          <w:rFonts w:ascii="Times New Roman" w:hAnsi="Times New Roman" w:cs="Times New Roman" w:eastAsia="Times New Roman"/>
          <w:color w:val="000000"/>
          <w:sz w:val="24"/>
        </w:rPr>
        <w:t xml:space="preserve">.  The addition of water increased belowground biomass in all plants by 28% while the addition of nutrients increased it 64% and the addition of both water and nutrients increased it 49%</w:t>
      </w:r>
      <w:r>
        <w:rPr>
          <w:rFonts w:ascii="Times New Roman" w:hAnsi="Times New Roman" w:cs="Times New Roman" w:eastAsia="Times New Roman"/>
          <w:color w:val="FF0000"/>
          <w:sz w:val="24"/>
        </w:rPr>
        <w:t xml:space="preserve"> </w:t>
      </w:r>
      <w:r>
        <w:rPr>
          <w:rFonts w:ascii="Times New Roman" w:hAnsi="Times New Roman" w:cs="Times New Roman" w:eastAsia="Times New Roman"/>
          <w:color w:val="000000"/>
          <w:sz w:val="24"/>
        </w:rPr>
        <w:t xml:space="preserve">(</w:t>
      </w:r>
      <w:r>
        <w:rPr>
          <w:rFonts w:ascii="Times New Roman" w:hAnsi="Times New Roman" w:cs="Times New Roman" w:eastAsia="Times New Roman"/>
          <w:color w:val="FF0000"/>
          <w:sz w:val="24"/>
        </w:rPr>
        <w:t xml:space="preserve">FIGURE XXX</w:t>
      </w:r>
      <w:r>
        <w:rPr>
          <w:rFonts w:ascii="Times New Roman" w:hAnsi="Times New Roman" w:cs="Times New Roman" w:eastAsia="Times New Roman"/>
          <w:color w:val="000000"/>
          <w:sz w:val="24"/>
        </w:rPr>
        <w:t xml:space="preserve">).</w:t>
      </w:r>
      <w:r>
        <w:rPr>
          <w:rFonts w:ascii="Times New Roman" w:hAnsi="Times New Roman" w:cs="Times New Roman" w:eastAsia="Times New Roman"/>
          <w:color w:val="FF0000"/>
          <w:sz w:val="24"/>
        </w:rPr>
        <w:t xml:space="preserve"> </w:t>
      </w:r>
      <w:r>
        <w:rPr>
          <w:rFonts w:ascii="Times New Roman" w:hAnsi="Times New Roman" w:cs="Times New Roman" w:eastAsia="Times New Roman"/>
          <w:color w:val="000000"/>
          <w:sz w:val="24"/>
        </w:rPr>
        <w:t xml:space="preserve">No significant treatment effects were found on the mass fractions (root,stem and leaf).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Finally for AGRh, the treatment effects depended on whether the species were N-fixers or non-Nfixers</w:t>
      </w:r>
      <w:r>
        <w:rPr>
          <w:rFonts w:ascii="Times New Roman" w:hAnsi="Times New Roman" w:cs="Times New Roman" w:eastAsia="Times New Roman"/>
          <w:color w:val="000000"/>
          <w:sz w:val="24"/>
          <w:highlight w:val="white"/>
        </w:rPr>
        <w:t xml:space="preserve"> (F = 9.816, p-values &lt; 0.0001). For N-fixers</w:t>
      </w:r>
      <w:r>
        <w:rPr>
          <w:rFonts w:ascii="Times New Roman" w:hAnsi="Times New Roman" w:cs="Times New Roman" w:eastAsia="Times New Roman"/>
          <w:color w:val="000000"/>
          <w:sz w:val="24"/>
        </w:rPr>
        <w:t xml:space="preserve">, AGRh increased 62% in the nutrient addition treatment and 77% in nutrient and water treatment (</w:t>
      </w:r>
      <w:r>
        <w:rPr>
          <w:rFonts w:ascii="Times New Roman" w:hAnsi="Times New Roman" w:cs="Times New Roman" w:eastAsia="Times New Roman"/>
          <w:color w:val="FF0000"/>
          <w:sz w:val="24"/>
        </w:rPr>
        <w:t xml:space="preserve">FIGURE XXX</w:t>
      </w:r>
      <w:r>
        <w:rPr>
          <w:rFonts w:ascii="Times New Roman" w:hAnsi="Times New Roman" w:cs="Times New Roman" w:eastAsia="Times New Roman"/>
          <w:color w:val="000000"/>
          <w:sz w:val="24"/>
        </w:rPr>
        <w:t xml:space="preserve">). The AGR did not change significantly in any of the treatments when compared to the ambient rain for non-fixers. </w:t>
      </w:r>
      <w:r/>
    </w:p>
    <w:p>
      <w:pPr>
        <w:ind w:left="0" w:right="0" w:firstLine="0"/>
        <w:spacing w:after="0" w:before="0"/>
        <w:pBdr>
          <w:left w:val="none" w:color="000000" w:sz="4" w:space="0"/>
          <w:top w:val="none" w:color="000000" w:sz="4" w:space="0"/>
          <w:right w:val="none" w:color="000000" w:sz="4" w:space="0"/>
          <w:bottom w:val="none" w:color="000000" w:sz="4" w:space="0"/>
        </w:pBdr>
      </w:pPr>
      <w:r>
        <w:br/>
        <w:br/>
        <w:br/>
        <w:br/>
        <w:br/>
        <w:br/>
        <w:b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i/>
          <w:color w:val="000000"/>
          <w:sz w:val="24"/>
        </w:rPr>
        <w:t xml:space="preserve">(Q2) How does increased nutrient or water availability influence water- and nutrient-use traits?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For the three physiology traits measured, only for Amax, the response to the treatments depended on being N-fixers or non-fixers (F = 7.383 , pvalue &lt; 0.0001).  In the plus nutrients treatment,  Amax for N-Fixer species decreased significantly 15% while, i</w:t>
      </w:r>
      <w:r>
        <w:rPr>
          <w:rFonts w:ascii="Times New Roman" w:hAnsi="Times New Roman" w:cs="Times New Roman" w:eastAsia="Times New Roman"/>
          <w:color w:val="000000"/>
          <w:sz w:val="24"/>
        </w:rPr>
        <w:t xml:space="preserve">n the plus water treatment increased 14% on the </w:t>
      </w:r>
      <w:r>
        <w:rPr>
          <w:rFonts w:ascii="Times New Roman" w:hAnsi="Times New Roman" w:cs="Times New Roman" w:eastAsia="Times New Roman"/>
          <w:color w:val="FF0000"/>
          <w:sz w:val="24"/>
        </w:rPr>
        <w:t xml:space="preserve">(FIGURE XXX)</w:t>
      </w:r>
      <w:r>
        <w:rPr>
          <w:rFonts w:ascii="Times New Roman" w:hAnsi="Times New Roman" w:cs="Times New Roman" w:eastAsia="Times New Roman"/>
          <w:color w:val="000000"/>
          <w:sz w:val="24"/>
        </w:rPr>
        <w:t xml:space="preserve">. For non-Nfixers, Amax did not change significantly in any of the treatments applied </w:t>
      </w:r>
      <w:r>
        <w:rPr>
          <w:rFonts w:ascii="Times New Roman" w:hAnsi="Times New Roman" w:cs="Times New Roman" w:eastAsia="Times New Roman"/>
          <w:color w:val="FF0000"/>
          <w:sz w:val="24"/>
        </w:rPr>
        <w:t xml:space="preserve">(FIGURE XXX)</w:t>
      </w:r>
      <w:r>
        <w:rPr>
          <w:rFonts w:ascii="Times New Roman" w:hAnsi="Times New Roman" w:cs="Times New Roman" w:eastAsia="Times New Roman"/>
          <w:color w:val="000000"/>
          <w:sz w:val="24"/>
        </w:rPr>
        <w:t xml:space="preserve">. While gs and iWUE </w:t>
      </w:r>
      <w:r>
        <w:rPr>
          <w:rFonts w:ascii="Times New Roman" w:hAnsi="Times New Roman" w:cs="Times New Roman" w:eastAsia="Times New Roman"/>
          <w:color w:val="FF0000"/>
          <w:sz w:val="24"/>
        </w:rPr>
        <w:t xml:space="preserve">responded</w:t>
      </w:r>
      <w:r>
        <w:rPr>
          <w:rFonts w:ascii="Times New Roman" w:hAnsi="Times New Roman" w:cs="Times New Roman" w:eastAsia="Times New Roman"/>
          <w:color w:val="000000"/>
          <w:sz w:val="24"/>
        </w:rPr>
        <w:t xml:space="preserve"> to the treatments (F = 5.534, pvalue = 0.0014549, F = 6.3961, pvalue = 0.0208896, respectively) and varied significantly depending </w:t>
      </w:r>
      <w:r>
        <w:rPr>
          <w:rFonts w:ascii="Times New Roman" w:hAnsi="Times New Roman" w:cs="Times New Roman" w:eastAsia="Times New Roman"/>
          <w:color w:val="FF0000"/>
          <w:sz w:val="24"/>
        </w:rPr>
        <w:t xml:space="preserve">on being</w:t>
      </w:r>
      <w:r>
        <w:rPr>
          <w:rFonts w:ascii="Times New Roman" w:hAnsi="Times New Roman" w:cs="Times New Roman" w:eastAsia="Times New Roman"/>
          <w:color w:val="000000"/>
          <w:sz w:val="24"/>
        </w:rPr>
        <w:t xml:space="preserve"> N-fixer or non fixer (F = 4.7960, pvalue = 0.003619, F = 5.9854, pvalue = 0.041038, respectively). No significant interaction between NFixer and treatment were found.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For these two traits, an addition of water (plus water and plus water and nutrients treatments) led to a higher gs and lower iWUE in all plants irrespectively of the capacity of the species to fix nitrogen (</w:t>
      </w:r>
      <w:r>
        <w:rPr>
          <w:rFonts w:ascii="Times New Roman" w:hAnsi="Times New Roman" w:cs="Times New Roman" w:eastAsia="Times New Roman"/>
          <w:color w:val="FF0000"/>
          <w:sz w:val="24"/>
        </w:rPr>
        <w:t xml:space="preserve">FIGURE XXX</w:t>
      </w:r>
      <w:r>
        <w:rPr>
          <w:rFonts w:ascii="Times New Roman" w:hAnsi="Times New Roman" w:cs="Times New Roman" w:eastAsia="Times New Roman"/>
          <w:color w:val="000000"/>
          <w:sz w:val="24"/>
        </w:rPr>
        <w:t xml:space="preserve">), being NFixers species </w:t>
      </w:r>
      <w:r>
        <w:rPr>
          <w:rFonts w:ascii="Times New Roman" w:hAnsi="Times New Roman" w:cs="Times New Roman" w:eastAsia="Times New Roman"/>
          <w:color w:val="FF0000"/>
          <w:sz w:val="24"/>
        </w:rPr>
        <w:t xml:space="preserve">50%</w:t>
      </w:r>
      <w:r>
        <w:rPr>
          <w:rFonts w:ascii="Times New Roman" w:hAnsi="Times New Roman" w:cs="Times New Roman" w:eastAsia="Times New Roman"/>
          <w:color w:val="000000"/>
          <w:sz w:val="24"/>
        </w:rPr>
        <w:t xml:space="preserve"> more water efficient when compared to the Non-Nfixer species (</w:t>
      </w:r>
      <w:r>
        <w:rPr>
          <w:rFonts w:ascii="Times New Roman" w:hAnsi="Times New Roman" w:cs="Times New Roman" w:eastAsia="Times New Roman"/>
          <w:color w:val="FF0000"/>
          <w:sz w:val="24"/>
        </w:rPr>
        <w:t xml:space="preserve">FIGURE XXX</w:t>
      </w:r>
      <w:r>
        <w:rPr>
          <w:rFonts w:ascii="Times New Roman" w:hAnsi="Times New Roman" w:cs="Times New Roman" w:eastAsia="Times New Roman"/>
          <w:color w:val="000000"/>
          <w:sz w:val="24"/>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highlight w:val="yellow"/>
        </w:rPr>
        <w:t xml:space="preserve">Leaf traits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For the other five leaf traits measured, Gincreased for fixers 45% when nutrients were added and 60% when nutrients and water were added  while for non fixers this same trait increased 81% and 71% respectively. In the case of Nmass, this trait decreased 18</w:t>
      </w:r>
      <w:r>
        <w:rPr>
          <w:rFonts w:ascii="Times New Roman" w:hAnsi="Times New Roman" w:cs="Times New Roman" w:eastAsia="Times New Roman"/>
          <w:color w:val="000000"/>
          <w:sz w:val="24"/>
        </w:rPr>
        <w:t xml:space="preserve">% when water was added for the fixer species. </w:t>
      </w:r>
      <w:r/>
    </w:p>
    <w:p>
      <w:pPr>
        <w:ind w:left="0" w:right="0" w:firstLine="0"/>
        <w:spacing w:after="240" w:before="24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The addition of nutrients and/or water did not have an effect over the Mycorrhizal colonization and this did not change significantly between fixer and non-Fixer species.</w:t>
      </w:r>
      <w:r/>
    </w:p>
    <w:p>
      <w:pPr>
        <w:ind w:left="0" w:right="0" w:firstLine="0"/>
        <w:spacing w:after="360" w:before="36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i/>
          <w:color w:val="000000"/>
          <w:sz w:val="24"/>
        </w:rPr>
        <w:t xml:space="preserve">(Q3) Are shifts in seedling traits in response to increased water and/or nutrient addition associated with differences in seedling-level growth rates?</w:t>
      </w:r>
      <w:r/>
    </w:p>
    <w:p>
      <w:pPr>
        <w:ind w:left="0" w:right="0" w:firstLine="0"/>
        <w:spacing w:after="360" w:before="36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Overall the first three principal axes explained 83% in the data. The first PC axis accounted for 48% of total variation and showed strong loadings on Amax, Narea, Nmass and WUE (in descending order). The second PC accounted for 19.4% of total variation wi</w:t>
      </w:r>
      <w:r>
        <w:rPr>
          <w:rFonts w:ascii="Times New Roman" w:hAnsi="Times New Roman" w:cs="Times New Roman" w:eastAsia="Times New Roman"/>
          <w:color w:val="000000"/>
          <w:sz w:val="24"/>
        </w:rPr>
        <w:t xml:space="preserve">th gs and SLA having the strongest loadings. Finally the third PC axes accounted for 15.8%  (</w:t>
      </w:r>
      <w:r>
        <w:rPr>
          <w:rFonts w:ascii="Times New Roman" w:hAnsi="Times New Roman" w:cs="Times New Roman" w:eastAsia="Times New Roman"/>
          <w:color w:val="FF0000"/>
          <w:sz w:val="24"/>
        </w:rPr>
        <w:t xml:space="preserve">Table #</w:t>
      </w:r>
      <w:r>
        <w:rPr>
          <w:rFonts w:ascii="Times New Roman" w:hAnsi="Times New Roman" w:cs="Times New Roman" w:eastAsia="Times New Roman"/>
          <w:color w:val="000000"/>
          <w:sz w:val="24"/>
        </w:rPr>
        <w:t xml:space="preserve">). </w:t>
      </w:r>
      <w:r/>
    </w:p>
    <w:p>
      <w:pPr>
        <w:ind w:left="0" w:right="0" w:firstLine="0"/>
        <w:spacing w:after="360" w:before="36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The most appropriate model for  determining how seedling-level functional traits (PCs), treatment and fixer-category influenced seedling absolute growth rates was the one that only included the two-way interactions</w:t>
      </w:r>
      <w:r>
        <w:rPr>
          <w:rFonts w:ascii="Times New Roman" w:hAnsi="Times New Roman" w:cs="Times New Roman" w:eastAsia="Times New Roman"/>
          <w:color w:val="FF0000"/>
          <w:sz w:val="24"/>
        </w:rPr>
        <w:t xml:space="preserve"> (df = 12, Pr(&gt;Chisq) = 0.2505). </w:t>
      </w:r>
      <w:r>
        <w:rPr>
          <w:rFonts w:ascii="Times New Roman" w:hAnsi="Times New Roman" w:cs="Times New Roman" w:eastAsia="Times New Roman"/>
          <w:color w:val="000000"/>
          <w:sz w:val="24"/>
        </w:rPr>
        <w:t xml:space="preserve">We found a significant interaction between treatment and PC1 (F= 9.50, df = 3, P = 0.0000158) and treatment and PC2 (F = 2.782, df = 3, P = 0.045) , indicating that shifts in seedling-level trait values treatments may have differentially influenced seedlin</w:t>
      </w:r>
      <w:r>
        <w:rPr>
          <w:rFonts w:ascii="Times New Roman" w:hAnsi="Times New Roman" w:cs="Times New Roman" w:eastAsia="Times New Roman"/>
          <w:color w:val="000000"/>
          <w:sz w:val="24"/>
        </w:rPr>
        <w:t xml:space="preserve">g growth rates among treatments.</w:t>
      </w:r>
      <w:r/>
    </w:p>
    <w:p>
      <w:pPr>
        <w:ind w:left="0" w:right="0" w:firstLine="0"/>
        <w:spacing w:after="360" w:before="36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Compared to the ambient treatment, PC1 had a much stronger relationship with seedling growth rates (steeper slope) in both the nutrient (</w:t>
      </w:r>
      <w:r>
        <w:rPr>
          <w:rFonts w:ascii="Times New Roman" w:hAnsi="Times New Roman" w:cs="Times New Roman" w:eastAsia="Times New Roman"/>
          <w:color w:val="000000"/>
          <w:sz w:val="24"/>
          <w:highlight w:val="red"/>
        </w:rPr>
        <w:t xml:space="preserve">~15-fold stronger effect; t = -3.62; P = 0.003</w:t>
      </w:r>
      <w:r>
        <w:rPr>
          <w:rFonts w:ascii="Times New Roman" w:hAnsi="Times New Roman" w:cs="Times New Roman" w:eastAsia="Times New Roman"/>
          <w:color w:val="000000"/>
          <w:sz w:val="24"/>
        </w:rPr>
        <w:t xml:space="preserve">) and water + nutrient addition treatments (</w:t>
      </w:r>
      <w:r>
        <w:rPr>
          <w:rFonts w:ascii="Times New Roman" w:hAnsi="Times New Roman" w:cs="Times New Roman" w:eastAsia="Times New Roman"/>
          <w:color w:val="FF0000"/>
          <w:sz w:val="24"/>
        </w:rPr>
        <w:t xml:space="preserve">~16-fold stronger effect; t = -4.13; P &lt; 0.001</w:t>
      </w:r>
      <w:r>
        <w:rPr>
          <w:rFonts w:ascii="Times New Roman" w:hAnsi="Times New Roman" w:cs="Times New Roman" w:eastAsia="Times New Roman"/>
          <w:color w:val="000000"/>
          <w:sz w:val="24"/>
        </w:rPr>
        <w:t xml:space="preserve">The relationships between PC1 and growth rates in the ambient and water treatments (t = -0.22; P =  0.99) and the nutrient and nutrient + water treatments (t =  -0.37; P = 0.98) were equivalent. In the case of PC2, although we found a significant interacti</w:t>
      </w:r>
      <w:r>
        <w:rPr>
          <w:rFonts w:ascii="Times New Roman" w:hAnsi="Times New Roman" w:cs="Times New Roman" w:eastAsia="Times New Roman"/>
          <w:color w:val="000000"/>
          <w:sz w:val="24"/>
        </w:rPr>
        <w:t xml:space="preserve">on between treatments and the PC2, the Post-Hoc test showed only significant differences in the seedling growth rates of the treatments plus water and plus water and nutrients </w:t>
      </w:r>
      <w:r>
        <w:rPr>
          <w:rFonts w:ascii="Times New Roman" w:hAnsi="Times New Roman" w:cs="Times New Roman" w:eastAsia="Times New Roman"/>
          <w:color w:val="FF0000"/>
          <w:sz w:val="24"/>
        </w:rPr>
        <w:t xml:space="preserve"> (FIGURE XXX)</w:t>
      </w:r>
      <w:r/>
    </w:p>
    <w:p>
      <w:pPr>
        <w:ind w:left="0" w:right="0" w:firstLine="0"/>
        <w:spacing w:after="360" w:before="36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Discussion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Total biomass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Overall, the addition of nutrients and not the addition water increased our</w:t>
      </w:r>
      <w:r>
        <w:rPr>
          <w:rFonts w:ascii="Times New Roman" w:hAnsi="Times New Roman" w:cs="Times New Roman" w:eastAsia="Times New Roman"/>
          <w:color w:val="FF0000"/>
          <w:sz w:val="24"/>
        </w:rPr>
        <w:t xml:space="preserve"> performance metrics</w:t>
      </w:r>
      <w:r>
        <w:rPr>
          <w:rFonts w:ascii="Times New Roman" w:hAnsi="Times New Roman" w:cs="Times New Roman" w:eastAsia="Times New Roman"/>
          <w:color w:val="000000"/>
          <w:sz w:val="24"/>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Message that I want to c: The addition of nutrients increased our metrics of plants performance (Total biomass, above,below and AGR) but NFixers species responded stronger to the addition on nutrients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highlight w:val="yellow"/>
        </w:rPr>
        <w:t xml:space="preserve">Leaf traits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000000"/>
          <w:sz w:val="24"/>
          <w:highlight w:val="yellow"/>
        </w:rPr>
        <w:t xml:space="preserve">No traits responded independently to the treatments</w:t>
      </w:r>
      <w:r/>
    </w:p>
    <w:p>
      <w:pPr>
        <w:ind w:left="0" w:right="0" w:firstLine="0"/>
        <w:spacing w:after="0" w:before="0"/>
        <w:pBdr>
          <w:left w:val="none" w:color="000000" w:sz="4" w:space="0"/>
          <w:top w:val="none" w:color="000000" w:sz="4" w:space="0"/>
          <w:right w:val="none" w:color="000000" w:sz="4" w:space="0"/>
          <w:bottom w:val="none" w:color="000000" w:sz="4" w:space="0"/>
        </w:pBdr>
      </w:pPr>
      <w:r>
        <w:br/>
        <w:br/>
        <w:br/>
        <w:br/>
        <w:br/>
        <w:br/>
        <w:br/>
        <w:br/>
        <w:br/>
        <w:br/>
        <w:br/>
        <w:br/>
        <w:br/>
        <w:br/>
        <w:br/>
      </w:r>
      <w:r/>
    </w:p>
    <w:p>
      <w:pPr>
        <w:ind w:left="0" w:right="0" w:firstLine="0"/>
        <w:spacing w:after="360" w:before="36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Supplement information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FFFF00"/>
          <w:sz w:val="24"/>
          <w:highlight w:val="red"/>
        </w:rPr>
        <w:t xml:space="preserve">Soil moisture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i/>
          <w:color w:val="FF0000"/>
          <w:sz w:val="24"/>
          <w:highlight w:val="yellow"/>
        </w:rPr>
        <w:t xml:space="preserve">Biomass partition figures: root, stem and leaf mass fractions Supplementary</w:t>
      </w:r>
      <w:r>
        <w:rPr>
          <w:rFonts w:ascii="Times New Roman" w:hAnsi="Times New Roman" w:cs="Times New Roman" w:eastAsia="Times New Roman"/>
          <w:i/>
          <w:color w:val="000000"/>
          <w:sz w:val="24"/>
          <w:highlight w:val="yellow"/>
        </w:rPr>
        <w:t xml:space="preserve"> </w:t>
      </w:r>
      <w:r/>
    </w:p>
    <w:p>
      <w:pPr>
        <w:ind w:left="0" w:right="0" w:firstLine="0"/>
        <w:spacing w:after="360" w:before="360"/>
        <w:pBdr>
          <w:left w:val="none" w:color="000000" w:sz="4" w:space="0"/>
          <w:top w:val="none" w:color="000000" w:sz="4" w:space="0"/>
          <w:right w:val="none" w:color="000000" w:sz="4" w:space="0"/>
          <w:bottom w:val="none" w:color="000000" w:sz="4" w:space="0"/>
        </w:pBdr>
      </w:pPr>
      <w:r>
        <w:rPr>
          <w:rFonts w:ascii="Liberation Sans" w:hAnsi="Liberation Sans" w:cs="Liberation Sans" w:eastAsia="Liberation Sans"/>
          <w:color w:val="202124"/>
          <w:sz w:val="24"/>
          <w:highlight w:val="white"/>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2021-06-29T19:17:19Z</dcterms:modified>
</cp:coreProperties>
</file>