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journal: Plant and Soil, Tree Physiology, American Journal of Botany? </w:t>
      </w:r>
    </w:p>
    <w:p w:rsidR="00000000" w:rsidDel="00000000" w:rsidP="00000000" w:rsidRDefault="00000000" w:rsidRPr="00000000" w14:paraId="0000000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Water, nutrients, or both?  Effects of multiple belowground resources on early seedling growth, physiology, and symbionts in eight species of tropical dry forest trees </w:t>
      </w:r>
    </w:p>
    <w:p w:rsidR="00000000" w:rsidDel="00000000" w:rsidP="00000000" w:rsidRDefault="00000000" w:rsidRPr="00000000" w14:paraId="0000000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Erick Calderón-Morales, Leland K.Werden, Bonnie G. Waring, Roberto Cordero, and Jennifer S. Powers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left w:color="auto" w:space="0" w:sz="0" w:val="none"/>
          <w:right w:color="auto" w:space="0" w:sz="0" w:val="none"/>
        </w:pBd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Plants require multiple belowground resources including water and a variety of nutrients. Differences in both how plants acquire these resources and how they respond to variability in the availability of soil-borne resources contribute to niche differentiation and the maintenance of diversity (Levine and HilleRisLambers 2009, Holste et al. 2011).  Because the seedling stage is a vulnerable time in trees’ life histories during which populations suffer elevated mortality (Ribbens et al. 1994), many studies have evaluated how water and nutrients affect seedling growth rates (Baraloto et al. 2006), allocation to roots versus shoots (Burslem et al. 1996, Canham et al. 1996), physiological process rates (Graciano et al. 2005), and relationships with symbionts such as mycorrhizae and nitrogen fixing bacteria in Fabaceae (Birhane et al. 2015).  These studies typically find that responses to multiple belowground resources are often species-specific and also may depend upon whether above- or belowground organs are considered (Freschet et al. 2013).  Thus, we still lack a general framework for understanding the joint effects of belowground resources on seedling performance, particularly in environments with large seasonal or temporal variability in soil moisture and nutrient availability (Lodge et al. 1994), such as seasonally dry tropical forests. </w:t>
      </w:r>
    </w:p>
    <w:p w:rsidR="00000000" w:rsidDel="00000000" w:rsidP="00000000" w:rsidRDefault="00000000" w:rsidRPr="00000000" w14:paraId="00000010">
      <w:pPr>
        <w:pBdr>
          <w:left w:color="auto" w:space="0" w:sz="0" w:val="none"/>
          <w:right w:color="auto" w:space="0" w:sz="0" w:val="none"/>
        </w:pBd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THE TYPES OF RESPONSES… (Table 1). </w:t>
      </w:r>
    </w:p>
    <w:p w:rsidR="00000000" w:rsidDel="00000000" w:rsidP="00000000" w:rsidRDefault="00000000" w:rsidRPr="00000000" w14:paraId="0000001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2 introduce TDF..  </w:t>
      </w:r>
    </w:p>
    <w:p w:rsidR="00000000" w:rsidDel="00000000" w:rsidP="00000000" w:rsidRDefault="00000000" w:rsidRPr="00000000" w14:paraId="0000001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left w:color="auto" w:space="0" w:sz="0" w:val="none"/>
          <w:right w:color="auto" w:space="0" w:sz="0" w:val="none"/>
        </w:pBd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Seedling growth in TDF is strongly constrained by water availability and is typically restricted to the wet season (Gerhardt 1993, Maza-Villalobos et al. 2013).  However, studies have also shown that TDF seedlings respond positively to increased nutrient availability (Huante et al. 1995a, Huante et al. 1995b, Ceccon et al. 2003).  Surprisingly, few studies have investigated how nutrients and soil water jointly affect tropical dry forest tree seedlings.  There are a number of possible responses to increased water and nutrients, from </w:t>
      </w:r>
      <w:r w:rsidDel="00000000" w:rsidR="00000000" w:rsidRPr="00000000">
        <w:rPr>
          <w:rFonts w:ascii="Times New Roman" w:cs="Times New Roman" w:eastAsia="Times New Roman" w:hAnsi="Times New Roman"/>
          <w:color w:val="222222"/>
          <w:sz w:val="24"/>
          <w:szCs w:val="24"/>
          <w:rtl w:val="0"/>
        </w:rPr>
        <w:t xml:space="preserve">additive, synergistic, antagonistic, or no response. </w:t>
      </w:r>
    </w:p>
    <w:p w:rsidR="00000000" w:rsidDel="00000000" w:rsidP="00000000" w:rsidRDefault="00000000" w:rsidRPr="00000000" w14:paraId="00000016">
      <w:pPr>
        <w:pBdr>
          <w:left w:color="auto" w:space="0" w:sz="0" w:val="none"/>
          <w:right w:color="auto" w:space="0" w:sz="0" w:val="none"/>
        </w:pBd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SYNERGISTIC if plant didn't respond to each resource individually, but does respond to them added together, OR if LRR for both resources together is outside the 95% CI for an individual resource </w:t>
      </w:r>
    </w:p>
    <w:p w:rsidR="00000000" w:rsidDel="00000000" w:rsidP="00000000" w:rsidRDefault="00000000" w:rsidRPr="00000000" w14:paraId="0000001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does it mean if the resources are not balanced?  Can a plant take advantage of added water or nutrients, if it does not have the other resource? </w:t>
      </w:r>
    </w:p>
    <w:p w:rsidR="00000000" w:rsidDel="00000000" w:rsidP="00000000" w:rsidRDefault="00000000" w:rsidRPr="00000000" w14:paraId="0000001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3 Goals and Specific Objectives </w:t>
      </w:r>
    </w:p>
    <w:p w:rsidR="00000000" w:rsidDel="00000000" w:rsidP="00000000" w:rsidRDefault="00000000" w:rsidRPr="00000000" w14:paraId="0000002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diverse sample of tropical dry forest tree species from different functional groups in a seedling pot experiment to answer the following questions: 1) how do biomass allocation and functional traits change during seedling development, 2)  </w:t>
      </w:r>
    </w:p>
    <w:p w:rsidR="00000000" w:rsidDel="00000000" w:rsidP="00000000" w:rsidRDefault="00000000" w:rsidRPr="00000000" w14:paraId="0000002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added water and/or nutrients affect growth, physiology, water use efficiency, functional traits, and relationships with symbionts, and are these responses additive, antagonistic or synergistic, and 3) which traits are correlated, and does this vary among species?  We predicted that  </w:t>
      </w:r>
    </w:p>
    <w:p w:rsidR="00000000" w:rsidDel="00000000" w:rsidP="00000000" w:rsidRDefault="00000000" w:rsidRPr="00000000" w14:paraId="0000002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Study site and species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left w:color="auto" w:space="0" w:sz="0" w:val="none"/>
          <w:right w:color="auto" w:space="0" w:sz="0" w:val="none"/>
        </w:pBd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Our experiment took place during between June to November, 2015, in a shade house located at the Estacion Experimental Forestal Horizontes, Area de Conservación Guanacaste, Costa Rica (10°420 46″ N, 85°350 44″). Rainfall is highly seasonal, with a dry period of 5-6 months. Mean annual precipitation at nearby Sector Santa Rosa is 1729 mm and mean temperature is 25 C (Becknell and Powers 2014), although Horizontes likely has lower rainfall than Santa Rosa (Gutiérrez-Leitón 2013). Our study occurred during one of the driest years on record (Cooley et al. 2019), wherein rainy season rainfall was less than X of average due to the very strong El Niño Southern Oscillation (ENSO) event of 2015; thus we considered ambient rainfall as a drought.  We used 8 species that belong to 5 different families: </w:t>
      </w:r>
      <w:r w:rsidDel="00000000" w:rsidR="00000000" w:rsidRPr="00000000">
        <w:rPr>
          <w:rFonts w:ascii="Times New Roman" w:cs="Times New Roman" w:eastAsia="Times New Roman" w:hAnsi="Times New Roman"/>
          <w:i w:val="1"/>
          <w:sz w:val="24"/>
          <w:szCs w:val="24"/>
          <w:rtl w:val="0"/>
        </w:rPr>
        <w:t xml:space="preserve">Enterolobium cyclocarpum, Gliricidia sepium, Hymenea courbaril, Dalbergia retusa, Swietenia macrophylla, </w:t>
      </w:r>
      <w:r w:rsidDel="00000000" w:rsidR="00000000" w:rsidRPr="00000000">
        <w:rPr>
          <w:rFonts w:ascii="Times New Roman" w:cs="Times New Roman" w:eastAsia="Times New Roman" w:hAnsi="Times New Roman"/>
          <w:i w:val="1"/>
          <w:color w:val="222222"/>
          <w:sz w:val="24"/>
          <w:szCs w:val="24"/>
          <w:rtl w:val="0"/>
        </w:rPr>
        <w:t xml:space="preserve">Simarouba glauca, Tabebuia ochraceae </w:t>
      </w:r>
      <w:r w:rsidDel="00000000" w:rsidR="00000000" w:rsidRPr="00000000">
        <w:rPr>
          <w:rFonts w:ascii="Times New Roman" w:cs="Times New Roman" w:eastAsia="Times New Roman" w:hAnsi="Times New Roman"/>
          <w:color w:val="222222"/>
          <w:sz w:val="24"/>
          <w:szCs w:val="24"/>
          <w:rtl w:val="0"/>
        </w:rPr>
        <w:t xml:space="preserve">and </w:t>
      </w:r>
      <w:r w:rsidDel="00000000" w:rsidR="00000000" w:rsidRPr="00000000">
        <w:rPr>
          <w:rFonts w:ascii="Times New Roman" w:cs="Times New Roman" w:eastAsia="Times New Roman" w:hAnsi="Times New Roman"/>
          <w:i w:val="1"/>
          <w:color w:val="222222"/>
          <w:sz w:val="24"/>
          <w:szCs w:val="24"/>
          <w:rtl w:val="0"/>
        </w:rPr>
        <w:t xml:space="preserve">Pachira quinata</w:t>
      </w:r>
      <w:r w:rsidDel="00000000" w:rsidR="00000000" w:rsidRPr="00000000">
        <w:rPr>
          <w:rFonts w:ascii="Times New Roman" w:cs="Times New Roman" w:eastAsia="Times New Roman" w:hAnsi="Times New Roman"/>
          <w:color w:val="222222"/>
          <w:sz w:val="24"/>
          <w:szCs w:val="24"/>
          <w:rtl w:val="0"/>
        </w:rPr>
        <w:t xml:space="preserve"> (Table 2). Collectively, these species represent the full range of functional trait variation that defines different tropical dry forest plant functional types in ecosystem simulation models (Xu et al 2016), including nitrogen (N) fixing and non-N fixing legume species.   </w:t>
      </w:r>
    </w:p>
    <w:p w:rsidR="00000000" w:rsidDel="00000000" w:rsidP="00000000" w:rsidRDefault="00000000" w:rsidRPr="00000000" w14:paraId="0000002B">
      <w:pPr>
        <w:pBdr>
          <w:left w:color="auto" w:space="0" w:sz="0" w:val="none"/>
          <w:right w:color="auto" w:space="0" w:sz="0" w:val="none"/>
        </w:pBd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Seed germination, growing conditions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shade house was covered with a 50% shade cloth. All the seeds sown directly </w:t>
      </w:r>
      <w:r w:rsidDel="00000000" w:rsidR="00000000" w:rsidRPr="00000000">
        <w:rPr>
          <w:rFonts w:ascii="Times New Roman" w:cs="Times New Roman" w:eastAsia="Times New Roman" w:hAnsi="Times New Roman"/>
          <w:color w:val="222222"/>
          <w:sz w:val="24"/>
          <w:szCs w:val="24"/>
          <w:rtl w:val="0"/>
        </w:rPr>
        <w:t xml:space="preserve">into pots containing a soil mixture of 2 parts of locally collected soil and 1 part sand. </w:t>
      </w:r>
      <w:r w:rsidDel="00000000" w:rsidR="00000000" w:rsidRPr="00000000">
        <w:rPr>
          <w:rFonts w:ascii="Times New Roman" w:cs="Times New Roman" w:eastAsia="Times New Roman" w:hAnsi="Times New Roman"/>
          <w:sz w:val="24"/>
          <w:szCs w:val="24"/>
          <w:rtl w:val="0"/>
        </w:rPr>
        <w:t xml:space="preserve">To improve germination rates, we applied two different treatments to the seeds. </w:t>
      </w:r>
      <w:r w:rsidDel="00000000" w:rsidR="00000000" w:rsidRPr="00000000">
        <w:rPr>
          <w:rFonts w:ascii="Times New Roman" w:cs="Times New Roman" w:eastAsia="Times New Roman" w:hAnsi="Times New Roman"/>
          <w:i w:val="1"/>
          <w:sz w:val="24"/>
          <w:szCs w:val="24"/>
          <w:rtl w:val="0"/>
        </w:rPr>
        <w:t xml:space="preserve">Enterolobium</w:t>
      </w:r>
      <w:r w:rsidDel="00000000" w:rsidR="00000000" w:rsidRPr="00000000">
        <w:rPr>
          <w:rFonts w:ascii="Times New Roman" w:cs="Times New Roman" w:eastAsia="Times New Roman" w:hAnsi="Times New Roman"/>
          <w:sz w:val="24"/>
          <w:szCs w:val="24"/>
          <w:rtl w:val="0"/>
        </w:rPr>
        <w:t xml:space="preserve"> seeds were subject to water baths alternating from boiling to cold water for 30 seconds for breaking the seed coat. All other species were soaked in water overnight.  </w:t>
      </w:r>
    </w:p>
    <w:p w:rsidR="00000000" w:rsidDel="00000000" w:rsidP="00000000" w:rsidRDefault="00000000" w:rsidRPr="00000000" w14:paraId="0000003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Seeds were sown directly into pots in early June, 2015.  Following germination and establishment, pots were thinned to one seedling per pot.  All plants received supplemental water when needed.  After ~12 weeks, an initial harvest of four individual per species was made (see Methods below).  Watering and/or fertilizer treatments on the remaining seedlings were started two days later, and were imposed for 12 weeks (N = 4 plants per species per treatment) prior to harvest.   </w:t>
      </w:r>
    </w:p>
    <w:p w:rsidR="00000000" w:rsidDel="00000000" w:rsidP="00000000" w:rsidRDefault="00000000" w:rsidRPr="00000000" w14:paraId="0000003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Watering and fertilization treatments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12 weeks, plants were randomly assigned to one of four treatments: control (no additions), nutrient addition, water addition, water + nutrient addition.  Water additions consisted of 500 mL added every two weeks.  The nutrient addition treatment consisted of a commercial fertilizer containing NPK and complete micronutrients.  Nutrient addition rates were corresponded to 150 kg N ha</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yr</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prorated to the duration of the experiment (3 months). Fertilizer was dissolved in water and added to the surface soil in the pots every two weeks in 20 mL doses with a syringe. </w:t>
      </w:r>
    </w:p>
    <w:p w:rsidR="00000000" w:rsidDel="00000000" w:rsidP="00000000" w:rsidRDefault="00000000" w:rsidRPr="00000000" w14:paraId="0000003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Soil moisture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moisture readings were taken in all pots immediately prior to watering treatments and then ~1 day following watering, and these measurements were repeated six equally spaced times during the growing season after the treatments began. This allowed us to quantify the magnitude of the watering effect on soil moisture, and also allowed us to whether elevated soil moisture in the watered pots persisted beyond two weeks. These measurements were made with a SM150 Soil Moisture Sensor (Delta-T Devices, Ltd, Cambridge, England).  </w:t>
      </w:r>
    </w:p>
    <w:p w:rsidR="00000000" w:rsidDel="00000000" w:rsidP="00000000" w:rsidRDefault="00000000" w:rsidRPr="00000000" w14:paraId="0000003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Height measurements and harvest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was measured  </w:t>
      </w:r>
    </w:p>
    <w:p w:rsidR="00000000" w:rsidDel="00000000" w:rsidP="00000000" w:rsidRDefault="00000000" w:rsidRPr="00000000" w14:paraId="0000004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Physiological measurements and gas exchange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can you fill in this detail? </w:t>
      </w:r>
    </w:p>
    <w:p w:rsidR="00000000" w:rsidDel="00000000" w:rsidP="00000000" w:rsidRDefault="00000000" w:rsidRPr="00000000" w14:paraId="0000004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Statistical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Bdr>
          <w:left w:color="auto" w:space="0" w:sz="0" w:val="none"/>
          <w:right w:color="auto" w:space="0" w:sz="0" w:val="none"/>
        </w:pBd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compared seedlings in the initial harvest at ~12 weeks to seedlings from the control treatments (i.e. no added water or nutrients) harvested at ~24 weeks. We used two factor analyses of variance (ANOVAs) with harvest date (early or late in the growing season) and species as the main effects, and total dry biomass, relative allocation to roots, stems and leaves, specific leaf area, foliar N concentrations, and foliar </w:t>
      </w:r>
      <w:r w:rsidDel="00000000" w:rsidR="00000000" w:rsidRPr="00000000">
        <w:rPr>
          <w:rFonts w:ascii="Times New Roman" w:cs="Times New Roman" w:eastAsia="Times New Roman" w:hAnsi="Times New Roman"/>
          <w:sz w:val="32"/>
          <w:szCs w:val="32"/>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C (as an integrated metric of water use efficiency) as response variables.  This allowed us to interpret any changes in seedling allocation or traits after we imposed the watering and fertilization treatments within the context of developmental changes over the growing season.  Next, to understand how  </w:t>
      </w:r>
    </w:p>
    <w:p w:rsidR="00000000" w:rsidDel="00000000" w:rsidP="00000000" w:rsidRDefault="00000000" w:rsidRPr="00000000" w14:paraId="0000006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 and log ratio analysis….  </w:t>
      </w:r>
    </w:p>
    <w:p w:rsidR="00000000" w:rsidDel="00000000" w:rsidP="00000000" w:rsidRDefault="00000000" w:rsidRPr="00000000" w14:paraId="0000006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calculated pairwise Spearman’s rank correlation coefficients to investigate correlations among growth, functional traits, and physiological variables.  We calculated these for legumes and non-legume taxa separately, as numerous studies have suggested that the direction and magnitude of trait correlations differ between legumes and non-legumes (Powers and Tiffin, 2010; Pineda-Garcia et al 2016, Adams et al 2016). </w:t>
      </w:r>
    </w:p>
    <w:p w:rsidR="00000000" w:rsidDel="00000000" w:rsidP="00000000" w:rsidRDefault="00000000" w:rsidRPr="00000000" w14:paraId="0000006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7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nutrients, water or both does not increase the number and weight of nodules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Soil moisture treatments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Changes in biomass, allocation, and functional traits during development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t>
      </w:r>
    </w:p>
    <w:p w:rsidR="00000000" w:rsidDel="00000000" w:rsidP="00000000" w:rsidRDefault="00000000" w:rsidRPr="00000000" w14:paraId="0000008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water or nutrients more important for early seedling growth and physiology? </w:t>
      </w:r>
    </w:p>
    <w:p w:rsidR="00000000" w:rsidDel="00000000" w:rsidP="00000000" w:rsidRDefault="00000000" w:rsidRPr="00000000" w14:paraId="0000008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 in responses among functional groups, and trait correlations  </w:t>
      </w:r>
    </w:p>
    <w:p w:rsidR="00000000" w:rsidDel="00000000" w:rsidP="00000000" w:rsidRDefault="00000000" w:rsidRPr="00000000" w14:paraId="0000008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Evergreen species of savanna trees don’t allocate as much belowground, because they don’t have to reflush leaves every year compared to deciduous taxa  and as a consequence, relative growth rates are driven by different traits (Tomlinson et al. 2014). </w:t>
      </w:r>
    </w:p>
    <w:p w:rsidR="00000000" w:rsidDel="00000000" w:rsidP="00000000" w:rsidRDefault="00000000" w:rsidRPr="00000000" w14:paraId="0000008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pBdr>
          <w:left w:color="auto" w:space="0" w:sz="0" w:val="none"/>
          <w:right w:color="auto" w:space="0" w:sz="0" w:val="none"/>
        </w:pBd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8E">
      <w:pPr>
        <w:pBdr>
          <w:left w:color="auto" w:space="0" w:sz="0" w:val="none"/>
          <w:right w:color="auto" w:space="0" w:sz="0" w:val="none"/>
        </w:pBdr>
        <w:spacing w:after="240" w:before="240" w:lineRule="auto"/>
        <w:rPr>
          <w:rFonts w:ascii="Times New Roman" w:cs="Times New Roman" w:eastAsia="Times New Roman" w:hAnsi="Times New Roman"/>
          <w:color w:val="ff0000"/>
          <w:sz w:val="24"/>
          <w:szCs w:val="24"/>
        </w:rPr>
      </w:pPr>
      <w:r w:rsidDel="00000000" w:rsidR="00000000" w:rsidRPr="00000000">
        <w:rPr>
          <w:rtl w:val="0"/>
        </w:rPr>
        <w:t xml:space="preserve">Salto de página</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8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t xml:space="preserve">Salto de página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t xml:space="preserve">Salto de página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Measurements, units, and predictions about how added water or nutrients affects values </w:t>
      </w:r>
    </w:p>
    <w:p w:rsidR="00000000" w:rsidDel="00000000" w:rsidP="00000000" w:rsidRDefault="00000000" w:rsidRPr="00000000" w14:paraId="0000009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65.6605744125327"/>
        <w:gridCol w:w="2321.6710182767624"/>
        <w:gridCol w:w="2336.3342036553527"/>
        <w:gridCol w:w="2336.3342036553527"/>
        <w:tblGridChange w:id="0">
          <w:tblGrid>
            <w:gridCol w:w="2365.6605744125327"/>
            <w:gridCol w:w="2321.6710182767624"/>
            <w:gridCol w:w="2336.3342036553527"/>
            <w:gridCol w:w="2336.3342036553527"/>
          </w:tblGrid>
        </w:tblGridChange>
      </w:tblGrid>
      <w:tr>
        <w:trPr>
          <w:trHeight w:val="13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Response to Added Nutrients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Response to Added Water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biomass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 mass fraction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 mass fraction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mass fraction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growth rate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height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Photosynthesis rate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µmol m-2 s-1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Conductance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 m-2 s-1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Instantaneous WUE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µmol / mol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6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Foliar stable carbon isotope concentration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Foliar nitrogen concentration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Mycorrhizal colonization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pBdr>
                <w:left w:color="auto" w:space="0" w:sz="0" w:val="none"/>
                <w:right w:color="auto" w:space="0" w:sz="0" w:val="none"/>
              </w:pBd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16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Nodule number (N-fixing legumes only)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r>
        <w:trPr>
          <w:trHeight w:val="16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Nodule mass (N-fixing legumes only)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tc>
      </w:tr>
    </w:tbl>
    <w:p w:rsidR="00000000" w:rsidDel="00000000" w:rsidP="00000000" w:rsidRDefault="00000000" w:rsidRPr="00000000" w14:paraId="000000D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t xml:space="preserve">Salto de página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Taxonomic identity, wood density, specific leaf area, leaf habit, and plant functional group classification of eight common species of tropical dry forest tree used in the pot experiment.  Trait data are from Powers and Tiffin (2010). </w:t>
      </w:r>
    </w:p>
    <w:p w:rsidR="00000000" w:rsidDel="00000000" w:rsidP="00000000" w:rsidRDefault="00000000" w:rsidRPr="00000000" w14:paraId="000000D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4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30"/>
        <w:gridCol w:w="1700"/>
        <w:gridCol w:w="1655"/>
        <w:gridCol w:w="1655"/>
        <w:gridCol w:w="1670"/>
        <w:tblGridChange w:id="0">
          <w:tblGrid>
            <w:gridCol w:w="1730"/>
            <w:gridCol w:w="1700"/>
            <w:gridCol w:w="1655"/>
            <w:gridCol w:w="1655"/>
            <w:gridCol w:w="1670"/>
          </w:tblGrid>
        </w:tblGridChange>
      </w:tblGrid>
      <w:tr>
        <w:trPr>
          <w:trHeight w:val="12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Species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 density (g cm</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leaf area (cm</w:t>
            </w:r>
            <w:r w:rsidDel="00000000" w:rsidR="00000000" w:rsidRPr="00000000">
              <w:rPr>
                <w:rFonts w:ascii="Times New Roman" w:cs="Times New Roman" w:eastAsia="Times New Roman" w:hAnsi="Times New Roman"/>
                <w:sz w:val="26"/>
                <w:szCs w:val="26"/>
                <w:vertAlign w:val="superscript"/>
                <w:rtl w:val="0"/>
              </w:rPr>
              <w:t xml:space="preserve">2 </w:t>
            </w: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 habit </w:t>
            </w:r>
          </w:p>
        </w:tc>
      </w:tr>
      <w:tr>
        <w:trPr>
          <w:trHeight w:val="12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Bignoniaceae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Tabebuia ochraceae</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deciduous </w:t>
            </w:r>
          </w:p>
        </w:tc>
      </w:tr>
      <w:tr>
        <w:trPr>
          <w:trHeight w:val="149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Fabaceae— </w:t>
            </w:r>
          </w:p>
          <w:p w:rsidR="00000000" w:rsidDel="00000000" w:rsidP="00000000" w:rsidRDefault="00000000" w:rsidRPr="00000000" w14:paraId="000000E8">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fixing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E9">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Dalbergia retusa</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deciduous </w:t>
            </w:r>
          </w:p>
        </w:tc>
      </w:tr>
      <w:tr>
        <w:trPr>
          <w:trHeight w:val="12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EE">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Enterolobium cyclocarpum</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145.5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deciduous </w:t>
            </w:r>
          </w:p>
        </w:tc>
      </w:tr>
      <w:tr>
        <w:trPr>
          <w:trHeight w:val="12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F3">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Gliricidia sepium</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deciduous </w:t>
            </w:r>
          </w:p>
        </w:tc>
      </w:tr>
      <w:tr>
        <w:trPr>
          <w:trHeight w:val="12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Fabaceae—non-fixing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Hymenaea courbaril</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69.4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semi-deciduous </w:t>
            </w:r>
          </w:p>
        </w:tc>
      </w:tr>
      <w:tr>
        <w:trPr>
          <w:trHeight w:val="12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Malvaceae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Pachira quinata</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105.6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deciduous </w:t>
            </w:r>
          </w:p>
        </w:tc>
      </w:tr>
      <w:tr>
        <w:trPr>
          <w:trHeight w:val="12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Meliaceae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Swietenia macrophylla</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68.7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deciduous </w:t>
            </w:r>
          </w:p>
        </w:tc>
      </w:tr>
      <w:tr>
        <w:trPr>
          <w:trHeight w:val="125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Simaroubaceae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Simarouba glauca</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pBdr>
                <w:left w:color="auto" w:space="0" w:sz="0" w:val="none"/>
                <w:right w:color="auto" w:space="0" w:sz="0" w:val="none"/>
              </w:pBd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evergreen </w:t>
            </w:r>
          </w:p>
        </w:tc>
      </w:tr>
    </w:tbl>
    <w:p w:rsidR="00000000" w:rsidDel="00000000" w:rsidP="00000000" w:rsidRDefault="00000000" w:rsidRPr="00000000" w14:paraId="0000010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t xml:space="preserve">Salto de página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Results from ANOVAs  </w:t>
      </w:r>
    </w:p>
    <w:p w:rsidR="00000000" w:rsidDel="00000000" w:rsidP="00000000" w:rsidRDefault="00000000" w:rsidRPr="00000000" w14:paraId="0000011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  Final summary table (with examples) </w:t>
      </w:r>
    </w:p>
    <w:p w:rsidR="00000000" w:rsidDel="00000000" w:rsidP="00000000" w:rsidRDefault="00000000" w:rsidRPr="00000000" w14:paraId="0000011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6.3439490445862"/>
        <w:gridCol w:w="993.6305732484077"/>
        <w:gridCol w:w="1148.6369426751592"/>
        <w:gridCol w:w="1053.248407643312"/>
        <w:gridCol w:w="862.471337579618"/>
        <w:gridCol w:w="910.1656050955414"/>
        <w:gridCol w:w="779.0063694267517"/>
        <w:gridCol w:w="1029.4012738853503"/>
        <w:gridCol w:w="1077.095541401274"/>
        <w:tblGridChange w:id="0">
          <w:tblGrid>
            <w:gridCol w:w="1506.3439490445862"/>
            <w:gridCol w:w="993.6305732484077"/>
            <w:gridCol w:w="1148.6369426751592"/>
            <w:gridCol w:w="1053.248407643312"/>
            <w:gridCol w:w="862.471337579618"/>
            <w:gridCol w:w="910.1656050955414"/>
            <w:gridCol w:w="779.0063694267517"/>
            <w:gridCol w:w="1029.4012738853503"/>
            <w:gridCol w:w="1077.095541401274"/>
          </w:tblGrid>
        </w:tblGridChange>
      </w:tblGrid>
      <w:tr>
        <w:trPr>
          <w:trHeight w:val="114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Tabebuia ochraceae</w:t>
            </w:r>
            <w:r w:rsidDel="00000000" w:rsidR="00000000" w:rsidRPr="00000000">
              <w:rPr>
                <w:rFonts w:ascii="Times New Roman" w:cs="Times New Roman" w:eastAsia="Times New Roman" w:hAnsi="Times New Roman"/>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Dalbergia retusa</w:t>
            </w:r>
            <w:r w:rsidDel="00000000" w:rsidR="00000000" w:rsidRPr="00000000">
              <w:rPr>
                <w:rFonts w:ascii="Times New Roman" w:cs="Times New Roman" w:eastAsia="Times New Roman" w:hAnsi="Times New Roman"/>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Enterolobium cyclocarpum</w:t>
            </w:r>
            <w:r w:rsidDel="00000000" w:rsidR="00000000" w:rsidRPr="00000000">
              <w:rPr>
                <w:rFonts w:ascii="Times New Roman" w:cs="Times New Roman" w:eastAsia="Times New Roman" w:hAnsi="Times New Roman"/>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Gliricidia sepium</w:t>
            </w:r>
            <w:r w:rsidDel="00000000" w:rsidR="00000000" w:rsidRPr="00000000">
              <w:rPr>
                <w:rFonts w:ascii="Times New Roman" w:cs="Times New Roman" w:eastAsia="Times New Roman" w:hAnsi="Times New Roman"/>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Hymenaea courbaril</w:t>
            </w:r>
            <w:r w:rsidDel="00000000" w:rsidR="00000000" w:rsidRPr="00000000">
              <w:rPr>
                <w:rFonts w:ascii="Times New Roman" w:cs="Times New Roman" w:eastAsia="Times New Roman" w:hAnsi="Times New Roman"/>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Pachira quinata</w:t>
            </w:r>
            <w:r w:rsidDel="00000000" w:rsidR="00000000" w:rsidRPr="00000000">
              <w:rPr>
                <w:rFonts w:ascii="Times New Roman" w:cs="Times New Roman" w:eastAsia="Times New Roman" w:hAnsi="Times New Roman"/>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Swietenia macrophylla</w:t>
            </w:r>
            <w:r w:rsidDel="00000000" w:rsidR="00000000" w:rsidRPr="00000000">
              <w:rPr>
                <w:rFonts w:ascii="Times New Roman" w:cs="Times New Roman" w:eastAsia="Times New Roman" w:hAnsi="Times New Roman"/>
                <w:sz w:val="16"/>
                <w:szCs w:val="16"/>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pBdr>
                <w:left w:color="auto" w:space="0" w:sz="0" w:val="none"/>
                <w:right w:color="auto" w:space="0" w:sz="0" w:val="none"/>
              </w:pBdr>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Simarouba glauca</w:t>
            </w:r>
            <w:r w:rsidDel="00000000" w:rsidR="00000000" w:rsidRPr="00000000">
              <w:rPr>
                <w:rFonts w:ascii="Times New Roman" w:cs="Times New Roman" w:eastAsia="Times New Roman" w:hAnsi="Times New Roman"/>
                <w:sz w:val="16"/>
                <w:szCs w:val="16"/>
                <w:rtl w:val="0"/>
              </w:rPr>
              <w:t xml:space="preserve"> </w:t>
            </w:r>
          </w:p>
        </w:tc>
      </w:tr>
      <w:tr>
        <w:trPr>
          <w:trHeight w:val="16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biomass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Nutrient limited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Additive co-limitation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 mass fraction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 mass fraction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mass fraction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growth rate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height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Photosynthesis rate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Conductance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Instantaneous WUE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6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Foliar stable carbon isotope concentration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Foliar nitrogen concentration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34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Mycorrhizal colonization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9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Nodule number (N-fixing legumes only)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65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Nodule mass (N-fixing legumes only)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B2">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pBdr>
          <w:left w:color="auto" w:space="0" w:sz="0" w:val="none"/>
          <w:right w:color="auto" w:space="0" w:sz="0" w:val="none"/>
        </w:pBdr>
        <w:spacing w:after="240" w:before="240" w:lineRule="auto"/>
        <w:rPr>
          <w:rFonts w:ascii="Times New Roman" w:cs="Times New Roman" w:eastAsia="Times New Roman" w:hAnsi="Times New Roman"/>
          <w:sz w:val="24"/>
          <w:szCs w:val="24"/>
        </w:rPr>
      </w:pPr>
      <w:r w:rsidDel="00000000" w:rsidR="00000000" w:rsidRPr="00000000">
        <w:rPr>
          <w:rtl w:val="0"/>
        </w:rPr>
        <w:t xml:space="preserve">Salto de página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pBdr>
          <w:left w:color="auto" w:space="0" w:sz="0" w:val="none"/>
          <w:right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Cited </w:t>
      </w:r>
    </w:p>
    <w:p w:rsidR="00000000" w:rsidDel="00000000" w:rsidP="00000000" w:rsidRDefault="00000000" w:rsidRPr="00000000" w14:paraId="000001B7">
      <w:pPr>
        <w:pBdr>
          <w:left w:color="auto" w:space="0" w:sz="0" w:val="none"/>
          <w:right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pBdr>
          <w:left w:color="auto" w:space="0" w:sz="0" w:val="none"/>
          <w:right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Baraloto, C., D. Bonal, and D. E. Goldberg. 2006. Differential seedling growth response to soil resource availability among nine neotropical tree species. Journal of Tropical Ecology </w:t>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:487-497. </w:t>
      </w:r>
    </w:p>
    <w:p w:rsidR="00000000" w:rsidDel="00000000" w:rsidP="00000000" w:rsidRDefault="00000000" w:rsidRPr="00000000" w14:paraId="000001BA">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Becknell, J. M., and J. S. Powers. 2014. Stand age and soils as drivers of plant functional traits and aboveground biomass in secondary tropical dry forest. Can. J. Forest Research </w:t>
      </w: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:603-614. </w:t>
      </w:r>
    </w:p>
    <w:p w:rsidR="00000000" w:rsidDel="00000000" w:rsidP="00000000" w:rsidRDefault="00000000" w:rsidRPr="00000000" w14:paraId="000001BB">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Birhane, E., T. W. Kuyper, F. J. Sterck, K. Gebrehiwot, and F. Bongers. 2015. Arbuscular mycorrhiza and water and nutrient supply differently impact seedling performance of dry woodland species with different acquisition strategies. Plant Ecology &amp; Diversity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:387-399. </w:t>
      </w:r>
    </w:p>
    <w:p w:rsidR="00000000" w:rsidDel="00000000" w:rsidP="00000000" w:rsidRDefault="00000000" w:rsidRPr="00000000" w14:paraId="000001BC">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Burslem, D., P. J. Grubb, and I. M. Turner. 1996. Responses to simulated drought and elevated nutrient supply among shade-tolerant tree seedlings of lowland tropical forest in Singapore. Biotropica </w:t>
      </w:r>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:636-648. </w:t>
      </w:r>
    </w:p>
    <w:p w:rsidR="00000000" w:rsidDel="00000000" w:rsidP="00000000" w:rsidRDefault="00000000" w:rsidRPr="00000000" w14:paraId="000001BD">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Canham, C. D., A. R. Berkowitz, V. R. Kelly, G. M. Lovett, S. V. Ollinger, and J. Schnurr. 1996. Biomass allocation and multiple resource limitation in tree seedlings. Canadian Journal of Forest Research-Revue Canadienne De Recherche Forestiere </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:1521-1530. </w:t>
      </w:r>
    </w:p>
    <w:p w:rsidR="00000000" w:rsidDel="00000000" w:rsidP="00000000" w:rsidRDefault="00000000" w:rsidRPr="00000000" w14:paraId="000001BE">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Ceccon, E., P. Huante, and J. Campo. 2003. Effects of nitrogen and phosphorus fertilization on the survival and recruitment of seedlings of dominant tree species in two abandoned tropical dry forests in Yucatán, Mexico. Forest Ecology and Management </w:t>
      </w:r>
      <w:r w:rsidDel="00000000" w:rsidR="00000000" w:rsidRPr="00000000">
        <w:rPr>
          <w:rFonts w:ascii="Times New Roman" w:cs="Times New Roman" w:eastAsia="Times New Roman" w:hAnsi="Times New Roman"/>
          <w:b w:val="1"/>
          <w:sz w:val="24"/>
          <w:szCs w:val="24"/>
          <w:rtl w:val="0"/>
        </w:rPr>
        <w:t xml:space="preserve">182</w:t>
      </w:r>
      <w:r w:rsidDel="00000000" w:rsidR="00000000" w:rsidRPr="00000000">
        <w:rPr>
          <w:rFonts w:ascii="Times New Roman" w:cs="Times New Roman" w:eastAsia="Times New Roman" w:hAnsi="Times New Roman"/>
          <w:sz w:val="24"/>
          <w:szCs w:val="24"/>
          <w:rtl w:val="0"/>
        </w:rPr>
        <w:t xml:space="preserve">:387-402. </w:t>
      </w:r>
    </w:p>
    <w:p w:rsidR="00000000" w:rsidDel="00000000" w:rsidP="00000000" w:rsidRDefault="00000000" w:rsidRPr="00000000" w14:paraId="000001BF">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Cooley, S. S., C. A. Williams, J. B. Fisher, G. H. Halverson, J. Perret, and C. M. Lee. 2019. Assessing regional drought impacts on vegetation and evapotranspiration: a case study in Guanacaste, Costa Rica. Ecological Applications </w:t>
      </w:r>
      <w:r w:rsidDel="00000000" w:rsidR="00000000" w:rsidRPr="00000000">
        <w:rPr>
          <w:rFonts w:ascii="Times New Roman" w:cs="Times New Roman" w:eastAsia="Times New Roman" w:hAnsi="Times New Roman"/>
          <w:b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:e01834. </w:t>
      </w:r>
    </w:p>
    <w:p w:rsidR="00000000" w:rsidDel="00000000" w:rsidP="00000000" w:rsidRDefault="00000000" w:rsidRPr="00000000" w14:paraId="000001C0">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Freschet, G. T., P. J. Bellingham, P. O. Lyver, K. I. Bonner, and D. A. Wardle. 2013. Plasticity in above- and belowground resource acquisition traits in response to single and multiple environmental factors in three tree species. Ecology and Evolution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:1065-1078. </w:t>
      </w:r>
    </w:p>
    <w:p w:rsidR="00000000" w:rsidDel="00000000" w:rsidP="00000000" w:rsidRDefault="00000000" w:rsidRPr="00000000" w14:paraId="000001C1">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Gerhardt, K. 1993. Tree seedling development in tropical dry abandoned pasture and secondary forest in Costa Rica. J. of Vegetation Science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:95-102. </w:t>
      </w:r>
    </w:p>
    <w:p w:rsidR="00000000" w:rsidDel="00000000" w:rsidP="00000000" w:rsidRDefault="00000000" w:rsidRPr="00000000" w14:paraId="000001C2">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Graciano, C., J. J. Guiamet, and J. F. Goya. 2005. Impact of nitrogen and phosphorus fertilization on drought responses in Eucalyptus grandis seedlings. Forest Ecology and Management </w:t>
      </w:r>
      <w:r w:rsidDel="00000000" w:rsidR="00000000" w:rsidRPr="00000000">
        <w:rPr>
          <w:rFonts w:ascii="Times New Roman" w:cs="Times New Roman" w:eastAsia="Times New Roman" w:hAnsi="Times New Roman"/>
          <w:b w:val="1"/>
          <w:sz w:val="24"/>
          <w:szCs w:val="24"/>
          <w:rtl w:val="0"/>
        </w:rPr>
        <w:t xml:space="preserve">212</w:t>
      </w:r>
      <w:r w:rsidDel="00000000" w:rsidR="00000000" w:rsidRPr="00000000">
        <w:rPr>
          <w:rFonts w:ascii="Times New Roman" w:cs="Times New Roman" w:eastAsia="Times New Roman" w:hAnsi="Times New Roman"/>
          <w:sz w:val="24"/>
          <w:szCs w:val="24"/>
          <w:rtl w:val="0"/>
        </w:rPr>
        <w:t xml:space="preserve">:40-49. </w:t>
      </w:r>
    </w:p>
    <w:p w:rsidR="00000000" w:rsidDel="00000000" w:rsidP="00000000" w:rsidRDefault="00000000" w:rsidRPr="00000000" w14:paraId="000001C3">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Gutiérrez-Leitón, M. 2013. Horizontes. Déﬁcit hídrico en cifras., Area de Conservacion Guanacaste, Liberia. </w:t>
      </w:r>
    </w:p>
    <w:p w:rsidR="00000000" w:rsidDel="00000000" w:rsidP="00000000" w:rsidRDefault="00000000" w:rsidRPr="00000000" w14:paraId="000001C4">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Holste, E. K., R. K. Kobe, and C. F. Vriesendorp. 2011. Seedling growth responses to soil resources in the understory of a wet tropical forest. Ecology </w:t>
      </w:r>
      <w:r w:rsidDel="00000000" w:rsidR="00000000" w:rsidRPr="00000000">
        <w:rPr>
          <w:rFonts w:ascii="Times New Roman" w:cs="Times New Roman" w:eastAsia="Times New Roman" w:hAnsi="Times New Roman"/>
          <w:b w:val="1"/>
          <w:sz w:val="24"/>
          <w:szCs w:val="24"/>
          <w:rtl w:val="0"/>
        </w:rPr>
        <w:t xml:space="preserve">92</w:t>
      </w:r>
      <w:r w:rsidDel="00000000" w:rsidR="00000000" w:rsidRPr="00000000">
        <w:rPr>
          <w:rFonts w:ascii="Times New Roman" w:cs="Times New Roman" w:eastAsia="Times New Roman" w:hAnsi="Times New Roman"/>
          <w:sz w:val="24"/>
          <w:szCs w:val="24"/>
          <w:rtl w:val="0"/>
        </w:rPr>
        <w:t xml:space="preserve">:1828-1838. </w:t>
      </w:r>
    </w:p>
    <w:p w:rsidR="00000000" w:rsidDel="00000000" w:rsidP="00000000" w:rsidRDefault="00000000" w:rsidRPr="00000000" w14:paraId="000001C5">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Huante, P., E. Rincon, and I. Acosta. 1995a. Nutrient availability and growth rate of 34 woody species from a tropical deciduous forest in Mexico. Functional Ecology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:849-858. </w:t>
      </w:r>
    </w:p>
    <w:p w:rsidR="00000000" w:rsidDel="00000000" w:rsidP="00000000" w:rsidRDefault="00000000" w:rsidRPr="00000000" w14:paraId="000001C6">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Huante, P., E. Rincon, and F. S. Chapin. 1995b. Responses to phosphorus of contrasting successional tree seedling species from the tropical deciduous forest of Mexico. Functional Ecology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:760-766. </w:t>
      </w:r>
    </w:p>
    <w:p w:rsidR="00000000" w:rsidDel="00000000" w:rsidP="00000000" w:rsidRDefault="00000000" w:rsidRPr="00000000" w14:paraId="000001C7">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Levine, J. M., and J. HilleRisLambers. 2009. The importance of niches for the maintenance of species diversity. Nature </w:t>
      </w:r>
      <w:r w:rsidDel="00000000" w:rsidR="00000000" w:rsidRPr="00000000">
        <w:rPr>
          <w:rFonts w:ascii="Times New Roman" w:cs="Times New Roman" w:eastAsia="Times New Roman" w:hAnsi="Times New Roman"/>
          <w:b w:val="1"/>
          <w:sz w:val="24"/>
          <w:szCs w:val="24"/>
          <w:rtl w:val="0"/>
        </w:rPr>
        <w:t xml:space="preserve">461</w:t>
      </w:r>
      <w:r w:rsidDel="00000000" w:rsidR="00000000" w:rsidRPr="00000000">
        <w:rPr>
          <w:rFonts w:ascii="Times New Roman" w:cs="Times New Roman" w:eastAsia="Times New Roman" w:hAnsi="Times New Roman"/>
          <w:sz w:val="24"/>
          <w:szCs w:val="24"/>
          <w:rtl w:val="0"/>
        </w:rPr>
        <w:t xml:space="preserve">:254-257. </w:t>
      </w:r>
    </w:p>
    <w:p w:rsidR="00000000" w:rsidDel="00000000" w:rsidP="00000000" w:rsidRDefault="00000000" w:rsidRPr="00000000" w14:paraId="000001C8">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Lodge, D. J., W. H. Mcdowell, and C. P. McSwiney. 1994. The importance of nutrient pulses in tropical forests. TREE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:384-387. </w:t>
      </w:r>
    </w:p>
    <w:p w:rsidR="00000000" w:rsidDel="00000000" w:rsidP="00000000" w:rsidRDefault="00000000" w:rsidRPr="00000000" w14:paraId="000001C9">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Maza-Villalobos, S., L. Poorter, and M. Martinez-Ramos. 2013. Effects of ENSO and Temporal Rainfall Variation on the Dynamics of Successional Communities in Old-Field Succession of a Tropical Dry Forest. PLOS ONE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Ribbens, E., J. A. Silander, and S. W. Pacala. 1994. Seedling recruitment in forests: calibrating models to predict patterns of tree seedling dispersal. Ecology </w:t>
      </w:r>
      <w:r w:rsidDel="00000000" w:rsidR="00000000" w:rsidRPr="00000000">
        <w:rPr>
          <w:rFonts w:ascii="Times New Roman" w:cs="Times New Roman" w:eastAsia="Times New Roman" w:hAnsi="Times New Roman"/>
          <w:b w:val="1"/>
          <w:sz w:val="24"/>
          <w:szCs w:val="24"/>
          <w:rtl w:val="0"/>
        </w:rPr>
        <w:t xml:space="preserve">75</w:t>
      </w:r>
      <w:r w:rsidDel="00000000" w:rsidR="00000000" w:rsidRPr="00000000">
        <w:rPr>
          <w:rFonts w:ascii="Times New Roman" w:cs="Times New Roman" w:eastAsia="Times New Roman" w:hAnsi="Times New Roman"/>
          <w:sz w:val="24"/>
          <w:szCs w:val="24"/>
          <w:rtl w:val="0"/>
        </w:rPr>
        <w:t xml:space="preserve">:1794-1806. </w:t>
      </w:r>
    </w:p>
    <w:p w:rsidR="00000000" w:rsidDel="00000000" w:rsidP="00000000" w:rsidRDefault="00000000" w:rsidRPr="00000000" w14:paraId="000001CB">
      <w:pPr>
        <w:pBdr>
          <w:left w:color="auto" w:space="-36" w:sz="0" w:val="none"/>
          <w:right w:color="auto" w:space="0" w:sz="0" w:val="none"/>
        </w:pBdr>
        <w:spacing w:after="240" w:befor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Tomlinson, K. W., L. Poorter, F. Bongers, F. Borghetti, L. Jacobs, and F. van Langevelde. 2014. Relative growth rate variation of evergreen and deciduous savanna tree species is driven by different traits. Annals of Botany </w:t>
      </w:r>
      <w:r w:rsidDel="00000000" w:rsidR="00000000" w:rsidRPr="00000000">
        <w:rPr>
          <w:rFonts w:ascii="Times New Roman" w:cs="Times New Roman" w:eastAsia="Times New Roman" w:hAnsi="Times New Roman"/>
          <w:b w:val="1"/>
          <w:sz w:val="24"/>
          <w:szCs w:val="24"/>
          <w:rtl w:val="0"/>
        </w:rPr>
        <w:t xml:space="preserve">114</w:t>
      </w:r>
      <w:r w:rsidDel="00000000" w:rsidR="00000000" w:rsidRPr="00000000">
        <w:rPr>
          <w:rFonts w:ascii="Times New Roman" w:cs="Times New Roman" w:eastAsia="Times New Roman" w:hAnsi="Times New Roman"/>
          <w:sz w:val="24"/>
          <w:szCs w:val="24"/>
          <w:rtl w:val="0"/>
        </w:rPr>
        <w:t xml:space="preserve">:315-324. </w:t>
      </w:r>
    </w:p>
    <w:p w:rsidR="00000000" w:rsidDel="00000000" w:rsidP="00000000" w:rsidRDefault="00000000" w:rsidRPr="00000000" w14:paraId="000001CC">
      <w:pPr>
        <w:pBdr>
          <w:left w:color="auto" w:space="0" w:sz="0" w:val="none"/>
          <w:right w:color="auto" w:space="0" w:sz="0" w:val="none"/>
        </w:pBdr>
        <w:spacing w:after="240" w:before="240" w:line="307.563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