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9A5D7" w14:textId="6138E869" w:rsidR="00F37922" w:rsidRPr="00A74BC5" w:rsidRDefault="00F37922" w:rsidP="00A74BC5">
      <w:pPr>
        <w:spacing w:after="120" w:line="360" w:lineRule="auto"/>
        <w:jc w:val="both"/>
        <w:rPr>
          <w:rFonts w:ascii="Times New Roman" w:eastAsiaTheme="minorEastAsia" w:hAnsi="Times New Roman" w:cs="Times New Roman"/>
          <w:b/>
          <w:sz w:val="24"/>
          <w:szCs w:val="24"/>
          <w:lang w:eastAsia="es-AR"/>
        </w:rPr>
      </w:pPr>
      <w:r>
        <w:rPr>
          <w:rFonts w:ascii="Times New Roman" w:eastAsiaTheme="minorEastAsia" w:hAnsi="Times New Roman" w:cs="Times New Roman"/>
          <w:b/>
          <w:sz w:val="24"/>
          <w:szCs w:val="24"/>
          <w:lang w:eastAsia="es-AR"/>
        </w:rPr>
        <w:t>M</w:t>
      </w:r>
      <w:r w:rsidRPr="00F37922">
        <w:rPr>
          <w:rFonts w:ascii="Times New Roman" w:eastAsiaTheme="minorEastAsia" w:hAnsi="Times New Roman" w:cs="Times New Roman"/>
          <w:b/>
          <w:sz w:val="24"/>
          <w:szCs w:val="24"/>
          <w:lang w:eastAsia="es-AR"/>
        </w:rPr>
        <w:t>achine learning-augmented single- and multi-trait single-step</w:t>
      </w:r>
      <w:r>
        <w:rPr>
          <w:rFonts w:ascii="Times New Roman" w:eastAsiaTheme="minorEastAsia" w:hAnsi="Times New Roman" w:cs="Times New Roman"/>
          <w:b/>
          <w:sz w:val="24"/>
          <w:szCs w:val="24"/>
          <w:lang w:eastAsia="es-AR"/>
        </w:rPr>
        <w:t xml:space="preserve"> GBLUP</w:t>
      </w:r>
      <w:r w:rsidRPr="00F37922">
        <w:rPr>
          <w:rFonts w:ascii="Times New Roman" w:eastAsiaTheme="minorEastAsia" w:hAnsi="Times New Roman" w:cs="Times New Roman"/>
          <w:b/>
          <w:sz w:val="24"/>
          <w:szCs w:val="24"/>
          <w:lang w:eastAsia="es-AR"/>
        </w:rPr>
        <w:t xml:space="preserve"> enhance</w:t>
      </w:r>
      <w:r>
        <w:rPr>
          <w:rFonts w:ascii="Times New Roman" w:eastAsiaTheme="minorEastAsia" w:hAnsi="Times New Roman" w:cs="Times New Roman"/>
          <w:b/>
          <w:sz w:val="24"/>
          <w:szCs w:val="24"/>
          <w:lang w:eastAsia="es-AR"/>
        </w:rPr>
        <w:t>d</w:t>
      </w:r>
      <w:r w:rsidRPr="00F37922">
        <w:rPr>
          <w:rFonts w:ascii="Times New Roman" w:eastAsiaTheme="minorEastAsia" w:hAnsi="Times New Roman" w:cs="Times New Roman"/>
          <w:b/>
          <w:sz w:val="24"/>
          <w:szCs w:val="24"/>
          <w:lang w:eastAsia="es-AR"/>
        </w:rPr>
        <w:t xml:space="preserve"> genomic prediction </w:t>
      </w:r>
      <w:r w:rsidR="00992514" w:rsidRPr="00992514">
        <w:rPr>
          <w:rFonts w:ascii="Times New Roman" w:eastAsiaTheme="minorEastAsia" w:hAnsi="Times New Roman" w:cs="Times New Roman"/>
          <w:b/>
          <w:sz w:val="24"/>
          <w:szCs w:val="24"/>
          <w:lang w:eastAsia="es-AR"/>
        </w:rPr>
        <w:t xml:space="preserve">in white </w:t>
      </w:r>
      <w:proofErr w:type="gramStart"/>
      <w:r w:rsidR="00992514" w:rsidRPr="00992514">
        <w:rPr>
          <w:rFonts w:ascii="Times New Roman" w:eastAsiaTheme="minorEastAsia" w:hAnsi="Times New Roman" w:cs="Times New Roman"/>
          <w:b/>
          <w:sz w:val="24"/>
          <w:szCs w:val="24"/>
          <w:lang w:eastAsia="es-AR"/>
        </w:rPr>
        <w:t>spruce</w:t>
      </w:r>
      <w:proofErr w:type="gramEnd"/>
    </w:p>
    <w:p w14:paraId="400F4A1E" w14:textId="77777777" w:rsidR="00A74BC5" w:rsidRPr="00A74BC5" w:rsidRDefault="00A74BC5" w:rsidP="00A74BC5">
      <w:pPr>
        <w:spacing w:after="120" w:line="360" w:lineRule="auto"/>
        <w:jc w:val="both"/>
        <w:rPr>
          <w:rFonts w:ascii="Times New Roman" w:hAnsi="Times New Roman" w:cs="Times New Roman"/>
          <w:sz w:val="24"/>
          <w:szCs w:val="24"/>
        </w:rPr>
      </w:pPr>
    </w:p>
    <w:p w14:paraId="259B4A40" w14:textId="2D05020B" w:rsidR="00A74BC5" w:rsidRPr="00A74BC5" w:rsidRDefault="00A74BC5" w:rsidP="00A74BC5">
      <w:pPr>
        <w:spacing w:after="120" w:line="360" w:lineRule="auto"/>
        <w:jc w:val="both"/>
        <w:rPr>
          <w:rFonts w:ascii="Times New Roman" w:hAnsi="Times New Roman" w:cs="Times New Roman"/>
          <w:sz w:val="24"/>
          <w:szCs w:val="24"/>
        </w:rPr>
      </w:pPr>
      <w:r w:rsidRPr="00A74BC5">
        <w:rPr>
          <w:rFonts w:ascii="Times New Roman" w:hAnsi="Times New Roman" w:cs="Times New Roman"/>
          <w:sz w:val="24"/>
          <w:szCs w:val="24"/>
        </w:rPr>
        <w:t>Eduardo P. Cappa</w:t>
      </w:r>
      <w:r w:rsidRPr="00A74BC5">
        <w:rPr>
          <w:rFonts w:ascii="Times New Roman" w:hAnsi="Times New Roman" w:cs="Times New Roman"/>
          <w:sz w:val="24"/>
          <w:szCs w:val="24"/>
          <w:vertAlign w:val="superscript"/>
        </w:rPr>
        <w:t>1,2*</w:t>
      </w:r>
      <w:r w:rsidRPr="00A74BC5">
        <w:rPr>
          <w:rFonts w:ascii="Times New Roman" w:hAnsi="Times New Roman" w:cs="Times New Roman"/>
          <w:sz w:val="24"/>
          <w:szCs w:val="24"/>
        </w:rPr>
        <w:t>, Charles Chen</w:t>
      </w:r>
      <w:r w:rsidRPr="00A74BC5">
        <w:rPr>
          <w:rFonts w:ascii="Times New Roman" w:hAnsi="Times New Roman" w:cs="Times New Roman"/>
          <w:sz w:val="24"/>
          <w:szCs w:val="24"/>
          <w:vertAlign w:val="superscript"/>
        </w:rPr>
        <w:t>3</w:t>
      </w:r>
      <w:r w:rsidRPr="00A74BC5">
        <w:rPr>
          <w:rFonts w:ascii="Times New Roman" w:hAnsi="Times New Roman" w:cs="Times New Roman"/>
          <w:sz w:val="24"/>
          <w:szCs w:val="24"/>
        </w:rPr>
        <w:t>, Andy Benowicz</w:t>
      </w:r>
      <w:r w:rsidRPr="00A74BC5">
        <w:rPr>
          <w:rFonts w:ascii="Times New Roman" w:hAnsi="Times New Roman" w:cs="Times New Roman"/>
          <w:sz w:val="24"/>
          <w:szCs w:val="24"/>
          <w:vertAlign w:val="superscript"/>
        </w:rPr>
        <w:t>4</w:t>
      </w:r>
      <w:r w:rsidRPr="00A74BC5">
        <w:rPr>
          <w:rFonts w:ascii="Times New Roman" w:hAnsi="Times New Roman" w:cs="Times New Roman"/>
          <w:sz w:val="24"/>
          <w:szCs w:val="24"/>
        </w:rPr>
        <w:t xml:space="preserve">, </w:t>
      </w:r>
      <w:r w:rsidR="003004E0" w:rsidRPr="00A74BC5">
        <w:rPr>
          <w:rFonts w:ascii="Times New Roman" w:hAnsi="Times New Roman" w:cs="Times New Roman"/>
          <w:sz w:val="24"/>
          <w:szCs w:val="24"/>
        </w:rPr>
        <w:t>Yousry A. El-Kassaby</w:t>
      </w:r>
      <w:r w:rsidR="003004E0">
        <w:rPr>
          <w:rFonts w:ascii="Times New Roman" w:hAnsi="Times New Roman" w:cs="Times New Roman"/>
          <w:sz w:val="24"/>
          <w:szCs w:val="24"/>
          <w:vertAlign w:val="superscript"/>
        </w:rPr>
        <w:t>5</w:t>
      </w:r>
      <w:r w:rsidR="003004E0">
        <w:rPr>
          <w:rFonts w:ascii="Times New Roman" w:hAnsi="Times New Roman" w:cs="Times New Roman"/>
          <w:sz w:val="24"/>
          <w:szCs w:val="24"/>
        </w:rPr>
        <w:t xml:space="preserve">, </w:t>
      </w:r>
      <w:r w:rsidR="0069736C">
        <w:rPr>
          <w:rFonts w:ascii="Times New Roman" w:hAnsi="Times New Roman" w:cs="Times New Roman"/>
          <w:sz w:val="24"/>
          <w:szCs w:val="24"/>
        </w:rPr>
        <w:t xml:space="preserve">and </w:t>
      </w:r>
      <w:r w:rsidRPr="00A74BC5">
        <w:rPr>
          <w:rFonts w:ascii="Times New Roman" w:hAnsi="Times New Roman" w:cs="Times New Roman"/>
          <w:sz w:val="24"/>
          <w:szCs w:val="24"/>
        </w:rPr>
        <w:t>Barb R. Thomas</w:t>
      </w:r>
      <w:r w:rsidR="003004E0">
        <w:rPr>
          <w:rFonts w:ascii="Times New Roman" w:hAnsi="Times New Roman" w:cs="Times New Roman"/>
          <w:sz w:val="24"/>
          <w:szCs w:val="24"/>
          <w:vertAlign w:val="superscript"/>
        </w:rPr>
        <w:t>6</w:t>
      </w:r>
    </w:p>
    <w:p w14:paraId="517C3B90" w14:textId="77777777" w:rsidR="00A74BC5" w:rsidRPr="00A74BC5" w:rsidRDefault="00A74BC5" w:rsidP="00A74BC5">
      <w:pPr>
        <w:spacing w:after="0" w:line="480" w:lineRule="auto"/>
        <w:jc w:val="both"/>
        <w:rPr>
          <w:rFonts w:ascii="Times New Roman" w:hAnsi="Times New Roman" w:cs="Times New Roman"/>
          <w:sz w:val="24"/>
          <w:szCs w:val="24"/>
        </w:rPr>
      </w:pPr>
    </w:p>
    <w:p w14:paraId="2605D3A3" w14:textId="512D797E" w:rsidR="00A74BC5" w:rsidRPr="00A74BC5" w:rsidRDefault="00A74BC5" w:rsidP="00A74BC5">
      <w:pPr>
        <w:spacing w:after="0" w:line="360" w:lineRule="auto"/>
        <w:ind w:left="142" w:hanging="142"/>
        <w:jc w:val="both"/>
        <w:rPr>
          <w:rFonts w:ascii="Times New Roman" w:hAnsi="Times New Roman" w:cs="Times New Roman"/>
          <w:sz w:val="24"/>
          <w:szCs w:val="24"/>
          <w:lang w:val="es-ES"/>
        </w:rPr>
      </w:pPr>
      <w:r w:rsidRPr="00A74BC5">
        <w:rPr>
          <w:rFonts w:ascii="Times New Roman" w:hAnsi="Times New Roman" w:cs="Times New Roman"/>
          <w:sz w:val="24"/>
          <w:szCs w:val="24"/>
          <w:vertAlign w:val="superscript"/>
          <w:lang w:val="es-ES"/>
        </w:rPr>
        <w:t xml:space="preserve">1 </w:t>
      </w:r>
      <w:proofErr w:type="gramStart"/>
      <w:r w:rsidRPr="00A74BC5">
        <w:rPr>
          <w:rFonts w:ascii="Times New Roman" w:hAnsi="Times New Roman" w:cs="Times New Roman"/>
          <w:sz w:val="24"/>
          <w:szCs w:val="24"/>
          <w:lang w:val="es-ES"/>
        </w:rPr>
        <w:t>Instituto</w:t>
      </w:r>
      <w:proofErr w:type="gramEnd"/>
      <w:r w:rsidRPr="00A74BC5">
        <w:rPr>
          <w:rFonts w:ascii="Times New Roman" w:hAnsi="Times New Roman" w:cs="Times New Roman"/>
          <w:sz w:val="24"/>
          <w:szCs w:val="24"/>
          <w:lang w:val="es-ES"/>
        </w:rPr>
        <w:t xml:space="preserve"> Nacional de Tecnología Agropecuaria (INTA), Instituto de Recursos Biológicos, Centro de Investigación en Recursos Naturales</w:t>
      </w:r>
    </w:p>
    <w:p w14:paraId="4894E344" w14:textId="32CBD815" w:rsidR="00A74BC5" w:rsidRPr="00A74BC5" w:rsidRDefault="00A74BC5" w:rsidP="00A74BC5">
      <w:pPr>
        <w:spacing w:after="0" w:line="360" w:lineRule="auto"/>
        <w:jc w:val="both"/>
        <w:rPr>
          <w:rFonts w:ascii="Times New Roman" w:hAnsi="Times New Roman" w:cs="Times New Roman"/>
          <w:sz w:val="24"/>
          <w:szCs w:val="24"/>
          <w:lang w:val="es-ES"/>
        </w:rPr>
      </w:pPr>
      <w:r w:rsidRPr="00A74BC5">
        <w:rPr>
          <w:rFonts w:ascii="Times New Roman" w:hAnsi="Times New Roman" w:cs="Times New Roman"/>
          <w:sz w:val="24"/>
          <w:szCs w:val="24"/>
          <w:vertAlign w:val="superscript"/>
          <w:lang w:val="es-ES"/>
        </w:rPr>
        <w:t xml:space="preserve">2 </w:t>
      </w:r>
      <w:proofErr w:type="gramStart"/>
      <w:r w:rsidRPr="00A74BC5">
        <w:rPr>
          <w:rFonts w:ascii="Times New Roman" w:hAnsi="Times New Roman" w:cs="Times New Roman"/>
          <w:sz w:val="24"/>
          <w:szCs w:val="24"/>
          <w:lang w:val="es-ES"/>
        </w:rPr>
        <w:t>Consejo</w:t>
      </w:r>
      <w:proofErr w:type="gramEnd"/>
      <w:r w:rsidRPr="00A74BC5">
        <w:rPr>
          <w:rFonts w:ascii="Times New Roman" w:hAnsi="Times New Roman" w:cs="Times New Roman"/>
          <w:sz w:val="24"/>
          <w:szCs w:val="24"/>
          <w:lang w:val="es-ES"/>
        </w:rPr>
        <w:t xml:space="preserve"> Nacional de Investigaciones Científicas y Técnicas (CONICET)</w:t>
      </w:r>
    </w:p>
    <w:p w14:paraId="12DF7362" w14:textId="34A68B2D" w:rsidR="00A74BC5" w:rsidRPr="00A74BC5" w:rsidRDefault="00A74BC5" w:rsidP="00A74BC5">
      <w:pPr>
        <w:spacing w:after="0" w:line="360" w:lineRule="auto"/>
        <w:ind w:left="142" w:hanging="142"/>
        <w:jc w:val="both"/>
        <w:rPr>
          <w:rFonts w:ascii="Times New Roman" w:hAnsi="Times New Roman" w:cs="Times New Roman"/>
          <w:sz w:val="24"/>
          <w:szCs w:val="24"/>
        </w:rPr>
      </w:pPr>
      <w:r w:rsidRPr="00A74BC5">
        <w:rPr>
          <w:rFonts w:ascii="Times New Roman" w:hAnsi="Times New Roman" w:cs="Times New Roman"/>
          <w:sz w:val="24"/>
          <w:szCs w:val="24"/>
          <w:vertAlign w:val="superscript"/>
        </w:rPr>
        <w:t>3</w:t>
      </w:r>
      <w:r w:rsidRPr="00A74BC5">
        <w:rPr>
          <w:rFonts w:ascii="Times New Roman" w:hAnsi="Times New Roman" w:cs="Times New Roman"/>
          <w:sz w:val="24"/>
          <w:szCs w:val="24"/>
        </w:rPr>
        <w:t xml:space="preserve"> Department of Biochemistry and Molecular Biology, Oklahoma State University</w:t>
      </w:r>
    </w:p>
    <w:p w14:paraId="215A3B9D" w14:textId="0E52659A" w:rsidR="00A74BC5" w:rsidRPr="00A74BC5" w:rsidRDefault="00A74BC5" w:rsidP="00A74BC5">
      <w:pPr>
        <w:spacing w:after="0" w:line="360" w:lineRule="auto"/>
        <w:ind w:left="142" w:hanging="142"/>
        <w:jc w:val="both"/>
        <w:rPr>
          <w:rFonts w:ascii="Times New Roman" w:hAnsi="Times New Roman" w:cs="Times New Roman"/>
          <w:sz w:val="24"/>
          <w:szCs w:val="24"/>
        </w:rPr>
      </w:pPr>
      <w:r w:rsidRPr="00A74BC5">
        <w:rPr>
          <w:rFonts w:ascii="Times New Roman" w:hAnsi="Times New Roman" w:cs="Times New Roman"/>
          <w:sz w:val="24"/>
          <w:szCs w:val="24"/>
          <w:vertAlign w:val="superscript"/>
        </w:rPr>
        <w:t>4</w:t>
      </w:r>
      <w:r w:rsidRPr="00A74BC5">
        <w:rPr>
          <w:rFonts w:ascii="Times New Roman" w:hAnsi="Times New Roman" w:cs="Times New Roman"/>
          <w:sz w:val="24"/>
          <w:szCs w:val="24"/>
        </w:rPr>
        <w:t xml:space="preserve"> Forest Stewardship and Trade Branch, Alberta Forestry and Parks, Edmonton</w:t>
      </w:r>
    </w:p>
    <w:p w14:paraId="1AAB9251" w14:textId="6FF91697" w:rsidR="003004E0" w:rsidRDefault="00A74BC5" w:rsidP="00A74BC5">
      <w:pPr>
        <w:spacing w:after="0" w:line="360" w:lineRule="auto"/>
        <w:ind w:left="142" w:hanging="142"/>
        <w:jc w:val="both"/>
        <w:rPr>
          <w:rFonts w:ascii="Times New Roman" w:hAnsi="Times New Roman" w:cs="Times New Roman"/>
          <w:sz w:val="24"/>
          <w:szCs w:val="24"/>
        </w:rPr>
      </w:pPr>
      <w:r w:rsidRPr="00A74BC5">
        <w:rPr>
          <w:rFonts w:ascii="Times New Roman" w:hAnsi="Times New Roman" w:cs="Times New Roman"/>
          <w:sz w:val="24"/>
          <w:szCs w:val="24"/>
          <w:vertAlign w:val="superscript"/>
        </w:rPr>
        <w:t xml:space="preserve">5 </w:t>
      </w:r>
      <w:r w:rsidR="003004E0" w:rsidRPr="00A74BC5">
        <w:rPr>
          <w:rFonts w:ascii="Times New Roman" w:hAnsi="Times New Roman" w:cs="Times New Roman"/>
          <w:sz w:val="24"/>
          <w:szCs w:val="24"/>
        </w:rPr>
        <w:t>Department of Forest and Conservation Sciences, Faculty of Forestry, University of British Columbia</w:t>
      </w:r>
    </w:p>
    <w:p w14:paraId="1DADB4AD" w14:textId="41B5851F" w:rsidR="00A74BC5" w:rsidRPr="00A74BC5" w:rsidRDefault="003004E0" w:rsidP="00A74BC5">
      <w:pPr>
        <w:spacing w:after="0" w:line="360" w:lineRule="auto"/>
        <w:ind w:left="142" w:hanging="142"/>
        <w:jc w:val="both"/>
        <w:rPr>
          <w:rFonts w:ascii="Times New Roman" w:hAnsi="Times New Roman" w:cs="Times New Roman"/>
          <w:sz w:val="24"/>
          <w:szCs w:val="24"/>
        </w:rPr>
      </w:pPr>
      <w:r w:rsidRPr="00A74BC5">
        <w:rPr>
          <w:rFonts w:ascii="Times New Roman" w:hAnsi="Times New Roman" w:cs="Times New Roman"/>
          <w:sz w:val="24"/>
          <w:szCs w:val="24"/>
          <w:vertAlign w:val="superscript"/>
        </w:rPr>
        <w:t xml:space="preserve">6 </w:t>
      </w:r>
      <w:r w:rsidR="00A74BC5" w:rsidRPr="00A74BC5">
        <w:rPr>
          <w:rFonts w:ascii="Times New Roman" w:hAnsi="Times New Roman" w:cs="Times New Roman"/>
          <w:sz w:val="24"/>
          <w:szCs w:val="24"/>
        </w:rPr>
        <w:t>Department of Renewable Resources, University of Alberta</w:t>
      </w:r>
    </w:p>
    <w:p w14:paraId="0673B7B2" w14:textId="35E16193" w:rsidR="00A74BC5" w:rsidRDefault="00A74BC5" w:rsidP="00A74BC5">
      <w:pPr>
        <w:spacing w:after="0" w:line="360" w:lineRule="auto"/>
        <w:jc w:val="both"/>
        <w:rPr>
          <w:rFonts w:ascii="Times New Roman" w:hAnsi="Times New Roman" w:cs="Times New Roman"/>
          <w:sz w:val="20"/>
          <w:szCs w:val="20"/>
        </w:rPr>
      </w:pPr>
    </w:p>
    <w:p w14:paraId="22690D16" w14:textId="77777777" w:rsidR="00A74BC5" w:rsidRDefault="00A74BC5">
      <w:pPr>
        <w:rPr>
          <w:rFonts w:ascii="Times New Roman" w:hAnsi="Times New Roman" w:cs="Times New Roman"/>
          <w:sz w:val="20"/>
          <w:szCs w:val="20"/>
        </w:rPr>
      </w:pPr>
      <w:r>
        <w:rPr>
          <w:rFonts w:ascii="Times New Roman" w:hAnsi="Times New Roman" w:cs="Times New Roman"/>
          <w:sz w:val="20"/>
          <w:szCs w:val="20"/>
        </w:rPr>
        <w:br w:type="page"/>
      </w:r>
    </w:p>
    <w:p w14:paraId="3327BFD0" w14:textId="77777777" w:rsidR="00A74BC5" w:rsidRDefault="00A74BC5" w:rsidP="00A74BC5">
      <w:pPr>
        <w:spacing w:after="120" w:line="360" w:lineRule="auto"/>
        <w:rPr>
          <w:rFonts w:ascii="Times New Roman" w:hAnsi="Times New Roman" w:cs="Times New Roman"/>
          <w:b/>
          <w:sz w:val="24"/>
          <w:szCs w:val="24"/>
        </w:rPr>
      </w:pPr>
      <w:r w:rsidRPr="00740028">
        <w:rPr>
          <w:rFonts w:ascii="Times New Roman" w:hAnsi="Times New Roman" w:cs="Times New Roman"/>
          <w:b/>
          <w:sz w:val="24"/>
          <w:szCs w:val="24"/>
        </w:rPr>
        <w:lastRenderedPageBreak/>
        <w:t>Abstract</w:t>
      </w:r>
    </w:p>
    <w:p w14:paraId="589AA4C6" w14:textId="77777777" w:rsidR="00F712C3" w:rsidRDefault="00F712C3" w:rsidP="00F712C3">
      <w:pPr>
        <w:pStyle w:val="NormalWeb"/>
        <w:spacing w:after="120" w:afterAutospacing="0" w:line="360" w:lineRule="auto"/>
        <w:jc w:val="both"/>
      </w:pPr>
      <w:r>
        <w:rPr>
          <w:rStyle w:val="Textoennegrita"/>
        </w:rPr>
        <w:t>Background:</w:t>
      </w:r>
      <w:r>
        <w:t xml:space="preserve"> </w:t>
      </w:r>
      <w:r w:rsidRPr="009B4E30">
        <w:t>Genomic prediction in forest tree breeding has traditionally relied on parametric linear models such as genomic best linear unbiased prediction (GBLUP), which assume additive genetic effects and linear genotype–phenotype relationships. Although effective for additive traits, these models may be suboptimal for complex traits influenced by dominance and epistasis, particularly in long-lived tree species where</w:t>
      </w:r>
      <w:r w:rsidRPr="009B4E30">
        <w:rPr>
          <w:b/>
          <w:bCs/>
        </w:rPr>
        <w:t xml:space="preserve"> </w:t>
      </w:r>
      <w:r w:rsidRPr="009B4E30">
        <w:rPr>
          <w:rStyle w:val="Textoennegrita"/>
          <w:b w:val="0"/>
          <w:bCs w:val="0"/>
        </w:rPr>
        <w:t>productivity, defense, and climate-related traits</w:t>
      </w:r>
      <w:r w:rsidRPr="009B4E30">
        <w:t xml:space="preserve"> are often polygenic. Machine-learning (ML) kernel methods, including Gaussian and arc-cosine kernels, offer a flexible alternative by implicitly </w:t>
      </w:r>
      <w:r w:rsidRPr="009B4E30">
        <w:rPr>
          <w:rStyle w:val="Textoennegrita"/>
          <w:b w:val="0"/>
          <w:bCs w:val="0"/>
        </w:rPr>
        <w:t>capturing non-linear and interaction genetic effects</w:t>
      </w:r>
      <w:r w:rsidRPr="009B4E30">
        <w:rPr>
          <w:b/>
          <w:bCs/>
        </w:rPr>
        <w:t>,</w:t>
      </w:r>
      <w:r w:rsidRPr="009B4E30">
        <w:t xml:space="preserve"> yet their integration into single-step GBLUP (</w:t>
      </w:r>
      <w:proofErr w:type="spellStart"/>
      <w:r w:rsidRPr="009B4E30">
        <w:t>ssGBLUP</w:t>
      </w:r>
      <w:proofErr w:type="spellEnd"/>
      <w:r w:rsidRPr="009B4E30">
        <w:t xml:space="preserve">) </w:t>
      </w:r>
      <w:r w:rsidRPr="009B4E30">
        <w:rPr>
          <w:rStyle w:val="Textoennegrita"/>
          <w:b w:val="0"/>
          <w:bCs w:val="0"/>
        </w:rPr>
        <w:t>is limited</w:t>
      </w:r>
      <w:r w:rsidRPr="009B4E30">
        <w:rPr>
          <w:b/>
          <w:bCs/>
        </w:rPr>
        <w:t xml:space="preserve"> </w:t>
      </w:r>
      <w:r w:rsidRPr="009B4E30">
        <w:t>in forest trees.</w:t>
      </w:r>
    </w:p>
    <w:p w14:paraId="3FB01D24" w14:textId="77777777" w:rsidR="00F712C3" w:rsidRDefault="00F712C3" w:rsidP="00F712C3">
      <w:pPr>
        <w:pStyle w:val="NormalWeb"/>
        <w:spacing w:after="120" w:afterAutospacing="0" w:line="360" w:lineRule="auto"/>
        <w:jc w:val="both"/>
      </w:pPr>
      <w:r>
        <w:rPr>
          <w:rStyle w:val="Textoennegrita"/>
        </w:rPr>
        <w:t>Methods:</w:t>
      </w:r>
      <w:r>
        <w:t xml:space="preserve"> We evaluated single- and multi-trait </w:t>
      </w:r>
      <w:proofErr w:type="spellStart"/>
      <w:r>
        <w:t>ssGBLUP</w:t>
      </w:r>
      <w:proofErr w:type="spellEnd"/>
      <w:r>
        <w:t xml:space="preserve"> models using linear and non-linear kernels for 30 traits in white spruce (</w:t>
      </w:r>
      <w:proofErr w:type="spellStart"/>
      <w:r w:rsidRPr="00E76413">
        <w:rPr>
          <w:bCs/>
          <w:i/>
          <w:iCs/>
        </w:rPr>
        <w:t>Picea</w:t>
      </w:r>
      <w:proofErr w:type="spellEnd"/>
      <w:r w:rsidRPr="00E76413">
        <w:rPr>
          <w:bCs/>
          <w:i/>
          <w:iCs/>
        </w:rPr>
        <w:t xml:space="preserve"> glauca</w:t>
      </w:r>
      <w:r w:rsidRPr="00365C6F">
        <w:rPr>
          <w:bCs/>
        </w:rPr>
        <w:t xml:space="preserve"> (Moench) Voss</w:t>
      </w:r>
      <w:r>
        <w:t xml:space="preserve">). Phenotypic data were obtained from an open-pollinated progeny test in Alberta, Canada (up to 3,936 trees). A subset of 612 trees was genotyped using genotyping-by-sequencing, yielding 211,061 SNPs after quality control. Standard </w:t>
      </w:r>
      <w:proofErr w:type="spellStart"/>
      <w:r>
        <w:t>ssGBLUP</w:t>
      </w:r>
      <w:proofErr w:type="spellEnd"/>
      <w:r>
        <w:t xml:space="preserve"> using VanRaden’s genomic relationship matrix served as a benchmark and was compared with</w:t>
      </w:r>
      <w:r w:rsidRPr="009B4E30">
        <w:t xml:space="preserve"> two ML-based extensions</w:t>
      </w:r>
      <w:r>
        <w:t xml:space="preserve">: </w:t>
      </w:r>
      <w:r w:rsidRPr="009B4E30">
        <w:t>(</w:t>
      </w:r>
      <w:proofErr w:type="spellStart"/>
      <w:r w:rsidRPr="009B4E30">
        <w:t>i</w:t>
      </w:r>
      <w:proofErr w:type="spellEnd"/>
      <w:r w:rsidRPr="009B4E30">
        <w:t>)</w:t>
      </w:r>
      <w:r w:rsidRPr="009B4E30">
        <w:rPr>
          <w:b/>
          <w:bCs/>
        </w:rPr>
        <w:t xml:space="preserve"> </w:t>
      </w:r>
      <w:r w:rsidRPr="009B4E30">
        <w:rPr>
          <w:rStyle w:val="Textoennegrita"/>
          <w:b w:val="0"/>
          <w:bCs w:val="0"/>
        </w:rPr>
        <w:t>a Gaussian kernel using bandwidth averaging and (ii) an arc-cosine kernel (depth 1–20)</w:t>
      </w:r>
      <w:r w:rsidRPr="009B4E30">
        <w:rPr>
          <w:b/>
          <w:bCs/>
        </w:rPr>
        <w:t>.</w:t>
      </w:r>
      <w:r>
        <w:t xml:space="preserve"> Predictive ability was assessed by ten-fold cross-validation using Pearson correlations between predicted and reference breeding values. </w:t>
      </w:r>
      <w:r w:rsidRPr="009B4E30">
        <w:rPr>
          <w:rStyle w:val="Textoennegrita"/>
          <w:b w:val="0"/>
          <w:bCs w:val="0"/>
        </w:rPr>
        <w:t>Models partitioning additive, dominance, and epistatic variance were also fitted.</w:t>
      </w:r>
    </w:p>
    <w:p w14:paraId="625AC66B" w14:textId="77777777" w:rsidR="00F712C3" w:rsidRDefault="00F712C3" w:rsidP="00F712C3">
      <w:pPr>
        <w:pStyle w:val="NormalWeb"/>
        <w:spacing w:after="120" w:afterAutospacing="0" w:line="360" w:lineRule="auto"/>
        <w:jc w:val="both"/>
      </w:pPr>
      <w:r>
        <w:rPr>
          <w:rStyle w:val="Textoennegrita"/>
        </w:rPr>
        <w:t>Results:</w:t>
      </w:r>
      <w:r>
        <w:t xml:space="preserve"> Genetic variance </w:t>
      </w:r>
      <w:r w:rsidRPr="009B4E30">
        <w:t xml:space="preserve">partitioning </w:t>
      </w:r>
      <w:r>
        <w:t>showed marked heterogeneity. Additive variance predominated in 21 of 30 traits. Several defense traits exhibited strong dominance (&gt;50% of total variance), while physiological and climate-related traits (e.g., stomatal conductance, water-use efficiency, intercellular CO₂ concentration) showed high epistatic contributions (&gt;25%). Predictive ability varied by trait and kernel. The arc-cosine kernel achieved the highest accuracy in 29 of 30 traits, with gains &gt;23% for physiological traits and improvements for some secondary metabolites. Moderate gains (5–10%) were observed for defense traits and wood density, whereas growth traits showed minimal improvement. Diameter at breast height was the only trait where the linear kernel performed best. The Gaussian kernel produced smaller but positive gains. In multi-trait analyses, performance was similar across kernels, although integration improved accuracy for low-heritability traits such as drought resistance (15.9–18.7%).</w:t>
      </w:r>
    </w:p>
    <w:p w14:paraId="4F7AD6A1" w14:textId="77777777" w:rsidR="00F712C3" w:rsidRDefault="00F712C3" w:rsidP="00F712C3">
      <w:pPr>
        <w:pStyle w:val="NormalWeb"/>
        <w:spacing w:after="120" w:afterAutospacing="0" w:line="360" w:lineRule="auto"/>
        <w:jc w:val="both"/>
      </w:pPr>
      <w:r>
        <w:rPr>
          <w:rStyle w:val="Textoennegrita"/>
        </w:rPr>
        <w:lastRenderedPageBreak/>
        <w:t>Conclusions:</w:t>
      </w:r>
      <w:r>
        <w:t xml:space="preserve"> Non-linear kernels improved genomic prediction in white spruce, with the arc-cosine kernel outperforming linear and Gaussian models for traits with complex non-</w:t>
      </w:r>
      <w:proofErr w:type="spellStart"/>
      <w:r>
        <w:t>addative</w:t>
      </w:r>
      <w:proofErr w:type="spellEnd"/>
      <w:r>
        <w:t xml:space="preserve"> architectures, while linear models remained competitive for core productivity traits. Integrating non-linear kernels into </w:t>
      </w:r>
      <w:proofErr w:type="spellStart"/>
      <w:r>
        <w:t>ssGBLUP</w:t>
      </w:r>
      <w:proofErr w:type="spellEnd"/>
      <w:r>
        <w:t xml:space="preserve"> can enhance prediction accuracy and accelerate genetic gain in climate-resilient breeding programs.</w:t>
      </w:r>
    </w:p>
    <w:p w14:paraId="36DD7723" w14:textId="77777777" w:rsidR="00F712C3" w:rsidRPr="009B4E30" w:rsidRDefault="00F712C3" w:rsidP="00F712C3">
      <w:pPr>
        <w:pStyle w:val="NormalWeb"/>
        <w:spacing w:after="120" w:line="360" w:lineRule="auto"/>
        <w:jc w:val="both"/>
      </w:pPr>
      <w:r w:rsidRPr="00F712C3">
        <w:rPr>
          <w:b/>
          <w:bCs/>
        </w:rPr>
        <w:t>Keywords:</w:t>
      </w:r>
      <w:r>
        <w:t xml:space="preserve"> Genomic prediction, </w:t>
      </w:r>
      <w:proofErr w:type="spellStart"/>
      <w:r>
        <w:t>ssGBLUP</w:t>
      </w:r>
      <w:proofErr w:type="spellEnd"/>
      <w:r>
        <w:t xml:space="preserve">, Kernel methods, </w:t>
      </w:r>
      <w:proofErr w:type="gramStart"/>
      <w:r>
        <w:t>Non-additive</w:t>
      </w:r>
      <w:proofErr w:type="gramEnd"/>
      <w:r>
        <w:t xml:space="preserve"> genetic effects, White spruce</w:t>
      </w:r>
    </w:p>
    <w:p w14:paraId="100CFD71" w14:textId="5A5D7628" w:rsidR="00A74BC5" w:rsidRPr="00F562AE" w:rsidRDefault="00F562AE" w:rsidP="00A74BC5">
      <w:pPr>
        <w:spacing w:after="0" w:line="360" w:lineRule="auto"/>
        <w:jc w:val="both"/>
        <w:rPr>
          <w:rFonts w:ascii="Times New Roman" w:hAnsi="Times New Roman" w:cs="Times New Roman"/>
          <w:bCs/>
          <w:sz w:val="24"/>
          <w:szCs w:val="24"/>
        </w:rPr>
      </w:pPr>
      <w:r w:rsidRPr="00F562AE">
        <w:rPr>
          <w:rFonts w:ascii="Times New Roman" w:hAnsi="Times New Roman" w:cs="Times New Roman"/>
          <w:b/>
          <w:sz w:val="24"/>
          <w:szCs w:val="24"/>
        </w:rPr>
        <w:t>Abstract topic</w:t>
      </w:r>
      <w:r>
        <w:rPr>
          <w:rFonts w:ascii="Times New Roman" w:hAnsi="Times New Roman" w:cs="Times New Roman"/>
          <w:b/>
          <w:sz w:val="24"/>
          <w:szCs w:val="24"/>
        </w:rPr>
        <w:t xml:space="preserve">: </w:t>
      </w:r>
      <w:r w:rsidRPr="00F562AE">
        <w:rPr>
          <w:rFonts w:ascii="Times New Roman" w:hAnsi="Times New Roman" w:cs="Times New Roman"/>
          <w:bCs/>
          <w:sz w:val="24"/>
          <w:szCs w:val="24"/>
        </w:rPr>
        <w:t>Integration of Themes</w:t>
      </w:r>
      <w:r>
        <w:rPr>
          <w:rFonts w:ascii="Times New Roman" w:hAnsi="Times New Roman" w:cs="Times New Roman"/>
          <w:bCs/>
          <w:sz w:val="24"/>
          <w:szCs w:val="24"/>
        </w:rPr>
        <w:t xml:space="preserve"> (</w:t>
      </w:r>
      <w:r w:rsidRPr="00F562AE">
        <w:rPr>
          <w:rFonts w:ascii="Times New Roman" w:hAnsi="Times New Roman" w:cs="Times New Roman"/>
          <w:bCs/>
          <w:sz w:val="24"/>
          <w:szCs w:val="24"/>
        </w:rPr>
        <w:t>Quantitative Genetics</w:t>
      </w:r>
      <w:r>
        <w:rPr>
          <w:rFonts w:ascii="Times New Roman" w:hAnsi="Times New Roman" w:cs="Times New Roman"/>
          <w:bCs/>
          <w:sz w:val="24"/>
          <w:szCs w:val="24"/>
        </w:rPr>
        <w:t xml:space="preserve"> + </w:t>
      </w:r>
      <w:r w:rsidRPr="00F562AE">
        <w:rPr>
          <w:rFonts w:ascii="Times New Roman" w:hAnsi="Times New Roman" w:cs="Times New Roman"/>
          <w:bCs/>
          <w:sz w:val="24"/>
          <w:szCs w:val="24"/>
        </w:rPr>
        <w:t>Genomics</w:t>
      </w:r>
      <w:r>
        <w:rPr>
          <w:rFonts w:ascii="Times New Roman" w:hAnsi="Times New Roman" w:cs="Times New Roman"/>
          <w:bCs/>
          <w:sz w:val="24"/>
          <w:szCs w:val="24"/>
        </w:rPr>
        <w:t>)</w:t>
      </w:r>
    </w:p>
    <w:p w14:paraId="11497A54" w14:textId="77777777" w:rsidR="00C63D37" w:rsidRDefault="00C63D37"/>
    <w:sectPr w:rsidR="00C63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AED"/>
    <w:rsid w:val="00047AED"/>
    <w:rsid w:val="003004E0"/>
    <w:rsid w:val="00365C6F"/>
    <w:rsid w:val="0043381D"/>
    <w:rsid w:val="005D401E"/>
    <w:rsid w:val="00630D4E"/>
    <w:rsid w:val="0069736C"/>
    <w:rsid w:val="007459A7"/>
    <w:rsid w:val="00817AEC"/>
    <w:rsid w:val="009161AE"/>
    <w:rsid w:val="009202DE"/>
    <w:rsid w:val="00921969"/>
    <w:rsid w:val="00992514"/>
    <w:rsid w:val="00A74BC5"/>
    <w:rsid w:val="00B61AB0"/>
    <w:rsid w:val="00C63D37"/>
    <w:rsid w:val="00C75517"/>
    <w:rsid w:val="00CA4458"/>
    <w:rsid w:val="00E76413"/>
    <w:rsid w:val="00F37922"/>
    <w:rsid w:val="00F562AE"/>
    <w:rsid w:val="00F712C3"/>
    <w:rsid w:val="00F7545C"/>
    <w:rsid w:val="00FA1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B177"/>
  <w15:chartTrackingRefBased/>
  <w15:docId w15:val="{031D31EA-92FB-43F7-89CB-6D1189773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BC5"/>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712C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712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515</Words>
  <Characters>3406</Characters>
  <Application>Microsoft Office Word</Application>
  <DocSecurity>0</DocSecurity>
  <Lines>47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Pablo Cappa</dc:creator>
  <cp:keywords/>
  <dc:description/>
  <cp:lastModifiedBy>Eduardo Pablo Cappa</cp:lastModifiedBy>
  <cp:revision>3</cp:revision>
  <cp:lastPrinted>2026-02-03T15:20:00Z</cp:lastPrinted>
  <dcterms:created xsi:type="dcterms:W3CDTF">2026-02-23T17:12:00Z</dcterms:created>
  <dcterms:modified xsi:type="dcterms:W3CDTF">2026-02-23T17:14:00Z</dcterms:modified>
</cp:coreProperties>
</file>