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keepNext/>
        <w:spacing w:line="276" w:lineRule="auto" w:after="240"/>
        <w:jc w:val="center"/>
      </w:pPr>
      <w:r>
        <w:rPr>
          <w:b/>
          <w:i w:val="0"/>
          <w:sz w:val="32"/>
        </w:rPr>
        <w:t>Resiliencia y futuro del turismo en Guatemala: decisiones de diseño de la infografía</w:t>
      </w:r>
    </w:p>
    <w:p>
      <w:pPr>
        <w:jc w:val="center"/>
      </w:pPr>
    </w:p>
    <w:p>
      <w:pPr>
        <w:jc w:val="center"/>
      </w:pPr>
      <w:r>
        <w:rPr>
          <w:b w:val="0"/>
          <w:i w:val="0"/>
        </w:rPr>
        <w:t>Hugo Daniel Barillas (23556), Esteban Cárcamo (23016) y Ernesto Ascencio (23009)</w:t>
      </w:r>
    </w:p>
    <w:p>
      <w:pPr>
        <w:jc w:val="center"/>
      </w:pPr>
      <w:r>
        <w:rPr>
          <w:b w:val="0"/>
          <w:i w:val="0"/>
        </w:rPr>
        <w:t>Departamento de Ciencias de la Computación, Universidad del Valle de Guatemala</w:t>
      </w:r>
    </w:p>
    <w:p>
      <w:pPr>
        <w:jc w:val="center"/>
      </w:pPr>
      <w:r>
        <w:rPr>
          <w:b w:val="0"/>
          <w:i w:val="0"/>
        </w:rPr>
        <w:t>CC3084 Data Science, Sección 20</w:t>
      </w:r>
    </w:p>
    <w:p>
      <w:pPr>
        <w:jc w:val="center"/>
      </w:pPr>
      <w:r>
        <w:rPr>
          <w:b w:val="0"/>
          <w:i w:val="0"/>
        </w:rPr>
        <w:t>Msc. Lynette García</w:t>
      </w:r>
    </w:p>
    <w:p>
      <w:pPr>
        <w:jc w:val="center"/>
      </w:pPr>
      <w:r>
        <w:rPr>
          <w:b w:val="0"/>
          <w:i w:val="0"/>
        </w:rPr>
        <w:t>15 de octubre de 2026</w:t>
      </w:r>
    </w:p>
    <w:p>
      <w:pPr>
        <w:jc w:val="center"/>
      </w:pPr>
      <w:r>
        <w:rPr>
          <w:b w:val="0"/>
          <w:i/>
        </w:rPr>
        <w:t>Laboratorio 9: Visualización estática (avance)</w:t>
      </w:r>
      <w:r>
        <w:br w:type="page"/>
      </w:r>
    </w:p>
    <w:p>
      <w:pPr>
        <w:keepNext/>
        <w:spacing w:line="276" w:lineRule="auto" w:after="240"/>
        <w:jc w:val="center"/>
      </w:pPr>
      <w:r>
        <w:rPr>
          <w:b/>
          <w:i w:val="0"/>
          <w:sz w:val="32"/>
        </w:rPr>
        <w:t>Resiliencia y futuro del turismo en Guatemala: decisiones de diseño de la infografía</w:t>
      </w:r>
    </w:p>
    <w:p>
      <w:pPr>
        <w:ind w:firstLine="720"/>
      </w:pPr>
      <w:r>
        <w:rPr>
          <w:b w:val="0"/>
          <w:i w:val="0"/>
        </w:rPr>
        <w:t>La infografía responde una sola pregunta para un directivo de INGUAT que no es estadístico: ¿qué enseñan 17 años de datos migratorios sobre el turismo en Guatemala y qué debemos anticipar? Todas las cifras salen del Laboratorio 1 del grupo (Barillas et al., 2026), sin recalcular nada fuera de ese análisis.</w:t>
      </w:r>
    </w:p>
    <w:p>
      <w:pPr>
        <w:keepNext/>
        <w:jc w:val="center"/>
      </w:pPr>
      <w:r>
        <w:rPr>
          <w:b/>
          <w:i w:val="0"/>
        </w:rPr>
        <w:t>Orden y recorrido de lectura</w:t>
      </w:r>
    </w:p>
    <w:p>
      <w:pPr>
        <w:ind w:firstLine="720"/>
      </w:pPr>
      <w:r>
        <w:rPr>
          <w:b w:val="0"/>
          <w:i w:val="0"/>
        </w:rPr>
        <w:t>La página se lee de arriba hacia abajo, en un patrón Z dentro de cada fila de dos columnas (Figura 1). El orden va de lo general a lo accionable: contexto (titular y KPI), historia (2009–2026), patrones (estacionalidad y comparación de series), pronóstico y, al final, qué hacer. Los KPI van arriba y en el mayor tamaño porque el tamaño y el color se perciben de forma preatencional, antes de leer (Ware, 2012).</w:t>
      </w:r>
    </w:p>
    <w:p>
      <w:pPr>
        <w:keepNext/>
        <w:spacing w:line="240" w:lineRule="auto" w:before="240" w:after="120"/>
        <w:jc w:val="left"/>
      </w:pPr>
      <w:r>
        <w:rPr>
          <w:b/>
          <w:i w:val="0"/>
        </w:rPr>
        <w:t>Figura 1</w:t>
      </w:r>
    </w:p>
    <w:p>
      <w:pPr>
        <w:keepNext/>
        <w:spacing w:line="240" w:lineRule="auto" w:after="120"/>
        <w:jc w:val="left"/>
      </w:pPr>
      <w:r>
        <w:rPr>
          <w:b w:val="0"/>
          <w:i/>
        </w:rPr>
        <w:t>Boceto de la página (11 × 17 in) y paleta de color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1920" cy="3119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ceto_pale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11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left"/>
      </w:pPr>
      <w:r>
        <w:rPr>
          <w:b w:val="0"/>
          <w:i/>
          <w:sz w:val="20"/>
        </w:rPr>
        <w:t>Nota.</w:t>
      </w:r>
      <w:r>
        <w:rPr>
          <w:b w:val="0"/>
          <w:i w:val="0"/>
          <w:sz w:val="20"/>
        </w:rPr>
        <w:t xml:space="preserve"> La flecha indica el recorrido de lectura. Elaboración propia.</w:t>
      </w:r>
    </w:p>
    <w:p>
      <w:pPr>
        <w:keepNext/>
        <w:jc w:val="center"/>
      </w:pPr>
      <w:r>
        <w:rPr>
          <w:b/>
          <w:i w:val="0"/>
        </w:rPr>
        <w:t>Paleta de color</w:t>
      </w:r>
    </w:p>
    <w:p>
      <w:pPr>
        <w:ind w:firstLine="720"/>
      </w:pPr>
      <w:r>
        <w:rPr>
          <w:b w:val="0"/>
          <w:i w:val="0"/>
        </w:rPr>
        <w:t>Se usa una armonía de tres colores (dominante, mediador y tónico) en esquema complementario (García, 2026). El jade, frío y sereno, transmite confianza y profesionalismo y remite al jade maya; el achiote, cálido, atrae la atención y llama a la acción, por lo que se reserva para lo que debe saltar a la vista: la caída de 2020, los ganadores de cada comparación y la banda de «Estimación». El fondo hueso, en lugar de blanco puro, reduce la fatiga visual.</w:t>
      </w:r>
    </w:p>
    <w:p>
      <w:pPr>
        <w:keepNext/>
        <w:jc w:val="left"/>
      </w:pPr>
      <w:r>
        <w:rPr>
          <w:b/>
          <w:i w:val="0"/>
        </w:rPr>
        <w:t>Tabla 1</w:t>
      </w:r>
    </w:p>
    <w:p>
      <w:pPr>
        <w:keepNext/>
        <w:jc w:val="left"/>
      </w:pPr>
      <w:r>
        <w:rPr>
          <w:b w:val="0"/>
          <w:i/>
        </w:rPr>
        <w:t>Roles de la paleta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20"/>
        <w:gridCol w:w="3240"/>
        <w:gridCol w:w="2160"/>
      </w:tblGrid>
      <w:tr>
        <w:trPr>
          <w:cantSplit/>
          <w:tblHeader/>
        </w:trPr>
        <w:tc>
          <w:tcPr>
            <w:tcW w:type="dxa" w:w="1440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Rol</w:t>
            </w:r>
          </w:p>
        </w:tc>
        <w:tc>
          <w:tcPr>
            <w:tcW w:type="dxa" w:w="2520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Color</w:t>
            </w:r>
          </w:p>
        </w:tc>
        <w:tc>
          <w:tcPr>
            <w:tcW w:type="dxa" w:w="3240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Uso</w:t>
            </w:r>
          </w:p>
        </w:tc>
        <w:tc>
          <w:tcPr>
            <w:tcW w:type="dxa" w:w="2160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Contraste sobre fondo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Fondo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#F4F0E6 hueso</w:t>
            </w:r>
          </w:p>
        </w:tc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Lienzo de toda la página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Dominante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#1E4D45 jade profundo</w:t>
            </w:r>
          </w:p>
        </w:tc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Series históricas, titular, cifras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8.4 : 1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Mediador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#8DA197 salvia gris</w:t>
            </w:r>
          </w:p>
        </w:tc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Series secundarias, rejillas y bordes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2.4 : 1 (sin texto)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Texto</w:t>
            </w:r>
          </w:p>
        </w:tc>
        <w:tc>
          <w:tcPr>
            <w:tcW w:type="dxa" w:w="25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#26292B grafito</w:t>
            </w:r>
          </w:p>
        </w:tc>
        <w:tc>
          <w:tcPr>
            <w:tcW w:type="dxa" w:w="324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Cuerpo y etiquetas</w:t>
            </w:r>
          </w:p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12.9 : 1</w:t>
            </w:r>
          </w:p>
        </w:tc>
      </w:tr>
      <w:tr>
        <w:trPr>
          <w:cantSplit/>
        </w:trPr>
        <w:tc>
          <w:tcPr>
            <w:tcW w:type="dxa" w:w="1440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Acento</w:t>
            </w:r>
          </w:p>
        </w:tc>
        <w:tc>
          <w:tcPr>
            <w:tcW w:type="dxa" w:w="2520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#C4552D achiote</w:t>
            </w:r>
          </w:p>
        </w:tc>
        <w:tc>
          <w:tcPr>
            <w:tcW w:type="dxa" w:w="3240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Pandemia, ganadores, «Estimación»</w:t>
            </w:r>
          </w:p>
        </w:tc>
        <w:tc>
          <w:tcPr>
            <w:tcW w:type="dxa" w:w="2160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3.9 : 1 (solo texto grande)</w:t>
            </w:r>
          </w:p>
        </w:tc>
      </w:tr>
    </w:tbl>
    <w:p>
      <w:pPr>
        <w:spacing w:line="240" w:lineRule="auto" w:before="80"/>
        <w:jc w:val="left"/>
      </w:pPr>
      <w:r>
        <w:rPr>
          <w:b w:val="0"/>
          <w:i/>
          <w:sz w:val="20"/>
        </w:rPr>
        <w:t>Nota.</w:t>
      </w:r>
      <w:r>
        <w:rPr>
          <w:b w:val="0"/>
          <w:i w:val="0"/>
          <w:sz w:val="20"/>
        </w:rPr>
        <w:t xml:space="preserve"> Contraste calculado con la fórmula WCAG 2.1. El jade y el achiote difieren en luminancia (0.06 frente a 0.18), así que se distinguen aun con deuteranopia o protanopia; no se usan pares rojo/verde. El PNG se exporta en RGB y el PDF se revisa impreso por el cambio a CMYK.</w:t>
      </w:r>
    </w:p>
    <w:p>
      <w:pPr>
        <w:spacing w:line="240" w:lineRule="auto"/>
        <w:ind w:firstLine="720"/>
      </w:pPr>
    </w:p>
    <w:p>
      <w:pPr>
        <w:keepNext/>
        <w:jc w:val="center"/>
      </w:pPr>
      <w:r>
        <w:rPr>
          <w:b/>
          <w:i w:val="0"/>
        </w:rPr>
        <w:t>Tipografía</w:t>
      </w:r>
    </w:p>
    <w:p>
      <w:pPr>
        <w:ind w:firstLine="720"/>
      </w:pPr>
      <w:r>
        <w:rPr>
          <w:b w:val="0"/>
          <w:i w:val="0"/>
        </w:rPr>
        <w:t>El titular usa una serifa editorial (Source Serif 4) y el resto una sans legible (Source Sans 3), ambas gratuitas en Google Fonts. Las cifras de los KPI van a 44 pt o más y ningún texto baja de 10 pt en el formato impreso. Se rotula directo sobre los puntos clave en lugar de usar leyendas.</w:t>
      </w:r>
    </w:p>
    <w:p>
      <w:pPr>
        <w:keepNext/>
        <w:jc w:val="center"/>
      </w:pPr>
      <w:r>
        <w:rPr>
          <w:b/>
          <w:i w:val="0"/>
        </w:rPr>
        <w:t>Gráfico por bloque</w:t>
      </w:r>
    </w:p>
    <w:p>
      <w:pPr>
        <w:keepNext/>
        <w:jc w:val="left"/>
      </w:pPr>
      <w:r>
        <w:rPr>
          <w:b/>
          <w:i w:val="0"/>
        </w:rPr>
        <w:t>Tabla 2</w:t>
      </w:r>
    </w:p>
    <w:p>
      <w:pPr>
        <w:keepNext/>
        <w:jc w:val="left"/>
      </w:pPr>
      <w:r>
        <w:rPr>
          <w:b w:val="0"/>
          <w:i/>
        </w:rPr>
        <w:t>Selección de cada gráfico según el tipo de dato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168"/>
        <w:gridCol w:w="3960"/>
      </w:tblGrid>
      <w:tr>
        <w:trPr>
          <w:cantSplit/>
          <w:tblHeader/>
        </w:trPr>
        <w:tc>
          <w:tcPr>
            <w:tcW w:type="dxa" w:w="2232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Bloque</w:t>
            </w:r>
          </w:p>
        </w:tc>
        <w:tc>
          <w:tcPr>
            <w:tcW w:type="dxa" w:w="3168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Gráfico</w:t>
            </w:r>
          </w:p>
        </w:tc>
        <w:tc>
          <w:tcPr>
            <w:tcW w:type="dxa" w:w="3960"/>
            <w:tcBorders>
              <w:top w:val="single" w:sz="6" w:color="000000"/>
              <w:left w:val="nil"/>
              <w:bottom w:val="single" w:sz="6" w:color="000000"/>
              <w:right w:val="nil"/>
            </w:tcBorders>
          </w:tcPr>
          <w:p>
            <w:pPr>
              <w:keepNext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Tipo de dato y motivo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1. Titular y KPI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Cuatro tarjetas: 52.3 M viajeros, récord de 4.69 M (2019), −97.5 % (2020), 61 % por tierra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Magnitudes únicas: una cifra grande se lee más rápido que un gráfico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2. Panorama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Línea mensual 2009–2026 con anotaciones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Serie temporal continua; las notas marcan el cierre de 2020, el rebote de 2022, el cambio de método de 2023 y 2026 parcial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3a. Estacionalidad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Barras del índice mensual alrededor de 1.0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Ciclo de 12 meses; muestra el pico de diciembre (×1.37), Semana Santa, julio y el valle de septiembre (×0.80)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3b. Cuadrante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Cuatro barras horizontales ordenadas, ganador en acento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Comparación categórica: marítima es la más estacional (Fs 0.405), volátil (CV 0.79) y golpeada (−100 %); terrestre, la de mayor crecimiento (+0.97 %/mes)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4a. Modelos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Barras horizontales de MAE y RMSE de los cinco modelos (serie total)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Métrica cuantitativa por categoría; SES gana (MAE 175,088) y lo hace en 6 de 7 series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4b. Pronóstico</w:t>
            </w:r>
          </w:p>
        </w:tc>
        <w:tc>
          <w:tcPr>
            <w:tcW w:type="dxa" w:w="316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Línea real frente a SES con bandas de 80 % y 95 % rotuladas «Estimación»</w:t>
            </w:r>
          </w:p>
        </w:tc>
        <w:tc>
          <w:tcPr>
            <w:tcW w:type="dxa" w:w="396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Incertidumbre explícita; deja ver que el modelo no anticipó la recuperación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5. Recomendaciones</w:t>
            </w:r>
          </w:p>
        </w:tc>
        <w:tc>
          <w:tcPr>
            <w:tcW w:type="dxa" w:w="3168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Tres a cinco tarjetas numeradas</w:t>
            </w:r>
          </w:p>
        </w:tc>
        <w:tc>
          <w:tcPr>
            <w:tcW w:type="dxa" w:w="3960"/>
            <w:tcBorders>
              <w:top w:val="nil"/>
              <w:left w:val="nil"/>
              <w:bottom w:val="single" w:sz="6" w:color="000000"/>
              <w:right w:val="nil"/>
            </w:tcBorders>
          </w:tcPr>
          <w:p>
            <w:pPr>
              <w:keepNext w:val="0"/>
              <w:spacing w:line="240" w:lineRule="auto" w:before="40" w:after="40"/>
            </w:pPr>
            <w:r>
              <w:rPr>
                <w:b w:val="0"/>
                <w:i w:val="0"/>
                <w:sz w:val="20"/>
              </w:rPr>
              <w:t>Texto accionable derivado de la evidencia</w:t>
            </w:r>
          </w:p>
        </w:tc>
      </w:tr>
    </w:tbl>
    <w:p>
      <w:pPr>
        <w:spacing w:line="240" w:lineRule="auto"/>
        <w:ind w:firstLine="720"/>
      </w:pPr>
    </w:p>
    <w:p>
      <w:pPr>
        <w:keepNext/>
        <w:jc w:val="center"/>
      </w:pPr>
      <w:r>
        <w:rPr>
          <w:b/>
          <w:i w:val="0"/>
        </w:rPr>
        <w:t>Integridad de los gráficos</w:t>
      </w:r>
    </w:p>
    <w:p>
      <w:pPr>
        <w:ind w:firstLine="720"/>
      </w:pPr>
      <w:r>
        <w:rPr>
          <w:b w:val="0"/>
          <w:i w:val="0"/>
        </w:rPr>
        <w:t>Para que los gráficos no mientan (García, 2026): las barras parten de cero y comparten escala, no hay 3D, doble eje ni gráficos acumulados, se muestra la serie completa sin recortar la pandemia, y el error del pronóstico (MAPE de 58 % en la serie total) se presenta tal cual.</w:t>
      </w:r>
    </w:p>
    <w:p>
      <w:pPr>
        <w:keepNext/>
        <w:jc w:val="center"/>
      </w:pPr>
      <w:r>
        <w:rPr>
          <w:b/>
          <w:i w:val="0"/>
        </w:rPr>
        <w:t>Herramientas</w:t>
      </w:r>
    </w:p>
    <w:p>
      <w:pPr>
        <w:ind w:firstLine="720"/>
      </w:pPr>
      <w:r>
        <w:rPr>
          <w:b w:val="0"/>
          <w:i w:val="0"/>
        </w:rPr>
        <w:t>Las gráficas se generan con Python y matplotlib (script versionado en GitHub), la maquetación se hace en Figma y este documento en Google Docs; las tres herramientas guardan historial y tienen a la catedrática y los auxiliares como colaboradores. La entrega final es un PNG de al menos 1200 × 2400 px y un PDF de una página de 11 × 17 in.</w:t>
      </w:r>
      <w:r>
        <w:br w:type="page"/>
      </w:r>
    </w:p>
    <w:p>
      <w:pPr>
        <w:keepNext/>
        <w:jc w:val="center"/>
      </w:pPr>
      <w:r>
        <w:rPr>
          <w:b/>
          <w:i w:val="0"/>
        </w:rPr>
        <w:t>Referencias</w:t>
      </w:r>
    </w:p>
    <w:p>
      <w:pPr>
        <w:ind w:left="720" w:hanging="720"/>
        <w:jc w:val="left"/>
      </w:pPr>
      <w:r>
        <w:rPr>
          <w:b w:val="0"/>
          <w:i w:val="0"/>
        </w:rPr>
        <w:t xml:space="preserve">Barillas, H. D., Cárcamo, E. y Ascencio, E. (2026). </w:t>
      </w:r>
      <w:r>
        <w:rPr>
          <w:b w:val="0"/>
          <w:i/>
        </w:rPr>
        <w:t>Laboratorio 1: Series de tiempo del ingreso de viajeros internacionales a Guatemala</w:t>
      </w:r>
      <w:r>
        <w:rPr>
          <w:b w:val="0"/>
          <w:i w:val="0"/>
        </w:rPr>
        <w:t xml:space="preserve"> [Informe no publicado]. Universidad del Valle de Guatemala.</w:t>
      </w:r>
    </w:p>
    <w:p>
      <w:pPr>
        <w:ind w:left="720" w:hanging="720"/>
        <w:jc w:val="left"/>
      </w:pPr>
      <w:r>
        <w:rPr>
          <w:b w:val="0"/>
          <w:i w:val="0"/>
        </w:rPr>
        <w:t xml:space="preserve">Cairo, A. (2016). </w:t>
      </w:r>
      <w:r>
        <w:rPr>
          <w:b w:val="0"/>
          <w:i/>
        </w:rPr>
        <w:t>The truthful art: Data, charts, and maps for communication</w:t>
      </w:r>
      <w:r>
        <w:rPr>
          <w:b w:val="0"/>
          <w:i w:val="0"/>
        </w:rPr>
        <w:t>. New Riders.</w:t>
      </w:r>
    </w:p>
    <w:p>
      <w:pPr>
        <w:ind w:left="720" w:hanging="720"/>
        <w:jc w:val="left"/>
      </w:pPr>
      <w:r>
        <w:rPr>
          <w:b w:val="0"/>
          <w:i w:val="0"/>
        </w:rPr>
        <w:t xml:space="preserve">García, L. (2026). </w:t>
      </w:r>
      <w:r>
        <w:rPr>
          <w:b w:val="0"/>
          <w:i/>
        </w:rPr>
        <w:t>Visualización</w:t>
      </w:r>
      <w:r>
        <w:rPr>
          <w:b w:val="0"/>
          <w:i w:val="0"/>
        </w:rPr>
        <w:t xml:space="preserve"> [Diapositivas de clase]. CC3084 Data Science, Universidad del Valle de Guatemala.</w:t>
      </w:r>
    </w:p>
    <w:p>
      <w:pPr>
        <w:ind w:left="720" w:hanging="720"/>
        <w:jc w:val="left"/>
      </w:pPr>
      <w:r>
        <w:rPr>
          <w:b w:val="0"/>
          <w:i w:val="0"/>
        </w:rPr>
        <w:t xml:space="preserve">Instituto Guatemalteco de Turismo e Instituto Guatemalteco de Migración. (2026). </w:t>
      </w:r>
      <w:r>
        <w:rPr>
          <w:b w:val="0"/>
          <w:i/>
        </w:rPr>
        <w:t>Base de migración 2009–2026</w:t>
      </w:r>
      <w:r>
        <w:rPr>
          <w:b w:val="0"/>
          <w:i w:val="0"/>
        </w:rPr>
        <w:t xml:space="preserve"> [Conjunto de datos con fines académicos].</w:t>
      </w:r>
    </w:p>
    <w:p>
      <w:pPr>
        <w:ind w:left="720" w:hanging="720"/>
        <w:jc w:val="left"/>
      </w:pPr>
      <w:r>
        <w:rPr>
          <w:b w:val="0"/>
          <w:i w:val="0"/>
        </w:rPr>
        <w:t xml:space="preserve">Ware, C. (2012). </w:t>
      </w:r>
      <w:r>
        <w:rPr>
          <w:b w:val="0"/>
          <w:i/>
        </w:rPr>
        <w:t>Information visualization: Perception for design</w:t>
      </w:r>
      <w:r>
        <w:rPr>
          <w:b w:val="0"/>
          <w:i w:val="0"/>
        </w:rPr>
        <w:t xml:space="preserve"> (3.ª ed.). Morgan Kaufmann.</w:t>
      </w:r>
    </w:p>
    <w:p>
      <w:pPr>
        <w:ind w:left="720" w:hanging="720"/>
        <w:jc w:val="left"/>
      </w:pPr>
      <w:r>
        <w:rPr>
          <w:b w:val="0"/>
          <w:i w:val="0"/>
        </w:rPr>
        <w:t xml:space="preserve">World Wide Web Consortium. (2018). </w:t>
      </w:r>
      <w:r>
        <w:rPr>
          <w:b w:val="0"/>
          <w:i/>
        </w:rPr>
        <w:t>Web content accessibility guidelines (WCAG) 2.1</w:t>
      </w:r>
      <w:r>
        <w:rPr>
          <w:b w:val="0"/>
          <w:i w:val="0"/>
        </w:rPr>
        <w:t>. https://www.w3.org/TR/WCAG21/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sz w:val="22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