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71682" w14:textId="77777777" w:rsidR="00D42929" w:rsidRPr="00D42929" w:rsidRDefault="00D42929" w:rsidP="00D42929">
      <w:pPr>
        <w:pBdr>
          <w:bottom w:val="single" w:sz="6" w:space="0" w:color="EEEEEE"/>
        </w:pBdr>
        <w:spacing w:after="0" w:line="240" w:lineRule="auto"/>
        <w:textAlignment w:val="baseline"/>
        <w:outlineLvl w:val="1"/>
        <w:rPr>
          <w:rFonts w:ascii="inherit" w:eastAsia="Times New Roman" w:hAnsi="inherit" w:cs="Times New Roman"/>
          <w:b/>
          <w:bCs/>
          <w:color w:val="3E3D40"/>
          <w:sz w:val="45"/>
          <w:szCs w:val="45"/>
          <w:shd w:val="clear" w:color="auto" w:fill="F8F8F8"/>
          <w:lang w:eastAsia="en-AU"/>
        </w:rPr>
      </w:pPr>
      <w:r w:rsidRPr="00D42929">
        <w:rPr>
          <w:rFonts w:ascii="inherit" w:eastAsia="Times New Roman" w:hAnsi="inherit" w:cs="Times New Roman"/>
          <w:b/>
          <w:bCs/>
          <w:color w:val="3E3D40"/>
          <w:sz w:val="45"/>
          <w:szCs w:val="45"/>
          <w:shd w:val="clear" w:color="auto" w:fill="F8F8F8"/>
          <w:lang w:eastAsia="en-AU"/>
        </w:rPr>
        <w:t>Press Release Details</w:t>
      </w:r>
    </w:p>
    <w:p w14:paraId="6487730F" w14:textId="77777777" w:rsidR="00D42929" w:rsidRPr="00D42929" w:rsidRDefault="00D42929" w:rsidP="00D42929">
      <w:pPr>
        <w:spacing w:after="0" w:line="240" w:lineRule="auto"/>
        <w:rPr>
          <w:rFonts w:ascii="Verdana" w:eastAsia="Times New Roman" w:hAnsi="Verdana" w:cs="Times New Roman"/>
          <w:color w:val="3E3D40"/>
          <w:sz w:val="21"/>
          <w:szCs w:val="21"/>
          <w:shd w:val="clear" w:color="auto" w:fill="F8F8F8"/>
          <w:lang w:eastAsia="en-AU"/>
        </w:rPr>
      </w:pPr>
      <w:hyperlink r:id="rId4" w:history="1">
        <w:r w:rsidRPr="00D42929">
          <w:rPr>
            <w:rFonts w:ascii="Verdana" w:eastAsia="Times New Roman" w:hAnsi="Verdana" w:cs="Times New Roman"/>
            <w:color w:val="3D3D3D"/>
            <w:sz w:val="21"/>
            <w:szCs w:val="21"/>
            <w:u w:val="single"/>
            <w:shd w:val="clear" w:color="auto" w:fill="F8F8F8"/>
            <w:lang w:eastAsia="en-AU"/>
          </w:rPr>
          <w:t>View all Press Releases</w:t>
        </w:r>
      </w:hyperlink>
    </w:p>
    <w:p w14:paraId="3B5604A1" w14:textId="77777777" w:rsidR="00D42929" w:rsidRPr="00D42929" w:rsidRDefault="00D42929" w:rsidP="00D42929">
      <w:pPr>
        <w:spacing w:before="100" w:beforeAutospacing="1" w:after="100" w:afterAutospacing="1" w:line="420" w:lineRule="atLeast"/>
        <w:textAlignment w:val="baseline"/>
        <w:outlineLvl w:val="2"/>
        <w:rPr>
          <w:rFonts w:ascii="inherit" w:eastAsia="Times New Roman" w:hAnsi="inherit" w:cs="Times New Roman"/>
          <w:b/>
          <w:bCs/>
          <w:color w:val="333333"/>
          <w:sz w:val="27"/>
          <w:szCs w:val="27"/>
          <w:shd w:val="clear" w:color="auto" w:fill="F8F8F8"/>
          <w:lang w:eastAsia="en-AU"/>
        </w:rPr>
      </w:pPr>
      <w:r w:rsidRPr="00D42929">
        <w:rPr>
          <w:rFonts w:ascii="inherit" w:eastAsia="Times New Roman" w:hAnsi="inherit" w:cs="Times New Roman"/>
          <w:b/>
          <w:bCs/>
          <w:color w:val="333333"/>
          <w:sz w:val="27"/>
          <w:szCs w:val="27"/>
          <w:shd w:val="clear" w:color="auto" w:fill="F8F8F8"/>
          <w:lang w:eastAsia="en-AU"/>
        </w:rPr>
        <w:t>Grupo Supervielle S.A. Announces Closing of Initial Public Offering</w:t>
      </w:r>
    </w:p>
    <w:p w14:paraId="6DFC69D4" w14:textId="77777777" w:rsidR="00D42929" w:rsidRPr="00D42929" w:rsidRDefault="00D42929" w:rsidP="00D42929">
      <w:pPr>
        <w:spacing w:after="150" w:line="240" w:lineRule="auto"/>
        <w:rPr>
          <w:rFonts w:ascii="Verdana" w:eastAsia="Times New Roman" w:hAnsi="Verdana" w:cs="Times New Roman"/>
          <w:color w:val="3E3D40"/>
          <w:sz w:val="21"/>
          <w:szCs w:val="21"/>
          <w:shd w:val="clear" w:color="auto" w:fill="F8F8F8"/>
          <w:lang w:eastAsia="en-AU"/>
        </w:rPr>
      </w:pPr>
      <w:r w:rsidRPr="00D42929">
        <w:rPr>
          <w:rFonts w:ascii="Verdana" w:eastAsia="Times New Roman" w:hAnsi="Verdana" w:cs="Times New Roman"/>
          <w:color w:val="ED1C24"/>
          <w:sz w:val="18"/>
          <w:szCs w:val="18"/>
          <w:shd w:val="clear" w:color="auto" w:fill="F8F8F8"/>
          <w:lang w:eastAsia="en-AU"/>
        </w:rPr>
        <w:t>May 24, 2016</w:t>
      </w:r>
    </w:p>
    <w:p w14:paraId="0774E5F3" w14:textId="77777777" w:rsidR="00D42929" w:rsidRPr="00D42929" w:rsidRDefault="00D42929" w:rsidP="00D42929">
      <w:pPr>
        <w:spacing w:before="100" w:beforeAutospacing="1" w:after="100" w:afterAutospacing="1" w:line="390" w:lineRule="atLeast"/>
        <w:jc w:val="both"/>
        <w:rPr>
          <w:rFonts w:ascii="Verdana" w:eastAsia="Times New Roman" w:hAnsi="Verdana" w:cs="Times New Roman"/>
          <w:color w:val="777777"/>
          <w:sz w:val="21"/>
          <w:szCs w:val="21"/>
          <w:shd w:val="clear" w:color="auto" w:fill="F8F8F8"/>
          <w:lang w:eastAsia="en-AU"/>
        </w:rPr>
      </w:pPr>
      <w:r w:rsidRPr="00D42929">
        <w:rPr>
          <w:rFonts w:ascii="Verdana" w:eastAsia="Times New Roman" w:hAnsi="Verdana" w:cs="Times New Roman"/>
          <w:color w:val="777777"/>
          <w:sz w:val="21"/>
          <w:szCs w:val="21"/>
          <w:shd w:val="clear" w:color="auto" w:fill="F8F8F8"/>
          <w:lang w:eastAsia="en-AU"/>
        </w:rPr>
        <w:t>BUENOS AIRES, Argentina--(</w:t>
      </w:r>
      <w:hyperlink r:id="rId5" w:tgtFrame="_blank" w:history="1">
        <w:r w:rsidRPr="00D42929">
          <w:rPr>
            <w:rFonts w:ascii="Verdana" w:eastAsia="Times New Roman" w:hAnsi="Verdana" w:cs="Times New Roman"/>
            <w:b/>
            <w:bCs/>
            <w:color w:val="6D6D6D"/>
            <w:sz w:val="21"/>
            <w:szCs w:val="21"/>
            <w:u w:val="single"/>
            <w:shd w:val="clear" w:color="auto" w:fill="F8F8F8"/>
            <w:lang w:eastAsia="en-AU"/>
          </w:rPr>
          <w:t>BUSINESS WIRE</w:t>
        </w:r>
      </w:hyperlink>
      <w:r w:rsidRPr="00D42929">
        <w:rPr>
          <w:rFonts w:ascii="Verdana" w:eastAsia="Times New Roman" w:hAnsi="Verdana" w:cs="Times New Roman"/>
          <w:color w:val="777777"/>
          <w:sz w:val="21"/>
          <w:szCs w:val="21"/>
          <w:shd w:val="clear" w:color="auto" w:fill="F8F8F8"/>
          <w:lang w:eastAsia="en-AU"/>
        </w:rPr>
        <w:t>)--Grupo Supervielle S.A. (the “Company”), an Argentine financial group, together with one of the Company’s shareholders, announced today the closing of the underwritten initial public offering of the Company’s Class B Shares (the “Shares”), which may be represented by American Depositary Shares (“ADSs”), as part of a global offering of 127,500,077 Shares. The global offering consisted of (a) an international offering in the United States and countries outside of Argentina of 23,594,189 ADSs at a price of US$11.00 per ADS and (b) a concurrent offering in Argentina of 9,529,132 Shares at a price of US$2.20 per Share. The offering was made pursuant to a registration statement on Form F-1 with the Securities and Exchange Commission (the “SEC”). Each ADS represents five Shares.</w:t>
      </w:r>
    </w:p>
    <w:p w14:paraId="2AA65F8A" w14:textId="77777777" w:rsidR="00D42929" w:rsidRPr="00D42929" w:rsidRDefault="00D42929" w:rsidP="00D42929">
      <w:pPr>
        <w:spacing w:beforeAutospacing="1" w:after="0" w:afterAutospacing="1" w:line="390" w:lineRule="atLeast"/>
        <w:jc w:val="both"/>
        <w:rPr>
          <w:rFonts w:ascii="Verdana" w:eastAsia="Times New Roman" w:hAnsi="Verdana" w:cs="Times New Roman"/>
          <w:color w:val="777777"/>
          <w:sz w:val="21"/>
          <w:szCs w:val="21"/>
          <w:shd w:val="clear" w:color="auto" w:fill="F8F8F8"/>
          <w:lang w:eastAsia="en-AU"/>
        </w:rPr>
      </w:pPr>
      <w:r w:rsidRPr="00D42929">
        <w:rPr>
          <w:rFonts w:ascii="Verdana" w:eastAsia="Times New Roman" w:hAnsi="Verdana" w:cs="Times New Roman"/>
          <w:color w:val="777777"/>
          <w:sz w:val="21"/>
          <w:szCs w:val="21"/>
          <w:shd w:val="clear" w:color="auto" w:fill="F8F8F8"/>
          <w:lang w:eastAsia="en-AU"/>
        </w:rPr>
        <w:t>In connection with the offering, the Company granted the international underwriters the option to purchase up to 19,125,010 additional Shares represented by ADSs that expires on June 17, 2016. The ADSs began trading on the New York Stock Exchange on May 19, 2016 and the Company’s Shares are trading on the </w:t>
      </w:r>
      <w:r w:rsidRPr="00D42929">
        <w:rPr>
          <w:rFonts w:ascii="Verdana" w:eastAsia="Times New Roman" w:hAnsi="Verdana" w:cs="Times New Roman"/>
          <w:i/>
          <w:iCs/>
          <w:color w:val="777777"/>
          <w:sz w:val="21"/>
          <w:szCs w:val="21"/>
          <w:bdr w:val="none" w:sz="0" w:space="0" w:color="auto" w:frame="1"/>
          <w:shd w:val="clear" w:color="auto" w:fill="F8F8F8"/>
          <w:lang w:eastAsia="en-AU"/>
        </w:rPr>
        <w:t>Mercado de Valores de Buenos Aires</w:t>
      </w:r>
      <w:r w:rsidRPr="00D42929">
        <w:rPr>
          <w:rFonts w:ascii="Verdana" w:eastAsia="Times New Roman" w:hAnsi="Verdana" w:cs="Times New Roman"/>
          <w:color w:val="777777"/>
          <w:sz w:val="21"/>
          <w:szCs w:val="21"/>
          <w:shd w:val="clear" w:color="auto" w:fill="F8F8F8"/>
          <w:lang w:eastAsia="en-AU"/>
        </w:rPr>
        <w:t> and the </w:t>
      </w:r>
      <w:r w:rsidRPr="00D42929">
        <w:rPr>
          <w:rFonts w:ascii="Verdana" w:eastAsia="Times New Roman" w:hAnsi="Verdana" w:cs="Times New Roman"/>
          <w:i/>
          <w:iCs/>
          <w:color w:val="777777"/>
          <w:sz w:val="21"/>
          <w:szCs w:val="21"/>
          <w:bdr w:val="none" w:sz="0" w:space="0" w:color="auto" w:frame="1"/>
          <w:shd w:val="clear" w:color="auto" w:fill="F8F8F8"/>
          <w:lang w:eastAsia="en-AU"/>
        </w:rPr>
        <w:t>Mercado Abierto Electrónico S.A.</w:t>
      </w:r>
      <w:r w:rsidRPr="00D42929">
        <w:rPr>
          <w:rFonts w:ascii="Verdana" w:eastAsia="Times New Roman" w:hAnsi="Verdana" w:cs="Times New Roman"/>
          <w:color w:val="777777"/>
          <w:sz w:val="21"/>
          <w:szCs w:val="21"/>
          <w:shd w:val="clear" w:color="auto" w:fill="F8F8F8"/>
          <w:lang w:eastAsia="en-AU"/>
        </w:rPr>
        <w:t>, under the ticker symbol “SUPV”.</w:t>
      </w:r>
    </w:p>
    <w:p w14:paraId="4BABF6D1" w14:textId="77777777" w:rsidR="00D42929" w:rsidRPr="00D42929" w:rsidRDefault="00D42929" w:rsidP="00D42929">
      <w:pPr>
        <w:spacing w:before="100" w:beforeAutospacing="1" w:after="100" w:afterAutospacing="1" w:line="390" w:lineRule="atLeast"/>
        <w:jc w:val="both"/>
        <w:rPr>
          <w:rFonts w:ascii="Verdana" w:eastAsia="Times New Roman" w:hAnsi="Verdana" w:cs="Times New Roman"/>
          <w:color w:val="777777"/>
          <w:sz w:val="21"/>
          <w:szCs w:val="21"/>
          <w:shd w:val="clear" w:color="auto" w:fill="F8F8F8"/>
          <w:lang w:eastAsia="en-AU"/>
        </w:rPr>
      </w:pPr>
      <w:r w:rsidRPr="00D42929">
        <w:rPr>
          <w:rFonts w:ascii="Verdana" w:eastAsia="Times New Roman" w:hAnsi="Verdana" w:cs="Times New Roman"/>
          <w:color w:val="777777"/>
          <w:sz w:val="21"/>
          <w:szCs w:val="21"/>
          <w:shd w:val="clear" w:color="auto" w:fill="F8F8F8"/>
          <w:lang w:eastAsia="en-AU"/>
        </w:rPr>
        <w:t>Morgan Stanley &amp; Co. LLC and Merrill Lynch, Pierce, Fenner &amp; Smith Incorporated acted as joint bookrunners and joint global coordinators and Raymond James &amp; Associates, Inc. acted as co-manager in the offering.</w:t>
      </w:r>
    </w:p>
    <w:p w14:paraId="1F2886EB" w14:textId="77777777" w:rsidR="00D42929" w:rsidRPr="00D42929" w:rsidRDefault="00D42929" w:rsidP="00D42929">
      <w:pPr>
        <w:spacing w:before="100" w:beforeAutospacing="1" w:after="100" w:afterAutospacing="1" w:line="390" w:lineRule="atLeast"/>
        <w:jc w:val="both"/>
        <w:rPr>
          <w:rFonts w:ascii="Verdana" w:eastAsia="Times New Roman" w:hAnsi="Verdana" w:cs="Times New Roman"/>
          <w:color w:val="777777"/>
          <w:sz w:val="21"/>
          <w:szCs w:val="21"/>
          <w:shd w:val="clear" w:color="auto" w:fill="F8F8F8"/>
          <w:lang w:eastAsia="en-AU"/>
        </w:rPr>
      </w:pPr>
      <w:r w:rsidRPr="00D42929">
        <w:rPr>
          <w:rFonts w:ascii="Verdana" w:eastAsia="Times New Roman" w:hAnsi="Verdana" w:cs="Times New Roman"/>
          <w:color w:val="777777"/>
          <w:sz w:val="21"/>
          <w:szCs w:val="21"/>
          <w:shd w:val="clear" w:color="auto" w:fill="F8F8F8"/>
          <w:lang w:eastAsia="en-AU"/>
        </w:rPr>
        <w:t>The offering was made only by means of a prospectus. A registration statement on Form F-1 relating to the offering was filed with the SEC and became effective on May 18, 2016. Copies of the registration statement can be accessed through the SEC’s website at </w:t>
      </w:r>
      <w:hyperlink r:id="rId6" w:tgtFrame="_blank" w:history="1">
        <w:r w:rsidRPr="00D42929">
          <w:rPr>
            <w:rFonts w:ascii="Verdana" w:eastAsia="Times New Roman" w:hAnsi="Verdana" w:cs="Times New Roman"/>
            <w:b/>
            <w:bCs/>
            <w:color w:val="6D6D6D"/>
            <w:sz w:val="21"/>
            <w:szCs w:val="21"/>
            <w:u w:val="single"/>
            <w:shd w:val="clear" w:color="auto" w:fill="F8F8F8"/>
            <w:lang w:eastAsia="en-AU"/>
          </w:rPr>
          <w:t>www.sec.gov</w:t>
        </w:r>
      </w:hyperlink>
      <w:r w:rsidRPr="00D42929">
        <w:rPr>
          <w:rFonts w:ascii="Verdana" w:eastAsia="Times New Roman" w:hAnsi="Verdana" w:cs="Times New Roman"/>
          <w:color w:val="777777"/>
          <w:sz w:val="21"/>
          <w:szCs w:val="21"/>
          <w:shd w:val="clear" w:color="auto" w:fill="F8F8F8"/>
          <w:lang w:eastAsia="en-AU"/>
        </w:rPr>
        <w:t xml:space="preserve">. Copies of the final prospectus related to the offering may be obtained by contacting Morgan Stanley, Attn: Prospectus Department, 180 Varick Street, 2nd Floor, New York, NY, 10014-4606, or BofA Merrill Lynch, Attention: </w:t>
      </w:r>
      <w:r w:rsidRPr="00D42929">
        <w:rPr>
          <w:rFonts w:ascii="Verdana" w:eastAsia="Times New Roman" w:hAnsi="Verdana" w:cs="Times New Roman"/>
          <w:color w:val="777777"/>
          <w:sz w:val="21"/>
          <w:szCs w:val="21"/>
          <w:shd w:val="clear" w:color="auto" w:fill="F8F8F8"/>
          <w:lang w:eastAsia="en-AU"/>
        </w:rPr>
        <w:lastRenderedPageBreak/>
        <w:t>Prospectus Dept., 222 Broadway, New York, NY 10038, or: </w:t>
      </w:r>
      <w:hyperlink r:id="rId7" w:tgtFrame="_blank" w:history="1">
        <w:r w:rsidRPr="00D42929">
          <w:rPr>
            <w:rFonts w:ascii="Verdana" w:eastAsia="Times New Roman" w:hAnsi="Verdana" w:cs="Times New Roman"/>
            <w:b/>
            <w:bCs/>
            <w:color w:val="6D6D6D"/>
            <w:sz w:val="21"/>
            <w:szCs w:val="21"/>
            <w:u w:val="single"/>
            <w:shd w:val="clear" w:color="auto" w:fill="F8F8F8"/>
            <w:lang w:eastAsia="en-AU"/>
          </w:rPr>
          <w:t>dg.prospectus_requests@baml.com</w:t>
        </w:r>
      </w:hyperlink>
      <w:r w:rsidRPr="00D42929">
        <w:rPr>
          <w:rFonts w:ascii="Verdana" w:eastAsia="Times New Roman" w:hAnsi="Verdana" w:cs="Times New Roman"/>
          <w:color w:val="777777"/>
          <w:sz w:val="21"/>
          <w:szCs w:val="21"/>
          <w:shd w:val="clear" w:color="auto" w:fill="F8F8F8"/>
          <w:lang w:eastAsia="en-AU"/>
        </w:rPr>
        <w:t>.</w:t>
      </w:r>
    </w:p>
    <w:p w14:paraId="70CCBAC9" w14:textId="77777777" w:rsidR="00D42929" w:rsidRPr="00D42929" w:rsidRDefault="00D42929" w:rsidP="00D42929">
      <w:pPr>
        <w:spacing w:before="100" w:beforeAutospacing="1" w:after="100" w:afterAutospacing="1" w:line="390" w:lineRule="atLeast"/>
        <w:jc w:val="both"/>
        <w:rPr>
          <w:rFonts w:ascii="Verdana" w:eastAsia="Times New Roman" w:hAnsi="Verdana" w:cs="Times New Roman"/>
          <w:color w:val="777777"/>
          <w:sz w:val="21"/>
          <w:szCs w:val="21"/>
          <w:shd w:val="clear" w:color="auto" w:fill="F8F8F8"/>
          <w:lang w:eastAsia="en-AU"/>
        </w:rPr>
      </w:pPr>
      <w:r w:rsidRPr="00D42929">
        <w:rPr>
          <w:rFonts w:ascii="Verdana" w:eastAsia="Times New Roman" w:hAnsi="Verdana" w:cs="Times New Roman"/>
          <w:color w:val="777777"/>
          <w:sz w:val="21"/>
          <w:szCs w:val="21"/>
          <w:shd w:val="clear" w:color="auto" w:fill="F8F8F8"/>
          <w:lang w:eastAsia="en-AU"/>
        </w:rPr>
        <w:t>This press release shall not constitute an offer to sell or the solicitation of an offer to buy, nor shall there be any sale of these securities in any state or jurisdiction in which such offer, solicitation or sale would be unlawful prior to registration or qualification under the securities laws of any such state or jurisdiction.</w:t>
      </w:r>
    </w:p>
    <w:p w14:paraId="7926B3EB" w14:textId="77777777" w:rsidR="00D42929" w:rsidRPr="00D42929" w:rsidRDefault="00D42929" w:rsidP="00D42929">
      <w:pPr>
        <w:spacing w:before="100" w:beforeAutospacing="1" w:after="100" w:afterAutospacing="1" w:line="390" w:lineRule="atLeast"/>
        <w:jc w:val="both"/>
        <w:rPr>
          <w:rFonts w:ascii="Verdana" w:eastAsia="Times New Roman" w:hAnsi="Verdana" w:cs="Times New Roman"/>
          <w:color w:val="777777"/>
          <w:sz w:val="21"/>
          <w:szCs w:val="21"/>
          <w:shd w:val="clear" w:color="auto" w:fill="F8F8F8"/>
          <w:lang w:eastAsia="en-AU"/>
        </w:rPr>
      </w:pPr>
      <w:r w:rsidRPr="00D42929">
        <w:rPr>
          <w:rFonts w:ascii="Verdana" w:eastAsia="Times New Roman" w:hAnsi="Verdana" w:cs="Times New Roman"/>
          <w:color w:val="777777"/>
          <w:sz w:val="21"/>
          <w:szCs w:val="21"/>
          <w:shd w:val="clear" w:color="auto" w:fill="F8F8F8"/>
          <w:lang w:eastAsia="en-AU"/>
        </w:rPr>
        <w:t>The Argentine public offering of the Class B shares was authorized by the CNV pursuant to Resolution No.18,023 dated April 14, 2016, as amended by Resolution No. 18,033 dated April 21, 2016.</w:t>
      </w:r>
    </w:p>
    <w:p w14:paraId="5CD124CC" w14:textId="77777777" w:rsidR="00D42929" w:rsidRPr="00D42929" w:rsidRDefault="00D42929" w:rsidP="00D42929">
      <w:pPr>
        <w:spacing w:beforeAutospacing="1" w:after="0" w:afterAutospacing="1" w:line="390" w:lineRule="atLeast"/>
        <w:jc w:val="both"/>
        <w:rPr>
          <w:rFonts w:ascii="Verdana" w:eastAsia="Times New Roman" w:hAnsi="Verdana" w:cs="Times New Roman"/>
          <w:color w:val="777777"/>
          <w:sz w:val="21"/>
          <w:szCs w:val="21"/>
          <w:shd w:val="clear" w:color="auto" w:fill="F8F8F8"/>
          <w:lang w:eastAsia="en-AU"/>
        </w:rPr>
      </w:pPr>
      <w:r w:rsidRPr="00D42929">
        <w:rPr>
          <w:rFonts w:ascii="Verdana" w:eastAsia="Times New Roman" w:hAnsi="Verdana" w:cs="Times New Roman"/>
          <w:b/>
          <w:bCs/>
          <w:color w:val="777777"/>
          <w:sz w:val="21"/>
          <w:szCs w:val="21"/>
          <w:bdr w:val="none" w:sz="0" w:space="0" w:color="auto" w:frame="1"/>
          <w:shd w:val="clear" w:color="auto" w:fill="F8F8F8"/>
          <w:lang w:eastAsia="en-AU"/>
        </w:rPr>
        <w:t>About Grupo Supervielle S.A.:</w:t>
      </w:r>
    </w:p>
    <w:p w14:paraId="5E7D8BA3" w14:textId="77777777" w:rsidR="00D42929" w:rsidRPr="00D42929" w:rsidRDefault="00D42929" w:rsidP="00D42929">
      <w:pPr>
        <w:spacing w:before="100" w:beforeAutospacing="1" w:after="100" w:afterAutospacing="1" w:line="390" w:lineRule="atLeast"/>
        <w:jc w:val="both"/>
        <w:rPr>
          <w:rFonts w:ascii="Verdana" w:eastAsia="Times New Roman" w:hAnsi="Verdana" w:cs="Times New Roman"/>
          <w:color w:val="777777"/>
          <w:sz w:val="21"/>
          <w:szCs w:val="21"/>
          <w:shd w:val="clear" w:color="auto" w:fill="F8F8F8"/>
          <w:lang w:eastAsia="en-AU"/>
        </w:rPr>
      </w:pPr>
      <w:r w:rsidRPr="00D42929">
        <w:rPr>
          <w:rFonts w:ascii="Verdana" w:eastAsia="Times New Roman" w:hAnsi="Verdana" w:cs="Times New Roman"/>
          <w:color w:val="777777"/>
          <w:sz w:val="21"/>
          <w:szCs w:val="21"/>
          <w:shd w:val="clear" w:color="auto" w:fill="F8F8F8"/>
          <w:lang w:eastAsia="en-AU"/>
        </w:rPr>
        <w:t>Grupo Supervielle S.A. is a private domestically-owned financial group in Argentina. The Company is controlled by the Supervielle family, which entered the Argentine banking sector in 1887. The Company owns Banco Supervielle S.A., an Argentine private domestically-owned bank with a primary geographic presence in the City of Buenos Aires and the Greater Buenos Aires metropolitan area, Mendoza and San Luis.</w:t>
      </w:r>
    </w:p>
    <w:p w14:paraId="1162CAC7" w14:textId="77777777" w:rsidR="00D42929" w:rsidRPr="00D42929" w:rsidRDefault="00D42929" w:rsidP="00D42929">
      <w:pPr>
        <w:spacing w:after="0" w:line="390" w:lineRule="atLeast"/>
        <w:jc w:val="both"/>
        <w:textAlignment w:val="baseline"/>
        <w:rPr>
          <w:rFonts w:ascii="Verdana" w:eastAsia="Times New Roman" w:hAnsi="Verdana" w:cs="Times New Roman"/>
          <w:i/>
          <w:iCs/>
          <w:color w:val="777777"/>
          <w:sz w:val="21"/>
          <w:szCs w:val="21"/>
          <w:shd w:val="clear" w:color="auto" w:fill="F8F8F8"/>
          <w:lang w:eastAsia="en-AU"/>
        </w:rPr>
      </w:pPr>
      <w:r w:rsidRPr="00D42929">
        <w:rPr>
          <w:rFonts w:ascii="inherit" w:eastAsia="Times New Roman" w:hAnsi="inherit" w:cs="Times New Roman"/>
          <w:b/>
          <w:bCs/>
          <w:i/>
          <w:iCs/>
          <w:color w:val="777777"/>
          <w:sz w:val="21"/>
          <w:szCs w:val="21"/>
          <w:bdr w:val="none" w:sz="0" w:space="0" w:color="auto" w:frame="1"/>
          <w:shd w:val="clear" w:color="auto" w:fill="F8F8F8"/>
          <w:lang w:eastAsia="en-AU"/>
        </w:rPr>
        <w:t>Contact:</w:t>
      </w:r>
    </w:p>
    <w:p w14:paraId="1609F09D" w14:textId="77777777" w:rsidR="00D42929" w:rsidRPr="00D42929" w:rsidRDefault="00D42929" w:rsidP="00D42929">
      <w:pPr>
        <w:spacing w:after="0" w:line="390" w:lineRule="atLeast"/>
        <w:jc w:val="both"/>
        <w:textAlignment w:val="baseline"/>
        <w:rPr>
          <w:rFonts w:ascii="Verdana" w:eastAsia="Times New Roman" w:hAnsi="Verdana" w:cs="Times New Roman"/>
          <w:i/>
          <w:iCs/>
          <w:color w:val="777777"/>
          <w:sz w:val="21"/>
          <w:szCs w:val="21"/>
          <w:shd w:val="clear" w:color="auto" w:fill="F8F8F8"/>
          <w:lang w:eastAsia="en-AU"/>
        </w:rPr>
      </w:pPr>
      <w:r w:rsidRPr="00D42929">
        <w:rPr>
          <w:rFonts w:ascii="Verdana" w:eastAsia="Times New Roman" w:hAnsi="Verdana" w:cs="Times New Roman"/>
          <w:i/>
          <w:iCs/>
          <w:color w:val="777777"/>
          <w:sz w:val="21"/>
          <w:szCs w:val="21"/>
          <w:shd w:val="clear" w:color="auto" w:fill="F8F8F8"/>
          <w:lang w:eastAsia="en-AU"/>
        </w:rPr>
        <w:t>Grupo Supervielle S.A.</w:t>
      </w:r>
    </w:p>
    <w:p w14:paraId="166072FB" w14:textId="77777777" w:rsidR="00D42929" w:rsidRPr="00D42929" w:rsidRDefault="00D42929" w:rsidP="00D42929">
      <w:pPr>
        <w:spacing w:after="0" w:line="390" w:lineRule="atLeast"/>
        <w:jc w:val="both"/>
        <w:textAlignment w:val="baseline"/>
        <w:rPr>
          <w:rFonts w:ascii="Verdana" w:eastAsia="Times New Roman" w:hAnsi="Verdana" w:cs="Times New Roman"/>
          <w:i/>
          <w:iCs/>
          <w:color w:val="777777"/>
          <w:sz w:val="21"/>
          <w:szCs w:val="21"/>
          <w:shd w:val="clear" w:color="auto" w:fill="F8F8F8"/>
          <w:lang w:eastAsia="en-AU"/>
        </w:rPr>
      </w:pPr>
      <w:r w:rsidRPr="00D42929">
        <w:rPr>
          <w:rFonts w:ascii="Verdana" w:eastAsia="Times New Roman" w:hAnsi="Verdana" w:cs="Times New Roman"/>
          <w:i/>
          <w:iCs/>
          <w:color w:val="777777"/>
          <w:sz w:val="21"/>
          <w:szCs w:val="21"/>
          <w:shd w:val="clear" w:color="auto" w:fill="F8F8F8"/>
          <w:lang w:eastAsia="en-AU"/>
        </w:rPr>
        <w:t>Ana Bartesaghi, </w:t>
      </w:r>
      <w:hyperlink r:id="rId8" w:history="1">
        <w:r w:rsidRPr="00D42929">
          <w:rPr>
            <w:rFonts w:ascii="Verdana" w:eastAsia="Times New Roman" w:hAnsi="Verdana" w:cs="Times New Roman"/>
            <w:b/>
            <w:bCs/>
            <w:i/>
            <w:iCs/>
            <w:color w:val="6D6D6D"/>
            <w:sz w:val="21"/>
            <w:szCs w:val="21"/>
            <w:u w:val="single"/>
            <w:shd w:val="clear" w:color="auto" w:fill="F8F8F8"/>
            <w:lang w:eastAsia="en-AU"/>
          </w:rPr>
          <w:t>Ana.BARTESAGHI@supervielle.com.ar</w:t>
        </w:r>
      </w:hyperlink>
    </w:p>
    <w:p w14:paraId="0D27C6A7" w14:textId="77777777" w:rsidR="00D42929" w:rsidRPr="00D42929" w:rsidRDefault="00D42929" w:rsidP="00D42929">
      <w:pPr>
        <w:spacing w:after="0" w:line="390" w:lineRule="atLeast"/>
        <w:jc w:val="both"/>
        <w:textAlignment w:val="baseline"/>
        <w:rPr>
          <w:rFonts w:ascii="Verdana" w:eastAsia="Times New Roman" w:hAnsi="Verdana" w:cs="Times New Roman"/>
          <w:i/>
          <w:iCs/>
          <w:color w:val="777777"/>
          <w:sz w:val="21"/>
          <w:szCs w:val="21"/>
          <w:shd w:val="clear" w:color="auto" w:fill="F8F8F8"/>
          <w:lang w:eastAsia="en-AU"/>
        </w:rPr>
      </w:pPr>
      <w:r w:rsidRPr="00D42929">
        <w:rPr>
          <w:rFonts w:ascii="Verdana" w:eastAsia="Times New Roman" w:hAnsi="Verdana" w:cs="Times New Roman"/>
          <w:i/>
          <w:iCs/>
          <w:color w:val="777777"/>
          <w:sz w:val="21"/>
          <w:szCs w:val="21"/>
          <w:shd w:val="clear" w:color="auto" w:fill="F8F8F8"/>
          <w:lang w:eastAsia="en-AU"/>
        </w:rPr>
        <w:t>Treasurer and Head of Investor Relations</w:t>
      </w:r>
    </w:p>
    <w:p w14:paraId="49FCA260" w14:textId="77777777" w:rsidR="00F152A9" w:rsidRDefault="00F152A9"/>
    <w:sectPr w:rsidR="00F15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29"/>
    <w:rsid w:val="00D42929"/>
    <w:rsid w:val="00F152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2A9B"/>
  <w15:chartTrackingRefBased/>
  <w15:docId w15:val="{25A5EFCF-AD6B-41F5-92DF-10C02897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292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D4292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92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D42929"/>
    <w:rPr>
      <w:rFonts w:ascii="Times New Roman" w:eastAsia="Times New Roman" w:hAnsi="Times New Roman" w:cs="Times New Roman"/>
      <w:b/>
      <w:bCs/>
      <w:sz w:val="27"/>
      <w:szCs w:val="27"/>
      <w:lang w:eastAsia="en-AU"/>
    </w:rPr>
  </w:style>
  <w:style w:type="character" w:customStyle="1" w:styleId="moduletitle">
    <w:name w:val="moduletitle"/>
    <w:basedOn w:val="DefaultParagraphFont"/>
    <w:rsid w:val="00D42929"/>
  </w:style>
  <w:style w:type="character" w:styleId="Hyperlink">
    <w:name w:val="Hyperlink"/>
    <w:basedOn w:val="DefaultParagraphFont"/>
    <w:uiPriority w:val="99"/>
    <w:semiHidden/>
    <w:unhideWhenUsed/>
    <w:rsid w:val="00D42929"/>
    <w:rPr>
      <w:color w:val="0000FF"/>
      <w:u w:val="single"/>
    </w:rPr>
  </w:style>
  <w:style w:type="character" w:customStyle="1" w:styleId="moduletitletext">
    <w:name w:val="moduletitletext"/>
    <w:basedOn w:val="DefaultParagraphFont"/>
    <w:rsid w:val="00D42929"/>
  </w:style>
  <w:style w:type="character" w:customStyle="1" w:styleId="moduledate">
    <w:name w:val="moduledate"/>
    <w:basedOn w:val="DefaultParagraphFont"/>
    <w:rsid w:val="00D42929"/>
  </w:style>
  <w:style w:type="paragraph" w:styleId="NormalWeb">
    <w:name w:val="Normal (Web)"/>
    <w:basedOn w:val="Normal"/>
    <w:uiPriority w:val="99"/>
    <w:semiHidden/>
    <w:unhideWhenUsed/>
    <w:rsid w:val="00D4292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42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170595">
      <w:bodyDiv w:val="1"/>
      <w:marLeft w:val="0"/>
      <w:marRight w:val="0"/>
      <w:marTop w:val="0"/>
      <w:marBottom w:val="0"/>
      <w:divBdr>
        <w:top w:val="none" w:sz="0" w:space="0" w:color="auto"/>
        <w:left w:val="none" w:sz="0" w:space="0" w:color="auto"/>
        <w:bottom w:val="none" w:sz="0" w:space="0" w:color="auto"/>
        <w:right w:val="none" w:sz="0" w:space="0" w:color="auto"/>
      </w:divBdr>
      <w:divsChild>
        <w:div w:id="780613168">
          <w:marLeft w:val="0"/>
          <w:marRight w:val="0"/>
          <w:marTop w:val="0"/>
          <w:marBottom w:val="0"/>
          <w:divBdr>
            <w:top w:val="none" w:sz="0" w:space="0" w:color="auto"/>
            <w:left w:val="none" w:sz="0" w:space="0" w:color="auto"/>
            <w:bottom w:val="none" w:sz="0" w:space="0" w:color="auto"/>
            <w:right w:val="none" w:sz="0" w:space="0" w:color="auto"/>
          </w:divBdr>
          <w:divsChild>
            <w:div w:id="275261514">
              <w:marLeft w:val="0"/>
              <w:marRight w:val="0"/>
              <w:marTop w:val="0"/>
              <w:marBottom w:val="0"/>
              <w:divBdr>
                <w:top w:val="none" w:sz="0" w:space="0" w:color="auto"/>
                <w:left w:val="none" w:sz="0" w:space="0" w:color="auto"/>
                <w:bottom w:val="none" w:sz="0" w:space="0" w:color="auto"/>
                <w:right w:val="none" w:sz="0" w:space="0" w:color="auto"/>
              </w:divBdr>
              <w:divsChild>
                <w:div w:id="896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254">
          <w:marLeft w:val="0"/>
          <w:marRight w:val="0"/>
          <w:marTop w:val="0"/>
          <w:marBottom w:val="0"/>
          <w:divBdr>
            <w:top w:val="none" w:sz="0" w:space="0" w:color="auto"/>
            <w:left w:val="none" w:sz="0" w:space="0" w:color="auto"/>
            <w:bottom w:val="none" w:sz="0" w:space="0" w:color="auto"/>
            <w:right w:val="none" w:sz="0" w:space="0" w:color="auto"/>
          </w:divBdr>
          <w:divsChild>
            <w:div w:id="422186038">
              <w:marLeft w:val="0"/>
              <w:marRight w:val="0"/>
              <w:marTop w:val="0"/>
              <w:marBottom w:val="0"/>
              <w:divBdr>
                <w:top w:val="none" w:sz="0" w:space="0" w:color="auto"/>
                <w:left w:val="none" w:sz="0" w:space="0" w:color="auto"/>
                <w:bottom w:val="none" w:sz="0" w:space="0" w:color="auto"/>
                <w:right w:val="none" w:sz="0" w:space="0" w:color="auto"/>
              </w:divBdr>
              <w:divsChild>
                <w:div w:id="2085449413">
                  <w:marLeft w:val="0"/>
                  <w:marRight w:val="0"/>
                  <w:marTop w:val="0"/>
                  <w:marBottom w:val="0"/>
                  <w:divBdr>
                    <w:top w:val="none" w:sz="0" w:space="0" w:color="auto"/>
                    <w:left w:val="none" w:sz="0" w:space="0" w:color="auto"/>
                    <w:bottom w:val="none" w:sz="0" w:space="0" w:color="auto"/>
                    <w:right w:val="none" w:sz="0" w:space="0" w:color="auto"/>
                  </w:divBdr>
                  <w:divsChild>
                    <w:div w:id="1444425855">
                      <w:marLeft w:val="0"/>
                      <w:marRight w:val="0"/>
                      <w:marTop w:val="0"/>
                      <w:marBottom w:val="0"/>
                      <w:divBdr>
                        <w:top w:val="none" w:sz="0" w:space="0" w:color="auto"/>
                        <w:left w:val="none" w:sz="0" w:space="0" w:color="auto"/>
                        <w:bottom w:val="none" w:sz="0" w:space="0" w:color="auto"/>
                        <w:right w:val="none" w:sz="0" w:space="0" w:color="auto"/>
                      </w:divBdr>
                      <w:divsChild>
                        <w:div w:id="1465002993">
                          <w:marLeft w:val="0"/>
                          <w:marRight w:val="0"/>
                          <w:marTop w:val="0"/>
                          <w:marBottom w:val="150"/>
                          <w:divBdr>
                            <w:top w:val="none" w:sz="0" w:space="0" w:color="auto"/>
                            <w:left w:val="none" w:sz="0" w:space="0" w:color="auto"/>
                            <w:bottom w:val="none" w:sz="0" w:space="0" w:color="auto"/>
                            <w:right w:val="none" w:sz="0" w:space="0" w:color="auto"/>
                          </w:divBdr>
                        </w:div>
                        <w:div w:id="982585120">
                          <w:marLeft w:val="0"/>
                          <w:marRight w:val="0"/>
                          <w:marTop w:val="0"/>
                          <w:marBottom w:val="0"/>
                          <w:divBdr>
                            <w:top w:val="none" w:sz="0" w:space="0" w:color="auto"/>
                            <w:left w:val="none" w:sz="0" w:space="0" w:color="auto"/>
                            <w:bottom w:val="none" w:sz="0" w:space="0" w:color="auto"/>
                            <w:right w:val="none" w:sz="0" w:space="0" w:color="auto"/>
                          </w:divBdr>
                          <w:divsChild>
                            <w:div w:id="12847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BARTESAGHI@supervielle.com.ar" TargetMode="External"/><Relationship Id="rId3" Type="http://schemas.openxmlformats.org/officeDocument/2006/relationships/webSettings" Target="webSettings.xml"/><Relationship Id="rId7" Type="http://schemas.openxmlformats.org/officeDocument/2006/relationships/hyperlink" Target="mailto:dg.prospectus_requests@bam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ts.businesswire.com/ct/CT?id=smartlink&amp;url=http%3A%2F%2Fwww.sec.gov&amp;esheet=51349108&amp;newsitemid=20160524006497&amp;lan=en-US&amp;anchor=www.sec.gov&amp;index=1&amp;md5=cb0faaadfb20861089e4ac2be363ef1f" TargetMode="External"/><Relationship Id="rId5" Type="http://schemas.openxmlformats.org/officeDocument/2006/relationships/hyperlink" Target="http://www.businesswire.com/" TargetMode="External"/><Relationship Id="rId10" Type="http://schemas.openxmlformats.org/officeDocument/2006/relationships/theme" Target="theme/theme1.xml"/><Relationship Id="rId4" Type="http://schemas.openxmlformats.org/officeDocument/2006/relationships/hyperlink" Target="https://www.gruposupervielle.com/English/Investor-Relations/News-Events-and-Presentation/News-Press-Release/default.aspx"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 Carlevaro</dc:creator>
  <cp:keywords/>
  <dc:description/>
  <cp:lastModifiedBy>Emiliano A. Carlevaro</cp:lastModifiedBy>
  <cp:revision>1</cp:revision>
  <dcterms:created xsi:type="dcterms:W3CDTF">2020-11-10T01:43:00Z</dcterms:created>
  <dcterms:modified xsi:type="dcterms:W3CDTF">2020-11-10T01:44:00Z</dcterms:modified>
</cp:coreProperties>
</file>