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03DD" w14:textId="77777777" w:rsidR="00223700" w:rsidRDefault="00223700" w:rsidP="00223700">
      <w:pPr>
        <w:pStyle w:val="Heading1"/>
      </w:pPr>
      <w:r>
        <w:t>Versionado de bases</w:t>
      </w:r>
    </w:p>
    <w:p w14:paraId="33AE349F" w14:textId="77777777" w:rsidR="00223700" w:rsidRDefault="00223700" w:rsidP="00223700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247"/>
      </w:tblGrid>
      <w:tr w:rsidR="00F32BC3" w:rsidRPr="00223700" w14:paraId="5B173B27" w14:textId="77777777" w:rsidTr="00445847">
        <w:tc>
          <w:tcPr>
            <w:tcW w:w="2830" w:type="dxa"/>
          </w:tcPr>
          <w:p w14:paraId="0845CD45" w14:textId="77777777" w:rsidR="00F32BC3" w:rsidRPr="00223700" w:rsidRDefault="00F32BC3" w:rsidP="00223700"/>
        </w:tc>
        <w:tc>
          <w:tcPr>
            <w:tcW w:w="4247" w:type="dxa"/>
          </w:tcPr>
          <w:p w14:paraId="78E0973F" w14:textId="77777777" w:rsidR="00F32BC3" w:rsidRPr="00223700" w:rsidRDefault="00F32BC3" w:rsidP="00223700"/>
        </w:tc>
      </w:tr>
      <w:tr w:rsidR="00F32BC3" w:rsidRPr="00223700" w14:paraId="5BE0BBFC" w14:textId="77777777" w:rsidTr="00445847">
        <w:tc>
          <w:tcPr>
            <w:tcW w:w="2830" w:type="dxa"/>
          </w:tcPr>
          <w:p w14:paraId="20A382BB" w14:textId="77777777" w:rsidR="00F32BC3" w:rsidRPr="00223700" w:rsidRDefault="00F32BC3" w:rsidP="00223700"/>
        </w:tc>
        <w:tc>
          <w:tcPr>
            <w:tcW w:w="4247" w:type="dxa"/>
          </w:tcPr>
          <w:p w14:paraId="3BDB01CC" w14:textId="77777777" w:rsidR="00F32BC3" w:rsidRPr="00223700" w:rsidRDefault="00F32BC3" w:rsidP="00223700"/>
        </w:tc>
      </w:tr>
      <w:tr w:rsidR="00223700" w:rsidRPr="00223700" w14:paraId="13B21FB1" w14:textId="77777777" w:rsidTr="00445847">
        <w:tc>
          <w:tcPr>
            <w:tcW w:w="2830" w:type="dxa"/>
          </w:tcPr>
          <w:p w14:paraId="579588B7" w14:textId="6158FA52" w:rsidR="00223700" w:rsidRPr="00223700" w:rsidRDefault="00223700" w:rsidP="00223700">
            <w:r w:rsidRPr="00223700">
              <w:t>BD Capital mensual 2.0.dta</w:t>
            </w:r>
          </w:p>
        </w:tc>
        <w:tc>
          <w:tcPr>
            <w:tcW w:w="4247" w:type="dxa"/>
          </w:tcPr>
          <w:p w14:paraId="1EAAA614" w14:textId="04904D43" w:rsidR="00223700" w:rsidRPr="00223700" w:rsidRDefault="00223700" w:rsidP="00223700">
            <w:r w:rsidRPr="00223700">
              <w:t xml:space="preserve">Basada en la base de </w:t>
            </w:r>
            <w:proofErr w:type="spellStart"/>
            <w:r w:rsidRPr="00223700">
              <w:t>LiqProvision</w:t>
            </w:r>
            <w:proofErr w:type="spellEnd"/>
            <w:r w:rsidRPr="00223700">
              <w:t xml:space="preserve"> con los IEF del 2005 y 2015 </w:t>
            </w:r>
          </w:p>
        </w:tc>
      </w:tr>
      <w:tr w:rsidR="00CB6939" w:rsidRPr="00223700" w14:paraId="6B02CB52" w14:textId="77777777" w:rsidTr="00445847">
        <w:tc>
          <w:tcPr>
            <w:tcW w:w="2830" w:type="dxa"/>
          </w:tcPr>
          <w:p w14:paraId="0C7ED163" w14:textId="77777777" w:rsidR="00CB6939" w:rsidRDefault="00CB6939" w:rsidP="00223700"/>
        </w:tc>
        <w:tc>
          <w:tcPr>
            <w:tcW w:w="4247" w:type="dxa"/>
          </w:tcPr>
          <w:p w14:paraId="783381AD" w14:textId="77777777" w:rsidR="00CB6939" w:rsidRDefault="00CB6939" w:rsidP="00223700"/>
        </w:tc>
      </w:tr>
      <w:tr w:rsidR="00CB6939" w:rsidRPr="00223700" w14:paraId="7F078B23" w14:textId="77777777" w:rsidTr="00445847">
        <w:tc>
          <w:tcPr>
            <w:tcW w:w="2830" w:type="dxa"/>
          </w:tcPr>
          <w:p w14:paraId="19E83310" w14:textId="71A16B5B" w:rsidR="00CB6939" w:rsidRDefault="00CB6939" w:rsidP="00223700">
            <w:r w:rsidRPr="00CB6939">
              <w:t>CapTotalMen2.102tt24-.dta</w:t>
            </w:r>
          </w:p>
        </w:tc>
        <w:tc>
          <w:tcPr>
            <w:tcW w:w="4247" w:type="dxa"/>
          </w:tcPr>
          <w:p w14:paraId="7BFB9EC9" w14:textId="1A14721A" w:rsidR="00CB6939" w:rsidRDefault="00445847" w:rsidP="00223700">
            <w:r w:rsidRPr="00445847">
              <w:t>Contiene las variables relevantes temporizadas por la variable tt24. Tt24 es un periodo de 24 meses (promedio simple) de las variables mensuales. Hay 10 per</w:t>
            </w:r>
            <w:r w:rsidRPr="00445847">
              <w:t>í</w:t>
            </w:r>
            <w:r w:rsidRPr="00445847">
              <w:t>odos, 2 de ellos son crisis.</w:t>
            </w:r>
            <w:bookmarkStart w:id="0" w:name="_GoBack"/>
            <w:bookmarkEnd w:id="0"/>
          </w:p>
        </w:tc>
      </w:tr>
      <w:tr w:rsidR="00223700" w:rsidRPr="00223700" w14:paraId="1FF3130E" w14:textId="77777777" w:rsidTr="00445847">
        <w:tc>
          <w:tcPr>
            <w:tcW w:w="2830" w:type="dxa"/>
          </w:tcPr>
          <w:p w14:paraId="33767549" w14:textId="4BED3726" w:rsidR="00223700" w:rsidRPr="00223700" w:rsidRDefault="00503FD7" w:rsidP="00223700">
            <w:proofErr w:type="spellStart"/>
            <w:r>
              <w:t>CapTotalMen</w:t>
            </w:r>
            <w:proofErr w:type="spellEnd"/>
            <w:r w:rsidR="00223700" w:rsidRPr="00223700">
              <w:t xml:space="preserve"> </w:t>
            </w:r>
            <w:r>
              <w:t>1</w:t>
            </w:r>
            <w:r w:rsidR="00223700" w:rsidRPr="00223700">
              <w:t>.0.dta</w:t>
            </w:r>
          </w:p>
        </w:tc>
        <w:tc>
          <w:tcPr>
            <w:tcW w:w="4247" w:type="dxa"/>
          </w:tcPr>
          <w:p w14:paraId="6825410E" w14:textId="77777777" w:rsidR="00503FD7" w:rsidRDefault="00503FD7" w:rsidP="00223700">
            <w:r>
              <w:t>Capital Total Mensual</w:t>
            </w:r>
          </w:p>
          <w:p w14:paraId="627E3CE5" w14:textId="4102DC60" w:rsidR="00223700" w:rsidRPr="00223700" w:rsidRDefault="00503FD7" w:rsidP="00223700">
            <w:r>
              <w:t>Contiene todos l</w:t>
            </w:r>
            <w:r w:rsidR="00223700">
              <w:t xml:space="preserve">os EE.CC a partir de </w:t>
            </w:r>
            <w:r w:rsidR="00223700">
              <w:t>“</w:t>
            </w:r>
            <w:r w:rsidR="00223700" w:rsidRPr="00223700">
              <w:t>H23_imputWIDE1994-201707.dta</w:t>
            </w:r>
            <w:r w:rsidR="00223700">
              <w:t>”</w:t>
            </w:r>
            <w:r w:rsidR="00223700">
              <w:t xml:space="preserve"> nueva base con todas las entidades entre 1998 y 2017.</w:t>
            </w:r>
          </w:p>
        </w:tc>
      </w:tr>
      <w:tr w:rsidR="00223700" w:rsidRPr="00223700" w14:paraId="13FF7A98" w14:textId="77777777" w:rsidTr="00445847">
        <w:tc>
          <w:tcPr>
            <w:tcW w:w="2830" w:type="dxa"/>
          </w:tcPr>
          <w:p w14:paraId="4B2ECF36" w14:textId="03AAF289" w:rsidR="00223700" w:rsidRPr="00223700" w:rsidRDefault="00012CC5" w:rsidP="00223700">
            <w:proofErr w:type="spellStart"/>
            <w:r>
              <w:t>CapTotalMen</w:t>
            </w:r>
            <w:proofErr w:type="spellEnd"/>
            <w:r w:rsidRPr="00223700">
              <w:t xml:space="preserve"> </w:t>
            </w:r>
            <w:r>
              <w:t>1</w:t>
            </w:r>
            <w:r w:rsidRPr="00223700">
              <w:t>.</w:t>
            </w:r>
            <w:r>
              <w:t>1</w:t>
            </w:r>
            <w:r w:rsidRPr="00223700">
              <w:t>.dta</w:t>
            </w:r>
          </w:p>
        </w:tc>
        <w:tc>
          <w:tcPr>
            <w:tcW w:w="4247" w:type="dxa"/>
          </w:tcPr>
          <w:p w14:paraId="5DD01D43" w14:textId="48FB67B9" w:rsidR="00223700" w:rsidRPr="00223700" w:rsidRDefault="00012CC5" w:rsidP="00223700">
            <w:r>
              <w:t xml:space="preserve">Incluye datos de la base de </w:t>
            </w:r>
            <w:proofErr w:type="spellStart"/>
            <w:r>
              <w:t>entidades.dta</w:t>
            </w:r>
            <w:proofErr w:type="spellEnd"/>
            <w:r>
              <w:t xml:space="preserve"> (MESCIE, </w:t>
            </w:r>
            <w:proofErr w:type="spellStart"/>
            <w:r>
              <w:t>grupoID</w:t>
            </w:r>
            <w:proofErr w:type="spellEnd"/>
            <w:r>
              <w:t>, NOMRED)</w:t>
            </w:r>
          </w:p>
        </w:tc>
      </w:tr>
      <w:tr w:rsidR="005975CC" w:rsidRPr="00223700" w14:paraId="3ABC61CB" w14:textId="77777777" w:rsidTr="00445847">
        <w:tc>
          <w:tcPr>
            <w:tcW w:w="2830" w:type="dxa"/>
          </w:tcPr>
          <w:p w14:paraId="4B0ED83C" w14:textId="75304397" w:rsidR="005975CC" w:rsidRPr="00223700" w:rsidRDefault="005975CC" w:rsidP="005975CC">
            <w:proofErr w:type="spellStart"/>
            <w:r>
              <w:t>CapTotalMen</w:t>
            </w:r>
            <w:proofErr w:type="spellEnd"/>
            <w:r w:rsidRPr="00223700">
              <w:t xml:space="preserve"> </w:t>
            </w:r>
            <w:r>
              <w:t>1</w:t>
            </w:r>
            <w:r w:rsidRPr="00223700">
              <w:t>.</w:t>
            </w:r>
            <w:r>
              <w:t>2</w:t>
            </w:r>
            <w:r w:rsidRPr="00223700">
              <w:t>.dta</w:t>
            </w:r>
          </w:p>
        </w:tc>
        <w:tc>
          <w:tcPr>
            <w:tcW w:w="4247" w:type="dxa"/>
          </w:tcPr>
          <w:p w14:paraId="138A466C" w14:textId="68871E87" w:rsidR="005975CC" w:rsidRPr="00223700" w:rsidRDefault="005975CC" w:rsidP="005975CC">
            <w:r>
              <w:t>Nuevas variables son</w:t>
            </w:r>
            <w:r w:rsidR="00BD20A8">
              <w:t xml:space="preserve"> </w:t>
            </w:r>
            <w:r>
              <w:t>re PN y Resultados acumulados.</w:t>
            </w:r>
          </w:p>
        </w:tc>
      </w:tr>
      <w:tr w:rsidR="005975CC" w:rsidRPr="00223700" w14:paraId="259CCDFB" w14:textId="77777777" w:rsidTr="00445847">
        <w:tc>
          <w:tcPr>
            <w:tcW w:w="2830" w:type="dxa"/>
          </w:tcPr>
          <w:p w14:paraId="5C78EA7E" w14:textId="40887E3C" w:rsidR="005975CC" w:rsidRDefault="005975CC" w:rsidP="005975CC">
            <w:proofErr w:type="spellStart"/>
            <w:r>
              <w:t>CapTotalMen</w:t>
            </w:r>
            <w:proofErr w:type="spellEnd"/>
            <w:r w:rsidRPr="00223700">
              <w:t xml:space="preserve"> </w:t>
            </w:r>
            <w:r>
              <w:t>1</w:t>
            </w:r>
            <w:r w:rsidRPr="00223700">
              <w:t>.</w:t>
            </w:r>
            <w:r>
              <w:t>3</w:t>
            </w:r>
            <w:r w:rsidRPr="00223700">
              <w:t>.dta</w:t>
            </w:r>
          </w:p>
        </w:tc>
        <w:tc>
          <w:tcPr>
            <w:tcW w:w="4247" w:type="dxa"/>
          </w:tcPr>
          <w:p w14:paraId="25C8DB96" w14:textId="2EC1BC20" w:rsidR="005975CC" w:rsidRDefault="005975CC" w:rsidP="005975CC">
            <w:r>
              <w:t>Resultados mensuales.</w:t>
            </w:r>
          </w:p>
        </w:tc>
      </w:tr>
      <w:tr w:rsidR="00D476CA" w:rsidRPr="00223700" w14:paraId="3407F17D" w14:textId="77777777" w:rsidTr="00445847">
        <w:tc>
          <w:tcPr>
            <w:tcW w:w="2830" w:type="dxa"/>
          </w:tcPr>
          <w:p w14:paraId="3D7CD5DF" w14:textId="77777777" w:rsidR="00D476CA" w:rsidRDefault="00D476CA" w:rsidP="005975CC"/>
        </w:tc>
        <w:tc>
          <w:tcPr>
            <w:tcW w:w="4247" w:type="dxa"/>
          </w:tcPr>
          <w:p w14:paraId="7925A3C0" w14:textId="77777777" w:rsidR="00D476CA" w:rsidRDefault="00D476CA" w:rsidP="005975CC"/>
        </w:tc>
      </w:tr>
      <w:tr w:rsidR="00D476CA" w:rsidRPr="00223700" w14:paraId="5934EAC1" w14:textId="77777777" w:rsidTr="00445847">
        <w:tc>
          <w:tcPr>
            <w:tcW w:w="2830" w:type="dxa"/>
          </w:tcPr>
          <w:p w14:paraId="4D46E55F" w14:textId="5A97E6D9" w:rsidR="00D476CA" w:rsidRDefault="00D476CA" w:rsidP="005975CC">
            <w:proofErr w:type="spellStart"/>
            <w:r>
              <w:t>CapTotalMen</w:t>
            </w:r>
            <w:proofErr w:type="spellEnd"/>
            <w:r w:rsidRPr="00223700">
              <w:t xml:space="preserve"> </w:t>
            </w:r>
            <w:r>
              <w:t>1</w:t>
            </w:r>
            <w:r w:rsidRPr="00223700">
              <w:t>.</w:t>
            </w:r>
            <w:r>
              <w:t>5</w:t>
            </w:r>
            <w:r w:rsidRPr="00223700">
              <w:t>.dta</w:t>
            </w:r>
          </w:p>
        </w:tc>
        <w:tc>
          <w:tcPr>
            <w:tcW w:w="4247" w:type="dxa"/>
          </w:tcPr>
          <w:p w14:paraId="33DA4FD2" w14:textId="3A81BE90" w:rsidR="00D476CA" w:rsidRDefault="007167EB" w:rsidP="005975CC">
            <w:r>
              <w:t xml:space="preserve">Corregidos FCE de bancos </w:t>
            </w:r>
            <w:proofErr w:type="spellStart"/>
            <w:r>
              <w:t>hasa</w:t>
            </w:r>
            <w:proofErr w:type="spellEnd"/>
            <w:r>
              <w:t xml:space="preserve"> el SUQUIA 255</w:t>
            </w:r>
          </w:p>
        </w:tc>
      </w:tr>
    </w:tbl>
    <w:p w14:paraId="13158D4C" w14:textId="786E1F28" w:rsidR="00223700" w:rsidRDefault="00223700" w:rsidP="00223700">
      <w:pPr>
        <w:pStyle w:val="Heading1"/>
      </w:pPr>
      <w:r>
        <w:br w:type="page"/>
      </w:r>
    </w:p>
    <w:p w14:paraId="3AE56085" w14:textId="3395C0E3" w:rsidR="006F7B65" w:rsidRDefault="006F7B65" w:rsidP="006F7B65">
      <w:pPr>
        <w:autoSpaceDE w:val="0"/>
        <w:autoSpaceDN w:val="0"/>
        <w:adjustRightInd w:val="0"/>
        <w:spacing w:after="0" w:line="240" w:lineRule="auto"/>
        <w:contextualSpacing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'D:\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\OneDrive\Investigación UNL\Efectos del capital bancario\Datos y bases\Bases\</w:t>
      </w:r>
      <w:r w:rsidRPr="006F7B65">
        <w:rPr>
          <w:rFonts w:ascii="Courier New" w:hAnsi="Courier New" w:cs="Courier New"/>
          <w:b/>
          <w:color w:val="000000"/>
          <w:sz w:val="20"/>
          <w:szCs w:val="20"/>
        </w:rPr>
        <w:t>BD UNIFICADA completa, solo BANCOS 1995-03-2015-01 Sin MandA-CAPITAL-v1.0.sav</w:t>
      </w:r>
    </w:p>
    <w:p w14:paraId="0CB491D5" w14:textId="77777777" w:rsidR="006F7B65" w:rsidRDefault="006F7B65" w:rsidP="006F7B65">
      <w:pPr>
        <w:autoSpaceDE w:val="0"/>
        <w:autoSpaceDN w:val="0"/>
        <w:adjustRightInd w:val="0"/>
        <w:spacing w:after="0" w:line="240" w:lineRule="auto"/>
        <w:contextualSpacing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064B3EBF" w14:textId="77777777" w:rsidR="004A1E1E" w:rsidRDefault="004A1E1E">
      <w:pPr>
        <w:rPr>
          <w:lang w:val="es-ES"/>
        </w:rPr>
      </w:pPr>
      <w:r>
        <w:rPr>
          <w:lang w:val="es-ES"/>
        </w:rPr>
        <w:t>La base original contiene 15342  de 76 bancos.</w:t>
      </w:r>
    </w:p>
    <w:p w14:paraId="0FB2D8DE" w14:textId="77777777" w:rsidR="004A1E1E" w:rsidRDefault="00F46A27">
      <w:pPr>
        <w:rPr>
          <w:lang w:val="es-ES"/>
        </w:rPr>
      </w:pPr>
      <w:r>
        <w:rPr>
          <w:lang w:val="es-ES"/>
        </w:rPr>
        <w:t>Se quitan las observaciones con Activo nulo y con un volumen de dep</w:t>
      </w:r>
      <w:r>
        <w:rPr>
          <w:lang w:val="es-ES"/>
        </w:rPr>
        <w:t>ó</w:t>
      </w:r>
      <w:r>
        <w:rPr>
          <w:lang w:val="es-ES"/>
        </w:rPr>
        <w:t>sitos a Activo menor al 1%</w:t>
      </w:r>
      <w:r w:rsidR="00C950AF">
        <w:rPr>
          <w:lang w:val="es-ES"/>
        </w:rPr>
        <w:t xml:space="preserve"> del Activo</w:t>
      </w:r>
      <w:r>
        <w:rPr>
          <w:lang w:val="es-ES"/>
        </w:rPr>
        <w:t>.</w:t>
      </w:r>
    </w:p>
    <w:p w14:paraId="5B3667F5" w14:textId="77777777" w:rsidR="002976EF" w:rsidRPr="00223700" w:rsidRDefault="002976EF">
      <w:pPr>
        <w:rPr>
          <w:lang w:val="es-ES"/>
        </w:rPr>
      </w:pPr>
    </w:p>
    <w:p w14:paraId="513EFB65" w14:textId="77777777" w:rsidR="002976EF" w:rsidRPr="00223700" w:rsidRDefault="002976EF" w:rsidP="002976EF">
      <w:pPr>
        <w:rPr>
          <w:lang w:val="es-ES"/>
        </w:rPr>
      </w:pPr>
      <w:proofErr w:type="spellStart"/>
      <w:r>
        <w:rPr>
          <w:lang w:val="es-ES"/>
        </w:rPr>
        <w:t>Assets</w:t>
      </w:r>
      <w:proofErr w:type="spellEnd"/>
      <w:r w:rsidRPr="00223700">
        <w:rPr>
          <w:lang w:val="es-ES"/>
        </w:rPr>
        <w:t xml:space="preserve"> != 0 AND </w:t>
      </w:r>
      <w:proofErr w:type="spellStart"/>
      <w:r w:rsidRPr="00223700">
        <w:rPr>
          <w:lang w:val="es-ES"/>
        </w:rPr>
        <w:t>depTotalRatioAssets</w:t>
      </w:r>
      <w:proofErr w:type="spellEnd"/>
      <w:r w:rsidRPr="00223700">
        <w:rPr>
          <w:lang w:val="es-ES"/>
        </w:rPr>
        <w:t>&gt;0.01</w:t>
      </w:r>
    </w:p>
    <w:p w14:paraId="783F1FEA" w14:textId="77777777" w:rsidR="000343AE" w:rsidRPr="00223700" w:rsidRDefault="00C44062" w:rsidP="002976EF">
      <w:pPr>
        <w:rPr>
          <w:lang w:val="es-ES"/>
        </w:rPr>
      </w:pPr>
      <w:r w:rsidRPr="00223700">
        <w:rPr>
          <w:lang w:val="es-ES"/>
        </w:rPr>
        <w:t>Esto excluye 949 observaciones</w:t>
      </w:r>
      <w:r w:rsidR="0023302F" w:rsidRPr="00223700">
        <w:rPr>
          <w:lang w:val="es-ES"/>
        </w:rPr>
        <w:t xml:space="preserve"> de 20 entidades. De las 20 con observaciones excluidas, 1 </w:t>
      </w:r>
      <w:proofErr w:type="spellStart"/>
      <w:r w:rsidR="0023302F" w:rsidRPr="00223700">
        <w:rPr>
          <w:lang w:val="es-ES"/>
        </w:rPr>
        <w:t>entidadad</w:t>
      </w:r>
      <w:proofErr w:type="spellEnd"/>
      <w:r w:rsidR="0023302F" w:rsidRPr="00223700">
        <w:rPr>
          <w:lang w:val="es-ES"/>
        </w:rPr>
        <w:t xml:space="preserve"> queda </w:t>
      </w:r>
      <w:proofErr w:type="spellStart"/>
      <w:r w:rsidR="0023302F" w:rsidRPr="00223700">
        <w:rPr>
          <w:lang w:val="es-ES"/>
        </w:rPr>
        <w:t>complemtamente</w:t>
      </w:r>
      <w:proofErr w:type="spellEnd"/>
      <w:r w:rsidR="0023302F" w:rsidRPr="00223700">
        <w:rPr>
          <w:lang w:val="es-ES"/>
        </w:rPr>
        <w:t xml:space="preserve"> excluida, el Banco </w:t>
      </w:r>
      <w:proofErr w:type="spellStart"/>
      <w:r w:rsidR="0023302F" w:rsidRPr="00223700">
        <w:rPr>
          <w:lang w:val="es-ES"/>
        </w:rPr>
        <w:t>Cofidis</w:t>
      </w:r>
      <w:proofErr w:type="spellEnd"/>
      <w:r w:rsidR="0023302F" w:rsidRPr="00223700">
        <w:rPr>
          <w:lang w:val="es-ES"/>
        </w:rPr>
        <w:t xml:space="preserve"> SA (ID= 335) pues nunca posee dep</w:t>
      </w:r>
      <w:r w:rsidR="0023302F" w:rsidRPr="00223700">
        <w:rPr>
          <w:lang w:val="es-ES"/>
        </w:rPr>
        <w:t>ó</w:t>
      </w:r>
      <w:r w:rsidR="0023302F" w:rsidRPr="00223700">
        <w:rPr>
          <w:lang w:val="es-ES"/>
        </w:rPr>
        <w:t>sitos</w:t>
      </w:r>
      <w:r w:rsidRPr="00223700">
        <w:rPr>
          <w:lang w:val="es-ES"/>
        </w:rPr>
        <w:t>:</w:t>
      </w:r>
    </w:p>
    <w:p w14:paraId="28B84620" w14:textId="77777777" w:rsidR="00C44062" w:rsidRPr="00223700" w:rsidRDefault="00C44062" w:rsidP="002976EF">
      <w:pPr>
        <w:rPr>
          <w:lang w:val="es-ES"/>
        </w:rPr>
      </w:pPr>
    </w:p>
    <w:p w14:paraId="406705AD" w14:textId="77777777" w:rsidR="000343AE" w:rsidRPr="00223700" w:rsidRDefault="000343AE" w:rsidP="002976EF">
      <w:pPr>
        <w:rPr>
          <w:lang w:val="es-ES"/>
        </w:rPr>
      </w:pPr>
      <w:r w:rsidRPr="00223700">
        <w:rPr>
          <w:lang w:val="es-ES"/>
        </w:rPr>
        <w:t xml:space="preserve">La </w:t>
      </w:r>
      <w:proofErr w:type="spellStart"/>
      <w:r w:rsidRPr="00223700">
        <w:rPr>
          <w:lang w:val="es-ES"/>
        </w:rPr>
        <w:t>observaci</w:t>
      </w:r>
      <w:r w:rsidRPr="00223700">
        <w:rPr>
          <w:lang w:val="es-ES"/>
        </w:rPr>
        <w:t>’</w:t>
      </w:r>
      <w:r w:rsidRPr="00223700">
        <w:rPr>
          <w:lang w:val="es-ES"/>
        </w:rPr>
        <w:t>on</w:t>
      </w:r>
      <w:proofErr w:type="spellEnd"/>
      <w:r w:rsidRPr="00223700">
        <w:rPr>
          <w:lang w:val="es-ES"/>
        </w:rPr>
        <w:t xml:space="preserve"> 5251 del Banco de Corrientes en 2002-08 es corregida.</w:t>
      </w:r>
    </w:p>
    <w:p w14:paraId="4B51A5B3" w14:textId="77777777" w:rsidR="002976EF" w:rsidRPr="00223700" w:rsidRDefault="002976EF">
      <w:pPr>
        <w:rPr>
          <w:lang w:val="es-ES"/>
        </w:rPr>
      </w:pPr>
    </w:p>
    <w:p w14:paraId="164E946E" w14:textId="77777777" w:rsidR="009D1ACA" w:rsidRDefault="00335B8A">
      <w:pPr>
        <w:rPr>
          <w:lang w:val="es-ES"/>
        </w:rPr>
      </w:pPr>
      <w:r>
        <w:rPr>
          <w:lang w:val="es-ES"/>
        </w:rPr>
        <w:t xml:space="preserve">La base </w:t>
      </w:r>
      <w:r w:rsidR="004A1E1E">
        <w:rPr>
          <w:lang w:val="es-ES"/>
        </w:rPr>
        <w:t xml:space="preserve">filtrada </w:t>
      </w:r>
      <w:r>
        <w:rPr>
          <w:lang w:val="es-ES"/>
        </w:rPr>
        <w:t>consiste en 143</w:t>
      </w:r>
      <w:r w:rsidR="00EC5CF2">
        <w:rPr>
          <w:lang w:val="es-ES"/>
        </w:rPr>
        <w:t>93</w:t>
      </w:r>
      <w:r>
        <w:rPr>
          <w:lang w:val="es-ES"/>
        </w:rPr>
        <w:t xml:space="preserve"> observaciones de 75 bancos</w:t>
      </w:r>
    </w:p>
    <w:p w14:paraId="5FA0EF9D" w14:textId="77777777" w:rsidR="004A1E1E" w:rsidRDefault="004A1E1E">
      <w:pPr>
        <w:rPr>
          <w:lang w:val="es-ES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4A1E1E" w:rsidRPr="004A1E1E" w14:paraId="7C63864D" w14:textId="77777777" w:rsidTr="004A1E1E">
        <w:trPr>
          <w:trHeight w:val="504"/>
        </w:trPr>
        <w:tc>
          <w:tcPr>
            <w:tcW w:w="24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C1547F5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764764" w14:textId="77777777" w:rsidR="004A1E1E" w:rsidRPr="004A1E1E" w:rsidRDefault="004A1E1E" w:rsidP="004A1E1E">
            <w:pPr>
              <w:spacing w:after="0" w:line="240" w:lineRule="auto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2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9D8273" w14:textId="77777777" w:rsidR="004A1E1E" w:rsidRPr="004A1E1E" w:rsidRDefault="004A1E1E" w:rsidP="004A1E1E">
            <w:pPr>
              <w:spacing w:after="0" w:line="240" w:lineRule="auto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2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A23551" w14:textId="77777777" w:rsidR="004A1E1E" w:rsidRPr="004A1E1E" w:rsidRDefault="004A1E1E" w:rsidP="004A1E1E">
            <w:pPr>
              <w:spacing w:after="0" w:line="240" w:lineRule="auto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2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1E43F77" w14:textId="77777777" w:rsidR="004A1E1E" w:rsidRPr="004A1E1E" w:rsidRDefault="004A1E1E" w:rsidP="004A1E1E">
            <w:pPr>
              <w:spacing w:after="0" w:line="240" w:lineRule="auto"/>
              <w:contextualSpacing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4A1E1E" w:rsidRPr="004A1E1E" w14:paraId="72F7ECDC" w14:textId="77777777" w:rsidTr="004A1E1E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11244285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7189640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8D5FD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6225B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0AF90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E7BEB1E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4,6</w:t>
            </w:r>
          </w:p>
        </w:tc>
      </w:tr>
      <w:tr w:rsidR="004A1E1E" w:rsidRPr="004A1E1E" w14:paraId="0845C04D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2C46A3A4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D009DD3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379ED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93D81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977D9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3978E9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7,6</w:t>
            </w:r>
          </w:p>
        </w:tc>
      </w:tr>
      <w:tr w:rsidR="004A1E1E" w:rsidRPr="004A1E1E" w14:paraId="6522AF84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76EEF919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8D73DF3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07583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8DB1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9B330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ABBE3E6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8,4</w:t>
            </w:r>
          </w:p>
        </w:tc>
      </w:tr>
      <w:tr w:rsidR="004A1E1E" w:rsidRPr="004A1E1E" w14:paraId="6F6E5DBD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7EB4474C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65202179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10A5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61D8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74B7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6,6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E6C70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15,0</w:t>
            </w:r>
          </w:p>
        </w:tc>
      </w:tr>
      <w:tr w:rsidR="004A1E1E" w:rsidRPr="004A1E1E" w14:paraId="1131084F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780F01B6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72C18C3D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DFA5F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ACBE1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C4783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4703F1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</w:tr>
      <w:tr w:rsidR="004A1E1E" w:rsidRPr="004A1E1E" w14:paraId="5EC1E76A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211885F5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44D7D7E1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19E5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45403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7B9D9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E1B3F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18,4</w:t>
            </w:r>
          </w:p>
        </w:tc>
      </w:tr>
      <w:tr w:rsidR="004A1E1E" w:rsidRPr="004A1E1E" w14:paraId="44B4A676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4FD7C1CC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332855B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2AA2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69FEB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1B69E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367805F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38,4</w:t>
            </w:r>
          </w:p>
        </w:tc>
      </w:tr>
      <w:tr w:rsidR="004A1E1E" w:rsidRPr="004A1E1E" w14:paraId="58508341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6162D08F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6E7FA08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FD6F4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62482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36F3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ECE383E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40,3</w:t>
            </w:r>
          </w:p>
        </w:tc>
      </w:tr>
      <w:tr w:rsidR="004A1E1E" w:rsidRPr="004A1E1E" w14:paraId="6A5682B8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23C84190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487E8D5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C2411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0A792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96E91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483AB7C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50,4</w:t>
            </w:r>
          </w:p>
        </w:tc>
      </w:tr>
      <w:tr w:rsidR="004A1E1E" w:rsidRPr="004A1E1E" w14:paraId="6533387C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13E1C269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56EBE965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5AAD3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7200A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51319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96A7C66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63,4</w:t>
            </w:r>
          </w:p>
        </w:tc>
      </w:tr>
      <w:tr w:rsidR="004A1E1E" w:rsidRPr="004A1E1E" w14:paraId="2095DE97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790AC84E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DB361AE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7281A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A49C1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C68EC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A9210A9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70,5</w:t>
            </w:r>
          </w:p>
        </w:tc>
      </w:tr>
      <w:tr w:rsidR="004A1E1E" w:rsidRPr="004A1E1E" w14:paraId="1D5831C8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30890D5D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14D27FB4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9EAD7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1AC3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690D1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3,4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43E83EE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73,9</w:t>
            </w:r>
          </w:p>
        </w:tc>
      </w:tr>
      <w:tr w:rsidR="004A1E1E" w:rsidRPr="004A1E1E" w14:paraId="5F8A92CE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5B7A83EC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0623CC68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552D4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74677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7069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3,9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54B403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77,8</w:t>
            </w:r>
          </w:p>
        </w:tc>
      </w:tr>
      <w:tr w:rsidR="004A1E1E" w:rsidRPr="004A1E1E" w14:paraId="334C97D8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622EE01F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3B58E5B2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0AEBC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C50AA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F78F4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D2FF165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82,8</w:t>
            </w:r>
          </w:p>
        </w:tc>
      </w:tr>
      <w:tr w:rsidR="004A1E1E" w:rsidRPr="004A1E1E" w14:paraId="3086D20E" w14:textId="77777777" w:rsidTr="004A1E1E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1C69FF87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14:paraId="297CB184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2D5C4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F9E9C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17,2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4C1C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17,2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6FAD9EB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A1E1E" w:rsidRPr="004A1E1E" w14:paraId="49289F8F" w14:textId="77777777" w:rsidTr="004A1E1E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14:paraId="3F353A14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801E6AE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BA41B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3AC98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14F1B" w14:textId="77777777" w:rsidR="004A1E1E" w:rsidRPr="004A1E1E" w:rsidRDefault="004A1E1E" w:rsidP="004A1E1E">
            <w:pPr>
              <w:spacing w:after="0" w:line="240" w:lineRule="auto"/>
              <w:contextualSpacing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F94C3CF" w14:textId="77777777" w:rsidR="004A1E1E" w:rsidRPr="004A1E1E" w:rsidRDefault="004A1E1E" w:rsidP="004A1E1E">
            <w:pPr>
              <w:spacing w:after="0" w:line="240" w:lineRule="auto"/>
              <w:contextualSpacing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1E1E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367E161A" w14:textId="77777777" w:rsidR="004A1E1E" w:rsidRPr="00335B8A" w:rsidRDefault="004A1E1E">
      <w:pPr>
        <w:rPr>
          <w:lang w:val="es-ES"/>
        </w:rPr>
      </w:pPr>
    </w:p>
    <w:sectPr w:rsidR="004A1E1E" w:rsidRPr="00335B8A" w:rsidSect="00DA5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8A"/>
    <w:rsid w:val="00012CC5"/>
    <w:rsid w:val="000343AE"/>
    <w:rsid w:val="00223700"/>
    <w:rsid w:val="0023302F"/>
    <w:rsid w:val="00293B13"/>
    <w:rsid w:val="002976EF"/>
    <w:rsid w:val="00335B8A"/>
    <w:rsid w:val="003E779B"/>
    <w:rsid w:val="00445847"/>
    <w:rsid w:val="004A1E1E"/>
    <w:rsid w:val="00503FD7"/>
    <w:rsid w:val="005975CC"/>
    <w:rsid w:val="005D1DA4"/>
    <w:rsid w:val="005E44CA"/>
    <w:rsid w:val="00692285"/>
    <w:rsid w:val="006B32D3"/>
    <w:rsid w:val="006F7B65"/>
    <w:rsid w:val="007167EB"/>
    <w:rsid w:val="007E5647"/>
    <w:rsid w:val="00826C5B"/>
    <w:rsid w:val="009D1ACA"/>
    <w:rsid w:val="009D79ED"/>
    <w:rsid w:val="00B21828"/>
    <w:rsid w:val="00B8428F"/>
    <w:rsid w:val="00BD20A8"/>
    <w:rsid w:val="00C44062"/>
    <w:rsid w:val="00C950AF"/>
    <w:rsid w:val="00CB6939"/>
    <w:rsid w:val="00D476CA"/>
    <w:rsid w:val="00DA5AAE"/>
    <w:rsid w:val="00E050C6"/>
    <w:rsid w:val="00E11DE8"/>
    <w:rsid w:val="00EA0396"/>
    <w:rsid w:val="00EC5CF2"/>
    <w:rsid w:val="00F24B11"/>
    <w:rsid w:val="00F32BC3"/>
    <w:rsid w:val="00F46A27"/>
    <w:rsid w:val="00F5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D51"/>
  <w15:chartTrackingRefBased/>
  <w15:docId w15:val="{3AB217A1-7AA5-44B9-9D1C-6145B7D4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79B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53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adro1">
    <w:name w:val="Cuadro1"/>
    <w:basedOn w:val="Normal"/>
    <w:link w:val="Cuadro1Car"/>
    <w:qFormat/>
    <w:rsid w:val="006B32D3"/>
    <w:rPr>
      <w:b/>
      <w:caps/>
      <w:sz w:val="28"/>
    </w:rPr>
  </w:style>
  <w:style w:type="character" w:customStyle="1" w:styleId="Cuadro1Car">
    <w:name w:val="Cuadro1 Car"/>
    <w:basedOn w:val="DefaultParagraphFont"/>
    <w:link w:val="Cuadro1"/>
    <w:rsid w:val="006B32D3"/>
    <w:rPr>
      <w:b/>
      <w:caps/>
      <w:sz w:val="28"/>
    </w:rPr>
  </w:style>
  <w:style w:type="paragraph" w:customStyle="1" w:styleId="Cuadro2">
    <w:name w:val="Cuadro2"/>
    <w:basedOn w:val="Cuadro1"/>
    <w:link w:val="Cuadro2Car"/>
    <w:qFormat/>
    <w:rsid w:val="006B32D3"/>
    <w:rPr>
      <w:sz w:val="24"/>
    </w:rPr>
  </w:style>
  <w:style w:type="character" w:customStyle="1" w:styleId="Cuadro2Car">
    <w:name w:val="Cuadro2 Car"/>
    <w:basedOn w:val="DefaultParagraphFont"/>
    <w:link w:val="Cuadro2"/>
    <w:rsid w:val="006B32D3"/>
    <w:rPr>
      <w:b/>
      <w:caps/>
      <w:sz w:val="24"/>
    </w:rPr>
  </w:style>
  <w:style w:type="paragraph" w:customStyle="1" w:styleId="Cuadro3">
    <w:name w:val="Cuadro3"/>
    <w:basedOn w:val="Heading3"/>
    <w:link w:val="Cuadro3Car"/>
    <w:qFormat/>
    <w:rsid w:val="006B32D3"/>
    <w:rPr>
      <w:b/>
      <w:sz w:val="20"/>
      <w:u w:val="single"/>
    </w:rPr>
  </w:style>
  <w:style w:type="character" w:customStyle="1" w:styleId="Cuadro3Car">
    <w:name w:val="Cuadro3 Car"/>
    <w:basedOn w:val="Heading3Char"/>
    <w:link w:val="Cuadro3"/>
    <w:rsid w:val="006B32D3"/>
    <w:rPr>
      <w:rFonts w:asciiTheme="majorHAnsi" w:eastAsiaTheme="majorEastAsia" w:hAnsiTheme="majorHAnsi" w:cstheme="majorBidi"/>
      <w:b/>
      <w:color w:val="1F3763" w:themeColor="accent1" w:themeShade="7F"/>
      <w:sz w:val="20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uadro4">
    <w:name w:val="Cuadro4"/>
    <w:basedOn w:val="Normal"/>
    <w:link w:val="Cuadro4Car"/>
    <w:qFormat/>
    <w:rsid w:val="006B32D3"/>
    <w:rPr>
      <w:b/>
      <w:sz w:val="20"/>
    </w:rPr>
  </w:style>
  <w:style w:type="character" w:customStyle="1" w:styleId="Cuadro4Car">
    <w:name w:val="Cuadro4 Car"/>
    <w:basedOn w:val="DefaultParagraphFont"/>
    <w:link w:val="Cuadro4"/>
    <w:rsid w:val="006B32D3"/>
    <w:rPr>
      <w:b/>
      <w:sz w:val="20"/>
    </w:rPr>
  </w:style>
  <w:style w:type="paragraph" w:customStyle="1" w:styleId="Cuadro5">
    <w:name w:val="Cuadro5"/>
    <w:basedOn w:val="Normal"/>
    <w:link w:val="Cuadro5Car"/>
    <w:qFormat/>
    <w:rsid w:val="006B32D3"/>
    <w:rPr>
      <w:sz w:val="20"/>
    </w:rPr>
  </w:style>
  <w:style w:type="character" w:customStyle="1" w:styleId="Cuadro5Car">
    <w:name w:val="Cuadro5 Car"/>
    <w:basedOn w:val="DefaultParagraphFont"/>
    <w:link w:val="Cuadro5"/>
    <w:rsid w:val="006B32D3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ando">
    <w:name w:val="Comando"/>
    <w:basedOn w:val="Normal"/>
    <w:link w:val="ComandoCar"/>
    <w:qFormat/>
    <w:rsid w:val="00F24B11"/>
    <w:rPr>
      <w:rFonts w:ascii="Courier New" w:hAnsi="Courier New"/>
      <w:b/>
      <w:color w:val="00B050"/>
      <w:sz w:val="20"/>
    </w:rPr>
  </w:style>
  <w:style w:type="character" w:customStyle="1" w:styleId="ComandoCar">
    <w:name w:val="Comando Car"/>
    <w:basedOn w:val="DefaultParagraphFont"/>
    <w:link w:val="Comando"/>
    <w:rsid w:val="00F24B11"/>
    <w:rPr>
      <w:rFonts w:ascii="Courier New" w:hAnsi="Courier New"/>
      <w:b/>
      <w:color w:val="00B050"/>
      <w:sz w:val="20"/>
    </w:rPr>
  </w:style>
  <w:style w:type="table" w:styleId="TableGrid">
    <w:name w:val="Table Grid"/>
    <w:basedOn w:val="TableNormal"/>
    <w:uiPriority w:val="39"/>
    <w:rsid w:val="00223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A. Carlevaro</dc:creator>
  <cp:keywords/>
  <dc:description/>
  <cp:lastModifiedBy>Emiliano Alexander Carlevaro Peresson</cp:lastModifiedBy>
  <cp:revision>10</cp:revision>
  <dcterms:created xsi:type="dcterms:W3CDTF">2017-04-12T21:08:00Z</dcterms:created>
  <dcterms:modified xsi:type="dcterms:W3CDTF">2019-11-11T02:23:00Z</dcterms:modified>
</cp:coreProperties>
</file>