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6"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72"/>
      </w:tblGrid>
      <w:tr w:rsidR="001A18C0" w14:paraId="614AC498" w14:textId="77777777" w:rsidTr="006F2FDA">
        <w:tc>
          <w:tcPr>
            <w:tcW w:w="10206" w:type="dxa"/>
          </w:tcPr>
          <w:p w14:paraId="47108F00" w14:textId="07C81973" w:rsidR="001A18C0" w:rsidRDefault="001A18C0" w:rsidP="00A77FB9">
            <w:pPr>
              <w:spacing w:before="100" w:beforeAutospacing="1" w:after="100" w:afterAutospacing="1"/>
              <w:rPr>
                <w:rFonts w:ascii="Verdana" w:eastAsia="Times New Roman" w:hAnsi="Verdana" w:cs="Times New Roman"/>
                <w:color w:val="454545"/>
                <w:sz w:val="20"/>
                <w:szCs w:val="20"/>
                <w:lang w:eastAsia="en-AU"/>
              </w:rPr>
            </w:pPr>
            <w:r>
              <w:rPr>
                <w:rFonts w:ascii="Verdana" w:eastAsia="Times New Roman" w:hAnsi="Verdana" w:cs="Times New Roman"/>
                <w:noProof/>
                <w:color w:val="454545"/>
                <w:sz w:val="20"/>
                <w:szCs w:val="20"/>
                <w:lang w:eastAsia="en-AU"/>
              </w:rPr>
              <w:drawing>
                <wp:inline distT="0" distB="0" distL="0" distR="0" wp14:anchorId="3DDC0F46" wp14:editId="2931D0A3">
                  <wp:extent cx="6385560" cy="772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385560" cy="772795"/>
                          </a:xfrm>
                          <a:prstGeom prst="rect">
                            <a:avLst/>
                          </a:prstGeom>
                          <a:noFill/>
                          <a:ln>
                            <a:noFill/>
                          </a:ln>
                        </pic:spPr>
                      </pic:pic>
                    </a:graphicData>
                  </a:graphic>
                </wp:inline>
              </w:drawing>
            </w:r>
          </w:p>
        </w:tc>
      </w:tr>
    </w:tbl>
    <w:tbl>
      <w:tblPr>
        <w:tblpPr w:leftFromText="45" w:rightFromText="45" w:vertAnchor="text" w:tblpX="-567"/>
        <w:tblW w:w="10206" w:type="dxa"/>
        <w:tblCellSpacing w:w="0" w:type="dxa"/>
        <w:shd w:val="clear" w:color="auto" w:fill="FFFFFF"/>
        <w:tblCellMar>
          <w:top w:w="34" w:type="dxa"/>
          <w:left w:w="34" w:type="dxa"/>
          <w:bottom w:w="34" w:type="dxa"/>
          <w:right w:w="34" w:type="dxa"/>
        </w:tblCellMar>
        <w:tblLook w:val="04A0" w:firstRow="1" w:lastRow="0" w:firstColumn="1" w:lastColumn="0" w:noHBand="0" w:noVBand="1"/>
      </w:tblPr>
      <w:tblGrid>
        <w:gridCol w:w="1540"/>
        <w:gridCol w:w="8666"/>
      </w:tblGrid>
      <w:tr w:rsidR="001A18C0" w:rsidRPr="006E53A6" w14:paraId="7623D9CF" w14:textId="77777777" w:rsidTr="006F2FDA">
        <w:trPr>
          <w:trHeight w:val="256"/>
          <w:tblCellSpacing w:w="0" w:type="dxa"/>
        </w:trPr>
        <w:tc>
          <w:tcPr>
            <w:tcW w:w="1540" w:type="dxa"/>
            <w:shd w:val="clear" w:color="auto" w:fill="FFFFFF"/>
          </w:tcPr>
          <w:p w14:paraId="5EE53231" w14:textId="10AC9507" w:rsidR="001A18C0" w:rsidRPr="006E53A6" w:rsidRDefault="001A18C0" w:rsidP="006F2FDA">
            <w:pPr>
              <w:spacing w:after="0" w:line="240" w:lineRule="auto"/>
              <w:rPr>
                <w:rFonts w:ascii="Verdana" w:eastAsia="Times New Roman" w:hAnsi="Verdana" w:cs="Times New Roman"/>
                <w:sz w:val="28"/>
                <w:szCs w:val="28"/>
                <w:lang w:eastAsia="en-AU"/>
              </w:rPr>
            </w:pPr>
            <w:r w:rsidRPr="006E53A6">
              <w:rPr>
                <w:rFonts w:ascii="Verdana" w:eastAsia="Times New Roman" w:hAnsi="Verdana" w:cs="Times New Roman"/>
                <w:sz w:val="28"/>
                <w:szCs w:val="28"/>
                <w:lang w:eastAsia="en-AU"/>
              </w:rPr>
              <w:t>From:</w:t>
            </w:r>
          </w:p>
        </w:tc>
        <w:tc>
          <w:tcPr>
            <w:tcW w:w="8666" w:type="dxa"/>
            <w:shd w:val="clear" w:color="auto" w:fill="FFFFFF"/>
            <w:vAlign w:val="center"/>
          </w:tcPr>
          <w:p w14:paraId="19C3586C" w14:textId="4BA9ED95" w:rsidR="001A18C0" w:rsidRPr="006E53A6" w:rsidRDefault="001A18C0" w:rsidP="006F2FDA">
            <w:pPr>
              <w:spacing w:after="0" w:line="240" w:lineRule="auto"/>
              <w:rPr>
                <w:rFonts w:ascii="Verdana" w:eastAsia="Times New Roman" w:hAnsi="Verdana" w:cs="Times New Roman"/>
                <w:sz w:val="28"/>
                <w:szCs w:val="28"/>
                <w:lang w:eastAsia="en-AU"/>
              </w:rPr>
            </w:pPr>
            <w:r w:rsidRPr="006E53A6">
              <w:rPr>
                <w:rFonts w:ascii="Verdana" w:eastAsia="Times New Roman" w:hAnsi="Verdana" w:cs="Times New Roman"/>
                <w:sz w:val="28"/>
                <w:szCs w:val="28"/>
                <w:lang w:eastAsia="en-AU"/>
              </w:rPr>
              <w:t>Christopher Cox, SEC</w:t>
            </w:r>
          </w:p>
        </w:tc>
      </w:tr>
      <w:tr w:rsidR="001A18C0" w:rsidRPr="006E53A6" w14:paraId="0DA369E1" w14:textId="77777777" w:rsidTr="006F2FDA">
        <w:trPr>
          <w:trHeight w:val="256"/>
          <w:tblCellSpacing w:w="0" w:type="dxa"/>
        </w:trPr>
        <w:tc>
          <w:tcPr>
            <w:tcW w:w="1540" w:type="dxa"/>
            <w:shd w:val="clear" w:color="auto" w:fill="FFFFFF"/>
          </w:tcPr>
          <w:p w14:paraId="58D19519" w14:textId="1F23FDCF" w:rsidR="001A18C0" w:rsidRPr="006E53A6" w:rsidRDefault="001A18C0" w:rsidP="006F2FDA">
            <w:pPr>
              <w:spacing w:after="0" w:line="240" w:lineRule="auto"/>
              <w:rPr>
                <w:rFonts w:ascii="Verdana" w:eastAsia="Times New Roman" w:hAnsi="Verdana" w:cs="Times New Roman"/>
                <w:sz w:val="28"/>
                <w:szCs w:val="28"/>
                <w:lang w:eastAsia="en-AU"/>
              </w:rPr>
            </w:pPr>
            <w:r w:rsidRPr="006E53A6">
              <w:rPr>
                <w:rFonts w:ascii="Verdana" w:eastAsia="Times New Roman" w:hAnsi="Verdana" w:cs="Times New Roman"/>
                <w:sz w:val="28"/>
                <w:szCs w:val="28"/>
                <w:lang w:eastAsia="en-AU"/>
              </w:rPr>
              <w:t>To:</w:t>
            </w:r>
          </w:p>
        </w:tc>
        <w:tc>
          <w:tcPr>
            <w:tcW w:w="8666" w:type="dxa"/>
            <w:shd w:val="clear" w:color="auto" w:fill="FFFFFF"/>
            <w:vAlign w:val="center"/>
          </w:tcPr>
          <w:p w14:paraId="7B51D69E" w14:textId="39161D83" w:rsidR="001A18C0" w:rsidRPr="006E53A6" w:rsidRDefault="001A18C0" w:rsidP="006F2FDA">
            <w:pPr>
              <w:spacing w:after="0" w:line="240" w:lineRule="auto"/>
              <w:rPr>
                <w:rFonts w:ascii="Verdana" w:eastAsia="Times New Roman" w:hAnsi="Verdana" w:cs="Times New Roman"/>
                <w:sz w:val="28"/>
                <w:szCs w:val="28"/>
                <w:lang w:eastAsia="en-AU"/>
              </w:rPr>
            </w:pPr>
            <w:r w:rsidRPr="006E53A6">
              <w:rPr>
                <w:rFonts w:ascii="Verdana" w:eastAsia="Times New Roman" w:hAnsi="Verdana" w:cs="Times New Roman"/>
                <w:sz w:val="28"/>
                <w:szCs w:val="28"/>
                <w:lang w:eastAsia="en-AU"/>
              </w:rPr>
              <w:t xml:space="preserve">Dr. Nout </w:t>
            </w:r>
            <w:proofErr w:type="spellStart"/>
            <w:r w:rsidRPr="006E53A6">
              <w:rPr>
                <w:rFonts w:ascii="Verdana" w:eastAsia="Times New Roman" w:hAnsi="Verdana" w:cs="Times New Roman"/>
                <w:sz w:val="28"/>
                <w:szCs w:val="28"/>
                <w:lang w:eastAsia="en-AU"/>
              </w:rPr>
              <w:t>Wellink</w:t>
            </w:r>
            <w:proofErr w:type="spellEnd"/>
            <w:r w:rsidRPr="006E53A6">
              <w:rPr>
                <w:rFonts w:ascii="Verdana" w:eastAsia="Times New Roman" w:hAnsi="Verdana" w:cs="Times New Roman"/>
                <w:sz w:val="28"/>
                <w:szCs w:val="28"/>
                <w:lang w:eastAsia="en-AU"/>
              </w:rPr>
              <w:t xml:space="preserve">, Basel Committee </w:t>
            </w:r>
          </w:p>
        </w:tc>
      </w:tr>
      <w:tr w:rsidR="001A18C0" w:rsidRPr="006E53A6" w14:paraId="42F9DBBC" w14:textId="77777777" w:rsidTr="006F2FDA">
        <w:trPr>
          <w:trHeight w:val="265"/>
          <w:tblCellSpacing w:w="0" w:type="dxa"/>
        </w:trPr>
        <w:tc>
          <w:tcPr>
            <w:tcW w:w="1540" w:type="dxa"/>
            <w:tcBorders>
              <w:top w:val="single" w:sz="4" w:space="0" w:color="auto"/>
            </w:tcBorders>
            <w:shd w:val="clear" w:color="auto" w:fill="FFFFFF"/>
            <w:hideMark/>
          </w:tcPr>
          <w:p w14:paraId="211E8055" w14:textId="77777777" w:rsidR="001A18C0" w:rsidRPr="006E53A6" w:rsidRDefault="001A18C0" w:rsidP="006F2FDA">
            <w:pPr>
              <w:spacing w:after="0" w:line="240" w:lineRule="auto"/>
              <w:rPr>
                <w:rFonts w:ascii="Verdana" w:eastAsia="Times New Roman" w:hAnsi="Verdana" w:cs="Times New Roman"/>
                <w:sz w:val="28"/>
                <w:szCs w:val="28"/>
                <w:lang w:eastAsia="en-AU"/>
              </w:rPr>
            </w:pPr>
            <w:r w:rsidRPr="006E53A6">
              <w:rPr>
                <w:rFonts w:ascii="Verdana" w:eastAsia="Times New Roman" w:hAnsi="Verdana" w:cs="Times New Roman"/>
                <w:sz w:val="28"/>
                <w:szCs w:val="28"/>
                <w:lang w:eastAsia="en-AU"/>
              </w:rPr>
              <w:t>cc:</w:t>
            </w:r>
          </w:p>
        </w:tc>
        <w:tc>
          <w:tcPr>
            <w:tcW w:w="8666" w:type="dxa"/>
            <w:tcBorders>
              <w:top w:val="single" w:sz="4" w:space="0" w:color="auto"/>
            </w:tcBorders>
            <w:shd w:val="clear" w:color="auto" w:fill="FFFFFF"/>
            <w:vAlign w:val="center"/>
            <w:hideMark/>
          </w:tcPr>
          <w:p w14:paraId="2A2E081C" w14:textId="20770BED" w:rsidR="001A18C0" w:rsidRPr="006E53A6" w:rsidRDefault="001A18C0" w:rsidP="006F2FDA">
            <w:pPr>
              <w:spacing w:after="0" w:line="240" w:lineRule="auto"/>
              <w:rPr>
                <w:rFonts w:ascii="Verdana" w:eastAsia="Times New Roman" w:hAnsi="Verdana" w:cs="Times New Roman"/>
                <w:sz w:val="28"/>
                <w:szCs w:val="28"/>
                <w:lang w:eastAsia="en-AU"/>
              </w:rPr>
            </w:pPr>
            <w:r w:rsidRPr="006E53A6">
              <w:rPr>
                <w:rFonts w:ascii="Verdana" w:eastAsia="Times New Roman" w:hAnsi="Verdana" w:cs="Times New Roman"/>
                <w:sz w:val="28"/>
                <w:szCs w:val="28"/>
                <w:lang w:eastAsia="en-AU"/>
              </w:rPr>
              <w:t xml:space="preserve">Michel Prada, International Organization of Securities </w:t>
            </w:r>
          </w:p>
        </w:tc>
      </w:tr>
      <w:tr w:rsidR="001A18C0" w:rsidRPr="006E53A6" w14:paraId="0194D5F7" w14:textId="77777777" w:rsidTr="006F2FDA">
        <w:trPr>
          <w:trHeight w:val="256"/>
          <w:tblCellSpacing w:w="0" w:type="dxa"/>
        </w:trPr>
        <w:tc>
          <w:tcPr>
            <w:tcW w:w="1540" w:type="dxa"/>
            <w:shd w:val="clear" w:color="auto" w:fill="FFFFFF"/>
            <w:vAlign w:val="center"/>
            <w:hideMark/>
          </w:tcPr>
          <w:p w14:paraId="066F92AB" w14:textId="77777777" w:rsidR="001A18C0" w:rsidRPr="006E53A6" w:rsidRDefault="001A18C0" w:rsidP="006F2FDA">
            <w:pPr>
              <w:spacing w:after="0" w:line="240" w:lineRule="auto"/>
              <w:rPr>
                <w:rFonts w:ascii="Verdana" w:eastAsia="Times New Roman" w:hAnsi="Verdana" w:cs="Times New Roman"/>
                <w:sz w:val="28"/>
                <w:szCs w:val="28"/>
                <w:lang w:eastAsia="en-AU"/>
              </w:rPr>
            </w:pPr>
            <w:r w:rsidRPr="006E53A6">
              <w:rPr>
                <w:rFonts w:ascii="Verdana" w:eastAsia="Times New Roman" w:hAnsi="Verdana" w:cs="Times New Roman"/>
                <w:sz w:val="28"/>
                <w:szCs w:val="28"/>
                <w:lang w:eastAsia="en-AU"/>
              </w:rPr>
              <w:t> </w:t>
            </w:r>
          </w:p>
        </w:tc>
        <w:tc>
          <w:tcPr>
            <w:tcW w:w="8666" w:type="dxa"/>
            <w:shd w:val="clear" w:color="auto" w:fill="FFFFFF"/>
            <w:vAlign w:val="center"/>
            <w:hideMark/>
          </w:tcPr>
          <w:p w14:paraId="015A55A9" w14:textId="0853B328" w:rsidR="001A18C0" w:rsidRPr="006E53A6" w:rsidRDefault="001A18C0" w:rsidP="006F2FDA">
            <w:pPr>
              <w:spacing w:after="0" w:line="240" w:lineRule="auto"/>
              <w:rPr>
                <w:rFonts w:ascii="Verdana" w:eastAsia="Times New Roman" w:hAnsi="Verdana" w:cs="Times New Roman"/>
                <w:sz w:val="28"/>
                <w:szCs w:val="28"/>
                <w:lang w:eastAsia="en-AU"/>
              </w:rPr>
            </w:pPr>
            <w:proofErr w:type="spellStart"/>
            <w:r w:rsidRPr="006E53A6">
              <w:rPr>
                <w:rFonts w:ascii="Verdana" w:eastAsia="Times New Roman" w:hAnsi="Verdana" w:cs="Times New Roman"/>
                <w:sz w:val="28"/>
                <w:szCs w:val="28"/>
                <w:lang w:eastAsia="en-AU"/>
              </w:rPr>
              <w:t>Tokio</w:t>
            </w:r>
            <w:proofErr w:type="spellEnd"/>
            <w:r w:rsidRPr="006E53A6">
              <w:rPr>
                <w:rFonts w:ascii="Verdana" w:eastAsia="Times New Roman" w:hAnsi="Verdana" w:cs="Times New Roman"/>
                <w:sz w:val="28"/>
                <w:szCs w:val="28"/>
                <w:lang w:eastAsia="en-AU"/>
              </w:rPr>
              <w:t xml:space="preserve"> Morita, IOSCO Standing Committee </w:t>
            </w:r>
          </w:p>
        </w:tc>
      </w:tr>
      <w:tr w:rsidR="001A18C0" w:rsidRPr="006E53A6" w14:paraId="31833FAE" w14:textId="77777777" w:rsidTr="006F2FDA">
        <w:trPr>
          <w:trHeight w:val="265"/>
          <w:tblCellSpacing w:w="0" w:type="dxa"/>
        </w:trPr>
        <w:tc>
          <w:tcPr>
            <w:tcW w:w="1540" w:type="dxa"/>
            <w:shd w:val="clear" w:color="auto" w:fill="FFFFFF"/>
            <w:vAlign w:val="center"/>
            <w:hideMark/>
          </w:tcPr>
          <w:p w14:paraId="45E12698" w14:textId="77777777" w:rsidR="001A18C0" w:rsidRPr="006E53A6" w:rsidRDefault="001A18C0" w:rsidP="006F2FDA">
            <w:pPr>
              <w:spacing w:after="0" w:line="240" w:lineRule="auto"/>
              <w:rPr>
                <w:rFonts w:ascii="Verdana" w:eastAsia="Times New Roman" w:hAnsi="Verdana" w:cs="Times New Roman"/>
                <w:sz w:val="28"/>
                <w:szCs w:val="28"/>
                <w:lang w:eastAsia="en-AU"/>
              </w:rPr>
            </w:pPr>
            <w:r w:rsidRPr="006E53A6">
              <w:rPr>
                <w:rFonts w:ascii="Verdana" w:eastAsia="Times New Roman" w:hAnsi="Verdana" w:cs="Times New Roman"/>
                <w:sz w:val="28"/>
                <w:szCs w:val="28"/>
                <w:lang w:eastAsia="en-AU"/>
              </w:rPr>
              <w:t> </w:t>
            </w:r>
          </w:p>
        </w:tc>
        <w:tc>
          <w:tcPr>
            <w:tcW w:w="8666" w:type="dxa"/>
            <w:shd w:val="clear" w:color="auto" w:fill="FFFFFF"/>
            <w:vAlign w:val="center"/>
            <w:hideMark/>
          </w:tcPr>
          <w:p w14:paraId="69926D98" w14:textId="43988F6C" w:rsidR="001A18C0" w:rsidRPr="006E53A6" w:rsidRDefault="001A18C0" w:rsidP="006F2FDA">
            <w:pPr>
              <w:spacing w:after="0" w:line="240" w:lineRule="auto"/>
              <w:rPr>
                <w:rFonts w:ascii="Verdana" w:eastAsia="Times New Roman" w:hAnsi="Verdana" w:cs="Times New Roman"/>
                <w:sz w:val="28"/>
                <w:szCs w:val="28"/>
                <w:lang w:eastAsia="en-AU"/>
              </w:rPr>
            </w:pPr>
            <w:r w:rsidRPr="006E53A6">
              <w:rPr>
                <w:rFonts w:ascii="Verdana" w:eastAsia="Times New Roman" w:hAnsi="Verdana" w:cs="Times New Roman"/>
                <w:sz w:val="28"/>
                <w:szCs w:val="28"/>
                <w:lang w:eastAsia="en-AU"/>
              </w:rPr>
              <w:t>Mario Draghi, Financial Stability Forum</w:t>
            </w:r>
          </w:p>
        </w:tc>
      </w:tr>
    </w:tbl>
    <w:p w14:paraId="16758E24" w14:textId="7C8DE2E3" w:rsidR="001A18C0" w:rsidRDefault="001A18C0" w:rsidP="001A18C0">
      <w:pPr>
        <w:pStyle w:val="NormalWeb"/>
        <w:shd w:val="clear" w:color="auto" w:fill="FFFFFF"/>
        <w:rPr>
          <w:rFonts w:ascii="Verdana" w:hAnsi="Verdana"/>
          <w:color w:val="454545"/>
          <w:sz w:val="20"/>
          <w:szCs w:val="20"/>
        </w:rPr>
      </w:pPr>
      <w:r w:rsidRPr="006E53A6">
        <w:rPr>
          <w:rFonts w:ascii="Verdana" w:hAnsi="Verdana"/>
          <w:color w:val="454545"/>
          <w:sz w:val="28"/>
          <w:szCs w:val="28"/>
        </w:rPr>
        <w:t>March 20, 2008</w:t>
      </w:r>
    </w:p>
    <w:p w14:paraId="36DABC31" w14:textId="77777777" w:rsidR="001A18C0" w:rsidRPr="006E53A6" w:rsidRDefault="001A18C0" w:rsidP="001A18C0">
      <w:pPr>
        <w:pStyle w:val="NormalWeb"/>
        <w:shd w:val="clear" w:color="auto" w:fill="FFFFFF"/>
        <w:rPr>
          <w:rFonts w:ascii="Verdana" w:hAnsi="Verdana"/>
          <w:color w:val="454545"/>
          <w:sz w:val="28"/>
          <w:szCs w:val="28"/>
        </w:rPr>
      </w:pPr>
      <w:r w:rsidRPr="006E53A6">
        <w:rPr>
          <w:rFonts w:ascii="Verdana" w:hAnsi="Verdana"/>
          <w:color w:val="454545"/>
          <w:sz w:val="28"/>
          <w:szCs w:val="28"/>
        </w:rPr>
        <w:t xml:space="preserve">Dr. Nout </w:t>
      </w:r>
      <w:proofErr w:type="spellStart"/>
      <w:r w:rsidRPr="006E53A6">
        <w:rPr>
          <w:rFonts w:ascii="Verdana" w:hAnsi="Verdana"/>
          <w:color w:val="454545"/>
          <w:sz w:val="28"/>
          <w:szCs w:val="28"/>
        </w:rPr>
        <w:t>Wellink</w:t>
      </w:r>
      <w:proofErr w:type="spellEnd"/>
      <w:r w:rsidRPr="006E53A6">
        <w:rPr>
          <w:rFonts w:ascii="Verdana" w:hAnsi="Verdana"/>
          <w:color w:val="454545"/>
          <w:sz w:val="28"/>
          <w:szCs w:val="28"/>
        </w:rPr>
        <w:br/>
        <w:t>Chairman</w:t>
      </w:r>
      <w:r w:rsidRPr="006E53A6">
        <w:rPr>
          <w:rFonts w:ascii="Verdana" w:hAnsi="Verdana"/>
          <w:color w:val="454545"/>
          <w:sz w:val="28"/>
          <w:szCs w:val="28"/>
        </w:rPr>
        <w:br/>
        <w:t>Basel Committee on Banking Supervision</w:t>
      </w:r>
      <w:r w:rsidRPr="006E53A6">
        <w:rPr>
          <w:rFonts w:ascii="Verdana" w:hAnsi="Verdana"/>
          <w:color w:val="454545"/>
          <w:sz w:val="28"/>
          <w:szCs w:val="28"/>
        </w:rPr>
        <w:br/>
      </w:r>
      <w:proofErr w:type="spellStart"/>
      <w:r w:rsidRPr="006E53A6">
        <w:rPr>
          <w:rFonts w:ascii="Verdana" w:hAnsi="Verdana"/>
          <w:color w:val="454545"/>
          <w:sz w:val="28"/>
          <w:szCs w:val="28"/>
        </w:rPr>
        <w:t>Centralbahnplatz</w:t>
      </w:r>
      <w:proofErr w:type="spellEnd"/>
      <w:r w:rsidRPr="006E53A6">
        <w:rPr>
          <w:rFonts w:ascii="Verdana" w:hAnsi="Verdana"/>
          <w:color w:val="454545"/>
          <w:sz w:val="28"/>
          <w:szCs w:val="28"/>
        </w:rPr>
        <w:t xml:space="preserve"> 2</w:t>
      </w:r>
      <w:r w:rsidRPr="006E53A6">
        <w:rPr>
          <w:rFonts w:ascii="Verdana" w:hAnsi="Verdana"/>
          <w:color w:val="454545"/>
          <w:sz w:val="28"/>
          <w:szCs w:val="28"/>
        </w:rPr>
        <w:br/>
        <w:t>CH-4002 Basel</w:t>
      </w:r>
      <w:r w:rsidRPr="006E53A6">
        <w:rPr>
          <w:rFonts w:ascii="Verdana" w:hAnsi="Verdana"/>
          <w:color w:val="454545"/>
          <w:sz w:val="28"/>
          <w:szCs w:val="28"/>
        </w:rPr>
        <w:br/>
        <w:t>Switzerland</w:t>
      </w:r>
    </w:p>
    <w:p w14:paraId="7E017004" w14:textId="25A9F23F" w:rsidR="002002B9" w:rsidRDefault="002002B9">
      <w:pPr>
        <w:rPr>
          <w:rFonts w:ascii="Verdana" w:eastAsia="Times New Roman" w:hAnsi="Verdana" w:cs="Times New Roman"/>
          <w:color w:val="454545"/>
          <w:sz w:val="20"/>
          <w:szCs w:val="20"/>
          <w:lang w:eastAsia="en-AU"/>
        </w:rPr>
      </w:pPr>
      <w:r>
        <w:rPr>
          <w:rFonts w:ascii="Verdana" w:eastAsia="Times New Roman" w:hAnsi="Verdana" w:cs="Times New Roman"/>
          <w:color w:val="454545"/>
          <w:sz w:val="20"/>
          <w:szCs w:val="20"/>
          <w:lang w:eastAsia="en-AU"/>
        </w:rPr>
        <w:br w:type="page"/>
      </w:r>
    </w:p>
    <w:p w14:paraId="03BF2AB1" w14:textId="77777777" w:rsidR="001A18C0" w:rsidRDefault="001A18C0" w:rsidP="001A18C0">
      <w:pPr>
        <w:shd w:val="clear" w:color="auto" w:fill="FFFFFF"/>
        <w:spacing w:before="100" w:beforeAutospacing="1" w:after="100" w:afterAutospacing="1" w:line="240" w:lineRule="auto"/>
        <w:rPr>
          <w:rFonts w:ascii="Verdana" w:eastAsia="Times New Roman" w:hAnsi="Verdana" w:cs="Times New Roman"/>
          <w:color w:val="454545"/>
          <w:sz w:val="20"/>
          <w:szCs w:val="20"/>
          <w:lang w:eastAsia="en-AU"/>
        </w:rPr>
      </w:pPr>
    </w:p>
    <w:p w14:paraId="169CC0C4" w14:textId="77777777" w:rsidR="00A77FB9" w:rsidRDefault="00A77FB9" w:rsidP="00A77FB9">
      <w:pPr>
        <w:shd w:val="clear" w:color="auto" w:fill="FFFFFF"/>
        <w:spacing w:before="100" w:beforeAutospacing="1" w:after="100" w:afterAutospacing="1" w:line="240" w:lineRule="auto"/>
        <w:rPr>
          <w:rFonts w:ascii="Verdana" w:eastAsia="Times New Roman" w:hAnsi="Verdana" w:cs="Times New Roman"/>
          <w:color w:val="454545"/>
          <w:sz w:val="20"/>
          <w:szCs w:val="20"/>
          <w:lang w:eastAsia="en-AU"/>
        </w:rPr>
      </w:pPr>
    </w:p>
    <w:p w14:paraId="2036B44D" w14:textId="42DC4054" w:rsidR="00A77FB9" w:rsidRPr="00A77FB9" w:rsidRDefault="00A77FB9" w:rsidP="00A77FB9">
      <w:pPr>
        <w:shd w:val="clear" w:color="auto" w:fill="FFFFFF"/>
        <w:spacing w:before="100" w:beforeAutospacing="1" w:after="100" w:afterAutospacing="1" w:line="240" w:lineRule="auto"/>
        <w:rPr>
          <w:rFonts w:ascii="Verdana" w:eastAsia="Times New Roman" w:hAnsi="Verdana" w:cs="Times New Roman"/>
          <w:color w:val="454545"/>
          <w:sz w:val="20"/>
          <w:szCs w:val="20"/>
          <w:lang w:eastAsia="en-AU"/>
        </w:rPr>
      </w:pPr>
      <w:r w:rsidRPr="00A77FB9">
        <w:rPr>
          <w:rFonts w:ascii="Verdana" w:eastAsia="Times New Roman" w:hAnsi="Verdana" w:cs="Times New Roman"/>
          <w:color w:val="454545"/>
          <w:sz w:val="20"/>
          <w:szCs w:val="20"/>
          <w:lang w:eastAsia="en-AU"/>
        </w:rPr>
        <w:t xml:space="preserve">the conclusion to which these data point is that the fate of Bear Stearns was the result of a lack of confidence, not a lack of capital. When the tumult began last week, and </w:t>
      </w:r>
      <w:proofErr w:type="gramStart"/>
      <w:r w:rsidRPr="00A77FB9">
        <w:rPr>
          <w:rFonts w:ascii="Verdana" w:eastAsia="Times New Roman" w:hAnsi="Verdana" w:cs="Times New Roman"/>
          <w:color w:val="454545"/>
          <w:sz w:val="20"/>
          <w:szCs w:val="20"/>
          <w:lang w:eastAsia="en-AU"/>
        </w:rPr>
        <w:t>at all times</w:t>
      </w:r>
      <w:proofErr w:type="gramEnd"/>
      <w:r w:rsidRPr="00A77FB9">
        <w:rPr>
          <w:rFonts w:ascii="Verdana" w:eastAsia="Times New Roman" w:hAnsi="Verdana" w:cs="Times New Roman"/>
          <w:color w:val="454545"/>
          <w:sz w:val="20"/>
          <w:szCs w:val="20"/>
          <w:lang w:eastAsia="en-AU"/>
        </w:rPr>
        <w:t xml:space="preserve"> until its agreement to be acquired by JP Morgan Chase during the weekend, the firm had a capital cushion well above what is required to meet supervisory standards calculated using the Basel II standard.</w:t>
      </w:r>
    </w:p>
    <w:p w14:paraId="6DAFBDC5" w14:textId="001B6F70" w:rsidR="00A77FB9" w:rsidRDefault="00A77FB9" w:rsidP="00A77FB9">
      <w:pPr>
        <w:shd w:val="clear" w:color="auto" w:fill="FFFFFF"/>
        <w:spacing w:before="100" w:beforeAutospacing="1" w:after="100" w:afterAutospacing="1" w:line="240" w:lineRule="auto"/>
        <w:rPr>
          <w:rFonts w:ascii="Verdana" w:eastAsia="Times New Roman" w:hAnsi="Verdana" w:cs="Times New Roman"/>
          <w:color w:val="454545"/>
          <w:sz w:val="20"/>
          <w:szCs w:val="20"/>
          <w:lang w:eastAsia="en-AU"/>
        </w:rPr>
      </w:pPr>
      <w:r w:rsidRPr="00A77FB9">
        <w:rPr>
          <w:rFonts w:ascii="Verdana" w:eastAsia="Times New Roman" w:hAnsi="Verdana" w:cs="Times New Roman"/>
          <w:color w:val="454545"/>
          <w:sz w:val="20"/>
          <w:szCs w:val="20"/>
          <w:lang w:eastAsia="en-AU"/>
        </w:rPr>
        <w:t>Specifically, even at the time of its sale on Sunday, Bear Stearns' capital, and its broker-dealers' capital, exceeded supervisory standards. Counterparty withdrawals and credit denials, resulting in a loss of liquidity - not inadequate capital - caused Bear's demise.</w:t>
      </w:r>
    </w:p>
    <w:p w14:paraId="378ED19A" w14:textId="5F79A179" w:rsidR="00A77FB9" w:rsidRDefault="00A77FB9" w:rsidP="00A77FB9">
      <w:pPr>
        <w:shd w:val="clear" w:color="auto" w:fill="FFFFFF"/>
        <w:spacing w:before="100" w:beforeAutospacing="1" w:after="100" w:afterAutospacing="1" w:line="240" w:lineRule="auto"/>
        <w:rPr>
          <w:rFonts w:ascii="Verdana" w:hAnsi="Verdana"/>
          <w:color w:val="454545"/>
          <w:sz w:val="20"/>
          <w:szCs w:val="20"/>
          <w:shd w:val="clear" w:color="auto" w:fill="FFFFFF"/>
        </w:rPr>
      </w:pPr>
      <w:r>
        <w:rPr>
          <w:rFonts w:ascii="Verdana" w:hAnsi="Verdana"/>
          <w:color w:val="454545"/>
          <w:sz w:val="20"/>
          <w:szCs w:val="20"/>
          <w:shd w:val="clear" w:color="auto" w:fill="FFFFFF"/>
        </w:rPr>
        <w:t xml:space="preserve">Bear Stearns had a capital ratio of well </w:t>
      </w:r>
      <w:proofErr w:type="gramStart"/>
      <w:r>
        <w:rPr>
          <w:rFonts w:ascii="Verdana" w:hAnsi="Verdana"/>
          <w:color w:val="454545"/>
          <w:sz w:val="20"/>
          <w:szCs w:val="20"/>
          <w:shd w:val="clear" w:color="auto" w:fill="FFFFFF"/>
        </w:rPr>
        <w:t>in excess of</w:t>
      </w:r>
      <w:proofErr w:type="gramEnd"/>
      <w:r>
        <w:rPr>
          <w:rFonts w:ascii="Verdana" w:hAnsi="Verdana"/>
          <w:color w:val="454545"/>
          <w:sz w:val="20"/>
          <w:szCs w:val="20"/>
          <w:shd w:val="clear" w:color="auto" w:fill="FFFFFF"/>
        </w:rPr>
        <w:t xml:space="preserve"> the 10% level used by the Federal Reserve Board in its "well-capitalized" standard.</w:t>
      </w:r>
    </w:p>
    <w:p w14:paraId="583480D0" w14:textId="713E8DF1" w:rsidR="00A77FB9" w:rsidRDefault="00A77FB9" w:rsidP="00A77FB9">
      <w:pPr>
        <w:shd w:val="clear" w:color="auto" w:fill="FFFFFF"/>
        <w:spacing w:before="100" w:beforeAutospacing="1" w:after="100" w:afterAutospacing="1" w:line="240" w:lineRule="auto"/>
        <w:rPr>
          <w:rFonts w:ascii="Verdana" w:hAnsi="Verdana"/>
          <w:color w:val="454545"/>
          <w:sz w:val="20"/>
          <w:szCs w:val="20"/>
          <w:shd w:val="clear" w:color="auto" w:fill="FFFFFF"/>
        </w:rPr>
      </w:pPr>
    </w:p>
    <w:p w14:paraId="07D8435A" w14:textId="77777777" w:rsidR="00A77FB9" w:rsidRDefault="00A77FB9" w:rsidP="00A77FB9">
      <w:pPr>
        <w:shd w:val="clear" w:color="auto" w:fill="FFFFFF"/>
        <w:spacing w:before="100" w:beforeAutospacing="1" w:after="100" w:afterAutospacing="1" w:line="240" w:lineRule="auto"/>
        <w:rPr>
          <w:rFonts w:ascii="Verdana" w:hAnsi="Verdana"/>
          <w:color w:val="454545"/>
          <w:sz w:val="20"/>
          <w:szCs w:val="20"/>
          <w:shd w:val="clear" w:color="auto" w:fill="FFFFFF"/>
        </w:rPr>
      </w:pPr>
    </w:p>
    <w:p w14:paraId="34C2314E" w14:textId="3384D423" w:rsidR="00A77FB9" w:rsidRDefault="00A77FB9" w:rsidP="00A77FB9">
      <w:pPr>
        <w:shd w:val="clear" w:color="auto" w:fill="FFFFFF"/>
        <w:spacing w:before="100" w:beforeAutospacing="1" w:after="100" w:afterAutospacing="1" w:line="240" w:lineRule="auto"/>
        <w:rPr>
          <w:rFonts w:ascii="Verdana" w:hAnsi="Verdana"/>
          <w:color w:val="454545"/>
          <w:sz w:val="20"/>
          <w:szCs w:val="20"/>
          <w:shd w:val="clear" w:color="auto" w:fill="FFFFFF"/>
        </w:rPr>
      </w:pPr>
    </w:p>
    <w:p w14:paraId="2ADC51C7" w14:textId="77777777" w:rsidR="00A77FB9" w:rsidRPr="00A77FB9" w:rsidRDefault="00A77FB9" w:rsidP="00A77FB9">
      <w:pPr>
        <w:shd w:val="clear" w:color="auto" w:fill="FFFFFF"/>
        <w:spacing w:before="100" w:beforeAutospacing="1" w:after="100" w:afterAutospacing="1" w:line="240" w:lineRule="auto"/>
        <w:rPr>
          <w:rFonts w:ascii="Verdana" w:eastAsia="Times New Roman" w:hAnsi="Verdana" w:cs="Times New Roman"/>
          <w:color w:val="454545"/>
          <w:sz w:val="20"/>
          <w:szCs w:val="20"/>
          <w:lang w:eastAsia="en-AU"/>
        </w:rPr>
      </w:pPr>
      <w:r w:rsidRPr="00A77FB9">
        <w:rPr>
          <w:rFonts w:ascii="Verdana" w:eastAsia="Times New Roman" w:hAnsi="Verdana" w:cs="Times New Roman"/>
          <w:color w:val="454545"/>
          <w:sz w:val="20"/>
          <w:szCs w:val="20"/>
          <w:lang w:eastAsia="en-AU"/>
        </w:rPr>
        <w:t>Sincerely,</w:t>
      </w:r>
    </w:p>
    <w:p w14:paraId="613A178F" w14:textId="77777777" w:rsidR="00A77FB9" w:rsidRPr="00A77FB9" w:rsidRDefault="00A77FB9" w:rsidP="00A77FB9">
      <w:pPr>
        <w:shd w:val="clear" w:color="auto" w:fill="FFFFFF"/>
        <w:spacing w:before="100" w:beforeAutospacing="1" w:after="100" w:afterAutospacing="1" w:line="240" w:lineRule="auto"/>
        <w:rPr>
          <w:rFonts w:ascii="Verdana" w:eastAsia="Times New Roman" w:hAnsi="Verdana" w:cs="Times New Roman"/>
          <w:color w:val="454545"/>
          <w:sz w:val="20"/>
          <w:szCs w:val="20"/>
          <w:lang w:eastAsia="en-AU"/>
        </w:rPr>
      </w:pPr>
      <w:r w:rsidRPr="00A77FB9">
        <w:rPr>
          <w:rFonts w:ascii="Verdana" w:eastAsia="Times New Roman" w:hAnsi="Verdana" w:cs="Times New Roman"/>
          <w:color w:val="454545"/>
          <w:sz w:val="20"/>
          <w:szCs w:val="20"/>
          <w:lang w:eastAsia="en-AU"/>
        </w:rPr>
        <w:t>Christopher Cox</w:t>
      </w:r>
      <w:r w:rsidRPr="00A77FB9">
        <w:rPr>
          <w:rFonts w:ascii="Verdana" w:eastAsia="Times New Roman" w:hAnsi="Verdana" w:cs="Times New Roman"/>
          <w:color w:val="454545"/>
          <w:sz w:val="20"/>
          <w:szCs w:val="20"/>
          <w:lang w:eastAsia="en-AU"/>
        </w:rPr>
        <w:br/>
        <w:t>Chairman</w:t>
      </w:r>
    </w:p>
    <w:tbl>
      <w:tblPr>
        <w:tblpPr w:leftFromText="45" w:rightFromText="45" w:vertAnchor="text"/>
        <w:tblW w:w="0" w:type="auto"/>
        <w:tblCellSpacing w:w="0" w:type="dxa"/>
        <w:shd w:val="clear" w:color="auto" w:fill="FFFFFF"/>
        <w:tblCellMar>
          <w:top w:w="34" w:type="dxa"/>
          <w:left w:w="34" w:type="dxa"/>
          <w:bottom w:w="34" w:type="dxa"/>
          <w:right w:w="34" w:type="dxa"/>
        </w:tblCellMar>
        <w:tblLook w:val="04A0" w:firstRow="1" w:lastRow="0" w:firstColumn="1" w:lastColumn="0" w:noHBand="0" w:noVBand="1"/>
      </w:tblPr>
      <w:tblGrid>
        <w:gridCol w:w="368"/>
        <w:gridCol w:w="8658"/>
      </w:tblGrid>
      <w:tr w:rsidR="00A77FB9" w:rsidRPr="00A77FB9" w14:paraId="29B5B502" w14:textId="77777777" w:rsidTr="00A77FB9">
        <w:trPr>
          <w:tblCellSpacing w:w="0" w:type="dxa"/>
        </w:trPr>
        <w:tc>
          <w:tcPr>
            <w:tcW w:w="0" w:type="auto"/>
            <w:shd w:val="clear" w:color="auto" w:fill="FFFFFF"/>
            <w:hideMark/>
          </w:tcPr>
          <w:p w14:paraId="0CA6A1BE" w14:textId="77777777" w:rsidR="00A77FB9" w:rsidRPr="00A77FB9" w:rsidRDefault="00A77FB9" w:rsidP="00A77FB9">
            <w:pPr>
              <w:spacing w:after="0" w:line="240" w:lineRule="auto"/>
              <w:rPr>
                <w:rFonts w:ascii="Verdana" w:eastAsia="Times New Roman" w:hAnsi="Verdana" w:cs="Times New Roman"/>
                <w:sz w:val="20"/>
                <w:szCs w:val="20"/>
                <w:lang w:eastAsia="en-AU"/>
              </w:rPr>
            </w:pPr>
            <w:r w:rsidRPr="00A77FB9">
              <w:rPr>
                <w:rFonts w:ascii="Verdana" w:eastAsia="Times New Roman" w:hAnsi="Verdana" w:cs="Times New Roman"/>
                <w:sz w:val="20"/>
                <w:szCs w:val="20"/>
                <w:lang w:eastAsia="en-AU"/>
              </w:rPr>
              <w:t>cc:</w:t>
            </w:r>
          </w:p>
        </w:tc>
        <w:tc>
          <w:tcPr>
            <w:tcW w:w="0" w:type="auto"/>
            <w:shd w:val="clear" w:color="auto" w:fill="FFFFFF"/>
            <w:vAlign w:val="center"/>
            <w:hideMark/>
          </w:tcPr>
          <w:p w14:paraId="6F97B2DD" w14:textId="0B3731AE" w:rsidR="00A77FB9" w:rsidRPr="00A77FB9" w:rsidRDefault="00A77FB9" w:rsidP="00A77FB9">
            <w:pPr>
              <w:spacing w:after="0" w:line="240" w:lineRule="auto"/>
              <w:rPr>
                <w:rFonts w:ascii="Verdana" w:eastAsia="Times New Roman" w:hAnsi="Verdana" w:cs="Times New Roman"/>
                <w:sz w:val="20"/>
                <w:szCs w:val="20"/>
                <w:lang w:eastAsia="en-AU"/>
              </w:rPr>
            </w:pPr>
            <w:r w:rsidRPr="00A77FB9">
              <w:rPr>
                <w:rFonts w:ascii="Verdana" w:eastAsia="Times New Roman" w:hAnsi="Verdana" w:cs="Times New Roman"/>
                <w:sz w:val="20"/>
                <w:szCs w:val="20"/>
                <w:lang w:eastAsia="en-AU"/>
              </w:rPr>
              <w:t>Michel Prada, Chairman, International Organization of Securities Commissions (IOSCO)</w:t>
            </w:r>
          </w:p>
        </w:tc>
      </w:tr>
      <w:tr w:rsidR="00A77FB9" w:rsidRPr="00A77FB9" w14:paraId="5B27C336" w14:textId="77777777" w:rsidTr="00A77FB9">
        <w:trPr>
          <w:tblCellSpacing w:w="0" w:type="dxa"/>
        </w:trPr>
        <w:tc>
          <w:tcPr>
            <w:tcW w:w="0" w:type="auto"/>
            <w:shd w:val="clear" w:color="auto" w:fill="FFFFFF"/>
            <w:vAlign w:val="center"/>
            <w:hideMark/>
          </w:tcPr>
          <w:p w14:paraId="3AEDD6C8" w14:textId="77777777" w:rsidR="00A77FB9" w:rsidRPr="00A77FB9" w:rsidRDefault="00A77FB9" w:rsidP="00A77FB9">
            <w:pPr>
              <w:spacing w:after="0" w:line="240" w:lineRule="auto"/>
              <w:rPr>
                <w:rFonts w:ascii="Verdana" w:eastAsia="Times New Roman" w:hAnsi="Verdana" w:cs="Times New Roman"/>
                <w:sz w:val="20"/>
                <w:szCs w:val="20"/>
                <w:lang w:eastAsia="en-AU"/>
              </w:rPr>
            </w:pPr>
            <w:r w:rsidRPr="00A77FB9">
              <w:rPr>
                <w:rFonts w:ascii="Verdana" w:eastAsia="Times New Roman" w:hAnsi="Verdana" w:cs="Times New Roman"/>
                <w:sz w:val="20"/>
                <w:szCs w:val="20"/>
                <w:lang w:eastAsia="en-AU"/>
              </w:rPr>
              <w:t> </w:t>
            </w:r>
          </w:p>
        </w:tc>
        <w:tc>
          <w:tcPr>
            <w:tcW w:w="0" w:type="auto"/>
            <w:shd w:val="clear" w:color="auto" w:fill="FFFFFF"/>
            <w:vAlign w:val="center"/>
            <w:hideMark/>
          </w:tcPr>
          <w:p w14:paraId="51559451" w14:textId="77777777" w:rsidR="00A77FB9" w:rsidRPr="00A77FB9" w:rsidRDefault="00A77FB9" w:rsidP="00A77FB9">
            <w:pPr>
              <w:spacing w:after="0" w:line="240" w:lineRule="auto"/>
              <w:rPr>
                <w:rFonts w:ascii="Verdana" w:eastAsia="Times New Roman" w:hAnsi="Verdana" w:cs="Times New Roman"/>
                <w:sz w:val="20"/>
                <w:szCs w:val="20"/>
                <w:lang w:eastAsia="en-AU"/>
              </w:rPr>
            </w:pPr>
            <w:proofErr w:type="spellStart"/>
            <w:r w:rsidRPr="00A77FB9">
              <w:rPr>
                <w:rFonts w:ascii="Verdana" w:eastAsia="Times New Roman" w:hAnsi="Verdana" w:cs="Times New Roman"/>
                <w:sz w:val="20"/>
                <w:szCs w:val="20"/>
                <w:lang w:eastAsia="en-AU"/>
              </w:rPr>
              <w:t>Tokio</w:t>
            </w:r>
            <w:proofErr w:type="spellEnd"/>
            <w:r w:rsidRPr="00A77FB9">
              <w:rPr>
                <w:rFonts w:ascii="Verdana" w:eastAsia="Times New Roman" w:hAnsi="Verdana" w:cs="Times New Roman"/>
                <w:sz w:val="20"/>
                <w:szCs w:val="20"/>
                <w:lang w:eastAsia="en-AU"/>
              </w:rPr>
              <w:t xml:space="preserve"> Morita, Chairman, IOSCO Standing Committee Three</w:t>
            </w:r>
          </w:p>
        </w:tc>
      </w:tr>
      <w:tr w:rsidR="00A77FB9" w:rsidRPr="00A77FB9" w14:paraId="7DBD4732" w14:textId="77777777" w:rsidTr="00A77FB9">
        <w:trPr>
          <w:tblCellSpacing w:w="0" w:type="dxa"/>
        </w:trPr>
        <w:tc>
          <w:tcPr>
            <w:tcW w:w="0" w:type="auto"/>
            <w:shd w:val="clear" w:color="auto" w:fill="FFFFFF"/>
            <w:vAlign w:val="center"/>
            <w:hideMark/>
          </w:tcPr>
          <w:p w14:paraId="1F78DC04" w14:textId="77777777" w:rsidR="00A77FB9" w:rsidRPr="00A77FB9" w:rsidRDefault="00A77FB9" w:rsidP="00A77FB9">
            <w:pPr>
              <w:spacing w:after="0" w:line="240" w:lineRule="auto"/>
              <w:rPr>
                <w:rFonts w:ascii="Verdana" w:eastAsia="Times New Roman" w:hAnsi="Verdana" w:cs="Times New Roman"/>
                <w:sz w:val="20"/>
                <w:szCs w:val="20"/>
                <w:lang w:eastAsia="en-AU"/>
              </w:rPr>
            </w:pPr>
            <w:r w:rsidRPr="00A77FB9">
              <w:rPr>
                <w:rFonts w:ascii="Verdana" w:eastAsia="Times New Roman" w:hAnsi="Verdana" w:cs="Times New Roman"/>
                <w:sz w:val="20"/>
                <w:szCs w:val="20"/>
                <w:lang w:eastAsia="en-AU"/>
              </w:rPr>
              <w:t> </w:t>
            </w:r>
          </w:p>
        </w:tc>
        <w:tc>
          <w:tcPr>
            <w:tcW w:w="0" w:type="auto"/>
            <w:shd w:val="clear" w:color="auto" w:fill="FFFFFF"/>
            <w:vAlign w:val="center"/>
            <w:hideMark/>
          </w:tcPr>
          <w:p w14:paraId="7A9D406B" w14:textId="77777777" w:rsidR="00A77FB9" w:rsidRPr="00A77FB9" w:rsidRDefault="00A77FB9" w:rsidP="00A77FB9">
            <w:pPr>
              <w:spacing w:after="0" w:line="240" w:lineRule="auto"/>
              <w:rPr>
                <w:rFonts w:ascii="Verdana" w:eastAsia="Times New Roman" w:hAnsi="Verdana" w:cs="Times New Roman"/>
                <w:sz w:val="20"/>
                <w:szCs w:val="20"/>
                <w:lang w:eastAsia="en-AU"/>
              </w:rPr>
            </w:pPr>
            <w:r w:rsidRPr="00A77FB9">
              <w:rPr>
                <w:rFonts w:ascii="Verdana" w:eastAsia="Times New Roman" w:hAnsi="Verdana" w:cs="Times New Roman"/>
                <w:sz w:val="20"/>
                <w:szCs w:val="20"/>
                <w:lang w:eastAsia="en-AU"/>
              </w:rPr>
              <w:t>Mario Draghi, Chairman, Financial Stability Forum</w:t>
            </w:r>
          </w:p>
        </w:tc>
      </w:tr>
    </w:tbl>
    <w:p w14:paraId="09CB0687" w14:textId="77777777" w:rsidR="00A77FB9" w:rsidRDefault="00A77FB9" w:rsidP="00A77FB9">
      <w:pPr>
        <w:shd w:val="clear" w:color="auto" w:fill="FFFFFF"/>
        <w:spacing w:before="100" w:beforeAutospacing="1" w:after="100" w:afterAutospacing="1" w:line="240" w:lineRule="auto"/>
        <w:rPr>
          <w:rFonts w:ascii="Verdana" w:hAnsi="Verdana"/>
          <w:color w:val="454545"/>
          <w:sz w:val="20"/>
          <w:szCs w:val="20"/>
          <w:shd w:val="clear" w:color="auto" w:fill="FFFFFF"/>
        </w:rPr>
      </w:pPr>
    </w:p>
    <w:p w14:paraId="71AC04AE" w14:textId="42991EEF" w:rsidR="00A77FB9" w:rsidRPr="00A77FB9" w:rsidRDefault="00A77FB9" w:rsidP="00A77FB9">
      <w:pPr>
        <w:shd w:val="clear" w:color="auto" w:fill="FFFFFF"/>
        <w:spacing w:before="100" w:beforeAutospacing="1" w:after="100" w:afterAutospacing="1" w:line="240" w:lineRule="auto"/>
        <w:rPr>
          <w:rFonts w:ascii="Verdana" w:eastAsia="Times New Roman" w:hAnsi="Verdana" w:cs="Times New Roman"/>
          <w:color w:val="454545"/>
          <w:sz w:val="20"/>
          <w:szCs w:val="20"/>
          <w:lang w:eastAsia="en-AU"/>
        </w:rPr>
      </w:pPr>
      <w:r>
        <w:rPr>
          <w:rFonts w:ascii="Verdana" w:hAnsi="Verdana"/>
          <w:color w:val="454545"/>
          <w:sz w:val="20"/>
          <w:szCs w:val="20"/>
          <w:shd w:val="clear" w:color="auto" w:fill="FFFFFF"/>
        </w:rPr>
        <w:t>+++</w:t>
      </w:r>
    </w:p>
    <w:p w14:paraId="0A101991" w14:textId="77777777" w:rsidR="00A77FB9" w:rsidRPr="00A77FB9" w:rsidRDefault="00A77FB9" w:rsidP="00A77FB9">
      <w:pPr>
        <w:shd w:val="clear" w:color="auto" w:fill="FFFFFF"/>
        <w:spacing w:before="100" w:beforeAutospacing="1" w:after="100" w:afterAutospacing="1" w:line="240" w:lineRule="auto"/>
        <w:rPr>
          <w:rFonts w:ascii="Verdana" w:eastAsia="Times New Roman" w:hAnsi="Verdana" w:cs="Times New Roman"/>
          <w:color w:val="454545"/>
          <w:sz w:val="20"/>
          <w:szCs w:val="20"/>
          <w:lang w:eastAsia="en-AU"/>
        </w:rPr>
      </w:pPr>
      <w:r w:rsidRPr="00A77FB9">
        <w:rPr>
          <w:rFonts w:ascii="Verdana" w:eastAsia="Times New Roman" w:hAnsi="Verdana" w:cs="Times New Roman"/>
          <w:color w:val="454545"/>
          <w:sz w:val="20"/>
          <w:szCs w:val="20"/>
          <w:lang w:eastAsia="en-AU"/>
        </w:rPr>
        <w:t xml:space="preserve">It is worth noting, however, that net capital rules are designed to preserve investors' funds and securities in times of market stress, and they served that purpose in this case. This investor protection objective was amply satisfied by the current net capital regime, which - together with the protection provided by the Securities Investor Protection Corporation (SIPC) and the requirement that SEC-regulated broker-dealers segregate customer funds and </w:t>
      </w:r>
      <w:proofErr w:type="gramStart"/>
      <w:r w:rsidRPr="00A77FB9">
        <w:rPr>
          <w:rFonts w:ascii="Verdana" w:eastAsia="Times New Roman" w:hAnsi="Verdana" w:cs="Times New Roman"/>
          <w:color w:val="454545"/>
          <w:sz w:val="20"/>
          <w:szCs w:val="20"/>
          <w:lang w:eastAsia="en-AU"/>
        </w:rPr>
        <w:t>fully-paid</w:t>
      </w:r>
      <w:proofErr w:type="gramEnd"/>
      <w:r w:rsidRPr="00A77FB9">
        <w:rPr>
          <w:rFonts w:ascii="Verdana" w:eastAsia="Times New Roman" w:hAnsi="Verdana" w:cs="Times New Roman"/>
          <w:color w:val="454545"/>
          <w:sz w:val="20"/>
          <w:szCs w:val="20"/>
          <w:lang w:eastAsia="en-AU"/>
        </w:rPr>
        <w:t xml:space="preserve"> securities from those of the firm - worked in this case to fully protect Bear's customers.</w:t>
      </w:r>
    </w:p>
    <w:p w14:paraId="26B191D7" w14:textId="77777777" w:rsidR="00A77FB9" w:rsidRPr="00A77FB9" w:rsidRDefault="00A77FB9" w:rsidP="00A77FB9">
      <w:pPr>
        <w:shd w:val="clear" w:color="auto" w:fill="FFFFFF"/>
        <w:spacing w:before="100" w:beforeAutospacing="1" w:after="100" w:afterAutospacing="1" w:line="240" w:lineRule="auto"/>
        <w:outlineLvl w:val="2"/>
        <w:rPr>
          <w:rFonts w:ascii="Verdana" w:eastAsia="Times New Roman" w:hAnsi="Verdana" w:cs="Times New Roman"/>
          <w:b/>
          <w:bCs/>
          <w:color w:val="454545"/>
          <w:sz w:val="20"/>
          <w:szCs w:val="20"/>
          <w:lang w:eastAsia="en-AU"/>
        </w:rPr>
      </w:pPr>
      <w:r w:rsidRPr="00A77FB9">
        <w:rPr>
          <w:rFonts w:ascii="Verdana" w:eastAsia="Times New Roman" w:hAnsi="Verdana" w:cs="Times New Roman"/>
          <w:b/>
          <w:bCs/>
          <w:color w:val="454545"/>
          <w:sz w:val="20"/>
          <w:szCs w:val="20"/>
          <w:lang w:eastAsia="en-AU"/>
        </w:rPr>
        <w:t>Data Concerning Bear Stearns' Liquidity and Broker-Dealer Regulatory Capital</w:t>
      </w:r>
    </w:p>
    <w:p w14:paraId="0534A77F" w14:textId="77777777" w:rsidR="00A77FB9" w:rsidRPr="00A77FB9" w:rsidRDefault="00A77FB9" w:rsidP="00A77FB9">
      <w:pPr>
        <w:shd w:val="clear" w:color="auto" w:fill="FFFFFF"/>
        <w:spacing w:before="100" w:beforeAutospacing="1" w:after="100" w:afterAutospacing="1" w:line="240" w:lineRule="auto"/>
        <w:rPr>
          <w:rFonts w:ascii="Verdana" w:eastAsia="Times New Roman" w:hAnsi="Verdana" w:cs="Times New Roman"/>
          <w:color w:val="454545"/>
          <w:sz w:val="20"/>
          <w:szCs w:val="20"/>
          <w:lang w:eastAsia="en-AU"/>
        </w:rPr>
      </w:pPr>
      <w:r w:rsidRPr="00A77FB9">
        <w:rPr>
          <w:rFonts w:ascii="Verdana" w:eastAsia="Times New Roman" w:hAnsi="Verdana" w:cs="Times New Roman"/>
          <w:color w:val="454545"/>
          <w:sz w:val="20"/>
          <w:szCs w:val="20"/>
          <w:lang w:eastAsia="en-AU"/>
        </w:rPr>
        <w:t>The following data provided to our Division of Trading and Markets by Bear Stearns describe the firm's capital and liquidity position at the holding company level prior to and during last week's events, and the capital in the firm's two SEC-registered broker-dealers:</w:t>
      </w:r>
    </w:p>
    <w:p w14:paraId="27862933" w14:textId="77777777" w:rsidR="00966466" w:rsidRDefault="00966466"/>
    <w:sectPr w:rsidR="00966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W0MDQ1tzAyNTAxMrBQ0lEKTi0uzszPAykwqgUAvit7oCwAAAA="/>
  </w:docVars>
  <w:rsids>
    <w:rsidRoot w:val="00A77FB9"/>
    <w:rsid w:val="00084580"/>
    <w:rsid w:val="001A18C0"/>
    <w:rsid w:val="002002B9"/>
    <w:rsid w:val="006E125B"/>
    <w:rsid w:val="006E53A6"/>
    <w:rsid w:val="006F2FDA"/>
    <w:rsid w:val="00966466"/>
    <w:rsid w:val="00A77F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08072"/>
  <w15:chartTrackingRefBased/>
  <w15:docId w15:val="{0A48D0F9-C390-4E16-9FB9-1C7F001CE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77FB9"/>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7FB9"/>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A77FB9"/>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A77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34477">
      <w:bodyDiv w:val="1"/>
      <w:marLeft w:val="0"/>
      <w:marRight w:val="0"/>
      <w:marTop w:val="0"/>
      <w:marBottom w:val="0"/>
      <w:divBdr>
        <w:top w:val="none" w:sz="0" w:space="0" w:color="auto"/>
        <w:left w:val="none" w:sz="0" w:space="0" w:color="auto"/>
        <w:bottom w:val="none" w:sz="0" w:space="0" w:color="auto"/>
        <w:right w:val="none" w:sz="0" w:space="0" w:color="auto"/>
      </w:divBdr>
      <w:divsChild>
        <w:div w:id="484008876">
          <w:marLeft w:val="0"/>
          <w:marRight w:val="0"/>
          <w:marTop w:val="0"/>
          <w:marBottom w:val="0"/>
          <w:divBdr>
            <w:top w:val="none" w:sz="0" w:space="0" w:color="auto"/>
            <w:left w:val="none" w:sz="0" w:space="0" w:color="auto"/>
            <w:bottom w:val="none" w:sz="0" w:space="0" w:color="auto"/>
            <w:right w:val="none" w:sz="0" w:space="0" w:color="auto"/>
          </w:divBdr>
        </w:div>
      </w:divsChild>
    </w:div>
    <w:div w:id="703407088">
      <w:bodyDiv w:val="1"/>
      <w:marLeft w:val="0"/>
      <w:marRight w:val="0"/>
      <w:marTop w:val="0"/>
      <w:marBottom w:val="0"/>
      <w:divBdr>
        <w:top w:val="none" w:sz="0" w:space="0" w:color="auto"/>
        <w:left w:val="none" w:sz="0" w:space="0" w:color="auto"/>
        <w:bottom w:val="none" w:sz="0" w:space="0" w:color="auto"/>
        <w:right w:val="none" w:sz="0" w:space="0" w:color="auto"/>
      </w:divBdr>
    </w:div>
    <w:div w:id="704020062">
      <w:bodyDiv w:val="1"/>
      <w:marLeft w:val="0"/>
      <w:marRight w:val="0"/>
      <w:marTop w:val="0"/>
      <w:marBottom w:val="0"/>
      <w:divBdr>
        <w:top w:val="none" w:sz="0" w:space="0" w:color="auto"/>
        <w:left w:val="none" w:sz="0" w:space="0" w:color="auto"/>
        <w:bottom w:val="none" w:sz="0" w:space="0" w:color="auto"/>
        <w:right w:val="none" w:sz="0" w:space="0" w:color="auto"/>
      </w:divBdr>
    </w:div>
    <w:div w:id="154298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344</Words>
  <Characters>1948</Characters>
  <Application>Microsoft Office Word</Application>
  <DocSecurity>0</DocSecurity>
  <Lines>60</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A. Carlevaro</dc:creator>
  <cp:keywords/>
  <dc:description/>
  <cp:lastModifiedBy>Emiliano A. Carlevaro</cp:lastModifiedBy>
  <cp:revision>5</cp:revision>
  <dcterms:created xsi:type="dcterms:W3CDTF">2021-05-11T04:14:00Z</dcterms:created>
  <dcterms:modified xsi:type="dcterms:W3CDTF">2021-05-11T04:49:00Z</dcterms:modified>
</cp:coreProperties>
</file>