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3864"/>
          <w:spacing w:val="20"/>
          <w:sz w:val="24"/>
          <w:szCs w:val="24"/>
        </w:rPr>
        <w:t xml:space="preserve">SUNSET BEACH CLUB</w:t>
      </w:r>
    </w:p>
    <w:p>
      <w:pPr>
        <w:spacing w:before="400"/>
        <w:jc w:val="center"/>
      </w:pPr>
      <w:r>
        <w:rPr>
          <w:rFonts w:ascii="Calibri" w:cs="Calibri" w:eastAsia="Calibri" w:hAnsi="Calibri"/>
          <w:b/>
          <w:bCs/>
          <w:color w:val="1F3864"/>
          <w:sz w:val="56"/>
          <w:szCs w:val="56"/>
        </w:rPr>
        <w:t xml:space="preserve">Guía de instalación — mIA</w:t>
      </w:r>
    </w:p>
    <w:p>
      <w:pPr>
        <w:spacing w:after="600" w:before="200"/>
        <w:jc w:val="center"/>
      </w:pPr>
      <w:r>
        <w:rPr>
          <w:rFonts w:ascii="Calibri" w:cs="Calibri" w:eastAsia="Calibri" w:hAnsi="Calibri"/>
          <w:color w:val="444444"/>
          <w:sz w:val="30"/>
          <w:szCs w:val="30"/>
        </w:rPr>
        <w:t xml:space="preserve">Backend y Frontend en entorno de Preproducción</w:t>
      </w:r>
    </w:p>
    <w:p>
      <w:pPr>
        <w:spacing w:after="80" w:before="200"/>
        <w:jc w:val="center"/>
      </w:pPr>
      <w:r>
        <w:rPr>
          <w:rFonts w:ascii="Calibri" w:cs="Calibri" w:eastAsia="Calibri" w:hAnsi="Calibri"/>
          <w:i/>
          <w:iCs/>
          <w:color w:val="666666"/>
          <w:sz w:val="22"/>
          <w:szCs w:val="22"/>
        </w:rPr>
        <w:t xml:space="preserve">Windows Server 2022 · IIS · PostgreSQL · Python/FastAPI · Vite</w:t>
      </w:r>
    </w:p>
    <w:p>
      <w:pPr>
        <w:spacing w:after="8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tblGrid>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Entorno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Preproducción</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URL de mIA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https://mia-pre.sunsetbeachclub.local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Sitio ya existente en el servidor</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SharePoint 2013 — http://portal.sunsetbeachclub.local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Fecha del documento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20 de octubre de 2026</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Audiencia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Administrador de sistemas / IT ops</w:t>
            </w:r>
          </w:p>
        </w:tc>
      </w:tr>
    </w:tbl>
    <w:p>
      <w:r>
        <w:br w:type="page"/>
      </w:r>
    </w:p>
    <w:p>
      <w:pPr>
        <w:pStyle w:val="Heading1"/>
      </w:pPr>
      <w:bookmarkStart w:name="_Toc1" w:id="1"/>
      <w:r>
        <w:t xml:space="preserve">Índice</w:t>
      </w:r>
      <w:bookmarkEnd w:id="1"/>
    </w:p>
    <w:sdt>
      <w:sdtPr>
        <w:alias w:val="Índice"/>
      </w:sdtPr>
      <w:sdtContent>
        <w:p>
          <w:pPr>
            <w:pStyle w:val="TOC1"/>
            <w:tabs>
              <w:tab w:val="right" w:pos="9026"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Introducción y alcance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Arquitectura del entorno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Convención de nombres y URL</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Prerrequisitos generales del servidor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Instalación del backend (API Python/FastAPI)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5.1 Prerrequisitos del backend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5.2 Paso a paso</w:t>
            </w:r>
            <w:r>
              <w:tab/>
            </w:r>
            <w:r>
              <w:fldChar w:fldCharType="begin" w:dirty="true"/>
              <w:instrText xml:space="preserve">PAGEREF _Toc8 \h</w:instrText>
              <w:fldChar w:fldCharType="separate"/>
              <w:fldChar w:fldCharType="end"/>
            </w:r>
          </w:hyperlink>
        </w:p>
        <w:p>
          <w:pPr>
            <w:pStyle w:val="TOC3"/>
            <w:tabs>
              <w:tab w:val="right" w:pos="9026" w:leader="dot"/>
            </w:tabs>
            <w:ind w:left="440"/>
          </w:pPr>
          <w:hyperlink w:history="1" w:anchor="_Toc9">
            <w:r>
              <w:t xml:space="preserve">Paso 1 — Instalar Python 3.12</w:t>
            </w:r>
            <w:r>
              <w:tab/>
            </w:r>
            <w:r>
              <w:fldChar w:fldCharType="begin" w:dirty="true"/>
              <w:instrText xml:space="preserve">PAGEREF _Toc9 \h</w:instrText>
              <w:fldChar w:fldCharType="separate"/>
              <w:fldChar w:fldCharType="end"/>
            </w:r>
          </w:hyperlink>
        </w:p>
        <w:p>
          <w:pPr>
            <w:pStyle w:val="TOC3"/>
            <w:tabs>
              <w:tab w:val="right" w:pos="9026" w:leader="dot"/>
            </w:tabs>
            <w:ind w:left="440"/>
          </w:pPr>
          <w:hyperlink w:history="1" w:anchor="_Toc10">
            <w:r>
              <w:t xml:space="preserve">Paso 2 — Instalar Visual Studio Build Tools</w:t>
            </w:r>
            <w:r>
              <w:tab/>
            </w:r>
            <w:r>
              <w:fldChar w:fldCharType="begin" w:dirty="true"/>
              <w:instrText xml:space="preserve">PAGEREF _Toc10 \h</w:instrText>
              <w:fldChar w:fldCharType="separate"/>
              <w:fldChar w:fldCharType="end"/>
            </w:r>
          </w:hyperlink>
        </w:p>
        <w:p>
          <w:pPr>
            <w:pStyle w:val="TOC3"/>
            <w:tabs>
              <w:tab w:val="right" w:pos="9026" w:leader="dot"/>
            </w:tabs>
            <w:ind w:left="440"/>
          </w:pPr>
          <w:hyperlink w:history="1" w:anchor="_Toc11">
            <w:r>
              <w:t xml:space="preserve">Paso 3 — Instalar PostgreSQL</w:t>
            </w:r>
            <w:r>
              <w:tab/>
            </w:r>
            <w:r>
              <w:fldChar w:fldCharType="begin" w:dirty="true"/>
              <w:instrText xml:space="preserve">PAGEREF _Toc11 \h</w:instrText>
              <w:fldChar w:fldCharType="separate"/>
              <w:fldChar w:fldCharType="end"/>
            </w:r>
          </w:hyperlink>
        </w:p>
        <w:p>
          <w:pPr>
            <w:pStyle w:val="TOC3"/>
            <w:tabs>
              <w:tab w:val="right" w:pos="9026" w:leader="dot"/>
            </w:tabs>
            <w:ind w:left="440"/>
          </w:pPr>
          <w:hyperlink w:history="1" w:anchor="_Toc12">
            <w:r>
              <w:t xml:space="preserve">Paso 4 — Compilar e instalar la extensión pgvector</w:t>
            </w:r>
            <w:r>
              <w:tab/>
            </w:r>
            <w:r>
              <w:fldChar w:fldCharType="begin" w:dirty="true"/>
              <w:instrText xml:space="preserve">PAGEREF _Toc12 \h</w:instrText>
              <w:fldChar w:fldCharType="separate"/>
              <w:fldChar w:fldCharType="end"/>
            </w:r>
          </w:hyperlink>
        </w:p>
        <w:p>
          <w:pPr>
            <w:pStyle w:val="TOC3"/>
            <w:tabs>
              <w:tab w:val="right" w:pos="9026" w:leader="dot"/>
            </w:tabs>
            <w:ind w:left="440"/>
          </w:pPr>
          <w:hyperlink w:history="1" w:anchor="_Toc13">
            <w:r>
              <w:t xml:space="preserve">Paso 5 — Copiar el código de la aplicación</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Paso 6 — Crear el entorno virtual e instalar dependencias</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Paso 7 — Configurar las variables de entorno (.env)</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Paso 8 — Aplicar las migraciones de base de datos</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Paso 9 — Prueba en caliente (sin servicio todavía)</w:t>
            </w:r>
            <w:r>
              <w:tab/>
            </w:r>
            <w:r>
              <w:fldChar w:fldCharType="begin" w:dirty="true"/>
              <w:instrText xml:space="preserve">PAGEREF _Toc17 \h</w:instrText>
              <w:fldChar w:fldCharType="separate"/>
              <w:fldChar w:fldCharType="end"/>
            </w:r>
          </w:hyperlink>
        </w:p>
        <w:p>
          <w:pPr>
            <w:pStyle w:val="TOC3"/>
            <w:tabs>
              <w:tab w:val="right" w:pos="9026" w:leader="dot"/>
            </w:tabs>
            <w:ind w:left="440"/>
          </w:pPr>
          <w:hyperlink w:history="1" w:anchor="_Toc18">
            <w:r>
              <w:t xml:space="preserve">Paso 10 — Registrar el backend como servicio de Windows (NSSM)</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5.3 Tarea programada de sincronización con SharePoint Online</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6. Instalación del frontend (Vite — mundos 2D / 3D / holograma)</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6.1 Prerrequisitos del frontend</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6.2 Paso a paso</w:t>
            </w:r>
            <w:r>
              <w:tab/>
            </w:r>
            <w:r>
              <w:fldChar w:fldCharType="begin" w:dirty="true"/>
              <w:instrText xml:space="preserve">PAGEREF _Toc22 \h</w:instrText>
              <w:fldChar w:fldCharType="separate"/>
              <w:fldChar w:fldCharType="end"/>
            </w:r>
          </w:hyperlink>
        </w:p>
        <w:p>
          <w:pPr>
            <w:pStyle w:val="TOC3"/>
            <w:tabs>
              <w:tab w:val="right" w:pos="9026" w:leader="dot"/>
            </w:tabs>
            <w:ind w:left="440"/>
          </w:pPr>
          <w:hyperlink w:history="1" w:anchor="_Toc23">
            <w:r>
              <w:t xml:space="preserve">Paso 1 — Instalar Node.js</w:t>
            </w:r>
            <w:r>
              <w:tab/>
            </w:r>
            <w:r>
              <w:fldChar w:fldCharType="begin" w:dirty="true"/>
              <w:instrText xml:space="preserve">PAGEREF _Toc23 \h</w:instrText>
              <w:fldChar w:fldCharType="separate"/>
              <w:fldChar w:fldCharType="end"/>
            </w:r>
          </w:hyperlink>
        </w:p>
        <w:p>
          <w:pPr>
            <w:pStyle w:val="TOC3"/>
            <w:tabs>
              <w:tab w:val="right" w:pos="9026" w:leader="dot"/>
            </w:tabs>
            <w:ind w:left="440"/>
          </w:pPr>
          <w:hyperlink w:history="1" w:anchor="_Toc24">
            <w:r>
              <w:t xml:space="preserve">Paso 2 — Instalar dependencias y compilar</w:t>
            </w:r>
            <w:r>
              <w:tab/>
            </w:r>
            <w:r>
              <w:fldChar w:fldCharType="begin" w:dirty="true"/>
              <w:instrText xml:space="preserve">PAGEREF _Toc24 \h</w:instrText>
              <w:fldChar w:fldCharType="separate"/>
              <w:fldChar w:fldCharType="end"/>
            </w:r>
          </w:hyperlink>
        </w:p>
        <w:p>
          <w:pPr>
            <w:pStyle w:val="TOC3"/>
            <w:tabs>
              <w:tab w:val="right" w:pos="9026" w:leader="dot"/>
            </w:tabs>
            <w:ind w:left="440"/>
          </w:pPr>
          <w:hyperlink w:history="1" w:anchor="_Toc25">
            <w:r>
              <w:t xml:space="preserve">Paso 3 — Publicar el contenido compilado</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7. Configuración de IIS: sitio, binding y proxy inverso</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7.1 Crear el sitio IIS para mIA</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7.2 Certificado SSL (autofirmado)</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7.3 Instalar los módulos ARR y URL Rewrite</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7.4 Regla de proxy inverso hacia el backend</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7.5 Redirección HTTP → HTTPS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7.6 Publicación del frontend y la ruta /mia/</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7.7 Firewall de Windows en el propio servidor</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8. DNS</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9. Validación y pruebas de aceptación</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Anexo A — Variables de entorno (.env) de referencia</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Anexo B — Comandos de referencia rápida</w:t>
            </w:r>
            <w:r>
              <w:tab/>
            </w:r>
            <w:r>
              <w:fldChar w:fldCharType="begin" w:dirty="true"/>
              <w:instrText xml:space="preserve">PAGEREF _Toc37 \h</w:instrText>
              <w:fldChar w:fldCharType="separate"/>
              <w:fldChar w:fldCharType="end"/>
            </w:r>
          </w:hyperlink>
        </w:p>
        <w:p>
          <w:pPr>
            <w:pStyle w:val="TOC3"/>
            <w:tabs>
              <w:tab w:val="right" w:pos="9026" w:leader="dot"/>
            </w:tabs>
            <w:ind w:left="440"/>
          </w:pPr>
          <w:hyperlink w:history="1" w:anchor="_Toc38">
            <w:r>
              <w:t xml:space="preserve">Backend</w:t>
            </w:r>
            <w:r>
              <w:tab/>
            </w:r>
            <w:r>
              <w:fldChar w:fldCharType="begin" w:dirty="true"/>
              <w:instrText xml:space="preserve">PAGEREF _Toc38 \h</w:instrText>
              <w:fldChar w:fldCharType="separate"/>
              <w:fldChar w:fldCharType="end"/>
            </w:r>
          </w:hyperlink>
        </w:p>
        <w:p>
          <w:pPr>
            <w:pStyle w:val="TOC3"/>
            <w:tabs>
              <w:tab w:val="right" w:pos="9026" w:leader="dot"/>
            </w:tabs>
            <w:ind w:left="440"/>
          </w:pPr>
          <w:hyperlink w:history="1" w:anchor="_Toc39">
            <w:r>
              <w:t xml:space="preserve">Base de datos</w:t>
            </w:r>
            <w:r>
              <w:tab/>
            </w:r>
            <w:r>
              <w:fldChar w:fldCharType="begin" w:dirty="true"/>
              <w:instrText xml:space="preserve">PAGEREF _Toc39 \h</w:instrText>
              <w:fldChar w:fldCharType="separate"/>
              <w:fldChar w:fldCharType="end"/>
            </w:r>
          </w:hyperlink>
        </w:p>
        <w:p>
          <w:pPr>
            <w:pStyle w:val="TOC3"/>
            <w:tabs>
              <w:tab w:val="right" w:pos="9026" w:leader="dot"/>
            </w:tabs>
            <w:ind w:left="440"/>
          </w:pPr>
          <w:hyperlink w:history="1" w:anchor="_Toc40">
            <w:r>
              <w:t xml:space="preserve">Sincronización SharePoint</w:t>
            </w:r>
            <w:r>
              <w:tab/>
            </w:r>
            <w:r>
              <w:fldChar w:fldCharType="begin" w:dirty="true"/>
              <w:instrText xml:space="preserve">PAGEREF _Toc40 \h</w:instrText>
              <w:fldChar w:fldCharType="separate"/>
              <w:fldChar w:fldCharType="end"/>
            </w:r>
          </w:hyperlink>
        </w:p>
        <w:p>
          <w:pPr>
            <w:pStyle w:val="TOC3"/>
            <w:tabs>
              <w:tab w:val="right" w:pos="9026" w:leader="dot"/>
            </w:tabs>
            <w:ind w:left="440"/>
          </w:pPr>
          <w:hyperlink w:history="1" w:anchor="_Toc41">
            <w:r>
              <w:t xml:space="preserve">Frontend</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Anexo C — Ficheros de instalación (versión y verificación)</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10. Riesgos y pendientes conocidos</w:t>
            </w:r>
            <w:r>
              <w:tab/>
            </w:r>
            <w:r>
              <w:fldChar w:fldCharType="begin" w:dirty="true"/>
              <w:instrText xml:space="preserve">PAGEREF _Toc43 \h</w:instrText>
              <w:fldChar w:fldCharType="separate"/>
              <w:fldChar w:fldCharType="end"/>
            </w:r>
          </w:hyperlink>
        </w:p>
        <w:p>
          <w:r>
            <w:fldChar w:fldCharType="end"/>
          </w:r>
        </w:p>
      </w:sdtContent>
    </w:sdt>
    <w:p>
      <w:r>
        <w:br w:type="page"/>
      </w:r>
    </w:p>
    <w:p>
      <w:pPr>
        <w:pStyle w:val="Heading1"/>
        <w:spacing w:after="200" w:before="400"/>
      </w:pPr>
      <w:bookmarkStart w:name="_Toc2" w:id="2"/>
      <w:r>
        <w:t xml:space="preserve">1. Introducción y alcance</w:t>
      </w:r>
      <w:bookmarkEnd w:id="2"/>
    </w:p>
    <w:p>
      <w:pPr>
        <w:spacing w:after="160" w:line="276"/>
      </w:pPr>
      <w:r>
        <w:rPr>
          <w:rFonts w:ascii="Calibri" w:cs="Calibri" w:eastAsia="Calibri" w:hAnsi="Calibri"/>
          <w:sz w:val="22"/>
          <w:szCs w:val="22"/>
        </w:rPr>
        <w:t xml:space="preserve">Este documento describe, paso a paso, la instalación de mIA (asistente conversacional de RRHH de Sunset Beach Club) en el entorno de preproducción, sobre un Windows Server 2022 que ya tiene IIS en funcionamiento y que actualmente aloja SharePoint 2013 bajo la URL http://portal.sunsetbeachclub.local.</w:t>
      </w:r>
    </w:p>
    <w:p>
      <w:pPr>
        <w:spacing w:after="160" w:line="276"/>
      </w:pPr>
      <w:r>
        <w:rPr>
          <w:rFonts w:ascii="Calibri" w:cs="Calibri" w:eastAsia="Calibri" w:hAnsi="Calibri"/>
          <w:sz w:val="22"/>
          <w:szCs w:val="22"/>
        </w:rPr>
        <w:t xml:space="preserve">mIA se instala como un sitio adicional e independiente en el mismo servidor, bajo la nueva URL:</w:t>
      </w:r>
    </w:p>
    <w:p>
      <w:pPr>
        <w:spacing w:after="200" w:before="100"/>
        <w:jc w:val="center"/>
      </w:pPr>
      <w:r>
        <w:rPr>
          <w:rFonts w:ascii="Calibri" w:cs="Calibri" w:eastAsia="Calibri" w:hAnsi="Calibri"/>
          <w:b/>
          <w:bCs/>
          <w:sz w:val="22"/>
          <w:szCs w:val="22"/>
        </w:rPr>
        <w:t xml:space="preserve">https://mia-pre.sunsetbeachclub.local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Regla general del despliegue</w:t>
            </w:r>
          </w:p>
          <w:p>
            <w:pPr>
              <w:spacing w:after="0"/>
            </w:pPr>
            <w:r>
              <w:rPr>
                <w:rFonts w:ascii="Calibri" w:cs="Calibri" w:eastAsia="Calibri" w:hAnsi="Calibri"/>
                <w:color w:val="5A3A08"/>
                <w:sz w:val="21"/>
                <w:szCs w:val="21"/>
              </w:rPr>
              <w:t xml:space="preserve">SharePoint 2013 no se modifica en ningún paso de esta guía: ni sus Application Pools, ni sus bindings, ni su configuración de IIS a nivel de sitio. mIA se instala como un sitio IIS nuevo, con su propio Application Pool y su propio binding por host-header.</w:t>
            </w:r>
          </w:p>
        </w:tc>
      </w:tr>
    </w:tbl>
    <w:p>
      <w:pPr>
        <w:spacing w:after="100"/>
      </w:pPr>
    </w:p>
    <w:p>
      <w:pPr>
        <w:spacing w:after="160" w:line="276"/>
      </w:pPr>
      <w:r>
        <w:rPr>
          <w:rFonts w:ascii="Calibri" w:cs="Calibri" w:eastAsia="Calibri" w:hAnsi="Calibri"/>
          <w:sz w:val="22"/>
          <w:szCs w:val="22"/>
        </w:rPr>
        <w:t xml:space="preserve">El documento cubre dos componentes que se instalan de forma independiente:</w:t>
      </w:r>
    </w:p>
    <w:p>
      <w:pPr>
        <w:pStyle w:val="ListParagraph"/>
        <w:numPr>
          <w:ilvl w:val="0"/>
          <w:numId w:val="2"/>
        </w:numPr>
        <w:spacing w:after="100"/>
      </w:pPr>
      <w:r>
        <w:rPr>
          <w:rFonts w:ascii="Calibri" w:cs="Calibri" w:eastAsia="Calibri" w:hAnsi="Calibri"/>
          <w:sz w:val="22"/>
          <w:szCs w:val="22"/>
        </w:rPr>
        <w:t xml:space="preserve">Backend — API conversacional en Python/FastAPI, con base de datos PostgreSQL y sincronización con SharePoint Online (no con el SharePoint 2013 local; son sistemas distintos).</w:t>
      </w:r>
    </w:p>
    <w:p>
      <w:pPr>
        <w:pStyle w:val="ListParagraph"/>
        <w:numPr>
          <w:ilvl w:val="0"/>
          <w:numId w:val="2"/>
        </w:numPr>
        <w:spacing w:after="100"/>
      </w:pPr>
      <w:r>
        <w:rPr>
          <w:rFonts w:ascii="Calibri" w:cs="Calibri" w:eastAsia="Calibri" w:hAnsi="Calibri"/>
          <w:sz w:val="22"/>
          <w:szCs w:val="22"/>
        </w:rPr>
        <w:t xml:space="preserve">Frontend — interfaz web (mundos 2D, 3D y holograma) construida con Vite, servida como contenido estático a través de IIS.</w:t>
      </w:r>
    </w:p>
    <w:p>
      <w:pPr>
        <w:spacing w:after="160" w:line="276"/>
      </w:pPr>
      <w:r>
        <w:rPr>
          <w:rFonts w:ascii="Calibri" w:cs="Calibri" w:eastAsia="Calibri" w:hAnsi="Calibri"/>
          <w:sz w:val="22"/>
          <w:szCs w:val="22"/>
        </w:rPr>
        <w:t xml:space="preserve">IIS actúa como punto de entrada único para los usuarios: sirve los ficheros estáticos del frontend y reenvía las peticiones de la API (/api/...) al proceso Python en segundo plano mediante un proxy inverso (ARR + URL Rewrite).</w:t>
      </w:r>
    </w:p>
    <w:p>
      <w:pPr>
        <w:pStyle w:val="Heading1"/>
        <w:spacing w:after="200" w:before="400"/>
      </w:pPr>
      <w:bookmarkStart w:name="_Toc3" w:id="3"/>
      <w:r>
        <w:t xml:space="preserve">2. Arquitectura del entorno</w:t>
      </w:r>
      <w:bookmarkEnd w:id="3"/>
    </w:p>
    <w:p>
      <w:pPr>
        <w:spacing w:after="160" w:line="276"/>
      </w:pPr>
      <w:r>
        <w:rPr>
          <w:rFonts w:ascii="Calibri" w:cs="Calibri" w:eastAsia="Calibri" w:hAnsi="Calibri"/>
          <w:sz w:val="22"/>
          <w:szCs w:val="22"/>
        </w:rPr>
        <w:t xml:space="preserve">Esquema de componentes y puertos en el servidor de preproducción: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Componente</w:t>
            </w:r>
          </w:p>
        </w:tc>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Tecnología</w:t>
            </w:r>
          </w:p>
        </w:tc>
        <w:tc>
          <w:tcPr>
            <w:tcW w:type="dxa" w:w="35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Dónde escucha / notas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Reverse proxy (ARR) + estáticos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0.0.0.0:443 (host-header mia-pre.sunsetbeachclub.local)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SharePoint 2013</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existente, no se toca</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portal.sunsetbeachclub.local (sin cambios)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Backend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 3.12 · FastAPI · uvicorn</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127.0.0.1:8000 (solo loopback, no expuesto)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 16/17 + extensión pgvector</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127.0.0.1:5432 (solo loopback)</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Frontend</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Vite (build estático: HTML/JS/CSS)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Servido por IIS desde disco, sin proceso propio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Sincronización SharePoint Online</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Tarea programada de Windows</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Ejecuta cada 10 min; usa Microsoft Graph, no IIS</w:t>
            </w:r>
          </w:p>
        </w:tc>
      </w:tr>
    </w:tbl>
    <w:p>
      <w:pPr>
        <w:spacing w:after="120"/>
      </w:pPr>
    </w:p>
    <w:p>
      <w:pPr>
        <w:spacing w:after="160" w:line="276"/>
      </w:pPr>
      <w:r>
        <w:rPr>
          <w:rFonts w:ascii="Calibri" w:cs="Calibri" w:eastAsia="Calibri" w:hAnsi="Calibri"/>
          <w:sz w:val="22"/>
          <w:szCs w:val="22"/>
        </w:rPr>
        <w:t xml:space="preserve">El backend y la base de datos solo escuchan en loopback (127.0.0.1): no son accesibles desde fuera del servidor. El único punto expuesto a la red es IIS, en el puerto 443 del sitio mia-pre.sunsetbeachclub.local.</w:t>
      </w:r>
    </w:p>
    <w:p>
      <w:pPr>
        <w:pStyle w:val="Heading1"/>
        <w:spacing w:after="200" w:before="400"/>
      </w:pPr>
      <w:bookmarkStart w:name="_Toc4" w:id="4"/>
      <w:r>
        <w:t xml:space="preserve">3. Convención de nombres y URL</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Sistema</w:t>
            </w:r>
          </w:p>
        </w:tc>
        <w:tc>
          <w:tcPr>
            <w:tcW w:type="dxa" w:w="3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URL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Estado</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(existente)</w:t>
            </w:r>
          </w:p>
        </w:tc>
        <w:tc>
          <w:tcPr>
            <w:tcW w:type="dxa" w:w="3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http://portal.sunsetbeachclub.local</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instalado — no se modifica</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 — Preproducción</w:t>
            </w:r>
          </w:p>
        </w:tc>
        <w:tc>
          <w:tcPr>
            <w:tcW w:type="dxa" w:w="3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instalar en esta guía</w:t>
            </w:r>
          </w:p>
        </w:tc>
      </w:tr>
    </w:tbl>
    <w:p>
      <w:pPr>
        <w:spacing w:after="120"/>
      </w:pPr>
    </w:p>
    <w:p>
      <w:pPr>
        <w:spacing w:after="160" w:line="276"/>
      </w:pPr>
      <w:r>
        <w:rPr>
          <w:rFonts w:ascii="Calibri" w:cs="Calibri" w:eastAsia="Calibri" w:hAnsi="Calibri"/>
          <w:sz w:val="22"/>
          <w:szCs w:val="22"/>
        </w:rPr>
        <w:t xml:space="preserve">Ambos sitios conviven en el mismo servidor y, previsiblemente, en la misma dirección IP, diferenciados por host-header (en HTTP) y por SNI (Server Name Indication, en HTTPS) — mecanismo estándar de IIS desde hace varias versiones y totalmente compatible con Windows Server 2022. No es necesaria una IP adicional.</w:t>
      </w:r>
    </w:p>
    <w:p>
      <w:pPr>
        <w:spacing w:after="160" w:line="276"/>
      </w:pPr>
      <w:r>
        <w:rPr>
          <w:rFonts w:ascii="Calibri" w:cs="Calibri" w:eastAsia="Calibri" w:hAnsi="Calibri"/>
          <w:sz w:val="22"/>
          <w:szCs w:val="22"/>
        </w:rPr>
        <w:t xml:space="preserve">Esta guía usa mia-pre.sunsetbeachclub.local como ejemplo del nombre solicitado. Si el nombre final difiere, sustitúyelo de forma consistente en: el registro DNS (sección 8), el binding de IIS (sección 7.1) y el certificado SSL (sección 7.2).</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Implicaciones de usar el sufijo .local</w:t>
            </w:r>
          </w:p>
          <w:p>
            <w:pPr>
              <w:spacing w:after="0"/>
            </w:pPr>
            <w:r>
              <w:rPr>
                <w:rFonts w:ascii="Calibri" w:cs="Calibri" w:eastAsia="Calibri" w:hAnsi="Calibri"/>
                <w:color w:val="5A3A08"/>
                <w:sz w:val="21"/>
                <w:szCs w:val="21"/>
              </w:rPr>
              <w:t xml:space="preserve">Al ser .local (y no .com), ambas URL son de uso exclusivamente interno: solo resuelven dentro de la red corporativa (normalmente porque sunsetbeachclub.local es el propio dominio de Active Directory), nunca desde internet. Además, ninguna CA pública puede emitir certificados SSL para nombres .local desde 2015 (lo prohíben las reglas del CA/Browser Forum): el certificado de mia-pre.sunsetbeachclub.local no puede venir de una CA pública bajo ningún concepto. Nota adicional: portal.sunsetbeachclub.local (SharePoint 2013) corre hoy en HTTP, sin certificado — no hay por tanto un certificado ni un binding 443 ya existentes en este servidor que reutilizar para mIA.</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HTTPS obligatorio: login real contra Entra ID</w:t>
            </w:r>
          </w:p>
          <w:p>
            <w:pPr>
              <w:spacing w:after="0"/>
            </w:pPr>
            <w:r>
              <w:rPr>
                <w:rFonts w:ascii="Calibri" w:cs="Calibri" w:eastAsia="Calibri" w:hAnsi="Calibri"/>
                <w:color w:val="5A3A08"/>
                <w:sz w:val="21"/>
                <w:szCs w:val="21"/>
              </w:rPr>
              <w:t xml:space="preserve">mIA necesita login real de usuarios contra Microsoft Entra ID (MSAL), y Entra ID exige que el redirect URI de la aplicación sea https:// para cualquier host que no sea exactamente "localhost" — es una restricción de la propia plataforma, no una recomendación de esta guía. Por tanto HTTPS no es opcional en mia-pre.sunsetbeachclub.local. Decisión ya tomada: al no haber (todavía) una CA interna confirmada en la organización, el certificado será AUTOFIRMADO (sección 7.2 detalla cómo generarlo y distribuir su confianza a los equipos cliente, para que el navegador no muestre aviso de seguridad durante el login).</w:t>
            </w:r>
          </w:p>
        </w:tc>
      </w:tr>
    </w:tbl>
    <w:p>
      <w:pPr>
        <w:pStyle w:val="Heading1"/>
        <w:spacing w:after="200" w:before="400"/>
      </w:pPr>
      <w:bookmarkStart w:name="_Toc5" w:id="5"/>
      <w:r>
        <w:t xml:space="preserve">4. Prerrequisitos generales del servidor</w:t>
      </w:r>
      <w:bookmarkEnd w:id="5"/>
    </w:p>
    <w:p>
      <w:pPr>
        <w:spacing w:after="160" w:line="276"/>
      </w:pPr>
      <w:r>
        <w:rPr>
          <w:rFonts w:ascii="Calibri" w:cs="Calibri" w:eastAsia="Calibri" w:hAnsi="Calibri"/>
          <w:sz w:val="22"/>
          <w:szCs w:val="22"/>
        </w:rPr>
        <w:t xml:space="preserve">Antes de empezar, confirma lo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Requisito</w:t>
            </w:r>
          </w:p>
        </w:tc>
        <w:tc>
          <w:tcPr>
            <w:tcW w:type="dxa" w:w="43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Detalle</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Sistema operativo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Windows Server 2022, con IIS ya instalado y en funcionamiento</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administrativo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con permisos de administrador local en el servidor</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 DNS interno/corporativo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crear el registro de mia-pre.sunsetbeachclub.local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Autofirmado para mia-pre.sunsetbeachclub.local — obligatorio: Entra ID exige HTTPS para el login (sección 7.2)</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dedicada para ejecutar el backend y la tarea programada (no usar una cuenta personal)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Credenciales de Entra ID / SharePoint Online</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Tenant ID, Client ID, certificado (.pfx) de la aplicación registrada para sincronizar RRHH</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proveedor LLM</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 key del proveedor configurado (OpenAI / Azure OpenAI), o usar el modo "fake" mientras no esté disponible</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Espacio en disco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 menos 10 GB libres (aplicación, base de datos, logs, informes generados)</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Conectividad de salida (outbound)</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 443 hacia Microsoft Graph / SharePoint Online y hacia el proveedor LLM</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Importante sobre SharePoint</w:t>
            </w:r>
          </w:p>
          <w:p>
            <w:pPr>
              <w:spacing w:after="0"/>
            </w:pPr>
            <w:r>
              <w:rPr>
                <w:rFonts w:ascii="Calibri" w:cs="Calibri" w:eastAsia="Calibri" w:hAnsi="Calibri"/>
                <w:color w:val="5A3A08"/>
                <w:sz w:val="21"/>
                <w:szCs w:val="21"/>
              </w:rPr>
              <w:t xml:space="preserve">El SharePoint 2013 instalado en este servidor (portal.sunsetbeachclub.local) es un sistema distinto del "SharePoint" con el que sincroniza mIA. mIA sincroniza datos de RRHH desde SharePoint Online (sunsetbeachclub.sharepoint.com), vía Entra ID y un certificado de aplicación — no desde el SharePoint 2013 local. No hace falta configurar nada en el SharePoint 2013 para esta instalación.</w:t>
            </w:r>
          </w:p>
        </w:tc>
      </w:tr>
    </w:tbl>
    <w:p>
      <w:pPr>
        <w:pStyle w:val="Heading1"/>
        <w:spacing w:after="200" w:before="400"/>
      </w:pPr>
      <w:bookmarkStart w:name="_Toc6" w:id="6"/>
      <w:r>
        <w:t xml:space="preserve">5. Instalación del backend (API Python/FastAPI)</w:t>
      </w:r>
      <w:bookmarkEnd w:id="6"/>
    </w:p>
    <w:p>
      <w:pPr>
        <w:pStyle w:val="Heading2"/>
        <w:spacing w:after="150" w:before="300"/>
      </w:pPr>
      <w:bookmarkStart w:name="_Toc7" w:id="7"/>
      <w:r>
        <w:t xml:space="preserve">5.1 Prerrequisitos del backend</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Runtime del backend. Instalador oficial desde python.org; marcar "Add python.exe to PATH"</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Visual Studio Build Tools</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2022 (workload "Desktop development with C++")</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Compila las dependencias nativas de Python (cryptography, pydantic-core, spaCy) Y la extensión pgvector, que en Windows se construye desde el código fuente con nmake (no hay binarios oficiales precompilados)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17.11-5 x64 (EDB)</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 Instalador oficial de EnterpriseDB para Windows</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pgvector</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v0.8.7 (código fuente oficial)</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Búsqueda semántica (CVs, documentos). Se compila con nmake usando Visual Studio Build Tools, contra la instalación de PostgreSQL del paso anterior</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clonar el código fuente de pgvector (alternativa: usar directamente el .zip de la release oficial, sin git)</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2.24</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Registrar el backend como servicio de Windows con reinicio automático</w:t>
            </w:r>
          </w:p>
        </w:tc>
      </w:tr>
    </w:tbl>
    <w:p>
      <w:pPr>
        <w:pStyle w:val="Heading2"/>
        <w:spacing w:after="150" w:before="300"/>
      </w:pPr>
      <w:bookmarkStart w:name="_Toc8" w:id="8"/>
      <w:r>
        <w:t xml:space="preserve">5.2 Paso a paso</w:t>
      </w:r>
      <w:bookmarkEnd w:id="8"/>
    </w:p>
    <w:p>
      <w:pPr>
        <w:pStyle w:val="Heading3"/>
        <w:spacing w:after="100" w:before="200"/>
      </w:pPr>
      <w:bookmarkStart w:name="_Toc9" w:id="9"/>
      <w:r>
        <w:t xml:space="preserve">Paso 1 — Instalar Python 3.12</w:t>
      </w:r>
      <w:bookmarkEnd w:id="9"/>
    </w:p>
    <w:p>
      <w:pPr>
        <w:spacing w:after="160" w:line="276"/>
      </w:pPr>
      <w:r>
        <w:rPr>
          <w:rFonts w:ascii="Calibri" w:cs="Calibri" w:eastAsia="Calibri" w:hAnsi="Calibri"/>
          <w:sz w:val="22"/>
          <w:szCs w:val="22"/>
        </w:rPr>
        <w:t xml:space="preserve">Descarga el instalador oficial (python.org → Downloads → Windows), ejecútalo marcando "Add python.exe to PATH" y "Install for all users". 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--version</w:t>
            </w:r>
          </w:p>
          <w:p>
            <w:pPr>
              <w:spacing w:after="0"/>
            </w:pPr>
            <w:r>
              <w:rPr>
                <w:rFonts w:ascii="Consolas" w:cs="Consolas" w:eastAsia="Consolas" w:hAnsi="Consolas"/>
                <w:color w:val="E8E8E8"/>
                <w:sz w:val="19"/>
                <w:szCs w:val="19"/>
              </w:rPr>
              <w:t xml:space="preserve"># Python 3.12.x</w:t>
            </w:r>
          </w:p>
        </w:tc>
      </w:tr>
    </w:tbl>
    <w:p>
      <w:pPr>
        <w:pStyle w:val="Heading3"/>
        <w:spacing w:after="100" w:before="200"/>
      </w:pPr>
      <w:bookmarkStart w:name="_Toc10" w:id="10"/>
      <w:r>
        <w:t xml:space="preserve">Paso 2 — Instalar Visual Studio Build Tools</w:t>
      </w:r>
      <w:bookmarkEnd w:id="10"/>
    </w:p>
    <w:p>
      <w:pPr>
        <w:spacing w:after="160" w:line="276"/>
      </w:pPr>
      <w:r>
        <w:rPr>
          <w:rFonts w:ascii="Calibri" w:cs="Calibri" w:eastAsia="Calibri" w:hAnsi="Calibri"/>
          <w:sz w:val="22"/>
          <w:szCs w:val="22"/>
        </w:rPr>
        <w:t xml:space="preserve">Necesario para compilar las dependencias nativas de Python y, en el paso siguiente, la propia extensión pgvector. Descarga el instalador oficial (bootstrapper) desde Microsoft e instala el workload de C++ en modo silencioso: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vs_buildtools.exe --quiet --wait --norestart --nocache ^</w:t>
            </w:r>
          </w:p>
          <w:p>
            <w:pPr>
              <w:spacing w:after="0"/>
            </w:pPr>
            <w:r>
              <w:rPr>
                <w:rFonts w:ascii="Consolas" w:cs="Consolas" w:eastAsia="Consolas" w:hAnsi="Consolas"/>
                <w:color w:val="E8E8E8"/>
                <w:sz w:val="19"/>
                <w:szCs w:val="19"/>
              </w:rPr>
              <w:t xml:space="preserve">  --add Microsoft.VisualStudio.Workload.VCTools ^</w:t>
            </w:r>
          </w:p>
          <w:p>
            <w:pPr>
              <w:spacing w:after="0"/>
            </w:pPr>
            <w:r>
              <w:rPr>
                <w:rFonts w:ascii="Consolas" w:cs="Consolas" w:eastAsia="Consolas" w:hAnsi="Consolas"/>
                <w:color w:val="E8E8E8"/>
                <w:sz w:val="19"/>
                <w:szCs w:val="19"/>
              </w:rPr>
              <w:t xml:space="preserve">  --includeRecommended</w:t>
            </w:r>
          </w:p>
        </w:tc>
      </w:tr>
    </w:tbl>
    <w:p>
      <w:pPr>
        <w:spacing w:after="160" w:line="276"/>
      </w:pPr>
      <w:r>
        <w:rPr>
          <w:rFonts w:ascii="Calibri" w:cs="Calibri" w:eastAsia="Calibri" w:hAnsi="Calibri"/>
          <w:sz w:val="22"/>
          <w:szCs w:val="22"/>
        </w:rPr>
        <w:t xml:space="preserve">(El instalador descarga los componentes del workload en el momento de ejecutarse: el servidor necesita salida a internet durante este paso.)</w:t>
      </w:r>
    </w:p>
    <w:p>
      <w:pPr>
        <w:pStyle w:val="Heading3"/>
        <w:spacing w:after="100" w:before="200"/>
      </w:pPr>
      <w:bookmarkStart w:name="_Toc11" w:id="11"/>
      <w:r>
        <w:t xml:space="preserve">Paso 3 — Instalar PostgreSQL</w:t>
      </w:r>
      <w:bookmarkEnd w:id="11"/>
    </w:p>
    <w:p>
      <w:pPr>
        <w:pStyle w:val="ListParagraph"/>
        <w:numPr>
          <w:ilvl w:val="0"/>
          <w:numId w:val="3"/>
        </w:numPr>
        <w:spacing w:after="140"/>
      </w:pPr>
      <w:r>
        <w:rPr>
          <w:rFonts w:ascii="Calibri" w:cs="Calibri" w:eastAsia="Calibri" w:hAnsi="Calibri"/>
          <w:sz w:val="22"/>
          <w:szCs w:val="22"/>
        </w:rPr>
        <w:t xml:space="preserve">Ejecuta postgresql-17.11-5-windows-x64.exe (instalador oficial de EDB). En el asistente: directorio de instalación por defecto, componentes "PostgreSQL Server" + "Command Line Tools" (puedes desmarcar pgAdmin y Stack Builder si no los vas a usar), puerto 5432, locale "Spanish, Spain" o "Default locale", y la contraseña del usuario postgres.</w:t>
      </w:r>
    </w:p>
    <w:p>
      <w:pPr>
        <w:spacing w:after="160" w:line="276"/>
      </w:pPr>
      <w:r>
        <w:rPr>
          <w:rFonts w:ascii="Calibri" w:cs="Calibri" w:eastAsia="Calibri" w:hAnsi="Calibri"/>
          <w:sz w:val="22"/>
          <w:szCs w:val="22"/>
        </w:rPr>
        <w:t xml:space="preserve">Alternativa en modo desatendido (sin asistente gráfico), ejecutado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postgresql-17.11-5-windows-x64.exe --mode unattended ^</w:t>
            </w:r>
          </w:p>
          <w:p>
            <w:pPr>
              <w:spacing w:after="0"/>
            </w:pPr>
            <w:r>
              <w:rPr>
                <w:rFonts w:ascii="Consolas" w:cs="Consolas" w:eastAsia="Consolas" w:hAnsi="Consolas"/>
                <w:color w:val="E8E8E8"/>
                <w:sz w:val="19"/>
                <w:szCs w:val="19"/>
              </w:rPr>
              <w:t xml:space="preserve">  --unattendedmodeui minimal ^</w:t>
            </w:r>
          </w:p>
          <w:p>
            <w:pPr>
              <w:spacing w:after="0"/>
            </w:pPr>
            <w:r>
              <w:rPr>
                <w:rFonts w:ascii="Consolas" w:cs="Consolas" w:eastAsia="Consolas" w:hAnsi="Consolas"/>
                <w:color w:val="E8E8E8"/>
                <w:sz w:val="19"/>
                <w:szCs w:val="19"/>
              </w:rPr>
              <w:t xml:space="preserve">  --superpassword "una-password-fuerte" ^</w:t>
            </w:r>
          </w:p>
          <w:p>
            <w:pPr>
              <w:spacing w:after="0"/>
            </w:pPr>
            <w:r>
              <w:rPr>
                <w:rFonts w:ascii="Consolas" w:cs="Consolas" w:eastAsia="Consolas" w:hAnsi="Consolas"/>
                <w:color w:val="E8E8E8"/>
                <w:sz w:val="19"/>
                <w:szCs w:val="19"/>
              </w:rPr>
              <w:t xml:space="preserve">  --serverport 5432</w:t>
            </w:r>
          </w:p>
        </w:tc>
      </w:tr>
    </w:tbl>
    <w:p>
      <w:pPr>
        <w:pStyle w:val="ListParagraph"/>
        <w:numPr>
          <w:ilvl w:val="0"/>
          <w:numId w:val="3"/>
        </w:numPr>
        <w:spacing w:after="140"/>
      </w:pPr>
      <w:r>
        <w:rPr>
          <w:rFonts w:ascii="Calibri" w:cs="Calibri" w:eastAsia="Calibri" w:hAnsi="Calibri"/>
          <w:sz w:val="22"/>
          <w:szCs w:val="22"/>
        </w:rPr>
        <w:t xml:space="preserve">Confirma que queda instalado en C:\Program Files\PostgreSQL\17\ (ruta que se usa en el paso siguiente).</w:t>
      </w:r>
    </w:p>
    <w:p>
      <w:pPr>
        <w:pStyle w:val="ListParagraph"/>
        <w:numPr>
          <w:ilvl w:val="0"/>
          <w:numId w:val="3"/>
        </w:numPr>
        <w:spacing w:after="140"/>
      </w:pPr>
      <w:r>
        <w:rPr>
          <w:rFonts w:ascii="Calibri" w:cs="Calibri" w:eastAsia="Calibri" w:hAnsi="Calibri"/>
          <w:sz w:val="22"/>
          <w:szCs w:val="22"/>
        </w:rPr>
        <w:t xml:space="preserve">Crea el rol y la base de datos de la aplicación, usando psql o pgAdmin: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CREATE ROLE mia WITH LOGIN PASSWORD 'una-password-fuerte';</w:t>
            </w:r>
          </w:p>
          <w:p>
            <w:pPr>
              <w:spacing w:after="0"/>
            </w:pPr>
            <w:r>
              <w:rPr>
                <w:rFonts w:ascii="Consolas" w:cs="Consolas" w:eastAsia="Consolas" w:hAnsi="Consolas"/>
                <w:color w:val="E8E8E8"/>
                <w:sz w:val="19"/>
                <w:szCs w:val="19"/>
              </w:rPr>
              <w:t xml:space="preserve">CREATE DATABASE mia OWNER mia;</w:t>
            </w:r>
          </w:p>
        </w:tc>
      </w:tr>
    </w:tbl>
    <w:p>
      <w:pPr>
        <w:pStyle w:val="Heading3"/>
        <w:spacing w:after="100" w:before="200"/>
      </w:pPr>
      <w:bookmarkStart w:name="_Toc12" w:id="12"/>
      <w:r>
        <w:t xml:space="preserve">Paso 4 — Compilar e instalar la extensión pgvector</w:t>
      </w:r>
      <w:bookmarkEnd w:id="12"/>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binarios oficiales para Windows</w:t>
            </w:r>
          </w:p>
          <w:p>
            <w:pPr>
              <w:spacing w:after="0"/>
            </w:pPr>
            <w:r>
              <w:rPr>
                <w:rFonts w:ascii="Calibri" w:cs="Calibri" w:eastAsia="Calibri" w:hAnsi="Calibri"/>
                <w:color w:val="5A3A08"/>
                <w:sz w:val="21"/>
                <w:szCs w:val="21"/>
              </w:rPr>
              <w:t xml:space="preserve">pgvector no distribuye binarios precompilados para Windows: la propia documentación oficial del proyecto indica compilarlo desde el código fuente con nmake, usando Visual Studio Build Tools (paso 2) contra la instalación de PostgreSQL del paso 3. Por eso ambos pasos van en este orden.</w:t>
            </w:r>
          </w:p>
        </w:tc>
      </w:tr>
    </w:tbl>
    <w:p>
      <w:pPr>
        <w:pStyle w:val="ListParagraph"/>
        <w:numPr>
          <w:ilvl w:val="0"/>
          <w:numId w:val="3"/>
        </w:numPr>
        <w:spacing w:after="140"/>
      </w:pPr>
      <w:r>
        <w:rPr>
          <w:rFonts w:ascii="Calibri" w:cs="Calibri" w:eastAsia="Calibri" w:hAnsi="Calibri"/>
          <w:sz w:val="22"/>
          <w:szCs w:val="22"/>
        </w:rPr>
        <w:t xml:space="preserve">Abre "x64 Native Tools Command Prompt for VS 2022" como administrador (lo instala Visual Studio Build Tools; aparece en el menú de inicio).</w:t>
      </w:r>
    </w:p>
    <w:p>
      <w:pPr>
        <w:pStyle w:val="ListParagraph"/>
        <w:numPr>
          <w:ilvl w:val="0"/>
          <w:numId w:val="3"/>
        </w:numPr>
        <w:spacing w:after="140"/>
      </w:pPr>
      <w:r>
        <w:rPr>
          <w:rFonts w:ascii="Calibri" w:cs="Calibri" w:eastAsia="Calibri" w:hAnsi="Calibri"/>
          <w:sz w:val="22"/>
          <w:szCs w:val="22"/>
        </w:rPr>
        <w:t xml:space="preserve">Obtén el código fuente de la versión v0.8.7 (la estable en el momento de escribir esta guía) — por clonado: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set "PGROOT=C:\Program Files\PostgreSQL\17"</w:t>
            </w:r>
          </w:p>
          <w:p>
            <w:pPr>
              <w:spacing w:after="0"/>
            </w:pPr>
            <w:r>
              <w:rPr>
                <w:rFonts w:ascii="Consolas" w:cs="Consolas" w:eastAsia="Consolas" w:hAnsi="Consolas"/>
                <w:color w:val="E8E8E8"/>
                <w:sz w:val="19"/>
                <w:szCs w:val="19"/>
              </w:rPr>
              <w:t xml:space="preserve">cd %TEMP%</w:t>
            </w:r>
          </w:p>
          <w:p>
            <w:pPr>
              <w:spacing w:after="0"/>
            </w:pPr>
            <w:r>
              <w:rPr>
                <w:rFonts w:ascii="Consolas" w:cs="Consolas" w:eastAsia="Consolas" w:hAnsi="Consolas"/>
                <w:color w:val="E8E8E8"/>
                <w:sz w:val="19"/>
                <w:szCs w:val="19"/>
              </w:rPr>
              <w:t xml:space="preserve">git clone --branch v0.8.7 https://github.com/pgvector/pgvector.git</w:t>
            </w:r>
          </w:p>
          <w:p>
            <w:pPr>
              <w:spacing w:after="0"/>
            </w:pPr>
            <w:r>
              <w:rPr>
                <w:rFonts w:ascii="Consolas" w:cs="Consolas" w:eastAsia="Consolas" w:hAnsi="Consolas"/>
                <w:color w:val="E8E8E8"/>
                <w:sz w:val="19"/>
                <w:szCs w:val="19"/>
              </w:rPr>
              <w:t xml:space="preserve">cd pgvector</w:t>
            </w:r>
          </w:p>
        </w:tc>
      </w:tr>
    </w:tbl>
    <w:p>
      <w:pPr>
        <w:spacing w:after="160" w:line="276"/>
      </w:pPr>
      <w:r>
        <w:rPr>
          <w:rFonts w:ascii="Calibri" w:cs="Calibri" w:eastAsia="Calibri" w:hAnsi="Calibri"/>
          <w:sz w:val="22"/>
          <w:szCs w:val="22"/>
        </w:rPr>
        <w:t xml:space="preserve">(Alternativa sin git: descarga el .zip de la release oficial —github.com/pgvector/pgvector, etiqueta v0.8.7— y descomprímelo en esa misma carpeta.)</w:t>
      </w:r>
    </w:p>
    <w:p>
      <w:pPr>
        <w:pStyle w:val="ListParagraph"/>
        <w:numPr>
          <w:ilvl w:val="0"/>
          <w:numId w:val="3"/>
        </w:numPr>
        <w:spacing w:after="140"/>
      </w:pPr>
      <w:r>
        <w:rPr>
          <w:rFonts w:ascii="Calibri" w:cs="Calibri" w:eastAsia="Calibri" w:hAnsi="Calibri"/>
          <w:sz w:val="22"/>
          <w:szCs w:val="22"/>
        </w:rPr>
        <w:t xml:space="preserve">Compila e instala: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nmake /F Makefile.win</w:t>
            </w:r>
          </w:p>
          <w:p>
            <w:pPr>
              <w:spacing w:after="0"/>
            </w:pPr>
            <w:r>
              <w:rPr>
                <w:rFonts w:ascii="Consolas" w:cs="Consolas" w:eastAsia="Consolas" w:hAnsi="Consolas"/>
                <w:color w:val="E8E8E8"/>
                <w:sz w:val="19"/>
                <w:szCs w:val="19"/>
              </w:rPr>
              <w:t xml:space="preserve">nmake /F Makefile.win install</w:t>
            </w:r>
          </w:p>
        </w:tc>
      </w:tr>
    </w:tbl>
    <w:p>
      <w:pPr>
        <w:pStyle w:val="ListParagraph"/>
        <w:numPr>
          <w:ilvl w:val="0"/>
          <w:numId w:val="3"/>
        </w:numPr>
        <w:spacing w:after="140"/>
      </w:pPr>
      <w:r>
        <w:rPr>
          <w:rFonts w:ascii="Calibri" w:cs="Calibri" w:eastAsia="Calibri" w:hAnsi="Calibri"/>
          <w:sz w:val="22"/>
          <w:szCs w:val="22"/>
        </w:rPr>
        <w:t xml:space="preserve">Reinicia el servicio de PostgreSQL (postgresql-x64-17, en Servicios de Windows) para que detecte la extensión.</w:t>
      </w:r>
    </w:p>
    <w:p>
      <w:pPr>
        <w:spacing w:after="160" w:line="276"/>
      </w:pPr>
      <w:r>
        <w:rPr>
          <w:rFonts w:ascii="Calibri" w:cs="Calibri" w:eastAsia="Calibri" w:hAnsi="Calibri"/>
          <w:sz w:val="22"/>
          <w:szCs w:val="22"/>
        </w:rPr>
        <w:t xml:space="preserve">La extensión vector en la base de datos la crea automáticamente la primera migración de Alembic (0011_migracion_a_pgvector) en el paso 8 — no es necesario ejecutar CREATE EXTENSION a mano. Si ese paso fallara por permisos, créala una vez como postgres y después: ALTER EXTENSION vector OWNER TO mia;</w:t>
      </w:r>
    </w:p>
    <w:p>
      <w:pPr>
        <w:pStyle w:val="Heading3"/>
        <w:spacing w:after="100" w:before="200"/>
      </w:pPr>
      <w:bookmarkStart w:name="_Toc13" w:id="13"/>
      <w:r>
        <w:t xml:space="preserve">Paso 5 — Copiar el código de la aplicación</w:t>
      </w:r>
      <w:bookmarkEnd w:id="13"/>
    </w:p>
    <w:p>
      <w:pPr>
        <w:spacing w:after="160" w:line="276"/>
      </w:pPr>
      <w:r>
        <w:rPr>
          <w:rFonts w:ascii="Calibri" w:cs="Calibri" w:eastAsia="Calibri" w:hAnsi="Calibri"/>
          <w:sz w:val="22"/>
          <w:szCs w:val="22"/>
        </w:rPr>
        <w:t xml:space="preserve">Copia el repositorio a una ruta sin espacios ni tildes,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C:\apps\mia\current\</w:t>
            </w:r>
          </w:p>
        </w:tc>
      </w:tr>
    </w:tbl>
    <w:p>
      <w:pPr>
        <w:pStyle w:val="Heading3"/>
        <w:spacing w:after="100" w:before="200"/>
      </w:pPr>
      <w:bookmarkStart w:name="_Toc14" w:id="14"/>
      <w:r>
        <w:t xml:space="preserve">Paso 6 — Crear el entorno virtual e instalar dependencias</w:t>
      </w:r>
      <w:bookmarkEnd w:id="1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python -m venv .venv</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pip install -e .</w:t>
            </w:r>
          </w:p>
        </w:tc>
      </w:tr>
    </w:tbl>
    <w:p>
      <w:pPr>
        <w:spacing w:after="160" w:line="276"/>
      </w:pPr>
      <w:r>
        <w:rPr>
          <w:rFonts w:ascii="Calibri" w:cs="Calibri" w:eastAsia="Calibri" w:hAnsi="Calibri"/>
          <w:sz w:val="22"/>
          <w:szCs w:val="22"/>
        </w:rPr>
        <w:t xml:space="preserve">No instales los extras [dev] ni [azure] en el servidor de preproducción: son para desarrollo local y para Azure respectivamente.</w:t>
      </w:r>
    </w:p>
    <w:p>
      <w:pPr>
        <w:pStyle w:val="Heading3"/>
        <w:spacing w:after="100" w:before="200"/>
      </w:pPr>
      <w:bookmarkStart w:name="_Toc15" w:id="15"/>
      <w:r>
        <w:t xml:space="preserve">Paso 7 — Configurar las variables de entorno (.env)</w:t>
      </w:r>
      <w:bookmarkEnd w:id="15"/>
    </w:p>
    <w:p>
      <w:pPr>
        <w:spacing w:after="160" w:line="276"/>
      </w:pPr>
      <w:r>
        <w:rPr>
          <w:rFonts w:ascii="Calibri" w:cs="Calibri" w:eastAsia="Calibri" w:hAnsi="Calibri"/>
          <w:sz w:val="22"/>
          <w:szCs w:val="22"/>
        </w:rPr>
        <w:t xml:space="preserve">Copia .env.example a .env en la raíz del proyecto y completa los valores reales. Las variables más relevantes para preproducción se detallan en el Anexo A. Resumen de las decisiones clave:</w:t>
      </w:r>
    </w:p>
    <w:p>
      <w:pPr>
        <w:pStyle w:val="ListParagraph"/>
        <w:numPr>
          <w:ilvl w:val="0"/>
          <w:numId w:val="2"/>
        </w:numPr>
        <w:spacing w:after="100"/>
      </w:pPr>
      <w:r>
        <w:rPr>
          <w:rFonts w:ascii="Calibri" w:cs="Calibri" w:eastAsia="Calibri" w:hAnsi="Calibri"/>
          <w:sz w:val="22"/>
          <w:szCs w:val="22"/>
        </w:rPr>
        <w:t xml:space="preserve">MIA_HOST=127.0.0.1 y MIA_PORT=8000 — el backend NO se expone directamente; IIS hace de proxy.</w:t>
      </w:r>
    </w:p>
    <w:p>
      <w:pPr>
        <w:pStyle w:val="ListParagraph"/>
        <w:numPr>
          <w:ilvl w:val="0"/>
          <w:numId w:val="2"/>
        </w:numPr>
        <w:spacing w:after="100"/>
      </w:pPr>
      <w:r>
        <w:rPr>
          <w:rFonts w:ascii="Calibri" w:cs="Calibri" w:eastAsia="Calibri" w:hAnsi="Calibri"/>
          <w:sz w:val="22"/>
          <w:szCs w:val="22"/>
        </w:rPr>
        <w:t xml:space="preserve">No definir MIA_COMPAT_PORT en preproducción (solo se usa en desarrollo local).</w:t>
      </w:r>
    </w:p>
    <w:p>
      <w:pPr>
        <w:pStyle w:val="ListParagraph"/>
        <w:numPr>
          <w:ilvl w:val="0"/>
          <w:numId w:val="2"/>
        </w:numPr>
        <w:spacing w:after="100"/>
      </w:pPr>
      <w:r>
        <w:rPr>
          <w:rFonts w:ascii="Calibri" w:cs="Calibri" w:eastAsia="Calibri" w:hAnsi="Calibri"/>
          <w:sz w:val="22"/>
          <w:szCs w:val="22"/>
        </w:rPr>
        <w:t xml:space="preserve">MIA_DATABASE_URL apuntando al rol y base de datos creados en el Paso 3.</w:t>
      </w:r>
    </w:p>
    <w:p>
      <w:pPr>
        <w:pStyle w:val="ListParagraph"/>
        <w:numPr>
          <w:ilvl w:val="0"/>
          <w:numId w:val="2"/>
        </w:numPr>
        <w:spacing w:after="100"/>
      </w:pPr>
      <w:r>
        <w:rPr>
          <w:rFonts w:ascii="Calibri" w:cs="Calibri" w:eastAsia="Calibri" w:hAnsi="Calibri"/>
          <w:sz w:val="22"/>
          <w:szCs w:val="22"/>
        </w:rPr>
        <w:t xml:space="preserve">MIA_SHAREPOINT__* con el tenant, client id y certificado reales de la aplicación de Entra ID para SharePoint Online.</w:t>
      </w:r>
    </w:p>
    <w:p>
      <w:pPr>
        <w:pStyle w:val="ListParagraph"/>
        <w:numPr>
          <w:ilvl w:val="0"/>
          <w:numId w:val="2"/>
        </w:numPr>
        <w:spacing w:after="100"/>
      </w:pPr>
      <w:r>
        <w:rPr>
          <w:rFonts w:ascii="Calibri" w:cs="Calibri" w:eastAsia="Calibri" w:hAnsi="Calibri"/>
          <w:sz w:val="22"/>
          <w:szCs w:val="22"/>
        </w:rPr>
        <w:t xml:space="preserve">MIA_DATA__PSEUDONYM_KEY — generar una clave nueva y no cambiarla después (afecta a los seudónimos de DNI/NIE ya sincronizados).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-c "import secrets; print(secrets.token_urlsafe(32))"</w:t>
            </w:r>
          </w:p>
        </w:tc>
      </w:tr>
    </w:tbl>
    <w:p>
      <w:pPr>
        <w:pStyle w:val="ListParagraph"/>
        <w:numPr>
          <w:ilvl w:val="0"/>
          <w:numId w:val="2"/>
        </w:numPr>
        <w:spacing w:after="100"/>
      </w:pPr>
      <w:r>
        <w:rPr>
          <w:rFonts w:ascii="Calibri" w:cs="Calibri" w:eastAsia="Calibri" w:hAnsi="Calibri"/>
          <w:sz w:val="22"/>
          <w:szCs w:val="22"/>
        </w:rPr>
        <w:t xml:space="preserve">MIA_AUTH__MODE — no dejar en "dev" (identidad fija de pruebas); configurar "entra" si ya existe el registro de la aplicación en Entra 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Seguridad del fichero .env y del certificado</w:t>
            </w:r>
          </w:p>
          <w:p>
            <w:pPr>
              <w:spacing w:after="0"/>
            </w:pPr>
            <w:r>
              <w:rPr>
                <w:rFonts w:ascii="Calibri" w:cs="Calibri" w:eastAsia="Calibri" w:hAnsi="Calibri"/>
                <w:color w:val="5A3A08"/>
                <w:sz w:val="21"/>
                <w:szCs w:val="21"/>
              </w:rPr>
              <w:t xml:space="preserve">Restringe los permisos NTFS de .env y del certificado .pfx solo a la cuenta de servicio y a los administradores (nunca "Everyone" ni "Users"). No copies estos valores a tickets, chats ni repositorios.</w:t>
            </w:r>
          </w:p>
        </w:tc>
      </w:tr>
    </w:tbl>
    <w:p>
      <w:pPr>
        <w:pStyle w:val="Heading3"/>
        <w:spacing w:after="100" w:before="200"/>
      </w:pPr>
      <w:bookmarkStart w:name="_Toc16" w:id="16"/>
      <w:r>
        <w:t xml:space="preserve">Paso 8 — Aplicar las migraciones de base de datos</w:t>
      </w:r>
      <w:bookmarkEnd w:id="1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alembic upgrade head</w:t>
            </w:r>
          </w:p>
        </w:tc>
      </w:tr>
    </w:tbl>
    <w:p>
      <w:pPr>
        <w:pStyle w:val="Heading3"/>
        <w:spacing w:after="100" w:before="200"/>
      </w:pPr>
      <w:bookmarkStart w:name="_Toc17" w:id="17"/>
      <w:r>
        <w:t xml:space="preserve">Paso 9 — Prueba en caliente (sin servicio todavía)</w:t>
      </w:r>
      <w:bookmarkEnd w:id="1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w:t>
            </w:r>
          </w:p>
        </w:tc>
      </w:tr>
    </w:tbl>
    <w:p>
      <w:pPr>
        <w:spacing w:after="160" w:line="276"/>
      </w:pPr>
      <w:r>
        <w:rPr>
          <w:rFonts w:ascii="Calibri" w:cs="Calibri" w:eastAsia="Calibri" w:hAnsi="Calibri"/>
          <w:sz w:val="22"/>
          <w:szCs w:val="22"/>
        </w:rPr>
        <w:t xml:space="preserve">Con el proceso en marcha, comprueba en el propio servidor:</w:t>
      </w:r>
    </w:p>
    <w:p>
      <w:pPr>
        <w:pStyle w:val="ListParagraph"/>
        <w:numPr>
          <w:ilvl w:val="0"/>
          <w:numId w:val="2"/>
        </w:numPr>
        <w:spacing w:after="100"/>
      </w:pPr>
      <w:r>
        <w:rPr>
          <w:rFonts w:ascii="Calibri" w:cs="Calibri" w:eastAsia="Calibri" w:hAnsi="Calibri"/>
          <w:sz w:val="22"/>
          <w:szCs w:val="22"/>
        </w:rPr>
        <w:t xml:space="preserve">http://127.0.0.1:8000/health/live → 200 OK</w:t>
      </w:r>
    </w:p>
    <w:p>
      <w:pPr>
        <w:pStyle w:val="ListParagraph"/>
        <w:numPr>
          <w:ilvl w:val="0"/>
          <w:numId w:val="2"/>
        </w:numPr>
        <w:spacing w:after="100"/>
      </w:pPr>
      <w:r>
        <w:rPr>
          <w:rFonts w:ascii="Calibri" w:cs="Calibri" w:eastAsia="Calibri" w:hAnsi="Calibri"/>
          <w:sz w:val="22"/>
          <w:szCs w:val="22"/>
        </w:rPr>
        <w:t xml:space="preserve">http://127.0.0.1:8000/health/ready → 200 OK (confirma conexión real a la base de datos)</w:t>
      </w:r>
    </w:p>
    <w:p>
      <w:pPr>
        <w:pStyle w:val="ListParagraph"/>
        <w:numPr>
          <w:ilvl w:val="0"/>
          <w:numId w:val="2"/>
        </w:numPr>
        <w:spacing w:after="100"/>
      </w:pPr>
      <w:r>
        <w:rPr>
          <w:rFonts w:ascii="Calibri" w:cs="Calibri" w:eastAsia="Calibri" w:hAnsi="Calibri"/>
          <w:sz w:val="22"/>
          <w:szCs w:val="22"/>
        </w:rPr>
        <w:t xml:space="preserve">http://127.0.0.1:8000/docs → documentación interactiva de la API</w:t>
      </w:r>
    </w:p>
    <w:p>
      <w:pPr>
        <w:spacing w:after="160" w:line="276"/>
      </w:pPr>
      <w:r>
        <w:rPr>
          <w:rFonts w:ascii="Calibri" w:cs="Calibri" w:eastAsia="Calibri" w:hAnsi="Calibri"/>
          <w:sz w:val="22"/>
          <w:szCs w:val="22"/>
        </w:rPr>
        <w:t xml:space="preserve">Detén el proceso con Ctrl+C una vez verificado.</w:t>
      </w:r>
    </w:p>
    <w:p>
      <w:pPr>
        <w:pStyle w:val="Heading3"/>
        <w:spacing w:after="100" w:before="200"/>
      </w:pPr>
      <w:bookmarkStart w:name="_Toc18" w:id="18"/>
      <w:r>
        <w:t xml:space="preserve">Paso 10 — Registrar el backend como servicio de Windows (NSSM)</w:t>
      </w:r>
      <w:bookmarkEnd w:id="18"/>
    </w:p>
    <w:p>
      <w:pPr>
        <w:spacing w:after="160" w:line="276"/>
      </w:pPr>
      <w:r>
        <w:rPr>
          <w:rFonts w:ascii="Calibri" w:cs="Calibri" w:eastAsia="Calibri" w:hAnsi="Calibri"/>
          <w:sz w:val="22"/>
          <w:szCs w:val="22"/>
        </w:rPr>
        <w:t xml:space="preserve">Descomprime la release oficial (nssm 2.24, de nssm.cc) en una ruta estable del servidor, por ejemplo C:\apps\nssm\, y usa el ejecutable de win64\nssm.exe: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install mia-api</w:t>
            </w:r>
          </w:p>
          <w:p>
            <w:pPr>
              <w:spacing w:after="0"/>
            </w:pPr>
            <w:r>
              <w:rPr>
                <w:rFonts w:ascii="Consolas" w:cs="Consolas" w:eastAsia="Consolas" w:hAnsi="Consolas"/>
                <w:color w:val="E8E8E8"/>
                <w:sz w:val="19"/>
                <w:szCs w:val="19"/>
              </w:rPr>
              <w:t xml:space="preserve">  Path:               C:\apps\mia\current\.venv\Scripts\python.exe</w:t>
            </w:r>
          </w:p>
          <w:p>
            <w:pPr>
              <w:spacing w:after="0"/>
            </w:pPr>
            <w:r>
              <w:rPr>
                <w:rFonts w:ascii="Consolas" w:cs="Consolas" w:eastAsia="Consolas" w:hAnsi="Consolas"/>
                <w:color w:val="E8E8E8"/>
                <w:sz w:val="19"/>
                <w:szCs w:val="19"/>
              </w:rPr>
              <w:t xml:space="preserve">  Arguments:          -m mia</w:t>
            </w:r>
          </w:p>
          <w:p>
            <w:pPr>
              <w:spacing w:after="0"/>
            </w:pPr>
            <w:r>
              <w:rPr>
                <w:rFonts w:ascii="Consolas" w:cs="Consolas" w:eastAsia="Consolas" w:hAnsi="Consolas"/>
                <w:color w:val="E8E8E8"/>
                <w:sz w:val="19"/>
                <w:szCs w:val="19"/>
              </w:rPr>
              <w:t xml:space="preserve">  Startup directory:  C:\apps\mia\current</w:t>
            </w:r>
          </w:p>
          <w:p>
            <w:pPr>
              <w:spacing w:after="0"/>
            </w:pPr>
            <w:r>
              <w:rPr>
                <w:rFonts w:ascii="Consolas" w:cs="Consolas" w:eastAsia="Consolas" w:hAnsi="Consolas"/>
                <w:color w:val="E8E8E8"/>
                <w:sz w:val="19"/>
                <w:szCs w:val="19"/>
              </w:rPr>
              <w:t xml:space="preserve">  (pestaña I/O) stdout/stderr -&gt; C:\apps\mia\logs\mia-api.log</w:t>
            </w:r>
          </w:p>
          <w:p>
            <w:pPr>
              <w:spacing w:after="0"/>
            </w:pPr>
            <w:r>
              <w:rPr>
                <w:rFonts w:ascii="Consolas" w:cs="Consolas" w:eastAsia="Consolas" w:hAnsi="Consolas"/>
                <w:color w:val="E8E8E8"/>
                <w:sz w:val="19"/>
                <w:szCs w:val="19"/>
              </w:rPr>
              <w:t xml:space="preserve"> </w:t>
            </w:r>
          </w:p>
          <w:p>
            <w:pPr>
              <w:spacing w:after="0"/>
            </w:pPr>
            <w:r>
              <w:rPr>
                <w:rFonts w:ascii="Consolas" w:cs="Consolas" w:eastAsia="Consolas" w:hAnsi="Consolas"/>
                <w:color w:val="E8E8E8"/>
                <w:sz w:val="19"/>
                <w:szCs w:val="19"/>
              </w:rPr>
              <w:t xml:space="preserve">nssm start mia-api</w:t>
            </w:r>
          </w:p>
        </w:tc>
      </w:tr>
    </w:tbl>
    <w:p>
      <w:pPr>
        <w:spacing w:after="160" w:line="276"/>
      </w:pPr>
      <w:r>
        <w:rPr>
          <w:rFonts w:ascii="Calibri" w:cs="Calibri" w:eastAsia="Calibri" w:hAnsi="Calibri"/>
          <w:sz w:val="22"/>
          <w:szCs w:val="22"/>
        </w:rPr>
        <w:t xml:space="preserve">Configura el servicio para que se ejecute con la cuenta de servicio dedicada (pestaña "Log on" de NSSM o del propio servicio de Windows), no con una cuenta personal ni con "Local System" si el .env tiene permisos restringidos a otra cuenta.</w:t>
      </w:r>
    </w:p>
    <w:p>
      <w:pPr>
        <w:spacing w:after="160" w:line="276"/>
      </w:pPr>
      <w:r>
        <w:rPr>
          <w:rFonts w:ascii="Calibri" w:cs="Calibri" w:eastAsia="Calibri" w:hAnsi="Calibri"/>
          <w:sz w:val="22"/>
          <w:szCs w:val="22"/>
        </w:rPr>
        <w:t xml:space="preserve">Verifica que el servicio arranca solo tras un reinicio del servidor y que se reinicia automáticamente si el proceso cae (pestaña "Exit actions" de NSSM).</w:t>
      </w:r>
    </w:p>
    <w:p>
      <w:pPr>
        <w:pStyle w:val="Heading2"/>
        <w:spacing w:after="150" w:before="300"/>
      </w:pPr>
      <w:bookmarkStart w:name="_Toc19" w:id="19"/>
      <w:r>
        <w:t xml:space="preserve">5.3 Tarea programada de sincronización con SharePoint Online</w:t>
      </w:r>
      <w:bookmarkEnd w:id="19"/>
    </w:p>
    <w:p>
      <w:pPr>
        <w:spacing w:after="160" w:line="276"/>
      </w:pPr>
      <w:r>
        <w:rPr>
          <w:rFonts w:ascii="Calibri" w:cs="Calibri" w:eastAsia="Calibri" w:hAnsi="Calibri"/>
          <w:sz w:val="22"/>
          <w:szCs w:val="22"/>
        </w:rPr>
        <w:t xml:space="preserve">En Azure esta tarea la ejecuta un Container Apps Job cada 10 minutos; en Windows Server se recrea con el Programador de tareas.</w:t>
      </w:r>
    </w:p>
    <w:p>
      <w:pPr>
        <w:pStyle w:val="ListParagraph"/>
        <w:numPr>
          <w:ilvl w:val="0"/>
          <w:numId w:val="4"/>
        </w:numPr>
        <w:spacing w:after="140"/>
      </w:pPr>
      <w:r>
        <w:rPr>
          <w:rFonts w:ascii="Calibri" w:cs="Calibri" w:eastAsia="Calibri" w:hAnsi="Calibri"/>
          <w:sz w:val="22"/>
          <w:szCs w:val="22"/>
        </w:rPr>
        <w:t xml:space="preserve">Antes de automatizar, valida a mano el acceso: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--full</w:t>
            </w:r>
          </w:p>
        </w:tc>
      </w:tr>
    </w:tbl>
    <w:p>
      <w:pPr>
        <w:pStyle w:val="ListParagraph"/>
        <w:numPr>
          <w:ilvl w:val="0"/>
          <w:numId w:val="4"/>
        </w:numPr>
        <w:spacing w:after="140"/>
      </w:pPr>
      <w:r>
        <w:rPr>
          <w:rFonts w:ascii="Calibri" w:cs="Calibri" w:eastAsia="Calibri" w:hAnsi="Calibri"/>
          <w:sz w:val="22"/>
          <w:szCs w:val="22"/>
        </w:rPr>
        <w:t xml:space="preserve">Crea la tarea programada (ajusta /ru a la cuenta de servicio con permisos sobre el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schtasks /create /tn "mIA - Sync SharePoint" ^</w:t>
            </w:r>
          </w:p>
          <w:p>
            <w:pPr>
              <w:spacing w:after="0"/>
            </w:pPr>
            <w:r>
              <w:rPr>
                <w:rFonts w:ascii="Consolas" w:cs="Consolas" w:eastAsia="Consolas" w:hAnsi="Consolas"/>
                <w:color w:val="E8E8E8"/>
                <w:sz w:val="19"/>
                <w:szCs w:val="19"/>
              </w:rPr>
              <w:t xml:space="preserve">  /tr "C:\apps\mia\current\.venv\Scripts\python.exe -m mia.ingestion.sync" ^</w:t>
            </w:r>
          </w:p>
          <w:p>
            <w:pPr>
              <w:spacing w:after="0"/>
            </w:pPr>
            <w:r>
              <w:rPr>
                <w:rFonts w:ascii="Consolas" w:cs="Consolas" w:eastAsia="Consolas" w:hAnsi="Consolas"/>
                <w:color w:val="E8E8E8"/>
                <w:sz w:val="19"/>
                <w:szCs w:val="19"/>
              </w:rPr>
              <w:t xml:space="preserve">  /sc minute /mo 10 /ru DOMINIO\cuenta-servicio-mia</w:t>
            </w:r>
          </w:p>
        </w:tc>
      </w:tr>
    </w:tbl>
    <w:p>
      <w:pPr>
        <w:pStyle w:val="ListParagraph"/>
        <w:numPr>
          <w:ilvl w:val="0"/>
          <w:numId w:val="4"/>
        </w:numPr>
        <w:spacing w:after="140"/>
      </w:pPr>
      <w:r>
        <w:rPr>
          <w:rFonts w:ascii="Calibri" w:cs="Calibri" w:eastAsia="Calibri" w:hAnsi="Calibri"/>
          <w:sz w:val="22"/>
          <w:szCs w:val="22"/>
        </w:rPr>
        <w:t xml:space="preserve">Comprueba en el Programador de tareas que la primera ejecución termina sin error y revisa el log del backend.</w:t>
      </w:r>
    </w:p>
    <w:p>
      <w:r>
        <w:br w:type="page"/>
      </w:r>
    </w:p>
    <w:p>
      <w:pPr>
        <w:pStyle w:val="Heading1"/>
        <w:spacing w:after="200" w:before="400"/>
      </w:pPr>
      <w:bookmarkStart w:name="_Toc20" w:id="20"/>
      <w:r>
        <w:t xml:space="preserve">6. Instalación del frontend (Vite — mundos 2D / 3D / holograma)</w:t>
      </w:r>
      <w:bookmarkEnd w:id="20"/>
    </w:p>
    <w:p>
      <w:pPr>
        <w:pStyle w:val="Heading2"/>
        <w:spacing w:after="150" w:before="300"/>
      </w:pPr>
      <w:bookmarkStart w:name="_Toc21" w:id="21"/>
      <w:r>
        <w:t xml:space="preserve">6.1 Prerrequisitos del frontend</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v24.22.0 LTS "Krypton"</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de compilación de Vite. Instalador oficial (.msi) desde nodejs.org</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npm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Incluido con Node.js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Gestor de paquetes</w:t>
            </w:r>
          </w:p>
        </w:tc>
      </w:tr>
    </w:tbl>
    <w:p>
      <w:pPr>
        <w:spacing w:after="160" w:line="276"/>
      </w:pPr>
      <w:r>
        <w:rPr>
          <w:rFonts w:ascii="Calibri" w:cs="Calibri" w:eastAsia="Calibri" w:hAnsi="Calibri"/>
          <w:sz w:val="22"/>
          <w:szCs w:val="22"/>
        </w:rPr>
        <w:t xml:space="preserve">El frontend compilado es contenido estático (HTML/JS/CSS): Node.js solo hace falta durante la compilación, no en tiempo de ejecución. Puede compilarse en el propio servidor o en otra máquina, copiando después solo la carpeta dist\ resultante.</w:t>
      </w:r>
    </w:p>
    <w:p>
      <w:pPr>
        <w:pStyle w:val="Heading2"/>
        <w:spacing w:after="150" w:before="300"/>
      </w:pPr>
      <w:bookmarkStart w:name="_Toc22" w:id="22"/>
      <w:r>
        <w:t xml:space="preserve">6.2 Paso a paso</w:t>
      </w:r>
      <w:bookmarkEnd w:id="22"/>
    </w:p>
    <w:p>
      <w:pPr>
        <w:pStyle w:val="Heading3"/>
        <w:spacing w:after="100" w:before="200"/>
      </w:pPr>
      <w:bookmarkStart w:name="_Toc23" w:id="23"/>
      <w:r>
        <w:t xml:space="preserve">Paso 1 — Instalar Node.js</w:t>
      </w:r>
      <w:bookmarkEnd w:id="23"/>
    </w:p>
    <w:p>
      <w:pPr>
        <w:spacing w:after="160" w:line="276"/>
      </w:pPr>
      <w:r>
        <w:rPr>
          <w:rFonts w:ascii="Calibri" w:cs="Calibri" w:eastAsia="Calibri" w:hAnsi="Calibri"/>
          <w:sz w:val="22"/>
          <w:szCs w:val="22"/>
        </w:rPr>
        <w:t xml:space="preserve">Ejecuta node-v24.22.0-x64.msi (instalador oficial de nodejs.org). En el asistente, acepta las opciones por defecto (incluye npm y añade Node.js al PATH).</w:t>
      </w:r>
    </w:p>
    <w:p>
      <w:pPr>
        <w:spacing w:after="160" w:line="276"/>
      </w:pPr>
      <w:r>
        <w:rPr>
          <w:rFonts w:ascii="Calibri" w:cs="Calibri" w:eastAsia="Calibri" w:hAnsi="Calibri"/>
          <w:sz w:val="22"/>
          <w:szCs w:val="22"/>
        </w:rPr>
        <w:t xml:space="preserve">Alternativa en modo desatendido, ejecutado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msiexec /i node-v24.22.0-x64.msi /quiet /norestart ADDLOCAL=ALL</w:t>
            </w:r>
          </w:p>
        </w:tc>
      </w:tr>
    </w:tbl>
    <w:p>
      <w:pPr>
        <w:spacing w:after="160" w:line="276"/>
      </w:pPr>
      <w:r>
        <w:rPr>
          <w:rFonts w:ascii="Calibri" w:cs="Calibri" w:eastAsia="Calibri" w:hAnsi="Calibri"/>
          <w:sz w:val="22"/>
          <w:szCs w:val="22"/>
        </w:rPr>
        <w:t xml:space="preserve">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node --version</w:t>
            </w:r>
          </w:p>
          <w:p>
            <w:pPr>
              <w:spacing w:after="0"/>
            </w:pPr>
            <w:r>
              <w:rPr>
                <w:rFonts w:ascii="Consolas" w:cs="Consolas" w:eastAsia="Consolas" w:hAnsi="Consolas"/>
                <w:color w:val="E8E8E8"/>
                <w:sz w:val="19"/>
                <w:szCs w:val="19"/>
              </w:rPr>
              <w:t xml:space="preserve"># v24.22.0</w:t>
            </w:r>
          </w:p>
          <w:p>
            <w:pPr>
              <w:spacing w:after="0"/>
            </w:pPr>
            <w:r>
              <w:rPr>
                <w:rFonts w:ascii="Consolas" w:cs="Consolas" w:eastAsia="Consolas" w:hAnsi="Consolas"/>
                <w:color w:val="E8E8E8"/>
                <w:sz w:val="19"/>
                <w:szCs w:val="19"/>
              </w:rPr>
              <w:t xml:space="preserve">npm --version</w:t>
            </w:r>
          </w:p>
        </w:tc>
      </w:tr>
    </w:tbl>
    <w:p>
      <w:pPr>
        <w:pStyle w:val="Heading3"/>
        <w:spacing w:after="100" w:before="200"/>
      </w:pPr>
      <w:bookmarkStart w:name="_Toc24" w:id="24"/>
      <w:r>
        <w:t xml:space="preserve">Paso 2 — Instalar dependencias y compilar</w:t>
      </w:r>
      <w:bookmarkEnd w:id="2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spacing w:after="160" w:line="276"/>
      </w:pPr>
      <w:r>
        <w:rPr>
          <w:rFonts w:ascii="Calibri" w:cs="Calibri" w:eastAsia="Calibri" w:hAnsi="Calibri"/>
          <w:sz w:val="22"/>
          <w:szCs w:val="22"/>
        </w:rPr>
        <w:t xml:space="preserve">Esto genera la carpeta frontend\dist\ con los tres mundos (portada, 2D, 3D y holograma) ya compilados.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Detalle importante: la ruta base /mia/</w:t>
            </w:r>
          </w:p>
          <w:p>
            <w:pPr>
              <w:spacing w:after="0"/>
            </w:pPr>
            <w:r>
              <w:rPr>
                <w:rFonts w:ascii="Calibri" w:cs="Calibri" w:eastAsia="Calibri" w:hAnsi="Calibri"/>
                <w:color w:val="5A3A08"/>
                <w:sz w:val="21"/>
                <w:szCs w:val="21"/>
              </w:rPr>
              <w:t xml:space="preserve">La configuración de compilación del frontend (vite.config.js) fija base: "/mia/" para producción: los ficheros JS/CSS generados referencian internamente rutas del tipo /mia/assets/.... Por eso, en IIS (sección 7.6) el contenido de dist\ debe quedar accesible también bajo el prefijo /mia/ además de en la raíz, o el navegador recibirá error 404 al cargar esos ficheros. Verifica esto en caliente la primera vez, antes de considerar cerrado el despliegue del frontend.</w:t>
            </w:r>
          </w:p>
        </w:tc>
      </w:tr>
    </w:tbl>
    <w:p>
      <w:pPr>
        <w:pStyle w:val="Heading3"/>
        <w:spacing w:after="100" w:before="200"/>
      </w:pPr>
      <w:bookmarkStart w:name="_Toc25" w:id="25"/>
      <w:r>
        <w:t xml:space="preserve">Paso 3 — Publicar el contenido compilado</w:t>
      </w:r>
      <w:bookmarkEnd w:id="25"/>
    </w:p>
    <w:p>
      <w:pPr>
        <w:spacing w:after="160" w:line="276"/>
      </w:pPr>
      <w:r>
        <w:rPr>
          <w:rFonts w:ascii="Calibri" w:cs="Calibri" w:eastAsia="Calibri" w:hAnsi="Calibri"/>
          <w:sz w:val="22"/>
          <w:szCs w:val="22"/>
        </w:rPr>
        <w:t xml:space="preserve">Copia el contenido de frontend\dist\ a la carpeta que servirá IIS,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C:\inetpub\mia-pre\</w:t>
            </w:r>
          </w:p>
        </w:tc>
      </w:tr>
    </w:tbl>
    <w:p>
      <w:pPr>
        <w:spacing w:after="160" w:line="276"/>
      </w:pPr>
      <w:r>
        <w:rPr>
          <w:rFonts w:ascii="Calibri" w:cs="Calibri" w:eastAsia="Calibri" w:hAnsi="Calibri"/>
          <w:sz w:val="22"/>
          <w:szCs w:val="22"/>
        </w:rPr>
        <w:t xml:space="preserve">No es necesario ningún proceso ni servicio para el frontend: IIS lo sirve directamente desde disco como contenido estático (sección 7).</w:t>
      </w:r>
    </w:p>
    <w:p>
      <w:r>
        <w:br w:type="page"/>
      </w:r>
    </w:p>
    <w:p>
      <w:pPr>
        <w:pStyle w:val="Heading1"/>
        <w:spacing w:after="200" w:before="400"/>
      </w:pPr>
      <w:bookmarkStart w:name="_Toc26" w:id="26"/>
      <w:r>
        <w:t xml:space="preserve">7. Configuración de IIS: sitio, binding y proxy inverso</w:t>
      </w:r>
      <w:bookmarkEnd w:id="2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se toca el sitio de SharePoint 2013</w:t>
            </w:r>
          </w:p>
          <w:p>
            <w:pPr>
              <w:spacing w:after="0"/>
            </w:pPr>
            <w:r>
              <w:rPr>
                <w:rFonts w:ascii="Calibri" w:cs="Calibri" w:eastAsia="Calibri" w:hAnsi="Calibri"/>
                <w:color w:val="5A3A08"/>
                <w:sz w:val="21"/>
                <w:szCs w:val="21"/>
              </w:rPr>
              <w:t xml:space="preserve">Todos los pasos de esta sección crean un sitio IIS NUEVO con su propio Application Pool. En ningún momento se edita el sitio, el pool ni los bindings existentes de portal.sunsetbeachclub.local.</w:t>
            </w:r>
          </w:p>
        </w:tc>
      </w:tr>
    </w:tbl>
    <w:p>
      <w:pPr>
        <w:pStyle w:val="Heading2"/>
        <w:spacing w:after="150" w:before="300"/>
      </w:pPr>
      <w:bookmarkStart w:name="_Toc27" w:id="27"/>
      <w:r>
        <w:t xml:space="preserve">7.1 Crear el sitio IIS para mIA</w:t>
      </w:r>
      <w:bookmarkEnd w:id="27"/>
    </w:p>
    <w:p>
      <w:pPr>
        <w:pStyle w:val="ListParagraph"/>
        <w:numPr>
          <w:ilvl w:val="0"/>
          <w:numId w:val="5"/>
        </w:numPr>
        <w:spacing w:after="140"/>
      </w:pPr>
      <w:r>
        <w:rPr>
          <w:rFonts w:ascii="Calibri" w:cs="Calibri" w:eastAsia="Calibri" w:hAnsi="Calibri"/>
          <w:sz w:val="22"/>
          <w:szCs w:val="22"/>
        </w:rPr>
        <w:t xml:space="preserve">Abre el Administrador de IIS (inetmgr).</w:t>
      </w:r>
    </w:p>
    <w:p>
      <w:pPr>
        <w:pStyle w:val="ListParagraph"/>
        <w:numPr>
          <w:ilvl w:val="0"/>
          <w:numId w:val="5"/>
        </w:numPr>
        <w:spacing w:after="140"/>
      </w:pPr>
      <w:r>
        <w:rPr>
          <w:rFonts w:ascii="Calibri" w:cs="Calibri" w:eastAsia="Calibri" w:hAnsi="Calibri"/>
          <w:sz w:val="22"/>
          <w:szCs w:val="22"/>
        </w:rPr>
        <w:t xml:space="preserve">Clic derecho en "Sitios" → "Agregar sitio web...".</w:t>
      </w:r>
    </w:p>
    <w:p>
      <w:pPr>
        <w:pStyle w:val="ListParagraph"/>
        <w:numPr>
          <w:ilvl w:val="0"/>
          <w:numId w:val="5"/>
        </w:numPr>
        <w:spacing w:after="140"/>
      </w:pPr>
      <w:r>
        <w:rPr>
          <w:rFonts w:ascii="Calibri" w:cs="Calibri" w:eastAsia="Calibri" w:hAnsi="Calibri"/>
          <w:sz w:val="22"/>
          <w:szCs w:val="22"/>
        </w:rPr>
        <w:t xml:space="preserve">Nombre del sitio: mia-pre</w:t>
      </w:r>
    </w:p>
    <w:p>
      <w:pPr>
        <w:pStyle w:val="ListParagraph"/>
        <w:numPr>
          <w:ilvl w:val="0"/>
          <w:numId w:val="5"/>
        </w:numPr>
        <w:spacing w:after="140"/>
      </w:pPr>
      <w:r>
        <w:rPr>
          <w:rFonts w:ascii="Calibri" w:cs="Calibri" w:eastAsia="Calibri" w:hAnsi="Calibri"/>
          <w:sz w:val="22"/>
          <w:szCs w:val="22"/>
        </w:rPr>
        <w:t xml:space="preserve">Grupo de aplicaciones: crear uno nuevo, por ejemplo "mia-pre-pool" (no reutilizar el pool de SharePoint).</w:t>
      </w:r>
    </w:p>
    <w:p>
      <w:pPr>
        <w:pStyle w:val="ListParagraph"/>
        <w:numPr>
          <w:ilvl w:val="0"/>
          <w:numId w:val="5"/>
        </w:numPr>
        <w:spacing w:after="140"/>
      </w:pPr>
      <w:r>
        <w:rPr>
          <w:rFonts w:ascii="Calibri" w:cs="Calibri" w:eastAsia="Calibri" w:hAnsi="Calibri"/>
          <w:sz w:val="22"/>
          <w:szCs w:val="22"/>
        </w:rPr>
        <w:t xml:space="preserve">Ruta física: C:\inetpub\mia-pre\ (la carpeta publicada en el paso 6.2).</w:t>
      </w:r>
    </w:p>
    <w:p>
      <w:pPr>
        <w:pStyle w:val="ListParagraph"/>
        <w:numPr>
          <w:ilvl w:val="0"/>
          <w:numId w:val="5"/>
        </w:numPr>
        <w:spacing w:after="140"/>
      </w:pPr>
      <w:r>
        <w:rPr>
          <w:rFonts w:ascii="Calibri" w:cs="Calibri" w:eastAsia="Calibri" w:hAnsi="Calibri"/>
          <w:sz w:val="22"/>
          <w:szCs w:val="22"/>
        </w:rPr>
        <w:t xml:space="preserve">Binding: tipo https, puerto 443, nombre de host mia-pre.sunsetbeachclub.local, con el certificado SSL del paso 7.2 (marcar "Require Server Name Indication").</w:t>
      </w:r>
    </w:p>
    <w:p>
      <w:pPr>
        <w:pStyle w:val="ListParagraph"/>
        <w:numPr>
          <w:ilvl w:val="0"/>
          <w:numId w:val="5"/>
        </w:numPr>
        <w:spacing w:after="140"/>
      </w:pPr>
      <w:r>
        <w:rPr>
          <w:rFonts w:ascii="Calibri" w:cs="Calibri" w:eastAsia="Calibri" w:hAnsi="Calibri"/>
          <w:sz w:val="22"/>
          <w:szCs w:val="22"/>
        </w:rPr>
        <w:t xml:space="preserve">Añade también un binding http (puerto 80, mismo host-header) para la redirección a https del paso 7.5.</w:t>
      </w:r>
    </w:p>
    <w:p>
      <w:pPr>
        <w:pStyle w:val="Heading2"/>
        <w:spacing w:after="150" w:before="300"/>
      </w:pPr>
      <w:bookmarkStart w:name="_Toc28" w:id="28"/>
      <w:r>
        <w:t xml:space="preserve">7.2 Certificado SSL (autofirmado)</w:t>
      </w:r>
      <w:bookmarkEnd w:id="2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un certificado que reutilizar</w:t>
            </w:r>
          </w:p>
          <w:p>
            <w:pPr>
              <w:spacing w:after="0"/>
            </w:pPr>
            <w:r>
              <w:rPr>
                <w:rFonts w:ascii="Calibri" w:cs="Calibri" w:eastAsia="Calibri" w:hAnsi="Calibri"/>
                <w:color w:val="5A3A08"/>
                <w:sz w:val="21"/>
                <w:szCs w:val="21"/>
              </w:rPr>
              <w:t xml:space="preserve">portal.sunsetbeachclub.local (SharePoint 2013) corre en HTTP, sin certificado SSL propio. Este paso parte de cero. Decisión ya tomada: certificado AUTOFIRMADO, porque el login real contra Entra ID exige HTTPS (restricción de la propia plataforma, no opcional) y hoy no hay una CA interna confirmada en la organización.</w:t>
            </w:r>
          </w:p>
        </w:tc>
      </w:tr>
    </w:tbl>
    <w:p>
      <w:pPr>
        <w:pStyle w:val="ListParagraph"/>
        <w:numPr>
          <w:ilvl w:val="0"/>
          <w:numId w:val="5"/>
        </w:numPr>
        <w:spacing w:after="140"/>
      </w:pPr>
      <w:r>
        <w:rPr>
          <w:rFonts w:ascii="Calibri" w:cs="Calibri" w:eastAsia="Calibri" w:hAnsi="Calibri"/>
          <w:sz w:val="22"/>
          <w:szCs w:val="22"/>
        </w:rPr>
        <w:t xml:space="preserve">Genera el certificado autofirmado en el propio servidor, con PowerShell como administrador. Incluye el nombre DNS exacto del sitio y una validez amplia (aquí 5 años):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New-SelfSignedCertificate -DnsName "mia-pre.sunsetbeachclub.local" ^</w:t>
            </w:r>
          </w:p>
          <w:p>
            <w:pPr>
              <w:spacing w:after="0"/>
            </w:pPr>
            <w:r>
              <w:rPr>
                <w:rFonts w:ascii="Consolas" w:cs="Consolas" w:eastAsia="Consolas" w:hAnsi="Consolas"/>
                <w:color w:val="E8E8E8"/>
                <w:sz w:val="19"/>
                <w:szCs w:val="19"/>
              </w:rPr>
              <w:t xml:space="preserve">  -CertStoreLocation "cert:\LocalMachine\My" ^</w:t>
            </w:r>
          </w:p>
          <w:p>
            <w:pPr>
              <w:spacing w:after="0"/>
            </w:pPr>
            <w:r>
              <w:rPr>
                <w:rFonts w:ascii="Consolas" w:cs="Consolas" w:eastAsia="Consolas" w:hAnsi="Consolas"/>
                <w:color w:val="E8E8E8"/>
                <w:sz w:val="19"/>
                <w:szCs w:val="19"/>
              </w:rPr>
              <w:t xml:space="preserve">  -NotAfter (Get-Date).AddYears(5) ^</w:t>
            </w:r>
          </w:p>
          <w:p>
            <w:pPr>
              <w:spacing w:after="0"/>
            </w:pPr>
            <w:r>
              <w:rPr>
                <w:rFonts w:ascii="Consolas" w:cs="Consolas" w:eastAsia="Consolas" w:hAnsi="Consolas"/>
                <w:color w:val="E8E8E8"/>
                <w:sz w:val="19"/>
                <w:szCs w:val="19"/>
              </w:rPr>
              <w:t xml:space="preserve">  -KeyExportPolicy Exportable -KeyUsage DigitalSignature,KeyEncipherment</w:t>
            </w:r>
          </w:p>
        </w:tc>
      </w:tr>
    </w:tbl>
    <w:p>
      <w:pPr>
        <w:pStyle w:val="ListParagraph"/>
        <w:numPr>
          <w:ilvl w:val="0"/>
          <w:numId w:val="5"/>
        </w:numPr>
        <w:spacing w:after="140"/>
      </w:pPr>
      <w:r>
        <w:rPr>
          <w:rFonts w:ascii="Calibri" w:cs="Calibri" w:eastAsia="Calibri" w:hAnsi="Calibri"/>
          <w:sz w:val="22"/>
          <w:szCs w:val="22"/>
        </w:rPr>
        <w:t xml:space="preserve">Exporta la clave pública (sin la privada) para distribuir la confianza a los equipos cliente — sustituye &lt;thumbprint&gt; por el que devuelve el comando anterior: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Export-Certificate -Cert Cert:\LocalMachine\My\&lt;thumbprint&gt; ^</w:t>
            </w:r>
          </w:p>
          <w:p>
            <w:pPr>
              <w:spacing w:after="0"/>
            </w:pPr>
            <w:r>
              <w:rPr>
                <w:rFonts w:ascii="Consolas" w:cs="Consolas" w:eastAsia="Consolas" w:hAnsi="Consolas"/>
                <w:color w:val="E8E8E8"/>
                <w:sz w:val="19"/>
                <w:szCs w:val="19"/>
              </w:rPr>
              <w:t xml:space="preserve">  -FilePath C:\temp\mia-pre.cer</w:t>
            </w:r>
          </w:p>
        </w:tc>
      </w:tr>
    </w:tbl>
    <w:p>
      <w:pPr>
        <w:pStyle w:val="ListParagraph"/>
        <w:numPr>
          <w:ilvl w:val="0"/>
          <w:numId w:val="5"/>
        </w:numPr>
        <w:spacing w:after="140"/>
      </w:pPr>
      <w:r>
        <w:rPr>
          <w:rFonts w:ascii="Calibri" w:cs="Calibri" w:eastAsia="Calibri" w:hAnsi="Calibri"/>
          <w:sz w:val="22"/>
          <w:szCs w:val="22"/>
        </w:rPr>
        <w:t xml:space="preserve">Distribuye mia-pre.cer al almacén "Entidades de certificación raíz de confianza" de cada equipo cliente que vaya a usar mIA — por GPO (Configuración del equipo → Directivas → Configuración de Windows → Seguridad → Políticas de clave pública) si el dominio lo permite, o manualmente (certmgr.msc) si son pocos equipos de prueba.</w:t>
      </w:r>
    </w:p>
    <w:p>
      <w:pPr>
        <w:spacing w:after="160" w:line="276"/>
      </w:pPr>
      <w:r>
        <w:rPr>
          <w:rFonts w:ascii="Calibri" w:cs="Calibri" w:eastAsia="Calibri" w:hAnsi="Calibri"/>
          <w:sz w:val="22"/>
          <w:szCs w:val="22"/>
        </w:rPr>
        <w:t xml:space="preserve">Sin este paso de distribución, el navegador seguirá mostrando el aviso de "conexión no privada" en cada equipo — el login con Entra ID seguirá funcionando tras aceptar el aviso, pero no es la experiencia deseable para los usuarios de la prueba.</w:t>
      </w:r>
    </w:p>
    <w:p>
      <w:pPr>
        <w:spacing w:after="160" w:line="276"/>
      </w:pPr>
      <w:r>
        <w:rPr>
          <w:rFonts w:ascii="Calibri" w:cs="Calibri" w:eastAsia="Calibri" w:hAnsi="Calibri"/>
          <w:sz w:val="22"/>
          <w:szCs w:val="22"/>
        </w:rPr>
        <w:t xml:space="preserve">El certificado generado en el paso 1 ya queda en el almacén "Personal" del servidor (cert:\LocalMachine\My): selecciónalo directamente en el binding https del paso 7.1, no hace falta instalarlo de nuevo.</w:t>
      </w:r>
    </w:p>
    <w:p>
      <w:pPr>
        <w:pStyle w:val="Heading2"/>
        <w:spacing w:after="150" w:before="300"/>
      </w:pPr>
      <w:bookmarkStart w:name="_Toc29" w:id="29"/>
      <w:r>
        <w:t xml:space="preserve">7.3 Instalar los módulos ARR y URL Rewrite</w:t>
      </w:r>
      <w:bookmarkEnd w:id="29"/>
    </w:p>
    <w:p>
      <w:pPr>
        <w:spacing w:after="160" w:line="276"/>
      </w:pPr>
      <w:r>
        <w:rPr>
          <w:rFonts w:ascii="Calibri" w:cs="Calibri" w:eastAsia="Calibri" w:hAnsi="Calibri"/>
          <w:sz w:val="22"/>
          <w:szCs w:val="22"/>
        </w:rPr>
        <w:t xml:space="preserve">Si no están ya instalados en el servidor, descarga e instala, desde Microsoft, los dos módulos (en este orden: primero URL Rewrite, después ARR) y reinicia IIS (iisreset) al terminar: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Módulo</w:t>
            </w:r>
          </w:p>
        </w:tc>
        <w:tc>
          <w:tcPr>
            <w:tcW w:type="dxa" w:w="67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Instalador (x64)</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URL Rewrite 2.1</w:t>
            </w:r>
          </w:p>
        </w:tc>
        <w:tc>
          <w:tcPr>
            <w:tcW w:type="dxa" w:w="67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rewrite_amd64_en-US.msi — download.microsoft.com</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Application Request Routing (ARR) 3.0</w:t>
            </w:r>
          </w:p>
        </w:tc>
        <w:tc>
          <w:tcPr>
            <w:tcW w:type="dxa" w:w="67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requestRouter_amd64.msi — download.microsoft.com</w:t>
            </w:r>
          </w:p>
        </w:tc>
      </w:tr>
    </w:tbl>
    <w:p>
      <w:pPr>
        <w:spacing w:after="160" w:line="276"/>
      </w:pPr>
      <w:r>
        <w:rPr>
          <w:rFonts w:ascii="Calibri" w:cs="Calibri" w:eastAsia="Calibri" w:hAnsi="Calibri"/>
          <w:sz w:val="22"/>
          <w:szCs w:val="22"/>
        </w:rPr>
        <w:t xml:space="preserve">Verifica la integridad de cada instalador antes de ejecutarlo en el servidor, comparando su hash SHA1 contra el valor publicado por Microsoft: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Get-FileHash rewrite_amd64_en-US.msi -Algorithm SHA1</w:t>
            </w:r>
          </w:p>
          <w:p>
            <w:pPr>
              <w:spacing w:after="0"/>
            </w:pPr>
            <w:r>
              <w:rPr>
                <w:rFonts w:ascii="Consolas" w:cs="Consolas" w:eastAsia="Consolas" w:hAnsi="Consolas"/>
                <w:color w:val="E8E8E8"/>
                <w:sz w:val="19"/>
                <w:szCs w:val="19"/>
              </w:rPr>
              <w:t xml:space="preserve">  # 8F41A67FA49110155969DCCFF265B8623A66448F</w:t>
            </w:r>
          </w:p>
          <w:p>
            <w:pPr>
              <w:spacing w:after="0"/>
            </w:pPr>
            <w:r>
              <w:rPr>
                <w:rFonts w:ascii="Consolas" w:cs="Consolas" w:eastAsia="Consolas" w:hAnsi="Consolas"/>
                <w:color w:val="E8E8E8"/>
                <w:sz w:val="19"/>
                <w:szCs w:val="19"/>
              </w:rPr>
              <w:t xml:space="preserve">Get-FileHash requestRouter_amd64.msi -Algorithm SHA1</w:t>
            </w:r>
          </w:p>
          <w:p>
            <w:pPr>
              <w:spacing w:after="0"/>
            </w:pPr>
            <w:r>
              <w:rPr>
                <w:rFonts w:ascii="Consolas" w:cs="Consolas" w:eastAsia="Consolas" w:hAnsi="Consolas"/>
                <w:color w:val="E8E8E8"/>
                <w:sz w:val="19"/>
                <w:szCs w:val="19"/>
              </w:rPr>
              <w:t xml:space="preserve">  # 8B258C3D62AC41192F1D01BA9FCFEDD8421320BA</w:t>
            </w:r>
          </w:p>
        </w:tc>
      </w:tr>
    </w:tbl>
    <w:p>
      <w:pPr>
        <w:pStyle w:val="ListParagraph"/>
        <w:numPr>
          <w:ilvl w:val="0"/>
          <w:numId w:val="5"/>
        </w:numPr>
        <w:spacing w:after="140"/>
      </w:pPr>
      <w:r>
        <w:rPr>
          <w:rFonts w:ascii="Calibri" w:cs="Calibri" w:eastAsia="Calibri" w:hAnsi="Calibri"/>
          <w:sz w:val="22"/>
          <w:szCs w:val="22"/>
        </w:rPr>
        <w:t xml:space="preserve">Instala URL Rewrite (asistente, o en modo silencioso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msiexec /i rewrite_amd64_en-US.msi /quiet /norestart</w:t>
            </w:r>
          </w:p>
        </w:tc>
      </w:tr>
    </w:tbl>
    <w:p>
      <w:pPr>
        <w:pStyle w:val="ListParagraph"/>
        <w:numPr>
          <w:ilvl w:val="0"/>
          <w:numId w:val="5"/>
        </w:numPr>
        <w:spacing w:after="140"/>
      </w:pPr>
      <w:r>
        <w:rPr>
          <w:rFonts w:ascii="Calibri" w:cs="Calibri" w:eastAsia="Calibri" w:hAnsi="Calibri"/>
          <w:sz w:val="22"/>
          <w:szCs w:val="22"/>
        </w:rPr>
        <w:t xml:space="preserve">Instala ARR (asistente, o en modo silencioso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msiexec /i requestRouter_amd64.msi /quiet /norestart</w:t>
            </w:r>
          </w:p>
        </w:tc>
      </w:tr>
    </w:tbl>
    <w:p>
      <w:pPr>
        <w:pStyle w:val="ListParagraph"/>
        <w:numPr>
          <w:ilvl w:val="0"/>
          <w:numId w:val="5"/>
        </w:numPr>
        <w:spacing w:after="140"/>
      </w:pPr>
      <w:r>
        <w:rPr>
          <w:rFonts w:ascii="Calibri" w:cs="Calibri" w:eastAsia="Calibri" w:hAnsi="Calibri"/>
          <w:sz w:val="22"/>
          <w:szCs w:val="22"/>
        </w:rPr>
        <w:t xml:space="preserve">Reinicia IIS para que ambos módulos queden cargados: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iisreset</w:t>
            </w:r>
          </w:p>
        </w:tc>
      </w:tr>
    </w:tbl>
    <w:p>
      <w:pPr>
        <w:spacing w:after="160" w:line="276"/>
      </w:pPr>
      <w:r>
        <w:rPr>
          <w:rFonts w:ascii="Calibri" w:cs="Calibri" w:eastAsia="Calibri" w:hAnsi="Calibri"/>
          <w:sz w:val="22"/>
          <w:szCs w:val="22"/>
        </w:rPr>
        <w:t xml:space="preserve">Tras instalar ARR, en el nodo del servidor (no en un sitio) → "Application Request Routing Cache" → "Server Proxy Settings" → marca "Enable proxy". Esta activación es a nivel de servidor, pero no afecta a SharePoint salvo que ya tenga sus propias reglas de rewrite con prioridad — confirma que ningún sitio de SharePoint 2013 tiene reglas en conflicto antes de continuar.</w:t>
      </w:r>
    </w:p>
    <w:p>
      <w:pPr>
        <w:pStyle w:val="Heading2"/>
        <w:spacing w:after="150" w:before="300"/>
      </w:pPr>
      <w:bookmarkStart w:name="_Toc30" w:id="30"/>
      <w:r>
        <w:t xml:space="preserve">7.4 Regla de proxy inverso hacia el backend</w:t>
      </w:r>
      <w:bookmarkEnd w:id="30"/>
    </w:p>
    <w:p>
      <w:pPr>
        <w:spacing w:after="160" w:line="276"/>
      </w:pPr>
      <w:r>
        <w:rPr>
          <w:rFonts w:ascii="Calibri" w:cs="Calibri" w:eastAsia="Calibri" w:hAnsi="Calibri"/>
          <w:sz w:val="22"/>
          <w:szCs w:val="22"/>
        </w:rPr>
        <w:t xml:space="preserve">Dentro del sitio mia-pre (no a nivel de servidor), añade una regla de reescritura de tipo "Reverse Proxy" con URL Rewrite: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Campo</w:t>
            </w:r>
          </w:p>
        </w:tc>
        <w:tc>
          <w:tcPr>
            <w:tcW w:type="dxa" w:w="62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Patrón de entrada</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Reescribir a</w:t>
            </w:r>
          </w:p>
        </w:tc>
        <w:tc>
          <w:tcPr>
            <w:tcW w:type="dxa" w:w="62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http://127.0.0.1:8000/api/{R:1}</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Alcance</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el sitio mia-pre (no a nivel de servidor)</w:t>
            </w:r>
          </w:p>
        </w:tc>
      </w:tr>
    </w:tbl>
    <w:p>
      <w:pPr>
        <w:spacing w:after="160" w:line="276"/>
      </w:pPr>
      <w:r>
        <w:rPr>
          <w:rFonts w:ascii="Calibri" w:cs="Calibri" w:eastAsia="Calibri" w:hAnsi="Calibri"/>
          <w:sz w:val="22"/>
          <w:szCs w:val="22"/>
        </w:rPr>
        <w:t xml:space="preserve">Arranca el backend con las cabeceras de proxy habilitadas para que reciba la IP real del cliente y detecte HTTPS correctamente. Si se usa python -m mia (arranque estándar del proyecto), valora lanzar en su lugar: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uvicorn --factory mia.main:create_app ^</w:t>
            </w:r>
          </w:p>
          <w:p>
            <w:pPr>
              <w:spacing w:after="0"/>
            </w:pPr>
            <w:r>
              <w:rPr>
                <w:rFonts w:ascii="Consolas" w:cs="Consolas" w:eastAsia="Consolas" w:hAnsi="Consolas"/>
                <w:color w:val="E8E8E8"/>
                <w:sz w:val="19"/>
                <w:szCs w:val="19"/>
              </w:rPr>
              <w:t xml:space="preserve">  --host 127.0.0.1 --port 8000 ^</w:t>
            </w:r>
          </w:p>
          <w:p>
            <w:pPr>
              <w:spacing w:after="0"/>
            </w:pPr>
            <w:r>
              <w:rPr>
                <w:rFonts w:ascii="Consolas" w:cs="Consolas" w:eastAsia="Consolas" w:hAnsi="Consolas"/>
                <w:color w:val="E8E8E8"/>
                <w:sz w:val="19"/>
                <w:szCs w:val="19"/>
              </w:rPr>
              <w:t xml:space="preserve">  --proxy-headers --forwarded-allow-ips=127.0.0.1</w:t>
            </w:r>
          </w:p>
        </w:tc>
      </w:tr>
    </w:tbl>
    <w:p>
      <w:pPr>
        <w:spacing w:after="160" w:line="276"/>
      </w:pPr>
      <w:r>
        <w:rPr>
          <w:rFonts w:ascii="Calibri" w:cs="Calibri" w:eastAsia="Calibri" w:hAnsi="Calibri"/>
          <w:sz w:val="22"/>
          <w:szCs w:val="22"/>
        </w:rPr>
        <w:t xml:space="preserve">(Ajusta el comando configurado en el servicio NSSM del paso 5.2-10 si cambias de python -m mia a este arranque. Se pierde el doble puerto de compatibilidad, que no es necesario en preproducción.)</w:t>
      </w:r>
    </w:p>
    <w:p>
      <w:pPr>
        <w:pStyle w:val="Heading2"/>
        <w:spacing w:after="150" w:before="300"/>
      </w:pPr>
      <w:bookmarkStart w:name="_Toc31" w:id="31"/>
      <w:r>
        <w:t xml:space="preserve">7.5 Redirección HTTP → HTTPS</w:t>
      </w:r>
      <w:bookmarkEnd w:id="31"/>
    </w:p>
    <w:p>
      <w:pPr>
        <w:spacing w:after="160" w:line="276"/>
      </w:pPr>
      <w:r>
        <w:rPr>
          <w:rFonts w:ascii="Calibri" w:cs="Calibri" w:eastAsia="Calibri" w:hAnsi="Calibri"/>
          <w:sz w:val="22"/>
          <w:szCs w:val="22"/>
        </w:rPr>
        <w:t xml:space="preserve">Añade una segunda regla de rewrite, también limitada al sitio mia-pre, que redirija toda petición que llegue por el binding del puerto 80 hacia https://mia-pre.sunsetbeachclub.local con el mismo path.</w:t>
      </w:r>
    </w:p>
    <w:p>
      <w:pPr>
        <w:pStyle w:val="Heading2"/>
        <w:spacing w:after="150" w:before="300"/>
      </w:pPr>
      <w:bookmarkStart w:name="_Toc32" w:id="32"/>
      <w:r>
        <w:t xml:space="preserve">7.6 Publicación del frontend y la ruta /mia/</w:t>
      </w:r>
      <w:bookmarkEnd w:id="32"/>
    </w:p>
    <w:p>
      <w:pPr>
        <w:spacing w:after="160" w:line="276"/>
      </w:pPr>
      <w:r>
        <w:rPr>
          <w:rFonts w:ascii="Calibri" w:cs="Calibri" w:eastAsia="Calibri" w:hAnsi="Calibri"/>
          <w:sz w:val="22"/>
          <w:szCs w:val="22"/>
        </w:rPr>
        <w:t xml:space="preserve">Para que las rutas /mia/assets/... generadas por el build (ver nota de la sección 6.2) resuelvan correctamente, dentro del sitio mia-pre:</w:t>
      </w:r>
    </w:p>
    <w:p>
      <w:pPr>
        <w:pStyle w:val="ListParagraph"/>
        <w:numPr>
          <w:ilvl w:val="0"/>
          <w:numId w:val="2"/>
        </w:numPr>
        <w:spacing w:after="100"/>
      </w:pPr>
      <w:r>
        <w:rPr>
          <w:rFonts w:ascii="Calibri" w:cs="Calibri" w:eastAsia="Calibri" w:hAnsi="Calibri"/>
          <w:sz w:val="22"/>
          <w:szCs w:val="22"/>
        </w:rPr>
        <w:t xml:space="preserve">Crea una aplicación/directorio virtual con alias mia apuntando a la misma ruta física C:\inetpub\mia-pre\.</w:t>
      </w:r>
    </w:p>
    <w:p>
      <w:pPr>
        <w:pStyle w:val="ListParagraph"/>
        <w:numPr>
          <w:ilvl w:val="0"/>
          <w:numId w:val="2"/>
        </w:numPr>
        <w:spacing w:after="100"/>
      </w:pPr>
      <w:r>
        <w:rPr>
          <w:rFonts w:ascii="Calibri" w:cs="Calibri" w:eastAsia="Calibri" w:hAnsi="Calibri"/>
          <w:sz w:val="22"/>
          <w:szCs w:val="22"/>
        </w:rPr>
        <w:t xml:space="preserve">Añade una regla de rewrite adicional que redirija la raíz (/) a /mia/index.html, para que la portada (elegir mundo) siga siendo accesible tal como documenta el proyecto.</w:t>
      </w:r>
    </w:p>
    <w:p>
      <w:pPr>
        <w:spacing w:after="160" w:line="276"/>
      </w:pPr>
      <w:r>
        <w:rPr>
          <w:rFonts w:ascii="Calibri" w:cs="Calibri" w:eastAsia="Calibri" w:hAnsi="Calibri"/>
          <w:sz w:val="22"/>
          <w:szCs w:val="22"/>
        </w:rPr>
        <w:t xml:space="preserve">Tras este paso, la estructura de rutas visible para el usuario 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Ruta</w:t>
            </w:r>
          </w:p>
        </w:tc>
        <w:tc>
          <w:tcPr>
            <w:tcW w:type="dxa" w:w="58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Contenido</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Redirige a /mia/index.html (portada, elegir mundo)</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https://mia-pre.sunsetbeachclub.local/mia/mia-2d.html</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Universo 2D</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https://mia-pre.sunsetbeachclub.local/mia/mia-3d.html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Mundo 3D</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https://mia-pre.sunsetbeachclub.local/api/...</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Proxy inverso hacia el backend (127.0.0.1:8000)</w:t>
            </w:r>
          </w:p>
        </w:tc>
      </w:tr>
    </w:tbl>
    <w:p>
      <w:pPr>
        <w:pStyle w:val="Heading2"/>
        <w:spacing w:after="150" w:before="300"/>
      </w:pPr>
      <w:bookmarkStart w:name="_Toc33" w:id="33"/>
      <w:r>
        <w:t xml:space="preserve">7.7 Firewall de Windows en el propio servidor</w:t>
      </w:r>
      <w:bookmarkEnd w:id="33"/>
    </w:p>
    <w:p>
      <w:pPr>
        <w:spacing w:after="160" w:line="276"/>
      </w:pPr>
      <w:r>
        <w:rPr>
          <w:rFonts w:ascii="Calibri" w:cs="Calibri" w:eastAsia="Calibri" w:hAnsi="Calibri"/>
          <w:sz w:val="22"/>
          <w:szCs w:val="22"/>
        </w:rPr>
        <w:t xml:space="preserve">Confirma en el Firewall de Windows avanzado que:</w:t>
      </w:r>
    </w:p>
    <w:p>
      <w:pPr>
        <w:pStyle w:val="ListParagraph"/>
        <w:numPr>
          <w:ilvl w:val="0"/>
          <w:numId w:val="2"/>
        </w:numPr>
        <w:spacing w:after="100"/>
      </w:pPr>
      <w:r>
        <w:rPr>
          <w:rFonts w:ascii="Calibri" w:cs="Calibri" w:eastAsia="Calibri" w:hAnsi="Calibri"/>
          <w:sz w:val="22"/>
          <w:szCs w:val="22"/>
        </w:rPr>
        <w:t xml:space="preserve">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pPr>
        <w:pStyle w:val="ListParagraph"/>
        <w:numPr>
          <w:ilvl w:val="0"/>
          <w:numId w:val="2"/>
        </w:numPr>
        <w:spacing w:after="100"/>
      </w:pPr>
      <w:r>
        <w:rPr>
          <w:rFonts w:ascii="Calibri" w:cs="Calibri" w:eastAsia="Calibri" w:hAnsi="Calibri"/>
          <w:sz w:val="22"/>
          <w:szCs w:val="22"/>
        </w:rPr>
        <w:t xml:space="preserve">8000 (backend) y 5432 (PostgreSQL) NO tienen regla de entrada desde la red: deben quedar accesibles solo en loopback.</w:t>
      </w:r>
    </w:p>
    <w:p>
      <w:r>
        <w:br w:type="page"/>
      </w:r>
    </w:p>
    <w:p>
      <w:pPr>
        <w:pStyle w:val="Heading1"/>
        <w:spacing w:after="200" w:before="400"/>
      </w:pPr>
      <w:bookmarkStart w:name="_Toc34" w:id="34"/>
      <w:r>
        <w:t xml:space="preserve">8. DNS</w:t>
      </w:r>
      <w:bookmarkEnd w:id="34"/>
    </w:p>
    <w:p>
      <w:pPr>
        <w:spacing w:after="160" w:line="276"/>
      </w:pPr>
      <w:r>
        <w:rPr>
          <w:rFonts w:ascii="Calibri" w:cs="Calibri" w:eastAsia="Calibri" w:hAnsi="Calibri"/>
          <w:sz w:val="22"/>
          <w:szCs w:val="22"/>
        </w:rPr>
        <w:t xml:space="preserve">sunsetbeachclub.local es un sufijo de uso exclusivamente interno (no resuelve en internet). El registro se crea en la zona DNS interna/corporativa — normalmente integrada en Active Directory, la misma zona donde ya existe el registro de portal.sunsetbeachclub.local — nunca en un proveedor de DNS público: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Tipo de registro</w:t>
            </w:r>
          </w:p>
        </w:tc>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Nombre</w:t>
            </w:r>
          </w:p>
        </w:tc>
        <w:tc>
          <w:tcPr>
            <w:tcW w:type="dxa" w:w="4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(o CNAME)</w:t>
            </w:r>
          </w:p>
        </w:tc>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mia-pre.sunsetbeachclub.local</w:t>
            </w:r>
          </w:p>
        </w:tc>
        <w:tc>
          <w:tcPr>
            <w:tcW w:type="dxa" w:w="4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Misma IP (o nombre) que ya resuelve portal.sunsetbeachclub.local, si es el mismo servidor físico</w:t>
            </w:r>
          </w:p>
        </w:tc>
      </w:tr>
    </w:tbl>
    <w:p>
      <w:pPr>
        <w:spacing w:after="160" w:line="276"/>
      </w:pPr>
      <w:r>
        <w:rPr>
          <w:rFonts w:ascii="Calibri" w:cs="Calibri" w:eastAsia="Calibri" w:hAnsi="Calibri"/>
          <w:sz w:val="22"/>
          <w:szCs w:val="22"/>
        </w:rPr>
        <w:t xml:space="preserve">Si el servidor de preproducción es distinto del que resuelve portal.sunsetbeachclub.local, usa la IP real de ese servidor. Verifica la propagación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nslookup mia-pre.sunsetbeachclub.local</w:t>
            </w:r>
          </w:p>
        </w:tc>
      </w:tr>
    </w:tbl>
    <w:p>
      <w:pPr>
        <w:pStyle w:val="Heading1"/>
        <w:spacing w:after="200" w:before="400"/>
      </w:pPr>
      <w:bookmarkStart w:name="_Toc35" w:id="35"/>
      <w:r>
        <w:t xml:space="preserve">9. Validación y pruebas de aceptación</w:t>
      </w:r>
      <w:bookmarkEnd w:id="35"/>
    </w:p>
    <w:p>
      <w:pPr>
        <w:spacing w:after="160" w:line="276"/>
      </w:pPr>
      <w:r>
        <w:rPr>
          <w:rFonts w:ascii="Calibri" w:cs="Calibri" w:eastAsia="Calibri" w:hAnsi="Calibri"/>
          <w:sz w:val="22"/>
          <w:szCs w:val="22"/>
        </w:rPr>
        <w:t xml:space="preserve">No declarar la instalación como completa hasta comprobar lo siguiente:</w:t>
      </w:r>
    </w:p>
    <w:p>
      <w:pPr>
        <w:pStyle w:val="ListParagraph"/>
        <w:numPr>
          <w:ilvl w:val="0"/>
          <w:numId w:val="6"/>
        </w:numPr>
        <w:spacing w:after="140"/>
      </w:pPr>
      <w:r>
        <w:rPr>
          <w:rFonts w:ascii="Calibri" w:cs="Calibri" w:eastAsia="Calibri" w:hAnsi="Calibri"/>
          <w:sz w:val="22"/>
          <w:szCs w:val="22"/>
        </w:rPr>
        <w:t xml:space="preserve">alembic upgrade head se ejecutó sin errores.</w:t>
      </w:r>
    </w:p>
    <w:p>
      <w:pPr>
        <w:pStyle w:val="ListParagraph"/>
        <w:numPr>
          <w:ilvl w:val="0"/>
          <w:numId w:val="6"/>
        </w:numPr>
        <w:spacing w:after="140"/>
      </w:pPr>
      <w:r>
        <w:rPr>
          <w:rFonts w:ascii="Calibri" w:cs="Calibri" w:eastAsia="Calibri" w:hAnsi="Calibri"/>
          <w:sz w:val="22"/>
          <w:szCs w:val="22"/>
        </w:rPr>
        <w:t xml:space="preserve">https://mia-pre.sunsetbeachclub.local/api/health/ready responde 200 (confirma conexión real a PostgreSQL) — probado DESDE OTRO EQUIPO, no desde el propio servidor.</w:t>
      </w:r>
    </w:p>
    <w:p>
      <w:pPr>
        <w:pStyle w:val="ListParagraph"/>
        <w:numPr>
          <w:ilvl w:val="0"/>
          <w:numId w:val="6"/>
        </w:numPr>
        <w:spacing w:after="140"/>
      </w:pPr>
      <w:r>
        <w:rPr>
          <w:rFonts w:ascii="Calibri" w:cs="Calibri" w:eastAsia="Calibri" w:hAnsi="Calibri"/>
          <w:sz w:val="22"/>
          <w:szCs w:val="22"/>
        </w:rPr>
        <w:t xml:space="preserve">python -m mia.ingestion.sync --check se ejecuta sin errores contra SharePoint Online real.</w:t>
      </w:r>
    </w:p>
    <w:p>
      <w:pPr>
        <w:pStyle w:val="ListParagraph"/>
        <w:numPr>
          <w:ilvl w:val="0"/>
          <w:numId w:val="6"/>
        </w:numPr>
        <w:spacing w:after="140"/>
      </w:pPr>
      <w:r>
        <w:rPr>
          <w:rFonts w:ascii="Calibri" w:cs="Calibri" w:eastAsia="Calibri" w:hAnsi="Calibri"/>
          <w:sz w:val="22"/>
          <w:szCs w:val="22"/>
        </w:rPr>
        <w:t xml:space="preserve">Desde un navegador externo: carga la portada, el mundo 2D y el mundo 3D, y el chat responde (con LLM real o en modo fake, según lo configurado).</w:t>
      </w:r>
    </w:p>
    <w:p>
      <w:pPr>
        <w:pStyle w:val="ListParagraph"/>
        <w:numPr>
          <w:ilvl w:val="0"/>
          <w:numId w:val="6"/>
        </w:numPr>
        <w:spacing w:after="140"/>
      </w:pPr>
      <w:r>
        <w:rPr>
          <w:rFonts w:ascii="Calibri" w:cs="Calibri" w:eastAsia="Calibri" w:hAnsi="Calibri"/>
          <w:sz w:val="22"/>
          <w:szCs w:val="22"/>
        </w:rPr>
        <w:t xml:space="preserve">Probar varias formulaciones de lenguaje natural para correo (p. ej. «resume mis últimos correos», «muéstrame la bandeja de entrada reciente») — la detección de intención no debe depender de una frase exacta.</w:t>
      </w:r>
    </w:p>
    <w:p>
      <w:pPr>
        <w:pStyle w:val="ListParagraph"/>
        <w:numPr>
          <w:ilvl w:val="0"/>
          <w:numId w:val="6"/>
        </w:numPr>
        <w:spacing w:after="140"/>
      </w:pPr>
      <w:r>
        <w:rPr>
          <w:rFonts w:ascii="Calibri" w:cs="Calibri" w:eastAsia="Calibri" w:hAnsi="Calibri"/>
          <w:sz w:val="22"/>
          <w:szCs w:val="22"/>
        </w:rPr>
        <w:t xml:space="preserve">El servicio mia-api (NSSM) arranca solo tras reiniciar el servidor.</w:t>
      </w:r>
    </w:p>
    <w:p>
      <w:pPr>
        <w:pStyle w:val="ListParagraph"/>
        <w:numPr>
          <w:ilvl w:val="0"/>
          <w:numId w:val="6"/>
        </w:numPr>
        <w:spacing w:after="140"/>
      </w:pPr>
      <w:r>
        <w:rPr>
          <w:rFonts w:ascii="Calibri" w:cs="Calibri" w:eastAsia="Calibri" w:hAnsi="Calibri"/>
          <w:sz w:val="22"/>
          <w:szCs w:val="22"/>
        </w:rPr>
        <w:t xml:space="preserve">La tarea programada de sincronización se ejecuta en su primer disparo sin error.</w:t>
      </w:r>
    </w:p>
    <w:p>
      <w:pPr>
        <w:pStyle w:val="ListParagraph"/>
        <w:numPr>
          <w:ilvl w:val="0"/>
          <w:numId w:val="6"/>
        </w:numPr>
        <w:spacing w:after="140"/>
      </w:pPr>
      <w:r>
        <w:rPr>
          <w:rFonts w:ascii="Calibri" w:cs="Calibri" w:eastAsia="Calibri" w:hAnsi="Calibri"/>
          <w:sz w:val="22"/>
          <w:szCs w:val="22"/>
        </w:rPr>
        <w:t xml:space="preserve">Tras una hora de uso real, revisar los logs (NSSM / Visor de eventos) en busca de errores de conexión a PostgreSQL, a SharePoint Online o del certificado SSL.</w:t>
      </w:r>
    </w:p>
    <w:p>
      <w:pPr>
        <w:pStyle w:val="ListParagraph"/>
        <w:numPr>
          <w:ilvl w:val="0"/>
          <w:numId w:val="6"/>
        </w:numPr>
        <w:spacing w:after="140"/>
      </w:pPr>
      <w:r>
        <w:rPr>
          <w:rFonts w:ascii="Calibri" w:cs="Calibri" w:eastAsia="Calibri" w:hAnsi="Calibri"/>
          <w:sz w:val="22"/>
          <w:szCs w:val="22"/>
        </w:rPr>
        <w:t xml:space="preserve">Confirmar que portal.sunsetbeachclub.local (SharePoint 2013) sigue respondiendo con normalidad tras instalar ARR/URL Rewrite y el nuevo sitio.</w:t>
      </w:r>
    </w:p>
    <w:p>
      <w:r>
        <w:br w:type="page"/>
      </w:r>
    </w:p>
    <w:p>
      <w:pPr>
        <w:pStyle w:val="Heading1"/>
        <w:spacing w:after="200" w:before="400"/>
      </w:pPr>
      <w:bookmarkStart w:name="_Toc36" w:id="36"/>
      <w:r>
        <w:t xml:space="preserve">Anexo A — Variables de entorno (.env) de referencia</w:t>
      </w:r>
      <w:bookmarkEnd w:id="36"/>
    </w:p>
    <w:p>
      <w:pPr>
        <w:spacing w:after="160" w:line="276"/>
      </w:pPr>
      <w:r>
        <w:rPr>
          <w:rFonts w:ascii="Calibri" w:cs="Calibri" w:eastAsia="Calibri" w:hAnsi="Calibri"/>
          <w:sz w:val="22"/>
          <w:szCs w:val="22"/>
        </w:rPr>
        <w:t xml:space="preserve">Basado en .env.example del repositorio. No incluye valores reales de secretos; complétalos siguiendo las políticas de seguridad de la organización.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 en preproducción</w:t>
            </w:r>
          </w:p>
        </w:tc>
        <w:tc>
          <w:tcPr>
            <w:tcW w:type="dxa" w:w="34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Notas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MIA_ENVIRONMENT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 preprod (según convención interna)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lógico de la aplicación</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MIA_HOST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 exponer el backend directamente</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MIA_PORT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8000</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interno detrás del proxy de IIS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MIA_COMPAT_PORT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definir)</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necesario en desarrollo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MIA_DATABASE_URL</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postgresql+asyncpg://mia:***@localhost:5432/mia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Rol y BD creados en el paso 5.2-3</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MIA_LLM__PROVIDER</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openai / azure_openai / fake</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"fake" permite validar el flujo sin coste ni clave real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MIA_LLM__API_KEY</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(secreto)</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Nunca en texto plano fuera de .env</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MIA_SHAREPOINT__TENANT_ID / CLIENT_ID / CERT_THUMBPRINT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(reales de Entra ID)</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 registrada para SharePoint Online, no para el SP2013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MIA_SHAREPOINT__CERT_PFX_PATH</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Ruta local con ACL restringida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legible por la cuenta de servicio</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MIA_DATA__PSEUDONYM_KEY</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(generar una vez, no cambiar después)</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Afecta a seudónimos de DNI/NIE ya sincronizados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entra (recomendado) — no "dev"</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es una identidad fija de pruebas, no válida con varios usuarios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MIA_OBSERVABILITY__LOG_LEVEL</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INFO</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Subir a DEBUG solo temporalmente, para depurar</w:t>
            </w:r>
          </w:p>
        </w:tc>
      </w:tr>
    </w:tbl>
    <w:p>
      <w:pPr>
        <w:pStyle w:val="Heading1"/>
        <w:spacing w:after="200" w:before="400"/>
      </w:pPr>
      <w:bookmarkStart w:name="_Toc37" w:id="37"/>
      <w:r>
        <w:t xml:space="preserve">Anexo B — Comandos de referencia rápida</w:t>
      </w:r>
      <w:bookmarkEnd w:id="37"/>
    </w:p>
    <w:p>
      <w:pPr>
        <w:pStyle w:val="Heading3"/>
        <w:spacing w:after="100" w:before="200"/>
      </w:pPr>
      <w:bookmarkStart w:name="_Toc38" w:id="38"/>
      <w:r>
        <w:t xml:space="preserve">Backend</w:t>
      </w:r>
      <w:bookmarkEnd w:id="3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start mia-api</w:t>
            </w:r>
          </w:p>
          <w:p>
            <w:pPr>
              <w:spacing w:after="0"/>
            </w:pPr>
            <w:r>
              <w:rPr>
                <w:rFonts w:ascii="Consolas" w:cs="Consolas" w:eastAsia="Consolas" w:hAnsi="Consolas"/>
                <w:color w:val="E8E8E8"/>
                <w:sz w:val="19"/>
                <w:szCs w:val="19"/>
              </w:rPr>
              <w:t xml:space="preserve">nssm stop mia-api</w:t>
            </w:r>
          </w:p>
          <w:p>
            <w:pPr>
              <w:spacing w:after="0"/>
            </w:pPr>
            <w:r>
              <w:rPr>
                <w:rFonts w:ascii="Consolas" w:cs="Consolas" w:eastAsia="Consolas" w:hAnsi="Consolas"/>
                <w:color w:val="E8E8E8"/>
                <w:sz w:val="19"/>
                <w:szCs w:val="19"/>
              </w:rPr>
              <w:t xml:space="preserve">nssm restart mia-api</w:t>
            </w:r>
          </w:p>
          <w:p>
            <w:pPr>
              <w:spacing w:after="0"/>
            </w:pPr>
            <w:r>
              <w:rPr>
                <w:rFonts w:ascii="Consolas" w:cs="Consolas" w:eastAsia="Consolas" w:hAnsi="Consolas"/>
                <w:color w:val="E8E8E8"/>
                <w:sz w:val="19"/>
                <w:szCs w:val="19"/>
              </w:rPr>
              <w:t xml:space="preserve">nssm status mia-api</w:t>
            </w:r>
          </w:p>
        </w:tc>
      </w:tr>
    </w:tbl>
    <w:p>
      <w:pPr>
        <w:pStyle w:val="Heading3"/>
        <w:spacing w:after="100" w:before="200"/>
      </w:pPr>
      <w:bookmarkStart w:name="_Toc39" w:id="39"/>
      <w:r>
        <w:t xml:space="preserve">Base de datos</w:t>
      </w:r>
      <w:bookmarkEnd w:id="3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alembic upgrade head</w:t>
            </w:r>
          </w:p>
          <w:p>
            <w:pPr>
              <w:spacing w:after="0"/>
            </w:pPr>
            <w:r>
              <w:rPr>
                <w:rFonts w:ascii="Consolas" w:cs="Consolas" w:eastAsia="Consolas" w:hAnsi="Consolas"/>
                <w:color w:val="E8E8E8"/>
                <w:sz w:val="19"/>
                <w:szCs w:val="19"/>
              </w:rPr>
              <w:t xml:space="preserve">alembic current</w:t>
            </w:r>
          </w:p>
        </w:tc>
      </w:tr>
    </w:tbl>
    <w:p>
      <w:pPr>
        <w:pStyle w:val="Heading3"/>
        <w:spacing w:after="100" w:before="200"/>
      </w:pPr>
      <w:bookmarkStart w:name="_Toc40" w:id="40"/>
      <w:r>
        <w:t xml:space="preserve">Sincronización SharePoint</w:t>
      </w:r>
      <w:bookmarkEnd w:id="40"/>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--list</w:t>
            </w:r>
          </w:p>
          <w:p>
            <w:pPr>
              <w:spacing w:after="0"/>
            </w:pPr>
            <w:r>
              <w:rPr>
                <w:rFonts w:ascii="Consolas" w:cs="Consolas" w:eastAsia="Consolas" w:hAnsi="Consolas"/>
                <w:color w:val="E8E8E8"/>
                <w:sz w:val="19"/>
                <w:szCs w:val="19"/>
              </w:rPr>
              <w:t xml:space="preserve">python -m mia.ingestion.sync --full</w:t>
            </w:r>
          </w:p>
        </w:tc>
      </w:tr>
    </w:tbl>
    <w:p>
      <w:pPr>
        <w:pStyle w:val="Heading3"/>
        <w:spacing w:after="100" w:before="200"/>
      </w:pPr>
      <w:bookmarkStart w:name="_Toc41" w:id="41"/>
      <w:r>
        <w:t xml:space="preserve">Frontend</w:t>
      </w:r>
      <w:bookmarkEnd w:id="41"/>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r>
        <w:br w:type="page"/>
      </w:r>
    </w:p>
    <w:p>
      <w:pPr>
        <w:pStyle w:val="Heading1"/>
        <w:spacing w:after="200" w:before="400"/>
      </w:pPr>
      <w:bookmarkStart w:name="_Toc42" w:id="42"/>
      <w:r>
        <w:t xml:space="preserve">Anexo C — Ficheros de instalación (versión y verificación)</w:t>
      </w:r>
      <w:bookmarkEnd w:id="42"/>
    </w:p>
    <w:p>
      <w:pPr>
        <w:spacing w:after="160" w:line="276"/>
      </w:pPr>
      <w:r>
        <w:rPr>
          <w:rFonts w:ascii="Calibri" w:cs="Calibri" w:eastAsia="Calibri" w:hAnsi="Calibri"/>
          <w:sz w:val="22"/>
          <w:szCs w:val="22"/>
        </w:rPr>
        <w:t xml:space="preserve">Versión exacta de cada instalador usado al redactar esta guía, con su fuente oficial y, cuando Microsoft lo publica, el hash para verificar la descarga antes de ejecutarla en el servidor. Si en el momento de instalar ya hay una versión más reciente, se puede usar esa en su lugar — lo importante es no instalar nada de una fuente distinta de la indicada.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500"/>
        <w:gridCol w:w="2626"/>
      </w:tblGrid>
      <w:tr>
        <w:trPr>
          <w:tblHeader/>
        </w:trPr>
        <w:tc>
          <w:tcPr>
            <w:tcW w:type="dxa" w:w="20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Fichero</w:t>
            </w:r>
          </w:p>
        </w:tc>
        <w:tc>
          <w:tcPr>
            <w:tcW w:type="dxa" w:w="19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25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Fuente oficial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SHA1 / SHA256</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python-3.1x-amd64.exe</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3.12.x</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python.org/downloads</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vs_buildtools.exe</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Bootstrapper actual</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aka.ms/vs/17/release/vs_buildtools.exe</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postgresql-17.11-5-windows-x64.exe</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17.11-5</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get.enterprisedb.com</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pgvector (código fuente)</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v0.8.7</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github.com/pgvector/pgvector</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node-v24.22.0-x64.msi</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v24.22.0 LTS Krypton</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nodejs.org/dist</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nssm-2.24.zip</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2.24</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nssm.cc/release</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rewrite_amd64_en-US.msi</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URL Rewrite 2.1</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download.microsoft.com</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SHA1: 8F41A67FA49110155969DCCFF265B8623A66448F</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requestRouter_amd64.msi</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ARR 3.0</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download.microsoft.com</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SHA1: 8B258C3D62AC41192F1D01BA9FCFEDD8421320BA</w:t>
            </w:r>
          </w:p>
        </w:tc>
      </w:tr>
    </w:tbl>
    <w:p>
      <w:pPr>
        <w:spacing w:after="160" w:line="276"/>
      </w:pPr>
      <w:r>
        <w:rPr>
          <w:rFonts w:ascii="Calibri" w:cs="Calibri" w:eastAsia="Calibri" w:hAnsi="Calibri"/>
          <w:sz w:val="22"/>
          <w:szCs w:val="22"/>
        </w:rPr>
        <w:t xml:space="preserve">Python y Visual Studio Build Tools no publican un hash fijo por versión (el bootstrapper de VS Build Tools descarga los componentes reales en el momento de ejecutarse, y cambian con cada actualización), por eso no llevan valor en la última columna — la verificación en esos dos casos es confiar en el dominio oficial (python.org / aka.ms, de Microsoft) desde el que se descargan.</w:t>
      </w:r>
    </w:p>
    <w:p>
      <w:pPr>
        <w:pStyle w:val="Heading1"/>
        <w:spacing w:after="200" w:before="400"/>
      </w:pPr>
      <w:bookmarkStart w:name="_Toc43" w:id="43"/>
      <w:r>
        <w:t xml:space="preserve">10. Riesgos y pendientes conocidos</w:t>
      </w:r>
      <w:bookmarkEnd w:id="4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tblHeader/>
        </w:trPr>
        <w:tc>
          <w:tcPr>
            <w:tcW w:type="dxa" w:w="41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Riesgo / pendiente</w:t>
            </w:r>
          </w:p>
        </w:tc>
        <w:tc>
          <w:tcPr>
            <w:tcW w:type="dxa" w:w="49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Impacto si no se resuelve</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en "dev"</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Todos los usuarios comparten una identidad fija de pruebas; no es apto para varios usuarios reales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LLM no configurada</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chat funciona solo con respuestas simuladas (modo fake), sin inteligencia real</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autofirmado sin distribuir a los equipos cliente</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navegador muestra aviso de "conexión no privada" en cada equipo hasta que se importe el .cer en "Entidades de confianza" (sección 7.2) — el login funciona igualmente tras aceptar el aviso, pero no es la experiencia deseable</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autofirmado con validez larga sin plan de renovación</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Revisar la fecha de expiración (5 años en el comando de la sección 7.2) y documentar quién debe renovarlo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del frontend (/mia/) mal publicada en IIS</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Pantalla en blanco o errores 404 de JS/CSS al cargar cualquier mundo</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 con permisos excesivos</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Superficie de riesgo innecesaria; usar el principio de mínimo privilegio sobre .env, el .pfx y la base de datos</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443 no abierto todavía en el firewall</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solo usa HTTP (80): el 443 puede no haberse abierto nunca en este servidor; confirmarlo explícitamente (sección 7.7), no asumir que ya está permitido</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debe ser "entra" (no "dev") para que el login sea real</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Confirmar que el .env de preproducción queda en modo entra con el tenant/client id reales — "dev" seguiría usando una identidad fija de pruebas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Un-named</cp:lastModifiedBy>
  <cp:revision>1</cp:revision>
  <dcterms:created xsi:type="dcterms:W3CDTF">2026-10-20T11:50:06.593Z</dcterms:created>
  <dcterms:modified xsi:type="dcterms:W3CDTF">2026-10-20T11:50:06.594Z</dcterms:modified>
</cp:coreProperties>
</file>

<file path=docProps/custom.xml><?xml version="1.0" encoding="utf-8"?>
<Properties xmlns="http://schemas.openxmlformats.org/officeDocument/2006/custom-properties" xmlns:vt="http://schemas.openxmlformats.org/officeDocument/2006/docPropsVTypes"/>
</file>