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842C27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C0400B" w:rsidRDefault="00851230" w:rsidP="00C0400B">
      <w:pPr>
        <w:pStyle w:val="TextosemFormatao1"/>
        <w:jc w:val="center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Matheus Faria de Alencar.</w:t>
      </w:r>
    </w:p>
    <w:p w:rsidR="00CA57BD" w:rsidRDefault="00CA57BD"/>
    <w:p w:rsidR="00CA57BD" w:rsidRDefault="00851230">
      <w:pPr>
        <w:pStyle w:val="Endereos"/>
      </w:pPr>
      <w:r>
        <w:t>Faculdade ETEP/Faculdade de Tecnologia de São José dos Campos</w:t>
      </w:r>
      <w:r w:rsidR="00CA57BD">
        <w:t xml:space="preserve">, </w:t>
      </w:r>
      <w:r w:rsidR="00641264">
        <w:t xml:space="preserve">Avenida </w:t>
      </w:r>
      <w:r>
        <w:t>Barão do Rio Branco</w:t>
      </w:r>
      <w:r w:rsidR="00641264">
        <w:t xml:space="preserve">, </w:t>
      </w:r>
      <w:r>
        <w:t>882</w:t>
      </w:r>
      <w:r w:rsidR="005E04F9">
        <w:t xml:space="preserve">, </w:t>
      </w:r>
      <w:r>
        <w:t>Jardim Esplanada</w:t>
      </w:r>
      <w:r w:rsidR="005E04F9">
        <w:t xml:space="preserve"> </w:t>
      </w:r>
      <w:r>
        <w:t>–</w:t>
      </w:r>
      <w:r w:rsidR="005E04F9">
        <w:t xml:space="preserve"> </w:t>
      </w:r>
      <w:r>
        <w:t>12242-800</w:t>
      </w:r>
      <w:r w:rsidR="00641264">
        <w:t xml:space="preserve"> </w:t>
      </w:r>
      <w:r w:rsidR="005E04F9">
        <w:t>-</w:t>
      </w:r>
      <w:r w:rsidR="00641264">
        <w:t xml:space="preserve"> São José dos Campos-SP, Brasil</w:t>
      </w:r>
      <w:r w:rsidR="00CA57BD">
        <w:t xml:space="preserve">, </w:t>
      </w:r>
      <w:r>
        <w:t>mtsalenc@gmail.com</w:t>
      </w:r>
      <w:r w:rsidR="005E04F9">
        <w:t>.</w:t>
      </w:r>
    </w:p>
    <w:p w:rsidR="00CA57BD" w:rsidRDefault="00CA57BD">
      <w:pPr>
        <w:pStyle w:val="Endereos"/>
      </w:pPr>
    </w:p>
    <w:p w:rsidR="00CA57BD" w:rsidRPr="005E04F9" w:rsidRDefault="00CA57BD" w:rsidP="008A1F1B">
      <w:pPr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o desenvolvimento de uma prova de conceito de sistema eleitoral independente de software que remove do administrador a responsabilidade de garantir a disponibilidade, integridade e confiabilidade dos registros digitais dos votos. O código é escrito na linguagem </w:t>
      </w:r>
      <w:r w:rsidR="00851230" w:rsidRPr="00B0242B">
        <w:rPr>
          <w:rFonts w:ascii="Arial" w:hAnsi="Arial" w:cs="Arial"/>
          <w:i/>
          <w:sz w:val="20"/>
        </w:rPr>
        <w:t>Solidity</w:t>
      </w:r>
      <w:r w:rsidR="00851230" w:rsidRPr="00851230">
        <w:rPr>
          <w:rFonts w:ascii="Arial" w:hAnsi="Arial" w:cs="Arial"/>
          <w:sz w:val="20"/>
        </w:rPr>
        <w:t xml:space="preserve"> e posteriormente compilado para </w:t>
      </w:r>
      <w:r w:rsidR="00851230" w:rsidRPr="00B0242B">
        <w:rPr>
          <w:rFonts w:ascii="Arial" w:hAnsi="Arial" w:cs="Arial"/>
          <w:i/>
          <w:sz w:val="20"/>
        </w:rPr>
        <w:t>bytecode</w:t>
      </w:r>
      <w:r w:rsidR="00851230" w:rsidRPr="00851230">
        <w:rPr>
          <w:rFonts w:ascii="Arial" w:hAnsi="Arial" w:cs="Arial"/>
          <w:sz w:val="20"/>
        </w:rPr>
        <w:t xml:space="preserve"> que pode ser interpretado pela máquina virtual </w:t>
      </w:r>
      <w:r w:rsidR="00D51349">
        <w:rPr>
          <w:rFonts w:ascii="Arial" w:hAnsi="Arial" w:cs="Arial"/>
          <w:sz w:val="20"/>
        </w:rPr>
        <w:t xml:space="preserve">da rede </w:t>
      </w:r>
      <w:r w:rsidR="00851230" w:rsidRPr="00B0242B">
        <w:rPr>
          <w:rFonts w:ascii="Arial" w:hAnsi="Arial" w:cs="Arial"/>
          <w:i/>
          <w:sz w:val="20"/>
        </w:rPr>
        <w:t>Ethereum</w:t>
      </w:r>
      <w:r w:rsidR="00851230" w:rsidRPr="00851230">
        <w:rPr>
          <w:rFonts w:ascii="Arial" w:hAnsi="Arial" w:cs="Arial"/>
          <w:sz w:val="20"/>
        </w:rPr>
        <w:t xml:space="preserve">. O resultado é a criação de uma criptomoeda que existe para representar cada voto, onde cada </w:t>
      </w:r>
      <w:r w:rsidR="00D51349">
        <w:rPr>
          <w:rFonts w:ascii="Arial" w:hAnsi="Arial" w:cs="Arial"/>
          <w:sz w:val="20"/>
        </w:rPr>
        <w:t>registro digital de voto fica gravado</w:t>
      </w:r>
      <w:r w:rsidR="00851230" w:rsidRPr="00851230">
        <w:rPr>
          <w:rFonts w:ascii="Arial" w:hAnsi="Arial" w:cs="Arial"/>
          <w:sz w:val="20"/>
        </w:rPr>
        <w:t xml:space="preserve"> num blockchain resistente a censura, ataques de negação de serviço e que está sempre disponível para auditorias.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851230">
        <w:rPr>
          <w:rFonts w:ascii="Arial" w:hAnsi="Arial"/>
          <w:sz w:val="20"/>
        </w:rPr>
        <w:t>eleições,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Em sistemas eleitorais </w:t>
      </w:r>
      <w:r w:rsidR="00B0242B">
        <w:rPr>
          <w:rFonts w:ascii="Arial" w:hAnsi="Arial"/>
          <w:lang w:val="pt-BR"/>
        </w:rPr>
        <w:t>d</w:t>
      </w:r>
      <w:r w:rsidRPr="00851230">
        <w:rPr>
          <w:rFonts w:ascii="Arial" w:hAnsi="Arial"/>
          <w:lang w:val="pt-BR"/>
        </w:rPr>
        <w:t>e primeira, segunda e terceira geração, os registros digitais dos votos ficam salvos na memória dos equipamentos que precisam ser levados dos locais de votação de volta para as centrais para que ocorra a apuração dos votos. Além dos custos envolvidos para garantir que estes equipamentos não sejam alterados ou destruídos durante o transporte, o administrador também precisa guardar estes registros após a apuração de votos para posteriores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 ele precisa interagir com o administrador do processo eleitoral para ter acesso os registros digitais, aos equipamentos e aos registros independentes de software (caso o administrador tenha optado por sistemas que utilizem VICE).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Os problemas deste tipo de centralização de poderes ficam evidentes no Brasil. Embora não seja objetivo deste documento discutir os efeitos da centralização de poderes em sistemas eleitorais, </w:t>
      </w:r>
      <w:r w:rsidR="00B0242B">
        <w:rPr>
          <w:rFonts w:ascii="Arial" w:hAnsi="Arial"/>
          <w:lang w:val="pt-BR"/>
        </w:rPr>
        <w:t>três</w:t>
      </w:r>
      <w:r w:rsidRPr="00851230">
        <w:rPr>
          <w:rFonts w:ascii="Arial" w:hAnsi="Arial"/>
          <w:lang w:val="pt-BR"/>
        </w:rPr>
        <w:t xml:space="preserve"> casos bem documentados sã</w:t>
      </w:r>
      <w:r>
        <w:rPr>
          <w:rFonts w:ascii="Arial" w:hAnsi="Arial"/>
          <w:lang w:val="pt-BR"/>
        </w:rPr>
        <w:t>o brevemente listados a seguir: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Pr="00851230">
        <w:rPr>
          <w:rFonts w:ascii="Arial" w:hAnsi="Arial"/>
          <w:lang w:val="pt-BR"/>
        </w:rPr>
        <w:t xml:space="preserve"> do início da votação. [1]</w:t>
      </w: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Itajaí, SC - 2008: </w:t>
      </w:r>
      <w:r w:rsidR="00704BCF" w:rsidRPr="00704BCF">
        <w:rPr>
          <w:rFonts w:ascii="Arial" w:hAnsi="Arial"/>
          <w:i/>
          <w:lang w:val="pt-BR"/>
        </w:rPr>
        <w:t>N</w:t>
      </w:r>
      <w:r w:rsidRPr="00704BCF">
        <w:rPr>
          <w:rFonts w:ascii="Arial" w:hAnsi="Arial"/>
          <w:i/>
          <w:lang w:val="pt-BR"/>
        </w:rPr>
        <w:t>enhuma</w:t>
      </w:r>
      <w:r w:rsidRPr="00851230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eventuais provas nela gravadas. [2]</w:t>
      </w: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Alagoas - 2006: Diversas irregularidades nos arquivos gerados pelas urnas foram detectadas por auditores externos [4]. Frente as evidências, o administrador </w:t>
      </w:r>
      <w:r w:rsidRPr="00704BCF">
        <w:rPr>
          <w:rFonts w:ascii="Arial" w:hAnsi="Arial"/>
          <w:i/>
          <w:lang w:val="pt-BR"/>
        </w:rPr>
        <w:t>negou</w:t>
      </w:r>
      <w:r w:rsidRPr="00851230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</w:p>
    <w:p w:rsidR="00704BCF" w:rsidRPr="00851230" w:rsidRDefault="00704BCF" w:rsidP="00704BCF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CA57BD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Tendo em vista esses três casos, nota-se que o sistema eleitoral brasileiro é dependente de software e funciona como uma caixa preta que só pode ser auditada em ambiente restrito. 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>é desenvolver sistema eleitoral independente de software que decentralize o destino das provas geradas em cada voto, de forma que os registros físicos ficam sob controle do administrador e os registros digitais ficam sob controle de um programa autônomo.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Metodologia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Velocidade de Apuração – O sistema precisa entregar velocidade de apuração igual ou superior aos sistemas eleitorais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Disponibilidade – Os registros digitais de votos precisam estar armazenados em um sistema 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Integridade – Os registros digitais dos votos precisam ser imunes a alteração não autorizada e logs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chamada VoltCoin,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C15FFD">
        <w:rPr>
          <w:rFonts w:ascii="Arial" w:hAnsi="Arial"/>
          <w:lang w:val="pt-BR"/>
        </w:rPr>
        <w:t>, programado na linguagem Solidity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Ethereum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nós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criptomoedas como o Bitcoin, a infraestutura não possui autoridade central com poder de emitir novos Voltcoins</w:t>
      </w:r>
      <w:r>
        <w:rPr>
          <w:rFonts w:ascii="Arial" w:hAnsi="Arial"/>
          <w:lang w:val="pt-BR"/>
        </w:rPr>
        <w:t xml:space="preserve"> 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 de Voltcoins</w:t>
      </w:r>
      <w:r w:rsidR="00C15FFD">
        <w:rPr>
          <w:rFonts w:ascii="Arial" w:hAnsi="Arial"/>
          <w:lang w:val="pt-BR"/>
        </w:rPr>
        <w:t xml:space="preserve"> de forma indetectável.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2200275" cy="1885950"/>
            <wp:effectExtent l="0" t="0" r="9525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212686" cy="18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computador a ser utilizado como urna sob controle do adminstrador, e que possui uma chave privada capaz de assinar transferências de Voltcoins.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>formada pelos milhares de nós e mineradores da rede Ethereum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 Conferídos Pelo Eleitor (VICE).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urna para a coleta dos VICEs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cofre sob controle do adminstrador para armazenamento dos VICE.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 xml:space="preserve">Como as chaves privadas que assinam cada voto estão sob controle do administrador, elas estão sujeitas a ataques internos e externos que podem causar o vazamento das mesmas. De maneira similar, o </w:t>
      </w:r>
      <w:r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do utilizado para interagir com a aplicação hospedada na rede Ethereum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Independencia de Software em Sistemas Eleitorais, que é o item 5 dos requisitos. A estratégia utilizada é a emissão de uma versão modificada das provas auditáveis pelo eleitor utilizadas em urnas de 2ª geraç</w:t>
      </w:r>
      <w:r w:rsidR="005138B5">
        <w:rPr>
          <w:rFonts w:ascii="Arial" w:hAnsi="Arial"/>
          <w:lang w:val="pt-BR"/>
        </w:rPr>
        <w:t>ão.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56948" cy="3028950"/>
            <wp:effectExtent l="0" t="0" r="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59641" cy="30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Default="0022448C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bookmarkStart w:id="0" w:name="_GoBack"/>
      <w:bookmarkEnd w:id="0"/>
    </w:p>
    <w:p w:rsidR="00902D93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unicamente.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Consequentemente,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identifica a urna de onde um determinado voto saiu e qual candidato recebeu o voto.</w:t>
      </w:r>
      <w:r w:rsidR="00902D93">
        <w:rPr>
          <w:rFonts w:ascii="Arial" w:hAnsi="Arial"/>
          <w:lang w:val="pt-BR"/>
        </w:rPr>
        <w:t xml:space="preserve"> O sistema Ethervoltz explora este fato para criar um laço entre as provas impressas e aos registros digitais, ao incluir este hash nos votos impressos. A</w:t>
      </w:r>
      <w:r>
        <w:rPr>
          <w:rFonts w:ascii="Arial" w:hAnsi="Arial"/>
          <w:lang w:val="pt-BR"/>
        </w:rPr>
        <w:t xml:space="preserve"> Figura 2 mostra informações que devem estar incluídas no VICE utilizado pelo sistema Ethervoltz</w:t>
      </w:r>
      <w:r w:rsidR="00902D93">
        <w:rPr>
          <w:rFonts w:ascii="Arial" w:hAnsi="Arial"/>
          <w:lang w:val="pt-BR"/>
        </w:rPr>
        <w:t>.</w:t>
      </w:r>
    </w:p>
    <w:p w:rsidR="00572D41" w:rsidRP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CA57BD" w:rsidRPr="005E04F9">
        <w:rPr>
          <w:rFonts w:ascii="Arial" w:hAnsi="Arial" w:cs="Arial"/>
          <w:lang w:val="pt-BR"/>
        </w:rPr>
        <w:t>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B0242B">
      <w:pPr>
        <w:pStyle w:val="TextosemFormatao1"/>
        <w:ind w:firstLine="284"/>
        <w:jc w:val="both"/>
        <w:rPr>
          <w:rFonts w:ascii="Arial" w:hAnsi="Arial" w:cs="Arial"/>
          <w:color w:val="0000FF"/>
          <w:lang w:val="pt-BR"/>
        </w:rPr>
      </w:pPr>
      <w:r>
        <w:rPr>
          <w:rFonts w:ascii="Arial" w:hAnsi="Arial" w:cs="Arial"/>
          <w:lang w:val="pt-BR"/>
        </w:rPr>
        <w:t>O</w:t>
      </w:r>
      <w:r w:rsidRPr="005E04F9">
        <w:rPr>
          <w:rFonts w:ascii="Arial" w:hAnsi="Arial" w:cs="Arial"/>
          <w:lang w:val="pt-BR"/>
        </w:rPr>
        <w:t>.</w:t>
      </w:r>
    </w:p>
    <w:p w:rsidR="00CA57BD" w:rsidRPr="005E04F9" w:rsidRDefault="00CA57BD">
      <w:pPr>
        <w:pStyle w:val="TextosemFormatao1"/>
        <w:jc w:val="center"/>
        <w:rPr>
          <w:rFonts w:ascii="Arial" w:hAnsi="Arial" w:cs="Arial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0242B" w:rsidRP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 xml:space="preserve">EtherVoltz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</w:t>
      </w:r>
      <w:r w:rsidRPr="00B0242B">
        <w:rPr>
          <w:rFonts w:ascii="Arial" w:hAnsi="Arial" w:cs="Arial"/>
          <w:lang w:val="pt-BR"/>
        </w:rPr>
        <w:lastRenderedPageBreak/>
        <w:t>segurança do protocolo de consenso e de disponibilidade da rede peer-to-peer utilizado na plataforma.</w:t>
      </w:r>
    </w:p>
    <w:p w:rsidR="00B0242B" w:rsidRP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necessidade da emissão e controle dos VICE</w:t>
      </w:r>
      <w:r>
        <w:rPr>
          <w:rFonts w:ascii="Arial" w:hAnsi="Arial" w:cs="Arial"/>
          <w:lang w:val="pt-BR"/>
        </w:rPr>
        <w:t>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Referências</w:t>
      </w:r>
      <w:r w:rsidR="00DE2293" w:rsidRPr="005E04F9">
        <w:rPr>
          <w:rFonts w:ascii="Arial" w:hAnsi="Arial" w:cs="Arial"/>
          <w:b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DE2293" w:rsidRPr="005E04F9" w:rsidRDefault="00DE2293" w:rsidP="00E136F9">
      <w:pPr>
        <w:autoSpaceDE w:val="0"/>
        <w:rPr>
          <w:rFonts w:ascii="Arial" w:hAnsi="Arial" w:cs="Arial"/>
          <w:sz w:val="20"/>
        </w:rPr>
      </w:pPr>
      <w:r w:rsidRPr="005E04F9">
        <w:rPr>
          <w:rFonts w:ascii="Arial" w:hAnsi="Arial" w:cs="Arial"/>
          <w:sz w:val="20"/>
        </w:rPr>
        <w:t>ACCIOLY, F. Publicações eletrônicas [mensagem pessoal]. Mensagem recebida por mfmendes@uff.br em 24 abr. 2000.</w:t>
      </w:r>
    </w:p>
    <w:p w:rsidR="00DE2293" w:rsidRPr="005E04F9" w:rsidRDefault="00DE2293" w:rsidP="00E136F9">
      <w:pPr>
        <w:autoSpaceDE w:val="0"/>
        <w:rPr>
          <w:rFonts w:ascii="Arial" w:hAnsi="Arial" w:cs="Arial"/>
          <w:sz w:val="20"/>
        </w:rPr>
      </w:pPr>
    </w:p>
    <w:p w:rsidR="00CA57BD" w:rsidRPr="005E04F9" w:rsidRDefault="00CA57BD" w:rsidP="00E136F9">
      <w:pPr>
        <w:pStyle w:val="TextosemFormatao1"/>
        <w:rPr>
          <w:rFonts w:ascii="Arial" w:hAnsi="Arial" w:cs="Arial"/>
        </w:rPr>
      </w:pPr>
      <w:r w:rsidRPr="005E04F9">
        <w:rPr>
          <w:rFonts w:ascii="Arial" w:hAnsi="Arial" w:cs="Arial"/>
        </w:rPr>
        <w:t>CHEN, H.U; WU, L. Introduction and expiration effects of derivative equity warrants in Hong Kong, Inter.Ver.Fin.Anal. v.10,n.1, 2001. Disponível em :</w:t>
      </w:r>
      <w:r w:rsidR="00E136F9">
        <w:rPr>
          <w:rFonts w:ascii="Arial" w:hAnsi="Arial" w:cs="Arial"/>
        </w:rPr>
        <w:t xml:space="preserve"> &lt;</w:t>
      </w:r>
      <w:r w:rsidRPr="00E136F9">
        <w:rPr>
          <w:rFonts w:ascii="Arial" w:hAnsi="Arial" w:cs="Arial"/>
          <w:u w:val="single"/>
        </w:rPr>
        <w:t>http://www.elsevier.nl:80/homepage/sae/econbase/finana/menu.sht</w:t>
      </w:r>
      <w:r w:rsidR="00E136F9">
        <w:rPr>
          <w:rFonts w:ascii="Arial" w:hAnsi="Arial" w:cs="Arial"/>
        </w:rPr>
        <w:t>&gt;</w:t>
      </w:r>
      <w:r w:rsidRPr="005E04F9">
        <w:rPr>
          <w:rFonts w:ascii="Arial" w:hAnsi="Arial" w:cs="Arial"/>
        </w:rPr>
        <w:t>. Acesso em: 24 abr.2001.</w:t>
      </w: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lang w:val="en-US"/>
        </w:rPr>
      </w:pP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  <w:r w:rsidRPr="005E04F9">
        <w:rPr>
          <w:rFonts w:ascii="Arial" w:hAnsi="Arial" w:cs="Arial"/>
          <w:sz w:val="20"/>
          <w:szCs w:val="20"/>
          <w:lang w:val="en-US"/>
        </w:rPr>
        <w:t xml:space="preserve">FISCHER, G.A. Drug </w:t>
      </w:r>
      <w:proofErr w:type="spellStart"/>
      <w:r w:rsidRPr="005E04F9">
        <w:rPr>
          <w:rFonts w:ascii="Arial" w:hAnsi="Arial" w:cs="Arial"/>
          <w:sz w:val="20"/>
          <w:szCs w:val="20"/>
          <w:lang w:val="en-US"/>
        </w:rPr>
        <w:t>resistence</w:t>
      </w:r>
      <w:proofErr w:type="spellEnd"/>
      <w:r w:rsidRPr="005E04F9">
        <w:rPr>
          <w:rFonts w:ascii="Arial" w:hAnsi="Arial" w:cs="Arial"/>
          <w:sz w:val="20"/>
          <w:szCs w:val="20"/>
          <w:lang w:val="en-US"/>
        </w:rPr>
        <w:t xml:space="preserve"> in clinical oncology and hematology introduction.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Hematol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Oncol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Clin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North Am. </w:t>
      </w:r>
      <w:r w:rsidRPr="00842C27">
        <w:rPr>
          <w:rFonts w:ascii="Arial" w:hAnsi="Arial" w:cs="Arial"/>
          <w:sz w:val="20"/>
          <w:szCs w:val="20"/>
          <w:lang w:val="en-US"/>
        </w:rPr>
        <w:t>V.9, n.2, p.11-14, 1995.</w:t>
      </w: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:rsidR="00DE2293" w:rsidRPr="005E04F9" w:rsidRDefault="00DE2293" w:rsidP="00E136F9">
      <w:pPr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  <w:lang w:val="en-US"/>
        </w:rPr>
        <w:t xml:space="preserve">HOLTZMAN D.M. Washington University’s Department of Neurology.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="00E136F9">
        <w:rPr>
          <w:rFonts w:ascii="Arial" w:hAnsi="Arial" w:cs="Arial"/>
          <w:sz w:val="20"/>
          <w:szCs w:val="20"/>
        </w:rPr>
        <w:t>&lt;</w:t>
      </w:r>
      <w:r w:rsidRPr="005E04F9">
        <w:rPr>
          <w:rFonts w:ascii="Arial" w:hAnsi="Arial" w:cs="Arial"/>
          <w:sz w:val="20"/>
          <w:szCs w:val="20"/>
          <w:u w:val="single"/>
        </w:rPr>
        <w:t>http://www.neuro.wustl.edu/neuromuscular/pics/diagrams/nmj.gif</w:t>
      </w:r>
      <w:r w:rsidR="00E136F9">
        <w:rPr>
          <w:rFonts w:ascii="Arial" w:hAnsi="Arial" w:cs="Arial"/>
          <w:sz w:val="20"/>
          <w:szCs w:val="20"/>
          <w:u w:val="single"/>
        </w:rPr>
        <w:t>&gt;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 26 dez. 2001. </w:t>
      </w:r>
    </w:p>
    <w:p w:rsidR="00CA57BD" w:rsidRPr="005E04F9" w:rsidRDefault="00CA57BD" w:rsidP="00E136F9">
      <w:pPr>
        <w:autoSpaceDE w:val="0"/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</w:rPr>
        <w:t>RUIZ-SILVA</w:t>
      </w:r>
      <w:r w:rsidRPr="005E04F9">
        <w:rPr>
          <w:rFonts w:ascii="Arial" w:hAnsi="Arial" w:cs="Arial"/>
          <w:iCs/>
          <w:sz w:val="20"/>
          <w:szCs w:val="20"/>
        </w:rPr>
        <w:t xml:space="preserve">, C. </w:t>
      </w:r>
      <w:r w:rsidRPr="005E04F9">
        <w:rPr>
          <w:rFonts w:ascii="Arial" w:hAnsi="Arial" w:cs="Arial"/>
          <w:sz w:val="20"/>
          <w:szCs w:val="20"/>
        </w:rPr>
        <w:t>E</w:t>
      </w:r>
      <w:r w:rsidRPr="005E04F9">
        <w:rPr>
          <w:rFonts w:ascii="Arial" w:hAnsi="Arial" w:cs="Arial"/>
          <w:bCs/>
          <w:sz w:val="20"/>
          <w:szCs w:val="20"/>
        </w:rPr>
        <w:t>feito da corrente elétrica de baixa intensidade em feridas cutâneas de ratos.</w:t>
      </w:r>
      <w:r w:rsidRPr="005E04F9">
        <w:rPr>
          <w:rFonts w:ascii="Arial" w:hAnsi="Arial" w:cs="Arial"/>
          <w:sz w:val="20"/>
          <w:szCs w:val="20"/>
        </w:rPr>
        <w:t xml:space="preserve"> 2006. </w:t>
      </w:r>
      <w:smartTag w:uri="urn:schemas-microsoft-com:office:smarttags" w:element="metricconverter">
        <w:smartTagPr>
          <w:attr w:name="ProductID" w:val="121f"/>
        </w:smartTagPr>
        <w:r w:rsidRPr="005E04F9">
          <w:rPr>
            <w:rFonts w:ascii="Arial" w:hAnsi="Arial" w:cs="Arial"/>
            <w:sz w:val="20"/>
            <w:szCs w:val="20"/>
          </w:rPr>
          <w:t>121f</w:t>
        </w:r>
      </w:smartTag>
      <w:r w:rsidRPr="005E04F9">
        <w:rPr>
          <w:rFonts w:ascii="Arial" w:hAnsi="Arial" w:cs="Arial"/>
          <w:sz w:val="20"/>
          <w:szCs w:val="20"/>
        </w:rPr>
        <w:t>. Dissertação (Mestrado em Bioengenharia) – Instituto de Pesquisa e Desenvolvimento, Universidade do Vale do Paraíba, 2006.</w:t>
      </w:r>
    </w:p>
    <w:p w:rsidR="00CA57BD" w:rsidRPr="005E04F9" w:rsidRDefault="00CA57BD" w:rsidP="00E136F9">
      <w:pPr>
        <w:pStyle w:val="TextosemFormatao1"/>
        <w:rPr>
          <w:rFonts w:ascii="Arial" w:hAnsi="Arial" w:cs="Arial"/>
          <w:lang w:val="pt-BR"/>
        </w:rPr>
      </w:pPr>
    </w:p>
    <w:p w:rsidR="00CA57BD" w:rsidRPr="00994D91" w:rsidRDefault="00CA57BD" w:rsidP="00D00E08">
      <w:pPr>
        <w:pStyle w:val="BodyText"/>
        <w:spacing w:after="0"/>
      </w:pPr>
      <w:r w:rsidRPr="005E04F9">
        <w:rPr>
          <w:rFonts w:ascii="Arial" w:hAnsi="Arial" w:cs="Arial"/>
          <w:sz w:val="20"/>
          <w:szCs w:val="20"/>
        </w:rPr>
        <w:t xml:space="preserve">WATSON, T. Estimulação Elétrica para a cicatrização de feridas.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In: KITCHEN, S.; BAZIN, S. </w:t>
      </w:r>
      <w:r w:rsidRPr="005E04F9">
        <w:rPr>
          <w:rFonts w:ascii="Arial" w:hAnsi="Arial" w:cs="Arial"/>
          <w:b/>
          <w:bCs/>
          <w:sz w:val="20"/>
          <w:szCs w:val="20"/>
          <w:lang w:val="it-IT"/>
        </w:rPr>
        <w:t xml:space="preserve">Eletroterapia de Clayton.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10. ed. São Paulo: Ed. Manole, 1998. </w:t>
      </w:r>
    </w:p>
    <w:sectPr w:rsidR="00CA57BD" w:rsidRPr="00994D91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807" w:rsidRDefault="00165807">
      <w:r>
        <w:separator/>
      </w:r>
    </w:p>
  </w:endnote>
  <w:endnote w:type="continuationSeparator" w:id="0">
    <w:p w:rsidR="00165807" w:rsidRDefault="0016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39" w:rsidRPr="00EA1039" w:rsidRDefault="00947A78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AB9BCB" wp14:editId="62848DD7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425BCE" wp14:editId="16C8BA7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A1039" w:rsidRPr="00EA1039" w:rsidRDefault="00947A78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DA72048" wp14:editId="7F8E3FF2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039" w:rsidRPr="00994D91" w:rsidRDefault="00EA1039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48C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A1039" w:rsidRPr="00994D91" w:rsidRDefault="00EA1039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2448C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4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EA1039" w:rsidRPr="00EA1039">
      <w:rPr>
        <w:rFonts w:ascii="Tahoma" w:hAnsi="Tahoma"/>
        <w:sz w:val="18"/>
        <w:szCs w:val="18"/>
      </w:rPr>
      <w:t>XX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Iniciação Científica, XVI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Pós-Graduação e V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DE2293" w:rsidRDefault="00DE2293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807" w:rsidRDefault="00165807">
      <w:r>
        <w:separator/>
      </w:r>
    </w:p>
  </w:footnote>
  <w:footnote w:type="continuationSeparator" w:id="0">
    <w:p w:rsidR="00165807" w:rsidRDefault="00165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9C" w:rsidRDefault="00536694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1B280EA3" wp14:editId="6AC63351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204627"/>
    <w:rsid w:val="002207F4"/>
    <w:rsid w:val="0022448C"/>
    <w:rsid w:val="0027187B"/>
    <w:rsid w:val="00276636"/>
    <w:rsid w:val="0028407F"/>
    <w:rsid w:val="00287B87"/>
    <w:rsid w:val="002D5CF5"/>
    <w:rsid w:val="003279D3"/>
    <w:rsid w:val="00334CD7"/>
    <w:rsid w:val="003F6A65"/>
    <w:rsid w:val="004140DC"/>
    <w:rsid w:val="00454143"/>
    <w:rsid w:val="00455F3C"/>
    <w:rsid w:val="004712F8"/>
    <w:rsid w:val="0049206C"/>
    <w:rsid w:val="004B14A0"/>
    <w:rsid w:val="004C331B"/>
    <w:rsid w:val="004E79C8"/>
    <w:rsid w:val="004F65EF"/>
    <w:rsid w:val="005138B5"/>
    <w:rsid w:val="00536694"/>
    <w:rsid w:val="00537E9B"/>
    <w:rsid w:val="0055020A"/>
    <w:rsid w:val="00556364"/>
    <w:rsid w:val="00572D41"/>
    <w:rsid w:val="00573368"/>
    <w:rsid w:val="0059539C"/>
    <w:rsid w:val="005C6E98"/>
    <w:rsid w:val="005D29CC"/>
    <w:rsid w:val="005E04F9"/>
    <w:rsid w:val="005E21CA"/>
    <w:rsid w:val="005F62F0"/>
    <w:rsid w:val="0061151F"/>
    <w:rsid w:val="006342ED"/>
    <w:rsid w:val="00641264"/>
    <w:rsid w:val="0066088C"/>
    <w:rsid w:val="006D30CC"/>
    <w:rsid w:val="006D3C31"/>
    <w:rsid w:val="006E708E"/>
    <w:rsid w:val="00704BCF"/>
    <w:rsid w:val="00710BBC"/>
    <w:rsid w:val="00717EE1"/>
    <w:rsid w:val="00722482"/>
    <w:rsid w:val="007500E6"/>
    <w:rsid w:val="00755DF8"/>
    <w:rsid w:val="007676D6"/>
    <w:rsid w:val="007B25B9"/>
    <w:rsid w:val="007D0741"/>
    <w:rsid w:val="00805DA6"/>
    <w:rsid w:val="00824F43"/>
    <w:rsid w:val="00842C27"/>
    <w:rsid w:val="00851230"/>
    <w:rsid w:val="008646D2"/>
    <w:rsid w:val="00884010"/>
    <w:rsid w:val="008A1F1B"/>
    <w:rsid w:val="008C62CA"/>
    <w:rsid w:val="008E2348"/>
    <w:rsid w:val="008E2568"/>
    <w:rsid w:val="00900C9F"/>
    <w:rsid w:val="00902D93"/>
    <w:rsid w:val="009136EB"/>
    <w:rsid w:val="00914C12"/>
    <w:rsid w:val="00914DD4"/>
    <w:rsid w:val="00922233"/>
    <w:rsid w:val="00947A78"/>
    <w:rsid w:val="0098219A"/>
    <w:rsid w:val="00994CDB"/>
    <w:rsid w:val="00994D91"/>
    <w:rsid w:val="009D07C2"/>
    <w:rsid w:val="009F1199"/>
    <w:rsid w:val="00A1431F"/>
    <w:rsid w:val="00A14F00"/>
    <w:rsid w:val="00A24F2A"/>
    <w:rsid w:val="00A575C8"/>
    <w:rsid w:val="00A628B5"/>
    <w:rsid w:val="00A64AA4"/>
    <w:rsid w:val="00A807F0"/>
    <w:rsid w:val="00A86F5D"/>
    <w:rsid w:val="00AB2BAF"/>
    <w:rsid w:val="00AC1F29"/>
    <w:rsid w:val="00AD4E72"/>
    <w:rsid w:val="00B0242B"/>
    <w:rsid w:val="00B0609D"/>
    <w:rsid w:val="00B06647"/>
    <w:rsid w:val="00B10EB0"/>
    <w:rsid w:val="00B234A0"/>
    <w:rsid w:val="00B9277A"/>
    <w:rsid w:val="00B9635B"/>
    <w:rsid w:val="00BA4FD7"/>
    <w:rsid w:val="00BB1FA9"/>
    <w:rsid w:val="00BB78B0"/>
    <w:rsid w:val="00BC4C81"/>
    <w:rsid w:val="00BE76B3"/>
    <w:rsid w:val="00C03724"/>
    <w:rsid w:val="00C0400B"/>
    <w:rsid w:val="00C15FFD"/>
    <w:rsid w:val="00C6321C"/>
    <w:rsid w:val="00C65914"/>
    <w:rsid w:val="00C678B2"/>
    <w:rsid w:val="00C75FF9"/>
    <w:rsid w:val="00C80C64"/>
    <w:rsid w:val="00CA57BD"/>
    <w:rsid w:val="00D00E08"/>
    <w:rsid w:val="00D429ED"/>
    <w:rsid w:val="00D51349"/>
    <w:rsid w:val="00D645A1"/>
    <w:rsid w:val="00D73F6C"/>
    <w:rsid w:val="00D80831"/>
    <w:rsid w:val="00D84A55"/>
    <w:rsid w:val="00DD4914"/>
    <w:rsid w:val="00DE2293"/>
    <w:rsid w:val="00DF15A3"/>
    <w:rsid w:val="00DF6C27"/>
    <w:rsid w:val="00E01936"/>
    <w:rsid w:val="00E05B66"/>
    <w:rsid w:val="00E136F9"/>
    <w:rsid w:val="00E32BEA"/>
    <w:rsid w:val="00E35941"/>
    <w:rsid w:val="00E652C3"/>
    <w:rsid w:val="00E8011E"/>
    <w:rsid w:val="00E913DD"/>
    <w:rsid w:val="00E97B01"/>
    <w:rsid w:val="00EA1039"/>
    <w:rsid w:val="00F729F3"/>
    <w:rsid w:val="00F86DAD"/>
    <w:rsid w:val="00FA0564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5F0D-05D9-4F0E-BFB1-D13A9594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1448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9687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2017-08-01T16:47:00Z</dcterms:created>
  <dcterms:modified xsi:type="dcterms:W3CDTF">2017-08-29T00:15:00Z</dcterms:modified>
</cp:coreProperties>
</file>