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#promptengineering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 is a table summarizing some of the best practices for prompt engineering from OpenAI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c4c7c5" w:space="0" w:sz="6" w:val="single"/>
          <w:left w:color="c4c7c5" w:space="0" w:sz="6" w:val="single"/>
          <w:bottom w:color="c4c7c5" w:space="0" w:sz="6" w:val="single"/>
          <w:right w:color="c4c7c5" w:space="0" w:sz="6" w:val="single"/>
          <w:insideH w:color="c4c7c5" w:space="0" w:sz="6" w:val="single"/>
          <w:insideV w:color="c4c7c5" w:space="0" w:sz="6" w:val="single"/>
        </w:tblBorders>
        <w:tblLayout w:type="fixed"/>
        <w:tblLook w:val="0600"/>
      </w:tblPr>
      <w:tblGrid>
        <w:gridCol w:w="1646.2311557788944"/>
        <w:gridCol w:w="2492.86432160804"/>
        <w:gridCol w:w="2492.86432160804"/>
        <w:gridCol w:w="2728.0402010050248"/>
        <w:tblGridChange w:id="0">
          <w:tblGrid>
            <w:gridCol w:w="1646.2311557788944"/>
            <w:gridCol w:w="2492.86432160804"/>
            <w:gridCol w:w="2492.86432160804"/>
            <w:gridCol w:w="2728.0402010050248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Best 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clear instructions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specific, descriptive, and detailed instructions about the desired context, outcome, length, format, style, etc.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Summarize the text below as a bullet point list of the most important points. Text: """ {text input here} """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reference text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relevant text or data sources to help the model answer with fewer fabrications or errors.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 the model to answer using a reference text. Reference text: """ {text input here} """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complex tasks into simpler subtasks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Decompose a complex task into a sequence of simpler tasks that can be solved more reliably and efficiently.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intent classification to identify the most relevant instructions for a user query. Intent: {intent here} Instructions: {instructions here}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the model time to “think”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 the model to show its reasoning process or intermediate steps before giving the final answer.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 the model to work out its own solution before rushing to a conclusion. Solution: {solution here} Answer: {answer here}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openai.com/en/articles/6654000-best-practices-for-prompt-engineering-with-openai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