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GridTable6Colorful"/>
        <w:tblW w:type="pct" w:w="5000"/>
        <w:tblLook w:firstRow="1" w:lastRow="0" w:firstColumn="1" w:lastColumn="0" w:noHBand="1" w:noVBand="1" w:val="0020"/>
      </w:tblPr>
      <w:tblGrid>
        <w:gridCol w:w="1584"/>
        <w:gridCol w:w="1584"/>
        <w:gridCol w:w="1584"/>
        <w:gridCol w:w="1584"/>
        <w:gridCol w:w="1584"/>
      </w:tblGrid>
      <w:tr>
        <w:trPr>
          <w:tblHeader w:val="on"/>
        </w:trPr>
        <w:tc>
          <w:tcPr/>
          <w:p>
            <w:pPr>
              <w:pStyle w:val="Compact"/>
              <w:jc w:val="left"/>
            </w:pPr>
            <w:r>
              <w:t xml:space="preserve">CO-ID</w:t>
            </w:r>
          </w:p>
        </w:tc>
        <w:tc>
          <w:tcPr/>
          <w:p>
            <w:pPr>
              <w:pStyle w:val="Compact"/>
              <w:jc w:val="left"/>
            </w:pPr>
            <w:r>
              <w:t xml:space="preserve">Course Outcome</w:t>
            </w:r>
          </w:p>
        </w:tc>
        <w:tc>
          <w:tcPr/>
          <w:p>
            <w:pPr>
              <w:pStyle w:val="Compact"/>
              <w:jc w:val="left"/>
            </w:pPr>
            <w:r>
              <w:t xml:space="preserve">Course Code</w:t>
            </w:r>
          </w:p>
        </w:tc>
        <w:tc>
          <w:tcPr/>
          <w:p>
            <w:pPr>
              <w:pStyle w:val="Compact"/>
              <w:jc w:val="left"/>
            </w:pPr>
            <w:r>
              <w:t xml:space="preserve">Bloom’s Level</w:t>
            </w:r>
          </w:p>
        </w:tc>
        <w:tc>
          <w:tcPr/>
          <w:p>
            <w:pPr>
              <w:pStyle w:val="Compact"/>
              <w:jc w:val="left"/>
            </w:pPr>
            <w:r>
              <w:t xml:space="preserve">Justification / Remarks</w:t>
            </w:r>
          </w:p>
        </w:tc>
      </w:tr>
      <w:tr>
        <w:tc>
          <w:tcPr/>
          <w:p>
            <w:pPr>
              <w:pStyle w:val="Compact"/>
              <w:jc w:val="left"/>
            </w:pPr>
            <w:r>
              <w:t xml:space="preserve">ECE000.1</w:t>
            </w:r>
          </w:p>
        </w:tc>
        <w:tc>
          <w:tcPr/>
          <w:p>
            <w:pPr>
              <w:pStyle w:val="Compact"/>
              <w:jc w:val="left"/>
            </w:pPr>
            <w:r>
              <w:t xml:space="preserve">Apply vector calculus concepts along with physical principles and properties to effectively solve problems encountered in everyday life, further study in science, and in the professional world related to electric field.</w:t>
            </w:r>
          </w:p>
        </w:tc>
        <w:tc>
          <w:tcPr/>
          <w:p>
            <w:pPr>
              <w:pStyle w:val="Compact"/>
              <w:jc w:val="left"/>
            </w:pPr>
            <w:r>
              <w:t xml:space="preserve">ECE000</w:t>
            </w:r>
          </w:p>
        </w:tc>
        <w:tc>
          <w:tcPr/>
          <w:p>
            <w:pPr>
              <w:pStyle w:val="Compact"/>
              <w:jc w:val="left"/>
            </w:pPr>
            <w:r>
              <w:t xml:space="preserve">K2 (AP)</w:t>
            </w:r>
          </w:p>
        </w:tc>
        <w:tc>
          <w:tcPr/>
          <w:p>
            <w:pPr>
              <w:pStyle w:val="Compact"/>
            </w:pPr>
          </w:p>
        </w:tc>
      </w:tr>
      <w:tr>
        <w:tc>
          <w:tcPr/>
          <w:p>
            <w:pPr>
              <w:pStyle w:val="Compact"/>
              <w:jc w:val="left"/>
            </w:pPr>
            <w:r>
              <w:t xml:space="preserve">ECE000.2</w:t>
            </w:r>
          </w:p>
        </w:tc>
        <w:tc>
          <w:tcPr/>
          <w:p>
            <w:pPr>
              <w:pStyle w:val="Compact"/>
              <w:jc w:val="left"/>
            </w:pPr>
            <w:r>
              <w:t xml:space="preserve">Visualise the variations in Magnetic field by the knowledge gained from Ampere’s circuital law.</w:t>
            </w:r>
          </w:p>
        </w:tc>
        <w:tc>
          <w:tcPr/>
          <w:p>
            <w:pPr>
              <w:pStyle w:val="Compact"/>
              <w:jc w:val="left"/>
            </w:pPr>
            <w:r>
              <w:t xml:space="preserve">ECE000</w:t>
            </w:r>
          </w:p>
        </w:tc>
        <w:tc>
          <w:tcPr/>
          <w:p>
            <w:pPr>
              <w:pStyle w:val="Compact"/>
              <w:jc w:val="left"/>
            </w:pPr>
            <w:r>
              <w:t xml:space="preserve">K2 (AP)</w:t>
            </w:r>
          </w:p>
        </w:tc>
        <w:tc>
          <w:tcPr/>
          <w:p>
            <w:pPr>
              <w:pStyle w:val="Compact"/>
            </w:pPr>
          </w:p>
        </w:tc>
      </w:tr>
      <w:tr>
        <w:tc>
          <w:tcPr/>
          <w:p>
            <w:pPr>
              <w:pStyle w:val="Compact"/>
              <w:jc w:val="left"/>
            </w:pPr>
            <w:r>
              <w:t xml:space="preserve">ECE000.3</w:t>
            </w:r>
          </w:p>
        </w:tc>
        <w:tc>
          <w:tcPr/>
          <w:p>
            <w:pPr>
              <w:pStyle w:val="Compact"/>
              <w:jc w:val="left"/>
            </w:pPr>
            <w:r>
              <w:t xml:space="preserve">Interpret phasor Maxwell’s equations in differential and integral forms, in time domain from the electrodynamics concept.</w:t>
            </w:r>
          </w:p>
        </w:tc>
        <w:tc>
          <w:tcPr/>
          <w:p>
            <w:pPr>
              <w:pStyle w:val="Compact"/>
              <w:jc w:val="left"/>
            </w:pPr>
            <w:r>
              <w:t xml:space="preserve">ECE000</w:t>
            </w:r>
          </w:p>
        </w:tc>
        <w:tc>
          <w:tcPr/>
          <w:p>
            <w:pPr>
              <w:pStyle w:val="Compact"/>
              <w:jc w:val="left"/>
            </w:pPr>
            <w:r>
              <w:t xml:space="preserve">K2 (AP)</w:t>
            </w:r>
          </w:p>
        </w:tc>
        <w:tc>
          <w:tcPr/>
          <w:p>
            <w:pPr>
              <w:pStyle w:val="Compact"/>
            </w:pPr>
          </w:p>
        </w:tc>
      </w:tr>
      <w:tr>
        <w:tc>
          <w:tcPr/>
          <w:p>
            <w:pPr>
              <w:pStyle w:val="Compact"/>
              <w:jc w:val="left"/>
            </w:pPr>
            <w:r>
              <w:t xml:space="preserve">ECE000.4</w:t>
            </w:r>
          </w:p>
        </w:tc>
        <w:tc>
          <w:tcPr/>
          <w:p>
            <w:pPr>
              <w:pStyle w:val="Compact"/>
              <w:jc w:val="left"/>
            </w:pPr>
            <w:r>
              <w:t xml:space="preserve">Analyse the boundary conditions between the two different mediums in the magnetic field and apply the concepts of uniform plane wave propagation for the time varying electric and magnetic fields.</w:t>
            </w:r>
          </w:p>
        </w:tc>
        <w:tc>
          <w:tcPr/>
          <w:p>
            <w:pPr>
              <w:pStyle w:val="Compact"/>
              <w:jc w:val="left"/>
            </w:pPr>
            <w:r>
              <w:t xml:space="preserve">ECE000</w:t>
            </w:r>
          </w:p>
        </w:tc>
        <w:tc>
          <w:tcPr/>
          <w:p>
            <w:pPr>
              <w:pStyle w:val="Compact"/>
              <w:jc w:val="left"/>
            </w:pPr>
            <w:r>
              <w:t xml:space="preserve">K2 (AP)</w:t>
            </w:r>
          </w:p>
        </w:tc>
        <w:tc>
          <w:tcPr/>
          <w:p>
            <w:pPr>
              <w:pStyle w:val="Compact"/>
            </w:pPr>
          </w:p>
        </w:tc>
      </w:tr>
      <w:tr>
        <w:tc>
          <w:tcPr/>
          <w:p>
            <w:pPr>
              <w:pStyle w:val="Compact"/>
              <w:jc w:val="left"/>
            </w:pPr>
            <w:r>
              <w:t xml:space="preserve">ECE000.5</w:t>
            </w:r>
          </w:p>
        </w:tc>
        <w:tc>
          <w:tcPr/>
          <w:p>
            <w:pPr>
              <w:pStyle w:val="Compact"/>
              <w:jc w:val="left"/>
            </w:pPr>
            <w:r>
              <w:t xml:space="preserve">Make appropriate trade-offs to achieve the most cost-effective sustainable design that meets all requirements with the knowledge gained on EMI/EMC due to EM waves.</w:t>
            </w:r>
          </w:p>
        </w:tc>
        <w:tc>
          <w:tcPr/>
          <w:p>
            <w:pPr>
              <w:pStyle w:val="Compact"/>
              <w:jc w:val="left"/>
            </w:pPr>
            <w:r>
              <w:t xml:space="preserve">ECE000</w:t>
            </w:r>
          </w:p>
        </w:tc>
        <w:tc>
          <w:tcPr/>
          <w:p>
            <w:pPr>
              <w:pStyle w:val="Compact"/>
              <w:jc w:val="left"/>
            </w:pPr>
            <w:r>
              <w:t xml:space="preserve">K2 (AP)</w:t>
            </w:r>
          </w:p>
        </w:tc>
        <w:tc>
          <w:tcPr/>
          <w:p>
            <w:pPr>
              <w:pStyle w:val="Compact"/>
            </w:pPr>
          </w:p>
        </w:tc>
      </w:tr>
      <w:tr>
        <w:tc>
          <w:tcPr/>
          <w:p>
            <w:pPr>
              <w:pStyle w:val="Compact"/>
              <w:jc w:val="left"/>
            </w:pPr>
            <w:r>
              <w:t xml:space="preserve">ECE000.6</w:t>
            </w:r>
          </w:p>
        </w:tc>
        <w:tc>
          <w:tcPr/>
          <w:p>
            <w:pPr>
              <w:pStyle w:val="Compact"/>
              <w:jc w:val="left"/>
            </w:pPr>
            <w:r>
              <w:t xml:space="preserve">As a team acquire data from computer simulations to explore electromagnetic principles, effectively communicate the results, and critically evaluate the related engineering concepts, following the safety procedures and ethics in the laboratory.</w:t>
            </w:r>
          </w:p>
        </w:tc>
        <w:tc>
          <w:tcPr/>
          <w:p>
            <w:pPr>
              <w:pStyle w:val="Compact"/>
              <w:jc w:val="left"/>
            </w:pPr>
            <w:r>
              <w:t xml:space="preserve">ECE000</w:t>
            </w:r>
          </w:p>
        </w:tc>
        <w:tc>
          <w:tcPr/>
          <w:p>
            <w:pPr>
              <w:pStyle w:val="Compact"/>
              <w:jc w:val="left"/>
            </w:pPr>
            <w:r>
              <w:t xml:space="preserve">K2 (AP)</w:t>
            </w:r>
          </w:p>
        </w:tc>
        <w:tc>
          <w:tcPr/>
          <w:p>
            <w:pPr>
              <w:pStyle w:val="Compact"/>
            </w:pPr>
          </w:p>
        </w:tc>
      </w:tr>
      <w:tr>
        <w:tc>
          <w:tcPr/>
          <w:p>
            <w:pPr>
              <w:pStyle w:val="Compact"/>
              <w:jc w:val="left"/>
            </w:pPr>
            <w:r>
              <w:t xml:space="preserve">ECE001.1</w:t>
            </w:r>
          </w:p>
        </w:tc>
        <w:tc>
          <w:tcPr/>
          <w:p>
            <w:pPr>
              <w:pStyle w:val="Compact"/>
              <w:jc w:val="left"/>
            </w:pPr>
            <w:r>
              <w:t xml:space="preserve">To represent various dimensional signals mathematically in continuous and discrete form in time and frequency domain</w:t>
            </w:r>
          </w:p>
        </w:tc>
        <w:tc>
          <w:tcPr/>
          <w:p>
            <w:pPr>
              <w:pStyle w:val="Compact"/>
              <w:jc w:val="left"/>
            </w:pPr>
            <w:r>
              <w:t xml:space="preserve">ECE001</w:t>
            </w:r>
          </w:p>
        </w:tc>
        <w:tc>
          <w:tcPr/>
          <w:p>
            <w:pPr>
              <w:pStyle w:val="Compact"/>
              <w:jc w:val="left"/>
            </w:pPr>
            <w:r>
              <w:t xml:space="preserve">K2 (AP)</w:t>
            </w:r>
          </w:p>
        </w:tc>
        <w:tc>
          <w:tcPr/>
          <w:p>
            <w:pPr>
              <w:pStyle w:val="Compact"/>
            </w:pPr>
          </w:p>
        </w:tc>
      </w:tr>
      <w:tr>
        <w:tc>
          <w:tcPr/>
          <w:p>
            <w:pPr>
              <w:pStyle w:val="Compact"/>
              <w:jc w:val="left"/>
            </w:pPr>
            <w:r>
              <w:t xml:space="preserve">ECE001.2</w:t>
            </w:r>
          </w:p>
        </w:tc>
        <w:tc>
          <w:tcPr/>
          <w:p>
            <w:pPr>
              <w:pStyle w:val="Compact"/>
              <w:jc w:val="left"/>
            </w:pPr>
            <w:r>
              <w:t xml:space="preserve">To design the FIR digital filters for various applications meeting the requirements</w:t>
            </w:r>
          </w:p>
        </w:tc>
        <w:tc>
          <w:tcPr/>
          <w:p>
            <w:pPr>
              <w:pStyle w:val="Compact"/>
              <w:jc w:val="left"/>
            </w:pPr>
            <w:r>
              <w:t xml:space="preserve">ECE001</w:t>
            </w:r>
          </w:p>
        </w:tc>
        <w:tc>
          <w:tcPr/>
          <w:p>
            <w:pPr>
              <w:pStyle w:val="Compact"/>
              <w:jc w:val="left"/>
            </w:pPr>
            <w:r>
              <w:t xml:space="preserve">K2 (AP)</w:t>
            </w:r>
          </w:p>
        </w:tc>
        <w:tc>
          <w:tcPr/>
          <w:p>
            <w:pPr>
              <w:pStyle w:val="Compact"/>
            </w:pPr>
          </w:p>
        </w:tc>
      </w:tr>
      <w:tr>
        <w:tc>
          <w:tcPr/>
          <w:p>
            <w:pPr>
              <w:pStyle w:val="Compact"/>
              <w:jc w:val="left"/>
            </w:pPr>
            <w:r>
              <w:t xml:space="preserve">ECE001.3</w:t>
            </w:r>
          </w:p>
        </w:tc>
        <w:tc>
          <w:tcPr/>
          <w:p>
            <w:pPr>
              <w:pStyle w:val="Compact"/>
              <w:jc w:val="left"/>
            </w:pPr>
            <w:r>
              <w:t xml:space="preserve">To design the IIR digital filters for various applications meeting the requirements</w:t>
            </w:r>
          </w:p>
        </w:tc>
        <w:tc>
          <w:tcPr/>
          <w:p>
            <w:pPr>
              <w:pStyle w:val="Compact"/>
              <w:jc w:val="left"/>
            </w:pPr>
            <w:r>
              <w:t xml:space="preserve">ECE001</w:t>
            </w:r>
          </w:p>
        </w:tc>
        <w:tc>
          <w:tcPr/>
          <w:p>
            <w:pPr>
              <w:pStyle w:val="Compact"/>
              <w:jc w:val="left"/>
            </w:pPr>
            <w:r>
              <w:t xml:space="preserve">K2 (AP)</w:t>
            </w:r>
          </w:p>
        </w:tc>
        <w:tc>
          <w:tcPr/>
          <w:p>
            <w:pPr>
              <w:pStyle w:val="Compact"/>
            </w:pPr>
          </w:p>
        </w:tc>
      </w:tr>
      <w:tr>
        <w:tc>
          <w:tcPr/>
          <w:p>
            <w:pPr>
              <w:pStyle w:val="Compact"/>
              <w:jc w:val="left"/>
            </w:pPr>
            <w:r>
              <w:t xml:space="preserve">ECE001.4</w:t>
            </w:r>
          </w:p>
        </w:tc>
        <w:tc>
          <w:tcPr/>
          <w:p>
            <w:pPr>
              <w:pStyle w:val="Compact"/>
              <w:jc w:val="left"/>
            </w:pPr>
            <w:r>
              <w:t xml:space="preserve">To design frequency domain filters and spatial filters for image enhancement</w:t>
            </w:r>
          </w:p>
        </w:tc>
        <w:tc>
          <w:tcPr/>
          <w:p>
            <w:pPr>
              <w:pStyle w:val="Compact"/>
              <w:jc w:val="left"/>
            </w:pPr>
            <w:r>
              <w:t xml:space="preserve">ECE001</w:t>
            </w:r>
          </w:p>
        </w:tc>
        <w:tc>
          <w:tcPr/>
          <w:p>
            <w:pPr>
              <w:pStyle w:val="Compact"/>
              <w:jc w:val="left"/>
            </w:pPr>
            <w:r>
              <w:t xml:space="preserve">K2 (AP)</w:t>
            </w:r>
          </w:p>
        </w:tc>
        <w:tc>
          <w:tcPr/>
          <w:p>
            <w:pPr>
              <w:pStyle w:val="Compact"/>
            </w:pPr>
          </w:p>
        </w:tc>
      </w:tr>
      <w:tr>
        <w:tc>
          <w:tcPr/>
          <w:p>
            <w:pPr>
              <w:pStyle w:val="Compact"/>
              <w:jc w:val="left"/>
            </w:pPr>
            <w:r>
              <w:t xml:space="preserve">ECE001.5</w:t>
            </w:r>
          </w:p>
        </w:tc>
        <w:tc>
          <w:tcPr/>
          <w:p>
            <w:pPr>
              <w:pStyle w:val="Compact"/>
              <w:jc w:val="left"/>
            </w:pPr>
            <w:r>
              <w:t xml:space="preserve">To analyse the methodologies for image restoration, image segmentation and image compression</w:t>
            </w:r>
          </w:p>
        </w:tc>
        <w:tc>
          <w:tcPr/>
          <w:p>
            <w:pPr>
              <w:pStyle w:val="Compact"/>
              <w:jc w:val="left"/>
            </w:pPr>
            <w:r>
              <w:t xml:space="preserve">ECE001</w:t>
            </w:r>
          </w:p>
        </w:tc>
        <w:tc>
          <w:tcPr/>
          <w:p>
            <w:pPr>
              <w:pStyle w:val="Compact"/>
              <w:jc w:val="left"/>
            </w:pPr>
            <w:r>
              <w:t xml:space="preserve">K2 (AP)</w:t>
            </w:r>
          </w:p>
        </w:tc>
        <w:tc>
          <w:tcPr/>
          <w:p>
            <w:pPr>
              <w:pStyle w:val="Compact"/>
            </w:pPr>
          </w:p>
        </w:tc>
      </w:tr>
      <w:tr>
        <w:tc>
          <w:tcPr/>
          <w:p>
            <w:pPr>
              <w:pStyle w:val="Compact"/>
              <w:jc w:val="left"/>
            </w:pPr>
            <w:r>
              <w:t xml:space="preserve">ECE001.6</w:t>
            </w:r>
          </w:p>
        </w:tc>
        <w:tc>
          <w:tcPr/>
          <w:p>
            <w:pPr>
              <w:pStyle w:val="Compact"/>
              <w:jc w:val="left"/>
            </w:pPr>
            <w:r>
              <w:t xml:space="preserve">Work as part of a team and as individual effectively in designing the communication systems following the norms and ethics in practice</w:t>
            </w:r>
          </w:p>
        </w:tc>
        <w:tc>
          <w:tcPr/>
          <w:p>
            <w:pPr>
              <w:pStyle w:val="Compact"/>
              <w:jc w:val="left"/>
            </w:pPr>
            <w:r>
              <w:t xml:space="preserve">ECE001</w:t>
            </w:r>
          </w:p>
        </w:tc>
        <w:tc>
          <w:tcPr/>
          <w:p>
            <w:pPr>
              <w:pStyle w:val="Compact"/>
              <w:jc w:val="left"/>
            </w:pPr>
            <w:r>
              <w:t xml:space="preserve">K2 (AP)</w:t>
            </w:r>
          </w:p>
        </w:tc>
        <w:tc>
          <w:tcPr/>
          <w:p>
            <w:pPr>
              <w:pStyle w:val="Compact"/>
            </w:pPr>
          </w:p>
        </w:tc>
      </w:tr>
    </w:tbl>
    <w:sectPr w:rsidR="00590278" w:rsidSect="00CC6259">
      <w:pgSz w:code="9" w:h="11906" w:orient="landscape" w:w="16838"/>
      <w:pgMar w:bottom="1440" w:footer="720" w:gutter="0" w:header="720"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atha">
    <w:panose1 w:val="020B0604020202020204"/>
    <w:charset w:val="00"/>
    <w:family w:val="swiss"/>
    <w:pitch w:val="variable"/>
    <w:sig w:usb0="001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259"/>
    <w:rsid w:val="00092577"/>
    <w:rsid w:val="000E0E9F"/>
    <w:rsid w:val="004A76EC"/>
    <w:rsid w:val="004B6240"/>
    <w:rsid w:val="00590278"/>
    <w:rsid w:val="005F5734"/>
    <w:rsid w:val="006A29D7"/>
    <w:rsid w:val="006D1159"/>
    <w:rsid w:val="006E05D6"/>
    <w:rsid w:val="007131ED"/>
    <w:rsid w:val="00746ABF"/>
    <w:rsid w:val="008D31BC"/>
    <w:rsid w:val="00976E63"/>
    <w:rsid w:val="00B06989"/>
    <w:rsid w:val="00B24176"/>
    <w:rsid w:val="00BC5A41"/>
    <w:rsid w:val="00BD1D35"/>
    <w:rsid w:val="00C442EE"/>
    <w:rsid w:val="00CC6259"/>
    <w:rsid w:val="00D32317"/>
    <w:rsid w:val="00D85A7D"/>
    <w:rsid w:val="00E43EAC"/>
  </w:rsids>
  <w:themeFontLang w:bidi="ta-IN" w:val="en-IN"/>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IN"/>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C442EE"/>
    <w:pPr>
      <w:keepNext/>
      <w:keepLines/>
      <w:spacing w:after="80" w:before="360"/>
      <w:outlineLvl w:val="0"/>
    </w:pPr>
    <w:rPr>
      <w:rFonts w:asciiTheme="majorHAnsi" w:cstheme="majorBidi" w:eastAsiaTheme="majorEastAsia" w:hAnsiTheme="majorHAnsi"/>
      <w:sz w:val="40"/>
      <w:szCs w:val="40"/>
    </w:rPr>
  </w:style>
  <w:style w:styleId="Heading2" w:type="paragraph">
    <w:name w:val="heading 2"/>
    <w:basedOn w:val="Normal"/>
    <w:next w:val="Normal"/>
    <w:link w:val="Heading2Char"/>
    <w:uiPriority w:val="9"/>
    <w:semiHidden/>
    <w:unhideWhenUsed/>
    <w:qFormat/>
    <w:rsid w:val="00C442EE"/>
    <w:pPr>
      <w:keepNext/>
      <w:keepLines/>
      <w:spacing w:after="80" w:before="160"/>
      <w:outlineLvl w:val="1"/>
    </w:pPr>
    <w:rPr>
      <w:rFonts w:asciiTheme="majorHAnsi" w:cstheme="majorBidi" w:eastAsiaTheme="majorEastAsia" w:hAnsiTheme="majorHAnsi"/>
      <w:sz w:val="32"/>
      <w:szCs w:val="32"/>
    </w:rPr>
  </w:style>
  <w:style w:styleId="Heading3" w:type="paragraph">
    <w:name w:val="heading 3"/>
    <w:basedOn w:val="Normal"/>
    <w:next w:val="Normal"/>
    <w:link w:val="Heading3Char"/>
    <w:uiPriority w:val="9"/>
    <w:semiHidden/>
    <w:unhideWhenUsed/>
    <w:qFormat/>
    <w:rsid w:val="00CC625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CC625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CC625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C625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C625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C625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C625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442EE"/>
    <w:rPr>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C442EE"/>
    <w:rPr>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CC625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CC625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CC625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C625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C625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C625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C6259"/>
    <w:rPr>
      <w:rFonts w:cstheme="majorBidi" w:eastAsiaTheme="majorEastAsia"/>
      <w:color w:themeColor="text1" w:themeTint="D8" w:val="272727"/>
    </w:rPr>
  </w:style>
  <w:style w:styleId="Title" w:type="paragraph">
    <w:name w:val="Title"/>
    <w:basedOn w:val="Normal"/>
    <w:next w:val="Normal"/>
    <w:link w:val="TitleChar"/>
    <w:uiPriority w:val="10"/>
    <w:qFormat/>
    <w:rsid w:val="00CC625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CC625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CC625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CC625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CC6259"/>
    <w:pPr>
      <w:spacing w:before="160"/>
      <w:jc w:val="center"/>
    </w:pPr>
    <w:rPr>
      <w:i/>
      <w:iCs/>
      <w:color w:themeColor="text1" w:themeTint="BF" w:val="404040"/>
    </w:rPr>
  </w:style>
  <w:style w:customStyle="1" w:styleId="QuoteChar" w:type="character">
    <w:name w:val="Quote Char"/>
    <w:basedOn w:val="DefaultParagraphFont"/>
    <w:link w:val="Quote"/>
    <w:uiPriority w:val="29"/>
    <w:rsid w:val="00CC6259"/>
    <w:rPr>
      <w:i/>
      <w:iCs/>
      <w:color w:themeColor="text1" w:themeTint="BF" w:val="404040"/>
    </w:rPr>
  </w:style>
  <w:style w:styleId="ListParagraph" w:type="paragraph">
    <w:name w:val="List Paragraph"/>
    <w:basedOn w:val="Normal"/>
    <w:uiPriority w:val="34"/>
    <w:qFormat/>
    <w:rsid w:val="00CC6259"/>
    <w:pPr>
      <w:ind w:left="720"/>
      <w:contextualSpacing/>
    </w:pPr>
  </w:style>
  <w:style w:styleId="IntenseEmphasis" w:type="character">
    <w:name w:val="Intense Emphasis"/>
    <w:basedOn w:val="DefaultParagraphFont"/>
    <w:uiPriority w:val="21"/>
    <w:qFormat/>
    <w:rsid w:val="00CC6259"/>
    <w:rPr>
      <w:i/>
      <w:iCs/>
      <w:color w:themeColor="accent1" w:themeShade="BF" w:val="0F4761"/>
    </w:rPr>
  </w:style>
  <w:style w:styleId="IntenseQuote" w:type="paragraph">
    <w:name w:val="Intense Quote"/>
    <w:basedOn w:val="Normal"/>
    <w:next w:val="Normal"/>
    <w:link w:val="IntenseQuoteChar"/>
    <w:uiPriority w:val="30"/>
    <w:qFormat/>
    <w:rsid w:val="00CC6259"/>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C6259"/>
    <w:rPr>
      <w:i/>
      <w:iCs/>
      <w:color w:themeColor="accent1" w:themeShade="BF" w:val="0F4761"/>
    </w:rPr>
  </w:style>
  <w:style w:styleId="IntenseReference" w:type="character">
    <w:name w:val="Intense Reference"/>
    <w:basedOn w:val="DefaultParagraphFont"/>
    <w:uiPriority w:val="32"/>
    <w:qFormat/>
    <w:rsid w:val="00CC6259"/>
    <w:rPr>
      <w:b/>
      <w:bCs/>
      <w:smallCaps/>
      <w:color w:themeColor="accent1" w:themeShade="BF" w:val="0F4761"/>
      <w:spacing w:val="5"/>
    </w:rPr>
  </w:style>
  <w:style w:styleId="TableGrid" w:type="table">
    <w:name w:val="Table Grid"/>
    <w:basedOn w:val="TableNormal"/>
    <w:uiPriority w:val="39"/>
    <w:rsid w:val="00CC625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Accent4" w:type="table">
    <w:name w:val="Grid Table 4 Accent 4"/>
    <w:basedOn w:val="TableNormal"/>
    <w:uiPriority w:val="49"/>
    <w:rsid w:val="00CC6259"/>
    <w:pPr>
      <w:spacing w:after="0" w:line="240" w:lineRule="auto"/>
    </w:pPr>
    <w:tblPr>
      <w:tblStyleRowBandSize w:val="1"/>
      <w:tblStyleColBandSize w:val="1"/>
      <w:tblBorders>
        <w:top w:color="60CAF3" w:space="0" w:sz="4" w:themeColor="accent4" w:themeTint="99" w:val="single"/>
        <w:left w:color="60CAF3" w:space="0" w:sz="4" w:themeColor="accent4" w:themeTint="99" w:val="single"/>
        <w:bottom w:color="60CAF3" w:space="0" w:sz="4" w:themeColor="accent4" w:themeTint="99" w:val="single"/>
        <w:right w:color="60CAF3" w:space="0" w:sz="4" w:themeColor="accent4" w:themeTint="99" w:val="single"/>
        <w:insideH w:color="60CAF3" w:space="0" w:sz="4" w:themeColor="accent4" w:themeTint="99" w:val="single"/>
        <w:insideV w:color="60CAF3" w:space="0" w:sz="4" w:themeColor="accent4" w:themeTint="99" w:val="single"/>
      </w:tblBorders>
    </w:tblPr>
    <w:tblStylePr w:type="firstRow">
      <w:rPr>
        <w:b/>
        <w:bCs/>
        <w:color w:themeColor="background1" w:val="FFFFFF"/>
      </w:rPr>
      <w:tblPr/>
      <w:tcPr>
        <w:tcBorders>
          <w:top w:color="0F9ED5" w:space="0" w:sz="4" w:themeColor="accent4" w:val="single"/>
          <w:left w:color="0F9ED5" w:space="0" w:sz="4" w:themeColor="accent4" w:val="single"/>
          <w:bottom w:color="0F9ED5" w:space="0" w:sz="4" w:themeColor="accent4" w:val="single"/>
          <w:right w:color="0F9ED5" w:space="0" w:sz="4" w:themeColor="accent4" w:val="single"/>
          <w:insideH w:val="nil"/>
          <w:insideV w:val="nil"/>
        </w:tcBorders>
        <w:shd w:color="auto" w:fill="0F9ED5" w:themeFill="accent4" w:val="clear"/>
      </w:tcPr>
    </w:tblStylePr>
    <w:tblStylePr w:type="lastRow">
      <w:rPr>
        <w:b/>
        <w:bCs/>
      </w:rPr>
      <w:tblPr/>
      <w:tcPr>
        <w:tcBorders>
          <w:top w:color="0F9ED5" w:space="0" w:sz="4" w:themeColor="accent4" w:val="double"/>
        </w:tcBorders>
      </w:tcPr>
    </w:tblStylePr>
    <w:tblStylePr w:type="firstCol">
      <w:rPr>
        <w:b/>
        <w:bCs/>
      </w:rPr>
    </w:tblStylePr>
    <w:tblStylePr w:type="lastCol">
      <w:rPr>
        <w:b/>
        <w:bCs/>
      </w:rPr>
    </w:tblStylePr>
    <w:tblStylePr w:type="band1Vert">
      <w:tblPr/>
      <w:tcPr>
        <w:shd w:color="auto" w:fill="CAEDFB" w:themeFill="accent4" w:themeFillTint="33" w:val="clear"/>
      </w:tcPr>
    </w:tblStylePr>
    <w:tblStylePr w:type="band1Horz">
      <w:tblPr/>
      <w:tcPr>
        <w:shd w:color="auto" w:fill="CAEDFB" w:themeFill="accent4" w:themeFillTint="33" w:val="clear"/>
      </w:tcPr>
    </w:tblStylePr>
  </w:style>
  <w:style w:styleId="ListTable4-Accent4" w:type="table">
    <w:name w:val="List Table 4 Accent 4"/>
    <w:basedOn w:val="TableNormal"/>
    <w:uiPriority w:val="49"/>
    <w:rsid w:val="00CC6259"/>
    <w:pPr>
      <w:spacing w:after="0" w:line="240" w:lineRule="auto"/>
    </w:pPr>
    <w:tblPr>
      <w:tblStyleRowBandSize w:val="1"/>
      <w:tblStyleColBandSize w:val="1"/>
      <w:tblBorders>
        <w:top w:color="60CAF3" w:space="0" w:sz="4" w:themeColor="accent4" w:themeTint="99" w:val="single"/>
        <w:left w:color="60CAF3" w:space="0" w:sz="4" w:themeColor="accent4" w:themeTint="99" w:val="single"/>
        <w:bottom w:color="60CAF3" w:space="0" w:sz="4" w:themeColor="accent4" w:themeTint="99" w:val="single"/>
        <w:right w:color="60CAF3" w:space="0" w:sz="4" w:themeColor="accent4" w:themeTint="99" w:val="single"/>
        <w:insideH w:color="60CAF3" w:space="0" w:sz="4" w:themeColor="accent4" w:themeTint="99" w:val="single"/>
      </w:tblBorders>
    </w:tblPr>
    <w:tblStylePr w:type="firstRow">
      <w:rPr>
        <w:b/>
        <w:bCs/>
        <w:color w:themeColor="background1" w:val="FFFFFF"/>
      </w:rPr>
      <w:tblPr/>
      <w:tcPr>
        <w:tcBorders>
          <w:top w:color="0F9ED5" w:space="0" w:sz="4" w:themeColor="accent4" w:val="single"/>
          <w:left w:color="0F9ED5" w:space="0" w:sz="4" w:themeColor="accent4" w:val="single"/>
          <w:bottom w:color="0F9ED5" w:space="0" w:sz="4" w:themeColor="accent4" w:val="single"/>
          <w:right w:color="0F9ED5" w:space="0" w:sz="4" w:themeColor="accent4" w:val="single"/>
          <w:insideH w:val="nil"/>
        </w:tcBorders>
        <w:shd w:color="auto" w:fill="0F9ED5" w:themeFill="accent4" w:val="clear"/>
      </w:tcPr>
    </w:tblStylePr>
    <w:tblStylePr w:type="lastRow">
      <w:rPr>
        <w:b/>
        <w:bCs/>
      </w:rPr>
      <w:tblPr/>
      <w:tcPr>
        <w:tcBorders>
          <w:top w:color="60CAF3" w:space="0" w:sz="4" w:themeColor="accent4" w:themeTint="99" w:val="double"/>
        </w:tcBorders>
      </w:tcPr>
    </w:tblStylePr>
    <w:tblStylePr w:type="firstCol">
      <w:rPr>
        <w:b/>
        <w:bCs/>
      </w:rPr>
    </w:tblStylePr>
    <w:tblStylePr w:type="lastCol">
      <w:rPr>
        <w:b/>
        <w:bCs/>
      </w:rPr>
    </w:tblStylePr>
    <w:tblStylePr w:type="band1Vert">
      <w:tblPr/>
      <w:tcPr>
        <w:shd w:color="auto" w:fill="CAEDFB" w:themeFill="accent4" w:themeFillTint="33" w:val="clear"/>
      </w:tcPr>
    </w:tblStylePr>
    <w:tblStylePr w:type="band1Horz">
      <w:tblPr/>
      <w:tcPr>
        <w:shd w:color="auto" w:fill="CAEDFB" w:themeFill="accent4" w:themeFillTint="33" w:val="clear"/>
      </w:tcPr>
    </w:tblStylePr>
  </w:style>
  <w:style w:styleId="ListTable4-Accent1" w:type="table">
    <w:name w:val="List Table 4 Accent 1"/>
    <w:basedOn w:val="TableNormal"/>
    <w:uiPriority w:val="49"/>
    <w:rsid w:val="00CC6259"/>
    <w:pPr>
      <w:spacing w:after="0" w:line="240" w:lineRule="auto"/>
    </w:p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tblBorders>
    </w:tblPr>
    <w:tblStylePr w:type="firstRow">
      <w:rPr>
        <w:b/>
        <w:bCs/>
        <w:color w:themeColor="background1" w:val="FFFFFF"/>
      </w:rPr>
      <w:tblPr/>
      <w:tcPr>
        <w:tcBorders>
          <w:top w:color="156082" w:space="0" w:sz="4" w:themeColor="accent1" w:val="single"/>
          <w:left w:color="156082" w:space="0" w:sz="4" w:themeColor="accent1" w:val="single"/>
          <w:bottom w:color="156082" w:space="0" w:sz="4" w:themeColor="accent1" w:val="single"/>
          <w:right w:color="156082" w:space="0" w:sz="4" w:themeColor="accent1" w:val="single"/>
          <w:insideH w:val="nil"/>
        </w:tcBorders>
        <w:shd w:color="auto" w:fill="156082" w:themeFill="accent1" w:val="clear"/>
      </w:tcPr>
    </w:tblStylePr>
    <w:tblStylePr w:type="lastRow">
      <w:rPr>
        <w:b/>
        <w:bCs/>
      </w:rPr>
      <w:tblPr/>
      <w:tcPr>
        <w:tcBorders>
          <w:top w:color="45B0E1" w:space="0" w:sz="4" w:themeColor="accent1" w:themeTint="99"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6Colorful-Accent4" w:type="table">
    <w:name w:val="Grid Table 6 Colorful Accent 4"/>
    <w:basedOn w:val="TableNormal"/>
    <w:uiPriority w:val="51"/>
    <w:rsid w:val="00CC6259"/>
    <w:pPr>
      <w:spacing w:after="0" w:line="240" w:lineRule="auto"/>
    </w:pPr>
    <w:rPr>
      <w:color w:themeColor="accent4" w:themeShade="BF" w:val="0B769F"/>
    </w:rPr>
    <w:tblPr>
      <w:tblStyleRowBandSize w:val="1"/>
      <w:tblStyleColBandSize w:val="1"/>
      <w:tblBorders>
        <w:top w:color="60CAF3" w:space="0" w:sz="4" w:themeColor="accent4" w:themeTint="99" w:val="single"/>
        <w:left w:color="60CAF3" w:space="0" w:sz="4" w:themeColor="accent4" w:themeTint="99" w:val="single"/>
        <w:bottom w:color="60CAF3" w:space="0" w:sz="4" w:themeColor="accent4" w:themeTint="99" w:val="single"/>
        <w:right w:color="60CAF3" w:space="0" w:sz="4" w:themeColor="accent4" w:themeTint="99" w:val="single"/>
        <w:insideH w:color="60CAF3" w:space="0" w:sz="4" w:themeColor="accent4" w:themeTint="99" w:val="single"/>
        <w:insideV w:color="60CAF3" w:space="0" w:sz="4" w:themeColor="accent4" w:themeTint="99" w:val="single"/>
      </w:tblBorders>
    </w:tblPr>
    <w:tblStylePr w:type="firstRow">
      <w:rPr>
        <w:b/>
        <w:bCs/>
      </w:rPr>
      <w:tblPr/>
      <w:tcPr>
        <w:tcBorders>
          <w:bottom w:color="60CAF3" w:space="0" w:sz="12" w:themeColor="accent4" w:themeTint="99" w:val="single"/>
        </w:tcBorders>
      </w:tcPr>
    </w:tblStylePr>
    <w:tblStylePr w:type="lastRow">
      <w:rPr>
        <w:b/>
        <w:bCs/>
      </w:rPr>
      <w:tblPr/>
      <w:tcPr>
        <w:tcBorders>
          <w:top w:color="60CAF3" w:space="0" w:sz="4" w:themeColor="accent4" w:themeTint="99" w:val="double"/>
        </w:tcBorders>
      </w:tcPr>
    </w:tblStylePr>
    <w:tblStylePr w:type="firstCol">
      <w:rPr>
        <w:b/>
        <w:bCs/>
      </w:rPr>
    </w:tblStylePr>
    <w:tblStylePr w:type="lastCol">
      <w:rPr>
        <w:b/>
        <w:bCs/>
      </w:rPr>
    </w:tblStylePr>
    <w:tblStylePr w:type="band1Vert">
      <w:tblPr/>
      <w:tcPr>
        <w:shd w:color="auto" w:fill="CAEDFB" w:themeFill="accent4" w:themeFillTint="33" w:val="clear"/>
      </w:tcPr>
    </w:tblStylePr>
    <w:tblStylePr w:type="band1Horz">
      <w:tblPr/>
      <w:tcPr>
        <w:shd w:color="auto" w:fill="CAEDFB" w:themeFill="accent4" w:themeFillTint="33" w:val="clear"/>
      </w:tcPr>
    </w:tblStylePr>
  </w:style>
  <w:style w:styleId="GridTable6Colorful-Accent1" w:type="table">
    <w:name w:val="Grid Table 6 Colorful Accent 1"/>
    <w:basedOn w:val="TableNormal"/>
    <w:uiPriority w:val="51"/>
    <w:rsid w:val="00CC6259"/>
    <w:pPr>
      <w:spacing w:after="0" w:line="240" w:lineRule="auto"/>
    </w:pPr>
    <w:rPr>
      <w:color w:themeColor="accent1" w:themeShade="BF" w:val="0F4761"/>
    </w:rPr>
    <w:tblPr>
      <w:tblStyleRowBandSize w:val="1"/>
      <w:tblStyleColBandSize w:val="1"/>
      <w:tblBorders>
        <w:top w:color="45B0E1" w:space="0" w:sz="4" w:themeColor="accent1" w:themeTint="99" w:val="single"/>
        <w:left w:color="45B0E1" w:space="0" w:sz="4" w:themeColor="accent1" w:themeTint="99" w:val="single"/>
        <w:bottom w:color="45B0E1" w:space="0" w:sz="4" w:themeColor="accent1" w:themeTint="99" w:val="single"/>
        <w:right w:color="45B0E1" w:space="0" w:sz="4" w:themeColor="accent1" w:themeTint="99" w:val="single"/>
        <w:insideH w:color="45B0E1" w:space="0" w:sz="4" w:themeColor="accent1" w:themeTint="99" w:val="single"/>
        <w:insideV w:color="45B0E1" w:space="0" w:sz="4" w:themeColor="accent1" w:themeTint="99" w:val="single"/>
      </w:tblBorders>
    </w:tblPr>
    <w:tblStylePr w:type="firstRow">
      <w:rPr>
        <w:b/>
        <w:bCs/>
      </w:rPr>
      <w:tblPr/>
      <w:tcPr>
        <w:tcBorders>
          <w:bottom w:color="45B0E1" w:space="0" w:sz="12" w:themeColor="accent1" w:themeTint="99" w:val="single"/>
        </w:tcBorders>
      </w:tcPr>
    </w:tblStylePr>
    <w:tblStylePr w:type="lastRow">
      <w:rPr>
        <w:b/>
        <w:bCs/>
      </w:rPr>
      <w:tblPr/>
      <w:tcPr>
        <w:tcBorders>
          <w:top w:color="45B0E1" w:space="0" w:sz="4" w:themeColor="accent1" w:themeTint="99" w:val="double"/>
        </w:tcBorders>
      </w:tcPr>
    </w:tblStylePr>
    <w:tblStylePr w:type="firstCol">
      <w:rPr>
        <w:b/>
        <w:bCs/>
      </w:rPr>
    </w:tblStylePr>
    <w:tblStylePr w:type="lastCol">
      <w:rPr>
        <w:b/>
        <w:bCs/>
      </w:rPr>
    </w:tblStylePr>
    <w:tblStylePr w:type="band1Vert">
      <w:tblPr/>
      <w:tcPr>
        <w:shd w:color="auto" w:fill="C1E4F5" w:themeFill="accent1" w:themeFillTint="33" w:val="clear"/>
      </w:tcPr>
    </w:tblStylePr>
    <w:tblStylePr w:type="band1Horz">
      <w:tblPr/>
      <w:tcPr>
        <w:shd w:color="auto" w:fill="C1E4F5" w:themeFill="accent1" w:themeFillTint="33" w:val="clear"/>
      </w:tcPr>
    </w:tblStylePr>
  </w:style>
  <w:style w:styleId="GridTable6Colorful" w:type="table">
    <w:name w:val="Grid Table 6 Colorful"/>
    <w:basedOn w:val="TableNormal"/>
    <w:uiPriority w:val="51"/>
    <w:rsid w:val="00CC6259"/>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ll 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12</Words>
  <Characters>77</Characters>
  <Application>Microsoft Office Word</Application>
  <DocSecurity>0</DocSecurity>
  <Lines>25</Lines>
  <Paragraphs>6</Paragraphs>
  <ScaleCrop>false</ScaleCrop>
  <Company/>
  <LinksUpToDate>false</LinksUpToDate>
  <CharactersWithSpaces>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2026-03-06T11:05:39Z</dcterms:created>
  <dcterms:modified xsi:type="dcterms:W3CDTF">2026-03-06T11:05:39Z</dcterms:modified>
</cp:coreProperties>
</file>

<file path=docProps/custom.xml><?xml version="1.0" encoding="utf-8"?>
<Properties xmlns="http://schemas.openxmlformats.org/officeDocument/2006/custom-properties" xmlns:vt="http://schemas.openxmlformats.org/officeDocument/2006/docPropsVTypes"/>
</file>