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2"/>
        <w:tblW w:w="492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left w:w="57" w:type="dxa"/>
          <w:bottom w:w="57" w:type="dxa"/>
          <w:right w:w="57" w:type="dxa"/>
        </w:tblCellMar>
        <w:tblLook w:val="04A0" w:firstRow="1" w:lastRow="0" w:firstColumn="1" w:lastColumn="0" w:noHBand="0" w:noVBand="1"/>
      </w:tblPr>
      <w:tblGrid>
        <w:gridCol w:w="2006"/>
        <w:gridCol w:w="1381"/>
        <w:gridCol w:w="1575"/>
        <w:gridCol w:w="3189"/>
      </w:tblGrid>
      <w:tr w:rsidR="0016581F" w:rsidRPr="0016581F" w14:paraId="35828F55" w14:textId="77777777" w:rsidTr="001F6A81">
        <w:trPr>
          <w:trHeight w:val="2103"/>
        </w:trPr>
        <w:tc>
          <w:tcPr>
            <w:tcW w:w="5000" w:type="pct"/>
            <w:gridSpan w:val="4"/>
          </w:tcPr>
          <w:p w14:paraId="3C576CD9" w14:textId="77777777" w:rsidR="0016581F" w:rsidRPr="0016581F" w:rsidRDefault="0016581F" w:rsidP="0016581F">
            <w:pPr>
              <w:jc w:val="center"/>
              <w:rPr>
                <w:b/>
              </w:rPr>
            </w:pPr>
            <w:r w:rsidRPr="0016581F">
              <w:rPr>
                <w:b/>
                <w:noProof/>
              </w:rPr>
              <w:drawing>
                <wp:inline distT="0" distB="0" distL="0" distR="0" wp14:anchorId="1961F82B" wp14:editId="5E7A5A64">
                  <wp:extent cx="1191895" cy="1638300"/>
                  <wp:effectExtent l="0" t="0" r="8255" b="0"/>
                  <wp:docPr id="2" name="Picture 2" descr="cid:image001.jpg@01D72252.19B69D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jpg@01D72252.19B69DE0"/>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1191895" cy="1638300"/>
                          </a:xfrm>
                          <a:prstGeom prst="rect">
                            <a:avLst/>
                          </a:prstGeom>
                          <a:noFill/>
                          <a:ln>
                            <a:noFill/>
                          </a:ln>
                        </pic:spPr>
                      </pic:pic>
                    </a:graphicData>
                  </a:graphic>
                </wp:inline>
              </w:drawing>
            </w:r>
          </w:p>
          <w:p w14:paraId="00F797AE" w14:textId="77777777" w:rsidR="0016581F" w:rsidRPr="0016581F" w:rsidRDefault="0016581F" w:rsidP="0016581F">
            <w:pPr>
              <w:spacing w:before="120" w:after="100" w:afterAutospacing="1"/>
              <w:jc w:val="center"/>
            </w:pPr>
            <w:r w:rsidRPr="0016581F">
              <w:rPr>
                <w:b/>
              </w:rPr>
              <w:t>SUPREME COURT OF CANADA</w:t>
            </w:r>
          </w:p>
        </w:tc>
      </w:tr>
      <w:tr w:rsidR="0016581F" w:rsidRPr="0016581F" w14:paraId="48FA8C39" w14:textId="77777777" w:rsidTr="0016581F">
        <w:tblPrEx>
          <w:tblCellMar>
            <w:top w:w="58" w:type="dxa"/>
            <w:left w:w="58" w:type="dxa"/>
            <w:bottom w:w="58" w:type="dxa"/>
            <w:right w:w="58" w:type="dxa"/>
          </w:tblCellMar>
        </w:tblPrEx>
        <w:trPr>
          <w:cantSplit/>
        </w:trPr>
        <w:tc>
          <w:tcPr>
            <w:tcW w:w="2078" w:type="pct"/>
            <w:gridSpan w:val="2"/>
          </w:tcPr>
          <w:p w14:paraId="6CC16E4B" w14:textId="77777777" w:rsidR="0016581F" w:rsidRPr="0016581F" w:rsidRDefault="0016581F" w:rsidP="0016581F">
            <w:pPr>
              <w:rPr>
                <w:b/>
                <w:smallCaps/>
                <w:lang w:val="fr-CA"/>
              </w:rPr>
            </w:pPr>
          </w:p>
          <w:p w14:paraId="53B12450" w14:textId="77777777" w:rsidR="0016581F" w:rsidRPr="0016581F" w:rsidRDefault="0016581F" w:rsidP="0016581F">
            <w:pPr>
              <w:rPr>
                <w:b/>
                <w:smallCaps/>
                <w:lang w:val="fr-CA"/>
              </w:rPr>
            </w:pPr>
            <w:r w:rsidRPr="0016581F">
              <w:rPr>
                <w:b/>
                <w:smallCaps/>
                <w:lang w:val="fr-CA"/>
              </w:rPr>
              <w:t>Citation:</w:t>
            </w:r>
            <w:r w:rsidRPr="0016581F">
              <w:rPr>
                <w:lang w:val="fr-CA"/>
              </w:rPr>
              <w:t xml:space="preserve"> R. </w:t>
            </w:r>
            <w:r w:rsidRPr="0016581F">
              <w:rPr>
                <w:i/>
                <w:lang w:val="fr-CA"/>
              </w:rPr>
              <w:t>v.</w:t>
            </w:r>
            <w:r w:rsidRPr="0016581F">
              <w:rPr>
                <w:lang w:val="fr-CA"/>
              </w:rPr>
              <w:t xml:space="preserve"> Dussault, 2022 SCC 16</w:t>
            </w:r>
          </w:p>
        </w:tc>
        <w:tc>
          <w:tcPr>
            <w:tcW w:w="966" w:type="pct"/>
          </w:tcPr>
          <w:p w14:paraId="4DCAEEA6" w14:textId="77777777" w:rsidR="0016581F" w:rsidRPr="0016581F" w:rsidRDefault="0016581F" w:rsidP="0016581F">
            <w:pPr>
              <w:rPr>
                <w:lang w:val="fr-CA"/>
              </w:rPr>
            </w:pPr>
          </w:p>
        </w:tc>
        <w:tc>
          <w:tcPr>
            <w:tcW w:w="1956" w:type="pct"/>
          </w:tcPr>
          <w:p w14:paraId="7D322B1F" w14:textId="77777777" w:rsidR="0016581F" w:rsidRPr="0016581F" w:rsidRDefault="0016581F" w:rsidP="0016581F">
            <w:pPr>
              <w:rPr>
                <w:b/>
                <w:smallCaps/>
                <w:lang w:val="fr-CA"/>
              </w:rPr>
            </w:pPr>
          </w:p>
          <w:p w14:paraId="08AD35C8" w14:textId="77777777" w:rsidR="0016581F" w:rsidRPr="0016581F" w:rsidRDefault="0016581F" w:rsidP="0016581F">
            <w:pPr>
              <w:jc w:val="both"/>
            </w:pPr>
            <w:r w:rsidRPr="0016581F">
              <w:rPr>
                <w:b/>
                <w:smallCaps/>
              </w:rPr>
              <w:t>Appeal Heard:</w:t>
            </w:r>
            <w:r w:rsidRPr="0016581F">
              <w:t xml:space="preserve"> December 3, 2021</w:t>
            </w:r>
          </w:p>
          <w:p w14:paraId="77F4F452" w14:textId="77777777" w:rsidR="0016581F" w:rsidRPr="0016581F" w:rsidRDefault="0016581F" w:rsidP="0016581F">
            <w:r w:rsidRPr="0016581F">
              <w:rPr>
                <w:b/>
                <w:smallCaps/>
              </w:rPr>
              <w:t>Judgment Rendered:</w:t>
            </w:r>
            <w:r w:rsidRPr="0016581F">
              <w:t xml:space="preserve"> April 29, 2022</w:t>
            </w:r>
          </w:p>
          <w:p w14:paraId="0B4DF69D" w14:textId="77777777" w:rsidR="0016581F" w:rsidRPr="0016581F" w:rsidRDefault="0016581F" w:rsidP="0016581F">
            <w:r w:rsidRPr="0016581F">
              <w:rPr>
                <w:b/>
                <w:smallCaps/>
              </w:rPr>
              <w:t>Docket:</w:t>
            </w:r>
            <w:r w:rsidRPr="0016581F">
              <w:t xml:space="preserve"> 39330</w:t>
            </w:r>
          </w:p>
        </w:tc>
      </w:tr>
      <w:tr w:rsidR="0016581F" w:rsidRPr="0016581F" w14:paraId="3873E4DB" w14:textId="77777777" w:rsidTr="001F6A81">
        <w:tblPrEx>
          <w:tblCellMar>
            <w:top w:w="58" w:type="dxa"/>
            <w:left w:w="58" w:type="dxa"/>
            <w:bottom w:w="58" w:type="dxa"/>
            <w:right w:w="58" w:type="dxa"/>
          </w:tblCellMar>
        </w:tblPrEx>
        <w:trPr>
          <w:cantSplit/>
        </w:trPr>
        <w:tc>
          <w:tcPr>
            <w:tcW w:w="5000" w:type="pct"/>
            <w:gridSpan w:val="4"/>
          </w:tcPr>
          <w:p w14:paraId="4EE24078" w14:textId="77777777" w:rsidR="0016581F" w:rsidRPr="0016581F" w:rsidRDefault="0016581F" w:rsidP="0016581F"/>
          <w:p w14:paraId="58D02CA9" w14:textId="77777777" w:rsidR="0016581F" w:rsidRPr="0016581F" w:rsidRDefault="0016581F" w:rsidP="0016581F">
            <w:pPr>
              <w:rPr>
                <w:b/>
                <w:smallCaps/>
              </w:rPr>
            </w:pPr>
            <w:r w:rsidRPr="0016581F">
              <w:rPr>
                <w:b/>
                <w:smallCaps/>
              </w:rPr>
              <w:t>Between:</w:t>
            </w:r>
          </w:p>
          <w:p w14:paraId="454E2CE8" w14:textId="77777777" w:rsidR="0016581F" w:rsidRPr="0016581F" w:rsidRDefault="0016581F" w:rsidP="0016581F"/>
          <w:p w14:paraId="631D8E21" w14:textId="77777777" w:rsidR="0016581F" w:rsidRPr="0016581F" w:rsidRDefault="0016581F" w:rsidP="0016581F">
            <w:pPr>
              <w:jc w:val="center"/>
              <w:rPr>
                <w:b/>
              </w:rPr>
            </w:pPr>
            <w:r w:rsidRPr="0016581F">
              <w:rPr>
                <w:b/>
              </w:rPr>
              <w:t>Her Majesty The Queen</w:t>
            </w:r>
          </w:p>
          <w:p w14:paraId="7FE27D9F" w14:textId="77777777" w:rsidR="0016581F" w:rsidRPr="0016581F" w:rsidRDefault="0016581F" w:rsidP="0016581F">
            <w:pPr>
              <w:jc w:val="center"/>
            </w:pPr>
            <w:r w:rsidRPr="0016581F">
              <w:t>Appellant</w:t>
            </w:r>
          </w:p>
          <w:p w14:paraId="2EFA43B5" w14:textId="77777777" w:rsidR="0016581F" w:rsidRPr="0016581F" w:rsidRDefault="0016581F" w:rsidP="0016581F"/>
          <w:p w14:paraId="520455D6" w14:textId="77777777" w:rsidR="0016581F" w:rsidRPr="0016581F" w:rsidRDefault="0016581F" w:rsidP="0016581F">
            <w:pPr>
              <w:jc w:val="center"/>
            </w:pPr>
            <w:r w:rsidRPr="0016581F">
              <w:t>and</w:t>
            </w:r>
          </w:p>
          <w:p w14:paraId="0B5DDFD7" w14:textId="77777777" w:rsidR="0016581F" w:rsidRPr="0016581F" w:rsidRDefault="0016581F" w:rsidP="0016581F"/>
          <w:p w14:paraId="2B610091" w14:textId="77777777" w:rsidR="0016581F" w:rsidRPr="0016581F" w:rsidRDefault="0016581F" w:rsidP="0016581F">
            <w:pPr>
              <w:jc w:val="center"/>
              <w:rPr>
                <w:b/>
              </w:rPr>
            </w:pPr>
            <w:r w:rsidRPr="0016581F">
              <w:rPr>
                <w:b/>
              </w:rPr>
              <w:t>Patrick Dussault</w:t>
            </w:r>
          </w:p>
          <w:p w14:paraId="435F7CC3" w14:textId="77777777" w:rsidR="0016581F" w:rsidRPr="0016581F" w:rsidRDefault="0016581F" w:rsidP="0016581F">
            <w:pPr>
              <w:jc w:val="center"/>
            </w:pPr>
            <w:r w:rsidRPr="0016581F">
              <w:t>Respondent</w:t>
            </w:r>
          </w:p>
          <w:p w14:paraId="4142269F" w14:textId="77777777" w:rsidR="0016581F" w:rsidRPr="0016581F" w:rsidRDefault="0016581F" w:rsidP="0016581F"/>
          <w:p w14:paraId="21D07D2D" w14:textId="77777777" w:rsidR="0016581F" w:rsidRPr="0016581F" w:rsidRDefault="0016581F" w:rsidP="0016581F">
            <w:pPr>
              <w:jc w:val="center"/>
            </w:pPr>
            <w:r w:rsidRPr="0016581F">
              <w:t>- and -</w:t>
            </w:r>
          </w:p>
          <w:p w14:paraId="565EF1E6" w14:textId="77777777" w:rsidR="0016581F" w:rsidRPr="0016581F" w:rsidRDefault="0016581F" w:rsidP="0016581F"/>
          <w:p w14:paraId="1372FA7F" w14:textId="77777777" w:rsidR="0016581F" w:rsidRPr="0016581F" w:rsidRDefault="0016581F" w:rsidP="0016581F">
            <w:pPr>
              <w:jc w:val="center"/>
              <w:rPr>
                <w:b/>
                <w:lang w:val="fr-CA"/>
              </w:rPr>
            </w:pPr>
            <w:r w:rsidRPr="0016581F">
              <w:rPr>
                <w:b/>
                <w:lang w:val="fr-CA"/>
              </w:rPr>
              <w:t>Attorney General of Ontario, Criminal Lawyers’ Association, Association québécoise des avocats et avocates de la défense and Association des avocats de la défense de Montréal</w:t>
            </w:r>
            <w:r w:rsidRPr="0016581F">
              <w:rPr>
                <w:b/>
                <w:lang w:val="fr-CA"/>
              </w:rPr>
              <w:noBreakHyphen/>
              <w:t>Laval-Longueuil</w:t>
            </w:r>
          </w:p>
          <w:p w14:paraId="3D0089DE" w14:textId="77777777" w:rsidR="0016581F" w:rsidRPr="0016581F" w:rsidRDefault="0016581F" w:rsidP="0016581F">
            <w:pPr>
              <w:jc w:val="center"/>
            </w:pPr>
            <w:r w:rsidRPr="0016581F">
              <w:t>Interveners</w:t>
            </w:r>
          </w:p>
          <w:p w14:paraId="58B5D82C" w14:textId="77777777" w:rsidR="0016581F" w:rsidRPr="0016581F" w:rsidRDefault="0016581F" w:rsidP="0016581F"/>
          <w:p w14:paraId="5332F79C" w14:textId="77777777" w:rsidR="0016581F" w:rsidRPr="0016581F" w:rsidRDefault="0016581F" w:rsidP="0016581F"/>
          <w:p w14:paraId="6551FD87" w14:textId="77777777" w:rsidR="0016581F" w:rsidRPr="0016581F" w:rsidRDefault="0016581F" w:rsidP="0016581F"/>
          <w:p w14:paraId="1578066D" w14:textId="77777777" w:rsidR="0016581F" w:rsidRPr="0016581F" w:rsidRDefault="0016581F" w:rsidP="0016581F">
            <w:r w:rsidRPr="0016581F">
              <w:rPr>
                <w:b/>
                <w:smallCaps/>
              </w:rPr>
              <w:t>Coram:</w:t>
            </w:r>
            <w:r w:rsidRPr="0016581F">
              <w:t xml:space="preserve"> Wagner C.J. and Moldaver, Karakatsanis, Côté, Brown, Rowe, Martin, Kasirer and Jamal JJ.</w:t>
            </w:r>
          </w:p>
          <w:p w14:paraId="389B4A08" w14:textId="77777777" w:rsidR="0016581F" w:rsidRPr="0016581F" w:rsidRDefault="0016581F" w:rsidP="0016581F">
            <w:pPr>
              <w:rPr>
                <w:b/>
                <w:smallCaps/>
              </w:rPr>
            </w:pPr>
          </w:p>
        </w:tc>
      </w:tr>
      <w:tr w:rsidR="0016581F" w:rsidRPr="0016581F" w14:paraId="107A04ED" w14:textId="77777777" w:rsidTr="001F6A81">
        <w:tblPrEx>
          <w:tblCellMar>
            <w:top w:w="58" w:type="dxa"/>
            <w:left w:w="58" w:type="dxa"/>
            <w:bottom w:w="58" w:type="dxa"/>
            <w:right w:w="58" w:type="dxa"/>
          </w:tblCellMar>
        </w:tblPrEx>
        <w:trPr>
          <w:cantSplit/>
        </w:trPr>
        <w:tc>
          <w:tcPr>
            <w:tcW w:w="1231" w:type="pct"/>
          </w:tcPr>
          <w:p w14:paraId="511F7821" w14:textId="77777777" w:rsidR="0016581F" w:rsidRPr="0016581F" w:rsidRDefault="0016581F" w:rsidP="0016581F">
            <w:r w:rsidRPr="0016581F">
              <w:rPr>
                <w:b/>
                <w:smallCaps/>
              </w:rPr>
              <w:t>Reasons for Judgment</w:t>
            </w:r>
            <w:r w:rsidRPr="0016581F">
              <w:rPr>
                <w:b/>
              </w:rPr>
              <w:t>:</w:t>
            </w:r>
          </w:p>
          <w:p w14:paraId="3F506A46" w14:textId="77777777" w:rsidR="0016581F" w:rsidRPr="0016581F" w:rsidRDefault="0016581F" w:rsidP="0016581F">
            <w:r w:rsidRPr="0016581F">
              <w:t>(paras. 1 to 58)</w:t>
            </w:r>
          </w:p>
        </w:tc>
        <w:tc>
          <w:tcPr>
            <w:tcW w:w="3769" w:type="pct"/>
            <w:gridSpan w:val="3"/>
          </w:tcPr>
          <w:p w14:paraId="0B09C292" w14:textId="77777777" w:rsidR="0016581F" w:rsidRPr="0016581F" w:rsidRDefault="0016581F" w:rsidP="0016581F">
            <w:r w:rsidRPr="0016581F">
              <w:t>Moldaver J. (Wagner C.J. and Karakatsanis, Côté, Brown, Rowe, Martin, Kasirer and Jamal JJ. concurring)</w:t>
            </w:r>
          </w:p>
        </w:tc>
      </w:tr>
    </w:tbl>
    <w:p w14:paraId="341BC02E" w14:textId="77777777" w:rsidR="0016581F" w:rsidRPr="0016581F" w:rsidRDefault="0016581F" w:rsidP="0016581F">
      <w:pPr>
        <w:rPr>
          <w:rFonts w:eastAsiaTheme="minorHAnsi" w:cstheme="minorBidi"/>
          <w:szCs w:val="24"/>
          <w:lang w:eastAsia="en-US"/>
        </w:rPr>
      </w:pPr>
    </w:p>
    <w:p w14:paraId="27A87483" w14:textId="77777777" w:rsidR="0016581F" w:rsidRPr="0016581F" w:rsidRDefault="0016581F" w:rsidP="0016581F">
      <w:pPr>
        <w:rPr>
          <w:rFonts w:eastAsiaTheme="minorHAnsi" w:cstheme="minorBidi"/>
          <w:szCs w:val="24"/>
          <w:lang w:eastAsia="en-US"/>
        </w:rPr>
      </w:pPr>
    </w:p>
    <w:p w14:paraId="048A8A3A" w14:textId="77777777" w:rsidR="0016581F" w:rsidRPr="0016581F" w:rsidRDefault="0016581F" w:rsidP="0016581F">
      <w:pPr>
        <w:rPr>
          <w:rFonts w:eastAsiaTheme="minorHAnsi" w:cstheme="minorBidi"/>
          <w:szCs w:val="24"/>
          <w:lang w:eastAsia="en-US"/>
        </w:rPr>
      </w:pPr>
      <w:r w:rsidRPr="0016581F">
        <w:rPr>
          <w:rFonts w:eastAsiaTheme="minorHAnsi" w:cstheme="minorBidi"/>
          <w:b/>
          <w:smallCaps/>
          <w:szCs w:val="24"/>
          <w:lang w:eastAsia="en-US"/>
        </w:rPr>
        <w:t>Note:</w:t>
      </w:r>
      <w:r w:rsidRPr="0016581F">
        <w:rPr>
          <w:rFonts w:eastAsiaTheme="minorHAnsi" w:cstheme="minorBidi"/>
          <w:b/>
          <w:szCs w:val="24"/>
          <w:lang w:eastAsia="en-US"/>
        </w:rPr>
        <w:t xml:space="preserve"> </w:t>
      </w:r>
      <w:r w:rsidRPr="0016581F">
        <w:rPr>
          <w:rFonts w:eastAsiaTheme="minorHAnsi" w:cstheme="minorBidi"/>
          <w:szCs w:val="24"/>
          <w:lang w:eastAsia="en-US"/>
        </w:rPr>
        <w:t xml:space="preserve">This document is subject to editorial revision before its reproduction in final form in the </w:t>
      </w:r>
      <w:r w:rsidRPr="0016581F">
        <w:rPr>
          <w:rFonts w:eastAsiaTheme="minorHAnsi" w:cstheme="minorBidi"/>
          <w:i/>
          <w:szCs w:val="24"/>
          <w:lang w:eastAsia="en-US"/>
        </w:rPr>
        <w:t>Canada Supreme Court Reports</w:t>
      </w:r>
      <w:r w:rsidRPr="0016581F">
        <w:rPr>
          <w:rFonts w:eastAsiaTheme="minorHAnsi" w:cstheme="minorBidi"/>
          <w:szCs w:val="24"/>
          <w:lang w:eastAsia="en-US"/>
        </w:rPr>
        <w:t>.</w:t>
      </w:r>
    </w:p>
    <w:tbl>
      <w:tblPr>
        <w:tblStyle w:val="TableGrid2"/>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84"/>
        <w:gridCol w:w="3312"/>
        <w:gridCol w:w="2484"/>
      </w:tblGrid>
      <w:tr w:rsidR="0016581F" w:rsidRPr="0016581F" w14:paraId="3C97A427" w14:textId="77777777" w:rsidTr="001F6A81">
        <w:tc>
          <w:tcPr>
            <w:tcW w:w="1500" w:type="pct"/>
            <w:tcMar>
              <w:top w:w="284" w:type="dxa"/>
            </w:tcMar>
          </w:tcPr>
          <w:p w14:paraId="51E5953B" w14:textId="77777777" w:rsidR="0016581F" w:rsidRPr="0016581F" w:rsidRDefault="0016581F" w:rsidP="0016581F"/>
        </w:tc>
        <w:tc>
          <w:tcPr>
            <w:tcW w:w="2000" w:type="pct"/>
            <w:tcBorders>
              <w:bottom w:val="single" w:sz="4" w:space="0" w:color="auto"/>
            </w:tcBorders>
            <w:tcMar>
              <w:top w:w="284" w:type="dxa"/>
            </w:tcMar>
          </w:tcPr>
          <w:p w14:paraId="6F9AE12E" w14:textId="77777777" w:rsidR="0016581F" w:rsidRPr="0016581F" w:rsidRDefault="0016581F" w:rsidP="0016581F"/>
        </w:tc>
        <w:tc>
          <w:tcPr>
            <w:tcW w:w="1500" w:type="pct"/>
            <w:tcMar>
              <w:top w:w="284" w:type="dxa"/>
            </w:tcMar>
          </w:tcPr>
          <w:p w14:paraId="23BD9F5E" w14:textId="77777777" w:rsidR="0016581F" w:rsidRPr="0016581F" w:rsidRDefault="0016581F" w:rsidP="0016581F"/>
        </w:tc>
      </w:tr>
    </w:tbl>
    <w:p w14:paraId="20813F31" w14:textId="77777777" w:rsidR="0016581F" w:rsidRPr="0016581F" w:rsidRDefault="0016581F" w:rsidP="0016581F">
      <w:pPr>
        <w:rPr>
          <w:rFonts w:eastAsiaTheme="minorHAnsi" w:cstheme="minorBidi"/>
          <w:szCs w:val="24"/>
          <w:lang w:eastAsia="en-US"/>
        </w:rPr>
      </w:pPr>
    </w:p>
    <w:p w14:paraId="059D62C5" w14:textId="77777777" w:rsidR="0016581F" w:rsidRDefault="0016581F">
      <w:pPr>
        <w:rPr>
          <w:b/>
        </w:rPr>
      </w:pPr>
      <w:r>
        <w:br w:type="page"/>
      </w:r>
    </w:p>
    <w:p w14:paraId="00776F0B" w14:textId="59F77702" w:rsidR="009A5C6F" w:rsidRPr="00424FDB" w:rsidRDefault="00DA0682">
      <w:pPr>
        <w:pStyle w:val="SCCLsocLastPartyInRole"/>
      </w:pPr>
      <w:r w:rsidRPr="00424FDB">
        <w:lastRenderedPageBreak/>
        <w:t xml:space="preserve">Her Majesty </w:t>
      </w:r>
      <w:proofErr w:type="gramStart"/>
      <w:r w:rsidRPr="00424FDB">
        <w:t>T</w:t>
      </w:r>
      <w:r w:rsidR="00AC33F6" w:rsidRPr="00424FDB">
        <w:t>he</w:t>
      </w:r>
      <w:proofErr w:type="gramEnd"/>
      <w:r w:rsidR="00AC33F6" w:rsidRPr="00424FDB">
        <w:t xml:space="preserve"> Queen</w:t>
      </w:r>
      <w:r w:rsidR="00AC33F6" w:rsidRPr="00424FDB">
        <w:rPr>
          <w:rStyle w:val="SCCLsocPartyRole"/>
        </w:rPr>
        <w:tab/>
        <w:t>Appellant</w:t>
      </w:r>
    </w:p>
    <w:p w14:paraId="00EBBBB0" w14:textId="77777777" w:rsidR="009A5C6F" w:rsidRPr="00424FDB" w:rsidRDefault="00AC33F6">
      <w:pPr>
        <w:pStyle w:val="SCCLsocVersus"/>
      </w:pPr>
      <w:proofErr w:type="gramStart"/>
      <w:r w:rsidRPr="00424FDB">
        <w:t>v</w:t>
      </w:r>
      <w:proofErr w:type="gramEnd"/>
      <w:r w:rsidRPr="00424FDB">
        <w:t>.</w:t>
      </w:r>
    </w:p>
    <w:p w14:paraId="6E8BF560" w14:textId="77777777" w:rsidR="009A5C6F" w:rsidRPr="00424FDB" w:rsidRDefault="00AC33F6">
      <w:pPr>
        <w:pStyle w:val="SCCLsocLastPartyInRole"/>
      </w:pPr>
      <w:r w:rsidRPr="00424FDB">
        <w:t>Patrick Dussault</w:t>
      </w:r>
      <w:r w:rsidRPr="00424FDB">
        <w:rPr>
          <w:rStyle w:val="SCCLsocPartyRole"/>
        </w:rPr>
        <w:tab/>
        <w:t>Respondent</w:t>
      </w:r>
    </w:p>
    <w:p w14:paraId="0A51502F" w14:textId="77777777" w:rsidR="009A5C6F" w:rsidRPr="00424FDB" w:rsidRDefault="00AC33F6">
      <w:pPr>
        <w:pStyle w:val="SCCLsocOtherPartySeparator"/>
      </w:pPr>
      <w:proofErr w:type="gramStart"/>
      <w:r w:rsidRPr="00424FDB">
        <w:t>and</w:t>
      </w:r>
      <w:proofErr w:type="gramEnd"/>
    </w:p>
    <w:p w14:paraId="6C7DE061" w14:textId="77777777" w:rsidR="00433DA1" w:rsidRPr="00424FDB" w:rsidRDefault="00433DA1">
      <w:pPr>
        <w:pStyle w:val="SCCLsocParty"/>
      </w:pPr>
      <w:r w:rsidRPr="00424FDB">
        <w:t>Attorney General of Ontario,</w:t>
      </w:r>
    </w:p>
    <w:p w14:paraId="3415EA1E" w14:textId="77777777" w:rsidR="009A5C6F" w:rsidRPr="00424FDB" w:rsidRDefault="00AC33F6">
      <w:pPr>
        <w:pStyle w:val="SCCLsocParty"/>
        <w:rPr>
          <w:lang w:val="fr-CA"/>
        </w:rPr>
      </w:pPr>
      <w:r w:rsidRPr="00424FDB">
        <w:rPr>
          <w:lang w:val="fr-CA"/>
        </w:rPr>
        <w:t>Criminal Lawyers</w:t>
      </w:r>
      <w:r w:rsidR="00960870" w:rsidRPr="00424FDB">
        <w:rPr>
          <w:lang w:val="fr-CA"/>
        </w:rPr>
        <w:t>’</w:t>
      </w:r>
      <w:r w:rsidRPr="00424FDB">
        <w:rPr>
          <w:lang w:val="fr-CA"/>
        </w:rPr>
        <w:t xml:space="preserve"> Association,</w:t>
      </w:r>
    </w:p>
    <w:p w14:paraId="47C3448F" w14:textId="77777777" w:rsidR="009A5C6F" w:rsidRPr="00424FDB" w:rsidRDefault="00AC33F6">
      <w:pPr>
        <w:pStyle w:val="SCCLsocParty"/>
        <w:rPr>
          <w:lang w:val="fr-CA"/>
        </w:rPr>
      </w:pPr>
      <w:r w:rsidRPr="00424FDB">
        <w:rPr>
          <w:lang w:val="fr-CA"/>
        </w:rPr>
        <w:t>Association québécoise des av</w:t>
      </w:r>
      <w:r w:rsidR="00B2226F" w:rsidRPr="00424FDB">
        <w:rPr>
          <w:lang w:val="fr-CA"/>
        </w:rPr>
        <w:t>ocats et avocates de la défense and</w:t>
      </w:r>
    </w:p>
    <w:p w14:paraId="2929FC9D" w14:textId="77777777" w:rsidR="009A5C6F" w:rsidRPr="00424FDB" w:rsidRDefault="00AC33F6" w:rsidP="000D203A">
      <w:pPr>
        <w:pStyle w:val="SCCLsocLastPartyInRole"/>
        <w:rPr>
          <w:lang w:val="fr-CA"/>
        </w:rPr>
      </w:pPr>
      <w:r w:rsidRPr="00424FDB">
        <w:rPr>
          <w:lang w:val="fr-CA"/>
        </w:rPr>
        <w:t>Association des avocats de la défense de Montréal-Laval-Longueuil</w:t>
      </w:r>
      <w:r w:rsidRPr="00424FDB">
        <w:rPr>
          <w:rStyle w:val="SCCLsocPartyRole"/>
          <w:lang w:val="fr-CA"/>
        </w:rPr>
        <w:tab/>
        <w:t>Interveners</w:t>
      </w:r>
    </w:p>
    <w:p w14:paraId="371265AC" w14:textId="77777777" w:rsidR="00426659" w:rsidRPr="00424FDB" w:rsidRDefault="00426659" w:rsidP="000D203A">
      <w:pPr>
        <w:spacing w:after="720"/>
        <w:jc w:val="both"/>
        <w:rPr>
          <w:b/>
        </w:rPr>
      </w:pPr>
      <w:r w:rsidRPr="00424FDB">
        <w:rPr>
          <w:b/>
        </w:rPr>
        <w:t xml:space="preserve">Indexed as: </w:t>
      </w:r>
      <w:r w:rsidRPr="00424FDB">
        <w:rPr>
          <w:rStyle w:val="SCCAppellantForIndexChar"/>
        </w:rPr>
        <w:t>R.</w:t>
      </w:r>
      <w:r w:rsidRPr="00424FDB">
        <w:rPr>
          <w:b/>
        </w:rPr>
        <w:t xml:space="preserve"> </w:t>
      </w:r>
      <w:r w:rsidRPr="00424FDB">
        <w:rPr>
          <w:b/>
          <w:i/>
        </w:rPr>
        <w:t>v.</w:t>
      </w:r>
      <w:r w:rsidRPr="00424FDB">
        <w:rPr>
          <w:b/>
        </w:rPr>
        <w:t xml:space="preserve"> </w:t>
      </w:r>
      <w:r w:rsidRPr="00424FDB">
        <w:rPr>
          <w:rStyle w:val="SCCRespondentForIndexChar"/>
        </w:rPr>
        <w:t>Dussault</w:t>
      </w:r>
    </w:p>
    <w:p w14:paraId="491C6E3D" w14:textId="6CE4FFF9" w:rsidR="00426659" w:rsidRPr="00424FDB" w:rsidRDefault="00636FE4" w:rsidP="000D203A">
      <w:pPr>
        <w:pStyle w:val="SCCSystemYear"/>
        <w:spacing w:after="720"/>
        <w:jc w:val="both"/>
      </w:pPr>
      <w:r w:rsidRPr="00424FDB">
        <w:t>2022</w:t>
      </w:r>
      <w:r w:rsidR="003D0399" w:rsidRPr="00424FDB">
        <w:t xml:space="preserve"> </w:t>
      </w:r>
      <w:r w:rsidR="000D203A" w:rsidRPr="00424FDB">
        <w:t xml:space="preserve">SCC </w:t>
      </w:r>
      <w:r w:rsidR="004C5266" w:rsidRPr="004C5266">
        <w:t>16</w:t>
      </w:r>
    </w:p>
    <w:p w14:paraId="426B3ED4" w14:textId="77777777" w:rsidR="008322BD" w:rsidRPr="00424FDB" w:rsidRDefault="00DA0682" w:rsidP="000D203A">
      <w:pPr>
        <w:spacing w:after="720"/>
        <w:jc w:val="both"/>
      </w:pPr>
      <w:r w:rsidRPr="00424FDB">
        <w:t xml:space="preserve">File No.: </w:t>
      </w:r>
      <w:r w:rsidR="009B57B3" w:rsidRPr="00424FDB">
        <w:t>39330.</w:t>
      </w:r>
    </w:p>
    <w:p w14:paraId="3FD7D7F8" w14:textId="747D35DC" w:rsidR="008322BD" w:rsidRDefault="00AE4535" w:rsidP="000D203A">
      <w:pPr>
        <w:spacing w:after="720"/>
        <w:jc w:val="both"/>
      </w:pPr>
      <w:r w:rsidRPr="00424FDB">
        <w:t>2021: December 3</w:t>
      </w:r>
      <w:r w:rsidR="009B57B3" w:rsidRPr="00424FDB">
        <w:t>;</w:t>
      </w:r>
      <w:r w:rsidR="009B57B3" w:rsidRPr="001426A9">
        <w:t xml:space="preserve"> </w:t>
      </w:r>
      <w:r w:rsidR="00636FE4" w:rsidRPr="009A6979">
        <w:t>2022: April 29</w:t>
      </w:r>
      <w:r w:rsidR="009B57B3" w:rsidRPr="001426A9">
        <w:t>.</w:t>
      </w:r>
    </w:p>
    <w:p w14:paraId="1A33DC0F" w14:textId="028B9D15" w:rsidR="008322BD" w:rsidRPr="00424FDB" w:rsidRDefault="000D203A" w:rsidP="000D203A">
      <w:pPr>
        <w:spacing w:after="720"/>
        <w:jc w:val="both"/>
      </w:pPr>
      <w:r w:rsidRPr="00424FDB">
        <w:t xml:space="preserve">Present: Wagner </w:t>
      </w:r>
      <w:r w:rsidR="009B57B3" w:rsidRPr="00424FDB">
        <w:t xml:space="preserve">C.J. and Moldaver, Karakatsanis, Côté, Brown, </w:t>
      </w:r>
      <w:r w:rsidR="00DA0682" w:rsidRPr="00424FDB">
        <w:t>Rowe, Martin, Kasirer and Jamal </w:t>
      </w:r>
      <w:r w:rsidR="009B57B3" w:rsidRPr="00424FDB">
        <w:t>JJ.</w:t>
      </w:r>
    </w:p>
    <w:p w14:paraId="771DB277" w14:textId="77777777" w:rsidR="008322BD" w:rsidRPr="001C779F" w:rsidRDefault="00656313" w:rsidP="000D203A">
      <w:pPr>
        <w:pStyle w:val="SCCLowerCourtNameLowercase"/>
        <w:spacing w:after="720" w:line="240" w:lineRule="auto"/>
      </w:pPr>
      <w:r w:rsidRPr="00424FDB">
        <w:t>o</w:t>
      </w:r>
      <w:r w:rsidR="00170592" w:rsidRPr="00424FDB">
        <w:t>n</w:t>
      </w:r>
      <w:r w:rsidR="00224FC0" w:rsidRPr="00424FDB">
        <w:t xml:space="preserve"> </w:t>
      </w:r>
      <w:r w:rsidRPr="00424FDB">
        <w:t>a</w:t>
      </w:r>
      <w:r w:rsidR="00170592" w:rsidRPr="00424FDB">
        <w:t>ppeal</w:t>
      </w:r>
      <w:r w:rsidR="00224FC0" w:rsidRPr="00424FDB">
        <w:t xml:space="preserve"> </w:t>
      </w:r>
      <w:r w:rsidR="00170592" w:rsidRPr="00424FDB">
        <w:t>from</w:t>
      </w:r>
      <w:r w:rsidR="009567AA" w:rsidRPr="00424FDB">
        <w:t xml:space="preserve"> the</w:t>
      </w:r>
      <w:r w:rsidR="00224FC0" w:rsidRPr="00424FDB">
        <w:t xml:space="preserve"> </w:t>
      </w:r>
      <w:r w:rsidR="009B57B3" w:rsidRPr="00424FDB">
        <w:t>cour</w:t>
      </w:r>
      <w:r w:rsidR="00DA0682" w:rsidRPr="00424FDB">
        <w:t>t of appeal for quebec</w:t>
      </w:r>
    </w:p>
    <w:p w14:paraId="6E5293FE" w14:textId="3B6FA5F9" w:rsidR="00811A44" w:rsidRPr="00811A44" w:rsidRDefault="00811A44" w:rsidP="00CA6FE4">
      <w:pPr>
        <w:pStyle w:val="SCCNormalDoubleSpacing"/>
        <w:spacing w:after="480"/>
        <w:rPr>
          <w:i/>
          <w:lang w:val="en-GB"/>
        </w:rPr>
      </w:pPr>
      <w:r>
        <w:lastRenderedPageBreak/>
        <w:tab/>
      </w:r>
      <w:r w:rsidRPr="00811A44">
        <w:rPr>
          <w:i/>
        </w:rPr>
        <w:t xml:space="preserve">Constitutional law — Charter of Rights — </w:t>
      </w:r>
      <w:r w:rsidRPr="00811A44">
        <w:rPr>
          <w:i/>
          <w:lang w:val="en-GB"/>
        </w:rPr>
        <w:t xml:space="preserve">Right to counsel — Accused speaking with lawyer on telephone from police station — Call ending in belief that police had agreed to allow them to continue conversation at station — Police refusing to let accused meet with lawyer when he arrived at station — Police subsequently conducting interrogation resulting in accused making incriminating statement — Whether police required to provide accused with </w:t>
      </w:r>
      <w:r w:rsidRPr="00811A44">
        <w:rPr>
          <w:i/>
          <w:lang w:val="en-US"/>
        </w:rPr>
        <w:t>further opportunity to consult counsel before interrogation — Canadian Cha</w:t>
      </w:r>
      <w:r w:rsidR="00CA6FE4">
        <w:rPr>
          <w:i/>
          <w:lang w:val="en-US"/>
        </w:rPr>
        <w:t>rter of Rights and Freedoms, s. </w:t>
      </w:r>
      <w:r w:rsidRPr="00811A44">
        <w:rPr>
          <w:i/>
          <w:lang w:val="en-US"/>
        </w:rPr>
        <w:t>10(b).</w:t>
      </w:r>
    </w:p>
    <w:p w14:paraId="71047C6C" w14:textId="14619013" w:rsidR="00811A44" w:rsidRPr="00811A44" w:rsidRDefault="00660483" w:rsidP="00CA6FE4">
      <w:pPr>
        <w:pStyle w:val="SCCNormalDoubleSpacing"/>
        <w:spacing w:after="480"/>
        <w:rPr>
          <w:lang w:val="en-US"/>
        </w:rPr>
      </w:pPr>
      <w:r>
        <w:tab/>
        <w:t>In</w:t>
      </w:r>
      <w:r w:rsidR="00811A44" w:rsidRPr="00811A44">
        <w:t xml:space="preserve"> </w:t>
      </w:r>
      <w:r>
        <w:rPr>
          <w:lang w:val="en-US"/>
        </w:rPr>
        <w:t>August 2013, the accused was</w:t>
      </w:r>
      <w:r w:rsidR="00811A44" w:rsidRPr="00811A44">
        <w:rPr>
          <w:lang w:val="en-US"/>
        </w:rPr>
        <w:t xml:space="preserve"> arrested on c</w:t>
      </w:r>
      <w:r>
        <w:rPr>
          <w:lang w:val="en-US"/>
        </w:rPr>
        <w:t>harges of murder and arson. The police informed him</w:t>
      </w:r>
      <w:r w:rsidR="00811A44" w:rsidRPr="00811A44">
        <w:rPr>
          <w:lang w:val="en-US"/>
        </w:rPr>
        <w:t xml:space="preserve"> of his rights, including his right to counsel under s. 10(b) of the </w:t>
      </w:r>
      <w:r w:rsidR="00811A44" w:rsidRPr="00811A44">
        <w:rPr>
          <w:i/>
          <w:lang w:val="en-US"/>
        </w:rPr>
        <w:t>Charter</w:t>
      </w:r>
      <w:r>
        <w:rPr>
          <w:lang w:val="en-US"/>
        </w:rPr>
        <w:t xml:space="preserve">. At the police station, </w:t>
      </w:r>
      <w:r w:rsidR="00811A44" w:rsidRPr="00811A44">
        <w:rPr>
          <w:lang w:val="en-US"/>
        </w:rPr>
        <w:t>the accused spok</w:t>
      </w:r>
      <w:r>
        <w:rPr>
          <w:lang w:val="en-US"/>
        </w:rPr>
        <w:t>e to a lawyer on the phone who explained the charges against him and his right to remain silent. The lawyer</w:t>
      </w:r>
      <w:r w:rsidR="00811A44" w:rsidRPr="00811A44">
        <w:rPr>
          <w:lang w:val="en-US"/>
        </w:rPr>
        <w:t xml:space="preserve"> was</w:t>
      </w:r>
      <w:r>
        <w:rPr>
          <w:lang w:val="en-US"/>
        </w:rPr>
        <w:t xml:space="preserve"> left with the impression that the accused</w:t>
      </w:r>
      <w:r w:rsidR="00811A44" w:rsidRPr="00811A44">
        <w:rPr>
          <w:lang w:val="en-US"/>
        </w:rPr>
        <w:t xml:space="preserve"> was not processing </w:t>
      </w:r>
      <w:r>
        <w:rPr>
          <w:lang w:val="en-US"/>
        </w:rPr>
        <w:t>or understanding his advice.</w:t>
      </w:r>
      <w:r w:rsidR="00811A44" w:rsidRPr="00811A44">
        <w:rPr>
          <w:lang w:val="en-US"/>
        </w:rPr>
        <w:t xml:space="preserve"> He offered to come to the </w:t>
      </w:r>
      <w:r>
        <w:rPr>
          <w:lang w:val="en-US"/>
        </w:rPr>
        <w:t xml:space="preserve">station to meet in person, and </w:t>
      </w:r>
      <w:r w:rsidR="00811A44" w:rsidRPr="00811A44">
        <w:rPr>
          <w:lang w:val="en-US"/>
        </w:rPr>
        <w:t>the acc</w:t>
      </w:r>
      <w:r>
        <w:rPr>
          <w:lang w:val="en-US"/>
        </w:rPr>
        <w:t>used accepted. The lawyer then spoke with a police officer, informed him</w:t>
      </w:r>
      <w:r w:rsidR="00811A44" w:rsidRPr="00811A44">
        <w:rPr>
          <w:lang w:val="en-US"/>
        </w:rPr>
        <w:t xml:space="preserve"> that he was coming to the police station and asked that the in</w:t>
      </w:r>
      <w:r>
        <w:rPr>
          <w:lang w:val="en-US"/>
        </w:rPr>
        <w:t>vestigation be suspended. The police officer</w:t>
      </w:r>
      <w:r w:rsidR="00811A44" w:rsidRPr="00811A44">
        <w:rPr>
          <w:lang w:val="en-US"/>
        </w:rPr>
        <w:t xml:space="preserve"> responded that this would </w:t>
      </w:r>
      <w:r>
        <w:rPr>
          <w:lang w:val="en-US"/>
        </w:rPr>
        <w:t xml:space="preserve">be no problem or no trouble. The lawyer spoke again with the accused. </w:t>
      </w:r>
      <w:r w:rsidR="00811A44" w:rsidRPr="00811A44">
        <w:rPr>
          <w:lang w:val="en-US"/>
        </w:rPr>
        <w:t>He confirmed that he was coming to t</w:t>
      </w:r>
      <w:r>
        <w:rPr>
          <w:lang w:val="en-US"/>
        </w:rPr>
        <w:t>he police station to meet with him</w:t>
      </w:r>
      <w:r w:rsidR="00811A44" w:rsidRPr="00811A44">
        <w:rPr>
          <w:lang w:val="en-US"/>
        </w:rPr>
        <w:t xml:space="preserve"> and he e</w:t>
      </w:r>
      <w:r>
        <w:rPr>
          <w:lang w:val="en-US"/>
        </w:rPr>
        <w:t>xplained that, in the interim, he</w:t>
      </w:r>
      <w:r w:rsidR="00811A44" w:rsidRPr="00811A44">
        <w:rPr>
          <w:lang w:val="en-US"/>
        </w:rPr>
        <w:t xml:space="preserve"> </w:t>
      </w:r>
      <w:r>
        <w:rPr>
          <w:lang w:val="en-US"/>
        </w:rPr>
        <w:t>would be placed in a cell. The lawyer also told him</w:t>
      </w:r>
      <w:r w:rsidR="00811A44" w:rsidRPr="00811A44">
        <w:rPr>
          <w:lang w:val="en-US"/>
        </w:rPr>
        <w:t xml:space="preserve"> not to speak to anyone.</w:t>
      </w:r>
    </w:p>
    <w:p w14:paraId="54262375" w14:textId="033869E9" w:rsidR="00811A44" w:rsidRPr="00811A44" w:rsidRDefault="00660483" w:rsidP="00CA6FE4">
      <w:pPr>
        <w:pStyle w:val="SCCNormalDoubleSpacing"/>
        <w:spacing w:after="480"/>
        <w:rPr>
          <w:lang w:val="en-US"/>
        </w:rPr>
      </w:pPr>
      <w:r>
        <w:rPr>
          <w:lang w:val="en-US"/>
        </w:rPr>
        <w:tab/>
        <w:t>Subsequently, during a conversation between the police officer and</w:t>
      </w:r>
      <w:r w:rsidR="00811A44" w:rsidRPr="00811A44">
        <w:rPr>
          <w:lang w:val="en-US"/>
        </w:rPr>
        <w:t xml:space="preserve"> the lead investigators on</w:t>
      </w:r>
      <w:r>
        <w:rPr>
          <w:lang w:val="en-US"/>
        </w:rPr>
        <w:t xml:space="preserve"> the file, it was decided that the lawyer</w:t>
      </w:r>
      <w:r w:rsidR="00811A44" w:rsidRPr="00811A44">
        <w:rPr>
          <w:lang w:val="en-US"/>
        </w:rPr>
        <w:t xml:space="preserve"> would</w:t>
      </w:r>
      <w:r>
        <w:rPr>
          <w:lang w:val="en-US"/>
        </w:rPr>
        <w:t xml:space="preserve"> not be permitted to </w:t>
      </w:r>
      <w:r>
        <w:rPr>
          <w:lang w:val="en-US"/>
        </w:rPr>
        <w:lastRenderedPageBreak/>
        <w:t>meet with the accused. The police officer phoned the lawyer and</w:t>
      </w:r>
      <w:r w:rsidR="00811A44" w:rsidRPr="00811A44">
        <w:rPr>
          <w:lang w:val="en-US"/>
        </w:rPr>
        <w:t xml:space="preserve"> informe</w:t>
      </w:r>
      <w:r>
        <w:rPr>
          <w:lang w:val="en-US"/>
        </w:rPr>
        <w:t>d him of this decision. The lawyer nevertheless came to the police station, but</w:t>
      </w:r>
      <w:r w:rsidR="00811A44" w:rsidRPr="00811A44">
        <w:rPr>
          <w:lang w:val="en-US"/>
        </w:rPr>
        <w:t xml:space="preserve"> </w:t>
      </w:r>
      <w:r>
        <w:rPr>
          <w:lang w:val="en-US"/>
        </w:rPr>
        <w:t>was not permitted to meet with the accused. The police officer later went to the accused’s cell and told him</w:t>
      </w:r>
      <w:r w:rsidR="00811A44" w:rsidRPr="00811A44">
        <w:rPr>
          <w:rFonts w:eastAsia="Calibri"/>
          <w:szCs w:val="22"/>
          <w:lang w:val="en-US" w:eastAsia="en-US" w:bidi="en-US"/>
        </w:rPr>
        <w:t xml:space="preserve"> </w:t>
      </w:r>
      <w:r>
        <w:rPr>
          <w:lang w:val="en-US" w:bidi="en-US"/>
        </w:rPr>
        <w:t>that an</w:t>
      </w:r>
      <w:r w:rsidR="008F12D1">
        <w:rPr>
          <w:lang w:val="en-US" w:bidi="en-US"/>
        </w:rPr>
        <w:t>other</w:t>
      </w:r>
      <w:r>
        <w:rPr>
          <w:lang w:val="en-US" w:bidi="en-US"/>
        </w:rPr>
        <w:t xml:space="preserve"> officer</w:t>
      </w:r>
      <w:r w:rsidR="00811A44" w:rsidRPr="00811A44">
        <w:rPr>
          <w:lang w:val="en-US" w:bidi="en-US"/>
        </w:rPr>
        <w:t xml:space="preserve"> was ready to meet with him</w:t>
      </w:r>
      <w:r>
        <w:rPr>
          <w:lang w:val="en-US"/>
        </w:rPr>
        <w:t>. The accused asked whether his lawyer had</w:t>
      </w:r>
      <w:r w:rsidR="00811A44" w:rsidRPr="00811A44">
        <w:rPr>
          <w:lang w:val="en-US"/>
        </w:rPr>
        <w:t xml:space="preserve"> </w:t>
      </w:r>
      <w:r>
        <w:rPr>
          <w:lang w:val="en-US"/>
        </w:rPr>
        <w:t xml:space="preserve">arrived, </w:t>
      </w:r>
      <w:r w:rsidR="00811A44" w:rsidRPr="00811A44">
        <w:rPr>
          <w:lang w:val="en-US"/>
        </w:rPr>
        <w:t>to which th</w:t>
      </w:r>
      <w:r>
        <w:rPr>
          <w:lang w:val="en-US"/>
        </w:rPr>
        <w:t>e police officer responded</w:t>
      </w:r>
      <w:r w:rsidR="00811A44" w:rsidRPr="00811A44">
        <w:rPr>
          <w:lang w:val="en-US"/>
        </w:rPr>
        <w:t xml:space="preserve"> that the lawyer </w:t>
      </w:r>
      <w:r>
        <w:rPr>
          <w:lang w:val="en-US"/>
        </w:rPr>
        <w:t xml:space="preserve">was not at the police station. </w:t>
      </w:r>
      <w:r w:rsidR="00811A44" w:rsidRPr="00811A44">
        <w:rPr>
          <w:lang w:val="en-US"/>
        </w:rPr>
        <w:t>The accused was then subjected to an inte</w:t>
      </w:r>
      <w:r>
        <w:rPr>
          <w:lang w:val="en-US"/>
        </w:rPr>
        <w:t>rrogation, during which he</w:t>
      </w:r>
      <w:r w:rsidR="00811A44" w:rsidRPr="00811A44">
        <w:rPr>
          <w:lang w:val="en-US"/>
        </w:rPr>
        <w:t xml:space="preserve"> made an incriminating statement.</w:t>
      </w:r>
    </w:p>
    <w:p w14:paraId="562B32D1" w14:textId="07A623BE" w:rsidR="00811A44" w:rsidRPr="00811A44" w:rsidRDefault="00660483" w:rsidP="00CA6FE4">
      <w:pPr>
        <w:pStyle w:val="SCCNormalDoubleSpacing"/>
        <w:spacing w:after="480"/>
        <w:rPr>
          <w:lang w:val="en-US"/>
        </w:rPr>
      </w:pPr>
      <w:r>
        <w:rPr>
          <w:lang w:val="en-US"/>
        </w:rPr>
        <w:tab/>
        <w:t>At trial, the accused</w:t>
      </w:r>
      <w:r w:rsidR="00811A44" w:rsidRPr="00811A44">
        <w:rPr>
          <w:rFonts w:ascii="Calibri" w:eastAsia="Calibri" w:hAnsi="Calibri"/>
          <w:sz w:val="22"/>
          <w:szCs w:val="22"/>
          <w:lang w:val="en-US" w:eastAsia="en-US"/>
        </w:rPr>
        <w:t xml:space="preserve"> </w:t>
      </w:r>
      <w:r w:rsidR="00811A44" w:rsidRPr="00811A44">
        <w:rPr>
          <w:lang w:val="en-US"/>
        </w:rPr>
        <w:t>moved to exclude the statement on the basis that i</w:t>
      </w:r>
      <w:r>
        <w:rPr>
          <w:lang w:val="en-US"/>
        </w:rPr>
        <w:t>t was obtained in violation of his</w:t>
      </w:r>
      <w:r w:rsidR="00811A44" w:rsidRPr="00811A44">
        <w:rPr>
          <w:lang w:val="en-US"/>
        </w:rPr>
        <w:t xml:space="preserve"> </w:t>
      </w:r>
      <w:r w:rsidR="00811A44" w:rsidRPr="00811A44">
        <w:rPr>
          <w:i/>
          <w:lang w:val="en-US"/>
        </w:rPr>
        <w:t>Charter</w:t>
      </w:r>
      <w:r>
        <w:rPr>
          <w:lang w:val="en-US"/>
        </w:rPr>
        <w:t xml:space="preserve"> rights</w:t>
      </w:r>
      <w:r w:rsidR="00314A0A">
        <w:rPr>
          <w:lang w:val="en-US"/>
        </w:rPr>
        <w:t xml:space="preserve">, </w:t>
      </w:r>
      <w:r w:rsidR="00811A44" w:rsidRPr="00811A44">
        <w:rPr>
          <w:lang w:val="en-US"/>
        </w:rPr>
        <w:t xml:space="preserve">notably his right </w:t>
      </w:r>
      <w:r w:rsidR="00314A0A">
        <w:rPr>
          <w:lang w:val="en-US"/>
        </w:rPr>
        <w:t xml:space="preserve">to counsel under s. 10(b). </w:t>
      </w:r>
      <w:r w:rsidR="00811A44" w:rsidRPr="00811A44">
        <w:rPr>
          <w:lang w:val="en-US"/>
        </w:rPr>
        <w:t>The trial judge held that the incriminating statemen</w:t>
      </w:r>
      <w:r w:rsidR="00314A0A">
        <w:rPr>
          <w:lang w:val="en-US"/>
        </w:rPr>
        <w:t>t was admissible. She found that the accused</w:t>
      </w:r>
      <w:r w:rsidR="00811A44" w:rsidRPr="00811A44">
        <w:rPr>
          <w:lang w:val="en-US"/>
        </w:rPr>
        <w:t xml:space="preserve"> had exercised his right to counsel, and that</w:t>
      </w:r>
      <w:r w:rsidR="00314A0A">
        <w:rPr>
          <w:lang w:val="en-US"/>
        </w:rPr>
        <w:t xml:space="preserve"> the police could reasonably presume</w:t>
      </w:r>
      <w:r w:rsidR="00811A44" w:rsidRPr="00811A44">
        <w:rPr>
          <w:lang w:val="en-US"/>
        </w:rPr>
        <w:t xml:space="preserve"> that he had done so </w:t>
      </w:r>
      <w:r w:rsidR="00314A0A">
        <w:rPr>
          <w:lang w:val="en-US"/>
        </w:rPr>
        <w:t xml:space="preserve">in a satisfactory manner. </w:t>
      </w:r>
      <w:r w:rsidR="00811A44" w:rsidRPr="00811A44">
        <w:rPr>
          <w:lang w:val="en-US"/>
        </w:rPr>
        <w:t>The accus</w:t>
      </w:r>
      <w:r w:rsidR="00314A0A">
        <w:rPr>
          <w:lang w:val="en-US"/>
        </w:rPr>
        <w:t>ed was convicted of murder, and</w:t>
      </w:r>
      <w:r w:rsidR="00811A44" w:rsidRPr="00811A44">
        <w:rPr>
          <w:sz w:val="22"/>
          <w:szCs w:val="22"/>
          <w:lang w:val="en-US" w:eastAsia="en-US"/>
        </w:rPr>
        <w:t xml:space="preserve"> </w:t>
      </w:r>
      <w:r w:rsidR="00811A44" w:rsidRPr="00811A44">
        <w:rPr>
          <w:lang w:val="en-US"/>
        </w:rPr>
        <w:t>appealed from the conviction on the basis that the trial judge erred in dismissing his motion to exclude th</w:t>
      </w:r>
      <w:r w:rsidR="00314A0A">
        <w:rPr>
          <w:lang w:val="en-US"/>
        </w:rPr>
        <w:t xml:space="preserve">e incriminating statement. </w:t>
      </w:r>
      <w:r w:rsidR="00811A44" w:rsidRPr="00811A44">
        <w:rPr>
          <w:lang w:val="en-US"/>
        </w:rPr>
        <w:t>The Court of Appeal unanimously allowed the appeal, quashed the verdict,</w:t>
      </w:r>
      <w:r w:rsidR="00314A0A">
        <w:rPr>
          <w:lang w:val="en-US"/>
        </w:rPr>
        <w:t xml:space="preserve"> and ordered a new trial. It concluded that </w:t>
      </w:r>
      <w:r w:rsidR="00811A44" w:rsidRPr="00811A44">
        <w:rPr>
          <w:lang w:val="en-US"/>
        </w:rPr>
        <w:t>the ac</w:t>
      </w:r>
      <w:r w:rsidR="00314A0A">
        <w:rPr>
          <w:lang w:val="en-US"/>
        </w:rPr>
        <w:t>cused’s phone call with the lawyer did not</w:t>
      </w:r>
      <w:r w:rsidR="00811A44" w:rsidRPr="00811A44">
        <w:rPr>
          <w:lang w:val="en-US"/>
        </w:rPr>
        <w:t xml:space="preserve"> constitute a complete consultation for</w:t>
      </w:r>
      <w:r w:rsidR="00314A0A">
        <w:rPr>
          <w:lang w:val="en-US"/>
        </w:rPr>
        <w:t xml:space="preserve"> the purposes of s. 10(b) </w:t>
      </w:r>
      <w:r w:rsidR="00811A44" w:rsidRPr="00811A44">
        <w:rPr>
          <w:lang w:val="en-US"/>
        </w:rPr>
        <w:t>and t</w:t>
      </w:r>
      <w:r w:rsidR="00314A0A">
        <w:rPr>
          <w:lang w:val="en-US"/>
        </w:rPr>
        <w:t>hat, as a result, the accused’s right to</w:t>
      </w:r>
      <w:r w:rsidR="00811A44" w:rsidRPr="00811A44">
        <w:rPr>
          <w:rFonts w:ascii="Calibri" w:eastAsia="Calibri" w:hAnsi="Calibri"/>
          <w:sz w:val="22"/>
          <w:szCs w:val="22"/>
          <w:lang w:val="en-US" w:eastAsia="en-US"/>
        </w:rPr>
        <w:t xml:space="preserve"> </w:t>
      </w:r>
      <w:r w:rsidR="00811A44" w:rsidRPr="00811A44">
        <w:rPr>
          <w:lang w:val="en-US"/>
        </w:rPr>
        <w:t>the e</w:t>
      </w:r>
      <w:r w:rsidR="00314A0A">
        <w:rPr>
          <w:lang w:val="en-US"/>
        </w:rPr>
        <w:t>ffective assistance of counsel was</w:t>
      </w:r>
      <w:r w:rsidR="00811A44" w:rsidRPr="00811A44">
        <w:rPr>
          <w:lang w:val="en-US"/>
        </w:rPr>
        <w:t xml:space="preserve"> breached.</w:t>
      </w:r>
    </w:p>
    <w:p w14:paraId="52496AAB" w14:textId="77777777" w:rsidR="00811A44" w:rsidRPr="00811A44" w:rsidRDefault="00811A44" w:rsidP="00CA6FE4">
      <w:pPr>
        <w:pStyle w:val="SCCNormalDoubleSpacing"/>
        <w:spacing w:after="480"/>
      </w:pPr>
      <w:r w:rsidRPr="00811A44">
        <w:rPr>
          <w:lang w:val="en-US"/>
        </w:rPr>
        <w:tab/>
      </w:r>
      <w:r w:rsidRPr="00811A44">
        <w:rPr>
          <w:i/>
        </w:rPr>
        <w:t>Held</w:t>
      </w:r>
      <w:r w:rsidRPr="00811A44">
        <w:t>: The appeal should be dismissed.</w:t>
      </w:r>
    </w:p>
    <w:p w14:paraId="658E0DCB" w14:textId="2AF6CD16" w:rsidR="00811A44" w:rsidRPr="00811A44" w:rsidRDefault="00314A0A" w:rsidP="00CA6FE4">
      <w:pPr>
        <w:pStyle w:val="SCCNormalDoubleSpacing"/>
        <w:spacing w:after="480"/>
        <w:rPr>
          <w:lang w:val="en-US"/>
        </w:rPr>
      </w:pPr>
      <w:r>
        <w:rPr>
          <w:lang w:val="en-US"/>
        </w:rPr>
        <w:tab/>
        <w:t>In the unique circumstances of the instant case,</w:t>
      </w:r>
      <w:r w:rsidR="00811A44" w:rsidRPr="00811A44">
        <w:rPr>
          <w:lang w:val="en-US"/>
        </w:rPr>
        <w:t xml:space="preserve"> the p</w:t>
      </w:r>
      <w:r>
        <w:rPr>
          <w:lang w:val="en-US"/>
        </w:rPr>
        <w:t>olice were required to provide the accused</w:t>
      </w:r>
      <w:r w:rsidR="00811A44" w:rsidRPr="00811A44">
        <w:rPr>
          <w:lang w:val="en-US"/>
        </w:rPr>
        <w:t xml:space="preserve"> with a further opportunity to consult coun</w:t>
      </w:r>
      <w:r>
        <w:rPr>
          <w:lang w:val="en-US"/>
        </w:rPr>
        <w:t xml:space="preserve">sel before questioning </w:t>
      </w:r>
      <w:r>
        <w:rPr>
          <w:lang w:val="en-US"/>
        </w:rPr>
        <w:lastRenderedPageBreak/>
        <w:t xml:space="preserve">him. </w:t>
      </w:r>
      <w:r w:rsidR="00811A44" w:rsidRPr="00811A44">
        <w:rPr>
          <w:lang w:val="en-US"/>
        </w:rPr>
        <w:t>There were objectively observable indicators that the police conduct had the effect of undermining the legal a</w:t>
      </w:r>
      <w:r>
        <w:rPr>
          <w:lang w:val="en-US"/>
        </w:rPr>
        <w:t>dvice that the lawyer provided the accused</w:t>
      </w:r>
      <w:r w:rsidR="00811A44" w:rsidRPr="00811A44">
        <w:rPr>
          <w:lang w:val="en-US"/>
        </w:rPr>
        <w:t xml:space="preserve"> d</w:t>
      </w:r>
      <w:r>
        <w:rPr>
          <w:lang w:val="en-US"/>
        </w:rPr>
        <w:t xml:space="preserve">uring their telephone call. </w:t>
      </w:r>
      <w:r w:rsidR="00811A44" w:rsidRPr="00811A44">
        <w:rPr>
          <w:lang w:val="en-US"/>
        </w:rPr>
        <w:t>Therefore, even if the call was a complete consultation in its own right, the police were ne</w:t>
      </w:r>
      <w:r>
        <w:rPr>
          <w:lang w:val="en-US"/>
        </w:rPr>
        <w:t>vertheless required to provide the accused</w:t>
      </w:r>
      <w:r w:rsidR="00811A44" w:rsidRPr="00811A44">
        <w:rPr>
          <w:lang w:val="en-US"/>
        </w:rPr>
        <w:t xml:space="preserve"> with a second opportunity </w:t>
      </w:r>
      <w:r>
        <w:rPr>
          <w:lang w:val="en-US"/>
        </w:rPr>
        <w:t>to consult counsel. In failing</w:t>
      </w:r>
      <w:r w:rsidR="00811A44" w:rsidRPr="00811A44">
        <w:rPr>
          <w:lang w:val="en-US"/>
        </w:rPr>
        <w:t xml:space="preserve"> to do so, they breached </w:t>
      </w:r>
      <w:r>
        <w:rPr>
          <w:lang w:val="en-US"/>
        </w:rPr>
        <w:t xml:space="preserve">the accused’s right to counsel under s. 10(b) </w:t>
      </w:r>
      <w:r w:rsidR="00811A44" w:rsidRPr="00811A44">
        <w:rPr>
          <w:lang w:val="en-US"/>
        </w:rPr>
        <w:t xml:space="preserve">of the </w:t>
      </w:r>
      <w:r w:rsidR="00811A44" w:rsidRPr="00811A44">
        <w:rPr>
          <w:i/>
          <w:lang w:val="en-US"/>
        </w:rPr>
        <w:t>Charter</w:t>
      </w:r>
      <w:r w:rsidR="00811A44" w:rsidRPr="00811A44">
        <w:rPr>
          <w:lang w:val="en-US"/>
        </w:rPr>
        <w:t>.</w:t>
      </w:r>
    </w:p>
    <w:p w14:paraId="15B3FF43" w14:textId="73A656B7" w:rsidR="00811A44" w:rsidRPr="00811A44" w:rsidRDefault="00314A0A" w:rsidP="00CA6FE4">
      <w:pPr>
        <w:pStyle w:val="SCCNormalDoubleSpacing"/>
        <w:spacing w:after="480"/>
        <w:rPr>
          <w:lang w:val="en-US"/>
        </w:rPr>
      </w:pPr>
      <w:r>
        <w:rPr>
          <w:lang w:val="en-US"/>
        </w:rPr>
        <w:tab/>
      </w:r>
      <w:r w:rsidR="00811A44" w:rsidRPr="00811A44">
        <w:rPr>
          <w:lang w:val="en-US"/>
        </w:rPr>
        <w:t xml:space="preserve">Section 10(b) of the </w:t>
      </w:r>
      <w:r w:rsidR="00811A44" w:rsidRPr="00811A44">
        <w:rPr>
          <w:i/>
          <w:lang w:val="en-US"/>
        </w:rPr>
        <w:t>Charter</w:t>
      </w:r>
      <w:r w:rsidR="00811A44" w:rsidRPr="00811A44">
        <w:rPr>
          <w:lang w:val="en-US"/>
        </w:rPr>
        <w:t xml:space="preserve"> provides that everyone has the right on arrest or detention to retain and instruct counsel without delay and to </w:t>
      </w:r>
      <w:r>
        <w:rPr>
          <w:lang w:val="en-US"/>
        </w:rPr>
        <w:t xml:space="preserve">be informed of that right. </w:t>
      </w:r>
      <w:r w:rsidR="00811A44" w:rsidRPr="00811A44">
        <w:rPr>
          <w:lang w:val="en-US"/>
        </w:rPr>
        <w:t>Stated at its broadest, the purpose of the right to counsel is to provide a detainee with an opportunity to o</w:t>
      </w:r>
      <w:r>
        <w:rPr>
          <w:lang w:val="en-US"/>
        </w:rPr>
        <w:t xml:space="preserve">btain legal advice relevant to their legal situation. </w:t>
      </w:r>
      <w:r w:rsidR="00811A44" w:rsidRPr="00811A44">
        <w:rPr>
          <w:lang w:val="en-US"/>
        </w:rPr>
        <w:t>Police must inform detainees of the right to counsel (the informational duty) and must provide detainees who invoke this right with a reasonable opportunity to exercise it (t</w:t>
      </w:r>
      <w:r>
        <w:rPr>
          <w:lang w:val="en-US"/>
        </w:rPr>
        <w:t xml:space="preserve">he implementational duty). </w:t>
      </w:r>
      <w:r w:rsidR="00811A44" w:rsidRPr="00811A44">
        <w:rPr>
          <w:lang w:val="en-US"/>
        </w:rPr>
        <w:t>Failure to comply with either duty results in a breach of s. 10(b</w:t>
      </w:r>
      <w:r>
        <w:rPr>
          <w:lang w:val="en-US"/>
        </w:rPr>
        <w:t>).</w:t>
      </w:r>
      <w:r w:rsidR="00811A44" w:rsidRPr="00811A44">
        <w:rPr>
          <w:lang w:val="en-US"/>
        </w:rPr>
        <w:t xml:space="preserve"> Police can typically discharge their implementational duty by facilitating a single consultation at the time of deten</w:t>
      </w:r>
      <w:r>
        <w:rPr>
          <w:lang w:val="en-US"/>
        </w:rPr>
        <w:t>tion or shortly thereafter.</w:t>
      </w:r>
      <w:r w:rsidR="00811A44" w:rsidRPr="00811A44">
        <w:rPr>
          <w:lang w:val="en-US"/>
        </w:rPr>
        <w:t xml:space="preserve"> Detainees do not have a right to obtain, and police do not have a duty to facilitate, the continuo</w:t>
      </w:r>
      <w:r>
        <w:rPr>
          <w:lang w:val="en-US"/>
        </w:rPr>
        <w:t xml:space="preserve">us assistance of counsel. </w:t>
      </w:r>
      <w:r w:rsidR="00811A44" w:rsidRPr="00811A44">
        <w:rPr>
          <w:lang w:val="en-US"/>
        </w:rPr>
        <w:t>Once a detainee has consulted with counsel, the police are entitled to begin eliciting evidence.</w:t>
      </w:r>
    </w:p>
    <w:p w14:paraId="35547100" w14:textId="466312AF" w:rsidR="00811A44" w:rsidRPr="00811A44" w:rsidRDefault="00314A0A" w:rsidP="00CA6FE4">
      <w:pPr>
        <w:pStyle w:val="SCCNormalDoubleSpacing"/>
        <w:spacing w:after="480"/>
        <w:rPr>
          <w:lang w:val="en-US" w:bidi="en-US"/>
        </w:rPr>
      </w:pPr>
      <w:r>
        <w:rPr>
          <w:lang w:val="en-US"/>
        </w:rPr>
        <w:tab/>
      </w:r>
      <w:r w:rsidR="00811A44" w:rsidRPr="00811A44">
        <w:rPr>
          <w:lang w:val="en-US"/>
        </w:rPr>
        <w:t>There are, however, except</w:t>
      </w:r>
      <w:r>
        <w:rPr>
          <w:lang w:val="en-US"/>
        </w:rPr>
        <w:t xml:space="preserve">ions to this general rule. </w:t>
      </w:r>
      <w:r w:rsidR="00811A44" w:rsidRPr="00811A44">
        <w:rPr>
          <w:lang w:val="en-US"/>
        </w:rPr>
        <w:t>T</w:t>
      </w:r>
      <w:r w:rsidR="00811A44" w:rsidRPr="00811A44">
        <w:rPr>
          <w:lang w:val="en-US" w:bidi="en-US"/>
        </w:rPr>
        <w:t>he law has thus far recognized three categories</w:t>
      </w:r>
      <w:r w:rsidR="00811A44" w:rsidRPr="00811A44" w:rsidDel="000F7D19">
        <w:rPr>
          <w:lang w:val="en-US" w:bidi="en-US"/>
        </w:rPr>
        <w:t xml:space="preserve"> </w:t>
      </w:r>
      <w:r w:rsidR="00811A44" w:rsidRPr="00811A44">
        <w:rPr>
          <w:lang w:val="en-US" w:bidi="en-US"/>
        </w:rPr>
        <w:t xml:space="preserve">of changed circumstances that can renew a detainee’s right to consult counsel: new procedures involving the detainee; a change in the jeopardy </w:t>
      </w:r>
      <w:r w:rsidR="00811A44" w:rsidRPr="00811A44">
        <w:rPr>
          <w:lang w:val="en-US" w:bidi="en-US"/>
        </w:rPr>
        <w:lastRenderedPageBreak/>
        <w:t>facing the detainee; or reason to believe that the first informati</w:t>
      </w:r>
      <w:r>
        <w:rPr>
          <w:lang w:val="en-US" w:bidi="en-US"/>
        </w:rPr>
        <w:t xml:space="preserve">on provided was deficient. </w:t>
      </w:r>
      <w:r w:rsidR="00811A44" w:rsidRPr="00811A44">
        <w:rPr>
          <w:lang w:val="en-US" w:bidi="en-US"/>
        </w:rPr>
        <w:t xml:space="preserve">For any of these changed circumstances to give rise to a right to reconsult, they must </w:t>
      </w:r>
      <w:r>
        <w:rPr>
          <w:lang w:val="en-US" w:bidi="en-US"/>
        </w:rPr>
        <w:t xml:space="preserve">be objectively observable. </w:t>
      </w:r>
      <w:r w:rsidR="00811A44" w:rsidRPr="00811A44">
        <w:rPr>
          <w:lang w:val="en-US" w:bidi="en-US"/>
        </w:rPr>
        <w:t>As a specific</w:t>
      </w:r>
      <w:r>
        <w:rPr>
          <w:lang w:val="en-US" w:bidi="en-US"/>
        </w:rPr>
        <w:t xml:space="preserve"> example of the third category of changed circumstances</w:t>
      </w:r>
      <w:r w:rsidR="00811A44" w:rsidRPr="00811A44">
        <w:rPr>
          <w:lang w:val="en-US" w:bidi="en-US"/>
        </w:rPr>
        <w:t xml:space="preserve">, the right to counsel may be renewed if police undermine the legal advice that the detainee has </w:t>
      </w:r>
      <w:r>
        <w:rPr>
          <w:lang w:val="en-US" w:bidi="en-US"/>
        </w:rPr>
        <w:t>received.</w:t>
      </w:r>
      <w:r w:rsidR="00811A44" w:rsidRPr="00811A44">
        <w:rPr>
          <w:lang w:val="en-US" w:bidi="en-US"/>
        </w:rPr>
        <w:t xml:space="preserve"> Police can undermine legal advice by undermining confidence in the lawyer</w:t>
      </w:r>
      <w:r>
        <w:rPr>
          <w:lang w:val="en-US" w:bidi="en-US"/>
        </w:rPr>
        <w:t xml:space="preserve"> who provided that advice. </w:t>
      </w:r>
      <w:r w:rsidR="00811A44" w:rsidRPr="00811A44">
        <w:rPr>
          <w:lang w:val="en-US" w:bidi="en-US"/>
        </w:rPr>
        <w:t>A detainee’s confidence i</w:t>
      </w:r>
      <w:r w:rsidR="00872756">
        <w:rPr>
          <w:lang w:val="en-US" w:bidi="en-US"/>
        </w:rPr>
        <w:t>n counsel anchors the solicitor</w:t>
      </w:r>
      <w:r w:rsidR="00872756">
        <w:rPr>
          <w:lang w:val="en-US" w:bidi="en-US"/>
        </w:rPr>
        <w:noBreakHyphen/>
      </w:r>
      <w:r w:rsidR="00811A44" w:rsidRPr="00811A44">
        <w:rPr>
          <w:lang w:val="en-US" w:bidi="en-US"/>
        </w:rPr>
        <w:t>client relationship and allows for the effectiv</w:t>
      </w:r>
      <w:r>
        <w:rPr>
          <w:lang w:val="en-US" w:bidi="en-US"/>
        </w:rPr>
        <w:t>e provision of legal advice.</w:t>
      </w:r>
      <w:r w:rsidR="00811A44" w:rsidRPr="00811A44">
        <w:rPr>
          <w:lang w:val="en-US" w:bidi="en-US"/>
        </w:rPr>
        <w:t xml:space="preserve"> When the police undermine a detainee’s confidence in counsel, the legal advice that counsel has already provided may beco</w:t>
      </w:r>
      <w:r>
        <w:rPr>
          <w:lang w:val="en-US" w:bidi="en-US"/>
        </w:rPr>
        <w:t xml:space="preserve">me distorted or nullified. </w:t>
      </w:r>
      <w:r w:rsidR="00811A44" w:rsidRPr="00811A44">
        <w:rPr>
          <w:lang w:val="en-US" w:bidi="en-US"/>
        </w:rPr>
        <w:t>Police are required to provide a new opportunity to consult with counsel in order to counteract these effects.</w:t>
      </w:r>
    </w:p>
    <w:p w14:paraId="037FE7AB" w14:textId="6834F879" w:rsidR="00811A44" w:rsidRPr="00811A44" w:rsidRDefault="00314A0A" w:rsidP="00CA6FE4">
      <w:pPr>
        <w:pStyle w:val="SCCNormalDoubleSpacing"/>
        <w:spacing w:after="480"/>
        <w:rPr>
          <w:lang w:val="en-US" w:bidi="en-US"/>
        </w:rPr>
      </w:pPr>
      <w:r>
        <w:rPr>
          <w:lang w:val="en-US" w:bidi="en-US"/>
        </w:rPr>
        <w:tab/>
      </w:r>
      <w:r w:rsidR="00811A44" w:rsidRPr="00811A44">
        <w:rPr>
          <w:lang w:val="en-US" w:bidi="en-US"/>
        </w:rPr>
        <w:t>Undermining is not limited to intentional bel</w:t>
      </w:r>
      <w:r>
        <w:rPr>
          <w:lang w:val="en-US" w:bidi="en-US"/>
        </w:rPr>
        <w:t>ittling of defence counsel.</w:t>
      </w:r>
      <w:r w:rsidR="00811A44" w:rsidRPr="00811A44">
        <w:rPr>
          <w:lang w:val="en-US" w:bidi="en-US"/>
        </w:rPr>
        <w:t xml:space="preserve"> Police conduct can unintentionally undermine the legal advi</w:t>
      </w:r>
      <w:r>
        <w:rPr>
          <w:lang w:val="en-US" w:bidi="en-US"/>
        </w:rPr>
        <w:t>ce provided to a detainee. The focus should</w:t>
      </w:r>
      <w:r w:rsidR="00811A44" w:rsidRPr="00811A44">
        <w:rPr>
          <w:lang w:val="en-US" w:bidi="en-US"/>
        </w:rPr>
        <w:t xml:space="preserve"> remain on the objectively observable effects of the police conduct, rather </w:t>
      </w:r>
      <w:r>
        <w:rPr>
          <w:lang w:val="en-US" w:bidi="en-US"/>
        </w:rPr>
        <w:t xml:space="preserve">than on the conduct itself. </w:t>
      </w:r>
      <w:r w:rsidR="00811A44" w:rsidRPr="00811A44">
        <w:rPr>
          <w:lang w:val="en-US" w:bidi="en-US"/>
        </w:rPr>
        <w:t>Where the police conduct has the effect of undermining the legal advice given to a detainee, and where it is objectively observable that this has occurred, the right to a second consultat</w:t>
      </w:r>
      <w:r>
        <w:rPr>
          <w:lang w:val="en-US" w:bidi="en-US"/>
        </w:rPr>
        <w:t xml:space="preserve">ion arises. </w:t>
      </w:r>
      <w:r w:rsidR="00811A44" w:rsidRPr="00811A44">
        <w:rPr>
          <w:lang w:val="en-US" w:bidi="en-US"/>
        </w:rPr>
        <w:t>There is no need to prove that the police conduct was intended to have this</w:t>
      </w:r>
      <w:r>
        <w:rPr>
          <w:lang w:val="en-US" w:bidi="en-US"/>
        </w:rPr>
        <w:t xml:space="preserve"> effect. </w:t>
      </w:r>
      <w:r w:rsidR="00CA6FE4">
        <w:rPr>
          <w:lang w:val="en-US" w:bidi="en-US"/>
        </w:rPr>
        <w:t>The purpose of s. </w:t>
      </w:r>
      <w:r w:rsidR="00811A44" w:rsidRPr="00811A44">
        <w:rPr>
          <w:lang w:val="en-US" w:bidi="en-US"/>
        </w:rPr>
        <w:t>10(b) will be frustrated by police conduct that causes the detainee to doubt the legal correctness of the advice they have received or the trustworthiness of the lawyer who provided it.</w:t>
      </w:r>
    </w:p>
    <w:p w14:paraId="175D73A7" w14:textId="1FC32E77" w:rsidR="00610539" w:rsidRPr="00811A44" w:rsidRDefault="00314A0A" w:rsidP="00CA6FE4">
      <w:pPr>
        <w:pStyle w:val="SCCNormalDoubleSpacing"/>
        <w:spacing w:after="480"/>
        <w:rPr>
          <w:lang w:val="en-US" w:bidi="en-US"/>
        </w:rPr>
      </w:pPr>
      <w:r>
        <w:rPr>
          <w:lang w:val="en-US" w:bidi="en-US"/>
        </w:rPr>
        <w:lastRenderedPageBreak/>
        <w:tab/>
        <w:t>In the present case, two separate acts of the police officer</w:t>
      </w:r>
      <w:r w:rsidR="00811A44" w:rsidRPr="00811A44">
        <w:rPr>
          <w:lang w:val="en-US" w:bidi="en-US"/>
        </w:rPr>
        <w:t xml:space="preserve"> combined to have the effect of undermi</w:t>
      </w:r>
      <w:r>
        <w:rPr>
          <w:lang w:val="en-US" w:bidi="en-US"/>
        </w:rPr>
        <w:t>ning the legal advice provided to the accused. First, when the lawyer</w:t>
      </w:r>
      <w:r w:rsidR="00811A44" w:rsidRPr="00811A44">
        <w:rPr>
          <w:lang w:val="en-US" w:bidi="en-US"/>
        </w:rPr>
        <w:t xml:space="preserve"> said that he was coming to t</w:t>
      </w:r>
      <w:r>
        <w:rPr>
          <w:lang w:val="en-US" w:bidi="en-US"/>
        </w:rPr>
        <w:t>he police station to meet with the accused</w:t>
      </w:r>
      <w:r w:rsidR="00811A44" w:rsidRPr="00811A44">
        <w:rPr>
          <w:lang w:val="en-US" w:bidi="en-US"/>
        </w:rPr>
        <w:t xml:space="preserve"> and asked that the i</w:t>
      </w:r>
      <w:r>
        <w:rPr>
          <w:lang w:val="en-US" w:bidi="en-US"/>
        </w:rPr>
        <w:t xml:space="preserve">nvestigation be suspended, the </w:t>
      </w:r>
      <w:r w:rsidR="00811A44" w:rsidRPr="00811A44">
        <w:rPr>
          <w:lang w:val="en-US" w:bidi="en-US"/>
        </w:rPr>
        <w:t>police officer responded that this would be</w:t>
      </w:r>
      <w:r>
        <w:rPr>
          <w:lang w:val="en-US" w:bidi="en-US"/>
        </w:rPr>
        <w:t xml:space="preserve"> no problem or no trouble. In reasonable reliance on these words, the lawyer advised </w:t>
      </w:r>
      <w:r w:rsidR="00811A44" w:rsidRPr="00811A44">
        <w:rPr>
          <w:lang w:val="en-US" w:bidi="en-US"/>
        </w:rPr>
        <w:t>the a</w:t>
      </w:r>
      <w:r>
        <w:rPr>
          <w:lang w:val="en-US" w:bidi="en-US"/>
        </w:rPr>
        <w:t xml:space="preserve">ccused </w:t>
      </w:r>
      <w:r w:rsidR="00811A44" w:rsidRPr="00811A44">
        <w:rPr>
          <w:lang w:val="en-US" w:bidi="en-US"/>
        </w:rPr>
        <w:t>that he was coming to the police station to meet with him and that, in the interim, he w</w:t>
      </w:r>
      <w:r>
        <w:rPr>
          <w:lang w:val="en-US" w:bidi="en-US"/>
        </w:rPr>
        <w:t>ould be placed in a cell. The police officer</w:t>
      </w:r>
      <w:r w:rsidR="00811A44" w:rsidRPr="00811A44">
        <w:rPr>
          <w:lang w:val="en-US" w:bidi="en-US"/>
        </w:rPr>
        <w:t>’s words therefore had the effec</w:t>
      </w:r>
      <w:r>
        <w:rPr>
          <w:lang w:val="en-US" w:bidi="en-US"/>
        </w:rPr>
        <w:t>t, albeit indirect, of causing the accused</w:t>
      </w:r>
      <w:r w:rsidR="00811A44" w:rsidRPr="00811A44">
        <w:rPr>
          <w:lang w:val="en-US" w:bidi="en-US"/>
        </w:rPr>
        <w:t xml:space="preserve"> to believe that an</w:t>
      </w:r>
      <w:r w:rsidR="00CA6FE4">
        <w:rPr>
          <w:lang w:val="en-US" w:bidi="en-US"/>
        </w:rPr>
        <w:t xml:space="preserve"> in</w:t>
      </w:r>
      <w:r w:rsidR="00CA6FE4">
        <w:rPr>
          <w:lang w:val="en-US" w:bidi="en-US"/>
        </w:rPr>
        <w:noBreakHyphen/>
      </w:r>
      <w:r w:rsidR="00811A44" w:rsidRPr="00811A44">
        <w:rPr>
          <w:lang w:val="en-US" w:bidi="en-US"/>
        </w:rPr>
        <w:t>person mee</w:t>
      </w:r>
      <w:r>
        <w:rPr>
          <w:lang w:val="en-US" w:bidi="en-US"/>
        </w:rPr>
        <w:t>ting would take place. In refusing to permit the lawyer to meet with the accused</w:t>
      </w:r>
      <w:r w:rsidR="00811A44" w:rsidRPr="00811A44">
        <w:rPr>
          <w:lang w:val="en-US" w:bidi="en-US"/>
        </w:rPr>
        <w:t>, the police effectively fal</w:t>
      </w:r>
      <w:r>
        <w:rPr>
          <w:lang w:val="en-US" w:bidi="en-US"/>
        </w:rPr>
        <w:t>sified an important premise of the lawyer’s advice — i.e., that the accused</w:t>
      </w:r>
      <w:r w:rsidR="00811A44" w:rsidRPr="00811A44">
        <w:rPr>
          <w:lang w:val="en-US" w:bidi="en-US"/>
        </w:rPr>
        <w:t xml:space="preserve"> w</w:t>
      </w:r>
      <w:r>
        <w:rPr>
          <w:lang w:val="en-US" w:bidi="en-US"/>
        </w:rPr>
        <w:t>ould be placed in a cell until the lawyer arrived.</w:t>
      </w:r>
      <w:r w:rsidR="00811A44" w:rsidRPr="00811A44">
        <w:rPr>
          <w:lang w:val="en-US" w:bidi="en-US"/>
        </w:rPr>
        <w:t xml:space="preserve"> </w:t>
      </w:r>
      <w:r>
        <w:rPr>
          <w:lang w:val="en-US" w:bidi="en-US"/>
        </w:rPr>
        <w:t>Second, the police officer misled the accused into believing that his lawyer</w:t>
      </w:r>
      <w:r w:rsidR="00811A44" w:rsidRPr="00811A44">
        <w:rPr>
          <w:lang w:val="en-US" w:bidi="en-US"/>
        </w:rPr>
        <w:t xml:space="preserve"> had failed to c</w:t>
      </w:r>
      <w:r w:rsidR="00CA6FE4">
        <w:rPr>
          <w:lang w:val="en-US" w:bidi="en-US"/>
        </w:rPr>
        <w:t>ome to the station for their in</w:t>
      </w:r>
      <w:r w:rsidR="00CA6FE4">
        <w:rPr>
          <w:lang w:val="en-US" w:bidi="en-US"/>
        </w:rPr>
        <w:noBreakHyphen/>
      </w:r>
      <w:r>
        <w:rPr>
          <w:lang w:val="en-US" w:bidi="en-US"/>
        </w:rPr>
        <w:t xml:space="preserve">person consultation. During the interrogation, the accused </w:t>
      </w:r>
      <w:r w:rsidR="00811A44" w:rsidRPr="00811A44">
        <w:rPr>
          <w:lang w:val="en-US" w:bidi="en-US"/>
        </w:rPr>
        <w:t>repeatedly expressed that his lawyer had told him he would be there; he stated his belief that his lawyer had never actually arrived; he openly questioned why his lawyer had given him the advice that he had given; and he implied that his lawyer’s failure to show up h</w:t>
      </w:r>
      <w:r>
        <w:rPr>
          <w:lang w:val="en-US" w:bidi="en-US"/>
        </w:rPr>
        <w:t xml:space="preserve">ad left him feeling alone. </w:t>
      </w:r>
      <w:r w:rsidR="00811A44" w:rsidRPr="00811A44">
        <w:rPr>
          <w:lang w:val="en-US" w:bidi="en-US"/>
        </w:rPr>
        <w:t xml:space="preserve">When these statements are taken in their totality and in light of all the relevant circumstances, it is clear that there were objectively observable indicators </w:t>
      </w:r>
      <w:r>
        <w:rPr>
          <w:lang w:val="en-US" w:bidi="en-US"/>
        </w:rPr>
        <w:t>that the legal advice given to the accused</w:t>
      </w:r>
      <w:r w:rsidR="00811A44" w:rsidRPr="00811A44">
        <w:rPr>
          <w:lang w:val="en-US" w:bidi="en-US"/>
        </w:rPr>
        <w:t xml:space="preserve"> had been undermined.</w:t>
      </w:r>
    </w:p>
    <w:p w14:paraId="370D7E91" w14:textId="77777777" w:rsidR="007E1C47" w:rsidRDefault="002E6705" w:rsidP="000D203A">
      <w:pPr>
        <w:pStyle w:val="SCCNormalDoubleSpacing"/>
        <w:widowControl w:val="0"/>
        <w:spacing w:after="720" w:line="240" w:lineRule="auto"/>
        <w:rPr>
          <w:b/>
        </w:rPr>
      </w:pPr>
      <w:r w:rsidRPr="00314E01">
        <w:rPr>
          <w:b/>
        </w:rPr>
        <w:t>Cases Cited</w:t>
      </w:r>
    </w:p>
    <w:p w14:paraId="4AE74462" w14:textId="0B2DE615" w:rsidR="004E2C26" w:rsidRPr="00094AEE" w:rsidRDefault="002E6705" w:rsidP="000D203A">
      <w:pPr>
        <w:pStyle w:val="SCCNormalDoubleSpacing"/>
        <w:widowControl w:val="0"/>
        <w:spacing w:after="480"/>
        <w:rPr>
          <w:lang w:val="en-US" w:bidi="en-US"/>
        </w:rPr>
      </w:pPr>
      <w:r>
        <w:tab/>
      </w:r>
      <w:r w:rsidR="00131E35">
        <w:rPr>
          <w:b/>
        </w:rPr>
        <w:t>Applied</w:t>
      </w:r>
      <w:r w:rsidRPr="00314E01">
        <w:rPr>
          <w:b/>
        </w:rPr>
        <w:t>:</w:t>
      </w:r>
      <w:r w:rsidR="00BD0E9E" w:rsidRPr="00BD0E9E">
        <w:t xml:space="preserve"> </w:t>
      </w:r>
      <w:r w:rsidR="0088038F" w:rsidRPr="0088038F">
        <w:rPr>
          <w:i/>
          <w:lang w:bidi="en-US"/>
        </w:rPr>
        <w:t>R. v. Sinclair</w:t>
      </w:r>
      <w:r w:rsidR="0088038F" w:rsidRPr="0088038F">
        <w:rPr>
          <w:lang w:bidi="en-US"/>
        </w:rPr>
        <w:t xml:space="preserve">, 2010 SCC 35, [2010] 2 S.C.R. 310; </w:t>
      </w:r>
      <w:r w:rsidR="00131E35" w:rsidRPr="00131E35">
        <w:rPr>
          <w:b/>
          <w:lang w:bidi="en-US"/>
        </w:rPr>
        <w:t>considered:</w:t>
      </w:r>
      <w:r w:rsidR="00131E35">
        <w:rPr>
          <w:lang w:bidi="en-US"/>
        </w:rPr>
        <w:t xml:space="preserve"> </w:t>
      </w:r>
      <w:r w:rsidR="00131E35" w:rsidRPr="0088038F">
        <w:rPr>
          <w:i/>
          <w:lang w:bidi="en-US"/>
        </w:rPr>
        <w:lastRenderedPageBreak/>
        <w:t>R. v. Burlingham</w:t>
      </w:r>
      <w:r w:rsidR="00131E35" w:rsidRPr="0088038F">
        <w:rPr>
          <w:lang w:bidi="en-US"/>
        </w:rPr>
        <w:t xml:space="preserve">, [1995] 2 S.C.R. 206; </w:t>
      </w:r>
      <w:r w:rsidR="00131E35" w:rsidRPr="00131E35">
        <w:rPr>
          <w:b/>
          <w:lang w:bidi="en-US"/>
        </w:rPr>
        <w:t>referred to:</w:t>
      </w:r>
      <w:r w:rsidR="00131E35">
        <w:rPr>
          <w:lang w:bidi="en-US"/>
        </w:rPr>
        <w:t xml:space="preserve"> </w:t>
      </w:r>
      <w:r w:rsidR="0088038F" w:rsidRPr="0088038F">
        <w:rPr>
          <w:i/>
          <w:lang w:bidi="en-US"/>
        </w:rPr>
        <w:t>Stevens</w:t>
      </w:r>
      <w:r w:rsidR="0026540F">
        <w:rPr>
          <w:i/>
          <w:lang w:bidi="en-US"/>
        </w:rPr>
        <w:t xml:space="preserve"> v. R.</w:t>
      </w:r>
      <w:r w:rsidR="0088038F" w:rsidRPr="0088038F">
        <w:rPr>
          <w:lang w:bidi="en-US"/>
        </w:rPr>
        <w:t xml:space="preserve">, 2016 QCCA 1707; </w:t>
      </w:r>
      <w:r w:rsidR="0088038F" w:rsidRPr="0088038F">
        <w:rPr>
          <w:i/>
          <w:lang w:bidi="en-US"/>
        </w:rPr>
        <w:t>R. v. Shepherd</w:t>
      </w:r>
      <w:r w:rsidR="0088038F" w:rsidRPr="0088038F">
        <w:rPr>
          <w:lang w:bidi="en-US"/>
        </w:rPr>
        <w:t xml:space="preserve">, 2009 SCC 35, [2009] 2 S.C.R. 527; </w:t>
      </w:r>
      <w:r w:rsidR="0088038F" w:rsidRPr="0088038F">
        <w:rPr>
          <w:i/>
          <w:lang w:bidi="en-US"/>
        </w:rPr>
        <w:t xml:space="preserve">R. v. </w:t>
      </w:r>
      <w:proofErr w:type="spellStart"/>
      <w:r w:rsidR="0088038F" w:rsidRPr="0088038F">
        <w:rPr>
          <w:i/>
          <w:lang w:bidi="en-US"/>
        </w:rPr>
        <w:t>Manninen</w:t>
      </w:r>
      <w:proofErr w:type="spellEnd"/>
      <w:r w:rsidR="0088038F" w:rsidRPr="0088038F">
        <w:rPr>
          <w:lang w:bidi="en-US"/>
        </w:rPr>
        <w:t xml:space="preserve">, [1987] 1 S.C.R. 1233; </w:t>
      </w:r>
      <w:r w:rsidR="0088038F" w:rsidRPr="0088038F">
        <w:rPr>
          <w:i/>
          <w:lang w:bidi="en-US"/>
        </w:rPr>
        <w:t>R. v. Willier</w:t>
      </w:r>
      <w:r w:rsidR="0088038F" w:rsidRPr="0088038F">
        <w:rPr>
          <w:lang w:bidi="en-US"/>
        </w:rPr>
        <w:t xml:space="preserve">, 2010 SCC 37, [2010] 2 S.C.R. 429; </w:t>
      </w:r>
      <w:r w:rsidR="0088038F" w:rsidRPr="0088038F">
        <w:rPr>
          <w:i/>
          <w:lang w:bidi="en-US"/>
        </w:rPr>
        <w:t>R. v. Edmondson</w:t>
      </w:r>
      <w:r w:rsidR="0088038F" w:rsidRPr="0088038F">
        <w:rPr>
          <w:lang w:bidi="en-US"/>
        </w:rPr>
        <w:t xml:space="preserve">, 2005 SKCA 51, </w:t>
      </w:r>
      <w:r w:rsidR="00624554">
        <w:rPr>
          <w:lang w:val="en-US" w:bidi="en-US"/>
        </w:rPr>
        <w:t xml:space="preserve">257 Sask. </w:t>
      </w:r>
      <w:r w:rsidR="004F3FA7" w:rsidRPr="004F3FA7">
        <w:rPr>
          <w:lang w:val="en-US" w:bidi="en-US"/>
        </w:rPr>
        <w:t>R. 270</w:t>
      </w:r>
      <w:r w:rsidR="0088038F" w:rsidRPr="0088038F">
        <w:rPr>
          <w:lang w:bidi="en-US"/>
        </w:rPr>
        <w:t xml:space="preserve">; </w:t>
      </w:r>
      <w:r w:rsidR="0088038F" w:rsidRPr="0088038F">
        <w:rPr>
          <w:i/>
          <w:lang w:bidi="en-US"/>
        </w:rPr>
        <w:t>R. v. Singh</w:t>
      </w:r>
      <w:r w:rsidR="0088038F" w:rsidRPr="0088038F">
        <w:rPr>
          <w:lang w:bidi="en-US"/>
        </w:rPr>
        <w:t>, 2007 SCC 48, [2007] 3 S.C.R. 405;</w:t>
      </w:r>
      <w:r w:rsidR="00094AEE">
        <w:rPr>
          <w:lang w:bidi="en-US"/>
        </w:rPr>
        <w:t xml:space="preserve"> </w:t>
      </w:r>
      <w:r w:rsidR="00094AEE" w:rsidRPr="00094AEE">
        <w:rPr>
          <w:i/>
          <w:lang w:val="en-US" w:bidi="en-US"/>
        </w:rPr>
        <w:t xml:space="preserve">R. v. </w:t>
      </w:r>
      <w:proofErr w:type="spellStart"/>
      <w:r w:rsidR="00094AEE" w:rsidRPr="00094AEE">
        <w:rPr>
          <w:i/>
          <w:lang w:val="en-US" w:bidi="en-US"/>
        </w:rPr>
        <w:t>McCallen</w:t>
      </w:r>
      <w:proofErr w:type="spellEnd"/>
      <w:r w:rsidR="00094AEE" w:rsidRPr="00094AEE">
        <w:rPr>
          <w:i/>
          <w:lang w:val="en-US" w:bidi="en-US"/>
        </w:rPr>
        <w:t xml:space="preserve"> </w:t>
      </w:r>
      <w:r w:rsidR="00094AEE" w:rsidRPr="00094AEE">
        <w:rPr>
          <w:lang w:val="en-US" w:bidi="en-US"/>
        </w:rPr>
        <w:t xml:space="preserve">(1999), 43 O.R. (3d) 56; </w:t>
      </w:r>
      <w:r w:rsidR="00094AEE" w:rsidRPr="00094AEE">
        <w:rPr>
          <w:i/>
          <w:lang w:val="en-US" w:bidi="en-US"/>
        </w:rPr>
        <w:t>R. v. Daley</w:t>
      </w:r>
      <w:r w:rsidR="00094AEE" w:rsidRPr="00094AEE">
        <w:rPr>
          <w:lang w:val="en-US" w:bidi="en-US"/>
        </w:rPr>
        <w:t xml:space="preserve">, 2015 ONSC 7145; </w:t>
      </w:r>
      <w:r w:rsidR="00094AEE" w:rsidRPr="00094AEE">
        <w:rPr>
          <w:i/>
          <w:lang w:val="en-US" w:bidi="en-US"/>
        </w:rPr>
        <w:t>R. v. McGregor</w:t>
      </w:r>
      <w:r w:rsidR="00094AEE" w:rsidRPr="00094AEE">
        <w:rPr>
          <w:lang w:val="en-US" w:bidi="en-US"/>
        </w:rPr>
        <w:t xml:space="preserve">, 2020 ONSC 4802; </w:t>
      </w:r>
      <w:r w:rsidR="00094AEE" w:rsidRPr="00094AEE">
        <w:rPr>
          <w:i/>
          <w:lang w:val="en-US" w:bidi="en-US"/>
        </w:rPr>
        <w:t>R. v. Taylor</w:t>
      </w:r>
      <w:r w:rsidR="00094AEE" w:rsidRPr="00094AEE">
        <w:rPr>
          <w:lang w:val="en-US" w:bidi="en-US"/>
        </w:rPr>
        <w:t xml:space="preserve">, 2016 BCSC 1956; </w:t>
      </w:r>
      <w:r w:rsidR="00094AEE" w:rsidRPr="00094AEE">
        <w:rPr>
          <w:i/>
          <w:lang w:val="en-US" w:bidi="en-US"/>
        </w:rPr>
        <w:t xml:space="preserve">R. v. </w:t>
      </w:r>
      <w:proofErr w:type="spellStart"/>
      <w:r w:rsidR="00094AEE" w:rsidRPr="00094AEE">
        <w:rPr>
          <w:i/>
          <w:lang w:val="en-US" w:bidi="en-US"/>
        </w:rPr>
        <w:t>Mujku</w:t>
      </w:r>
      <w:proofErr w:type="spellEnd"/>
      <w:r w:rsidR="00094AEE" w:rsidRPr="00094AEE">
        <w:rPr>
          <w:lang w:val="en-US" w:bidi="en-US"/>
        </w:rPr>
        <w:t xml:space="preserve">, 2011 ONCA 64, 226 C.R.R. (2d) 234; </w:t>
      </w:r>
      <w:r w:rsidR="00094AEE" w:rsidRPr="00094AEE">
        <w:rPr>
          <w:i/>
          <w:lang w:val="en-US" w:bidi="en-US"/>
        </w:rPr>
        <w:t xml:space="preserve">R. v. </w:t>
      </w:r>
      <w:proofErr w:type="spellStart"/>
      <w:r w:rsidR="00094AEE" w:rsidRPr="00094AEE">
        <w:rPr>
          <w:i/>
          <w:lang w:val="en-US" w:bidi="en-US"/>
        </w:rPr>
        <w:t>Azonwanna</w:t>
      </w:r>
      <w:proofErr w:type="spellEnd"/>
      <w:r w:rsidR="00094AEE" w:rsidRPr="00094AEE">
        <w:rPr>
          <w:lang w:val="en-US" w:bidi="en-US"/>
        </w:rPr>
        <w:t xml:space="preserve">, 2020 ONSC 5416, 468 C.R.R. (2d) 258; </w:t>
      </w:r>
      <w:r w:rsidR="00094AEE" w:rsidRPr="00094AEE">
        <w:rPr>
          <w:i/>
          <w:lang w:val="en-US" w:bidi="en-US"/>
        </w:rPr>
        <w:t>R. v.</w:t>
      </w:r>
      <w:r w:rsidR="00094AEE" w:rsidRPr="00094AEE">
        <w:rPr>
          <w:lang w:val="en-US" w:bidi="en-US"/>
        </w:rPr>
        <w:t xml:space="preserve"> </w:t>
      </w:r>
      <w:r w:rsidR="00094AEE" w:rsidRPr="00094AEE">
        <w:rPr>
          <w:i/>
          <w:lang w:val="en-US" w:bidi="en-US"/>
        </w:rPr>
        <w:t>Rover</w:t>
      </w:r>
      <w:r w:rsidR="00094AEE" w:rsidRPr="00094AEE">
        <w:rPr>
          <w:lang w:val="en-US" w:bidi="en-US"/>
        </w:rPr>
        <w:t xml:space="preserve">, 2018 ONCA 745, 143 O.R. (3d) 135; </w:t>
      </w:r>
      <w:r w:rsidR="00094AEE" w:rsidRPr="00094AEE">
        <w:rPr>
          <w:i/>
          <w:lang w:val="en-US" w:bidi="en-US"/>
        </w:rPr>
        <w:t>R. v. Tremblay</w:t>
      </w:r>
      <w:r w:rsidR="00094AEE" w:rsidRPr="00094AEE">
        <w:rPr>
          <w:lang w:val="en-US" w:bidi="en-US"/>
        </w:rPr>
        <w:t>, 2021 QCCA 24.</w:t>
      </w:r>
    </w:p>
    <w:p w14:paraId="5314AB88" w14:textId="77777777" w:rsidR="003B215F" w:rsidRDefault="002E6705" w:rsidP="000D203A">
      <w:pPr>
        <w:pStyle w:val="SCCNormalDoubleSpacing"/>
        <w:spacing w:after="720" w:line="240" w:lineRule="auto"/>
      </w:pPr>
      <w:r w:rsidRPr="00314E01">
        <w:rPr>
          <w:b/>
        </w:rPr>
        <w:t>Statutes and Regulations Cite</w:t>
      </w:r>
      <w:r w:rsidR="00A41805">
        <w:rPr>
          <w:b/>
        </w:rPr>
        <w:t>d</w:t>
      </w:r>
    </w:p>
    <w:p w14:paraId="7A3853F7" w14:textId="4D15AC34" w:rsidR="00A149DF" w:rsidRDefault="0088038F" w:rsidP="000D203A">
      <w:pPr>
        <w:pStyle w:val="SCCNormalDoubleSpacing"/>
        <w:spacing w:after="720" w:line="240" w:lineRule="auto"/>
        <w:ind w:left="547" w:hanging="547"/>
      </w:pPr>
      <w:r w:rsidRPr="0088038F">
        <w:rPr>
          <w:i/>
          <w:lang w:bidi="en-US"/>
        </w:rPr>
        <w:t>Canadian Charter of Rights and Freedoms</w:t>
      </w:r>
      <w:r w:rsidRPr="00AE7BDE">
        <w:rPr>
          <w:lang w:bidi="en-US"/>
        </w:rPr>
        <w:t xml:space="preserve">, ss. 7, </w:t>
      </w:r>
      <w:r w:rsidR="00AE7BDE" w:rsidRPr="00AE7BDE">
        <w:rPr>
          <w:lang w:bidi="en-US"/>
        </w:rPr>
        <w:t xml:space="preserve">10(a), </w:t>
      </w:r>
      <w:r w:rsidRPr="00AE7BDE">
        <w:rPr>
          <w:lang w:bidi="en-US"/>
        </w:rPr>
        <w:t>(b), 24(2).</w:t>
      </w:r>
    </w:p>
    <w:p w14:paraId="18CBF570" w14:textId="2486DFFE" w:rsidR="00656313" w:rsidRPr="00A401CE" w:rsidRDefault="009B57B3" w:rsidP="00A401CE">
      <w:pPr>
        <w:pStyle w:val="SCCNormalDoubleSpacing"/>
        <w:spacing w:after="480"/>
        <w:rPr>
          <w:lang w:val="en-US"/>
        </w:rPr>
      </w:pPr>
      <w:r w:rsidRPr="001426A9">
        <w:tab/>
      </w:r>
      <w:r w:rsidRPr="007F3A0F">
        <w:t xml:space="preserve">APPEAL from a judgment of the </w:t>
      </w:r>
      <w:r w:rsidR="00C75F6A" w:rsidRPr="007F3A0F">
        <w:t xml:space="preserve">Quebec </w:t>
      </w:r>
      <w:r w:rsidRPr="007F3A0F">
        <w:t>Cour</w:t>
      </w:r>
      <w:r w:rsidR="00C75F6A" w:rsidRPr="007F3A0F">
        <w:t xml:space="preserve">t of Appeal </w:t>
      </w:r>
      <w:r w:rsidR="00DA0682" w:rsidRPr="007F3A0F">
        <w:t>(</w:t>
      </w:r>
      <w:r w:rsidR="007176E1" w:rsidRPr="007F3A0F">
        <w:t xml:space="preserve">Bich, Bouchard and Healy JJ.A.), </w:t>
      </w:r>
      <w:r w:rsidR="00E10067">
        <w:rPr>
          <w:rStyle w:val="Hyperlink"/>
          <w:color w:val="auto"/>
        </w:rPr>
        <w:fldChar w:fldCharType="begin"/>
      </w:r>
      <w:r w:rsidR="00E10067">
        <w:rPr>
          <w:rStyle w:val="Hyperlink"/>
          <w:color w:val="auto"/>
        </w:rPr>
        <w:instrText xml:space="preserve"> HYPERLINK "http://t.soquij.ca/Mw65E" </w:instrText>
      </w:r>
      <w:r w:rsidR="00E10067">
        <w:rPr>
          <w:rStyle w:val="Hyperlink"/>
          <w:color w:val="auto"/>
        </w:rPr>
        <w:fldChar w:fldCharType="separate"/>
      </w:r>
      <w:r w:rsidR="00E10067">
        <w:rPr>
          <w:rStyle w:val="Hyperlink"/>
        </w:rPr>
        <w:t>2</w:t>
      </w:r>
      <w:bookmarkStart w:id="0" w:name="_GoBack"/>
      <w:bookmarkEnd w:id="0"/>
      <w:r w:rsidR="00E10067">
        <w:rPr>
          <w:rStyle w:val="Hyperlink"/>
        </w:rPr>
        <w:t>020 Q</w:t>
      </w:r>
      <w:r w:rsidR="007176E1" w:rsidRPr="00E10067">
        <w:rPr>
          <w:rStyle w:val="Hyperlink"/>
        </w:rPr>
        <w:t>CC</w:t>
      </w:r>
      <w:r w:rsidR="00E10067">
        <w:rPr>
          <w:rStyle w:val="Hyperlink"/>
        </w:rPr>
        <w:t>A 746</w:t>
      </w:r>
      <w:r w:rsidR="00E10067">
        <w:rPr>
          <w:rStyle w:val="Hyperlink"/>
          <w:color w:val="auto"/>
        </w:rPr>
        <w:fldChar w:fldCharType="end"/>
      </w:r>
      <w:r w:rsidR="00BC181F" w:rsidRPr="00BD0781">
        <w:t>, 38</w:t>
      </w:r>
      <w:r w:rsidR="007176E1" w:rsidRPr="00BD0781">
        <w:t xml:space="preserve">8 </w:t>
      </w:r>
      <w:r w:rsidR="007176E1" w:rsidRPr="007F3A0F">
        <w:t xml:space="preserve">C.C.C. (3d) 362, </w:t>
      </w:r>
      <w:r w:rsidR="007176E1" w:rsidRPr="007F3A0F">
        <w:rPr>
          <w:lang w:val="en-US"/>
        </w:rPr>
        <w:t xml:space="preserve">63 C.R. (7th) 319, </w:t>
      </w:r>
      <w:r w:rsidR="00A401CE">
        <w:rPr>
          <w:lang w:val="en-US"/>
        </w:rPr>
        <w:t>[2020] AZ</w:t>
      </w:r>
      <w:r w:rsidR="00A401CE">
        <w:rPr>
          <w:lang w:val="en-US"/>
        </w:rPr>
        <w:noBreakHyphen/>
      </w:r>
      <w:r w:rsidR="00A401CE" w:rsidRPr="00A401CE">
        <w:rPr>
          <w:lang w:val="en-US"/>
        </w:rPr>
        <w:t>51690253</w:t>
      </w:r>
      <w:r w:rsidR="00A401CE">
        <w:rPr>
          <w:lang w:val="en-US"/>
        </w:rPr>
        <w:t xml:space="preserve">, </w:t>
      </w:r>
      <w:r w:rsidR="007176E1" w:rsidRPr="007F3A0F">
        <w:rPr>
          <w:lang w:val="en-US"/>
        </w:rPr>
        <w:t xml:space="preserve">[2020] </w:t>
      </w:r>
      <w:r w:rsidR="00F46C1A" w:rsidRPr="007F3A0F">
        <w:rPr>
          <w:lang w:val="en-US"/>
        </w:rPr>
        <w:t>Q.J. No.</w:t>
      </w:r>
      <w:r w:rsidR="007176E1" w:rsidRPr="007F3A0F">
        <w:rPr>
          <w:lang w:val="en-US"/>
        </w:rPr>
        <w:t> 3677 (QL), 2020 CarswellQue 4948 (WL Can.),</w:t>
      </w:r>
      <w:r w:rsidR="007176E1" w:rsidRPr="0088038F">
        <w:rPr>
          <w:lang w:val="en-US"/>
        </w:rPr>
        <w:t xml:space="preserve"> </w:t>
      </w:r>
      <w:r w:rsidR="00AD281A" w:rsidRPr="00AD281A">
        <w:rPr>
          <w:lang w:val="en-US"/>
        </w:rPr>
        <w:t>setting aside</w:t>
      </w:r>
      <w:r w:rsidR="00F17EA7" w:rsidRPr="00AD281A">
        <w:rPr>
          <w:lang w:val="en-US"/>
        </w:rPr>
        <w:t xml:space="preserve"> the conviction of the accused for second degree murder and ordering a new trial</w:t>
      </w:r>
      <w:r w:rsidR="000D04AC" w:rsidRPr="00AD281A">
        <w:rPr>
          <w:rStyle w:val="fontstyle01"/>
        </w:rPr>
        <w:t xml:space="preserve">. </w:t>
      </w:r>
      <w:r w:rsidR="00F17EA7" w:rsidRPr="00AD281A">
        <w:rPr>
          <w:rStyle w:val="fontstyle01"/>
        </w:rPr>
        <w:t>Appeal dismissed</w:t>
      </w:r>
      <w:r w:rsidR="000D04AC" w:rsidRPr="00AD281A">
        <w:rPr>
          <w:rStyle w:val="fontstyle01"/>
        </w:rPr>
        <w:t>.</w:t>
      </w:r>
    </w:p>
    <w:p w14:paraId="2F042599" w14:textId="77777777" w:rsidR="009A5C6F" w:rsidRPr="00424FDB" w:rsidRDefault="00AC33F6" w:rsidP="000D203A">
      <w:pPr>
        <w:pStyle w:val="SCCNormalDoubleSpacing"/>
        <w:spacing w:after="480"/>
      </w:pPr>
      <w:r>
        <w:rPr>
          <w:rStyle w:val="SCCCounselNameChar"/>
        </w:rPr>
        <w:tab/>
      </w:r>
      <w:r w:rsidR="00C03185" w:rsidRPr="00424FDB">
        <w:rPr>
          <w:rStyle w:val="SCCCounselNameChar"/>
        </w:rPr>
        <w:t xml:space="preserve">Justin Tremblay </w:t>
      </w:r>
      <w:r w:rsidRPr="00424FDB">
        <w:rPr>
          <w:rStyle w:val="SCCCounselSeparatorChar"/>
        </w:rPr>
        <w:t>and</w:t>
      </w:r>
      <w:r w:rsidR="00C03185" w:rsidRPr="00424FDB">
        <w:rPr>
          <w:rStyle w:val="SCCCounselNameChar"/>
        </w:rPr>
        <w:t xml:space="preserve"> Isabelle Bouchard</w:t>
      </w:r>
      <w:r w:rsidRPr="00424FDB">
        <w:rPr>
          <w:rStyle w:val="SCCCounselPartyRoleChar"/>
        </w:rPr>
        <w:t>, for the appellant.</w:t>
      </w:r>
    </w:p>
    <w:p w14:paraId="5BFBD01C" w14:textId="77777777" w:rsidR="009A5C6F" w:rsidRPr="00424FDB" w:rsidRDefault="00AC33F6" w:rsidP="000D203A">
      <w:pPr>
        <w:pStyle w:val="SCCNormalDoubleSpacing"/>
        <w:spacing w:after="480"/>
      </w:pPr>
      <w:r w:rsidRPr="00424FDB">
        <w:rPr>
          <w:rStyle w:val="SCCCounselNameChar"/>
        </w:rPr>
        <w:tab/>
      </w:r>
      <w:proofErr w:type="spellStart"/>
      <w:r w:rsidRPr="00424FDB">
        <w:rPr>
          <w:rStyle w:val="SCCCounselNameChar"/>
        </w:rPr>
        <w:t>Célia</w:t>
      </w:r>
      <w:proofErr w:type="spellEnd"/>
      <w:r w:rsidRPr="00424FDB">
        <w:rPr>
          <w:rStyle w:val="SCCCounselNameChar"/>
        </w:rPr>
        <w:t xml:space="preserve"> </w:t>
      </w:r>
      <w:proofErr w:type="spellStart"/>
      <w:r w:rsidRPr="00424FDB">
        <w:rPr>
          <w:rStyle w:val="SCCCounselNameChar"/>
        </w:rPr>
        <w:t>Hadid</w:t>
      </w:r>
      <w:proofErr w:type="spellEnd"/>
      <w:r w:rsidRPr="00424FDB">
        <w:rPr>
          <w:rStyle w:val="SCCCounselSeparatorChar"/>
        </w:rPr>
        <w:t xml:space="preserve"> and </w:t>
      </w:r>
      <w:r w:rsidRPr="00424FDB">
        <w:rPr>
          <w:rStyle w:val="SCCCounselNameChar"/>
        </w:rPr>
        <w:t>Michel Marchand</w:t>
      </w:r>
      <w:r w:rsidRPr="00424FDB">
        <w:rPr>
          <w:rStyle w:val="SCCCounselPartyRoleChar"/>
        </w:rPr>
        <w:t>, for the respondent.</w:t>
      </w:r>
    </w:p>
    <w:p w14:paraId="4D3B037F" w14:textId="77777777" w:rsidR="00AE2238" w:rsidRPr="00424FDB" w:rsidRDefault="00AC33F6" w:rsidP="000D203A">
      <w:pPr>
        <w:pStyle w:val="SCCNormalDoubleSpacing"/>
        <w:spacing w:after="480"/>
      </w:pPr>
      <w:r w:rsidRPr="00424FDB">
        <w:rPr>
          <w:rStyle w:val="SCCCounselNameChar"/>
        </w:rPr>
        <w:lastRenderedPageBreak/>
        <w:tab/>
      </w:r>
      <w:r w:rsidR="00AE2238" w:rsidRPr="00424FDB">
        <w:rPr>
          <w:rStyle w:val="SCCCounselNameChar"/>
        </w:rPr>
        <w:t>Davin Michael Garg</w:t>
      </w:r>
      <w:r w:rsidR="00AE2238" w:rsidRPr="00424FDB">
        <w:rPr>
          <w:rStyle w:val="SCCCounselSeparatorChar"/>
        </w:rPr>
        <w:t xml:space="preserve"> and </w:t>
      </w:r>
      <w:r w:rsidR="00AE2238" w:rsidRPr="00424FDB">
        <w:rPr>
          <w:rStyle w:val="SCCCounselNameChar"/>
        </w:rPr>
        <w:t xml:space="preserve">Natalya </w:t>
      </w:r>
      <w:proofErr w:type="spellStart"/>
      <w:r w:rsidR="00AE2238" w:rsidRPr="00424FDB">
        <w:rPr>
          <w:rStyle w:val="SCCCounselNameChar"/>
        </w:rPr>
        <w:t>Odorico</w:t>
      </w:r>
      <w:proofErr w:type="spellEnd"/>
      <w:r w:rsidR="00AE2238" w:rsidRPr="00424FDB">
        <w:rPr>
          <w:rStyle w:val="SCCCounselPartyRoleChar"/>
        </w:rPr>
        <w:t xml:space="preserve">, for the intervener </w:t>
      </w:r>
      <w:r w:rsidR="00C353F7" w:rsidRPr="00424FDB">
        <w:rPr>
          <w:rStyle w:val="SCCCounselPartyRoleChar"/>
        </w:rPr>
        <w:t xml:space="preserve">the </w:t>
      </w:r>
      <w:r w:rsidR="00AE2238" w:rsidRPr="00424FDB">
        <w:rPr>
          <w:rStyle w:val="SCCCounselPartyRoleChar"/>
        </w:rPr>
        <w:t>Attorney General of Ontario.</w:t>
      </w:r>
    </w:p>
    <w:p w14:paraId="24F846A1" w14:textId="77777777" w:rsidR="009A5C6F" w:rsidRPr="00424FDB" w:rsidRDefault="00AE2238" w:rsidP="000D203A">
      <w:pPr>
        <w:pStyle w:val="SCCNormalDoubleSpacing"/>
        <w:spacing w:after="480"/>
      </w:pPr>
      <w:r w:rsidRPr="00424FDB">
        <w:rPr>
          <w:rStyle w:val="SCCCounselNameChar"/>
        </w:rPr>
        <w:tab/>
      </w:r>
      <w:r w:rsidR="005D1E4F" w:rsidRPr="00424FDB">
        <w:rPr>
          <w:rStyle w:val="SCCCounselNameChar"/>
        </w:rPr>
        <w:t>Anil </w:t>
      </w:r>
      <w:r w:rsidR="00AC33F6" w:rsidRPr="00424FDB">
        <w:rPr>
          <w:rStyle w:val="SCCCounselNameChar"/>
        </w:rPr>
        <w:t>K. Kapoor</w:t>
      </w:r>
      <w:r w:rsidR="00AC33F6" w:rsidRPr="00424FDB">
        <w:rPr>
          <w:rStyle w:val="SCCCounselSeparatorChar"/>
        </w:rPr>
        <w:t xml:space="preserve"> and </w:t>
      </w:r>
      <w:r w:rsidR="005D1E4F" w:rsidRPr="00424FDB">
        <w:rPr>
          <w:rStyle w:val="SCCCounselNameChar"/>
        </w:rPr>
        <w:t xml:space="preserve">Victoria </w:t>
      </w:r>
      <w:r w:rsidR="00AC33F6" w:rsidRPr="00424FDB">
        <w:rPr>
          <w:rStyle w:val="SCCCounselNameChar"/>
        </w:rPr>
        <w:t>Cichalewska</w:t>
      </w:r>
      <w:r w:rsidR="00AC33F6" w:rsidRPr="00424FDB">
        <w:rPr>
          <w:rStyle w:val="SCCCounselPartyRoleChar"/>
        </w:rPr>
        <w:t xml:space="preserve">, for the intervener </w:t>
      </w:r>
      <w:r w:rsidR="00C353F7" w:rsidRPr="00424FDB">
        <w:rPr>
          <w:rStyle w:val="SCCCounselPartyRoleChar"/>
        </w:rPr>
        <w:t xml:space="preserve">the </w:t>
      </w:r>
      <w:r w:rsidR="00AC33F6" w:rsidRPr="00424FDB">
        <w:rPr>
          <w:rStyle w:val="SCCCounselPartyRoleChar"/>
        </w:rPr>
        <w:t>Criminal Lawyers</w:t>
      </w:r>
      <w:r w:rsidR="00960870" w:rsidRPr="00424FDB">
        <w:rPr>
          <w:rStyle w:val="SCCCounselPartyRoleChar"/>
        </w:rPr>
        <w:t>’</w:t>
      </w:r>
      <w:r w:rsidR="00AC33F6" w:rsidRPr="00424FDB">
        <w:rPr>
          <w:rStyle w:val="SCCCounselPartyRoleChar"/>
        </w:rPr>
        <w:t xml:space="preserve"> Association.</w:t>
      </w:r>
    </w:p>
    <w:p w14:paraId="7E6CD0C6" w14:textId="77777777" w:rsidR="009A5C6F" w:rsidRPr="00424FDB" w:rsidRDefault="00AC33F6" w:rsidP="000D203A">
      <w:pPr>
        <w:pStyle w:val="SCCNormalDoubleSpacing"/>
        <w:spacing w:after="480"/>
        <w:rPr>
          <w:lang w:val="fr-CA"/>
        </w:rPr>
      </w:pPr>
      <w:r w:rsidRPr="00424FDB">
        <w:rPr>
          <w:rStyle w:val="SCCCounselNameChar"/>
        </w:rPr>
        <w:tab/>
      </w:r>
      <w:r w:rsidRPr="00424FDB">
        <w:rPr>
          <w:rStyle w:val="SCCCounselNameChar"/>
          <w:lang w:val="fr-CA"/>
        </w:rPr>
        <w:t>Mairi Springate</w:t>
      </w:r>
      <w:r w:rsidRPr="00424FDB">
        <w:rPr>
          <w:rStyle w:val="SCCCounselPartyRoleChar"/>
          <w:lang w:val="fr-CA"/>
        </w:rPr>
        <w:t>, for the intervener Association québécoise des avocats et avocates de la défense.</w:t>
      </w:r>
    </w:p>
    <w:p w14:paraId="186FF239" w14:textId="0557E733" w:rsidR="009A5C6F" w:rsidRPr="0088038F" w:rsidRDefault="000D203A" w:rsidP="000D203A">
      <w:pPr>
        <w:pStyle w:val="SCCNormalDoubleSpacing"/>
        <w:spacing w:after="480"/>
        <w:rPr>
          <w:lang w:val="fr-CA"/>
        </w:rPr>
      </w:pPr>
      <w:r w:rsidRPr="00424FDB">
        <w:rPr>
          <w:rStyle w:val="SCCCounselNameChar"/>
          <w:lang w:val="fr-CA"/>
        </w:rPr>
        <w:tab/>
        <w:t>Jean</w:t>
      </w:r>
      <w:r w:rsidRPr="00424FDB">
        <w:rPr>
          <w:rStyle w:val="SCCCounselNameChar"/>
          <w:lang w:val="fr-CA"/>
        </w:rPr>
        <w:noBreakHyphen/>
      </w:r>
      <w:r w:rsidR="00AC33F6" w:rsidRPr="00424FDB">
        <w:rPr>
          <w:rStyle w:val="SCCCounselNameChar"/>
          <w:lang w:val="fr-CA"/>
        </w:rPr>
        <w:t>Philippe Marcoux</w:t>
      </w:r>
      <w:r w:rsidR="00AC33F6" w:rsidRPr="00424FDB">
        <w:rPr>
          <w:rStyle w:val="SCCCounselSeparatorChar"/>
          <w:lang w:val="fr-CA"/>
        </w:rPr>
        <w:t xml:space="preserve"> and </w:t>
      </w:r>
      <w:r w:rsidRPr="00424FDB">
        <w:rPr>
          <w:rStyle w:val="SCCCounselNameChar"/>
          <w:lang w:val="fr-CA"/>
        </w:rPr>
        <w:t>Jean</w:t>
      </w:r>
      <w:r w:rsidRPr="00424FDB">
        <w:rPr>
          <w:rStyle w:val="SCCCounselNameChar"/>
          <w:lang w:val="fr-CA"/>
        </w:rPr>
        <w:noBreakHyphen/>
        <w:t>Sébastien St</w:t>
      </w:r>
      <w:r w:rsidRPr="00424FDB">
        <w:rPr>
          <w:rStyle w:val="SCCCounselNameChar"/>
          <w:lang w:val="fr-CA"/>
        </w:rPr>
        <w:noBreakHyphen/>
      </w:r>
      <w:r w:rsidR="00AC33F6" w:rsidRPr="00424FDB">
        <w:rPr>
          <w:rStyle w:val="SCCCounselNameChar"/>
          <w:lang w:val="fr-CA"/>
        </w:rPr>
        <w:t>Amand Guinoi</w:t>
      </w:r>
      <w:r w:rsidR="00182DB9" w:rsidRPr="00424FDB">
        <w:rPr>
          <w:rStyle w:val="SCCCounselNameChar"/>
          <w:lang w:val="fr-CA"/>
        </w:rPr>
        <w:t>s</w:t>
      </w:r>
      <w:r w:rsidR="005D1E4F" w:rsidRPr="00424FDB">
        <w:rPr>
          <w:rStyle w:val="SCCCounselPartyRoleChar"/>
          <w:lang w:val="fr-CA"/>
        </w:rPr>
        <w:t xml:space="preserve">, for the intervener </w:t>
      </w:r>
      <w:r w:rsidR="00AC33F6" w:rsidRPr="00424FDB">
        <w:rPr>
          <w:rStyle w:val="SCCCounselPartyRoleChar"/>
          <w:lang w:val="fr-CA"/>
        </w:rPr>
        <w:t>Association des av</w:t>
      </w:r>
      <w:r w:rsidRPr="00424FDB">
        <w:rPr>
          <w:rStyle w:val="SCCCounselPartyRoleChar"/>
          <w:lang w:val="fr-CA"/>
        </w:rPr>
        <w:t>ocats de la défense de Montréal</w:t>
      </w:r>
      <w:r w:rsidRPr="00424FDB">
        <w:rPr>
          <w:rStyle w:val="SCCCounselPartyRoleChar"/>
          <w:lang w:val="fr-CA"/>
        </w:rPr>
        <w:noBreakHyphen/>
        <w:t>Laval</w:t>
      </w:r>
      <w:r w:rsidRPr="00424FDB">
        <w:rPr>
          <w:rStyle w:val="SCCCounselPartyRoleChar"/>
          <w:lang w:val="fr-CA"/>
        </w:rPr>
        <w:noBreakHyphen/>
      </w:r>
      <w:r w:rsidR="00AC33F6" w:rsidRPr="00424FDB">
        <w:rPr>
          <w:rStyle w:val="SCCCounselPartyRoleChar"/>
          <w:lang w:val="fr-CA"/>
        </w:rPr>
        <w:t>Longueuil.</w:t>
      </w:r>
    </w:p>
    <w:p w14:paraId="5C4EA1BA" w14:textId="77777777" w:rsidR="00E24573" w:rsidRDefault="00E24573" w:rsidP="000D203A">
      <w:pPr>
        <w:pStyle w:val="SCCNormalDoubleSpacing"/>
        <w:spacing w:after="480"/>
        <w:rPr>
          <w:lang w:val="fr-CA"/>
        </w:rPr>
      </w:pPr>
    </w:p>
    <w:p w14:paraId="73495AFF" w14:textId="77777777" w:rsidR="0016581F" w:rsidRDefault="0016581F" w:rsidP="0016581F">
      <w:pPr>
        <w:tabs>
          <w:tab w:val="left" w:pos="1134"/>
        </w:tabs>
        <w:ind w:firstLine="1134"/>
        <w:rPr>
          <w:szCs w:val="24"/>
        </w:rPr>
      </w:pPr>
      <w:r w:rsidRPr="002A7A05">
        <w:rPr>
          <w:szCs w:val="24"/>
        </w:rPr>
        <w:t>The judgment of the Court was delivered by</w:t>
      </w:r>
    </w:p>
    <w:p w14:paraId="6034DE92" w14:textId="77777777" w:rsidR="0016581F" w:rsidRPr="00AF166E" w:rsidRDefault="0016581F" w:rsidP="0016581F">
      <w:pPr>
        <w:ind w:firstLine="1134"/>
        <w:rPr>
          <w:szCs w:val="24"/>
        </w:rPr>
      </w:pPr>
    </w:p>
    <w:p w14:paraId="425C47D4" w14:textId="77777777" w:rsidR="0016581F" w:rsidRPr="002B573E" w:rsidRDefault="0016581F" w:rsidP="0016581F">
      <w:pPr>
        <w:pStyle w:val="JudgeJuge"/>
      </w:pPr>
      <w:r w:rsidRPr="002B573E">
        <w:tab/>
        <w:t xml:space="preserve">Moldaver J. — </w:t>
      </w:r>
    </w:p>
    <w:p w14:paraId="693C6BBA" w14:textId="77777777" w:rsidR="0016581F" w:rsidRPr="002B573E" w:rsidRDefault="0016581F" w:rsidP="0016581F">
      <w:pPr>
        <w:pStyle w:val="Title1LevelTitre1Niveau-AltL"/>
        <w:numPr>
          <w:ilvl w:val="0"/>
          <w:numId w:val="8"/>
        </w:numPr>
        <w:jc w:val="both"/>
        <w:rPr>
          <w:rFonts w:cs="Times New Roman"/>
        </w:rPr>
      </w:pPr>
      <w:r w:rsidRPr="002B573E">
        <w:rPr>
          <w:rFonts w:cs="Times New Roman"/>
        </w:rPr>
        <w:t>Introduction</w:t>
      </w:r>
    </w:p>
    <w:p w14:paraId="4DFDA4FF" w14:textId="77777777" w:rsidR="0016581F" w:rsidRPr="002B573E" w:rsidRDefault="0016581F" w:rsidP="0016581F">
      <w:pPr>
        <w:pStyle w:val="ParaNoNdepar-AltN"/>
        <w:rPr>
          <w:rFonts w:cs="Times New Roman"/>
        </w:rPr>
      </w:pPr>
      <w:r w:rsidRPr="002B573E">
        <w:rPr>
          <w:rFonts w:cs="Times New Roman"/>
        </w:rPr>
        <w:t xml:space="preserve">Patrick Dussault was arrested on charges of murder and arson. He was read his rights and taken to the police station, where he spoke with a lawyer for roughly 10 minutes on the telephone. He and the lawyer ended the call in the belief that the police had agreed to allow them to continue their conversation at the station. When the lawyer came to the station, the police did not let him meet with Mr. Dussault. Before </w:t>
      </w:r>
      <w:r w:rsidRPr="002B573E">
        <w:rPr>
          <w:rFonts w:cs="Times New Roman"/>
        </w:rPr>
        <w:lastRenderedPageBreak/>
        <w:t>Mr. Dussault spoke again with the lawyer, he was questioned and made an incriminating statement.</w:t>
      </w:r>
    </w:p>
    <w:p w14:paraId="16AFB018" w14:textId="77777777" w:rsidR="0016581F" w:rsidRPr="002B573E" w:rsidRDefault="0016581F" w:rsidP="0016581F">
      <w:pPr>
        <w:pStyle w:val="ParaNoNdepar-AltN"/>
        <w:rPr>
          <w:rFonts w:cs="Times New Roman"/>
        </w:rPr>
      </w:pPr>
      <w:r w:rsidRPr="002B573E">
        <w:rPr>
          <w:rFonts w:cs="Times New Roman"/>
        </w:rPr>
        <w:t xml:space="preserve">At issue in this appeal is whether the police provided Mr. Dussault with a reasonable opportunity to consult counsel and, more particularly, whether they were required to provide Mr. Dussault with a further opportunity to consult counsel before interrogating him. The trial judge held that they were not required to do so because, in all the circumstances, they could reasonably presume that Mr. Dussault had exercised his right to counsel during the 10-minute telephone call with his lawyer. The Court of Appeal reached the opposite conclusion, holding that Mr. Dussault’s telephone call did not constitute a “complete” consultation for the purposes of s. 10(b) of the </w:t>
      </w:r>
      <w:r w:rsidRPr="002B573E">
        <w:rPr>
          <w:rFonts w:cs="Times New Roman"/>
          <w:i/>
        </w:rPr>
        <w:t>Canadian Charter of Rights and Freedoms</w:t>
      </w:r>
      <w:r w:rsidRPr="002B573E">
        <w:rPr>
          <w:rFonts w:cs="Times New Roman"/>
        </w:rPr>
        <w:t>, and that the police were required to allow Mr. Dussault to continue this consultation at the station.</w:t>
      </w:r>
    </w:p>
    <w:p w14:paraId="6D0339F2" w14:textId="77777777" w:rsidR="0016581F" w:rsidRPr="002B573E" w:rsidRDefault="0016581F" w:rsidP="0016581F">
      <w:pPr>
        <w:pStyle w:val="ParaNoNdepar-AltN"/>
        <w:rPr>
          <w:rFonts w:cs="Times New Roman"/>
        </w:rPr>
      </w:pPr>
      <w:r w:rsidRPr="002B573E">
        <w:rPr>
          <w:rFonts w:cs="Times New Roman"/>
        </w:rPr>
        <w:t xml:space="preserve">For reasons that I will explain, in the unique circumstances of this case, I am satisfied that the police were required to provide Mr. Dussault with a further opportunity to consult counsel before questioning him. My reasons for reaching that conclusion, however, differ from those of the Court of Appeal. In my opinion, there were objectively observable indicators that the police conduct in this case had the effect of undermining the legal advice that the lawyer provided to Mr. Dussault during their telephone call. Therefore, even if the call was a complete consultation in its own right, the police were nevertheless required to provide Mr. Dussault with a second </w:t>
      </w:r>
      <w:r w:rsidRPr="002B573E">
        <w:rPr>
          <w:rFonts w:cs="Times New Roman"/>
        </w:rPr>
        <w:lastRenderedPageBreak/>
        <w:t>opportunity to consult counsel. They failed to do so and thereby breached his s. 10(b) rights. I would dismiss the appeal.</w:t>
      </w:r>
    </w:p>
    <w:p w14:paraId="2FD2DFB8" w14:textId="77777777" w:rsidR="0016581F" w:rsidRPr="002B573E" w:rsidRDefault="0016581F" w:rsidP="0016581F">
      <w:pPr>
        <w:pStyle w:val="Title1LevelTitre1Niveau-AltL"/>
        <w:numPr>
          <w:ilvl w:val="0"/>
          <w:numId w:val="8"/>
        </w:numPr>
        <w:jc w:val="both"/>
        <w:rPr>
          <w:rFonts w:cs="Times New Roman"/>
        </w:rPr>
      </w:pPr>
      <w:r w:rsidRPr="002B573E">
        <w:rPr>
          <w:rFonts w:cs="Times New Roman"/>
        </w:rPr>
        <w:t>Facts</w:t>
      </w:r>
    </w:p>
    <w:p w14:paraId="47DD5169" w14:textId="77777777" w:rsidR="0016581F" w:rsidRPr="002B573E" w:rsidRDefault="0016581F" w:rsidP="0016581F">
      <w:pPr>
        <w:pStyle w:val="ParaNoNdepar-AltN"/>
        <w:rPr>
          <w:rFonts w:cs="Times New Roman"/>
        </w:rPr>
      </w:pPr>
      <w:r w:rsidRPr="002B573E">
        <w:rPr>
          <w:rFonts w:cs="Times New Roman"/>
        </w:rPr>
        <w:t>The facts as summarized are based on findings made by the trial judge.</w:t>
      </w:r>
    </w:p>
    <w:p w14:paraId="1089127F" w14:textId="77777777" w:rsidR="0016581F" w:rsidRPr="002B573E" w:rsidRDefault="0016581F" w:rsidP="0016581F">
      <w:pPr>
        <w:pStyle w:val="ParaNoNdepar-AltN"/>
        <w:rPr>
          <w:rFonts w:cs="Times New Roman"/>
        </w:rPr>
      </w:pPr>
      <w:r w:rsidRPr="002B573E">
        <w:rPr>
          <w:rFonts w:cs="Times New Roman"/>
        </w:rPr>
        <w:t xml:space="preserve">On the afternoon of August 28, 2013, Gatineau police made a dynamic entry into the home of Mr. Dussault and arrested him on charges of murder and arson. The police informed Mr. Dussault of his rights, including his right to counsel under s. 10(b) of the </w:t>
      </w:r>
      <w:r w:rsidRPr="002B573E">
        <w:rPr>
          <w:rFonts w:cs="Times New Roman"/>
          <w:i/>
        </w:rPr>
        <w:t>Charter</w:t>
      </w:r>
      <w:r w:rsidRPr="002B573E">
        <w:rPr>
          <w:rFonts w:cs="Times New Roman"/>
        </w:rPr>
        <w:t>. Mr. Dussault indicated that he wished to speak to a lawyer.</w:t>
      </w:r>
    </w:p>
    <w:p w14:paraId="75975472" w14:textId="77777777" w:rsidR="0016581F" w:rsidRPr="002B573E" w:rsidRDefault="0016581F" w:rsidP="0016581F">
      <w:pPr>
        <w:pStyle w:val="ParaNoNdepar-AltN"/>
        <w:rPr>
          <w:rFonts w:cs="Times New Roman"/>
        </w:rPr>
      </w:pPr>
      <w:r w:rsidRPr="002B573E">
        <w:rPr>
          <w:rFonts w:cs="Times New Roman"/>
        </w:rPr>
        <w:t xml:space="preserve">The police transported Mr. Dussault to the police station. They arrived at 2:36 p.m. Mr. Dussault was presented with a list of local defence lawyers. </w:t>
      </w:r>
      <w:r w:rsidRPr="002B573E">
        <w:rPr>
          <w:rFonts w:cs="Times New Roman"/>
          <w:lang w:val="en-US"/>
        </w:rPr>
        <w:t xml:space="preserve">He chose Jean-François Benoît at random. </w:t>
      </w:r>
      <w:r w:rsidRPr="002B573E">
        <w:rPr>
          <w:rFonts w:cs="Times New Roman"/>
        </w:rPr>
        <w:t>He was placed in a small room with a telephone and told to wait for a call. When the phone rang, Mr. Dussault answered. Mr. Benoît was on the line.</w:t>
      </w:r>
    </w:p>
    <w:p w14:paraId="498F901A" w14:textId="77777777" w:rsidR="0016581F" w:rsidRPr="002B573E" w:rsidRDefault="0016581F" w:rsidP="0016581F">
      <w:pPr>
        <w:pStyle w:val="ParaNoNdepar-AltN"/>
        <w:rPr>
          <w:rFonts w:cs="Times New Roman"/>
        </w:rPr>
      </w:pPr>
      <w:r w:rsidRPr="002B573E">
        <w:rPr>
          <w:rFonts w:cs="Times New Roman"/>
        </w:rPr>
        <w:t>The two conversed for roughly nine minutes. Mr. Benoît explained the charges and Mr. Dussault’s right to remain silent. He was left with the impression that Mr. Dussault was not processing or understanding his advice. He offered to come to the station to meet in person, and Mr. Dussault accepted. Mr. Benoît then asked Mr. Dussault to pass the phone to an officer. Mr. Dussault knocked on the door and handed the receiver to Detective Sergeant Pierre Chicoine.</w:t>
      </w:r>
    </w:p>
    <w:p w14:paraId="2398047F" w14:textId="77777777" w:rsidR="0016581F" w:rsidRPr="002B573E" w:rsidRDefault="0016581F" w:rsidP="0016581F">
      <w:pPr>
        <w:pStyle w:val="ParaNoNdepar-AltN"/>
        <w:rPr>
          <w:rFonts w:cs="Times New Roman"/>
        </w:rPr>
      </w:pPr>
      <w:r w:rsidRPr="002B573E">
        <w:rPr>
          <w:rFonts w:cs="Times New Roman"/>
        </w:rPr>
        <w:lastRenderedPageBreak/>
        <w:t xml:space="preserve">Mr. Benoît spoke with Officer Chicoine for roughly three minutes. He said that he was coming to the police station and asked that the investigation be suspended. </w:t>
      </w:r>
      <w:r w:rsidRPr="002B573E">
        <w:rPr>
          <w:rFonts w:cs="Times New Roman"/>
          <w:lang w:val="en-US"/>
        </w:rPr>
        <w:t xml:space="preserve">Officer Chicoine responded </w:t>
      </w:r>
      <w:r w:rsidRPr="002B573E">
        <w:rPr>
          <w:rFonts w:cs="Times New Roman"/>
        </w:rPr>
        <w:t>[</w:t>
      </w:r>
      <w:r w:rsidRPr="002B573E">
        <w:rPr>
          <w:rFonts w:cs="Times New Roman"/>
          <w:smallCaps/>
        </w:rPr>
        <w:t>translation</w:t>
      </w:r>
      <w:r w:rsidRPr="002B573E">
        <w:rPr>
          <w:rFonts w:cs="Times New Roman"/>
        </w:rPr>
        <w:t xml:space="preserve">] “[n]o problem” </w:t>
      </w:r>
      <w:r w:rsidRPr="002B573E">
        <w:rPr>
          <w:rFonts w:cs="Times New Roman"/>
          <w:lang w:val="en-US"/>
        </w:rPr>
        <w:t>or</w:t>
      </w:r>
      <w:r w:rsidRPr="002B573E">
        <w:rPr>
          <w:rFonts w:cs="Times New Roman"/>
        </w:rPr>
        <w:t xml:space="preserve"> “no trouble”</w:t>
      </w:r>
      <w:r w:rsidRPr="002B573E">
        <w:rPr>
          <w:rFonts w:cs="Times New Roman"/>
          <w:lang w:val="en-US"/>
        </w:rPr>
        <w:t xml:space="preserve">: A.R., vol. V, at p. 141, and vol. VIII, at p. 18. </w:t>
      </w:r>
      <w:r w:rsidRPr="002B573E">
        <w:rPr>
          <w:rFonts w:cs="Times New Roman"/>
        </w:rPr>
        <w:t>Mr. Benoît asked Officer Chicoine to return the phone to Mr. Dussault.</w:t>
      </w:r>
    </w:p>
    <w:p w14:paraId="19F147D1" w14:textId="77777777" w:rsidR="0016581F" w:rsidRPr="002B573E" w:rsidRDefault="0016581F" w:rsidP="0016581F">
      <w:pPr>
        <w:pStyle w:val="ParaNoNdepar-AltN"/>
        <w:rPr>
          <w:rFonts w:cs="Times New Roman"/>
        </w:rPr>
      </w:pPr>
      <w:r w:rsidRPr="002B573E">
        <w:rPr>
          <w:rFonts w:cs="Times New Roman"/>
        </w:rPr>
        <w:t>Mr. Benoît spoke again with Mr. Dussault for roughly one minute. He confirmed that he was coming to the police station to meet with Mr. Dussault and he explained that, in the interim, Mr. Dussault would be placed in a cell. He told Mr. Dussault not to speak to anyone. Mr. Dussault was reassured by this conversation. He believed that Mr. Benoît was coming to meet him.</w:t>
      </w:r>
    </w:p>
    <w:p w14:paraId="585CE1EF" w14:textId="77777777" w:rsidR="0016581F" w:rsidRPr="002B573E" w:rsidRDefault="0016581F" w:rsidP="0016581F">
      <w:pPr>
        <w:pStyle w:val="ParaNoNdepar-AltN"/>
        <w:rPr>
          <w:rFonts w:cs="Times New Roman"/>
        </w:rPr>
      </w:pPr>
      <w:r w:rsidRPr="002B573E">
        <w:rPr>
          <w:rFonts w:cs="Times New Roman"/>
        </w:rPr>
        <w:t>At 3:20 p.m., Officer Chicoine, accompanied by Detective Sergeant Ian Gosselin, spoke to the lead investigators on the file, reporting that the arrest went well and that Mr. Dussault had exercised his right to counsel. During the conversation, it was decided that Mr. Benoît would not be permitted to meet with Mr. Dussault. Officer Chicoine was told to inform Mr. Benoît of this decision.</w:t>
      </w:r>
    </w:p>
    <w:p w14:paraId="7E5472D3" w14:textId="77777777" w:rsidR="0016581F" w:rsidRPr="002B573E" w:rsidRDefault="0016581F" w:rsidP="0016581F">
      <w:pPr>
        <w:pStyle w:val="ParaNoNdepar-AltN"/>
        <w:rPr>
          <w:rFonts w:cs="Times New Roman"/>
        </w:rPr>
      </w:pPr>
      <w:r w:rsidRPr="002B573E">
        <w:rPr>
          <w:rFonts w:cs="Times New Roman"/>
        </w:rPr>
        <w:t>In line with these instructions, Officer Chicoine phoned Mr. Benoît and told him that there was no point in coming to the police station. He said that Mr. Dussault had exercised his right to counsel during the telephone conversation. He also emphasized that Mr. Dussault himself had not expressed a desire to meet his lawyer. According to Officer Chicoine, Mr. Benoît responded in a loud voice, seemingly attempting to influence or intimidate him.</w:t>
      </w:r>
    </w:p>
    <w:p w14:paraId="08C6032A" w14:textId="77777777" w:rsidR="0016581F" w:rsidRPr="002B573E" w:rsidRDefault="0016581F" w:rsidP="0016581F">
      <w:pPr>
        <w:pStyle w:val="ParaNoNdepar-AltN"/>
        <w:rPr>
          <w:rFonts w:cs="Times New Roman"/>
        </w:rPr>
      </w:pPr>
      <w:r w:rsidRPr="002B573E">
        <w:rPr>
          <w:rFonts w:cs="Times New Roman"/>
        </w:rPr>
        <w:lastRenderedPageBreak/>
        <w:t xml:space="preserve">After this call, Officer Chicoine began to </w:t>
      </w:r>
      <w:r w:rsidRPr="002B573E">
        <w:rPr>
          <w:rFonts w:cs="Times New Roman"/>
          <w:shd w:val="clear" w:color="auto" w:fill="FFFFFF" w:themeFill="background1"/>
        </w:rPr>
        <w:t>doubt</w:t>
      </w:r>
      <w:r w:rsidRPr="002B573E">
        <w:rPr>
          <w:rFonts w:cs="Times New Roman"/>
        </w:rPr>
        <w:t xml:space="preserve"> himself. He reported to a lead investigator, who decided that a prosecutor from the office of the Director of Criminal and Penal Prosecutions should be contacted for advice. The prosecutor researched relevant case law, including this Court’s decision in </w:t>
      </w:r>
      <w:r w:rsidRPr="002B573E">
        <w:rPr>
          <w:rFonts w:cs="Times New Roman"/>
          <w:i/>
        </w:rPr>
        <w:t>R. v. Sinclair</w:t>
      </w:r>
      <w:r w:rsidRPr="002B573E">
        <w:rPr>
          <w:rFonts w:cs="Times New Roman"/>
        </w:rPr>
        <w:t>, 2010 SCC 35</w:t>
      </w:r>
      <w:r w:rsidRPr="002B573E">
        <w:rPr>
          <w:rFonts w:cs="Times New Roman"/>
          <w:lang w:bidi="en-US"/>
        </w:rPr>
        <w:t>, [2010] 2 S.C.R. 310</w:t>
      </w:r>
      <w:r w:rsidRPr="002B573E">
        <w:rPr>
          <w:rFonts w:cs="Times New Roman"/>
        </w:rPr>
        <w:t>. She concluded, based on the information provided to her, that Mr. Dussault was not entitled to meet with Mr. Benoît at the police station, and she advised the police accordingly.</w:t>
      </w:r>
    </w:p>
    <w:p w14:paraId="2F741523" w14:textId="77777777" w:rsidR="0016581F" w:rsidRPr="002B573E" w:rsidRDefault="0016581F" w:rsidP="0016581F">
      <w:pPr>
        <w:pStyle w:val="ParaNoNdepar-AltN"/>
        <w:rPr>
          <w:rFonts w:cs="Times New Roman"/>
        </w:rPr>
      </w:pPr>
      <w:r w:rsidRPr="002B573E">
        <w:rPr>
          <w:rFonts w:cs="Times New Roman"/>
        </w:rPr>
        <w:t>Mr. Benoît arrived at the police station at approximately 4:15 p.m. He was not permitted to meet with Mr. Dussault. At 6:30 p.m., he left to tend to family matters, leaving behind a handwritten note addressed to Officer Chicoine. In the note, Mr. Benoît indicated that, during his phone call with Mr. Dussault, he had only partially instructed Mr. Dussault on his rights, and that he wished to meet with Mr. Dussault to complete the advice before Mr. Dussault was interrogated. He stated that he would be available after 7:45 p.m. and asked Officer Chicoine to contact him as soon as possible. The note was delivered to Officer Chicoine.</w:t>
      </w:r>
    </w:p>
    <w:p w14:paraId="135BA002" w14:textId="77777777" w:rsidR="0016581F" w:rsidRPr="002B573E" w:rsidRDefault="0016581F" w:rsidP="0016581F">
      <w:pPr>
        <w:pStyle w:val="ParaNoNdepar-AltN"/>
        <w:rPr>
          <w:rFonts w:cs="Times New Roman"/>
        </w:rPr>
      </w:pPr>
      <w:r w:rsidRPr="002B573E">
        <w:rPr>
          <w:rFonts w:cs="Times New Roman"/>
        </w:rPr>
        <w:t xml:space="preserve">At 5:18 p.m. and again at 8:50 p.m., Officers Chicoine and Gosselin approached the cellblock supervisor to ask whether Mr. Dussault had spoken about his lawyer. The answer on both occasions was no. </w:t>
      </w:r>
    </w:p>
    <w:p w14:paraId="3D161A5C" w14:textId="77777777" w:rsidR="0016581F" w:rsidRPr="002B573E" w:rsidRDefault="0016581F" w:rsidP="0016581F">
      <w:pPr>
        <w:pStyle w:val="ParaNoNdepar-AltN"/>
        <w:rPr>
          <w:rFonts w:cs="Times New Roman"/>
        </w:rPr>
      </w:pPr>
      <w:r w:rsidRPr="002B573E">
        <w:rPr>
          <w:rFonts w:cs="Times New Roman"/>
        </w:rPr>
        <w:t xml:space="preserve">After their second check-in with the cellblock supervisor, the officers went to Mr. Dussault’s cell. At 8:52 p.m., Officer Chicoine told Mr. Dussault that Detective Sergeant Frédérick Simard was ready to meet with him. Mr. Dussault asked whether </w:t>
      </w:r>
      <w:r w:rsidRPr="002B573E">
        <w:rPr>
          <w:rFonts w:cs="Times New Roman"/>
        </w:rPr>
        <w:lastRenderedPageBreak/>
        <w:t>his [</w:t>
      </w:r>
      <w:r w:rsidRPr="002B573E">
        <w:rPr>
          <w:rFonts w:cs="Times New Roman"/>
          <w:smallCaps/>
        </w:rPr>
        <w:t>translation</w:t>
      </w:r>
      <w:r w:rsidRPr="002B573E">
        <w:rPr>
          <w:rFonts w:cs="Times New Roman"/>
        </w:rPr>
        <w:t>] “lawyer arrived”: A.R., vol. V, at p. 183. Officer Chicoine responded with his own question: Was it Mr. Dussault who had asked the lawyer to come? Mr. Dussault answered that it was the lawyer who said that he would come, and that the lawyer wanted to be there during the meeting. Officer Chicoine told Mr. Dussault that the lawyer was not at the police station.</w:t>
      </w:r>
    </w:p>
    <w:p w14:paraId="13FE06A7" w14:textId="77777777" w:rsidR="0016581F" w:rsidRPr="002B573E" w:rsidRDefault="0016581F" w:rsidP="0016581F">
      <w:pPr>
        <w:pStyle w:val="ParaNoNdepar-AltN"/>
        <w:rPr>
          <w:rFonts w:cs="Times New Roman"/>
        </w:rPr>
      </w:pPr>
      <w:r w:rsidRPr="002B573E">
        <w:rPr>
          <w:rFonts w:cs="Times New Roman"/>
        </w:rPr>
        <w:t>Officer Simard commenced the interrogation shortly before 9:00 p.m. Mr. Dussault could not understand why he had not yet spoken to his lawyer. It is worth reproducing in full a number of the questions and responses between Officer Simard and Mr. Dussault on this subject:</w:t>
      </w:r>
    </w:p>
    <w:p w14:paraId="1351F63C" w14:textId="77777777" w:rsidR="0016581F" w:rsidRPr="002B573E" w:rsidRDefault="0016581F" w:rsidP="0016581F">
      <w:pPr>
        <w:pStyle w:val="Citation-AltC"/>
        <w:rPr>
          <w:lang w:val="en-US"/>
        </w:rPr>
      </w:pPr>
      <w:r w:rsidRPr="002B573E">
        <w:t>[</w:t>
      </w:r>
      <w:r w:rsidRPr="002B573E">
        <w:rPr>
          <w:smallCaps/>
        </w:rPr>
        <w:t>translation</w:t>
      </w:r>
      <w:r w:rsidRPr="002B573E">
        <w:t>]</w:t>
      </w:r>
    </w:p>
    <w:p w14:paraId="4A600CCD" w14:textId="77777777" w:rsidR="0016581F" w:rsidRPr="002B573E" w:rsidRDefault="0016581F" w:rsidP="0016581F">
      <w:pPr>
        <w:pStyle w:val="Citation-AltC"/>
        <w:rPr>
          <w:lang w:val="en-US"/>
        </w:rPr>
      </w:pPr>
    </w:p>
    <w:p w14:paraId="61D7E65E" w14:textId="77777777" w:rsidR="0016581F" w:rsidRPr="002B573E" w:rsidRDefault="0016581F" w:rsidP="0016581F">
      <w:pPr>
        <w:pStyle w:val="Citation-AltC"/>
      </w:pPr>
      <w:r w:rsidRPr="002B573E">
        <w:t xml:space="preserve">Q. . . . </w:t>
      </w:r>
      <w:r w:rsidRPr="002B573E">
        <w:rPr>
          <w:lang w:val="en-US"/>
        </w:rPr>
        <w:t>[O]nce you were arrested, at 12 Trottier, is it true that [</w:t>
      </w:r>
      <w:r w:rsidRPr="002B573E">
        <w:t>Detective Sergeant Chicoine is] the same man who brought you here, who read you your rights?</w:t>
      </w:r>
    </w:p>
    <w:p w14:paraId="32AD9272" w14:textId="77777777" w:rsidR="0016581F" w:rsidRPr="002B573E" w:rsidRDefault="0016581F" w:rsidP="0016581F">
      <w:pPr>
        <w:pStyle w:val="Citation-AltC"/>
      </w:pPr>
    </w:p>
    <w:p w14:paraId="47D7E147" w14:textId="77777777" w:rsidR="0016581F" w:rsidRPr="002B573E" w:rsidRDefault="0016581F" w:rsidP="0016581F">
      <w:pPr>
        <w:pStyle w:val="Citation-AltC"/>
      </w:pPr>
      <w:r w:rsidRPr="002B573E">
        <w:t>A. Yes.</w:t>
      </w:r>
    </w:p>
    <w:p w14:paraId="3FEA2DAB" w14:textId="77777777" w:rsidR="0016581F" w:rsidRPr="002B573E" w:rsidRDefault="0016581F" w:rsidP="0016581F">
      <w:pPr>
        <w:pStyle w:val="Citation-AltC"/>
        <w:rPr>
          <w:b/>
        </w:rPr>
      </w:pPr>
    </w:p>
    <w:p w14:paraId="15E6E0E6" w14:textId="77777777" w:rsidR="0016581F" w:rsidRPr="002B573E" w:rsidRDefault="0016581F" w:rsidP="0016581F">
      <w:pPr>
        <w:pStyle w:val="Citation-AltC"/>
      </w:pPr>
      <w:r w:rsidRPr="002B573E">
        <w:t>Q. He had that form, in fact it’s a copy of his form.</w:t>
      </w:r>
    </w:p>
    <w:p w14:paraId="554EA0FC" w14:textId="77777777" w:rsidR="0016581F" w:rsidRPr="002B573E" w:rsidRDefault="0016581F" w:rsidP="0016581F">
      <w:pPr>
        <w:pStyle w:val="Citation-AltC"/>
      </w:pPr>
    </w:p>
    <w:p w14:paraId="4482BDB0" w14:textId="77777777" w:rsidR="0016581F" w:rsidRPr="002B573E" w:rsidRDefault="0016581F" w:rsidP="0016581F">
      <w:pPr>
        <w:pStyle w:val="Citation-AltC"/>
        <w:rPr>
          <w:u w:val="single"/>
        </w:rPr>
      </w:pPr>
      <w:r w:rsidRPr="002B573E">
        <w:t xml:space="preserve">A. </w:t>
      </w:r>
      <w:r w:rsidRPr="002B573E">
        <w:rPr>
          <w:u w:val="single"/>
        </w:rPr>
        <w:t>That, my lawyer told me he was supposed to be here because he wanted to attend this interview, and he isn’t here, and they told me . . . he told me to wait till he was here, and he still hasn’t arrived.</w:t>
      </w:r>
    </w:p>
    <w:p w14:paraId="66B3D01E" w14:textId="77777777" w:rsidR="0016581F" w:rsidRPr="002B573E" w:rsidRDefault="0016581F" w:rsidP="0016581F">
      <w:pPr>
        <w:pStyle w:val="Citation-AltC"/>
      </w:pPr>
    </w:p>
    <w:p w14:paraId="1B43FE2B" w14:textId="77777777" w:rsidR="0016581F" w:rsidRPr="002B573E" w:rsidRDefault="0016581F" w:rsidP="0016581F">
      <w:pPr>
        <w:pStyle w:val="Citation-AltC"/>
        <w:rPr>
          <w:lang w:val="en-US"/>
        </w:rPr>
      </w:pPr>
      <w:r w:rsidRPr="002B573E">
        <w:t>Q. OK. We’re going to clarify that actually, that step, whether you got your rights with Mr. Chicoine</w:t>
      </w:r>
      <w:proofErr w:type="gramStart"/>
      <w:r w:rsidRPr="002B573E">
        <w:t>.</w:t>
      </w:r>
      <w:proofErr w:type="gramEnd"/>
      <w:r w:rsidRPr="002B573E">
        <w:rPr>
          <w:lang w:bidi="en-US"/>
        </w:rPr>
        <w:t> . . .</w:t>
      </w:r>
    </w:p>
    <w:p w14:paraId="1A7A8759" w14:textId="77777777" w:rsidR="0016581F" w:rsidRPr="002B573E" w:rsidRDefault="0016581F" w:rsidP="0016581F">
      <w:pPr>
        <w:pStyle w:val="Citation-AltC"/>
        <w:rPr>
          <w:lang w:val="en-US"/>
        </w:rPr>
      </w:pPr>
    </w:p>
    <w:p w14:paraId="69A71EFF" w14:textId="77777777" w:rsidR="0016581F" w:rsidRPr="002B573E" w:rsidRDefault="0016581F" w:rsidP="0016581F">
      <w:pPr>
        <w:pStyle w:val="Citation-AltC"/>
        <w:rPr>
          <w:lang w:val="en-US"/>
        </w:rPr>
      </w:pPr>
    </w:p>
    <w:p w14:paraId="4B5D0948" w14:textId="77777777" w:rsidR="0016581F" w:rsidRPr="002B573E" w:rsidRDefault="0016581F" w:rsidP="0016581F">
      <w:pPr>
        <w:pStyle w:val="Citation-AltC"/>
        <w:jc w:val="center"/>
        <w:rPr>
          <w:lang w:val="en-US"/>
        </w:rPr>
      </w:pPr>
      <w:r w:rsidRPr="002B573E">
        <w:rPr>
          <w:lang w:val="en-US"/>
        </w:rPr>
        <w:t>. . .</w:t>
      </w:r>
    </w:p>
    <w:p w14:paraId="4B39F788" w14:textId="77777777" w:rsidR="0016581F" w:rsidRPr="002B573E" w:rsidRDefault="0016581F" w:rsidP="0016581F">
      <w:pPr>
        <w:pStyle w:val="Citation-AltC"/>
        <w:rPr>
          <w:lang w:val="en-US"/>
        </w:rPr>
      </w:pPr>
    </w:p>
    <w:p w14:paraId="09D9F739" w14:textId="77777777" w:rsidR="0016581F" w:rsidRPr="002B573E" w:rsidRDefault="0016581F" w:rsidP="0016581F">
      <w:pPr>
        <w:pStyle w:val="Citation-AltC"/>
      </w:pPr>
      <w:r w:rsidRPr="002B573E">
        <w:t>Q. OK. Well, I’ll tell you. We’re a team here, it’s like a big family. So how did things go with those two people, those two police officers?</w:t>
      </w:r>
    </w:p>
    <w:p w14:paraId="09EDFEE2" w14:textId="77777777" w:rsidR="0016581F" w:rsidRPr="002B573E" w:rsidRDefault="0016581F" w:rsidP="0016581F">
      <w:pPr>
        <w:pStyle w:val="Citation-AltC"/>
      </w:pPr>
    </w:p>
    <w:p w14:paraId="0A57C7EC" w14:textId="77777777" w:rsidR="0016581F" w:rsidRPr="002B573E" w:rsidRDefault="0016581F" w:rsidP="0016581F">
      <w:pPr>
        <w:pStyle w:val="Citation-AltC"/>
      </w:pPr>
      <w:r w:rsidRPr="002B573E">
        <w:t>A. It was fine.</w:t>
      </w:r>
    </w:p>
    <w:p w14:paraId="649D5577" w14:textId="77777777" w:rsidR="0016581F" w:rsidRPr="002B573E" w:rsidRDefault="0016581F" w:rsidP="0016581F">
      <w:pPr>
        <w:pStyle w:val="Citation-AltC"/>
      </w:pPr>
    </w:p>
    <w:p w14:paraId="02E4A0EF" w14:textId="77777777" w:rsidR="0016581F" w:rsidRPr="002B573E" w:rsidRDefault="0016581F" w:rsidP="0016581F">
      <w:pPr>
        <w:pStyle w:val="Citation-AltC"/>
      </w:pPr>
      <w:r w:rsidRPr="002B573E">
        <w:t>Q. Yes?</w:t>
      </w:r>
    </w:p>
    <w:p w14:paraId="17FE971E" w14:textId="77777777" w:rsidR="0016581F" w:rsidRPr="002B573E" w:rsidRDefault="0016581F" w:rsidP="0016581F">
      <w:pPr>
        <w:pStyle w:val="Citation-AltC"/>
      </w:pPr>
    </w:p>
    <w:p w14:paraId="1CF80669" w14:textId="77777777" w:rsidR="0016581F" w:rsidRPr="002B573E" w:rsidRDefault="0016581F" w:rsidP="0016581F">
      <w:pPr>
        <w:pStyle w:val="Citation-AltC"/>
      </w:pPr>
      <w:r w:rsidRPr="002B573E">
        <w:t xml:space="preserve">A. </w:t>
      </w:r>
      <w:r w:rsidRPr="002B573E">
        <w:rPr>
          <w:u w:val="single"/>
        </w:rPr>
        <w:t>But that, my lawyer, he told me to . . . why did he tell me to remain . . . He just told me to give my name, my things, and he told me to remain silent until he was here. Why did he tell me that?</w:t>
      </w:r>
    </w:p>
    <w:p w14:paraId="721AB093" w14:textId="77777777" w:rsidR="0016581F" w:rsidRPr="002B573E" w:rsidRDefault="0016581F" w:rsidP="0016581F">
      <w:pPr>
        <w:pStyle w:val="Citation-AltC"/>
      </w:pPr>
    </w:p>
    <w:p w14:paraId="04F4EDB8" w14:textId="77777777" w:rsidR="0016581F" w:rsidRPr="002B573E" w:rsidRDefault="0016581F" w:rsidP="0016581F">
      <w:pPr>
        <w:pStyle w:val="Citation-AltC"/>
      </w:pPr>
      <w:r w:rsidRPr="002B573E">
        <w:t>Q. Why did he tell you that? He gave you advice, and it’s privileged for you.</w:t>
      </w:r>
    </w:p>
    <w:p w14:paraId="43505820" w14:textId="77777777" w:rsidR="0016581F" w:rsidRPr="002B573E" w:rsidRDefault="0016581F" w:rsidP="0016581F">
      <w:pPr>
        <w:pStyle w:val="Citation-AltC"/>
      </w:pPr>
    </w:p>
    <w:p w14:paraId="7C51AADF" w14:textId="77777777" w:rsidR="0016581F" w:rsidRPr="002B573E" w:rsidRDefault="0016581F" w:rsidP="0016581F">
      <w:pPr>
        <w:pStyle w:val="Citation-AltC"/>
      </w:pPr>
      <w:r w:rsidRPr="002B573E">
        <w:t>A. No, I know.</w:t>
      </w:r>
    </w:p>
    <w:p w14:paraId="641538C0" w14:textId="77777777" w:rsidR="0016581F" w:rsidRPr="002B573E" w:rsidRDefault="0016581F" w:rsidP="0016581F">
      <w:pPr>
        <w:pStyle w:val="Citation-AltC"/>
      </w:pPr>
    </w:p>
    <w:p w14:paraId="1D2F14D0" w14:textId="77777777" w:rsidR="0016581F" w:rsidRPr="002B573E" w:rsidRDefault="0016581F" w:rsidP="0016581F">
      <w:pPr>
        <w:pStyle w:val="Citation-AltC"/>
      </w:pPr>
      <w:r w:rsidRPr="002B573E">
        <w:t>Q. I can’t get involved in that conversation.</w:t>
      </w:r>
    </w:p>
    <w:p w14:paraId="323E3B17" w14:textId="77777777" w:rsidR="0016581F" w:rsidRPr="002B573E" w:rsidRDefault="0016581F" w:rsidP="0016581F">
      <w:pPr>
        <w:pStyle w:val="Citation-AltC"/>
      </w:pPr>
    </w:p>
    <w:p w14:paraId="186DBECB" w14:textId="77777777" w:rsidR="0016581F" w:rsidRPr="002B573E" w:rsidRDefault="0016581F" w:rsidP="0016581F">
      <w:pPr>
        <w:pStyle w:val="Citation-AltC"/>
      </w:pPr>
      <w:r w:rsidRPr="002B573E">
        <w:t>A. Yeah.</w:t>
      </w:r>
    </w:p>
    <w:p w14:paraId="453D38A1" w14:textId="77777777" w:rsidR="0016581F" w:rsidRPr="002B573E" w:rsidRDefault="0016581F" w:rsidP="0016581F">
      <w:pPr>
        <w:pStyle w:val="Citation-AltC"/>
      </w:pPr>
    </w:p>
    <w:p w14:paraId="58B24BE2" w14:textId="77777777" w:rsidR="0016581F" w:rsidRPr="002B573E" w:rsidRDefault="0016581F" w:rsidP="0016581F">
      <w:pPr>
        <w:pStyle w:val="Citation-AltC"/>
      </w:pPr>
      <w:r w:rsidRPr="002B573E">
        <w:t>Q. It’s because it’s your privilege to consult a lawyer.</w:t>
      </w:r>
    </w:p>
    <w:p w14:paraId="4B15FD4F" w14:textId="77777777" w:rsidR="0016581F" w:rsidRPr="002B573E" w:rsidRDefault="0016581F" w:rsidP="0016581F">
      <w:pPr>
        <w:pStyle w:val="Citation-AltC"/>
      </w:pPr>
    </w:p>
    <w:p w14:paraId="25A3A23B" w14:textId="77777777" w:rsidR="0016581F" w:rsidRPr="002B573E" w:rsidRDefault="0016581F" w:rsidP="0016581F">
      <w:pPr>
        <w:pStyle w:val="Citation-AltC"/>
        <w:rPr>
          <w:lang w:val="en-US"/>
        </w:rPr>
      </w:pPr>
      <w:r w:rsidRPr="002B573E">
        <w:t xml:space="preserve">A. Because he told me he’d be here. </w:t>
      </w:r>
      <w:r w:rsidRPr="002B573E">
        <w:rPr>
          <w:u w:val="single"/>
        </w:rPr>
        <w:t>Now I feel like I’m a bit on my own.</w:t>
      </w:r>
      <w:r w:rsidRPr="002B573E">
        <w:t xml:space="preserve"> He told me he’d be here to </w:t>
      </w:r>
      <w:proofErr w:type="gramStart"/>
      <w:r w:rsidRPr="002B573E">
        <w:t>come .</w:t>
      </w:r>
      <w:proofErr w:type="gramEnd"/>
      <w:r w:rsidRPr="002B573E">
        <w:t> . .</w:t>
      </w:r>
    </w:p>
    <w:p w14:paraId="119385CE" w14:textId="77777777" w:rsidR="0016581F" w:rsidRPr="002B573E" w:rsidRDefault="0016581F" w:rsidP="0016581F">
      <w:pPr>
        <w:pStyle w:val="Citation-AltC"/>
        <w:rPr>
          <w:lang w:val="en-US"/>
        </w:rPr>
      </w:pPr>
    </w:p>
    <w:p w14:paraId="6380F78A" w14:textId="77777777" w:rsidR="0016581F" w:rsidRPr="002B573E" w:rsidRDefault="0016581F" w:rsidP="0016581F">
      <w:pPr>
        <w:pStyle w:val="Citation-AltC"/>
        <w:jc w:val="center"/>
        <w:rPr>
          <w:lang w:val="en-US"/>
        </w:rPr>
      </w:pPr>
      <w:r w:rsidRPr="002B573E">
        <w:rPr>
          <w:lang w:val="en-US"/>
        </w:rPr>
        <w:t>. . .</w:t>
      </w:r>
    </w:p>
    <w:p w14:paraId="65A562D0" w14:textId="77777777" w:rsidR="0016581F" w:rsidRPr="002B573E" w:rsidRDefault="0016581F" w:rsidP="0016581F">
      <w:pPr>
        <w:pStyle w:val="Citation-AltC"/>
        <w:rPr>
          <w:lang w:val="en-US"/>
        </w:rPr>
      </w:pPr>
    </w:p>
    <w:p w14:paraId="14CCC52B" w14:textId="77777777" w:rsidR="0016581F" w:rsidRPr="002B573E" w:rsidRDefault="0016581F" w:rsidP="0016581F">
      <w:pPr>
        <w:pStyle w:val="Citation-AltC"/>
      </w:pPr>
      <w:r w:rsidRPr="002B573E">
        <w:t>Q. But what I want to clarify is: did you have a chance to speak to a lawyer?</w:t>
      </w:r>
    </w:p>
    <w:p w14:paraId="0EB4C2EA" w14:textId="77777777" w:rsidR="0016581F" w:rsidRPr="002B573E" w:rsidRDefault="0016581F" w:rsidP="0016581F">
      <w:pPr>
        <w:pStyle w:val="Citation-AltC"/>
      </w:pPr>
    </w:p>
    <w:p w14:paraId="47A638A4" w14:textId="77777777" w:rsidR="0016581F" w:rsidRPr="002B573E" w:rsidRDefault="0016581F" w:rsidP="0016581F">
      <w:pPr>
        <w:pStyle w:val="Citation-AltC"/>
      </w:pPr>
      <w:r w:rsidRPr="002B573E">
        <w:t>A. Yes.</w:t>
      </w:r>
    </w:p>
    <w:p w14:paraId="4ED7B6CE" w14:textId="77777777" w:rsidR="0016581F" w:rsidRPr="002B573E" w:rsidRDefault="0016581F" w:rsidP="0016581F">
      <w:pPr>
        <w:pStyle w:val="Citation-AltC"/>
      </w:pPr>
    </w:p>
    <w:p w14:paraId="448CE4C3" w14:textId="77777777" w:rsidR="0016581F" w:rsidRPr="002B573E" w:rsidRDefault="0016581F" w:rsidP="0016581F">
      <w:pPr>
        <w:pStyle w:val="Citation-AltC"/>
      </w:pPr>
      <w:r w:rsidRPr="002B573E">
        <w:t>Q. Who was your lawyer?</w:t>
      </w:r>
    </w:p>
    <w:p w14:paraId="6C30E434" w14:textId="77777777" w:rsidR="0016581F" w:rsidRPr="002B573E" w:rsidRDefault="0016581F" w:rsidP="0016581F">
      <w:pPr>
        <w:pStyle w:val="Citation-AltC"/>
      </w:pPr>
    </w:p>
    <w:p w14:paraId="2AAF9727" w14:textId="77777777" w:rsidR="0016581F" w:rsidRPr="002B573E" w:rsidRDefault="0016581F" w:rsidP="0016581F">
      <w:pPr>
        <w:pStyle w:val="Citation-AltC"/>
      </w:pPr>
      <w:r w:rsidRPr="002B573E">
        <w:t xml:space="preserve">A. </w:t>
      </w:r>
      <w:proofErr w:type="gramStart"/>
      <w:r w:rsidRPr="002B573E">
        <w:t>It’s .</w:t>
      </w:r>
      <w:proofErr w:type="gramEnd"/>
      <w:r w:rsidRPr="002B573E">
        <w:t xml:space="preserve"> . . </w:t>
      </w:r>
      <w:r w:rsidRPr="002B573E">
        <w:rPr>
          <w:i/>
        </w:rPr>
        <w:t>fuck</w:t>
      </w:r>
      <w:r w:rsidRPr="002B573E">
        <w:t>, I don’t have the name, but he’s . . .</w:t>
      </w:r>
    </w:p>
    <w:p w14:paraId="2D467B2D" w14:textId="77777777" w:rsidR="0016581F" w:rsidRPr="002B573E" w:rsidRDefault="0016581F" w:rsidP="0016581F">
      <w:pPr>
        <w:pStyle w:val="Citation-AltC"/>
      </w:pPr>
    </w:p>
    <w:p w14:paraId="03F0362F" w14:textId="77777777" w:rsidR="0016581F" w:rsidRPr="002B573E" w:rsidRDefault="0016581F" w:rsidP="0016581F">
      <w:pPr>
        <w:pStyle w:val="Citation-AltC"/>
      </w:pPr>
      <w:r w:rsidRPr="002B573E">
        <w:t>Q. If I tell you Mr. Benoît?</w:t>
      </w:r>
    </w:p>
    <w:p w14:paraId="315B4B78" w14:textId="77777777" w:rsidR="0016581F" w:rsidRPr="002B573E" w:rsidRDefault="0016581F" w:rsidP="0016581F">
      <w:pPr>
        <w:pStyle w:val="Citation-AltC"/>
      </w:pPr>
    </w:p>
    <w:p w14:paraId="166AFC62" w14:textId="77777777" w:rsidR="0016581F" w:rsidRPr="002B573E" w:rsidRDefault="0016581F" w:rsidP="0016581F">
      <w:pPr>
        <w:pStyle w:val="Citation-AltC"/>
      </w:pPr>
      <w:r w:rsidRPr="002B573E">
        <w:t>A. Yes.</w:t>
      </w:r>
    </w:p>
    <w:p w14:paraId="21610183" w14:textId="77777777" w:rsidR="0016581F" w:rsidRPr="002B573E" w:rsidRDefault="0016581F" w:rsidP="0016581F">
      <w:pPr>
        <w:pStyle w:val="Citation-AltC"/>
      </w:pPr>
    </w:p>
    <w:p w14:paraId="2183C420" w14:textId="77777777" w:rsidR="0016581F" w:rsidRPr="002B573E" w:rsidRDefault="0016581F" w:rsidP="0016581F">
      <w:pPr>
        <w:pStyle w:val="Citation-AltC"/>
      </w:pPr>
      <w:r w:rsidRPr="002B573E">
        <w:t>Q. That’s right?</w:t>
      </w:r>
    </w:p>
    <w:p w14:paraId="5707C8AE" w14:textId="77777777" w:rsidR="0016581F" w:rsidRPr="002B573E" w:rsidRDefault="0016581F" w:rsidP="0016581F">
      <w:pPr>
        <w:pStyle w:val="Citation-AltC"/>
      </w:pPr>
    </w:p>
    <w:p w14:paraId="60AA98DF" w14:textId="77777777" w:rsidR="0016581F" w:rsidRPr="002B573E" w:rsidRDefault="0016581F" w:rsidP="0016581F">
      <w:pPr>
        <w:pStyle w:val="Citation-AltC"/>
      </w:pPr>
      <w:r w:rsidRPr="002B573E">
        <w:t>A. Yes.</w:t>
      </w:r>
    </w:p>
    <w:p w14:paraId="0BB77ECD" w14:textId="77777777" w:rsidR="0016581F" w:rsidRPr="002B573E" w:rsidRDefault="0016581F" w:rsidP="0016581F">
      <w:pPr>
        <w:pStyle w:val="Citation-AltC"/>
      </w:pPr>
    </w:p>
    <w:p w14:paraId="19884582" w14:textId="77777777" w:rsidR="0016581F" w:rsidRPr="002B573E" w:rsidRDefault="0016581F" w:rsidP="0016581F">
      <w:pPr>
        <w:pStyle w:val="Citation-AltC"/>
      </w:pPr>
      <w:r w:rsidRPr="002B573E">
        <w:t>Q. Were you able to speak to him in confidence, alone?</w:t>
      </w:r>
    </w:p>
    <w:p w14:paraId="1BDF4733" w14:textId="77777777" w:rsidR="0016581F" w:rsidRPr="002B573E" w:rsidRDefault="0016581F" w:rsidP="0016581F">
      <w:pPr>
        <w:pStyle w:val="Citation-AltC"/>
      </w:pPr>
    </w:p>
    <w:p w14:paraId="5FBB2121" w14:textId="77777777" w:rsidR="0016581F" w:rsidRPr="002B573E" w:rsidRDefault="0016581F" w:rsidP="0016581F">
      <w:pPr>
        <w:pStyle w:val="Citation-AltC"/>
        <w:rPr>
          <w:lang w:val="en-US"/>
        </w:rPr>
      </w:pPr>
      <w:r w:rsidRPr="002B573E">
        <w:t>A. Yes, and he told me to remain silent until he met with me.</w:t>
      </w:r>
    </w:p>
    <w:p w14:paraId="28F2D245" w14:textId="77777777" w:rsidR="0016581F" w:rsidRPr="002B573E" w:rsidRDefault="0016581F" w:rsidP="0016581F">
      <w:pPr>
        <w:pStyle w:val="Citation-AltC"/>
        <w:rPr>
          <w:lang w:val="en-US"/>
        </w:rPr>
      </w:pPr>
    </w:p>
    <w:p w14:paraId="06796E65" w14:textId="77777777" w:rsidR="0016581F" w:rsidRPr="002B573E" w:rsidRDefault="0016581F" w:rsidP="0016581F">
      <w:pPr>
        <w:pStyle w:val="Citation-AltC"/>
        <w:jc w:val="center"/>
        <w:rPr>
          <w:lang w:val="en-US"/>
        </w:rPr>
      </w:pPr>
      <w:r w:rsidRPr="002B573E">
        <w:rPr>
          <w:lang w:val="en-US"/>
        </w:rPr>
        <w:t>. . .</w:t>
      </w:r>
    </w:p>
    <w:p w14:paraId="7B8CDD8C" w14:textId="77777777" w:rsidR="0016581F" w:rsidRPr="002B573E" w:rsidRDefault="0016581F" w:rsidP="0016581F">
      <w:pPr>
        <w:pStyle w:val="Citation-AltC"/>
        <w:rPr>
          <w:lang w:val="en-US"/>
        </w:rPr>
      </w:pPr>
    </w:p>
    <w:p w14:paraId="661C414A" w14:textId="77777777" w:rsidR="0016581F" w:rsidRPr="002B573E" w:rsidRDefault="0016581F" w:rsidP="0016581F">
      <w:pPr>
        <w:pStyle w:val="Citation-AltC"/>
      </w:pPr>
      <w:r w:rsidRPr="002B573E">
        <w:lastRenderedPageBreak/>
        <w:t>Q. . . . So the right to counsel, I’m happy, you were able to exercise your right, that’s perfect. You got advice and that’s the number one thing. I will set that aside. [Underlining added.]</w:t>
      </w:r>
    </w:p>
    <w:p w14:paraId="6501906B" w14:textId="77777777" w:rsidR="0016581F" w:rsidRPr="002B573E" w:rsidRDefault="0016581F" w:rsidP="0016581F">
      <w:pPr>
        <w:pStyle w:val="Citation-AltC"/>
        <w:rPr>
          <w:lang w:val="en-US"/>
        </w:rPr>
      </w:pPr>
    </w:p>
    <w:p w14:paraId="080E3F3A" w14:textId="77777777" w:rsidR="0016581F" w:rsidRPr="002B573E" w:rsidRDefault="0016581F" w:rsidP="0016581F">
      <w:pPr>
        <w:pStyle w:val="Citation-AltC"/>
        <w:rPr>
          <w:lang w:val="en-US"/>
        </w:rPr>
      </w:pPr>
      <w:r w:rsidRPr="002B573E">
        <w:rPr>
          <w:lang w:val="en-US"/>
        </w:rPr>
        <w:t>(A.R., vol. X, at pp. 10-11 and 14-17)</w:t>
      </w:r>
    </w:p>
    <w:p w14:paraId="259C4C32" w14:textId="77777777" w:rsidR="0016581F" w:rsidRPr="002B573E" w:rsidRDefault="0016581F" w:rsidP="0016581F">
      <w:pPr>
        <w:pStyle w:val="ParaNoNdepar-AltN"/>
        <w:tabs>
          <w:tab w:val="clear" w:pos="1152"/>
          <w:tab w:val="left" w:pos="1166"/>
        </w:tabs>
        <w:rPr>
          <w:rFonts w:cs="Times New Roman"/>
        </w:rPr>
      </w:pPr>
      <w:r w:rsidRPr="002B573E">
        <w:rPr>
          <w:rFonts w:cs="Times New Roman"/>
        </w:rPr>
        <w:t>After these exchanges, the interrogation proceeded, and Mr. Dussault made an incriminating statement.</w:t>
      </w:r>
    </w:p>
    <w:p w14:paraId="7823CF83" w14:textId="77777777" w:rsidR="0016581F" w:rsidRPr="002B573E" w:rsidRDefault="0016581F" w:rsidP="0016581F">
      <w:pPr>
        <w:pStyle w:val="Title1LevelTitre1Niveau-AltL"/>
        <w:numPr>
          <w:ilvl w:val="0"/>
          <w:numId w:val="8"/>
        </w:numPr>
        <w:jc w:val="both"/>
        <w:rPr>
          <w:rFonts w:cs="Times New Roman"/>
        </w:rPr>
      </w:pPr>
      <w:r w:rsidRPr="002B573E">
        <w:rPr>
          <w:rFonts w:cs="Times New Roman"/>
        </w:rPr>
        <w:t>Decisions Below</w:t>
      </w:r>
    </w:p>
    <w:p w14:paraId="10DCBB05" w14:textId="77777777" w:rsidR="0016581F" w:rsidRPr="002B573E" w:rsidRDefault="0016581F" w:rsidP="0016581F">
      <w:pPr>
        <w:pStyle w:val="Title2LevelTitre2Niveau"/>
        <w:numPr>
          <w:ilvl w:val="1"/>
          <w:numId w:val="8"/>
        </w:numPr>
        <w:jc w:val="both"/>
        <w:rPr>
          <w:rFonts w:cs="Times New Roman"/>
        </w:rPr>
      </w:pPr>
      <w:r w:rsidRPr="002B573E">
        <w:rPr>
          <w:rFonts w:cs="Times New Roman"/>
        </w:rPr>
        <w:t>Voir Dire, Superior Court of Quebec (Di Salvo</w:t>
      </w:r>
      <w:r w:rsidRPr="002B573E">
        <w:rPr>
          <w:rFonts w:cs="Times New Roman"/>
          <w:i w:val="0"/>
        </w:rPr>
        <w:t> </w:t>
      </w:r>
      <w:r w:rsidRPr="002B573E">
        <w:rPr>
          <w:rFonts w:cs="Times New Roman"/>
        </w:rPr>
        <w:t>J.)</w:t>
      </w:r>
    </w:p>
    <w:p w14:paraId="7EFF6DFA" w14:textId="77777777" w:rsidR="0016581F" w:rsidRPr="002B573E" w:rsidRDefault="0016581F" w:rsidP="0016581F">
      <w:pPr>
        <w:pStyle w:val="ParaNoNdepar-AltN"/>
        <w:rPr>
          <w:rFonts w:cs="Times New Roman"/>
        </w:rPr>
      </w:pPr>
      <w:r w:rsidRPr="002B573E">
        <w:rPr>
          <w:rFonts w:cs="Times New Roman"/>
        </w:rPr>
        <w:t xml:space="preserve">Mr. Dussault moved to exclude the statement on the basis that it was obtained in violation of ss. 7, 10(a), and 10(b) of the </w:t>
      </w:r>
      <w:r w:rsidRPr="002B573E">
        <w:rPr>
          <w:rFonts w:cs="Times New Roman"/>
          <w:i/>
        </w:rPr>
        <w:t>Charter</w:t>
      </w:r>
      <w:r w:rsidRPr="002B573E">
        <w:rPr>
          <w:rFonts w:cs="Times New Roman"/>
        </w:rPr>
        <w:t>. Only the last of these alleged violations is at issue in the present appeal.</w:t>
      </w:r>
    </w:p>
    <w:p w14:paraId="282B14BF" w14:textId="77777777" w:rsidR="0016581F" w:rsidRPr="002B573E" w:rsidRDefault="0016581F" w:rsidP="0016581F">
      <w:pPr>
        <w:pStyle w:val="ParaNoNdepar-AltN"/>
        <w:rPr>
          <w:rFonts w:cs="Times New Roman"/>
          <w:lang w:val="en-US"/>
        </w:rPr>
      </w:pPr>
      <w:r w:rsidRPr="002B573E">
        <w:rPr>
          <w:rFonts w:cs="Times New Roman"/>
        </w:rPr>
        <w:t xml:space="preserve">Defence counsel argued that </w:t>
      </w:r>
      <w:r w:rsidRPr="002B573E">
        <w:rPr>
          <w:rFonts w:cs="Times New Roman"/>
          <w:i/>
        </w:rPr>
        <w:t>Sinclair</w:t>
      </w:r>
      <w:r w:rsidRPr="002B573E">
        <w:rPr>
          <w:rFonts w:cs="Times New Roman"/>
        </w:rPr>
        <w:t>, and in particular para. 52 of this case,</w:t>
      </w:r>
      <w:r w:rsidRPr="002B573E">
        <w:rPr>
          <w:rFonts w:cs="Times New Roman"/>
          <w:i/>
        </w:rPr>
        <w:t xml:space="preserve"> </w:t>
      </w:r>
      <w:r w:rsidRPr="002B573E">
        <w:rPr>
          <w:rFonts w:cs="Times New Roman"/>
        </w:rPr>
        <w:t xml:space="preserve">was the principal governing authority: </w:t>
      </w:r>
    </w:p>
    <w:p w14:paraId="17C79FDB" w14:textId="77777777" w:rsidR="0016581F" w:rsidRPr="002B573E" w:rsidRDefault="0016581F" w:rsidP="0016581F">
      <w:pPr>
        <w:pStyle w:val="Citation-AltC"/>
      </w:pPr>
      <w:r w:rsidRPr="002B573E">
        <w:t>[</w:t>
      </w:r>
      <w:r w:rsidRPr="002B573E">
        <w:rPr>
          <w:smallCaps/>
        </w:rPr>
        <w:t>translation</w:t>
      </w:r>
      <w:r w:rsidRPr="002B573E">
        <w:t>] So we’ll get to the heart of the matter. And here I quote paragraph fifty-two (52), copying my friend. Paragraph fifty-two (52):</w:t>
      </w:r>
    </w:p>
    <w:p w14:paraId="604C5E70" w14:textId="77777777" w:rsidR="0016581F" w:rsidRPr="002B573E" w:rsidRDefault="0016581F" w:rsidP="0016581F">
      <w:pPr>
        <w:pStyle w:val="Citation-AltC"/>
      </w:pPr>
    </w:p>
    <w:p w14:paraId="6CCFCC45" w14:textId="77777777" w:rsidR="0016581F" w:rsidRPr="002B573E" w:rsidRDefault="0016581F" w:rsidP="00EC2129">
      <w:pPr>
        <w:pStyle w:val="Citation-AltC"/>
        <w:spacing w:after="240"/>
        <w:ind w:left="1712" w:right="720"/>
      </w:pPr>
      <w:r w:rsidRPr="002B573E">
        <w:t xml:space="preserve">“More broadly, this may be taken to suggest that circumstances indicating that the detainee may not have understood the initial section ten (b) (10(b)) advice of his right to counsel impose on the police a duty to give him a further opportunity to talk to a lawyer.” </w:t>
      </w:r>
    </w:p>
    <w:p w14:paraId="242A143F" w14:textId="77777777" w:rsidR="00EC2129" w:rsidRDefault="00EC2129" w:rsidP="0016581F">
      <w:pPr>
        <w:pStyle w:val="Citation-AltC"/>
        <w:ind w:right="720"/>
      </w:pPr>
    </w:p>
    <w:p w14:paraId="757E5866" w14:textId="77777777" w:rsidR="0016581F" w:rsidRPr="002B573E" w:rsidRDefault="0016581F" w:rsidP="0016581F">
      <w:pPr>
        <w:pStyle w:val="Citation-AltC"/>
        <w:ind w:right="720"/>
      </w:pPr>
      <w:r w:rsidRPr="002B573E">
        <w:t>(A.R., vol. IX, at p. 67)</w:t>
      </w:r>
    </w:p>
    <w:p w14:paraId="0B124874" w14:textId="77777777" w:rsidR="0016581F" w:rsidRPr="002B573E" w:rsidRDefault="0016581F" w:rsidP="0016581F">
      <w:pPr>
        <w:pStyle w:val="ParaNoNdepar-AltN"/>
        <w:rPr>
          <w:rFonts w:cs="Times New Roman"/>
        </w:rPr>
      </w:pPr>
      <w:r w:rsidRPr="002B573E">
        <w:rPr>
          <w:rFonts w:cs="Times New Roman"/>
        </w:rPr>
        <w:lastRenderedPageBreak/>
        <w:t>Counsel argued that there had been objectively observable circumstances indicating that Mr. Dussault had not understood Mr. Benoît’s initial legal advice. Two such circumstances stood out. The first was Mr. Benoît’s handwritten note, and the second was Mr. Dussault’s statement to the effect that his lawyer had said he was coming to meet with him. In counsel’s view, these circumstances obliged the police to provide Mr. Dussault with a second opportunity to consult with Mr. Benoît.</w:t>
      </w:r>
    </w:p>
    <w:p w14:paraId="5772464F" w14:textId="77777777" w:rsidR="0016581F" w:rsidRPr="002B573E" w:rsidRDefault="0016581F" w:rsidP="0016581F">
      <w:pPr>
        <w:pStyle w:val="ParaNoNdepar-AltN"/>
        <w:rPr>
          <w:rFonts w:cs="Times New Roman"/>
          <w:lang w:val="en-US"/>
        </w:rPr>
      </w:pPr>
      <w:r w:rsidRPr="002B573E">
        <w:rPr>
          <w:rFonts w:cs="Times New Roman"/>
        </w:rPr>
        <w:t>The trial judge rejected this argument and held that the incriminating statement was admissible. She made three significant findings in support of this conclusion:</w:t>
      </w:r>
    </w:p>
    <w:p w14:paraId="56001911" w14:textId="77777777" w:rsidR="0016581F" w:rsidRPr="002B573E" w:rsidRDefault="0016581F" w:rsidP="0016581F">
      <w:pPr>
        <w:pStyle w:val="ParaNoNdepar-AltN"/>
        <w:numPr>
          <w:ilvl w:val="1"/>
          <w:numId w:val="6"/>
        </w:numPr>
        <w:ind w:left="1560"/>
        <w:rPr>
          <w:rFonts w:cs="Times New Roman"/>
          <w:lang w:val="en-US"/>
        </w:rPr>
      </w:pPr>
      <w:r w:rsidRPr="002B573E">
        <w:rPr>
          <w:rFonts w:cs="Times New Roman"/>
        </w:rPr>
        <w:t>first, that Mr. Benoît adequately explained the right to silence;</w:t>
      </w:r>
    </w:p>
    <w:p w14:paraId="5CCE8F3E" w14:textId="77777777" w:rsidR="0016581F" w:rsidRPr="002B573E" w:rsidRDefault="0016581F" w:rsidP="0016581F">
      <w:pPr>
        <w:pStyle w:val="ParaNoNdepar-AltN"/>
        <w:numPr>
          <w:ilvl w:val="1"/>
          <w:numId w:val="6"/>
        </w:numPr>
        <w:ind w:left="1560"/>
        <w:rPr>
          <w:rFonts w:cs="Times New Roman"/>
          <w:lang w:val="en-US"/>
        </w:rPr>
      </w:pPr>
      <w:r w:rsidRPr="002B573E">
        <w:rPr>
          <w:rFonts w:cs="Times New Roman"/>
        </w:rPr>
        <w:t>second, that Mr. Dussault understood Mr. Benoît’s explanation of the right to silence;</w:t>
      </w:r>
    </w:p>
    <w:p w14:paraId="7B5A3734" w14:textId="77777777" w:rsidR="0016581F" w:rsidRPr="002B573E" w:rsidRDefault="0016581F" w:rsidP="0016581F">
      <w:pPr>
        <w:pStyle w:val="ParaNoNdepar-AltN"/>
        <w:numPr>
          <w:ilvl w:val="1"/>
          <w:numId w:val="6"/>
        </w:numPr>
        <w:ind w:left="1560"/>
        <w:rPr>
          <w:rFonts w:cs="Times New Roman"/>
          <w:lang w:val="en-US"/>
        </w:rPr>
      </w:pPr>
      <w:proofErr w:type="gramStart"/>
      <w:r w:rsidRPr="002B573E">
        <w:rPr>
          <w:rFonts w:cs="Times New Roman"/>
          <w:lang w:val="en-US"/>
        </w:rPr>
        <w:t>t</w:t>
      </w:r>
      <w:proofErr w:type="spellStart"/>
      <w:r w:rsidRPr="002B573E">
        <w:rPr>
          <w:rFonts w:cs="Times New Roman"/>
        </w:rPr>
        <w:t>hird</w:t>
      </w:r>
      <w:proofErr w:type="spellEnd"/>
      <w:proofErr w:type="gramEnd"/>
      <w:r w:rsidRPr="002B573E">
        <w:rPr>
          <w:rFonts w:cs="Times New Roman"/>
        </w:rPr>
        <w:t>, that Mr. </w:t>
      </w:r>
      <w:proofErr w:type="spellStart"/>
      <w:r w:rsidRPr="002B573E">
        <w:rPr>
          <w:rFonts w:cs="Times New Roman"/>
        </w:rPr>
        <w:t>Dussault</w:t>
      </w:r>
      <w:proofErr w:type="spellEnd"/>
      <w:r w:rsidRPr="002B573E">
        <w:rPr>
          <w:rFonts w:cs="Times New Roman"/>
        </w:rPr>
        <w:t xml:space="preserve"> did not mention to police that he did not understand the right to silence or his rights more generally. </w:t>
      </w:r>
    </w:p>
    <w:p w14:paraId="4F04C57E" w14:textId="77777777" w:rsidR="0016581F" w:rsidRPr="002B573E" w:rsidRDefault="0016581F" w:rsidP="0016581F">
      <w:pPr>
        <w:pStyle w:val="ParaNoNdepar-AltN"/>
        <w:numPr>
          <w:ilvl w:val="0"/>
          <w:numId w:val="0"/>
        </w:numPr>
        <w:rPr>
          <w:rFonts w:cs="Times New Roman"/>
          <w:lang w:val="en-US"/>
        </w:rPr>
      </w:pPr>
      <w:r w:rsidRPr="002B573E">
        <w:rPr>
          <w:rFonts w:cs="Times New Roman"/>
          <w:lang w:val="en-US"/>
        </w:rPr>
        <w:t xml:space="preserve">Based on these conclusions, and in consideration of all the evidence, the trial judge found that Mr. Dussault had exercised his right to counsel, and that the police </w:t>
      </w:r>
      <w:r w:rsidRPr="002B573E">
        <w:rPr>
          <w:rFonts w:cs="Times New Roman"/>
        </w:rPr>
        <w:t>[</w:t>
      </w:r>
      <w:r w:rsidRPr="002B573E">
        <w:rPr>
          <w:rFonts w:cs="Times New Roman"/>
          <w:smallCaps/>
        </w:rPr>
        <w:t>translation</w:t>
      </w:r>
      <w:r w:rsidRPr="002B573E">
        <w:rPr>
          <w:rFonts w:cs="Times New Roman"/>
        </w:rPr>
        <w:t>] “could reasonably assume”</w:t>
      </w:r>
      <w:r w:rsidRPr="002B573E">
        <w:rPr>
          <w:rFonts w:cs="Times New Roman"/>
          <w:lang w:val="en-US"/>
        </w:rPr>
        <w:t xml:space="preserve"> that he had done so in a satisfactory manner: </w:t>
      </w:r>
      <w:r w:rsidRPr="002B573E">
        <w:rPr>
          <w:rFonts w:cs="Times New Roman"/>
          <w:i/>
          <w:lang w:val="en-US"/>
        </w:rPr>
        <w:t>voir dire</w:t>
      </w:r>
      <w:r w:rsidRPr="002B573E">
        <w:rPr>
          <w:rFonts w:cs="Times New Roman"/>
          <w:lang w:val="en-US"/>
        </w:rPr>
        <w:t xml:space="preserve"> decision, reproduced in A.R., vol. I, at p. 19. They were not obligated to provide a second opportunity.</w:t>
      </w:r>
    </w:p>
    <w:p w14:paraId="05195981" w14:textId="77777777" w:rsidR="0016581F" w:rsidRPr="002B573E" w:rsidRDefault="0016581F" w:rsidP="0016581F">
      <w:pPr>
        <w:pStyle w:val="Title2LevelTitre2Niveau"/>
        <w:numPr>
          <w:ilvl w:val="1"/>
          <w:numId w:val="8"/>
        </w:numPr>
        <w:jc w:val="both"/>
        <w:rPr>
          <w:rFonts w:cs="Times New Roman"/>
          <w:i w:val="0"/>
          <w:lang w:val="en-US"/>
        </w:rPr>
      </w:pPr>
      <w:r w:rsidRPr="002B573E">
        <w:rPr>
          <w:rFonts w:cs="Times New Roman"/>
          <w:lang w:val="en-US"/>
        </w:rPr>
        <w:lastRenderedPageBreak/>
        <w:t>Court of Appeal of Quebec, 2020 QCCA 746, 388 C.C.C. (3d) 362 (Bich, Bouchard and Healy JJ.A.)</w:t>
      </w:r>
    </w:p>
    <w:p w14:paraId="388B5E77" w14:textId="77777777" w:rsidR="0016581F" w:rsidRPr="002B573E" w:rsidRDefault="0016581F" w:rsidP="0016581F">
      <w:pPr>
        <w:pStyle w:val="ParaNoNdepar-AltN"/>
        <w:rPr>
          <w:rFonts w:cs="Times New Roman"/>
          <w:lang w:val="en-US"/>
        </w:rPr>
      </w:pPr>
      <w:r w:rsidRPr="002B573E">
        <w:rPr>
          <w:rFonts w:cs="Times New Roman"/>
          <w:lang w:val="en-US"/>
        </w:rPr>
        <w:t>Mr. Dussault pled guilty to the charge of arson and was convicted by a jury on the charge of second degree murder. He appealed from the murder conviction on the basis that the trial judge erred in dismissing his motion to exclude the incriminating statement. The Court of Appeal unanimously allowed the appeal, quashed the verdict, and ordered a new trial.</w:t>
      </w:r>
    </w:p>
    <w:p w14:paraId="55B3C256" w14:textId="77777777" w:rsidR="0016581F" w:rsidRPr="002B573E" w:rsidRDefault="0016581F" w:rsidP="0016581F">
      <w:pPr>
        <w:pStyle w:val="ParaNoNdepar-AltN"/>
        <w:rPr>
          <w:rFonts w:cs="Times New Roman"/>
          <w:lang w:val="en-US"/>
        </w:rPr>
      </w:pPr>
      <w:r w:rsidRPr="002B573E">
        <w:rPr>
          <w:rFonts w:cs="Times New Roman"/>
          <w:lang w:val="en-US"/>
        </w:rPr>
        <w:t xml:space="preserve">The central issue, as framed by the Court of Appeal, was whether Mr. Dussault’s telephone call with Mr. Benoît constituted a complete consultation for the purposes of s. 10(b). If the answer was yes, the </w:t>
      </w:r>
      <w:r w:rsidRPr="002B573E">
        <w:rPr>
          <w:rFonts w:cs="Times New Roman"/>
          <w:i/>
          <w:lang w:val="en-US"/>
        </w:rPr>
        <w:t xml:space="preserve">Sinclair </w:t>
      </w:r>
      <w:r w:rsidRPr="002B573E">
        <w:rPr>
          <w:rFonts w:cs="Times New Roman"/>
          <w:lang w:val="en-US"/>
        </w:rPr>
        <w:t>framework would govern the appeal; Mr. Dussault could succeed only by showing that an objectively observable change in circumstances had “</w:t>
      </w:r>
      <w:proofErr w:type="spellStart"/>
      <w:r w:rsidRPr="002B573E">
        <w:rPr>
          <w:rFonts w:cs="Times New Roman"/>
          <w:lang w:val="en-US"/>
        </w:rPr>
        <w:t>reviv</w:t>
      </w:r>
      <w:proofErr w:type="spellEnd"/>
      <w:r w:rsidRPr="002B573E">
        <w:rPr>
          <w:rFonts w:cs="Times New Roman"/>
          <w:lang w:val="en-US"/>
        </w:rPr>
        <w:t>[</w:t>
      </w:r>
      <w:proofErr w:type="spellStart"/>
      <w:r w:rsidRPr="002B573E">
        <w:rPr>
          <w:rFonts w:cs="Times New Roman"/>
          <w:lang w:val="en-US"/>
        </w:rPr>
        <w:t>ed</w:t>
      </w:r>
      <w:proofErr w:type="spellEnd"/>
      <w:r w:rsidRPr="002B573E">
        <w:rPr>
          <w:rFonts w:cs="Times New Roman"/>
          <w:lang w:val="en-US"/>
        </w:rPr>
        <w:t xml:space="preserve">]” his right to counsel: para. 38. If, however, the telephone conversation was </w:t>
      </w:r>
      <w:r w:rsidRPr="002B573E">
        <w:rPr>
          <w:rFonts w:cs="Times New Roman"/>
          <w:i/>
          <w:lang w:val="en-US"/>
        </w:rPr>
        <w:t xml:space="preserve">not </w:t>
      </w:r>
      <w:r w:rsidRPr="002B573E">
        <w:rPr>
          <w:rFonts w:cs="Times New Roman"/>
          <w:lang w:val="en-US"/>
        </w:rPr>
        <w:t xml:space="preserve">a complete consultation, the Court of Appeal’s decision in </w:t>
      </w:r>
      <w:r w:rsidRPr="002B573E">
        <w:rPr>
          <w:rFonts w:cs="Times New Roman"/>
          <w:i/>
          <w:lang w:val="en-US"/>
        </w:rPr>
        <w:t>Stevens v. R.</w:t>
      </w:r>
      <w:r w:rsidRPr="002B573E">
        <w:rPr>
          <w:rFonts w:cs="Times New Roman"/>
          <w:lang w:val="en-US"/>
        </w:rPr>
        <w:t xml:space="preserve">, 2016 QCCA 1707, would govern the outcome. The Court of Appeal in this case interpreted </w:t>
      </w:r>
      <w:r w:rsidRPr="002B573E">
        <w:rPr>
          <w:rFonts w:cs="Times New Roman"/>
          <w:i/>
          <w:lang w:val="en-US"/>
        </w:rPr>
        <w:t xml:space="preserve">Stevens </w:t>
      </w:r>
      <w:r w:rsidRPr="002B573E">
        <w:rPr>
          <w:rFonts w:cs="Times New Roman"/>
          <w:lang w:val="en-US"/>
        </w:rPr>
        <w:t>as standing for the proposition that s. 10(b) guarantees the right to, and requires police to facilitate, the “effective” assistance of counsel: para. 36.</w:t>
      </w:r>
    </w:p>
    <w:p w14:paraId="6C33458A" w14:textId="77777777" w:rsidR="0016581F" w:rsidRPr="002B573E" w:rsidRDefault="0016581F" w:rsidP="0016581F">
      <w:pPr>
        <w:pStyle w:val="ParaNoNdepar-AltN"/>
        <w:rPr>
          <w:rFonts w:cs="Times New Roman"/>
          <w:lang w:val="en-US"/>
        </w:rPr>
      </w:pPr>
      <w:r w:rsidRPr="002B573E">
        <w:rPr>
          <w:rFonts w:cs="Times New Roman"/>
          <w:lang w:val="en-US"/>
        </w:rPr>
        <w:t xml:space="preserve">The court concluded that the telephone conversation was not a complete consultation and that the police “were fully aware that [Mr. Dussault] and his counsel expected the consultation to continue”: para. 35. The police denied the effective assistance of counsel, and thereby breached Mr. Dussault’s s. 10(b) right, when they </w:t>
      </w:r>
      <w:r w:rsidRPr="002B573E">
        <w:rPr>
          <w:rFonts w:cs="Times New Roman"/>
          <w:lang w:val="en-US"/>
        </w:rPr>
        <w:lastRenderedPageBreak/>
        <w:t xml:space="preserve">“determined not to permit a continuation of the consultation that began on the telephone”: para. 36. The court excluded Mr. Dussault’s incriminating statement under s. 24(2) of the </w:t>
      </w:r>
      <w:r w:rsidRPr="002B573E">
        <w:rPr>
          <w:rFonts w:cs="Times New Roman"/>
          <w:i/>
          <w:lang w:val="en-US"/>
        </w:rPr>
        <w:t xml:space="preserve">Charter </w:t>
      </w:r>
      <w:r w:rsidRPr="002B573E">
        <w:rPr>
          <w:rFonts w:cs="Times New Roman"/>
          <w:lang w:val="en-US"/>
        </w:rPr>
        <w:t>and ordered a new trial.</w:t>
      </w:r>
    </w:p>
    <w:p w14:paraId="05FFB958" w14:textId="77777777" w:rsidR="0016581F" w:rsidRPr="002B573E" w:rsidRDefault="0016581F" w:rsidP="0016581F">
      <w:pPr>
        <w:pStyle w:val="ParaNoNdepar-AltN"/>
        <w:rPr>
          <w:rFonts w:cs="Times New Roman"/>
          <w:lang w:val="en-US"/>
        </w:rPr>
      </w:pPr>
      <w:r w:rsidRPr="002B573E">
        <w:rPr>
          <w:rFonts w:cs="Times New Roman"/>
          <w:lang w:val="en-US"/>
        </w:rPr>
        <w:t>The reasons of the Court of Appeal depart markedly from those of the trial judge in terms of their characterization of the conduct of the police. Whereas the trial judge concluded that the police could reasonably presume that Mr. Dussault had exercised his right to counsel, the Court of Appeal found that the police had deliberately and concertedly attempted to frustrate the effective exercise of that right: see, e.g., para. 40. This difference in view of the police conduct appears to result from their different legal conclusions about whether the police were entitled to presume that the right to counsel was exhausted at the end of the phone conversation.</w:t>
      </w:r>
    </w:p>
    <w:p w14:paraId="3E762256" w14:textId="77777777" w:rsidR="0016581F" w:rsidRPr="002B573E" w:rsidRDefault="0016581F" w:rsidP="0016581F">
      <w:pPr>
        <w:pStyle w:val="Title1LevelTitre1Niveau-AltL"/>
        <w:numPr>
          <w:ilvl w:val="0"/>
          <w:numId w:val="8"/>
        </w:numPr>
        <w:jc w:val="both"/>
        <w:rPr>
          <w:rFonts w:cs="Times New Roman"/>
        </w:rPr>
      </w:pPr>
      <w:r w:rsidRPr="002B573E">
        <w:rPr>
          <w:rFonts w:cs="Times New Roman"/>
        </w:rPr>
        <w:t>Analysis</w:t>
      </w:r>
    </w:p>
    <w:p w14:paraId="55100E04" w14:textId="77777777" w:rsidR="0016581F" w:rsidRPr="002B573E" w:rsidRDefault="0016581F" w:rsidP="0016581F">
      <w:pPr>
        <w:pStyle w:val="ParaNoNdepar-AltN"/>
        <w:rPr>
          <w:rFonts w:cs="Times New Roman"/>
        </w:rPr>
      </w:pPr>
      <w:r w:rsidRPr="002B573E">
        <w:rPr>
          <w:rFonts w:cs="Times New Roman"/>
        </w:rPr>
        <w:t xml:space="preserve">The only issue in this appeal is whether the factual findings of the trial judge support the legal conclusion that the police provided Mr. Dussault with a reasonable opportunity to consult counsel. This calls for an assessment of whether a legal standard was met and therefore amounts to a question of law that is reviewed for correctness: </w:t>
      </w:r>
      <w:r w:rsidRPr="002B573E">
        <w:rPr>
          <w:rFonts w:cs="Times New Roman"/>
          <w:i/>
        </w:rPr>
        <w:t>R. v. Shepherd</w:t>
      </w:r>
      <w:r w:rsidRPr="002B573E">
        <w:rPr>
          <w:rFonts w:cs="Times New Roman"/>
        </w:rPr>
        <w:t>, 2009 SCC 35, [2009] 2 S.C.R. 527, at para. 20.</w:t>
      </w:r>
    </w:p>
    <w:p w14:paraId="63F681F3" w14:textId="77777777" w:rsidR="0016581F" w:rsidRPr="002B573E" w:rsidRDefault="0016581F" w:rsidP="0016581F">
      <w:pPr>
        <w:pStyle w:val="ParaNoNdepar-AltN"/>
        <w:rPr>
          <w:rFonts w:cs="Times New Roman"/>
        </w:rPr>
      </w:pPr>
      <w:r w:rsidRPr="002B573E">
        <w:rPr>
          <w:rFonts w:cs="Times New Roman"/>
        </w:rPr>
        <w:t>In my opinion, the police failed to provide Mr. Dussault with a reasonable opportunity to consult counsel. I would therefore dismiss the appeal. My reasons for reaching this conclusion, however, differ from those of the Court of Appeal.</w:t>
      </w:r>
    </w:p>
    <w:p w14:paraId="02E42099" w14:textId="77777777" w:rsidR="0016581F" w:rsidRPr="002B573E" w:rsidRDefault="0016581F" w:rsidP="0016581F">
      <w:pPr>
        <w:pStyle w:val="ParaNoNdepar-AltN"/>
        <w:rPr>
          <w:rFonts w:cs="Times New Roman"/>
        </w:rPr>
      </w:pPr>
      <w:r w:rsidRPr="002B573E">
        <w:rPr>
          <w:rFonts w:cs="Times New Roman"/>
        </w:rPr>
        <w:lastRenderedPageBreak/>
        <w:t>For reasons which will become apparent, I find it unnecessary to decide whether the police were entitled to presume that the phone conversation constituted a “complete” consultation. Nor is it necessary to resolve the discrepancy between the characterization of the police conduct in the reasons of the trial judge and those of the Court of Appeal. Suffice it to say that I have serious reservations about the Court of Appeal’s characterization of the police conduct to the extent that it could be understood as suggesting that the police knowingly violated Mr. Dussault’s right to counsel.</w:t>
      </w:r>
    </w:p>
    <w:p w14:paraId="04C32E7B" w14:textId="77777777" w:rsidR="0016581F" w:rsidRPr="002B573E" w:rsidRDefault="0016581F" w:rsidP="0016581F">
      <w:pPr>
        <w:pStyle w:val="ParaNoNdepar-AltN"/>
        <w:rPr>
          <w:rFonts w:cs="Times New Roman"/>
        </w:rPr>
      </w:pPr>
      <w:r w:rsidRPr="002B573E">
        <w:rPr>
          <w:rFonts w:cs="Times New Roman"/>
        </w:rPr>
        <w:t xml:space="preserve">As I see it, the principles set out in </w:t>
      </w:r>
      <w:r w:rsidRPr="002B573E">
        <w:rPr>
          <w:rFonts w:cs="Times New Roman"/>
          <w:i/>
        </w:rPr>
        <w:t xml:space="preserve">Sinclair </w:t>
      </w:r>
      <w:r w:rsidRPr="002B573E">
        <w:rPr>
          <w:rFonts w:cs="Times New Roman"/>
        </w:rPr>
        <w:t xml:space="preserve">suffice to resolve this appeal. </w:t>
      </w:r>
      <w:r w:rsidRPr="002B573E">
        <w:rPr>
          <w:rFonts w:cs="Times New Roman"/>
          <w:i/>
        </w:rPr>
        <w:t>Sinclair</w:t>
      </w:r>
      <w:r w:rsidRPr="002B573E">
        <w:rPr>
          <w:rFonts w:cs="Times New Roman"/>
        </w:rPr>
        <w:t xml:space="preserve"> states that the police must provide a detainee with a second opportunity to consult counsel where there are “objectively observable” indicators that their conduct has undermined the legal advice that was provided during the first consultation: para. 55. On the facts of the present appeal, there were objectively observable indicators that the conduct of the police had had the effect of undermining the legal advice that Mr. Benoît provided to Mr. Dussault during their telephone call. Therefore, even if the call was a complete consultation, this was one of those rare cases in which the police were obligated to provide a detainee with a second opportunity to consult counsel. In failing to provide that opportunity to Mr. Dussault, they breached his s. 10(b) rights.</w:t>
      </w:r>
    </w:p>
    <w:p w14:paraId="4EDACE32" w14:textId="77777777" w:rsidR="0016581F" w:rsidRPr="002B573E" w:rsidRDefault="0016581F" w:rsidP="0016581F">
      <w:pPr>
        <w:pStyle w:val="Title2LevelTitre2Niveau"/>
        <w:numPr>
          <w:ilvl w:val="1"/>
          <w:numId w:val="8"/>
        </w:numPr>
        <w:jc w:val="both"/>
        <w:rPr>
          <w:rFonts w:cs="Times New Roman"/>
        </w:rPr>
      </w:pPr>
      <w:r w:rsidRPr="002B573E">
        <w:rPr>
          <w:rFonts w:cs="Times New Roman"/>
        </w:rPr>
        <w:t>The Legal Principles</w:t>
      </w:r>
    </w:p>
    <w:p w14:paraId="3B2536C3" w14:textId="77777777" w:rsidR="0016581F" w:rsidRPr="002B573E" w:rsidRDefault="0016581F" w:rsidP="0016581F">
      <w:pPr>
        <w:pStyle w:val="Title3LevelTitre3Niveau"/>
        <w:numPr>
          <w:ilvl w:val="2"/>
          <w:numId w:val="8"/>
        </w:numPr>
        <w:jc w:val="both"/>
        <w:rPr>
          <w:rFonts w:cs="Times New Roman"/>
        </w:rPr>
      </w:pPr>
      <w:r w:rsidRPr="002B573E">
        <w:rPr>
          <w:rFonts w:cs="Times New Roman"/>
          <w:i/>
        </w:rPr>
        <w:t xml:space="preserve">Sinclair </w:t>
      </w:r>
      <w:r w:rsidRPr="002B573E">
        <w:rPr>
          <w:rFonts w:cs="Times New Roman"/>
        </w:rPr>
        <w:t>and the Right to a Second Consultation</w:t>
      </w:r>
    </w:p>
    <w:p w14:paraId="1DB2A2E5" w14:textId="77777777" w:rsidR="0016581F" w:rsidRPr="002B573E" w:rsidRDefault="0016581F" w:rsidP="0016581F">
      <w:pPr>
        <w:pStyle w:val="ParaNoNdepar-AltN"/>
        <w:rPr>
          <w:rFonts w:cs="Times New Roman"/>
        </w:rPr>
      </w:pPr>
      <w:r w:rsidRPr="002B573E">
        <w:rPr>
          <w:rFonts w:cs="Times New Roman"/>
        </w:rPr>
        <w:lastRenderedPageBreak/>
        <w:t xml:space="preserve">Section 10(b) of the </w:t>
      </w:r>
      <w:r w:rsidRPr="002B573E">
        <w:rPr>
          <w:rFonts w:cs="Times New Roman"/>
          <w:i/>
        </w:rPr>
        <w:t>Charter</w:t>
      </w:r>
      <w:r w:rsidRPr="002B573E">
        <w:rPr>
          <w:rFonts w:cs="Times New Roman"/>
        </w:rPr>
        <w:t xml:space="preserve"> provides that everyone has the right on arrest or detention “to retain and instruct counsel without delay and to be informed of that right”. Stated at its broadest, the purpose of the right to counsel “is to provide a detainee with an opportunity to obtain legal advice relevant to his legal situation”: </w:t>
      </w:r>
      <w:r w:rsidRPr="002B573E">
        <w:rPr>
          <w:rFonts w:cs="Times New Roman"/>
          <w:i/>
        </w:rPr>
        <w:t>Sinclair</w:t>
      </w:r>
      <w:r w:rsidRPr="002B573E">
        <w:rPr>
          <w:rFonts w:cs="Times New Roman"/>
        </w:rPr>
        <w:t>, at para. 24.</w:t>
      </w:r>
    </w:p>
    <w:p w14:paraId="691FECAD" w14:textId="77777777" w:rsidR="0016581F" w:rsidRPr="002B573E" w:rsidRDefault="0016581F" w:rsidP="0016581F">
      <w:pPr>
        <w:pStyle w:val="ParaNoNdepar-AltN"/>
        <w:rPr>
          <w:rFonts w:cs="Times New Roman"/>
        </w:rPr>
      </w:pPr>
      <w:r w:rsidRPr="002B573E">
        <w:rPr>
          <w:rFonts w:cs="Times New Roman"/>
        </w:rPr>
        <w:t xml:space="preserve">Section 10(b) places corresponding obligations on the state. Police must inform detainees of the right to counsel (the informational duty) and must provide detainees who invoke this right with a reasonable opportunity to exercise it (the implementational duty). Failure to comply with either duty results in a breach of s. 10(b): </w:t>
      </w:r>
      <w:r w:rsidRPr="002B573E">
        <w:rPr>
          <w:rFonts w:cs="Times New Roman"/>
          <w:i/>
        </w:rPr>
        <w:t>Sinclair</w:t>
      </w:r>
      <w:r w:rsidRPr="002B573E">
        <w:rPr>
          <w:rFonts w:cs="Times New Roman"/>
        </w:rPr>
        <w:t xml:space="preserve">, at para. 27, citing </w:t>
      </w:r>
      <w:r w:rsidRPr="002B573E">
        <w:rPr>
          <w:rFonts w:cs="Times New Roman"/>
          <w:i/>
        </w:rPr>
        <w:t xml:space="preserve">R. v. </w:t>
      </w:r>
      <w:proofErr w:type="spellStart"/>
      <w:r w:rsidRPr="002B573E">
        <w:rPr>
          <w:rFonts w:cs="Times New Roman"/>
          <w:i/>
        </w:rPr>
        <w:t>Manninen</w:t>
      </w:r>
      <w:proofErr w:type="spellEnd"/>
      <w:r w:rsidRPr="002B573E">
        <w:rPr>
          <w:rFonts w:cs="Times New Roman"/>
        </w:rPr>
        <w:t>, [1987] 1 S.C.R. 1233.</w:t>
      </w:r>
    </w:p>
    <w:p w14:paraId="08C79F9D" w14:textId="77777777" w:rsidR="0016581F" w:rsidRPr="002B573E" w:rsidRDefault="0016581F" w:rsidP="0016581F">
      <w:pPr>
        <w:pStyle w:val="ParaNoNdepar-AltN"/>
        <w:rPr>
          <w:rFonts w:cs="Times New Roman"/>
        </w:rPr>
      </w:pPr>
      <w:r w:rsidRPr="002B573E">
        <w:rPr>
          <w:rFonts w:cs="Times New Roman"/>
        </w:rPr>
        <w:t xml:space="preserve">Police can typically discharge their implementational duty by facilitating “a single consultation at the time of detention or shortly thereafter”: </w:t>
      </w:r>
      <w:r w:rsidRPr="002B573E">
        <w:rPr>
          <w:rFonts w:cs="Times New Roman"/>
          <w:i/>
        </w:rPr>
        <w:t>Sinclair</w:t>
      </w:r>
      <w:r w:rsidRPr="002B573E">
        <w:rPr>
          <w:rFonts w:cs="Times New Roman"/>
        </w:rPr>
        <w:t>,</w:t>
      </w:r>
      <w:r w:rsidRPr="002B573E">
        <w:rPr>
          <w:rFonts w:cs="Times New Roman"/>
          <w:i/>
        </w:rPr>
        <w:t xml:space="preserve"> </w:t>
      </w:r>
      <w:r w:rsidRPr="002B573E">
        <w:rPr>
          <w:rFonts w:cs="Times New Roman"/>
        </w:rPr>
        <w:t xml:space="preserve">at para. 47. In this context, the consultation is meant to ensure that “the detainee’s decision to cooperate with the investigation or decline to do so is free and informed”: para. 26. A few minutes on the phone with a lawyer may suffice, even for very serious charges: see, e.g., </w:t>
      </w:r>
      <w:r w:rsidRPr="002B573E">
        <w:rPr>
          <w:rFonts w:cs="Times New Roman"/>
          <w:i/>
        </w:rPr>
        <w:t>R. v. Willier</w:t>
      </w:r>
      <w:r w:rsidRPr="002B573E">
        <w:rPr>
          <w:rFonts w:cs="Times New Roman"/>
        </w:rPr>
        <w:t>, 2010 SCC 37</w:t>
      </w:r>
      <w:r w:rsidRPr="002B573E">
        <w:rPr>
          <w:rFonts w:cs="Times New Roman"/>
          <w:lang w:bidi="en-US"/>
        </w:rPr>
        <w:t>, [2010] 2 S.C.R. 429</w:t>
      </w:r>
      <w:r w:rsidRPr="002B573E">
        <w:rPr>
          <w:rFonts w:cs="Times New Roman"/>
        </w:rPr>
        <w:t>.</w:t>
      </w:r>
    </w:p>
    <w:p w14:paraId="6D42F9B0" w14:textId="77777777" w:rsidR="0016581F" w:rsidRPr="002B573E" w:rsidRDefault="0016581F" w:rsidP="0016581F">
      <w:pPr>
        <w:pStyle w:val="ParaNoNdepar-AltN"/>
        <w:rPr>
          <w:rFonts w:cs="Times New Roman"/>
        </w:rPr>
      </w:pPr>
      <w:r w:rsidRPr="002B573E">
        <w:rPr>
          <w:rFonts w:cs="Times New Roman"/>
        </w:rPr>
        <w:t xml:space="preserve">On this point, it is worth reiterating what the </w:t>
      </w:r>
      <w:r w:rsidRPr="002B573E">
        <w:rPr>
          <w:rFonts w:cs="Times New Roman"/>
          <w:i/>
        </w:rPr>
        <w:t xml:space="preserve">Sinclair </w:t>
      </w:r>
      <w:r w:rsidRPr="002B573E">
        <w:rPr>
          <w:rFonts w:cs="Times New Roman"/>
        </w:rPr>
        <w:t xml:space="preserve">majority made clear: Detainees do not have a right to obtain, and police do not have a duty to facilitate, the continuous assistance of counsel. Although other jurisdictions recognize a right to have counsel present throughout a police interview, that is not the law in Canada. Canadian courts and legislatures have taken a different approach to reconciling the personal rights </w:t>
      </w:r>
      <w:r w:rsidRPr="002B573E">
        <w:rPr>
          <w:rFonts w:cs="Times New Roman"/>
        </w:rPr>
        <w:lastRenderedPageBreak/>
        <w:t xml:space="preserve">of detainees with the public interest in effective law enforcement: </w:t>
      </w:r>
      <w:r w:rsidRPr="002B573E">
        <w:rPr>
          <w:rFonts w:cs="Times New Roman"/>
          <w:i/>
        </w:rPr>
        <w:t>Sinclair</w:t>
      </w:r>
      <w:r w:rsidRPr="002B573E">
        <w:rPr>
          <w:rFonts w:cs="Times New Roman"/>
        </w:rPr>
        <w:t>,</w:t>
      </w:r>
      <w:r w:rsidRPr="002B573E">
        <w:rPr>
          <w:rFonts w:cs="Times New Roman"/>
          <w:i/>
        </w:rPr>
        <w:t xml:space="preserve"> </w:t>
      </w:r>
      <w:r w:rsidRPr="002B573E">
        <w:rPr>
          <w:rFonts w:cs="Times New Roman"/>
        </w:rPr>
        <w:t>at paras. 37</w:t>
      </w:r>
      <w:r w:rsidRPr="002B573E">
        <w:rPr>
          <w:rFonts w:cs="Times New Roman"/>
        </w:rPr>
        <w:noBreakHyphen/>
        <w:t>39.</w:t>
      </w:r>
    </w:p>
    <w:p w14:paraId="3D71C2DC" w14:textId="77777777" w:rsidR="0016581F" w:rsidRPr="002B573E" w:rsidRDefault="0016581F" w:rsidP="0016581F">
      <w:pPr>
        <w:pStyle w:val="ParaNoNdepar-AltN"/>
        <w:rPr>
          <w:rFonts w:cs="Times New Roman"/>
        </w:rPr>
      </w:pPr>
      <w:r w:rsidRPr="002B573E">
        <w:rPr>
          <w:rFonts w:cs="Times New Roman"/>
        </w:rPr>
        <w:t xml:space="preserve">Once a detainee has consulted with counsel, the police are entitled to begin eliciting evidence and are only exceptionally obligated to provide a further opportunity to receive legal advice. In </w:t>
      </w:r>
      <w:r w:rsidRPr="002B573E">
        <w:rPr>
          <w:rFonts w:cs="Times New Roman"/>
          <w:i/>
        </w:rPr>
        <w:t>Sinclair</w:t>
      </w:r>
      <w:r w:rsidRPr="002B573E">
        <w:rPr>
          <w:rFonts w:cs="Times New Roman"/>
        </w:rPr>
        <w:t>, McLachlin C.J. and Charron J., writing for the majority, explained that the law has thus far recognized three categories of “changed circumstances” that can renew a detainee’s right to consult counsel: “. . . new procedures involving the detainee; a change in the jeopardy facing the detainee; or reason to believe that the first information provided was deficient” (para. 2). Of course, for any of these “changed circumstances” to give rise to a right to reconsult, they must be “objectively observable”.</w:t>
      </w:r>
    </w:p>
    <w:p w14:paraId="504D3761" w14:textId="77777777" w:rsidR="0016581F" w:rsidRPr="002B573E" w:rsidRDefault="0016581F" w:rsidP="0016581F">
      <w:pPr>
        <w:pStyle w:val="ParaNoNdepar-AltN"/>
        <w:rPr>
          <w:rFonts w:cs="Times New Roman"/>
        </w:rPr>
      </w:pPr>
      <w:r w:rsidRPr="002B573E">
        <w:rPr>
          <w:rFonts w:cs="Times New Roman"/>
        </w:rPr>
        <w:t>As a specific example of the third category listed above, the majority explained, at para. 52, that the right to counsel may be renewed if police “undermine” the legal advice that the detainee has received:</w:t>
      </w:r>
    </w:p>
    <w:p w14:paraId="3D526CB0" w14:textId="77777777" w:rsidR="0016581F" w:rsidRPr="002B573E" w:rsidRDefault="0016581F" w:rsidP="0016581F">
      <w:pPr>
        <w:pStyle w:val="Citation-AltC"/>
      </w:pPr>
      <w:r w:rsidRPr="002B573E">
        <w:t>Similarly, if the police undermine the legal advice that the detainee has received, this may have the effect of distorting or nullifying it. This undercuts the purpose of s. 10(</w:t>
      </w:r>
      <w:r w:rsidRPr="002B573E">
        <w:rPr>
          <w:i/>
        </w:rPr>
        <w:t>b</w:t>
      </w:r>
      <w:r w:rsidRPr="002B573E">
        <w:t>). In order to counteract this effect, it has been found necessary to give the detainee a further right to consult counsel. See [</w:t>
      </w:r>
      <w:r w:rsidRPr="002B573E">
        <w:rPr>
          <w:i/>
        </w:rPr>
        <w:t>R.</w:t>
      </w:r>
      <w:r w:rsidRPr="002B573E">
        <w:t xml:space="preserve"> </w:t>
      </w:r>
      <w:r w:rsidRPr="002B573E">
        <w:rPr>
          <w:i/>
        </w:rPr>
        <w:t>v.</w:t>
      </w:r>
      <w:r w:rsidRPr="002B573E">
        <w:t xml:space="preserve">] </w:t>
      </w:r>
      <w:proofErr w:type="gramStart"/>
      <w:r w:rsidRPr="002B573E">
        <w:rPr>
          <w:i/>
        </w:rPr>
        <w:t>Burlingham</w:t>
      </w:r>
      <w:r w:rsidRPr="002B573E">
        <w:t>[</w:t>
      </w:r>
      <w:proofErr w:type="gramEnd"/>
      <w:r w:rsidRPr="002B573E">
        <w:t>, [1995] 2 S.C.R. 206].</w:t>
      </w:r>
    </w:p>
    <w:p w14:paraId="1E207DB9" w14:textId="77777777" w:rsidR="0016581F" w:rsidRPr="002B573E" w:rsidRDefault="0016581F" w:rsidP="0016581F">
      <w:pPr>
        <w:pStyle w:val="Title3LevelTitre3Niveau"/>
        <w:numPr>
          <w:ilvl w:val="2"/>
          <w:numId w:val="8"/>
        </w:numPr>
        <w:jc w:val="both"/>
        <w:rPr>
          <w:rFonts w:cs="Times New Roman"/>
        </w:rPr>
      </w:pPr>
      <w:r w:rsidRPr="002B573E">
        <w:rPr>
          <w:rFonts w:cs="Times New Roman"/>
        </w:rPr>
        <w:t>Undermining Legal Advice Includes Undermining Confidence in Counsel</w:t>
      </w:r>
    </w:p>
    <w:p w14:paraId="5F83D741" w14:textId="77777777" w:rsidR="0016581F" w:rsidRPr="002B573E" w:rsidRDefault="0016581F" w:rsidP="0016581F">
      <w:pPr>
        <w:pStyle w:val="ParaNoNdepar-AltN"/>
        <w:rPr>
          <w:rFonts w:cs="Times New Roman"/>
        </w:rPr>
      </w:pPr>
      <w:r w:rsidRPr="002B573E">
        <w:rPr>
          <w:rFonts w:cs="Times New Roman"/>
        </w:rPr>
        <w:lastRenderedPageBreak/>
        <w:t xml:space="preserve">The majority in </w:t>
      </w:r>
      <w:r w:rsidRPr="002B573E">
        <w:rPr>
          <w:rFonts w:cs="Times New Roman"/>
          <w:i/>
        </w:rPr>
        <w:t>Sinclair</w:t>
      </w:r>
      <w:r w:rsidRPr="002B573E">
        <w:rPr>
          <w:rFonts w:cs="Times New Roman"/>
        </w:rPr>
        <w:t xml:space="preserve"> did not expand on the type of police conduct that could “undermine the legal advice that the detainee has received” and thereby give rise to a renewed right to consult counsel. In this context, care must be taken in defining the term “undermine”. It is clear, for instance, that if this term is defined too broadly, it would prevent police from attempting in any way to convince a detainee to act contrary to their lawyer’s advice: see, e.g., </w:t>
      </w:r>
      <w:r w:rsidRPr="002B573E">
        <w:rPr>
          <w:rFonts w:cs="Times New Roman"/>
          <w:i/>
        </w:rPr>
        <w:t>R. v. Edmondson</w:t>
      </w:r>
      <w:r w:rsidRPr="002B573E">
        <w:rPr>
          <w:rFonts w:cs="Times New Roman"/>
        </w:rPr>
        <w:t>, 2005 SKCA 51, 257 Sask.</w:t>
      </w:r>
      <w:r w:rsidRPr="002B573E">
        <w:rPr>
          <w:rFonts w:cs="Times New Roman"/>
          <w:lang w:val="en-US"/>
        </w:rPr>
        <w:t> R. 270,</w:t>
      </w:r>
      <w:r w:rsidRPr="002B573E">
        <w:rPr>
          <w:rFonts w:cs="Times New Roman"/>
        </w:rPr>
        <w:t xml:space="preserve"> at para. 37. If this were so, police would effectively be required to cease questioning any detainee who said “my lawyer told me not to talk”. That is not the law in Canada: </w:t>
      </w:r>
      <w:r w:rsidRPr="002B573E">
        <w:rPr>
          <w:rFonts w:cs="Times New Roman"/>
          <w:i/>
        </w:rPr>
        <w:t>R. v. Singh</w:t>
      </w:r>
      <w:r w:rsidRPr="002B573E">
        <w:rPr>
          <w:rFonts w:cs="Times New Roman"/>
        </w:rPr>
        <w:t>, 2007 SCC 48, [2007] 3 S.C.R. 405.</w:t>
      </w:r>
    </w:p>
    <w:p w14:paraId="5FE5C987" w14:textId="77777777" w:rsidR="0016581F" w:rsidRPr="002B573E" w:rsidRDefault="0016581F" w:rsidP="0016581F">
      <w:pPr>
        <w:pStyle w:val="ParaNoNdepar-AltN"/>
        <w:rPr>
          <w:rFonts w:cs="Times New Roman"/>
        </w:rPr>
      </w:pPr>
      <w:r w:rsidRPr="002B573E">
        <w:rPr>
          <w:rFonts w:cs="Times New Roman"/>
        </w:rPr>
        <w:t xml:space="preserve">The reference to </w:t>
      </w:r>
      <w:r w:rsidRPr="002B573E">
        <w:rPr>
          <w:rFonts w:cs="Times New Roman"/>
          <w:i/>
        </w:rPr>
        <w:t xml:space="preserve">Burlingham </w:t>
      </w:r>
      <w:r w:rsidRPr="002B573E">
        <w:rPr>
          <w:rFonts w:cs="Times New Roman"/>
        </w:rPr>
        <w:t xml:space="preserve">at the end of para. 52 in </w:t>
      </w:r>
      <w:r w:rsidRPr="002B573E">
        <w:rPr>
          <w:rFonts w:cs="Times New Roman"/>
          <w:i/>
        </w:rPr>
        <w:t>Sinclair</w:t>
      </w:r>
      <w:r w:rsidRPr="002B573E">
        <w:rPr>
          <w:rFonts w:cs="Times New Roman"/>
        </w:rPr>
        <w:t xml:space="preserve"> sheds light on the type of police conduct that can “undermine” legal advice in the </w:t>
      </w:r>
      <w:r w:rsidRPr="002B573E">
        <w:rPr>
          <w:rFonts w:cs="Times New Roman"/>
          <w:i/>
        </w:rPr>
        <w:t xml:space="preserve">Sinclair </w:t>
      </w:r>
      <w:r w:rsidRPr="002B573E">
        <w:rPr>
          <w:rFonts w:cs="Times New Roman"/>
        </w:rPr>
        <w:t xml:space="preserve">sense of that term. It suggests that, in this context, police can undermine legal advice by undermining confidence in the lawyer who provided that advice. In </w:t>
      </w:r>
      <w:r w:rsidRPr="002B573E">
        <w:rPr>
          <w:rFonts w:cs="Times New Roman"/>
          <w:i/>
        </w:rPr>
        <w:t>Burlingham</w:t>
      </w:r>
      <w:r w:rsidRPr="002B573E">
        <w:rPr>
          <w:rFonts w:cs="Times New Roman"/>
        </w:rPr>
        <w:t>, the accused was charged with one murder and suspected in a second. He was subjected to an intensive interrogation during which police repeatedly disparaged “defence counsel’s loyalty, commitment, availability, as well as the amount of his legal fees”: para. 4. A majority of the Court found that these “belittling” comments breached s. 10(b) because they were made with the purpose, or had the effect, of undermining the accused’s confidence in counsel:</w:t>
      </w:r>
    </w:p>
    <w:p w14:paraId="0D7135FC" w14:textId="77777777" w:rsidR="0016581F" w:rsidRPr="002B573E" w:rsidRDefault="0016581F" w:rsidP="0016581F">
      <w:pPr>
        <w:pStyle w:val="Citation-AltC"/>
        <w:ind w:firstLine="274"/>
      </w:pPr>
      <w:r w:rsidRPr="002B573E">
        <w:t xml:space="preserve">. . . </w:t>
      </w:r>
      <w:proofErr w:type="gramStart"/>
      <w:r w:rsidRPr="002B573E">
        <w:t>s</w:t>
      </w:r>
      <w:proofErr w:type="gramEnd"/>
      <w:r w:rsidRPr="002B573E">
        <w:t>. 10(</w:t>
      </w:r>
      <w:r w:rsidRPr="002B573E">
        <w:rPr>
          <w:i/>
        </w:rPr>
        <w:t>b</w:t>
      </w:r>
      <w:r w:rsidRPr="002B573E">
        <w:t>) specifically prohibits the police, as they did in this case, from belittling an accused’s lawyer with the express goal or effect of undermining the accused’s confidence in and relationship with defence counsel. It makes no sense for s. 10(</w:t>
      </w:r>
      <w:r w:rsidRPr="002B573E">
        <w:rPr>
          <w:i/>
        </w:rPr>
        <w:t>b</w:t>
      </w:r>
      <w:r w:rsidRPr="002B573E">
        <w:t xml:space="preserve">) of the </w:t>
      </w:r>
      <w:r w:rsidRPr="002B573E">
        <w:rPr>
          <w:i/>
        </w:rPr>
        <w:t>Charter</w:t>
      </w:r>
      <w:r w:rsidRPr="002B573E">
        <w:t xml:space="preserve"> to provide for the </w:t>
      </w:r>
      <w:r w:rsidRPr="002B573E">
        <w:lastRenderedPageBreak/>
        <w:t>right to retain and instruct counsel if law enforcement authorities are able to undermine either an accused’s confidence in his or her lawyer or the solicitor-client relationship. [para. 14]</w:t>
      </w:r>
    </w:p>
    <w:p w14:paraId="4B30B447" w14:textId="77777777" w:rsidR="0016581F" w:rsidRPr="002B573E" w:rsidRDefault="0016581F" w:rsidP="0016581F">
      <w:pPr>
        <w:pStyle w:val="ParaNoNdepar-AltN"/>
        <w:rPr>
          <w:rFonts w:cs="Times New Roman"/>
        </w:rPr>
      </w:pPr>
      <w:r w:rsidRPr="002B573E">
        <w:rPr>
          <w:rFonts w:cs="Times New Roman"/>
        </w:rPr>
        <w:t xml:space="preserve">It is notable that </w:t>
      </w:r>
      <w:r w:rsidRPr="002B573E">
        <w:rPr>
          <w:rFonts w:cs="Times New Roman"/>
          <w:i/>
        </w:rPr>
        <w:t xml:space="preserve">Burlingham </w:t>
      </w:r>
      <w:r w:rsidRPr="002B573E">
        <w:rPr>
          <w:rFonts w:cs="Times New Roman"/>
        </w:rPr>
        <w:t xml:space="preserve">speaks of undermining confidence in counsel, whereas </w:t>
      </w:r>
      <w:r w:rsidRPr="002B573E">
        <w:rPr>
          <w:rFonts w:cs="Times New Roman"/>
          <w:i/>
        </w:rPr>
        <w:t>Sinclair</w:t>
      </w:r>
      <w:r w:rsidRPr="002B573E">
        <w:rPr>
          <w:rFonts w:cs="Times New Roman"/>
        </w:rPr>
        <w:t xml:space="preserve"> speaks specifically of undermining legal advice. The implied premise of the </w:t>
      </w:r>
      <w:r w:rsidRPr="002B573E">
        <w:rPr>
          <w:rFonts w:cs="Times New Roman"/>
          <w:i/>
        </w:rPr>
        <w:t>Sinclair</w:t>
      </w:r>
      <w:r w:rsidRPr="002B573E">
        <w:rPr>
          <w:rFonts w:cs="Times New Roman"/>
        </w:rPr>
        <w:t xml:space="preserve"> citation to </w:t>
      </w:r>
      <w:r w:rsidRPr="002B573E">
        <w:rPr>
          <w:rFonts w:cs="Times New Roman"/>
          <w:i/>
        </w:rPr>
        <w:t>Burlingham</w:t>
      </w:r>
      <w:r w:rsidRPr="002B573E">
        <w:rPr>
          <w:rFonts w:cs="Times New Roman"/>
        </w:rPr>
        <w:t xml:space="preserve"> appears to be that undermining confidence in counsel and undermining legal advice, in this context, produce the same effect. I agree, they can.</w:t>
      </w:r>
    </w:p>
    <w:p w14:paraId="2680D652" w14:textId="77777777" w:rsidR="0016581F" w:rsidRPr="002B573E" w:rsidRDefault="0016581F" w:rsidP="0016581F">
      <w:pPr>
        <w:pStyle w:val="ParaNoNdepar-AltN"/>
        <w:rPr>
          <w:rFonts w:cs="Times New Roman"/>
        </w:rPr>
      </w:pPr>
      <w:r w:rsidRPr="002B573E">
        <w:rPr>
          <w:rFonts w:cs="Times New Roman"/>
        </w:rPr>
        <w:t xml:space="preserve">A detainee’s confidence in counsel anchors the solicitor-client relationship and allows for the effective provision of legal advice: </w:t>
      </w:r>
      <w:r w:rsidRPr="002B573E">
        <w:rPr>
          <w:rFonts w:cs="Times New Roman"/>
          <w:i/>
        </w:rPr>
        <w:t xml:space="preserve">R. v. </w:t>
      </w:r>
      <w:proofErr w:type="spellStart"/>
      <w:r w:rsidRPr="002B573E">
        <w:rPr>
          <w:rFonts w:cs="Times New Roman"/>
          <w:i/>
        </w:rPr>
        <w:t>McCallen</w:t>
      </w:r>
      <w:proofErr w:type="spellEnd"/>
      <w:r w:rsidRPr="002B573E">
        <w:rPr>
          <w:rFonts w:cs="Times New Roman"/>
        </w:rPr>
        <w:t xml:space="preserve"> (1999), 43 O.R. (3d) 56 (C.A.). When the police undermine a detainee’s confidence in counsel, the legal advice that counsel has already provided — even if it was perfectly correct at the time it was given — may become, as observed in </w:t>
      </w:r>
      <w:r w:rsidRPr="002B573E">
        <w:rPr>
          <w:rFonts w:cs="Times New Roman"/>
          <w:i/>
        </w:rPr>
        <w:t>Sinclair</w:t>
      </w:r>
      <w:r w:rsidRPr="002B573E">
        <w:rPr>
          <w:rFonts w:cs="Times New Roman"/>
        </w:rPr>
        <w:t>, “distort</w:t>
      </w:r>
      <w:r w:rsidRPr="002B573E">
        <w:rPr>
          <w:rFonts w:cs="Times New Roman"/>
          <w:lang w:val="en-US"/>
        </w:rPr>
        <w:t>[</w:t>
      </w:r>
      <w:proofErr w:type="spellStart"/>
      <w:r w:rsidRPr="002B573E">
        <w:rPr>
          <w:rFonts w:cs="Times New Roman"/>
        </w:rPr>
        <w:t>ed</w:t>
      </w:r>
      <w:proofErr w:type="spellEnd"/>
      <w:r w:rsidRPr="002B573E">
        <w:rPr>
          <w:rFonts w:cs="Times New Roman"/>
        </w:rPr>
        <w:t xml:space="preserve">] or </w:t>
      </w:r>
      <w:proofErr w:type="spellStart"/>
      <w:proofErr w:type="gramStart"/>
      <w:r w:rsidRPr="002B573E">
        <w:rPr>
          <w:rFonts w:cs="Times New Roman"/>
        </w:rPr>
        <w:t>nullif</w:t>
      </w:r>
      <w:proofErr w:type="spellEnd"/>
      <w:r w:rsidRPr="002B573E">
        <w:rPr>
          <w:rFonts w:cs="Times New Roman"/>
        </w:rPr>
        <w:t>[</w:t>
      </w:r>
      <w:proofErr w:type="spellStart"/>
      <w:proofErr w:type="gramEnd"/>
      <w:r w:rsidRPr="002B573E">
        <w:rPr>
          <w:rFonts w:cs="Times New Roman"/>
        </w:rPr>
        <w:t>ied</w:t>
      </w:r>
      <w:proofErr w:type="spellEnd"/>
      <w:r w:rsidRPr="002B573E">
        <w:rPr>
          <w:rFonts w:cs="Times New Roman"/>
        </w:rPr>
        <w:t xml:space="preserve">]”. </w:t>
      </w:r>
      <w:r w:rsidRPr="002B573E">
        <w:rPr>
          <w:rFonts w:cs="Times New Roman"/>
          <w:i/>
        </w:rPr>
        <w:t xml:space="preserve">Sinclair </w:t>
      </w:r>
      <w:r w:rsidRPr="002B573E">
        <w:rPr>
          <w:rFonts w:cs="Times New Roman"/>
        </w:rPr>
        <w:t>requires police to provide a new opportunity to consult with counsel in order to counteract these effects.</w:t>
      </w:r>
    </w:p>
    <w:p w14:paraId="37AAC90D" w14:textId="77777777" w:rsidR="0016581F" w:rsidRPr="002B573E" w:rsidRDefault="0016581F" w:rsidP="0016581F">
      <w:pPr>
        <w:pStyle w:val="Title3LevelTitre3Niveau"/>
        <w:numPr>
          <w:ilvl w:val="2"/>
          <w:numId w:val="8"/>
        </w:numPr>
        <w:jc w:val="both"/>
        <w:rPr>
          <w:rFonts w:cs="Times New Roman"/>
        </w:rPr>
      </w:pPr>
      <w:r w:rsidRPr="002B573E">
        <w:rPr>
          <w:rFonts w:cs="Times New Roman"/>
        </w:rPr>
        <w:t>“Undermining” Is Not Limited to Intentional Belittling of Defence Counsel</w:t>
      </w:r>
    </w:p>
    <w:p w14:paraId="2DEFD995" w14:textId="77777777" w:rsidR="0016581F" w:rsidRPr="002B573E" w:rsidRDefault="0016581F" w:rsidP="0016581F">
      <w:pPr>
        <w:pStyle w:val="ParaNoNdepar-AltN"/>
        <w:rPr>
          <w:rFonts w:cs="Times New Roman"/>
        </w:rPr>
      </w:pPr>
      <w:r w:rsidRPr="002B573E">
        <w:rPr>
          <w:rFonts w:cs="Times New Roman"/>
        </w:rPr>
        <w:t xml:space="preserve">The most notable cases in this area of the law are those, such as </w:t>
      </w:r>
      <w:r w:rsidRPr="002B573E">
        <w:rPr>
          <w:rFonts w:cs="Times New Roman"/>
          <w:i/>
        </w:rPr>
        <w:t>Burlingham</w:t>
      </w:r>
      <w:r w:rsidRPr="002B573E">
        <w:rPr>
          <w:rFonts w:cs="Times New Roman"/>
        </w:rPr>
        <w:t xml:space="preserve">, in which the police expressly call into question the competence or trustworthiness of defence counsel. </w:t>
      </w:r>
      <w:r w:rsidRPr="002B573E">
        <w:rPr>
          <w:rFonts w:cs="Times New Roman"/>
          <w:i/>
        </w:rPr>
        <w:t xml:space="preserve">Burlingham </w:t>
      </w:r>
      <w:r w:rsidRPr="002B573E">
        <w:rPr>
          <w:rFonts w:cs="Times New Roman"/>
        </w:rPr>
        <w:t xml:space="preserve">and certain cases following it have characterized this type of conduct as the “belittling” of defence counsel. In cases of this </w:t>
      </w:r>
      <w:r w:rsidRPr="002B573E">
        <w:rPr>
          <w:rFonts w:cs="Times New Roman"/>
        </w:rPr>
        <w:lastRenderedPageBreak/>
        <w:t>sort, it is difficult to view the police conduct as amounting to anything less than an intentional effort to undermine the legal advice provided to a detainee.</w:t>
      </w:r>
    </w:p>
    <w:p w14:paraId="657AE525" w14:textId="77777777" w:rsidR="0016581F" w:rsidRPr="002B573E" w:rsidRDefault="0016581F" w:rsidP="0016581F">
      <w:pPr>
        <w:pStyle w:val="ParaNoNdepar-AltN"/>
        <w:rPr>
          <w:rFonts w:cs="Times New Roman"/>
        </w:rPr>
      </w:pPr>
      <w:r w:rsidRPr="002B573E">
        <w:rPr>
          <w:rFonts w:cs="Times New Roman"/>
        </w:rPr>
        <w:t xml:space="preserve">The </w:t>
      </w:r>
      <w:r w:rsidRPr="002B573E">
        <w:rPr>
          <w:rFonts w:cs="Times New Roman"/>
          <w:i/>
        </w:rPr>
        <w:t xml:space="preserve">Sinclair </w:t>
      </w:r>
      <w:r w:rsidRPr="002B573E">
        <w:rPr>
          <w:rFonts w:cs="Times New Roman"/>
        </w:rPr>
        <w:t>analysis does not, however, distinguish between intentional and unintentional undermining of legal advice. The focus remains on the effects of the police conduct. Where the police conduct has the effect of undermining the legal advice given to a detainee, and where it is objectively observable that this has occurred, the right to a second consultation arises. There is no need to prove that the police conduct was intended to have this effect.</w:t>
      </w:r>
    </w:p>
    <w:p w14:paraId="36B5A93D" w14:textId="77777777" w:rsidR="0016581F" w:rsidRPr="002B573E" w:rsidRDefault="0016581F" w:rsidP="0016581F">
      <w:pPr>
        <w:pStyle w:val="ParaNoNdepar-AltN"/>
        <w:rPr>
          <w:rFonts w:cs="Times New Roman"/>
        </w:rPr>
      </w:pPr>
      <w:r w:rsidRPr="002B573E">
        <w:rPr>
          <w:rFonts w:cs="Times New Roman"/>
        </w:rPr>
        <w:t xml:space="preserve">This conclusion follows from a consideration of the basic principles that underlie the </w:t>
      </w:r>
      <w:r w:rsidRPr="002B573E">
        <w:rPr>
          <w:rFonts w:cs="Times New Roman"/>
          <w:i/>
        </w:rPr>
        <w:t xml:space="preserve">Sinclair </w:t>
      </w:r>
      <w:r w:rsidRPr="002B573E">
        <w:rPr>
          <w:rFonts w:cs="Times New Roman"/>
        </w:rPr>
        <w:t xml:space="preserve">framework. </w:t>
      </w:r>
      <w:r w:rsidRPr="002B573E">
        <w:rPr>
          <w:rFonts w:cs="Times New Roman"/>
          <w:i/>
        </w:rPr>
        <w:t xml:space="preserve">Sinclair </w:t>
      </w:r>
      <w:r w:rsidRPr="002B573E">
        <w:rPr>
          <w:rFonts w:cs="Times New Roman"/>
        </w:rPr>
        <w:t xml:space="preserve">mandates that police provide a second opportunity to consult counsel where “changed circumstances suggest that reconsultation is necessary in order for the detainee to have the information relevant to choosing whether to cooperate with the police investigation or not”: para. 48. To focus on whether the police </w:t>
      </w:r>
      <w:r w:rsidRPr="002B573E">
        <w:rPr>
          <w:rFonts w:cs="Times New Roman"/>
          <w:i/>
        </w:rPr>
        <w:t xml:space="preserve">intended </w:t>
      </w:r>
      <w:r w:rsidRPr="002B573E">
        <w:rPr>
          <w:rFonts w:cs="Times New Roman"/>
        </w:rPr>
        <w:t xml:space="preserve">to bring about a change in circumstance would be to shift the inquiry away from the necessity for reconsultation and toward the fault of the police. This would distort </w:t>
      </w:r>
      <w:r w:rsidRPr="002B573E">
        <w:rPr>
          <w:rFonts w:cs="Times New Roman"/>
          <w:i/>
        </w:rPr>
        <w:t>Sinclair</w:t>
      </w:r>
      <w:r w:rsidRPr="002B573E">
        <w:rPr>
          <w:rFonts w:cs="Times New Roman"/>
        </w:rPr>
        <w:t>. The duty to facilitate reconsultation is not imposed on police as a punishment for ill-intentioned conduct.</w:t>
      </w:r>
    </w:p>
    <w:p w14:paraId="722A591B" w14:textId="77777777" w:rsidR="0016581F" w:rsidRPr="002B573E" w:rsidRDefault="0016581F" w:rsidP="0016581F">
      <w:pPr>
        <w:pStyle w:val="ParaNoNdepar-AltN"/>
        <w:rPr>
          <w:rFonts w:cs="Times New Roman"/>
        </w:rPr>
      </w:pPr>
      <w:r w:rsidRPr="002B573E">
        <w:rPr>
          <w:rFonts w:cs="Times New Roman"/>
        </w:rPr>
        <w:t xml:space="preserve">The case law also demonstrates that police conduct can unintentionally undermine the legal advice provided to a detainee: see, e.g., </w:t>
      </w:r>
      <w:r w:rsidRPr="002B573E">
        <w:rPr>
          <w:rFonts w:cs="Times New Roman"/>
          <w:i/>
        </w:rPr>
        <w:t>R. v. Daley</w:t>
      </w:r>
      <w:r w:rsidRPr="002B573E">
        <w:rPr>
          <w:rFonts w:cs="Times New Roman"/>
        </w:rPr>
        <w:t>, 2015 ONSC 7145, at para. 42 (CanLII), per</w:t>
      </w:r>
      <w:r w:rsidRPr="002B573E">
        <w:rPr>
          <w:rFonts w:cs="Times New Roman"/>
          <w:i/>
        </w:rPr>
        <w:t xml:space="preserve"> </w:t>
      </w:r>
      <w:r w:rsidRPr="002B573E">
        <w:rPr>
          <w:rFonts w:cs="Times New Roman"/>
        </w:rPr>
        <w:t xml:space="preserve">Fairburn J. (as she then was); </w:t>
      </w:r>
      <w:r w:rsidRPr="002B573E">
        <w:rPr>
          <w:rFonts w:cs="Times New Roman"/>
          <w:i/>
        </w:rPr>
        <w:t>R. v. McGregor</w:t>
      </w:r>
      <w:r w:rsidRPr="002B573E">
        <w:rPr>
          <w:rFonts w:cs="Times New Roman"/>
        </w:rPr>
        <w:t xml:space="preserve">, 2020 ONSC 4802, at para. 194 (CanLII); </w:t>
      </w:r>
      <w:r w:rsidRPr="002B573E">
        <w:rPr>
          <w:rFonts w:cs="Times New Roman"/>
          <w:i/>
        </w:rPr>
        <w:t>R. v. Taylor</w:t>
      </w:r>
      <w:r w:rsidRPr="002B573E">
        <w:rPr>
          <w:rFonts w:cs="Times New Roman"/>
        </w:rPr>
        <w:t xml:space="preserve">, 2016 BCSC 1956, at para. 54 </w:t>
      </w:r>
      <w:r w:rsidRPr="002B573E">
        <w:rPr>
          <w:rFonts w:cs="Times New Roman"/>
        </w:rPr>
        <w:lastRenderedPageBreak/>
        <w:t xml:space="preserve">(CanLII). It is for this reason that the Court of Appeal for Ontario was correct to warn that “police tread on dangerous ground when they comment on the legal advice tendered to detainees”: </w:t>
      </w:r>
      <w:r w:rsidRPr="002B573E">
        <w:rPr>
          <w:rFonts w:cs="Times New Roman"/>
          <w:i/>
        </w:rPr>
        <w:t xml:space="preserve">R. v. </w:t>
      </w:r>
      <w:proofErr w:type="spellStart"/>
      <w:r w:rsidRPr="002B573E">
        <w:rPr>
          <w:rFonts w:cs="Times New Roman"/>
          <w:i/>
        </w:rPr>
        <w:t>Mujku</w:t>
      </w:r>
      <w:proofErr w:type="spellEnd"/>
      <w:r w:rsidRPr="002B573E">
        <w:rPr>
          <w:rFonts w:cs="Times New Roman"/>
        </w:rPr>
        <w:t>, 2011 ONCA 64</w:t>
      </w:r>
      <w:r w:rsidRPr="002B573E">
        <w:rPr>
          <w:rFonts w:cs="Times New Roman"/>
          <w:lang w:bidi="en-US"/>
        </w:rPr>
        <w:t>, 226 C.R.R. (2d) 234,</w:t>
      </w:r>
      <w:r w:rsidRPr="002B573E">
        <w:rPr>
          <w:rFonts w:cs="Times New Roman"/>
        </w:rPr>
        <w:t xml:space="preserve"> at para. 36. The ground sometimes gives way, and the prohibited effect occurs, even where the intention to achieve it was absent.</w:t>
      </w:r>
    </w:p>
    <w:p w14:paraId="5DA959BE" w14:textId="77777777" w:rsidR="0016581F" w:rsidRPr="002B573E" w:rsidRDefault="0016581F" w:rsidP="0016581F">
      <w:pPr>
        <w:pStyle w:val="ParaNoNdepar-AltN"/>
        <w:rPr>
          <w:rFonts w:cs="Times New Roman"/>
        </w:rPr>
      </w:pPr>
      <w:r w:rsidRPr="002B573E">
        <w:rPr>
          <w:rFonts w:cs="Times New Roman"/>
        </w:rPr>
        <w:t xml:space="preserve">Nor is there any principled reason to think that police conduct must amount to the “belittling” of defence counsel in order to “undermine” legal advice in the </w:t>
      </w:r>
      <w:r w:rsidRPr="002B573E">
        <w:rPr>
          <w:rFonts w:cs="Times New Roman"/>
          <w:i/>
        </w:rPr>
        <w:t xml:space="preserve">Sinclair </w:t>
      </w:r>
      <w:r w:rsidRPr="002B573E">
        <w:rPr>
          <w:rFonts w:cs="Times New Roman"/>
        </w:rPr>
        <w:t xml:space="preserve">sense of that term. Recall that </w:t>
      </w:r>
      <w:r w:rsidRPr="002B573E">
        <w:rPr>
          <w:rFonts w:cs="Times New Roman"/>
          <w:i/>
        </w:rPr>
        <w:t xml:space="preserve">Sinclair </w:t>
      </w:r>
      <w:r w:rsidRPr="002B573E">
        <w:rPr>
          <w:rFonts w:cs="Times New Roman"/>
        </w:rPr>
        <w:t>described the “</w:t>
      </w:r>
      <w:proofErr w:type="spellStart"/>
      <w:r w:rsidRPr="002B573E">
        <w:rPr>
          <w:rFonts w:cs="Times New Roman"/>
        </w:rPr>
        <w:t>undermin</w:t>
      </w:r>
      <w:proofErr w:type="spellEnd"/>
      <w:r w:rsidRPr="002B573E">
        <w:rPr>
          <w:rFonts w:cs="Times New Roman"/>
          <w:lang w:val="en-US"/>
        </w:rPr>
        <w:t>[</w:t>
      </w:r>
      <w:proofErr w:type="spellStart"/>
      <w:r w:rsidRPr="002B573E">
        <w:rPr>
          <w:rFonts w:cs="Times New Roman"/>
        </w:rPr>
        <w:t>ing</w:t>
      </w:r>
      <w:proofErr w:type="spellEnd"/>
      <w:r w:rsidRPr="002B573E">
        <w:rPr>
          <w:rFonts w:cs="Times New Roman"/>
        </w:rPr>
        <w:t xml:space="preserve">]” of legal advice as being conduct which “may have the effect of </w:t>
      </w:r>
      <w:r w:rsidRPr="002B573E">
        <w:rPr>
          <w:rFonts w:cs="Times New Roman"/>
          <w:u w:val="single"/>
        </w:rPr>
        <w:t>distorting</w:t>
      </w:r>
      <w:r w:rsidRPr="002B573E">
        <w:rPr>
          <w:rFonts w:cs="Times New Roman"/>
        </w:rPr>
        <w:t xml:space="preserve"> or </w:t>
      </w:r>
      <w:r w:rsidRPr="002B573E">
        <w:rPr>
          <w:rFonts w:cs="Times New Roman"/>
          <w:u w:val="single"/>
        </w:rPr>
        <w:t>nullifying</w:t>
      </w:r>
      <w:r w:rsidRPr="002B573E">
        <w:rPr>
          <w:rFonts w:cs="Times New Roman"/>
        </w:rPr>
        <w:t xml:space="preserve"> [that advice]”: para. 52 (emphasis added). Conduct other than the express belittlement of defence counsel may have this effect: see, e.g., </w:t>
      </w:r>
      <w:r w:rsidRPr="002B573E">
        <w:rPr>
          <w:rFonts w:cs="Times New Roman"/>
          <w:i/>
        </w:rPr>
        <w:t xml:space="preserve">R. v. </w:t>
      </w:r>
      <w:proofErr w:type="spellStart"/>
      <w:r w:rsidRPr="002B573E">
        <w:rPr>
          <w:rFonts w:cs="Times New Roman"/>
          <w:i/>
        </w:rPr>
        <w:t>Azonwanna</w:t>
      </w:r>
      <w:proofErr w:type="spellEnd"/>
      <w:r w:rsidRPr="002B573E">
        <w:rPr>
          <w:rFonts w:cs="Times New Roman"/>
        </w:rPr>
        <w:t xml:space="preserve">, 2020 ONSC 5416, </w:t>
      </w:r>
      <w:r w:rsidRPr="002B573E">
        <w:rPr>
          <w:rFonts w:cs="Times New Roman"/>
          <w:lang w:bidi="en-US"/>
        </w:rPr>
        <w:t>468 C.R.R. (2d) 258, at paras. 122 and 148-49,</w:t>
      </w:r>
      <w:r w:rsidRPr="002B573E">
        <w:rPr>
          <w:rFonts w:cs="Times New Roman"/>
        </w:rPr>
        <w:t xml:space="preserve"> in which police undermined the legal advice that a detainee had received by providing a misleading and incorrect summary of his right to silence. There would be no point, however, in trying to catalogue the various types of police conduct that could have the effect of “</w:t>
      </w:r>
      <w:proofErr w:type="spellStart"/>
      <w:r w:rsidRPr="002B573E">
        <w:rPr>
          <w:rFonts w:cs="Times New Roman"/>
        </w:rPr>
        <w:t>undermin</w:t>
      </w:r>
      <w:proofErr w:type="spellEnd"/>
      <w:r w:rsidRPr="002B573E">
        <w:rPr>
          <w:rFonts w:cs="Times New Roman"/>
        </w:rPr>
        <w:t>[</w:t>
      </w:r>
      <w:proofErr w:type="spellStart"/>
      <w:r w:rsidRPr="002B573E">
        <w:rPr>
          <w:rFonts w:cs="Times New Roman"/>
        </w:rPr>
        <w:t>ing</w:t>
      </w:r>
      <w:proofErr w:type="spellEnd"/>
      <w:r w:rsidRPr="002B573E">
        <w:rPr>
          <w:rFonts w:cs="Times New Roman"/>
        </w:rPr>
        <w:t xml:space="preserve">]” legal advice in this context. The focus remains on the objectively observable </w:t>
      </w:r>
      <w:r w:rsidRPr="002B573E">
        <w:rPr>
          <w:rFonts w:cs="Times New Roman"/>
          <w:i/>
        </w:rPr>
        <w:t>effects</w:t>
      </w:r>
      <w:r w:rsidRPr="002B573E">
        <w:rPr>
          <w:rFonts w:cs="Times New Roman"/>
        </w:rPr>
        <w:t xml:space="preserve"> of the police conduct, rather than on the conduct itself.</w:t>
      </w:r>
    </w:p>
    <w:p w14:paraId="44E4AE75" w14:textId="77777777" w:rsidR="0016581F" w:rsidRPr="002B573E" w:rsidRDefault="0016581F" w:rsidP="0016581F">
      <w:pPr>
        <w:pStyle w:val="ParaNoNdepar-AltN"/>
        <w:rPr>
          <w:rFonts w:cs="Times New Roman"/>
        </w:rPr>
      </w:pPr>
      <w:r w:rsidRPr="002B573E">
        <w:rPr>
          <w:rFonts w:cs="Times New Roman"/>
        </w:rPr>
        <w:t xml:space="preserve">Simply put, the purpose of s. 10(b) is to provide the detainee with an opportunity to obtain legal advice relevant to their legal situation. As noted earlier, the legal advice is intended to ensure that “the detainee’s decision to cooperate with the investigation or decline to do so is free and informed”. The legal advice received by a </w:t>
      </w:r>
      <w:r w:rsidRPr="002B573E">
        <w:rPr>
          <w:rFonts w:cs="Times New Roman"/>
        </w:rPr>
        <w:lastRenderedPageBreak/>
        <w:t xml:space="preserve">detainee can fulfill this function only if the detainee regards it as legally correct and trustworthy. The purpose of s. 10(b) will be frustrated by police conduct that causes the detainee to doubt the legal correctness of the advice they have received or the trustworthiness of the lawyer who provided it. Police conduct of this sort is properly said to “undermine” the legal advice that the detainee has received. If there are objectively observable indicators that the legal advice provided to a detainee has been undermined, the right to a second consultation arises. By contrast, the right to reconsult will not be triggered by legitimate police tactics that persuade a detainee to cooperate without undermining the advice that they have received. As </w:t>
      </w:r>
      <w:r w:rsidRPr="002B573E">
        <w:rPr>
          <w:rFonts w:cs="Times New Roman"/>
          <w:i/>
        </w:rPr>
        <w:t>Sinclair</w:t>
      </w:r>
      <w:r w:rsidRPr="002B573E">
        <w:rPr>
          <w:rFonts w:cs="Times New Roman"/>
        </w:rPr>
        <w:t xml:space="preserve"> makes clear, police tactics such as “revealing (actual or fake) evidence to the detainee in order to demonstrate or exaggerate the strength of the case against him” do not trigger the right to a second consultation with counsel: para.</w:t>
      </w:r>
      <w:r w:rsidRPr="002B573E">
        <w:rPr>
          <w:rFonts w:cs="Times New Roman"/>
          <w:lang w:val="en-US"/>
        </w:rPr>
        <w:t> </w:t>
      </w:r>
      <w:r w:rsidRPr="002B573E">
        <w:rPr>
          <w:rFonts w:cs="Times New Roman"/>
        </w:rPr>
        <w:t>60.</w:t>
      </w:r>
    </w:p>
    <w:p w14:paraId="14058F94" w14:textId="77777777" w:rsidR="0016581F" w:rsidRPr="002B573E" w:rsidRDefault="0016581F" w:rsidP="0016581F">
      <w:pPr>
        <w:pStyle w:val="Title2LevelTitre2Niveau"/>
        <w:numPr>
          <w:ilvl w:val="1"/>
          <w:numId w:val="8"/>
        </w:numPr>
        <w:jc w:val="both"/>
        <w:rPr>
          <w:rFonts w:cs="Times New Roman"/>
        </w:rPr>
      </w:pPr>
      <w:r w:rsidRPr="002B573E">
        <w:rPr>
          <w:rFonts w:cs="Times New Roman"/>
        </w:rPr>
        <w:t>Application</w:t>
      </w:r>
    </w:p>
    <w:p w14:paraId="3461E8C6" w14:textId="77777777" w:rsidR="0016581F" w:rsidRPr="002B573E" w:rsidRDefault="0016581F" w:rsidP="0016581F">
      <w:pPr>
        <w:pStyle w:val="ParaNoNdepar-AltN"/>
        <w:rPr>
          <w:rFonts w:cs="Times New Roman"/>
        </w:rPr>
      </w:pPr>
      <w:r w:rsidRPr="002B573E">
        <w:rPr>
          <w:rFonts w:cs="Times New Roman"/>
        </w:rPr>
        <w:t xml:space="preserve">I am satisfied that the police conduct in this case had the effect of leading Mr. Dussault to believe, first, that an in-person consultation with Mr. Benoît would occur and, second, that Mr. Benoît had failed to come to the police station for that consultation. The effect of this was to undermine the legal advice that Mr. Benoît had provided to Mr. Dussault during their telephone conversation. Importantly, there were objectively observable indicators of this. In my view, these indicators triggered the police duty to provide Mr. Dussault with a second opportunity to consult counsel. The </w:t>
      </w:r>
      <w:r w:rsidRPr="002B573E">
        <w:rPr>
          <w:rFonts w:cs="Times New Roman"/>
        </w:rPr>
        <w:lastRenderedPageBreak/>
        <w:t>police failed to discharge that duty and, in doing so, breached Mr. Dussault’s right to counsel.</w:t>
      </w:r>
    </w:p>
    <w:p w14:paraId="2B2BBCC3" w14:textId="77777777" w:rsidR="0016581F" w:rsidRPr="002B573E" w:rsidRDefault="0016581F" w:rsidP="0016581F">
      <w:pPr>
        <w:pStyle w:val="Title3LevelTitre3Niveau"/>
        <w:numPr>
          <w:ilvl w:val="2"/>
          <w:numId w:val="8"/>
        </w:numPr>
        <w:jc w:val="both"/>
        <w:rPr>
          <w:rFonts w:cs="Times New Roman"/>
        </w:rPr>
      </w:pPr>
      <w:r w:rsidRPr="002B573E">
        <w:rPr>
          <w:rFonts w:cs="Times New Roman"/>
        </w:rPr>
        <w:t>The Police Misled Mr. Dussault</w:t>
      </w:r>
    </w:p>
    <w:p w14:paraId="47F54D98" w14:textId="77777777" w:rsidR="0016581F" w:rsidRPr="002B573E" w:rsidRDefault="0016581F" w:rsidP="0016581F">
      <w:pPr>
        <w:pStyle w:val="ParaNoNdepar-AltN"/>
        <w:rPr>
          <w:rFonts w:cs="Times New Roman"/>
        </w:rPr>
      </w:pPr>
      <w:r w:rsidRPr="002B573E">
        <w:rPr>
          <w:rFonts w:cs="Times New Roman"/>
        </w:rPr>
        <w:t>In my opinion, two separate acts of Officer Chicoine combined to have the effect of undermining the legal advice provided by Mr. Benoît.</w:t>
      </w:r>
    </w:p>
    <w:p w14:paraId="28AEA85F" w14:textId="77777777" w:rsidR="0016581F" w:rsidRPr="002B573E" w:rsidRDefault="0016581F" w:rsidP="0016581F">
      <w:pPr>
        <w:pStyle w:val="ParaNoNdepar-AltN"/>
        <w:rPr>
          <w:rFonts w:cs="Times New Roman"/>
        </w:rPr>
      </w:pPr>
      <w:r w:rsidRPr="002B573E">
        <w:rPr>
          <w:rFonts w:cs="Times New Roman"/>
        </w:rPr>
        <w:t xml:space="preserve">The first act occurred during Officer Chicoine’s first telephone conversation with Mr. Benoît. When Mr. Benoît said that he was coming to the police station to meet with Mr. Dussault and asked that the investigation be suspended, Officer Chicoine responded that this would be no problem or no trouble. In reasonable reliance on Officer Chicoine’s words, Mr. Benoît advised Mr. Dussault that he was coming to the police station to meet with him and that, in the interim, he would be placed in a cell. Officer Chicoine’s words therefore had the effect, albeit indirect, of causing Mr. Dussault to believe that an in-person meeting would take place. </w:t>
      </w:r>
    </w:p>
    <w:p w14:paraId="4F7E0A6B" w14:textId="77777777" w:rsidR="0016581F" w:rsidRPr="002B573E" w:rsidRDefault="0016581F" w:rsidP="0016581F">
      <w:pPr>
        <w:pStyle w:val="ParaNoNdepar-AltN"/>
        <w:rPr>
          <w:rFonts w:cs="Times New Roman"/>
          <w:lang w:val="en-US"/>
        </w:rPr>
      </w:pPr>
      <w:r w:rsidRPr="002B573E">
        <w:rPr>
          <w:rFonts w:cs="Times New Roman"/>
        </w:rPr>
        <w:t>The second act occurred at 8:52 p.m. By this time, Mr. Benoît had come and gone. When Officer Chicoine told Mr. Dussault that Officer Simard was ready to meet with him, Mr. Dussault asked point-blank whether his [</w:t>
      </w:r>
      <w:r w:rsidRPr="002B573E">
        <w:rPr>
          <w:rFonts w:cs="Times New Roman"/>
          <w:smallCaps/>
        </w:rPr>
        <w:t>translation</w:t>
      </w:r>
      <w:r w:rsidRPr="002B573E">
        <w:rPr>
          <w:rFonts w:cs="Times New Roman"/>
        </w:rPr>
        <w:t>] “lawyer arrived”.</w:t>
      </w:r>
      <w:r w:rsidRPr="002B573E">
        <w:rPr>
          <w:rFonts w:cs="Times New Roman"/>
          <w:lang w:val="en-US"/>
        </w:rPr>
        <w:t xml:space="preserve"> Officer Chicoine responded that Mr. Benoît </w:t>
      </w:r>
      <w:r w:rsidRPr="002B573E">
        <w:rPr>
          <w:rFonts w:cs="Times New Roman"/>
        </w:rPr>
        <w:t>[</w:t>
      </w:r>
      <w:r w:rsidRPr="002B573E">
        <w:rPr>
          <w:rFonts w:cs="Times New Roman"/>
          <w:smallCaps/>
        </w:rPr>
        <w:t>translation</w:t>
      </w:r>
      <w:r w:rsidRPr="002B573E">
        <w:rPr>
          <w:rFonts w:cs="Times New Roman"/>
        </w:rPr>
        <w:t>] “isn’t at the front of the station”</w:t>
      </w:r>
      <w:r w:rsidRPr="002B573E">
        <w:rPr>
          <w:rFonts w:cs="Times New Roman"/>
          <w:lang w:val="en-US" w:bidi="en-US"/>
        </w:rPr>
        <w:t>: A.R., vol. VI, at p. 38.</w:t>
      </w:r>
    </w:p>
    <w:p w14:paraId="316296C5" w14:textId="77777777" w:rsidR="0016581F" w:rsidRPr="002B573E" w:rsidRDefault="0016581F" w:rsidP="0016581F">
      <w:pPr>
        <w:pStyle w:val="ParaNoNdepar-AltN"/>
        <w:rPr>
          <w:rFonts w:cs="Times New Roman"/>
          <w:lang w:val="en-US"/>
        </w:rPr>
      </w:pPr>
      <w:r w:rsidRPr="002B573E">
        <w:rPr>
          <w:rFonts w:cs="Times New Roman"/>
        </w:rPr>
        <w:lastRenderedPageBreak/>
        <w:t>In oral argument before this Court, counsel for the Crown insisted that this was [</w:t>
      </w:r>
      <w:r w:rsidRPr="002B573E">
        <w:rPr>
          <w:rFonts w:cs="Times New Roman"/>
          <w:smallCaps/>
        </w:rPr>
        <w:t>translation</w:t>
      </w:r>
      <w:r w:rsidRPr="002B573E">
        <w:rPr>
          <w:rFonts w:cs="Times New Roman"/>
        </w:rPr>
        <w:t>] “a particularly delicate situation” for Officer Chicoine: transcript, at p. 9. Counsel stated that Officer Chicoine could not tell Mr. Dussault that Mr. Benoît had come and gone without risking [</w:t>
      </w:r>
      <w:r w:rsidRPr="002B573E">
        <w:rPr>
          <w:rFonts w:cs="Times New Roman"/>
          <w:smallCaps/>
        </w:rPr>
        <w:t>translation</w:t>
      </w:r>
      <w:r w:rsidRPr="002B573E">
        <w:rPr>
          <w:rFonts w:cs="Times New Roman"/>
        </w:rPr>
        <w:t>] “a certain denigration of the lawyer’s work”: p. 8. In response to this statement, counsel was asked whether it would not have been simpler for Officer Chicoine to tell Mr. Dussault that it was the police who had prevented Mr. Benoît from meeting with him. Counsel responded that this might have cast [</w:t>
      </w:r>
      <w:r w:rsidRPr="002B573E">
        <w:rPr>
          <w:rFonts w:cs="Times New Roman"/>
          <w:smallCaps/>
        </w:rPr>
        <w:t>translation</w:t>
      </w:r>
      <w:r w:rsidRPr="002B573E">
        <w:rPr>
          <w:rFonts w:cs="Times New Roman"/>
        </w:rPr>
        <w:t>] “doubt on the quality of the advice” that Mr. Dussault had received: p. 9. Counsel was evidently of the opinion that Officer Chicoine averted these risks by telling Mr. Dussault that Mr. </w:t>
      </w:r>
      <w:r w:rsidRPr="002B573E">
        <w:rPr>
          <w:rFonts w:cs="Times New Roman"/>
          <w:lang w:val="en-US"/>
        </w:rPr>
        <w:t xml:space="preserve">Benoît </w:t>
      </w:r>
      <w:r w:rsidRPr="002B573E">
        <w:rPr>
          <w:rFonts w:cs="Times New Roman"/>
        </w:rPr>
        <w:t>[</w:t>
      </w:r>
      <w:r w:rsidRPr="002B573E">
        <w:rPr>
          <w:rFonts w:cs="Times New Roman"/>
          <w:smallCaps/>
        </w:rPr>
        <w:t>translation</w:t>
      </w:r>
      <w:r w:rsidRPr="002B573E">
        <w:rPr>
          <w:rFonts w:cs="Times New Roman"/>
        </w:rPr>
        <w:t>]</w:t>
      </w:r>
      <w:r w:rsidRPr="002B573E">
        <w:rPr>
          <w:rFonts w:cs="Times New Roman"/>
          <w:lang w:val="en-US"/>
        </w:rPr>
        <w:t xml:space="preserve"> “isn’t at the front of the station”.</w:t>
      </w:r>
    </w:p>
    <w:p w14:paraId="2E3ECC9F" w14:textId="77777777" w:rsidR="0016581F" w:rsidRPr="002B573E" w:rsidRDefault="0016581F" w:rsidP="0016581F">
      <w:pPr>
        <w:pStyle w:val="ParaNoNdepar-AltN"/>
        <w:rPr>
          <w:rFonts w:cs="Times New Roman"/>
          <w:lang w:val="en-US"/>
        </w:rPr>
      </w:pPr>
      <w:r w:rsidRPr="002B573E">
        <w:rPr>
          <w:rFonts w:cs="Times New Roman"/>
          <w:lang w:val="en-US"/>
        </w:rPr>
        <w:t>I do not agree that Officer Chicoine successfully extricated himself from this delicate situation. The most reasonable interpretation of Officer Chicoine’s response was that Mr. Benoît had not arrived at all. Indeed, Mr. Dussault’s statements during the interrogation indicate that this is precisely what he believed (</w:t>
      </w:r>
      <w:r w:rsidRPr="002B573E">
        <w:rPr>
          <w:rFonts w:cs="Times New Roman"/>
        </w:rPr>
        <w:t>[</w:t>
      </w:r>
      <w:r w:rsidRPr="002B573E">
        <w:rPr>
          <w:rFonts w:cs="Times New Roman"/>
          <w:smallCaps/>
        </w:rPr>
        <w:t>translation</w:t>
      </w:r>
      <w:r w:rsidRPr="002B573E">
        <w:rPr>
          <w:rFonts w:cs="Times New Roman"/>
        </w:rPr>
        <w:t>]</w:t>
      </w:r>
      <w:r w:rsidRPr="002B573E">
        <w:rPr>
          <w:rFonts w:cs="Times New Roman"/>
          <w:lang w:val="en-US"/>
        </w:rPr>
        <w:t xml:space="preserve"> “he told me to wait till he was here, and he still hasn’t arrived”). Officer Chicoine’s statement misled Mr. Dussault into believing that Mr. Benoît had failed to come to the station for their in-person consultation. If Officer Chicoine was worried about denigrating counsel or casting a doubt on the quality of the legal advice that Mr. Dussault had received, I fail to see how the words that he chose were an improvement over telling Mr. Dussault that Mr. Benoît had come and gone.</w:t>
      </w:r>
    </w:p>
    <w:p w14:paraId="3A3CCD6C" w14:textId="77777777" w:rsidR="0016581F" w:rsidRPr="002B573E" w:rsidRDefault="0016581F" w:rsidP="0016581F">
      <w:pPr>
        <w:pStyle w:val="Title3LevelTitre3Niveau"/>
        <w:numPr>
          <w:ilvl w:val="2"/>
          <w:numId w:val="8"/>
        </w:numPr>
        <w:jc w:val="both"/>
        <w:rPr>
          <w:rFonts w:cs="Times New Roman"/>
          <w:lang w:val="en-US"/>
        </w:rPr>
      </w:pPr>
      <w:r w:rsidRPr="002B573E">
        <w:rPr>
          <w:rFonts w:cs="Times New Roman"/>
          <w:lang w:val="en-US"/>
        </w:rPr>
        <w:lastRenderedPageBreak/>
        <w:t>The Police Conduct Undermined the Legal Advice Provided to Mr. Dussault</w:t>
      </w:r>
    </w:p>
    <w:p w14:paraId="49A18405" w14:textId="77777777" w:rsidR="0016581F" w:rsidRPr="002B573E" w:rsidRDefault="0016581F" w:rsidP="0016581F">
      <w:pPr>
        <w:pStyle w:val="ParaNoNdepar-AltN"/>
        <w:rPr>
          <w:rFonts w:cs="Times New Roman"/>
          <w:lang w:val="en-US"/>
        </w:rPr>
      </w:pPr>
      <w:r w:rsidRPr="002B573E">
        <w:rPr>
          <w:rFonts w:cs="Times New Roman"/>
          <w:lang w:val="en-US"/>
        </w:rPr>
        <w:t>Two factors in particular support my conclusion that the above-described police conduct had the effect of undermining the legal advice that Mr. Benoît had provided to Mr. Dussault.</w:t>
      </w:r>
    </w:p>
    <w:p w14:paraId="5452A136" w14:textId="77777777" w:rsidR="0016581F" w:rsidRPr="002B573E" w:rsidRDefault="0016581F" w:rsidP="0016581F">
      <w:pPr>
        <w:pStyle w:val="ParaNoNdepar-AltN"/>
        <w:rPr>
          <w:rFonts w:cs="Times New Roman"/>
        </w:rPr>
      </w:pPr>
      <w:r w:rsidRPr="002B573E">
        <w:rPr>
          <w:rFonts w:cs="Times New Roman"/>
        </w:rPr>
        <w:t>The first is the content of the advice itself. Mr. Benoît advised Mr. Dussault that he was coming to the police station to meet with him in person; that, in the interim, Mr. Dussault would be placed in his cell; and that he — Mr. Dussault — should not speak to anyone. In refusing to permit Mr. Benoît to meet with Mr. Dussault, the police effectively falsified an important premise of Mr. Benoît’s advice — i.e. that Mr. Dussault would be placed in a cell until Mr. Benoît arrived. This is an example of the “</w:t>
      </w:r>
      <w:proofErr w:type="gramStart"/>
      <w:r w:rsidRPr="002B573E">
        <w:rPr>
          <w:rFonts w:cs="Times New Roman"/>
        </w:rPr>
        <w:t>distort</w:t>
      </w:r>
      <w:r w:rsidRPr="002B573E">
        <w:rPr>
          <w:rFonts w:cs="Times New Roman"/>
          <w:lang w:val="en-US"/>
        </w:rPr>
        <w:t>[</w:t>
      </w:r>
      <w:proofErr w:type="gramEnd"/>
      <w:r w:rsidRPr="002B573E">
        <w:rPr>
          <w:rFonts w:cs="Times New Roman"/>
        </w:rPr>
        <w:t xml:space="preserve">ion]” of legal advice that was warned against in </w:t>
      </w:r>
      <w:r w:rsidRPr="002B573E">
        <w:rPr>
          <w:rFonts w:cs="Times New Roman"/>
          <w:i/>
        </w:rPr>
        <w:t>Sinclair</w:t>
      </w:r>
      <w:r w:rsidRPr="002B573E">
        <w:rPr>
          <w:rFonts w:cs="Times New Roman"/>
        </w:rPr>
        <w:t>.</w:t>
      </w:r>
    </w:p>
    <w:p w14:paraId="00FF75F4" w14:textId="77777777" w:rsidR="0016581F" w:rsidRPr="002B573E" w:rsidRDefault="0016581F" w:rsidP="0016581F">
      <w:pPr>
        <w:pStyle w:val="ParaNoNdepar-AltN"/>
        <w:rPr>
          <w:rFonts w:cs="Times New Roman"/>
          <w:lang w:val="en-US"/>
        </w:rPr>
      </w:pPr>
      <w:r w:rsidRPr="002B573E">
        <w:rPr>
          <w:rFonts w:cs="Times New Roman"/>
        </w:rPr>
        <w:t>The second is the evidence of what Mr. Dussault said during the interrogation itself. He repeatedly expressed that his lawyer had told him he would be there ([</w:t>
      </w:r>
      <w:r w:rsidRPr="002B573E">
        <w:rPr>
          <w:rFonts w:cs="Times New Roman"/>
          <w:smallCaps/>
        </w:rPr>
        <w:t>translation</w:t>
      </w:r>
      <w:r w:rsidRPr="002B573E">
        <w:rPr>
          <w:rFonts w:cs="Times New Roman"/>
        </w:rPr>
        <w:t>] “That, my lawyer told me he was supposed to be here”); he stated his belief that his lawyer had never actually arrived (“he told me to wait till he was here, and he still hasn’t arrived”); he openly questioned why his lawyer had given him the advice that he had given (“But that, my lawyer, he told me to . . . why did he tell me to remain . . . He just told me to give my name, my things, and he told me to remain silent until he was here. Why did he tell me that</w:t>
      </w:r>
      <w:r w:rsidRPr="002B573E">
        <w:rPr>
          <w:rFonts w:cs="Times New Roman"/>
          <w:lang w:val="en-US"/>
        </w:rPr>
        <w:t xml:space="preserve">?”); and he implied that his lawyer’s </w:t>
      </w:r>
      <w:r w:rsidRPr="002B573E">
        <w:rPr>
          <w:rFonts w:cs="Times New Roman"/>
          <w:lang w:val="en-US"/>
        </w:rPr>
        <w:lastRenderedPageBreak/>
        <w:t>failure to show up had left him feeling alone (“Because he told me he’d be here. Now I feel like I’m a bit on my own”).</w:t>
      </w:r>
    </w:p>
    <w:p w14:paraId="635CC33E" w14:textId="77777777" w:rsidR="0016581F" w:rsidRPr="002B573E" w:rsidRDefault="0016581F" w:rsidP="0016581F">
      <w:pPr>
        <w:pStyle w:val="ParaNoNdepar-AltN"/>
        <w:rPr>
          <w:rFonts w:cs="Times New Roman"/>
          <w:lang w:val="en-US"/>
        </w:rPr>
      </w:pPr>
      <w:r w:rsidRPr="002B573E">
        <w:rPr>
          <w:rFonts w:cs="Times New Roman"/>
          <w:lang w:val="en-US"/>
        </w:rPr>
        <w:t>When these statements are considered in their totality and in light of all relevant circumstances, it is clear that they were objectively observable indicators that the legal advice given to Mr. Dussault had been undermined.</w:t>
      </w:r>
    </w:p>
    <w:p w14:paraId="78BB04CD" w14:textId="77777777" w:rsidR="0016581F" w:rsidRPr="002B573E" w:rsidRDefault="0016581F" w:rsidP="0016581F">
      <w:pPr>
        <w:pStyle w:val="ParaNoNdepar-AltN"/>
        <w:rPr>
          <w:rFonts w:cs="Times New Roman"/>
          <w:lang w:val="en-US"/>
        </w:rPr>
      </w:pPr>
      <w:r w:rsidRPr="002B573E">
        <w:rPr>
          <w:rFonts w:cs="Times New Roman"/>
          <w:lang w:val="en-US"/>
        </w:rPr>
        <w:t xml:space="preserve">In </w:t>
      </w:r>
      <w:r w:rsidRPr="002B573E">
        <w:rPr>
          <w:rFonts w:cs="Times New Roman"/>
          <w:i/>
          <w:lang w:val="en-US"/>
        </w:rPr>
        <w:t>R. v. Rover</w:t>
      </w:r>
      <w:r w:rsidRPr="002B573E">
        <w:rPr>
          <w:rFonts w:cs="Times New Roman"/>
          <w:lang w:val="en-US"/>
        </w:rPr>
        <w:t xml:space="preserve">, 2018 ONCA 745, </w:t>
      </w:r>
      <w:r w:rsidRPr="002B573E">
        <w:rPr>
          <w:rFonts w:cs="Times New Roman"/>
          <w:lang w:val="en-US" w:bidi="en-US"/>
        </w:rPr>
        <w:t xml:space="preserve">143 O.R. (3d) 135, </w:t>
      </w:r>
      <w:r w:rsidRPr="002B573E">
        <w:rPr>
          <w:rFonts w:cs="Times New Roman"/>
          <w:lang w:val="en-US"/>
        </w:rPr>
        <w:t xml:space="preserve">Doherty J.A. described the right to counsel as a “lifeline” through which detained persons obtain legal advice and “the sense that they are not entirely at the mercy of the police while detained”: para. 45; see also </w:t>
      </w:r>
      <w:r w:rsidRPr="002B573E">
        <w:rPr>
          <w:rFonts w:cs="Times New Roman"/>
          <w:i/>
          <w:lang w:val="en-US"/>
        </w:rPr>
        <w:t>R. v. Tremblay</w:t>
      </w:r>
      <w:r w:rsidRPr="002B573E">
        <w:rPr>
          <w:rFonts w:cs="Times New Roman"/>
          <w:lang w:val="en-US"/>
        </w:rPr>
        <w:t>, 2021 QCCA 24, at para. 40 (CanLII). I agree. In this case, the conduct of the police had the effect of undermining and distorting the advice that Mr. Dussault had received. The police ought to have offered him a second opportunity to re-establish his “lifeline”, but they did not. In failing to do so, they breached his s. 10(b) rights.</w:t>
      </w:r>
    </w:p>
    <w:p w14:paraId="39B42BA0" w14:textId="77777777" w:rsidR="0016581F" w:rsidRPr="002B573E" w:rsidRDefault="0016581F" w:rsidP="0016581F">
      <w:pPr>
        <w:pStyle w:val="Title2LevelTitre2Niveau"/>
        <w:numPr>
          <w:ilvl w:val="1"/>
          <w:numId w:val="8"/>
        </w:numPr>
        <w:jc w:val="both"/>
        <w:rPr>
          <w:rFonts w:cs="Times New Roman"/>
          <w:lang w:val="en-US"/>
        </w:rPr>
      </w:pPr>
      <w:r w:rsidRPr="002B573E">
        <w:rPr>
          <w:rFonts w:cs="Times New Roman"/>
          <w:lang w:val="en-US"/>
        </w:rPr>
        <w:t>Remedy</w:t>
      </w:r>
    </w:p>
    <w:p w14:paraId="4FFA7C68" w14:textId="77777777" w:rsidR="0016581F" w:rsidRPr="002B573E" w:rsidRDefault="0016581F" w:rsidP="0016581F">
      <w:pPr>
        <w:pStyle w:val="ParaNoNdepar-AltN"/>
        <w:rPr>
          <w:rFonts w:cs="Times New Roman"/>
          <w:lang w:val="en-US"/>
        </w:rPr>
      </w:pPr>
      <w:r w:rsidRPr="002B573E">
        <w:rPr>
          <w:rFonts w:cs="Times New Roman"/>
          <w:lang w:val="en-US"/>
        </w:rPr>
        <w:t xml:space="preserve">The Crown has conceded, in my view properly, that Mr. Dussault’s incriminating statement should be excluded under s. 24(2) of the </w:t>
      </w:r>
      <w:r w:rsidRPr="002B573E">
        <w:rPr>
          <w:rFonts w:cs="Times New Roman"/>
          <w:i/>
          <w:lang w:val="en-US"/>
        </w:rPr>
        <w:t>Charter</w:t>
      </w:r>
      <w:r w:rsidRPr="002B573E">
        <w:rPr>
          <w:rFonts w:cs="Times New Roman"/>
          <w:lang w:val="en-US"/>
        </w:rPr>
        <w:t xml:space="preserve"> if it was obtained in violation of s. 10(b). </w:t>
      </w:r>
    </w:p>
    <w:p w14:paraId="57836F1B" w14:textId="77777777" w:rsidR="0016581F" w:rsidRPr="002B573E" w:rsidRDefault="0016581F" w:rsidP="0016581F">
      <w:pPr>
        <w:pStyle w:val="Title1LevelTitre1Niveau-AltL"/>
        <w:numPr>
          <w:ilvl w:val="0"/>
          <w:numId w:val="8"/>
        </w:numPr>
        <w:jc w:val="both"/>
        <w:rPr>
          <w:rFonts w:cs="Times New Roman"/>
          <w:lang w:val="en-US"/>
        </w:rPr>
      </w:pPr>
      <w:r w:rsidRPr="002B573E">
        <w:rPr>
          <w:rFonts w:cs="Times New Roman"/>
          <w:lang w:val="en-US"/>
        </w:rPr>
        <w:t>Disposition</w:t>
      </w:r>
    </w:p>
    <w:p w14:paraId="684A4A07" w14:textId="77777777" w:rsidR="0016581F" w:rsidRPr="002B573E" w:rsidRDefault="0016581F" w:rsidP="0016581F">
      <w:pPr>
        <w:pStyle w:val="ParaNoNdepar-AltN"/>
        <w:rPr>
          <w:rFonts w:cs="Times New Roman"/>
          <w:lang w:val="en-US"/>
        </w:rPr>
      </w:pPr>
      <w:r w:rsidRPr="002B573E">
        <w:rPr>
          <w:rFonts w:cs="Times New Roman"/>
          <w:lang w:val="en-US"/>
        </w:rPr>
        <w:lastRenderedPageBreak/>
        <w:t>For these reasons, I would dismiss the appeal.</w:t>
      </w:r>
    </w:p>
    <w:p w14:paraId="350C5E0F" w14:textId="77777777" w:rsidR="0016581F" w:rsidRPr="0016581F" w:rsidRDefault="0016581F" w:rsidP="000D203A">
      <w:pPr>
        <w:pStyle w:val="SCCNormalDoubleSpacing"/>
        <w:spacing w:after="480"/>
        <w:rPr>
          <w:lang w:val="en-US"/>
        </w:rPr>
      </w:pPr>
    </w:p>
    <w:p w14:paraId="4F9F4731" w14:textId="0FA79E40" w:rsidR="009B57B3" w:rsidRDefault="009B57B3" w:rsidP="000D203A">
      <w:pPr>
        <w:pStyle w:val="SCCNormalDoubleSpacing"/>
        <w:spacing w:after="480"/>
      </w:pPr>
      <w:r w:rsidRPr="0016581F">
        <w:rPr>
          <w:lang w:val="en-US"/>
        </w:rPr>
        <w:tab/>
      </w:r>
      <w:r w:rsidR="00656313" w:rsidRPr="00AD281A">
        <w:rPr>
          <w:i/>
        </w:rPr>
        <w:t>Appeal</w:t>
      </w:r>
      <w:r w:rsidR="00182DB9" w:rsidRPr="00AD281A">
        <w:t xml:space="preserve"> </w:t>
      </w:r>
      <w:r w:rsidR="00182DB9" w:rsidRPr="00AD281A">
        <w:rPr>
          <w:i/>
        </w:rPr>
        <w:t>dismissed.</w:t>
      </w:r>
    </w:p>
    <w:p w14:paraId="07F571D4" w14:textId="77777777" w:rsidR="009A5C6F" w:rsidRPr="00424FDB" w:rsidRDefault="000A194B" w:rsidP="000D203A">
      <w:pPr>
        <w:pStyle w:val="SCCNormalDoubleSpacing"/>
        <w:spacing w:after="480"/>
        <w:rPr>
          <w:i/>
        </w:rPr>
      </w:pPr>
      <w:r>
        <w:tab/>
      </w:r>
      <w:r w:rsidRPr="00424FDB">
        <w:rPr>
          <w:i/>
        </w:rPr>
        <w:t>Solicitor</w:t>
      </w:r>
      <w:r w:rsidR="00AC33F6" w:rsidRPr="00424FDB">
        <w:rPr>
          <w:i/>
        </w:rPr>
        <w:t xml:space="preserve"> for the appellant: </w:t>
      </w:r>
      <w:r w:rsidR="00794AB8" w:rsidRPr="00424FDB">
        <w:rPr>
          <w:i/>
        </w:rPr>
        <w:t>Director of Criminal and Penal Prosecutions</w:t>
      </w:r>
      <w:r w:rsidR="00AC33F6" w:rsidRPr="00424FDB">
        <w:rPr>
          <w:i/>
        </w:rPr>
        <w:t>, Gatineau.</w:t>
      </w:r>
    </w:p>
    <w:p w14:paraId="56906C13" w14:textId="1C8F2823" w:rsidR="009A5C6F" w:rsidRPr="00424FDB" w:rsidRDefault="00367FF7" w:rsidP="000D203A">
      <w:pPr>
        <w:pStyle w:val="SCCNormalDoubleSpacing"/>
        <w:spacing w:after="480"/>
        <w:rPr>
          <w:i/>
        </w:rPr>
      </w:pPr>
      <w:r w:rsidRPr="00424FDB">
        <w:tab/>
      </w:r>
      <w:r w:rsidRPr="00424FDB">
        <w:rPr>
          <w:i/>
        </w:rPr>
        <w:t>Solicitors</w:t>
      </w:r>
      <w:r w:rsidR="00AC33F6" w:rsidRPr="00424FDB">
        <w:rPr>
          <w:i/>
        </w:rPr>
        <w:t xml:space="preserve"> for the respondent</w:t>
      </w:r>
      <w:r w:rsidR="00161504" w:rsidRPr="00424FDB">
        <w:rPr>
          <w:i/>
        </w:rPr>
        <w:t>: Raby Dubé Le </w:t>
      </w:r>
      <w:r w:rsidR="00AC33F6" w:rsidRPr="00424FDB">
        <w:rPr>
          <w:i/>
        </w:rPr>
        <w:t>Borgne, Montréal.</w:t>
      </w:r>
    </w:p>
    <w:p w14:paraId="714CAAF7" w14:textId="77777777" w:rsidR="00367FF7" w:rsidRPr="00424FDB" w:rsidRDefault="00367FF7" w:rsidP="000D203A">
      <w:pPr>
        <w:pStyle w:val="SCCNormalDoubleSpacing"/>
        <w:spacing w:after="480"/>
        <w:rPr>
          <w:i/>
        </w:rPr>
      </w:pPr>
      <w:r w:rsidRPr="00424FDB">
        <w:tab/>
      </w:r>
      <w:r w:rsidRPr="00424FDB">
        <w:rPr>
          <w:i/>
        </w:rPr>
        <w:t>Solicitor for the intervener the Attorney General of Ontario: Attorney General of Ontario, Toronto.</w:t>
      </w:r>
    </w:p>
    <w:p w14:paraId="4D30B731" w14:textId="5E6BC25C" w:rsidR="009A5C6F" w:rsidRPr="00424FDB" w:rsidRDefault="00367FF7" w:rsidP="000D203A">
      <w:pPr>
        <w:pStyle w:val="SCCNormalDoubleSpacing"/>
        <w:spacing w:after="480"/>
        <w:rPr>
          <w:i/>
        </w:rPr>
      </w:pPr>
      <w:r w:rsidRPr="00424FDB">
        <w:tab/>
      </w:r>
      <w:r w:rsidRPr="00424FDB">
        <w:rPr>
          <w:i/>
        </w:rPr>
        <w:t>Solicitors</w:t>
      </w:r>
      <w:r w:rsidR="00AC33F6" w:rsidRPr="00424FDB">
        <w:rPr>
          <w:i/>
        </w:rPr>
        <w:t xml:space="preserve"> for the intervener</w:t>
      </w:r>
      <w:r w:rsidR="00636FE4" w:rsidRPr="00424FDB">
        <w:rPr>
          <w:i/>
        </w:rPr>
        <w:t xml:space="preserve"> the</w:t>
      </w:r>
      <w:r w:rsidR="00AC33F6" w:rsidRPr="00424FDB">
        <w:rPr>
          <w:i/>
        </w:rPr>
        <w:t xml:space="preserve"> Criminal Lawyers</w:t>
      </w:r>
      <w:r w:rsidR="00960870" w:rsidRPr="00424FDB">
        <w:rPr>
          <w:i/>
        </w:rPr>
        <w:t>’</w:t>
      </w:r>
      <w:r w:rsidR="00AC33F6" w:rsidRPr="00424FDB">
        <w:rPr>
          <w:i/>
        </w:rPr>
        <w:t xml:space="preserve"> Association: Kapoor Barristers, Toronto.</w:t>
      </w:r>
    </w:p>
    <w:p w14:paraId="0D21757C" w14:textId="3AC86E70" w:rsidR="009A5C6F" w:rsidRPr="00424FDB" w:rsidRDefault="00AC33F6" w:rsidP="000D203A">
      <w:pPr>
        <w:pStyle w:val="SCCNormalDoubleSpacing"/>
        <w:spacing w:after="480"/>
        <w:rPr>
          <w:i/>
          <w:lang w:val="fr-CA"/>
        </w:rPr>
      </w:pPr>
      <w:r w:rsidRPr="00424FDB">
        <w:tab/>
      </w:r>
      <w:r w:rsidRPr="00424FDB">
        <w:rPr>
          <w:i/>
          <w:lang w:val="fr-CA"/>
        </w:rPr>
        <w:t xml:space="preserve">Solicitors for the intervener Association québécoise des avocats </w:t>
      </w:r>
      <w:r w:rsidR="000D203A" w:rsidRPr="00424FDB">
        <w:rPr>
          <w:i/>
          <w:lang w:val="fr-CA"/>
        </w:rPr>
        <w:t>et avocates de la défense: Jean</w:t>
      </w:r>
      <w:r w:rsidR="000D203A" w:rsidRPr="00424FDB">
        <w:rPr>
          <w:i/>
          <w:lang w:val="fr-CA"/>
        </w:rPr>
        <w:noBreakHyphen/>
      </w:r>
      <w:r w:rsidRPr="00424FDB">
        <w:rPr>
          <w:i/>
          <w:lang w:val="fr-CA"/>
        </w:rPr>
        <w:t xml:space="preserve">Claude </w:t>
      </w:r>
      <w:r w:rsidRPr="00AD281A">
        <w:rPr>
          <w:i/>
          <w:lang w:val="fr-CA"/>
        </w:rPr>
        <w:t xml:space="preserve">Dubé, </w:t>
      </w:r>
      <w:r w:rsidR="00161504" w:rsidRPr="00AD281A">
        <w:rPr>
          <w:i/>
          <w:lang w:val="fr-CA"/>
        </w:rPr>
        <w:t>Avocats</w:t>
      </w:r>
      <w:r w:rsidRPr="00AD281A">
        <w:rPr>
          <w:i/>
          <w:lang w:val="fr-CA"/>
        </w:rPr>
        <w:t>, Laval.</w:t>
      </w:r>
    </w:p>
    <w:p w14:paraId="690D3D41" w14:textId="391D6140" w:rsidR="009B57B3" w:rsidRPr="000D203A" w:rsidRDefault="00F12554" w:rsidP="000D203A">
      <w:pPr>
        <w:pStyle w:val="SCCNormalDoubleSpacing"/>
        <w:spacing w:after="480"/>
        <w:rPr>
          <w:i/>
          <w:lang w:val="fr-CA"/>
        </w:rPr>
      </w:pPr>
      <w:r w:rsidRPr="00424FDB">
        <w:rPr>
          <w:lang w:val="fr-CA"/>
        </w:rPr>
        <w:tab/>
      </w:r>
      <w:r w:rsidRPr="00424FDB">
        <w:rPr>
          <w:i/>
          <w:lang w:val="fr-CA"/>
        </w:rPr>
        <w:t>Solicitor</w:t>
      </w:r>
      <w:r w:rsidR="00AC33F6" w:rsidRPr="00424FDB">
        <w:rPr>
          <w:i/>
          <w:lang w:val="fr-CA"/>
        </w:rPr>
        <w:t>s for the intervener Association des avocats de la défense de Montréa</w:t>
      </w:r>
      <w:r w:rsidR="000D203A" w:rsidRPr="00424FDB">
        <w:rPr>
          <w:i/>
          <w:lang w:val="fr-CA"/>
        </w:rPr>
        <w:t>l</w:t>
      </w:r>
      <w:r w:rsidR="000D203A" w:rsidRPr="00424FDB">
        <w:rPr>
          <w:i/>
          <w:lang w:val="fr-CA"/>
        </w:rPr>
        <w:noBreakHyphen/>
        <w:t>Laval</w:t>
      </w:r>
      <w:r w:rsidR="000D203A" w:rsidRPr="00424FDB">
        <w:rPr>
          <w:i/>
          <w:lang w:val="fr-CA"/>
        </w:rPr>
        <w:noBreakHyphen/>
      </w:r>
      <w:r w:rsidR="00AC33F6" w:rsidRPr="00424FDB">
        <w:rPr>
          <w:i/>
          <w:lang w:val="fr-CA"/>
        </w:rPr>
        <w:t>Longueuil: Marcoux Elayoubi Raymond, Longueuil.</w:t>
      </w:r>
    </w:p>
    <w:sectPr w:rsidR="009B57B3" w:rsidRPr="000D203A" w:rsidSect="000648CC">
      <w:headerReference w:type="even" r:id="rId9"/>
      <w:headerReference w:type="default" r:id="rId10"/>
      <w:footerReference w:type="even" r:id="rId11"/>
      <w:footerReference w:type="default" r:id="rId12"/>
      <w:headerReference w:type="first" r:id="rId13"/>
      <w:footerReference w:type="first" r:id="rId14"/>
      <w:pgSz w:w="12240" w:h="15840"/>
      <w:pgMar w:top="1267" w:right="2160" w:bottom="720" w:left="1800" w:header="1802"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3321CF" w14:textId="77777777" w:rsidR="00F25ECA" w:rsidRDefault="00F25ECA">
      <w:r>
        <w:separator/>
      </w:r>
    </w:p>
  </w:endnote>
  <w:endnote w:type="continuationSeparator" w:id="0">
    <w:p w14:paraId="698369D9" w14:textId="77777777" w:rsidR="00F25ECA" w:rsidRDefault="00F25E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AD7556" w14:textId="77777777" w:rsidR="00923478" w:rsidRDefault="0092347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59A2BC" w14:textId="77777777" w:rsidR="00923478" w:rsidRDefault="0092347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88D8D2" w14:textId="77777777" w:rsidR="00923478" w:rsidRDefault="0092347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F2D650" w14:textId="77777777" w:rsidR="00F25ECA" w:rsidRDefault="00F25ECA">
      <w:r>
        <w:separator/>
      </w:r>
    </w:p>
  </w:footnote>
  <w:footnote w:type="continuationSeparator" w:id="0">
    <w:p w14:paraId="5ED4C5C0" w14:textId="77777777" w:rsidR="00F25ECA" w:rsidRDefault="00F25EC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312381" w14:textId="77777777" w:rsidR="00923478" w:rsidRDefault="0092347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27F7CD" w14:textId="77777777" w:rsidR="00450352" w:rsidRPr="00872756" w:rsidRDefault="00450352" w:rsidP="0087275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16AD8A" w14:textId="77777777" w:rsidR="00923478" w:rsidRDefault="0092347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D2A6B61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1BA7D4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BC4DB6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2A69C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A24844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DB0336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B2A590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9667D7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A326A7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442DAA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C6F2675"/>
    <w:multiLevelType w:val="multilevel"/>
    <w:tmpl w:val="858A8528"/>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1FAF31A9"/>
    <w:multiLevelType w:val="hybridMultilevel"/>
    <w:tmpl w:val="9F5C015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43A269BE"/>
    <w:multiLevelType w:val="hybridMultilevel"/>
    <w:tmpl w:val="424E113C"/>
    <w:lvl w:ilvl="0" w:tplc="846E0020">
      <w:start w:val="1"/>
      <w:numFmt w:val="upp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4603130A"/>
    <w:multiLevelType w:val="multilevel"/>
    <w:tmpl w:val="57642F48"/>
    <w:lvl w:ilvl="0">
      <w:start w:val="1"/>
      <w:numFmt w:val="upperRoman"/>
      <w:pStyle w:val="Title1LevelTitre1Niveau-AltL"/>
      <w:lvlText w:val="%1."/>
      <w:lvlJc w:val="left"/>
      <w:pPr>
        <w:tabs>
          <w:tab w:val="num" w:pos="576"/>
        </w:tabs>
        <w:ind w:left="576" w:hanging="576"/>
      </w:pPr>
      <w:rPr>
        <w:rFonts w:hint="default"/>
        <w:sz w:val="24"/>
      </w:rPr>
    </w:lvl>
    <w:lvl w:ilvl="1">
      <w:start w:val="1"/>
      <w:numFmt w:val="upperLetter"/>
      <w:pStyle w:val="Title2LevelTitre2Niveau"/>
      <w:lvlText w:val="%2."/>
      <w:lvlJc w:val="left"/>
      <w:pPr>
        <w:tabs>
          <w:tab w:val="num" w:pos="576"/>
        </w:tabs>
        <w:ind w:left="576" w:hanging="576"/>
      </w:pPr>
      <w:rPr>
        <w:rFonts w:ascii="Times New Roman" w:hAnsi="Times New Roman" w:hint="default"/>
        <w:b w:val="0"/>
        <w:i w:val="0"/>
        <w:sz w:val="24"/>
      </w:rPr>
    </w:lvl>
    <w:lvl w:ilvl="2">
      <w:start w:val="1"/>
      <w:numFmt w:val="decimal"/>
      <w:pStyle w:val="Title3LevelTitre3Niveau"/>
      <w:lvlText w:val="(%3)"/>
      <w:lvlJc w:val="left"/>
      <w:pPr>
        <w:tabs>
          <w:tab w:val="num" w:pos="1152"/>
        </w:tabs>
        <w:ind w:left="1152" w:hanging="576"/>
      </w:pPr>
      <w:rPr>
        <w:rFonts w:ascii="Times New Roman" w:hAnsi="Times New Roman" w:hint="default"/>
        <w:b w:val="0"/>
        <w:i w:val="0"/>
        <w:sz w:val="24"/>
      </w:rPr>
    </w:lvl>
    <w:lvl w:ilvl="3">
      <w:start w:val="1"/>
      <w:numFmt w:val="lowerLetter"/>
      <w:pStyle w:val="Title4LevelTitre4Niveau"/>
      <w:lvlText w:val="(%4)"/>
      <w:lvlJc w:val="left"/>
      <w:pPr>
        <w:tabs>
          <w:tab w:val="num" w:pos="1152"/>
        </w:tabs>
        <w:ind w:left="1152" w:hanging="576"/>
      </w:pPr>
      <w:rPr>
        <w:rFonts w:hint="default"/>
        <w:b w:val="0"/>
        <w:i w:val="0"/>
      </w:rPr>
    </w:lvl>
    <w:lvl w:ilvl="4">
      <w:start w:val="1"/>
      <w:numFmt w:val="lowerRoman"/>
      <w:pStyle w:val="Title5LevelTitre5Niveau"/>
      <w:lvlText w:val="(%5)"/>
      <w:lvlJc w:val="left"/>
      <w:pPr>
        <w:tabs>
          <w:tab w:val="num" w:pos="1728"/>
        </w:tabs>
        <w:ind w:left="1728" w:hanging="576"/>
      </w:pPr>
      <w:rPr>
        <w:rFonts w:hint="default"/>
      </w:rPr>
    </w:lvl>
    <w:lvl w:ilvl="5">
      <w:start w:val="1"/>
      <w:numFmt w:val="decimal"/>
      <w:pStyle w:val="Title6LevelTitre6Niveau"/>
      <w:lvlText w:val="%6."/>
      <w:lvlJc w:val="left"/>
      <w:pPr>
        <w:tabs>
          <w:tab w:val="num" w:pos="1728"/>
        </w:tabs>
        <w:ind w:left="1728" w:hanging="576"/>
      </w:pPr>
      <w:rPr>
        <w:rFonts w:hint="default"/>
      </w:rPr>
    </w:lvl>
    <w:lvl w:ilvl="6">
      <w:start w:val="1"/>
      <w:numFmt w:val="decimal"/>
      <w:lvlText w:val="%7."/>
      <w:lvlJc w:val="left"/>
      <w:pPr>
        <w:ind w:left="8208" w:hanging="432"/>
      </w:pPr>
      <w:rPr>
        <w:rFonts w:hint="default"/>
      </w:rPr>
    </w:lvl>
    <w:lvl w:ilvl="7">
      <w:start w:val="1"/>
      <w:numFmt w:val="lowerLetter"/>
      <w:lvlText w:val="%8."/>
      <w:lvlJc w:val="left"/>
      <w:pPr>
        <w:ind w:left="8640" w:hanging="432"/>
      </w:pPr>
      <w:rPr>
        <w:rFonts w:hint="default"/>
      </w:rPr>
    </w:lvl>
    <w:lvl w:ilvl="8">
      <w:start w:val="1"/>
      <w:numFmt w:val="lowerRoman"/>
      <w:lvlText w:val="%9."/>
      <w:lvlJc w:val="left"/>
      <w:pPr>
        <w:ind w:left="9072" w:hanging="432"/>
      </w:pPr>
      <w:rPr>
        <w:rFonts w:hint="default"/>
      </w:rPr>
    </w:lvl>
  </w:abstractNum>
  <w:abstractNum w:abstractNumId="14" w15:restartNumberingAfterBreak="0">
    <w:nsid w:val="4AC64FE2"/>
    <w:multiLevelType w:val="hybridMultilevel"/>
    <w:tmpl w:val="0B76EEBC"/>
    <w:lvl w:ilvl="0" w:tplc="434646E8">
      <w:start w:val="1"/>
      <w:numFmt w:val="decimal"/>
      <w:lvlText w:val="[%1]"/>
      <w:lvlJc w:val="left"/>
      <w:pPr>
        <w:ind w:left="360" w:hanging="360"/>
      </w:pPr>
      <w:rPr>
        <w:rFonts w:ascii="Times New Roman" w:hAnsi="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C035C40"/>
    <w:multiLevelType w:val="hybridMultilevel"/>
    <w:tmpl w:val="02E69B28"/>
    <w:lvl w:ilvl="0" w:tplc="8FDA0F80">
      <w:numFmt w:val="bullet"/>
      <w:lvlText w:val="-"/>
      <w:lvlJc w:val="left"/>
      <w:pPr>
        <w:ind w:left="2868" w:hanging="360"/>
      </w:pPr>
      <w:rPr>
        <w:rFonts w:ascii="Times New Roman" w:eastAsia="Times New Roman" w:hAnsi="Times New Roman" w:cs="Times New Roman" w:hint="default"/>
      </w:rPr>
    </w:lvl>
    <w:lvl w:ilvl="1" w:tplc="10090003" w:tentative="1">
      <w:start w:val="1"/>
      <w:numFmt w:val="bullet"/>
      <w:lvlText w:val="o"/>
      <w:lvlJc w:val="left"/>
      <w:pPr>
        <w:ind w:left="3588" w:hanging="360"/>
      </w:pPr>
      <w:rPr>
        <w:rFonts w:ascii="Courier New" w:hAnsi="Courier New" w:cs="Courier New" w:hint="default"/>
      </w:rPr>
    </w:lvl>
    <w:lvl w:ilvl="2" w:tplc="10090005" w:tentative="1">
      <w:start w:val="1"/>
      <w:numFmt w:val="bullet"/>
      <w:lvlText w:val=""/>
      <w:lvlJc w:val="left"/>
      <w:pPr>
        <w:ind w:left="4308" w:hanging="360"/>
      </w:pPr>
      <w:rPr>
        <w:rFonts w:ascii="Wingdings" w:hAnsi="Wingdings" w:hint="default"/>
      </w:rPr>
    </w:lvl>
    <w:lvl w:ilvl="3" w:tplc="10090001" w:tentative="1">
      <w:start w:val="1"/>
      <w:numFmt w:val="bullet"/>
      <w:lvlText w:val=""/>
      <w:lvlJc w:val="left"/>
      <w:pPr>
        <w:ind w:left="5028" w:hanging="360"/>
      </w:pPr>
      <w:rPr>
        <w:rFonts w:ascii="Symbol" w:hAnsi="Symbol" w:hint="default"/>
      </w:rPr>
    </w:lvl>
    <w:lvl w:ilvl="4" w:tplc="10090003" w:tentative="1">
      <w:start w:val="1"/>
      <w:numFmt w:val="bullet"/>
      <w:lvlText w:val="o"/>
      <w:lvlJc w:val="left"/>
      <w:pPr>
        <w:ind w:left="5748" w:hanging="360"/>
      </w:pPr>
      <w:rPr>
        <w:rFonts w:ascii="Courier New" w:hAnsi="Courier New" w:cs="Courier New" w:hint="default"/>
      </w:rPr>
    </w:lvl>
    <w:lvl w:ilvl="5" w:tplc="10090005" w:tentative="1">
      <w:start w:val="1"/>
      <w:numFmt w:val="bullet"/>
      <w:lvlText w:val=""/>
      <w:lvlJc w:val="left"/>
      <w:pPr>
        <w:ind w:left="6468" w:hanging="360"/>
      </w:pPr>
      <w:rPr>
        <w:rFonts w:ascii="Wingdings" w:hAnsi="Wingdings" w:hint="default"/>
      </w:rPr>
    </w:lvl>
    <w:lvl w:ilvl="6" w:tplc="10090001" w:tentative="1">
      <w:start w:val="1"/>
      <w:numFmt w:val="bullet"/>
      <w:lvlText w:val=""/>
      <w:lvlJc w:val="left"/>
      <w:pPr>
        <w:ind w:left="7188" w:hanging="360"/>
      </w:pPr>
      <w:rPr>
        <w:rFonts w:ascii="Symbol" w:hAnsi="Symbol" w:hint="default"/>
      </w:rPr>
    </w:lvl>
    <w:lvl w:ilvl="7" w:tplc="10090003" w:tentative="1">
      <w:start w:val="1"/>
      <w:numFmt w:val="bullet"/>
      <w:lvlText w:val="o"/>
      <w:lvlJc w:val="left"/>
      <w:pPr>
        <w:ind w:left="7908" w:hanging="360"/>
      </w:pPr>
      <w:rPr>
        <w:rFonts w:ascii="Courier New" w:hAnsi="Courier New" w:cs="Courier New" w:hint="default"/>
      </w:rPr>
    </w:lvl>
    <w:lvl w:ilvl="8" w:tplc="10090005" w:tentative="1">
      <w:start w:val="1"/>
      <w:numFmt w:val="bullet"/>
      <w:lvlText w:val=""/>
      <w:lvlJc w:val="left"/>
      <w:pPr>
        <w:ind w:left="8628" w:hanging="360"/>
      </w:pPr>
      <w:rPr>
        <w:rFonts w:ascii="Wingdings" w:hAnsi="Wingdings" w:hint="default"/>
      </w:rPr>
    </w:lvl>
  </w:abstractNum>
  <w:abstractNum w:abstractNumId="16" w15:restartNumberingAfterBreak="0">
    <w:nsid w:val="4CE36BA0"/>
    <w:multiLevelType w:val="hybridMultilevel"/>
    <w:tmpl w:val="5742DC2C"/>
    <w:lvl w:ilvl="0" w:tplc="323471C8">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54283EE8"/>
    <w:multiLevelType w:val="multilevel"/>
    <w:tmpl w:val="D3969710"/>
    <w:lvl w:ilvl="0">
      <w:start w:val="1"/>
      <w:numFmt w:val="decimal"/>
      <w:pStyle w:val="ParaNoNdepar-AltN"/>
      <w:lvlText w:val="[%1]"/>
      <w:lvlJc w:val="left"/>
      <w:pPr>
        <w:tabs>
          <w:tab w:val="num" w:pos="3042"/>
        </w:tabs>
        <w:ind w:left="1890" w:firstLine="0"/>
      </w:pPr>
      <w:rPr>
        <w:rFonts w:ascii="Times New Roman" w:hAnsi="Times New Roman" w:hint="default"/>
        <w:b w:val="0"/>
        <w:sz w:val="24"/>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655E1740"/>
    <w:multiLevelType w:val="hybridMultilevel"/>
    <w:tmpl w:val="535EC1AC"/>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8"/>
  </w:num>
  <w:num w:numId="2">
    <w:abstractNumId w:val="11"/>
  </w:num>
  <w:num w:numId="3">
    <w:abstractNumId w:val="10"/>
  </w:num>
  <w:num w:numId="4">
    <w:abstractNumId w:val="15"/>
  </w:num>
  <w:num w:numId="5">
    <w:abstractNumId w:val="16"/>
  </w:num>
  <w:num w:numId="6">
    <w:abstractNumId w:val="17"/>
  </w:num>
  <w:num w:numId="7">
    <w:abstractNumId w:val="13"/>
  </w:num>
  <w:num w:numId="8">
    <w:abstractNumId w:val="13"/>
    <w:lvlOverride w:ilvl="0">
      <w:lvl w:ilvl="0">
        <w:start w:val="1"/>
        <w:numFmt w:val="upperRoman"/>
        <w:pStyle w:val="Title1LevelTitre1Niveau-AltL"/>
        <w:lvlText w:val="%1."/>
        <w:lvlJc w:val="left"/>
        <w:pPr>
          <w:tabs>
            <w:tab w:val="num" w:pos="576"/>
          </w:tabs>
          <w:ind w:left="576" w:hanging="576"/>
        </w:pPr>
        <w:rPr>
          <w:rFonts w:hint="default"/>
          <w:sz w:val="24"/>
        </w:rPr>
      </w:lvl>
    </w:lvlOverride>
    <w:lvlOverride w:ilvl="1">
      <w:lvl w:ilvl="1">
        <w:start w:val="1"/>
        <w:numFmt w:val="upperLetter"/>
        <w:pStyle w:val="Title2LevelTitre2Niveau"/>
        <w:lvlText w:val="%2."/>
        <w:lvlJc w:val="left"/>
        <w:pPr>
          <w:tabs>
            <w:tab w:val="num" w:pos="576"/>
          </w:tabs>
          <w:ind w:left="576" w:hanging="576"/>
        </w:pPr>
        <w:rPr>
          <w:rFonts w:ascii="Times New Roman" w:hAnsi="Times New Roman" w:hint="default"/>
          <w:b w:val="0"/>
          <w:i w:val="0"/>
          <w:sz w:val="24"/>
        </w:rPr>
      </w:lvl>
    </w:lvlOverride>
    <w:lvlOverride w:ilvl="2">
      <w:lvl w:ilvl="2">
        <w:start w:val="1"/>
        <w:numFmt w:val="decimal"/>
        <w:pStyle w:val="Title3LevelTitre3Niveau"/>
        <w:lvlText w:val="(%3)"/>
        <w:lvlJc w:val="left"/>
        <w:pPr>
          <w:tabs>
            <w:tab w:val="num" w:pos="1152"/>
          </w:tabs>
          <w:ind w:left="1152" w:hanging="576"/>
        </w:pPr>
        <w:rPr>
          <w:rFonts w:ascii="Times New Roman" w:hAnsi="Times New Roman" w:hint="default"/>
          <w:b w:val="0"/>
          <w:i w:val="0"/>
          <w:sz w:val="24"/>
        </w:rPr>
      </w:lvl>
    </w:lvlOverride>
    <w:lvlOverride w:ilvl="3">
      <w:lvl w:ilvl="3">
        <w:start w:val="1"/>
        <w:numFmt w:val="lowerLetter"/>
        <w:pStyle w:val="Title4LevelTitre4Niveau"/>
        <w:lvlText w:val="(%4)"/>
        <w:lvlJc w:val="left"/>
        <w:pPr>
          <w:tabs>
            <w:tab w:val="num" w:pos="1152"/>
          </w:tabs>
          <w:ind w:left="1152" w:hanging="576"/>
        </w:pPr>
        <w:rPr>
          <w:rFonts w:hint="default"/>
          <w:b w:val="0"/>
          <w:i w:val="0"/>
        </w:rPr>
      </w:lvl>
    </w:lvlOverride>
    <w:lvlOverride w:ilvl="4">
      <w:lvl w:ilvl="4">
        <w:start w:val="1"/>
        <w:numFmt w:val="lowerRoman"/>
        <w:pStyle w:val="Title5LevelTitre5Niveau"/>
        <w:lvlText w:val="(%5)"/>
        <w:lvlJc w:val="left"/>
        <w:pPr>
          <w:tabs>
            <w:tab w:val="num" w:pos="1728"/>
          </w:tabs>
          <w:ind w:left="1728" w:hanging="576"/>
        </w:pPr>
        <w:rPr>
          <w:rFonts w:hint="default"/>
        </w:rPr>
      </w:lvl>
    </w:lvlOverride>
    <w:lvlOverride w:ilvl="5">
      <w:lvl w:ilvl="5">
        <w:start w:val="1"/>
        <w:numFmt w:val="decimal"/>
        <w:pStyle w:val="Title6LevelTitre6Niveau"/>
        <w:lvlText w:val="%6."/>
        <w:lvlJc w:val="left"/>
        <w:pPr>
          <w:tabs>
            <w:tab w:val="num" w:pos="1728"/>
          </w:tabs>
          <w:ind w:left="1728" w:hanging="576"/>
        </w:pPr>
        <w:rPr>
          <w:rFonts w:hint="default"/>
          <w:b w:val="0"/>
          <w:i w:val="0"/>
        </w:rPr>
      </w:lvl>
    </w:lvlOverride>
    <w:lvlOverride w:ilvl="6">
      <w:lvl w:ilvl="6">
        <w:start w:val="1"/>
        <w:numFmt w:val="decimal"/>
        <w:lvlText w:val="%7."/>
        <w:lvlJc w:val="left"/>
        <w:pPr>
          <w:ind w:left="8208" w:hanging="432"/>
        </w:pPr>
        <w:rPr>
          <w:rFonts w:hint="default"/>
        </w:rPr>
      </w:lvl>
    </w:lvlOverride>
    <w:lvlOverride w:ilvl="7">
      <w:lvl w:ilvl="7">
        <w:start w:val="1"/>
        <w:numFmt w:val="lowerLetter"/>
        <w:lvlText w:val="%8."/>
        <w:lvlJc w:val="left"/>
        <w:pPr>
          <w:ind w:left="8640" w:hanging="432"/>
        </w:pPr>
        <w:rPr>
          <w:rFonts w:hint="default"/>
        </w:rPr>
      </w:lvl>
    </w:lvlOverride>
    <w:lvlOverride w:ilvl="8">
      <w:lvl w:ilvl="8">
        <w:start w:val="1"/>
        <w:numFmt w:val="lowerRoman"/>
        <w:lvlText w:val="%9."/>
        <w:lvlJc w:val="left"/>
        <w:pPr>
          <w:ind w:left="9072" w:hanging="432"/>
        </w:pPr>
        <w:rPr>
          <w:rFonts w:hint="default"/>
        </w:rPr>
      </w:lvl>
    </w:lvlOverride>
  </w:num>
  <w:num w:numId="9">
    <w:abstractNumId w:val="14"/>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12"/>
  </w:num>
  <w:num w:numId="21">
    <w:abstractNumId w:val="13"/>
    <w:lvlOverride w:ilvl="0">
      <w:startOverride w:val="1"/>
      <w:lvl w:ilvl="0">
        <w:start w:val="1"/>
        <w:numFmt w:val="upperRoman"/>
        <w:pStyle w:val="Title1LevelTitre1Niveau-AltL"/>
        <w:lvlText w:val="%1."/>
        <w:lvlJc w:val="left"/>
        <w:pPr>
          <w:tabs>
            <w:tab w:val="num" w:pos="576"/>
          </w:tabs>
          <w:ind w:left="576" w:hanging="576"/>
        </w:pPr>
        <w:rPr>
          <w:rFonts w:hint="default"/>
          <w:sz w:val="24"/>
        </w:rPr>
      </w:lvl>
    </w:lvlOverride>
    <w:lvlOverride w:ilvl="1">
      <w:startOverride w:val="1"/>
      <w:lvl w:ilvl="1">
        <w:start w:val="1"/>
        <w:numFmt w:val="upperLetter"/>
        <w:pStyle w:val="Title2LevelTitre2Niveau"/>
        <w:lvlText w:val="%2."/>
        <w:lvlJc w:val="left"/>
        <w:pPr>
          <w:tabs>
            <w:tab w:val="num" w:pos="576"/>
          </w:tabs>
          <w:ind w:left="576" w:hanging="576"/>
        </w:pPr>
        <w:rPr>
          <w:rFonts w:ascii="Times New Roman" w:hAnsi="Times New Roman" w:hint="default"/>
          <w:b w:val="0"/>
          <w:i w:val="0"/>
          <w:sz w:val="24"/>
        </w:rPr>
      </w:lvl>
    </w:lvlOverride>
    <w:lvlOverride w:ilvl="2">
      <w:startOverride w:val="1"/>
      <w:lvl w:ilvl="2">
        <w:start w:val="1"/>
        <w:numFmt w:val="decimal"/>
        <w:pStyle w:val="Title3LevelTitre3Niveau"/>
        <w:lvlText w:val="(%3)"/>
        <w:lvlJc w:val="left"/>
        <w:pPr>
          <w:tabs>
            <w:tab w:val="num" w:pos="1152"/>
          </w:tabs>
          <w:ind w:left="1152" w:hanging="576"/>
        </w:pPr>
        <w:rPr>
          <w:rFonts w:ascii="Times New Roman" w:hAnsi="Times New Roman" w:hint="default"/>
          <w:b w:val="0"/>
          <w:i w:val="0"/>
          <w:sz w:val="24"/>
        </w:rPr>
      </w:lvl>
    </w:lvlOverride>
    <w:lvlOverride w:ilvl="3">
      <w:startOverride w:val="1"/>
      <w:lvl w:ilvl="3">
        <w:start w:val="1"/>
        <w:numFmt w:val="lowerLetter"/>
        <w:pStyle w:val="Title4LevelTitre4Niveau"/>
        <w:lvlText w:val="(%4)"/>
        <w:lvlJc w:val="left"/>
        <w:pPr>
          <w:tabs>
            <w:tab w:val="num" w:pos="1152"/>
          </w:tabs>
          <w:ind w:left="1152" w:hanging="576"/>
        </w:pPr>
        <w:rPr>
          <w:rFonts w:hint="default"/>
          <w:b w:val="0"/>
          <w:i w:val="0"/>
        </w:rPr>
      </w:lvl>
    </w:lvlOverride>
    <w:lvlOverride w:ilvl="4">
      <w:startOverride w:val="1"/>
      <w:lvl w:ilvl="4">
        <w:start w:val="1"/>
        <w:numFmt w:val="lowerRoman"/>
        <w:pStyle w:val="Title5LevelTitre5Niveau"/>
        <w:lvlText w:val="(%5)"/>
        <w:lvlJc w:val="left"/>
        <w:pPr>
          <w:tabs>
            <w:tab w:val="num" w:pos="1728"/>
          </w:tabs>
          <w:ind w:left="1728" w:hanging="576"/>
        </w:pPr>
        <w:rPr>
          <w:rFonts w:hint="default"/>
        </w:rPr>
      </w:lvl>
    </w:lvlOverride>
    <w:lvlOverride w:ilvl="5">
      <w:startOverride w:val="1"/>
      <w:lvl w:ilvl="5">
        <w:start w:val="1"/>
        <w:numFmt w:val="decimal"/>
        <w:pStyle w:val="Title6LevelTitre6Niveau"/>
        <w:lvlText w:val="%6."/>
        <w:lvlJc w:val="left"/>
        <w:pPr>
          <w:tabs>
            <w:tab w:val="num" w:pos="1728"/>
          </w:tabs>
          <w:ind w:left="1728" w:hanging="576"/>
        </w:pPr>
        <w:rPr>
          <w:rFonts w:hint="default"/>
          <w:b w:val="0"/>
          <w:i w:val="0"/>
        </w:rPr>
      </w:lvl>
    </w:lvlOverride>
    <w:lvlOverride w:ilvl="6">
      <w:startOverride w:val="1"/>
      <w:lvl w:ilvl="6">
        <w:start w:val="1"/>
        <w:numFmt w:val="decimal"/>
        <w:lvlText w:val="%7."/>
        <w:lvlJc w:val="left"/>
        <w:pPr>
          <w:ind w:left="8208" w:hanging="432"/>
        </w:pPr>
        <w:rPr>
          <w:rFonts w:hint="default"/>
        </w:rPr>
      </w:lvl>
    </w:lvlOverride>
    <w:lvlOverride w:ilvl="7">
      <w:startOverride w:val="1"/>
      <w:lvl w:ilvl="7">
        <w:start w:val="1"/>
        <w:numFmt w:val="lowerLetter"/>
        <w:lvlText w:val="%8."/>
        <w:lvlJc w:val="left"/>
        <w:pPr>
          <w:ind w:left="8640" w:hanging="432"/>
        </w:pPr>
        <w:rPr>
          <w:rFonts w:hint="default"/>
        </w:rPr>
      </w:lvl>
    </w:lvlOverride>
    <w:lvlOverride w:ilvl="8">
      <w:startOverride w:val="1"/>
      <w:lvl w:ilvl="8">
        <w:start w:val="1"/>
        <w:numFmt w:val="lowerRoman"/>
        <w:lvlText w:val="%9."/>
        <w:lvlJc w:val="left"/>
        <w:pPr>
          <w:ind w:left="9072" w:hanging="432"/>
        </w:pPr>
        <w:rPr>
          <w:rFonts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removePersonalInformation/>
  <w:removeDateAndTime/>
  <w:bordersDoNotSurroundHeader/>
  <w:bordersDoNotSurroundFooter/>
  <w:proofState w:spelling="clean" w:grammar="clean"/>
  <w:defaultTabStop w:val="720"/>
  <w:hyphenationZone w:val="425"/>
  <w:doNotHyphenateCaps/>
  <w:drawingGridHorizontalSpacing w:val="120"/>
  <w:drawingGridVerticalSpacing w:val="0"/>
  <w:displayHorizontalDrawingGridEvery w:val="0"/>
  <w:displayVerticalDrawingGridEvery w:val="0"/>
  <w:doNotShadeFormData/>
  <w:noPunctuationKerning/>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414C"/>
    <w:rsid w:val="00000ED4"/>
    <w:rsid w:val="00025198"/>
    <w:rsid w:val="00035DB2"/>
    <w:rsid w:val="000578A3"/>
    <w:rsid w:val="000648CC"/>
    <w:rsid w:val="00094AEE"/>
    <w:rsid w:val="000A194B"/>
    <w:rsid w:val="000C59B8"/>
    <w:rsid w:val="000C6AF0"/>
    <w:rsid w:val="000D04AC"/>
    <w:rsid w:val="000D203A"/>
    <w:rsid w:val="00104F33"/>
    <w:rsid w:val="00111DE2"/>
    <w:rsid w:val="00116B38"/>
    <w:rsid w:val="00131E35"/>
    <w:rsid w:val="00135406"/>
    <w:rsid w:val="00135972"/>
    <w:rsid w:val="001416BC"/>
    <w:rsid w:val="001426A9"/>
    <w:rsid w:val="00154D7C"/>
    <w:rsid w:val="001570B0"/>
    <w:rsid w:val="0015752C"/>
    <w:rsid w:val="00157737"/>
    <w:rsid w:val="00161504"/>
    <w:rsid w:val="00165277"/>
    <w:rsid w:val="0016581F"/>
    <w:rsid w:val="00170592"/>
    <w:rsid w:val="00182DB9"/>
    <w:rsid w:val="00186351"/>
    <w:rsid w:val="00195D83"/>
    <w:rsid w:val="001A00C1"/>
    <w:rsid w:val="001B33E0"/>
    <w:rsid w:val="001B4573"/>
    <w:rsid w:val="001C779F"/>
    <w:rsid w:val="001C7E5D"/>
    <w:rsid w:val="001D2AC1"/>
    <w:rsid w:val="001D4E88"/>
    <w:rsid w:val="00220FC2"/>
    <w:rsid w:val="002222F4"/>
    <w:rsid w:val="00224FC0"/>
    <w:rsid w:val="00225EA4"/>
    <w:rsid w:val="00226EAF"/>
    <w:rsid w:val="00231F3A"/>
    <w:rsid w:val="00234199"/>
    <w:rsid w:val="002406EE"/>
    <w:rsid w:val="00243EC8"/>
    <w:rsid w:val="0026540F"/>
    <w:rsid w:val="00270D93"/>
    <w:rsid w:val="002745CC"/>
    <w:rsid w:val="00297933"/>
    <w:rsid w:val="002B7924"/>
    <w:rsid w:val="002D28C3"/>
    <w:rsid w:val="002D39A4"/>
    <w:rsid w:val="002E6705"/>
    <w:rsid w:val="00301D08"/>
    <w:rsid w:val="0030329A"/>
    <w:rsid w:val="0031086F"/>
    <w:rsid w:val="0031414C"/>
    <w:rsid w:val="00314A0A"/>
    <w:rsid w:val="00314E01"/>
    <w:rsid w:val="0032089D"/>
    <w:rsid w:val="003310DE"/>
    <w:rsid w:val="003323B0"/>
    <w:rsid w:val="0035169A"/>
    <w:rsid w:val="0035259D"/>
    <w:rsid w:val="00364B18"/>
    <w:rsid w:val="00367FF7"/>
    <w:rsid w:val="003A125D"/>
    <w:rsid w:val="003A4C70"/>
    <w:rsid w:val="003B215F"/>
    <w:rsid w:val="003C799C"/>
    <w:rsid w:val="003D0399"/>
    <w:rsid w:val="003E1C71"/>
    <w:rsid w:val="003F327B"/>
    <w:rsid w:val="00406166"/>
    <w:rsid w:val="0040704B"/>
    <w:rsid w:val="00410A55"/>
    <w:rsid w:val="00411300"/>
    <w:rsid w:val="00415417"/>
    <w:rsid w:val="00424FDB"/>
    <w:rsid w:val="00426659"/>
    <w:rsid w:val="00433DA1"/>
    <w:rsid w:val="00450352"/>
    <w:rsid w:val="00454BDB"/>
    <w:rsid w:val="00464800"/>
    <w:rsid w:val="00465132"/>
    <w:rsid w:val="00480C90"/>
    <w:rsid w:val="0048396F"/>
    <w:rsid w:val="00493C18"/>
    <w:rsid w:val="004A600C"/>
    <w:rsid w:val="004A6118"/>
    <w:rsid w:val="004C478D"/>
    <w:rsid w:val="004C5266"/>
    <w:rsid w:val="004E2C26"/>
    <w:rsid w:val="004F36FF"/>
    <w:rsid w:val="004F3FA7"/>
    <w:rsid w:val="005125A8"/>
    <w:rsid w:val="00521AE8"/>
    <w:rsid w:val="00527180"/>
    <w:rsid w:val="0054201E"/>
    <w:rsid w:val="00555291"/>
    <w:rsid w:val="00566AD1"/>
    <w:rsid w:val="00583EDE"/>
    <w:rsid w:val="005A6079"/>
    <w:rsid w:val="005D1E4F"/>
    <w:rsid w:val="005E4698"/>
    <w:rsid w:val="005F6741"/>
    <w:rsid w:val="00610539"/>
    <w:rsid w:val="00613969"/>
    <w:rsid w:val="00624554"/>
    <w:rsid w:val="00625C35"/>
    <w:rsid w:val="00636FE4"/>
    <w:rsid w:val="00650921"/>
    <w:rsid w:val="00656313"/>
    <w:rsid w:val="006565F4"/>
    <w:rsid w:val="00660483"/>
    <w:rsid w:val="00684EEA"/>
    <w:rsid w:val="0069689B"/>
    <w:rsid w:val="006A1551"/>
    <w:rsid w:val="006B5FF5"/>
    <w:rsid w:val="006F30AF"/>
    <w:rsid w:val="00701759"/>
    <w:rsid w:val="00705C15"/>
    <w:rsid w:val="0071600E"/>
    <w:rsid w:val="007176E1"/>
    <w:rsid w:val="007208D1"/>
    <w:rsid w:val="00747288"/>
    <w:rsid w:val="00747DD3"/>
    <w:rsid w:val="007549C8"/>
    <w:rsid w:val="00754A0B"/>
    <w:rsid w:val="00766D14"/>
    <w:rsid w:val="00767A0F"/>
    <w:rsid w:val="00794AB8"/>
    <w:rsid w:val="007A05F6"/>
    <w:rsid w:val="007B6F4A"/>
    <w:rsid w:val="007B78BD"/>
    <w:rsid w:val="007E1C47"/>
    <w:rsid w:val="007E337A"/>
    <w:rsid w:val="007E5C70"/>
    <w:rsid w:val="007F2FF5"/>
    <w:rsid w:val="007F3A0F"/>
    <w:rsid w:val="007F3F08"/>
    <w:rsid w:val="00804CC6"/>
    <w:rsid w:val="00811A44"/>
    <w:rsid w:val="00817190"/>
    <w:rsid w:val="00820EE5"/>
    <w:rsid w:val="008260E2"/>
    <w:rsid w:val="008322BD"/>
    <w:rsid w:val="00833E0A"/>
    <w:rsid w:val="00834F73"/>
    <w:rsid w:val="00864CF8"/>
    <w:rsid w:val="00872756"/>
    <w:rsid w:val="00872819"/>
    <w:rsid w:val="00874914"/>
    <w:rsid w:val="0088038F"/>
    <w:rsid w:val="00891422"/>
    <w:rsid w:val="00892E1A"/>
    <w:rsid w:val="008A1FC0"/>
    <w:rsid w:val="008A3F29"/>
    <w:rsid w:val="008B660A"/>
    <w:rsid w:val="008C01DA"/>
    <w:rsid w:val="008F12D1"/>
    <w:rsid w:val="008F78E9"/>
    <w:rsid w:val="00911989"/>
    <w:rsid w:val="009179F9"/>
    <w:rsid w:val="00923478"/>
    <w:rsid w:val="00933E5E"/>
    <w:rsid w:val="00935218"/>
    <w:rsid w:val="009403F3"/>
    <w:rsid w:val="0094709D"/>
    <w:rsid w:val="009555B7"/>
    <w:rsid w:val="009567AA"/>
    <w:rsid w:val="00960870"/>
    <w:rsid w:val="00967374"/>
    <w:rsid w:val="009A343A"/>
    <w:rsid w:val="009A5C6F"/>
    <w:rsid w:val="009A6979"/>
    <w:rsid w:val="009B2F23"/>
    <w:rsid w:val="009B57B3"/>
    <w:rsid w:val="009C2A09"/>
    <w:rsid w:val="009C5B92"/>
    <w:rsid w:val="009D2920"/>
    <w:rsid w:val="009D5AEB"/>
    <w:rsid w:val="009F0E33"/>
    <w:rsid w:val="00A030CE"/>
    <w:rsid w:val="00A149DF"/>
    <w:rsid w:val="00A1755C"/>
    <w:rsid w:val="00A21B90"/>
    <w:rsid w:val="00A31653"/>
    <w:rsid w:val="00A401CE"/>
    <w:rsid w:val="00A41805"/>
    <w:rsid w:val="00A42DCD"/>
    <w:rsid w:val="00A52AFB"/>
    <w:rsid w:val="00A548CB"/>
    <w:rsid w:val="00A5521C"/>
    <w:rsid w:val="00A643E7"/>
    <w:rsid w:val="00A73C38"/>
    <w:rsid w:val="00AB670D"/>
    <w:rsid w:val="00AC33F6"/>
    <w:rsid w:val="00AD281A"/>
    <w:rsid w:val="00AE2238"/>
    <w:rsid w:val="00AE4535"/>
    <w:rsid w:val="00AE7BDE"/>
    <w:rsid w:val="00AF03C5"/>
    <w:rsid w:val="00B000D8"/>
    <w:rsid w:val="00B00F75"/>
    <w:rsid w:val="00B145B6"/>
    <w:rsid w:val="00B2226F"/>
    <w:rsid w:val="00B232BB"/>
    <w:rsid w:val="00B279EB"/>
    <w:rsid w:val="00B50C81"/>
    <w:rsid w:val="00B557F8"/>
    <w:rsid w:val="00B815FC"/>
    <w:rsid w:val="00B93FBC"/>
    <w:rsid w:val="00BA7DA0"/>
    <w:rsid w:val="00BB2EE4"/>
    <w:rsid w:val="00BC181F"/>
    <w:rsid w:val="00BC2108"/>
    <w:rsid w:val="00BD0781"/>
    <w:rsid w:val="00BD0E9E"/>
    <w:rsid w:val="00BD1BEC"/>
    <w:rsid w:val="00BD32FF"/>
    <w:rsid w:val="00C02092"/>
    <w:rsid w:val="00C03185"/>
    <w:rsid w:val="00C24D91"/>
    <w:rsid w:val="00C353F7"/>
    <w:rsid w:val="00C53F14"/>
    <w:rsid w:val="00C600CF"/>
    <w:rsid w:val="00C6084F"/>
    <w:rsid w:val="00C62A66"/>
    <w:rsid w:val="00C71458"/>
    <w:rsid w:val="00C75F6A"/>
    <w:rsid w:val="00C77613"/>
    <w:rsid w:val="00C828E7"/>
    <w:rsid w:val="00C86719"/>
    <w:rsid w:val="00C921DD"/>
    <w:rsid w:val="00CA6391"/>
    <w:rsid w:val="00CA6FE4"/>
    <w:rsid w:val="00CC34BD"/>
    <w:rsid w:val="00CE161A"/>
    <w:rsid w:val="00CE3171"/>
    <w:rsid w:val="00CF1601"/>
    <w:rsid w:val="00D0172F"/>
    <w:rsid w:val="00D068A7"/>
    <w:rsid w:val="00D17476"/>
    <w:rsid w:val="00D32086"/>
    <w:rsid w:val="00D37A3F"/>
    <w:rsid w:val="00D4431D"/>
    <w:rsid w:val="00D4667A"/>
    <w:rsid w:val="00D63A1C"/>
    <w:rsid w:val="00D7516F"/>
    <w:rsid w:val="00D8579F"/>
    <w:rsid w:val="00D95F8E"/>
    <w:rsid w:val="00DA0590"/>
    <w:rsid w:val="00DA0682"/>
    <w:rsid w:val="00DB7BEA"/>
    <w:rsid w:val="00DC1739"/>
    <w:rsid w:val="00DC1788"/>
    <w:rsid w:val="00DE319C"/>
    <w:rsid w:val="00DF0CA8"/>
    <w:rsid w:val="00DF2B48"/>
    <w:rsid w:val="00DF49A7"/>
    <w:rsid w:val="00E07EE2"/>
    <w:rsid w:val="00E07FD1"/>
    <w:rsid w:val="00E10067"/>
    <w:rsid w:val="00E176D8"/>
    <w:rsid w:val="00E24573"/>
    <w:rsid w:val="00E25E1E"/>
    <w:rsid w:val="00E27EE7"/>
    <w:rsid w:val="00E35404"/>
    <w:rsid w:val="00E45109"/>
    <w:rsid w:val="00E47B7A"/>
    <w:rsid w:val="00E56A44"/>
    <w:rsid w:val="00E60269"/>
    <w:rsid w:val="00E77932"/>
    <w:rsid w:val="00E97830"/>
    <w:rsid w:val="00EA770D"/>
    <w:rsid w:val="00EC2129"/>
    <w:rsid w:val="00EE643C"/>
    <w:rsid w:val="00EF0683"/>
    <w:rsid w:val="00EF69D2"/>
    <w:rsid w:val="00EF766E"/>
    <w:rsid w:val="00F0070C"/>
    <w:rsid w:val="00F00EB7"/>
    <w:rsid w:val="00F12554"/>
    <w:rsid w:val="00F17EA7"/>
    <w:rsid w:val="00F22618"/>
    <w:rsid w:val="00F25ECA"/>
    <w:rsid w:val="00F36AB6"/>
    <w:rsid w:val="00F37A09"/>
    <w:rsid w:val="00F409CE"/>
    <w:rsid w:val="00F4379D"/>
    <w:rsid w:val="00F46C1A"/>
    <w:rsid w:val="00F50D2D"/>
    <w:rsid w:val="00F56C8B"/>
    <w:rsid w:val="00F66810"/>
    <w:rsid w:val="00F846D9"/>
    <w:rsid w:val="00F84DF4"/>
    <w:rsid w:val="00F85C97"/>
    <w:rsid w:val="00FB37D2"/>
    <w:rsid w:val="00FC4EFB"/>
    <w:rsid w:val="00FD068D"/>
    <w:rsid w:val="00FD4F28"/>
    <w:rsid w:val="00FE67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89"/>
    <o:shapelayout v:ext="edit">
      <o:idmap v:ext="edit" data="1"/>
    </o:shapelayout>
  </w:shapeDefaults>
  <w:decimalSymbol w:val="."/>
  <w:listSeparator w:val=","/>
  <w14:docId w14:val="35D13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5F8E"/>
    <w:rPr>
      <w:sz w:val="24"/>
    </w:rPr>
  </w:style>
  <w:style w:type="paragraph" w:styleId="Heading1">
    <w:name w:val="heading 1"/>
    <w:basedOn w:val="Normal"/>
    <w:next w:val="Normal"/>
    <w:link w:val="Heading1Char"/>
    <w:uiPriority w:val="9"/>
    <w:qFormat/>
    <w:rsid w:val="003A125D"/>
    <w:pPr>
      <w:keepNext/>
      <w:keepLines/>
      <w:spacing w:after="720"/>
      <w:ind w:left="720" w:hanging="72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F85C9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6581F"/>
    <w:pPr>
      <w:keepNext/>
      <w:keepLines/>
      <w:spacing w:before="200"/>
      <w:outlineLvl w:val="2"/>
    </w:pPr>
    <w:rPr>
      <w:rFonts w:asciiTheme="majorHAnsi" w:eastAsiaTheme="majorEastAsia" w:hAnsiTheme="majorHAnsi" w:cstheme="majorBidi"/>
      <w:b/>
      <w:bCs/>
      <w:color w:val="4F81BD" w:themeColor="accent1"/>
      <w:szCs w:val="22"/>
      <w:lang w:val="en-US" w:eastAsia="en-US" w:bidi="en-US"/>
    </w:rPr>
  </w:style>
  <w:style w:type="paragraph" w:styleId="Heading4">
    <w:name w:val="heading 4"/>
    <w:basedOn w:val="Normal"/>
    <w:next w:val="Normal"/>
    <w:link w:val="Heading4Char"/>
    <w:uiPriority w:val="9"/>
    <w:semiHidden/>
    <w:unhideWhenUsed/>
    <w:qFormat/>
    <w:rsid w:val="0016581F"/>
    <w:pPr>
      <w:keepNext/>
      <w:keepLines/>
      <w:spacing w:before="200"/>
      <w:outlineLvl w:val="3"/>
    </w:pPr>
    <w:rPr>
      <w:rFonts w:asciiTheme="majorHAnsi" w:eastAsiaTheme="majorEastAsia" w:hAnsiTheme="majorHAnsi" w:cstheme="majorBidi"/>
      <w:b/>
      <w:bCs/>
      <w:i/>
      <w:iCs/>
      <w:color w:val="4F81BD" w:themeColor="accent1"/>
      <w:szCs w:val="22"/>
      <w:lang w:val="en-US" w:eastAsia="en-US" w:bidi="en-US"/>
    </w:rPr>
  </w:style>
  <w:style w:type="paragraph" w:styleId="Heading5">
    <w:name w:val="heading 5"/>
    <w:basedOn w:val="Normal"/>
    <w:next w:val="Normal"/>
    <w:link w:val="Heading5Char"/>
    <w:uiPriority w:val="9"/>
    <w:semiHidden/>
    <w:unhideWhenUsed/>
    <w:qFormat/>
    <w:rsid w:val="0016581F"/>
    <w:pPr>
      <w:keepNext/>
      <w:keepLines/>
      <w:spacing w:before="200"/>
      <w:outlineLvl w:val="4"/>
    </w:pPr>
    <w:rPr>
      <w:rFonts w:asciiTheme="majorHAnsi" w:eastAsiaTheme="majorEastAsia" w:hAnsiTheme="majorHAnsi" w:cstheme="majorBidi"/>
      <w:color w:val="243F60" w:themeColor="accent1" w:themeShade="7F"/>
      <w:szCs w:val="22"/>
      <w:lang w:val="en-US" w:eastAsia="en-US" w:bidi="en-US"/>
    </w:rPr>
  </w:style>
  <w:style w:type="paragraph" w:styleId="Heading6">
    <w:name w:val="heading 6"/>
    <w:basedOn w:val="Normal"/>
    <w:next w:val="Normal"/>
    <w:link w:val="Heading6Char"/>
    <w:uiPriority w:val="9"/>
    <w:semiHidden/>
    <w:unhideWhenUsed/>
    <w:qFormat/>
    <w:rsid w:val="0016581F"/>
    <w:pPr>
      <w:keepNext/>
      <w:keepLines/>
      <w:spacing w:before="200"/>
      <w:outlineLvl w:val="5"/>
    </w:pPr>
    <w:rPr>
      <w:rFonts w:asciiTheme="majorHAnsi" w:eastAsiaTheme="majorEastAsia" w:hAnsiTheme="majorHAnsi" w:cstheme="majorBidi"/>
      <w:i/>
      <w:iCs/>
      <w:color w:val="243F60" w:themeColor="accent1" w:themeShade="7F"/>
      <w:szCs w:val="22"/>
      <w:lang w:val="en-US" w:eastAsia="en-US" w:bidi="en-US"/>
    </w:rPr>
  </w:style>
  <w:style w:type="paragraph" w:styleId="Heading7">
    <w:name w:val="heading 7"/>
    <w:basedOn w:val="Normal"/>
    <w:next w:val="Normal"/>
    <w:link w:val="Heading7Char"/>
    <w:uiPriority w:val="9"/>
    <w:semiHidden/>
    <w:unhideWhenUsed/>
    <w:qFormat/>
    <w:rsid w:val="0016581F"/>
    <w:pPr>
      <w:keepNext/>
      <w:keepLines/>
      <w:spacing w:before="200"/>
      <w:outlineLvl w:val="6"/>
    </w:pPr>
    <w:rPr>
      <w:rFonts w:asciiTheme="majorHAnsi" w:eastAsiaTheme="majorEastAsia" w:hAnsiTheme="majorHAnsi" w:cstheme="majorBidi"/>
      <w:i/>
      <w:iCs/>
      <w:color w:val="404040" w:themeColor="text1" w:themeTint="BF"/>
      <w:szCs w:val="22"/>
      <w:lang w:val="en-US" w:eastAsia="en-US" w:bidi="en-US"/>
    </w:rPr>
  </w:style>
  <w:style w:type="paragraph" w:styleId="Heading8">
    <w:name w:val="heading 8"/>
    <w:basedOn w:val="Normal"/>
    <w:next w:val="Normal"/>
    <w:link w:val="Heading8Char"/>
    <w:uiPriority w:val="9"/>
    <w:semiHidden/>
    <w:unhideWhenUsed/>
    <w:qFormat/>
    <w:rsid w:val="0016581F"/>
    <w:pPr>
      <w:keepNext/>
      <w:keepLines/>
      <w:spacing w:before="200"/>
      <w:outlineLvl w:val="7"/>
    </w:pPr>
    <w:rPr>
      <w:rFonts w:asciiTheme="majorHAnsi" w:eastAsiaTheme="majorEastAsia" w:hAnsiTheme="majorHAnsi" w:cstheme="majorBidi"/>
      <w:color w:val="4F81BD" w:themeColor="accent1"/>
      <w:sz w:val="20"/>
      <w:lang w:val="en-US" w:eastAsia="en-US" w:bidi="en-US"/>
    </w:rPr>
  </w:style>
  <w:style w:type="paragraph" w:styleId="Heading9">
    <w:name w:val="heading 9"/>
    <w:basedOn w:val="Normal"/>
    <w:next w:val="Normal"/>
    <w:link w:val="Heading9Char"/>
    <w:uiPriority w:val="9"/>
    <w:semiHidden/>
    <w:unhideWhenUsed/>
    <w:qFormat/>
    <w:rsid w:val="0016581F"/>
    <w:pPr>
      <w:keepNext/>
      <w:keepLines/>
      <w:spacing w:before="200"/>
      <w:outlineLvl w:val="8"/>
    </w:pPr>
    <w:rPr>
      <w:rFonts w:asciiTheme="majorHAnsi" w:eastAsiaTheme="majorEastAsia" w:hAnsiTheme="majorHAnsi" w:cstheme="majorBidi"/>
      <w:i/>
      <w:iCs/>
      <w:color w:val="404040" w:themeColor="text1" w:themeTint="BF"/>
      <w:sz w:val="20"/>
      <w:lang w:val="en-US" w:eastAsia="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F85C97"/>
    <w:rPr>
      <w:rFonts w:asciiTheme="majorHAnsi" w:eastAsiaTheme="majorEastAsia" w:hAnsiTheme="majorHAnsi" w:cstheme="majorBidi"/>
      <w:b/>
      <w:bCs/>
      <w:color w:val="4F81BD" w:themeColor="accent1"/>
      <w:sz w:val="26"/>
      <w:szCs w:val="26"/>
    </w:rPr>
  </w:style>
  <w:style w:type="paragraph" w:customStyle="1" w:styleId="1">
    <w:name w:val="1"/>
    <w:aliases w:val=" 2, 3, A"/>
    <w:basedOn w:val="Normal"/>
    <w:uiPriority w:val="1"/>
    <w:rsid w:val="00493C18"/>
    <w:pPr>
      <w:widowControl w:val="0"/>
    </w:pPr>
  </w:style>
  <w:style w:type="paragraph" w:customStyle="1" w:styleId="SCCNormalDoubleSpacing">
    <w:name w:val="SCC.Normal.DoubleSpacing"/>
    <w:basedOn w:val="Normal"/>
    <w:link w:val="SCCNormalDoubleSpacingChar"/>
    <w:rsid w:val="00104F33"/>
    <w:pPr>
      <w:tabs>
        <w:tab w:val="left" w:pos="1168"/>
      </w:tabs>
      <w:spacing w:line="480" w:lineRule="auto"/>
      <w:jc w:val="both"/>
    </w:pPr>
  </w:style>
  <w:style w:type="character" w:customStyle="1" w:styleId="SCCNormalDoubleSpacingChar">
    <w:name w:val="SCC.Normal.DoubleSpacing Char"/>
    <w:basedOn w:val="DefaultParagraphFont"/>
    <w:link w:val="SCCNormalDoubleSpacing"/>
    <w:rsid w:val="00104F33"/>
    <w:rPr>
      <w:sz w:val="24"/>
    </w:rPr>
  </w:style>
  <w:style w:type="character" w:styleId="Strong">
    <w:name w:val="Strong"/>
    <w:basedOn w:val="DefaultParagraphFont"/>
    <w:uiPriority w:val="22"/>
    <w:qFormat/>
    <w:rsid w:val="00C53F14"/>
    <w:rPr>
      <w:b/>
      <w:bCs/>
    </w:rPr>
  </w:style>
  <w:style w:type="paragraph" w:styleId="Quote">
    <w:name w:val="Quote"/>
    <w:basedOn w:val="Normal"/>
    <w:next w:val="Normal"/>
    <w:link w:val="QuoteChar"/>
    <w:uiPriority w:val="29"/>
    <w:qFormat/>
    <w:rsid w:val="00A548CB"/>
    <w:rPr>
      <w:i/>
      <w:iCs/>
      <w:color w:val="000000" w:themeColor="text1"/>
    </w:rPr>
  </w:style>
  <w:style w:type="character" w:customStyle="1" w:styleId="QuoteChar">
    <w:name w:val="Quote Char"/>
    <w:basedOn w:val="DefaultParagraphFont"/>
    <w:link w:val="Quote"/>
    <w:uiPriority w:val="29"/>
    <w:rsid w:val="00A548CB"/>
    <w:rPr>
      <w:i/>
      <w:iCs/>
      <w:color w:val="000000" w:themeColor="text1"/>
      <w:sz w:val="24"/>
      <w:lang w:val="en-US"/>
    </w:rPr>
  </w:style>
  <w:style w:type="character" w:styleId="PlaceholderText">
    <w:name w:val="Placeholder Text"/>
    <w:basedOn w:val="DefaultParagraphFont"/>
    <w:uiPriority w:val="99"/>
    <w:semiHidden/>
    <w:rsid w:val="00CE3171"/>
    <w:rPr>
      <w:color w:val="808080"/>
    </w:rPr>
  </w:style>
  <w:style w:type="paragraph" w:styleId="BalloonText">
    <w:name w:val="Balloon Text"/>
    <w:basedOn w:val="Normal"/>
    <w:link w:val="BalloonTextChar"/>
    <w:uiPriority w:val="99"/>
    <w:semiHidden/>
    <w:unhideWhenUsed/>
    <w:rsid w:val="00CE3171"/>
    <w:rPr>
      <w:rFonts w:ascii="Tahoma" w:hAnsi="Tahoma" w:cs="Tahoma"/>
      <w:sz w:val="16"/>
      <w:szCs w:val="16"/>
    </w:rPr>
  </w:style>
  <w:style w:type="character" w:customStyle="1" w:styleId="BalloonTextChar">
    <w:name w:val="Balloon Text Char"/>
    <w:basedOn w:val="DefaultParagraphFont"/>
    <w:link w:val="BalloonText"/>
    <w:uiPriority w:val="99"/>
    <w:semiHidden/>
    <w:rsid w:val="00CE3171"/>
    <w:rPr>
      <w:rFonts w:ascii="Tahoma" w:hAnsi="Tahoma" w:cs="Tahoma"/>
      <w:sz w:val="16"/>
      <w:szCs w:val="16"/>
      <w:lang w:val="en-US"/>
    </w:rPr>
  </w:style>
  <w:style w:type="paragraph" w:styleId="Header">
    <w:name w:val="header"/>
    <w:basedOn w:val="Normal"/>
    <w:link w:val="HeaderChar"/>
    <w:uiPriority w:val="99"/>
    <w:unhideWhenUsed/>
    <w:rsid w:val="000C59B8"/>
    <w:pPr>
      <w:tabs>
        <w:tab w:val="center" w:pos="4680"/>
        <w:tab w:val="right" w:pos="9360"/>
      </w:tabs>
    </w:pPr>
  </w:style>
  <w:style w:type="character" w:customStyle="1" w:styleId="HeaderChar">
    <w:name w:val="Header Char"/>
    <w:basedOn w:val="DefaultParagraphFont"/>
    <w:link w:val="Header"/>
    <w:uiPriority w:val="99"/>
    <w:rsid w:val="000C59B8"/>
    <w:rPr>
      <w:sz w:val="24"/>
      <w:lang w:val="en-US"/>
    </w:rPr>
  </w:style>
  <w:style w:type="paragraph" w:styleId="Footer">
    <w:name w:val="footer"/>
    <w:basedOn w:val="Normal"/>
    <w:link w:val="FooterChar"/>
    <w:uiPriority w:val="99"/>
    <w:unhideWhenUsed/>
    <w:rsid w:val="000C59B8"/>
    <w:pPr>
      <w:tabs>
        <w:tab w:val="center" w:pos="4680"/>
        <w:tab w:val="right" w:pos="9360"/>
      </w:tabs>
    </w:pPr>
  </w:style>
  <w:style w:type="character" w:customStyle="1" w:styleId="FooterChar">
    <w:name w:val="Footer Char"/>
    <w:basedOn w:val="DefaultParagraphFont"/>
    <w:link w:val="Footer"/>
    <w:uiPriority w:val="99"/>
    <w:rsid w:val="000C59B8"/>
    <w:rPr>
      <w:sz w:val="24"/>
      <w:lang w:val="en-US"/>
    </w:rPr>
  </w:style>
  <w:style w:type="paragraph" w:customStyle="1" w:styleId="SCCLsocParty">
    <w:name w:val="SCC.Lsoc.Party"/>
    <w:basedOn w:val="Normal"/>
    <w:next w:val="Normal"/>
    <w:link w:val="SCCLsocPartyChar"/>
    <w:rsid w:val="005A6079"/>
    <w:pPr>
      <w:tabs>
        <w:tab w:val="right" w:pos="8222"/>
      </w:tabs>
      <w:jc w:val="both"/>
    </w:pPr>
    <w:rPr>
      <w:b/>
    </w:rPr>
  </w:style>
  <w:style w:type="character" w:customStyle="1" w:styleId="SCCLsocPartyChar">
    <w:name w:val="SCC.Lsoc.Party Char"/>
    <w:basedOn w:val="DefaultParagraphFont"/>
    <w:link w:val="SCCLsocParty"/>
    <w:rsid w:val="005A6079"/>
    <w:rPr>
      <w:b/>
      <w:sz w:val="24"/>
    </w:rPr>
  </w:style>
  <w:style w:type="paragraph" w:customStyle="1" w:styleId="SCCLsocVersus">
    <w:name w:val="SCC.Lsoc.Versus"/>
    <w:basedOn w:val="Normal"/>
    <w:next w:val="Normal"/>
    <w:link w:val="SCCLsocVersusChar"/>
    <w:rsid w:val="001A00C1"/>
    <w:pPr>
      <w:spacing w:after="720"/>
    </w:pPr>
    <w:rPr>
      <w:i/>
    </w:rPr>
  </w:style>
  <w:style w:type="character" w:customStyle="1" w:styleId="SCCLsocVersusChar">
    <w:name w:val="SCC.Lsoc.Versus Char"/>
    <w:basedOn w:val="DefaultParagraphFont"/>
    <w:link w:val="SCCLsocVersus"/>
    <w:rsid w:val="001A00C1"/>
    <w:rPr>
      <w:i/>
      <w:sz w:val="24"/>
    </w:rPr>
  </w:style>
  <w:style w:type="character" w:customStyle="1" w:styleId="SCCLsocPartyRole">
    <w:name w:val="SCC.Lsoc.PartyRole"/>
    <w:basedOn w:val="SCCLsocLastPartyInRoleChar"/>
    <w:uiPriority w:val="1"/>
    <w:rsid w:val="00B279EB"/>
    <w:rPr>
      <w:b/>
      <w:i/>
      <w:sz w:val="24"/>
    </w:rPr>
  </w:style>
  <w:style w:type="paragraph" w:customStyle="1" w:styleId="SCCLsocSubfileSeparator">
    <w:name w:val="SCC.Lsoc.SubfileSeparator"/>
    <w:basedOn w:val="Normal"/>
    <w:next w:val="Normal"/>
    <w:link w:val="SCCLsocSubfileSeparatorChar"/>
    <w:rsid w:val="001A00C1"/>
    <w:pPr>
      <w:spacing w:after="720"/>
    </w:pPr>
  </w:style>
  <w:style w:type="character" w:customStyle="1" w:styleId="SCCLsocSubfileSeparatorChar">
    <w:name w:val="SCC.Lsoc.SubfileSeparator Char"/>
    <w:basedOn w:val="DefaultParagraphFont"/>
    <w:link w:val="SCCLsocSubfileSeparator"/>
    <w:rsid w:val="001A00C1"/>
    <w:rPr>
      <w:sz w:val="24"/>
    </w:rPr>
  </w:style>
  <w:style w:type="paragraph" w:customStyle="1" w:styleId="SCCLsocOtherPartySeparator">
    <w:name w:val="SCC.Lsoc.OtherPartySeparator"/>
    <w:basedOn w:val="Normal"/>
    <w:next w:val="Normal"/>
    <w:link w:val="SCCLsocOtherPartySeparatorChar"/>
    <w:rsid w:val="003323B0"/>
    <w:pPr>
      <w:spacing w:after="720"/>
    </w:pPr>
  </w:style>
  <w:style w:type="character" w:customStyle="1" w:styleId="SCCLsocOtherPartySeparatorChar">
    <w:name w:val="SCC.Lsoc.OtherPartySeparator Char"/>
    <w:basedOn w:val="DefaultParagraphFont"/>
    <w:link w:val="SCCLsocOtherPartySeparator"/>
    <w:rsid w:val="003323B0"/>
    <w:rPr>
      <w:sz w:val="24"/>
    </w:rPr>
  </w:style>
  <w:style w:type="character" w:customStyle="1" w:styleId="Heading1Char">
    <w:name w:val="Heading 1 Char"/>
    <w:basedOn w:val="DefaultParagraphFont"/>
    <w:link w:val="Heading1"/>
    <w:uiPriority w:val="9"/>
    <w:rsid w:val="003A125D"/>
    <w:rPr>
      <w:rFonts w:asciiTheme="majorHAnsi" w:eastAsiaTheme="majorEastAsia" w:hAnsiTheme="majorHAnsi" w:cstheme="majorBidi"/>
      <w:b/>
      <w:bCs/>
      <w:color w:val="365F91" w:themeColor="accent1" w:themeShade="BF"/>
      <w:sz w:val="28"/>
      <w:szCs w:val="28"/>
    </w:rPr>
  </w:style>
  <w:style w:type="paragraph" w:customStyle="1" w:styleId="SCCBanSummary">
    <w:name w:val="SCC.BanSummary"/>
    <w:basedOn w:val="Normal"/>
    <w:next w:val="Normal"/>
    <w:link w:val="SCCBanSummaryChar"/>
    <w:rsid w:val="00111DE2"/>
    <w:pPr>
      <w:jc w:val="right"/>
    </w:pPr>
    <w:rPr>
      <w:b/>
    </w:rPr>
  </w:style>
  <w:style w:type="paragraph" w:customStyle="1" w:styleId="SCCAppellantForRunningHead">
    <w:name w:val="SCC.AppellantForRunningHead"/>
    <w:basedOn w:val="Normal"/>
    <w:next w:val="Normal"/>
    <w:link w:val="SCCAppellantForRunningHeadChar"/>
    <w:rsid w:val="00701759"/>
    <w:rPr>
      <w:smallCaps/>
    </w:rPr>
  </w:style>
  <w:style w:type="character" w:customStyle="1" w:styleId="SCCAppellantForRunningHeadChar">
    <w:name w:val="SCC.AppellantForRunningHead Char"/>
    <w:basedOn w:val="DefaultParagraphFont"/>
    <w:link w:val="SCCAppellantForRunningHead"/>
    <w:rsid w:val="00701759"/>
    <w:rPr>
      <w:smallCaps/>
      <w:sz w:val="24"/>
    </w:rPr>
  </w:style>
  <w:style w:type="paragraph" w:customStyle="1" w:styleId="SCCRespondentForRunningHead">
    <w:name w:val="SCC.RespondentForRunningHead"/>
    <w:basedOn w:val="Normal"/>
    <w:next w:val="Normal"/>
    <w:link w:val="SCCRespondentForRunningHeadChar"/>
    <w:rsid w:val="00701759"/>
    <w:rPr>
      <w:smallCaps/>
    </w:rPr>
  </w:style>
  <w:style w:type="character" w:customStyle="1" w:styleId="SCCRespondentForRunningHeadChar">
    <w:name w:val="SCC.RespondentForRunningHead Char"/>
    <w:basedOn w:val="DefaultParagraphFont"/>
    <w:link w:val="SCCRespondentForRunningHead"/>
    <w:rsid w:val="00701759"/>
    <w:rPr>
      <w:smallCaps/>
      <w:sz w:val="24"/>
    </w:rPr>
  </w:style>
  <w:style w:type="paragraph" w:customStyle="1" w:styleId="SCCAppellantForIndex">
    <w:name w:val="SCC.AppellantForIndex"/>
    <w:basedOn w:val="Normal"/>
    <w:next w:val="Normal"/>
    <w:link w:val="SCCAppellantForIndexChar"/>
    <w:rsid w:val="00C02092"/>
    <w:rPr>
      <w:b/>
    </w:rPr>
  </w:style>
  <w:style w:type="character" w:customStyle="1" w:styleId="SCCAppellantForIndexChar">
    <w:name w:val="SCC.AppellantForIndex Char"/>
    <w:basedOn w:val="DefaultParagraphFont"/>
    <w:link w:val="SCCAppellantForIndex"/>
    <w:rsid w:val="00C02092"/>
    <w:rPr>
      <w:b/>
      <w:sz w:val="24"/>
    </w:rPr>
  </w:style>
  <w:style w:type="paragraph" w:customStyle="1" w:styleId="SCCRespondentForIndex">
    <w:name w:val="SCC.RespondentForIndex"/>
    <w:basedOn w:val="Normal"/>
    <w:next w:val="Normal"/>
    <w:link w:val="SCCRespondentForIndexChar"/>
    <w:rsid w:val="00C02092"/>
    <w:rPr>
      <w:b/>
    </w:rPr>
  </w:style>
  <w:style w:type="character" w:customStyle="1" w:styleId="SCCRespondentForIndexChar">
    <w:name w:val="SCC.RespondentForIndex Char"/>
    <w:basedOn w:val="DefaultParagraphFont"/>
    <w:link w:val="SCCRespondentForIndex"/>
    <w:rsid w:val="00C02092"/>
    <w:rPr>
      <w:b/>
      <w:sz w:val="24"/>
    </w:rPr>
  </w:style>
  <w:style w:type="paragraph" w:customStyle="1" w:styleId="SCCSystemYear">
    <w:name w:val="SCC.SystemYear"/>
    <w:basedOn w:val="Normal"/>
    <w:next w:val="Normal"/>
    <w:link w:val="SCCSystemYearChar"/>
    <w:rsid w:val="00111DE2"/>
    <w:rPr>
      <w:b/>
    </w:rPr>
  </w:style>
  <w:style w:type="character" w:customStyle="1" w:styleId="SCCSystemYearChar">
    <w:name w:val="SCC.SystemYear Char"/>
    <w:basedOn w:val="DefaultParagraphFont"/>
    <w:link w:val="SCCSystemYear"/>
    <w:rsid w:val="00111DE2"/>
    <w:rPr>
      <w:b/>
      <w:sz w:val="24"/>
    </w:rPr>
  </w:style>
  <w:style w:type="paragraph" w:customStyle="1" w:styleId="SCCLowerCourtNameLowercase">
    <w:name w:val="SCC.LowerCourtNameLowercase"/>
    <w:basedOn w:val="SCCNormalDoubleSpacing"/>
    <w:next w:val="SCCNormalDoubleSpacing"/>
    <w:rsid w:val="00111DE2"/>
    <w:rPr>
      <w:smallCaps/>
    </w:rPr>
  </w:style>
  <w:style w:type="paragraph" w:customStyle="1" w:styleId="SCCCounselName">
    <w:name w:val="SCC.CounselName"/>
    <w:basedOn w:val="SCCNormalDoubleSpacing"/>
    <w:next w:val="SCCNormalDoubleSpacing"/>
    <w:link w:val="SCCCounselNameChar"/>
    <w:rsid w:val="003F327B"/>
    <w:rPr>
      <w:i/>
    </w:rPr>
  </w:style>
  <w:style w:type="character" w:customStyle="1" w:styleId="SCCCounselNameChar">
    <w:name w:val="SCC.CounselName Char"/>
    <w:basedOn w:val="SCCNormalDoubleSpacingChar"/>
    <w:link w:val="SCCCounselName"/>
    <w:rsid w:val="003F327B"/>
    <w:rPr>
      <w:i/>
      <w:sz w:val="24"/>
    </w:rPr>
  </w:style>
  <w:style w:type="paragraph" w:customStyle="1" w:styleId="SCCItalic">
    <w:name w:val="SCC.Italic"/>
    <w:basedOn w:val="SCCNormalDoubleSpacing"/>
    <w:next w:val="SCCNormalDoubleSpacing"/>
    <w:rsid w:val="00DF0CA8"/>
    <w:rPr>
      <w:i/>
    </w:rPr>
  </w:style>
  <w:style w:type="paragraph" w:customStyle="1" w:styleId="SCCAppellantForCitation">
    <w:name w:val="SCC.AppellantForCitation"/>
    <w:basedOn w:val="Normal"/>
    <w:next w:val="Normal"/>
    <w:link w:val="SCCAppellantForCitationChar"/>
    <w:rsid w:val="00E45109"/>
    <w:rPr>
      <w:i/>
    </w:rPr>
  </w:style>
  <w:style w:type="character" w:customStyle="1" w:styleId="SCCAppellantForCitationChar">
    <w:name w:val="SCC.AppellantForCitation Char"/>
    <w:basedOn w:val="DefaultParagraphFont"/>
    <w:link w:val="SCCAppellantForCitation"/>
    <w:rsid w:val="00E45109"/>
    <w:rPr>
      <w:i/>
      <w:sz w:val="24"/>
    </w:rPr>
  </w:style>
  <w:style w:type="paragraph" w:customStyle="1" w:styleId="SCCRespondentForCitation">
    <w:name w:val="SCC.RespondentForCitation"/>
    <w:basedOn w:val="Normal"/>
    <w:next w:val="Normal"/>
    <w:link w:val="SCCRespondentForCitationChar"/>
    <w:rsid w:val="00E45109"/>
    <w:rPr>
      <w:i/>
    </w:rPr>
  </w:style>
  <w:style w:type="character" w:customStyle="1" w:styleId="SCCRespondentForCitationChar">
    <w:name w:val="SCC.RespondentForCitation Char"/>
    <w:basedOn w:val="DefaultParagraphFont"/>
    <w:link w:val="SCCRespondentForCitation"/>
    <w:rsid w:val="00E45109"/>
    <w:rPr>
      <w:i/>
      <w:sz w:val="24"/>
    </w:rPr>
  </w:style>
  <w:style w:type="paragraph" w:customStyle="1" w:styleId="SCCCounselSeparator">
    <w:name w:val="SCC.CounselSeparator"/>
    <w:basedOn w:val="SCCNormalDoubleSpacing"/>
    <w:next w:val="SCCNormalDoubleSpacing"/>
    <w:link w:val="SCCCounselSeparatorChar"/>
    <w:rsid w:val="00874914"/>
  </w:style>
  <w:style w:type="character" w:customStyle="1" w:styleId="SCCCounselSeparatorChar">
    <w:name w:val="SCC.CounselSeparator Char"/>
    <w:basedOn w:val="SCCNormalDoubleSpacingChar"/>
    <w:link w:val="SCCCounselSeparator"/>
    <w:rsid w:val="00874914"/>
    <w:rPr>
      <w:sz w:val="24"/>
    </w:rPr>
  </w:style>
  <w:style w:type="paragraph" w:customStyle="1" w:styleId="SCCPartyRole">
    <w:name w:val="SCC.PartyRole"/>
    <w:basedOn w:val="SCCNormalDoubleSpacing"/>
    <w:next w:val="SCCNormalDoubleSpacing"/>
    <w:link w:val="SCCPartyRoleChar"/>
    <w:rsid w:val="00874914"/>
  </w:style>
  <w:style w:type="character" w:customStyle="1" w:styleId="SCCPartyRoleChar">
    <w:name w:val="SCC.PartyRole Char"/>
    <w:basedOn w:val="SCCNormalDoubleSpacingChar"/>
    <w:link w:val="SCCPartyRole"/>
    <w:rsid w:val="00874914"/>
    <w:rPr>
      <w:sz w:val="24"/>
    </w:rPr>
  </w:style>
  <w:style w:type="paragraph" w:customStyle="1" w:styleId="SCCLawFirm">
    <w:name w:val="SCC.LawFirm"/>
    <w:basedOn w:val="SCCNormalDoubleSpacing"/>
    <w:next w:val="SCCNormalDoubleSpacing"/>
    <w:link w:val="SCCLawFirmChar"/>
    <w:rsid w:val="00364B18"/>
    <w:rPr>
      <w:i/>
    </w:rPr>
  </w:style>
  <w:style w:type="character" w:customStyle="1" w:styleId="SCCLawFirmChar">
    <w:name w:val="SCC.LawFirm Char"/>
    <w:basedOn w:val="SCCNormalDoubleSpacingChar"/>
    <w:link w:val="SCCLawFirm"/>
    <w:rsid w:val="00364B18"/>
    <w:rPr>
      <w:i/>
      <w:sz w:val="24"/>
    </w:rPr>
  </w:style>
  <w:style w:type="paragraph" w:customStyle="1" w:styleId="SCCCounselPartyRole">
    <w:name w:val="SCC.CounselPartyRole"/>
    <w:basedOn w:val="SCCNormalDoubleSpacing"/>
    <w:next w:val="SCCNormalDoubleSpacing"/>
    <w:link w:val="SCCCounselPartyRoleChar"/>
    <w:rsid w:val="00D4431D"/>
  </w:style>
  <w:style w:type="character" w:customStyle="1" w:styleId="SCCCounselPartyRoleChar">
    <w:name w:val="SCC.CounselPartyRole Char"/>
    <w:basedOn w:val="SCCNormalDoubleSpacingChar"/>
    <w:link w:val="SCCCounselPartyRole"/>
    <w:rsid w:val="00D4431D"/>
    <w:rPr>
      <w:sz w:val="24"/>
    </w:rPr>
  </w:style>
  <w:style w:type="paragraph" w:customStyle="1" w:styleId="SCCLsocLastPartyInRole">
    <w:name w:val="SCC.Lsoc.LastPartyInRole"/>
    <w:basedOn w:val="Normal"/>
    <w:next w:val="Normal"/>
    <w:link w:val="SCCLsocLastPartyInRoleChar"/>
    <w:qFormat/>
    <w:rsid w:val="00301D08"/>
    <w:pPr>
      <w:tabs>
        <w:tab w:val="right" w:pos="8222"/>
      </w:tabs>
      <w:spacing w:after="720"/>
    </w:pPr>
    <w:rPr>
      <w:b/>
    </w:rPr>
  </w:style>
  <w:style w:type="character" w:customStyle="1" w:styleId="SCCLsocLastPartyInRoleChar">
    <w:name w:val="SCC.Lsoc.LastPartyInRole Char"/>
    <w:basedOn w:val="SCCLsocPartyChar"/>
    <w:link w:val="SCCLsocLastPartyInRole"/>
    <w:rsid w:val="00301D08"/>
    <w:rPr>
      <w:b/>
      <w:sz w:val="24"/>
    </w:rPr>
  </w:style>
  <w:style w:type="character" w:customStyle="1" w:styleId="fontstyle01">
    <w:name w:val="fontstyle01"/>
    <w:basedOn w:val="DefaultParagraphFont"/>
    <w:rsid w:val="007176E1"/>
    <w:rPr>
      <w:rFonts w:ascii="TimesNewRomanPSMT" w:hAnsi="TimesNewRomanPSMT" w:hint="default"/>
      <w:b w:val="0"/>
      <w:bCs w:val="0"/>
      <w:i w:val="0"/>
      <w:iCs w:val="0"/>
      <w:color w:val="000000"/>
      <w:sz w:val="24"/>
      <w:szCs w:val="24"/>
    </w:rPr>
  </w:style>
  <w:style w:type="paragraph" w:styleId="CommentText">
    <w:name w:val="annotation text"/>
    <w:basedOn w:val="Normal"/>
    <w:link w:val="CommentTextChar"/>
    <w:uiPriority w:val="99"/>
    <w:semiHidden/>
    <w:unhideWhenUsed/>
    <w:rsid w:val="0088038F"/>
    <w:rPr>
      <w:sz w:val="20"/>
    </w:rPr>
  </w:style>
  <w:style w:type="character" w:customStyle="1" w:styleId="CommentTextChar">
    <w:name w:val="Comment Text Char"/>
    <w:basedOn w:val="DefaultParagraphFont"/>
    <w:link w:val="CommentText"/>
    <w:uiPriority w:val="99"/>
    <w:semiHidden/>
    <w:rsid w:val="0088038F"/>
  </w:style>
  <w:style w:type="character" w:styleId="CommentReference">
    <w:name w:val="annotation reference"/>
    <w:basedOn w:val="DefaultParagraphFont"/>
    <w:uiPriority w:val="99"/>
    <w:semiHidden/>
    <w:unhideWhenUsed/>
    <w:rsid w:val="0088038F"/>
    <w:rPr>
      <w:sz w:val="16"/>
      <w:szCs w:val="16"/>
    </w:rPr>
  </w:style>
  <w:style w:type="paragraph" w:styleId="CommentSubject">
    <w:name w:val="annotation subject"/>
    <w:basedOn w:val="CommentText"/>
    <w:next w:val="CommentText"/>
    <w:link w:val="CommentSubjectChar"/>
    <w:uiPriority w:val="99"/>
    <w:semiHidden/>
    <w:unhideWhenUsed/>
    <w:rsid w:val="00F17EA7"/>
    <w:rPr>
      <w:b/>
      <w:bCs/>
    </w:rPr>
  </w:style>
  <w:style w:type="character" w:customStyle="1" w:styleId="CommentSubjectChar">
    <w:name w:val="Comment Subject Char"/>
    <w:basedOn w:val="CommentTextChar"/>
    <w:link w:val="CommentSubject"/>
    <w:uiPriority w:val="99"/>
    <w:semiHidden/>
    <w:rsid w:val="00F17EA7"/>
    <w:rPr>
      <w:b/>
      <w:bCs/>
    </w:rPr>
  </w:style>
  <w:style w:type="character" w:styleId="Hyperlink">
    <w:name w:val="Hyperlink"/>
    <w:basedOn w:val="DefaultParagraphFont"/>
    <w:uiPriority w:val="99"/>
    <w:unhideWhenUsed/>
    <w:rsid w:val="00E10067"/>
    <w:rPr>
      <w:color w:val="780000"/>
      <w:u w:val="none"/>
    </w:rPr>
  </w:style>
  <w:style w:type="character" w:styleId="FollowedHyperlink">
    <w:name w:val="FollowedHyperlink"/>
    <w:basedOn w:val="DefaultParagraphFont"/>
    <w:uiPriority w:val="99"/>
    <w:semiHidden/>
    <w:unhideWhenUsed/>
    <w:rsid w:val="00AD281A"/>
    <w:rPr>
      <w:color w:val="800080" w:themeColor="followedHyperlink"/>
      <w:u w:val="single"/>
    </w:rPr>
  </w:style>
  <w:style w:type="character" w:customStyle="1" w:styleId="Heading3Char">
    <w:name w:val="Heading 3 Char"/>
    <w:basedOn w:val="DefaultParagraphFont"/>
    <w:link w:val="Heading3"/>
    <w:uiPriority w:val="9"/>
    <w:semiHidden/>
    <w:rsid w:val="0016581F"/>
    <w:rPr>
      <w:rFonts w:asciiTheme="majorHAnsi" w:eastAsiaTheme="majorEastAsia" w:hAnsiTheme="majorHAnsi" w:cstheme="majorBidi"/>
      <w:b/>
      <w:bCs/>
      <w:color w:val="4F81BD" w:themeColor="accent1"/>
      <w:sz w:val="24"/>
      <w:szCs w:val="22"/>
      <w:lang w:val="en-US" w:eastAsia="en-US" w:bidi="en-US"/>
    </w:rPr>
  </w:style>
  <w:style w:type="character" w:customStyle="1" w:styleId="Heading4Char">
    <w:name w:val="Heading 4 Char"/>
    <w:basedOn w:val="DefaultParagraphFont"/>
    <w:link w:val="Heading4"/>
    <w:uiPriority w:val="9"/>
    <w:semiHidden/>
    <w:rsid w:val="0016581F"/>
    <w:rPr>
      <w:rFonts w:asciiTheme="majorHAnsi" w:eastAsiaTheme="majorEastAsia" w:hAnsiTheme="majorHAnsi" w:cstheme="majorBidi"/>
      <w:b/>
      <w:bCs/>
      <w:i/>
      <w:iCs/>
      <w:color w:val="4F81BD" w:themeColor="accent1"/>
      <w:sz w:val="24"/>
      <w:szCs w:val="22"/>
      <w:lang w:val="en-US" w:eastAsia="en-US" w:bidi="en-US"/>
    </w:rPr>
  </w:style>
  <w:style w:type="character" w:customStyle="1" w:styleId="Heading5Char">
    <w:name w:val="Heading 5 Char"/>
    <w:basedOn w:val="DefaultParagraphFont"/>
    <w:link w:val="Heading5"/>
    <w:uiPriority w:val="9"/>
    <w:semiHidden/>
    <w:rsid w:val="0016581F"/>
    <w:rPr>
      <w:rFonts w:asciiTheme="majorHAnsi" w:eastAsiaTheme="majorEastAsia" w:hAnsiTheme="majorHAnsi" w:cstheme="majorBidi"/>
      <w:color w:val="243F60" w:themeColor="accent1" w:themeShade="7F"/>
      <w:sz w:val="24"/>
      <w:szCs w:val="22"/>
      <w:lang w:val="en-US" w:eastAsia="en-US" w:bidi="en-US"/>
    </w:rPr>
  </w:style>
  <w:style w:type="character" w:customStyle="1" w:styleId="Heading6Char">
    <w:name w:val="Heading 6 Char"/>
    <w:basedOn w:val="DefaultParagraphFont"/>
    <w:link w:val="Heading6"/>
    <w:uiPriority w:val="9"/>
    <w:semiHidden/>
    <w:rsid w:val="0016581F"/>
    <w:rPr>
      <w:rFonts w:asciiTheme="majorHAnsi" w:eastAsiaTheme="majorEastAsia" w:hAnsiTheme="majorHAnsi" w:cstheme="majorBidi"/>
      <w:i/>
      <w:iCs/>
      <w:color w:val="243F60" w:themeColor="accent1" w:themeShade="7F"/>
      <w:sz w:val="24"/>
      <w:szCs w:val="22"/>
      <w:lang w:val="en-US" w:eastAsia="en-US" w:bidi="en-US"/>
    </w:rPr>
  </w:style>
  <w:style w:type="character" w:customStyle="1" w:styleId="Heading7Char">
    <w:name w:val="Heading 7 Char"/>
    <w:basedOn w:val="DefaultParagraphFont"/>
    <w:link w:val="Heading7"/>
    <w:uiPriority w:val="9"/>
    <w:semiHidden/>
    <w:rsid w:val="0016581F"/>
    <w:rPr>
      <w:rFonts w:asciiTheme="majorHAnsi" w:eastAsiaTheme="majorEastAsia" w:hAnsiTheme="majorHAnsi" w:cstheme="majorBidi"/>
      <w:i/>
      <w:iCs/>
      <w:color w:val="404040" w:themeColor="text1" w:themeTint="BF"/>
      <w:sz w:val="24"/>
      <w:szCs w:val="22"/>
      <w:lang w:val="en-US" w:eastAsia="en-US" w:bidi="en-US"/>
    </w:rPr>
  </w:style>
  <w:style w:type="character" w:customStyle="1" w:styleId="Heading8Char">
    <w:name w:val="Heading 8 Char"/>
    <w:basedOn w:val="DefaultParagraphFont"/>
    <w:link w:val="Heading8"/>
    <w:uiPriority w:val="9"/>
    <w:semiHidden/>
    <w:rsid w:val="0016581F"/>
    <w:rPr>
      <w:rFonts w:asciiTheme="majorHAnsi" w:eastAsiaTheme="majorEastAsia" w:hAnsiTheme="majorHAnsi" w:cstheme="majorBidi"/>
      <w:color w:val="4F81BD" w:themeColor="accent1"/>
      <w:lang w:val="en-US" w:eastAsia="en-US" w:bidi="en-US"/>
    </w:rPr>
  </w:style>
  <w:style w:type="character" w:customStyle="1" w:styleId="Heading9Char">
    <w:name w:val="Heading 9 Char"/>
    <w:basedOn w:val="DefaultParagraphFont"/>
    <w:link w:val="Heading9"/>
    <w:uiPriority w:val="9"/>
    <w:semiHidden/>
    <w:rsid w:val="0016581F"/>
    <w:rPr>
      <w:rFonts w:asciiTheme="majorHAnsi" w:eastAsiaTheme="majorEastAsia" w:hAnsiTheme="majorHAnsi" w:cstheme="majorBidi"/>
      <w:i/>
      <w:iCs/>
      <w:color w:val="404040" w:themeColor="text1" w:themeTint="BF"/>
      <w:lang w:val="en-US" w:eastAsia="en-US" w:bidi="en-US"/>
    </w:rPr>
  </w:style>
  <w:style w:type="paragraph" w:customStyle="1" w:styleId="SCCLsocOtherPartyRoleSeparator">
    <w:name w:val="SCC.Lsoc.OtherPartyRoleSeparator"/>
    <w:basedOn w:val="Normal"/>
    <w:next w:val="Normal"/>
    <w:link w:val="SCCLsocOtherPartyRoleSeparatorChar"/>
    <w:rsid w:val="0016581F"/>
    <w:pPr>
      <w:spacing w:after="480"/>
    </w:pPr>
    <w:rPr>
      <w:rFonts w:eastAsiaTheme="minorHAnsi" w:cstheme="minorBidi"/>
      <w:szCs w:val="22"/>
      <w:lang w:val="en-US" w:eastAsia="en-US" w:bidi="en-US"/>
    </w:rPr>
  </w:style>
  <w:style w:type="paragraph" w:customStyle="1" w:styleId="SCCCoram">
    <w:name w:val="SCC.Coram"/>
    <w:basedOn w:val="Normal"/>
    <w:next w:val="Normal"/>
    <w:link w:val="SCCCoramChar"/>
    <w:rsid w:val="0016581F"/>
    <w:pPr>
      <w:pBdr>
        <w:bottom w:val="single" w:sz="4" w:space="1" w:color="auto"/>
      </w:pBdr>
    </w:pPr>
    <w:rPr>
      <w:rFonts w:eastAsiaTheme="minorHAnsi" w:cstheme="minorBidi"/>
      <w:szCs w:val="22"/>
      <w:lang w:val="en-US" w:eastAsia="en-US" w:bidi="en-US"/>
    </w:rPr>
  </w:style>
  <w:style w:type="character" w:customStyle="1" w:styleId="SCCCoramChar">
    <w:name w:val="SCC.Coram Char"/>
    <w:basedOn w:val="DefaultParagraphFont"/>
    <w:link w:val="SCCCoram"/>
    <w:rsid w:val="0016581F"/>
    <w:rPr>
      <w:rFonts w:eastAsiaTheme="minorHAnsi" w:cstheme="minorBidi"/>
      <w:sz w:val="24"/>
      <w:szCs w:val="22"/>
      <w:lang w:val="en-US" w:eastAsia="en-US" w:bidi="en-US"/>
    </w:rPr>
  </w:style>
  <w:style w:type="character" w:customStyle="1" w:styleId="SCCLsocOtherPartyRoleSeparatorChar">
    <w:name w:val="SCC.Lsoc.OtherPartyRoleSeparator Char"/>
    <w:basedOn w:val="DefaultParagraphFont"/>
    <w:link w:val="SCCLsocOtherPartyRoleSeparator"/>
    <w:rsid w:val="0016581F"/>
    <w:rPr>
      <w:rFonts w:eastAsiaTheme="minorHAnsi" w:cstheme="minorBidi"/>
      <w:sz w:val="24"/>
      <w:szCs w:val="22"/>
      <w:lang w:val="en-US" w:eastAsia="en-US" w:bidi="en-US"/>
    </w:rPr>
  </w:style>
  <w:style w:type="character" w:customStyle="1" w:styleId="SCCBanSummaryChar">
    <w:name w:val="SCC.BanSummary Char"/>
    <w:basedOn w:val="DefaultParagraphFont"/>
    <w:link w:val="SCCBanSummary"/>
    <w:rsid w:val="0016581F"/>
    <w:rPr>
      <w:b/>
      <w:sz w:val="24"/>
    </w:rPr>
  </w:style>
  <w:style w:type="table" w:styleId="TableGrid">
    <w:name w:val="Table Grid"/>
    <w:basedOn w:val="TableNormal"/>
    <w:uiPriority w:val="59"/>
    <w:rsid w:val="0016581F"/>
    <w:rPr>
      <w:sz w:val="24"/>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Citation-AltC">
    <w:name w:val="Citation - Alt C"/>
    <w:uiPriority w:val="2"/>
    <w:qFormat/>
    <w:rsid w:val="0016581F"/>
    <w:pPr>
      <w:spacing w:after="720"/>
      <w:ind w:left="1166"/>
      <w:contextualSpacing/>
      <w:jc w:val="both"/>
    </w:pPr>
    <w:rPr>
      <w:sz w:val="24"/>
    </w:rPr>
  </w:style>
  <w:style w:type="paragraph" w:customStyle="1" w:styleId="ContinueParaSuitedupar-AltP">
    <w:name w:val="Continue Para. / Suite du par. - Alt P"/>
    <w:next w:val="ParaNoNdepar-AltN"/>
    <w:uiPriority w:val="1"/>
    <w:qFormat/>
    <w:rsid w:val="0016581F"/>
    <w:pPr>
      <w:spacing w:before="480" w:after="480" w:line="480" w:lineRule="auto"/>
      <w:jc w:val="both"/>
    </w:pPr>
    <w:rPr>
      <w:rFonts w:eastAsiaTheme="minorHAnsi" w:cstheme="minorBidi"/>
      <w:sz w:val="24"/>
      <w:szCs w:val="22"/>
      <w:lang w:eastAsia="en-US"/>
    </w:rPr>
  </w:style>
  <w:style w:type="paragraph" w:customStyle="1" w:styleId="JudgeJuge">
    <w:name w:val="Judge / Juge"/>
    <w:link w:val="JudgeJugeChar"/>
    <w:uiPriority w:val="3"/>
    <w:rsid w:val="0016581F"/>
    <w:pPr>
      <w:tabs>
        <w:tab w:val="left" w:pos="1260"/>
      </w:tabs>
      <w:spacing w:after="480" w:line="480" w:lineRule="auto"/>
    </w:pPr>
    <w:rPr>
      <w:smallCaps/>
      <w:sz w:val="24"/>
    </w:rPr>
  </w:style>
  <w:style w:type="paragraph" w:customStyle="1" w:styleId="ParaNoNdepar-AltN">
    <w:name w:val="Para. No. / Nº de par. - Alt N"/>
    <w:link w:val="ParaNoNdepar-AltNChar"/>
    <w:qFormat/>
    <w:rsid w:val="0016581F"/>
    <w:pPr>
      <w:numPr>
        <w:numId w:val="6"/>
      </w:numPr>
      <w:tabs>
        <w:tab w:val="clear" w:pos="3042"/>
        <w:tab w:val="num" w:pos="1152"/>
      </w:tabs>
      <w:spacing w:before="480" w:after="480" w:line="480" w:lineRule="auto"/>
      <w:ind w:left="0"/>
      <w:jc w:val="both"/>
    </w:pPr>
    <w:rPr>
      <w:rFonts w:eastAsiaTheme="minorEastAsia" w:cstheme="minorBidi"/>
      <w:sz w:val="24"/>
      <w:szCs w:val="22"/>
      <w:lang w:eastAsia="en-US"/>
    </w:rPr>
  </w:style>
  <w:style w:type="paragraph" w:customStyle="1" w:styleId="Title1LevelTitre1Niveau-AltL">
    <w:name w:val="Title 1 Level / Titre 1 Niveau - Alt L"/>
    <w:next w:val="ParaNoNdepar-AltN"/>
    <w:uiPriority w:val="4"/>
    <w:qFormat/>
    <w:rsid w:val="0016581F"/>
    <w:pPr>
      <w:numPr>
        <w:numId w:val="7"/>
      </w:numPr>
      <w:spacing w:before="480" w:after="720"/>
      <w:outlineLvl w:val="0"/>
    </w:pPr>
    <w:rPr>
      <w:rFonts w:eastAsiaTheme="minorHAnsi" w:cstheme="minorBidi"/>
      <w:sz w:val="24"/>
      <w:szCs w:val="22"/>
      <w:u w:val="single"/>
      <w:lang w:eastAsia="en-US"/>
    </w:rPr>
  </w:style>
  <w:style w:type="paragraph" w:customStyle="1" w:styleId="Title2LevelTitre2Niveau">
    <w:name w:val="Title 2 Level / Titre 2 Niveau"/>
    <w:basedOn w:val="Title1LevelTitre1Niveau-AltL"/>
    <w:next w:val="ParaNoNdepar-AltN"/>
    <w:uiPriority w:val="4"/>
    <w:qFormat/>
    <w:rsid w:val="0016581F"/>
    <w:pPr>
      <w:numPr>
        <w:ilvl w:val="1"/>
      </w:numPr>
      <w:outlineLvl w:val="1"/>
    </w:pPr>
    <w:rPr>
      <w:i/>
      <w:u w:val="none"/>
    </w:rPr>
  </w:style>
  <w:style w:type="paragraph" w:customStyle="1" w:styleId="Title3LevelTitre3Niveau">
    <w:name w:val="Title 3 Level / Titre 3 Niveau"/>
    <w:basedOn w:val="Title1LevelTitre1Niveau-AltL"/>
    <w:next w:val="ParaNoNdepar-AltN"/>
    <w:uiPriority w:val="4"/>
    <w:qFormat/>
    <w:rsid w:val="0016581F"/>
    <w:pPr>
      <w:numPr>
        <w:ilvl w:val="2"/>
      </w:numPr>
      <w:outlineLvl w:val="2"/>
    </w:pPr>
  </w:style>
  <w:style w:type="paragraph" w:customStyle="1" w:styleId="Title4LevelTitre4Niveau">
    <w:name w:val="Title 4 Level / Titre 4 Niveau"/>
    <w:basedOn w:val="Title3LevelTitre3Niveau"/>
    <w:next w:val="ParaNoNdepar-AltN"/>
    <w:uiPriority w:val="4"/>
    <w:qFormat/>
    <w:rsid w:val="0016581F"/>
    <w:pPr>
      <w:numPr>
        <w:ilvl w:val="3"/>
      </w:numPr>
      <w:tabs>
        <w:tab w:val="num" w:pos="900"/>
      </w:tabs>
      <w:outlineLvl w:val="3"/>
    </w:pPr>
    <w:rPr>
      <w:i/>
      <w:u w:val="none"/>
    </w:rPr>
  </w:style>
  <w:style w:type="paragraph" w:customStyle="1" w:styleId="Title5LevelTitre5Niveau">
    <w:name w:val="Title 5 Level / Titre 5 Niveau"/>
    <w:basedOn w:val="Title1LevelTitre1Niveau-AltL"/>
    <w:next w:val="ParaNoNdepar-AltN"/>
    <w:uiPriority w:val="4"/>
    <w:qFormat/>
    <w:rsid w:val="0016581F"/>
    <w:pPr>
      <w:numPr>
        <w:ilvl w:val="4"/>
      </w:numPr>
      <w:tabs>
        <w:tab w:val="clear" w:pos="1728"/>
        <w:tab w:val="num" w:pos="1440"/>
      </w:tabs>
      <w:outlineLvl w:val="4"/>
    </w:pPr>
  </w:style>
  <w:style w:type="paragraph" w:styleId="TOC1">
    <w:name w:val="toc 1"/>
    <w:basedOn w:val="Normal"/>
    <w:next w:val="Normal"/>
    <w:autoRedefine/>
    <w:uiPriority w:val="39"/>
    <w:unhideWhenUsed/>
    <w:rsid w:val="0016581F"/>
    <w:pPr>
      <w:tabs>
        <w:tab w:val="left" w:pos="360"/>
        <w:tab w:val="right" w:leader="dot" w:pos="8270"/>
      </w:tabs>
      <w:spacing w:before="120" w:after="120"/>
    </w:pPr>
    <w:rPr>
      <w:rFonts w:eastAsiaTheme="minorHAnsi" w:cstheme="minorBidi"/>
      <w:noProof/>
      <w:u w:val="single"/>
      <w:lang w:val="en-US" w:eastAsia="en-US" w:bidi="en-US"/>
    </w:rPr>
  </w:style>
  <w:style w:type="paragraph" w:styleId="TOC2">
    <w:name w:val="toc 2"/>
    <w:basedOn w:val="Normal"/>
    <w:next w:val="Normal"/>
    <w:autoRedefine/>
    <w:uiPriority w:val="39"/>
    <w:unhideWhenUsed/>
    <w:rsid w:val="0016581F"/>
    <w:pPr>
      <w:tabs>
        <w:tab w:val="left" w:pos="720"/>
        <w:tab w:val="right" w:leader="dot" w:pos="8270"/>
      </w:tabs>
      <w:spacing w:before="120" w:after="120"/>
      <w:ind w:left="432" w:hanging="432"/>
    </w:pPr>
    <w:rPr>
      <w:rFonts w:eastAsiaTheme="minorHAnsi" w:cstheme="minorBidi"/>
      <w:i/>
      <w:szCs w:val="22"/>
      <w:lang w:val="en-US" w:eastAsia="en-US" w:bidi="en-US"/>
    </w:rPr>
  </w:style>
  <w:style w:type="paragraph" w:styleId="TOC3">
    <w:name w:val="toc 3"/>
    <w:basedOn w:val="Normal"/>
    <w:next w:val="Normal"/>
    <w:autoRedefine/>
    <w:uiPriority w:val="39"/>
    <w:unhideWhenUsed/>
    <w:rsid w:val="0016581F"/>
    <w:pPr>
      <w:tabs>
        <w:tab w:val="left" w:pos="1080"/>
        <w:tab w:val="right" w:leader="dot" w:pos="8270"/>
      </w:tabs>
      <w:spacing w:before="120" w:after="120"/>
      <w:ind w:left="864" w:hanging="432"/>
    </w:pPr>
    <w:rPr>
      <w:rFonts w:eastAsiaTheme="minorHAnsi" w:cstheme="minorBidi"/>
      <w:noProof/>
      <w:u w:val="single"/>
      <w:lang w:val="en-US" w:eastAsia="en-US" w:bidi="en-US"/>
    </w:rPr>
  </w:style>
  <w:style w:type="paragraph" w:styleId="TOC4">
    <w:name w:val="toc 4"/>
    <w:basedOn w:val="Normal"/>
    <w:next w:val="Normal"/>
    <w:autoRedefine/>
    <w:uiPriority w:val="39"/>
    <w:unhideWhenUsed/>
    <w:rsid w:val="0016581F"/>
    <w:pPr>
      <w:tabs>
        <w:tab w:val="left" w:pos="900"/>
        <w:tab w:val="right" w:leader="dot" w:pos="8270"/>
      </w:tabs>
      <w:spacing w:before="120" w:after="120"/>
      <w:ind w:left="900" w:hanging="450"/>
    </w:pPr>
    <w:rPr>
      <w:rFonts w:eastAsiaTheme="minorEastAsia" w:cstheme="minorBidi"/>
      <w:i/>
      <w:noProof/>
      <w:szCs w:val="22"/>
      <w:lang w:val="en-US" w:eastAsia="en-US" w:bidi="en-US"/>
    </w:rPr>
  </w:style>
  <w:style w:type="paragraph" w:styleId="TOC5">
    <w:name w:val="toc 5"/>
    <w:basedOn w:val="Normal"/>
    <w:next w:val="Normal"/>
    <w:autoRedefine/>
    <w:uiPriority w:val="39"/>
    <w:unhideWhenUsed/>
    <w:rsid w:val="0016581F"/>
    <w:pPr>
      <w:tabs>
        <w:tab w:val="left" w:pos="1440"/>
        <w:tab w:val="right" w:leader="dot" w:pos="8270"/>
      </w:tabs>
      <w:spacing w:before="120" w:after="120"/>
      <w:ind w:left="1454" w:hanging="547"/>
    </w:pPr>
    <w:rPr>
      <w:rFonts w:eastAsiaTheme="minorHAnsi" w:cstheme="minorBidi"/>
      <w:noProof/>
      <w:u w:val="single"/>
      <w:lang w:val="en-US" w:eastAsia="en-US" w:bidi="en-US"/>
    </w:rPr>
  </w:style>
  <w:style w:type="paragraph" w:styleId="TOC6">
    <w:name w:val="toc 6"/>
    <w:basedOn w:val="Normal"/>
    <w:next w:val="Normal"/>
    <w:autoRedefine/>
    <w:uiPriority w:val="39"/>
    <w:unhideWhenUsed/>
    <w:rsid w:val="0016581F"/>
    <w:pPr>
      <w:tabs>
        <w:tab w:val="left" w:pos="2160"/>
        <w:tab w:val="right" w:leader="dot" w:pos="8270"/>
      </w:tabs>
      <w:spacing w:after="100"/>
      <w:ind w:left="1800"/>
    </w:pPr>
    <w:rPr>
      <w:rFonts w:eastAsiaTheme="minorHAnsi" w:cstheme="minorBidi"/>
      <w:noProof/>
      <w:lang w:val="en-US" w:eastAsia="en-US" w:bidi="en-US"/>
    </w:rPr>
  </w:style>
  <w:style w:type="table" w:customStyle="1" w:styleId="TableGrid1">
    <w:name w:val="Table Grid1"/>
    <w:basedOn w:val="TableNormal"/>
    <w:uiPriority w:val="59"/>
    <w:rsid w:val="0016581F"/>
    <w:rPr>
      <w:sz w:val="24"/>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itleTitre-AltT">
    <w:name w:val="Title / Titre - Alt T"/>
    <w:next w:val="ParaNoNdepar-AltN"/>
    <w:uiPriority w:val="3"/>
    <w:qFormat/>
    <w:rsid w:val="0016581F"/>
    <w:pPr>
      <w:tabs>
        <w:tab w:val="left" w:pos="360"/>
      </w:tabs>
      <w:spacing w:before="480" w:after="720"/>
      <w:ind w:left="360" w:hanging="360"/>
      <w:jc w:val="both"/>
      <w:outlineLvl w:val="0"/>
    </w:pPr>
    <w:rPr>
      <w:rFonts w:eastAsiaTheme="minorHAnsi" w:cstheme="minorBidi"/>
      <w:sz w:val="24"/>
      <w:szCs w:val="22"/>
      <w:lang w:eastAsia="en-US"/>
    </w:rPr>
  </w:style>
  <w:style w:type="paragraph" w:customStyle="1" w:styleId="Title6LevelTitre6Niveau">
    <w:name w:val="Title 6 Level / Titre 6 Niveau"/>
    <w:basedOn w:val="Title5LevelTitre5Niveau"/>
    <w:next w:val="ParaNoNdepar-AltN"/>
    <w:uiPriority w:val="4"/>
    <w:qFormat/>
    <w:rsid w:val="0016581F"/>
    <w:pPr>
      <w:numPr>
        <w:ilvl w:val="5"/>
      </w:numPr>
      <w:jc w:val="both"/>
      <w:outlineLvl w:val="5"/>
    </w:pPr>
    <w:rPr>
      <w:i/>
      <w:u w:val="none"/>
    </w:rPr>
  </w:style>
  <w:style w:type="paragraph" w:styleId="FootnoteText">
    <w:name w:val="footnote text"/>
    <w:basedOn w:val="Normal"/>
    <w:link w:val="FootnoteTextChar"/>
    <w:uiPriority w:val="99"/>
    <w:unhideWhenUsed/>
    <w:rsid w:val="0016581F"/>
    <w:pPr>
      <w:tabs>
        <w:tab w:val="left" w:pos="180"/>
      </w:tabs>
      <w:ind w:left="187" w:hanging="187"/>
      <w:jc w:val="both"/>
    </w:pPr>
    <w:rPr>
      <w:sz w:val="20"/>
    </w:rPr>
  </w:style>
  <w:style w:type="character" w:customStyle="1" w:styleId="FootnoteTextChar">
    <w:name w:val="Footnote Text Char"/>
    <w:basedOn w:val="DefaultParagraphFont"/>
    <w:link w:val="FootnoteText"/>
    <w:uiPriority w:val="99"/>
    <w:rsid w:val="0016581F"/>
  </w:style>
  <w:style w:type="character" w:styleId="FootnoteReference">
    <w:name w:val="footnote reference"/>
    <w:basedOn w:val="DefaultParagraphFont"/>
    <w:uiPriority w:val="99"/>
    <w:semiHidden/>
    <w:unhideWhenUsed/>
    <w:rsid w:val="0016581F"/>
    <w:rPr>
      <w:vertAlign w:val="superscript"/>
    </w:rPr>
  </w:style>
  <w:style w:type="character" w:customStyle="1" w:styleId="ParaNoNdepar-AltNChar">
    <w:name w:val="Para. No. / Nº de par. - Alt N Char"/>
    <w:basedOn w:val="DefaultParagraphFont"/>
    <w:link w:val="ParaNoNdepar-AltN"/>
    <w:locked/>
    <w:rsid w:val="0016581F"/>
    <w:rPr>
      <w:rFonts w:eastAsiaTheme="minorEastAsia" w:cstheme="minorBidi"/>
      <w:sz w:val="24"/>
      <w:szCs w:val="22"/>
      <w:lang w:eastAsia="en-US"/>
    </w:rPr>
  </w:style>
  <w:style w:type="character" w:customStyle="1" w:styleId="JudgeJugeChar">
    <w:name w:val="Judge / Juge Char"/>
    <w:basedOn w:val="DefaultParagraphFont"/>
    <w:link w:val="JudgeJuge"/>
    <w:uiPriority w:val="3"/>
    <w:rsid w:val="0016581F"/>
    <w:rPr>
      <w:smallCaps/>
      <w:sz w:val="24"/>
    </w:rPr>
  </w:style>
  <w:style w:type="paragraph" w:styleId="NoSpacing">
    <w:name w:val="No Spacing"/>
    <w:uiPriority w:val="1"/>
    <w:rsid w:val="0016581F"/>
    <w:rPr>
      <w:rFonts w:eastAsiaTheme="minorHAnsi" w:cstheme="minorBidi"/>
      <w:sz w:val="24"/>
      <w:szCs w:val="22"/>
      <w:lang w:val="en-US" w:eastAsia="en-US" w:bidi="en-US"/>
    </w:rPr>
  </w:style>
  <w:style w:type="paragraph" w:styleId="TOCHeading">
    <w:name w:val="TOC Heading"/>
    <w:basedOn w:val="Heading1"/>
    <w:next w:val="Normal"/>
    <w:uiPriority w:val="39"/>
    <w:semiHidden/>
    <w:unhideWhenUsed/>
    <w:qFormat/>
    <w:rsid w:val="0016581F"/>
    <w:pPr>
      <w:spacing w:before="480" w:after="0"/>
      <w:ind w:left="0" w:firstLine="0"/>
      <w:outlineLvl w:val="9"/>
    </w:pPr>
    <w:rPr>
      <w:lang w:val="en-US" w:eastAsia="en-US" w:bidi="en-US"/>
    </w:rPr>
  </w:style>
  <w:style w:type="paragraph" w:styleId="Caption">
    <w:name w:val="caption"/>
    <w:basedOn w:val="Normal"/>
    <w:next w:val="Normal"/>
    <w:uiPriority w:val="35"/>
    <w:semiHidden/>
    <w:unhideWhenUsed/>
    <w:qFormat/>
    <w:rsid w:val="0016581F"/>
    <w:rPr>
      <w:rFonts w:eastAsiaTheme="minorHAnsi" w:cstheme="minorBidi"/>
      <w:b/>
      <w:bCs/>
      <w:color w:val="4F81BD" w:themeColor="accent1"/>
      <w:sz w:val="18"/>
      <w:szCs w:val="18"/>
      <w:lang w:val="en-US" w:eastAsia="en-US" w:bidi="en-US"/>
    </w:rPr>
  </w:style>
  <w:style w:type="paragraph" w:styleId="Title">
    <w:name w:val="Title"/>
    <w:basedOn w:val="Normal"/>
    <w:next w:val="Normal"/>
    <w:link w:val="TitleChar"/>
    <w:uiPriority w:val="10"/>
    <w:rsid w:val="0016581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lang w:val="en-US" w:eastAsia="en-US" w:bidi="en-US"/>
    </w:rPr>
  </w:style>
  <w:style w:type="character" w:customStyle="1" w:styleId="TitleChar">
    <w:name w:val="Title Char"/>
    <w:basedOn w:val="DefaultParagraphFont"/>
    <w:link w:val="Title"/>
    <w:uiPriority w:val="10"/>
    <w:rsid w:val="0016581F"/>
    <w:rPr>
      <w:rFonts w:asciiTheme="majorHAnsi" w:eastAsiaTheme="majorEastAsia" w:hAnsiTheme="majorHAnsi" w:cstheme="majorBidi"/>
      <w:color w:val="17365D" w:themeColor="text2" w:themeShade="BF"/>
      <w:spacing w:val="5"/>
      <w:kern w:val="28"/>
      <w:sz w:val="52"/>
      <w:szCs w:val="52"/>
      <w:lang w:val="en-US" w:eastAsia="en-US" w:bidi="en-US"/>
    </w:rPr>
  </w:style>
  <w:style w:type="paragraph" w:styleId="Subtitle">
    <w:name w:val="Subtitle"/>
    <w:basedOn w:val="Normal"/>
    <w:next w:val="Normal"/>
    <w:link w:val="SubtitleChar"/>
    <w:uiPriority w:val="11"/>
    <w:rsid w:val="0016581F"/>
    <w:pPr>
      <w:numPr>
        <w:ilvl w:val="1"/>
      </w:numPr>
    </w:pPr>
    <w:rPr>
      <w:rFonts w:asciiTheme="majorHAnsi" w:eastAsiaTheme="majorEastAsia" w:hAnsiTheme="majorHAnsi" w:cstheme="majorBidi"/>
      <w:i/>
      <w:iCs/>
      <w:color w:val="4F81BD" w:themeColor="accent1"/>
      <w:spacing w:val="15"/>
      <w:szCs w:val="24"/>
      <w:lang w:val="en-US" w:eastAsia="en-US" w:bidi="en-US"/>
    </w:rPr>
  </w:style>
  <w:style w:type="character" w:customStyle="1" w:styleId="SubtitleChar">
    <w:name w:val="Subtitle Char"/>
    <w:basedOn w:val="DefaultParagraphFont"/>
    <w:link w:val="Subtitle"/>
    <w:uiPriority w:val="11"/>
    <w:rsid w:val="0016581F"/>
    <w:rPr>
      <w:rFonts w:asciiTheme="majorHAnsi" w:eastAsiaTheme="majorEastAsia" w:hAnsiTheme="majorHAnsi" w:cstheme="majorBidi"/>
      <w:i/>
      <w:iCs/>
      <w:color w:val="4F81BD" w:themeColor="accent1"/>
      <w:spacing w:val="15"/>
      <w:sz w:val="24"/>
      <w:szCs w:val="24"/>
      <w:lang w:val="en-US" w:eastAsia="en-US" w:bidi="en-US"/>
    </w:rPr>
  </w:style>
  <w:style w:type="character" w:styleId="Emphasis">
    <w:name w:val="Emphasis"/>
    <w:basedOn w:val="DefaultParagraphFont"/>
    <w:uiPriority w:val="20"/>
    <w:rsid w:val="0016581F"/>
    <w:rPr>
      <w:i/>
      <w:iCs/>
    </w:rPr>
  </w:style>
  <w:style w:type="paragraph" w:styleId="ListParagraph">
    <w:name w:val="List Paragraph"/>
    <w:basedOn w:val="Normal"/>
    <w:uiPriority w:val="34"/>
    <w:rsid w:val="0016581F"/>
    <w:pPr>
      <w:ind w:left="720"/>
      <w:contextualSpacing/>
    </w:pPr>
    <w:rPr>
      <w:rFonts w:eastAsiaTheme="minorHAnsi" w:cstheme="minorBidi"/>
      <w:szCs w:val="22"/>
      <w:lang w:val="en-US" w:eastAsia="en-US" w:bidi="en-US"/>
    </w:rPr>
  </w:style>
  <w:style w:type="paragraph" w:styleId="IntenseQuote">
    <w:name w:val="Intense Quote"/>
    <w:basedOn w:val="Normal"/>
    <w:next w:val="Normal"/>
    <w:link w:val="IntenseQuoteChar"/>
    <w:uiPriority w:val="30"/>
    <w:rsid w:val="0016581F"/>
    <w:pPr>
      <w:pBdr>
        <w:bottom w:val="single" w:sz="4" w:space="4" w:color="4F81BD" w:themeColor="accent1"/>
      </w:pBdr>
      <w:spacing w:before="200" w:after="280"/>
      <w:ind w:left="936" w:right="936"/>
    </w:pPr>
    <w:rPr>
      <w:rFonts w:eastAsiaTheme="minorHAnsi" w:cstheme="minorBidi"/>
      <w:b/>
      <w:bCs/>
      <w:i/>
      <w:iCs/>
      <w:color w:val="4F81BD" w:themeColor="accent1"/>
      <w:szCs w:val="22"/>
      <w:lang w:val="en-US" w:eastAsia="en-US" w:bidi="en-US"/>
    </w:rPr>
  </w:style>
  <w:style w:type="character" w:customStyle="1" w:styleId="IntenseQuoteChar">
    <w:name w:val="Intense Quote Char"/>
    <w:basedOn w:val="DefaultParagraphFont"/>
    <w:link w:val="IntenseQuote"/>
    <w:uiPriority w:val="30"/>
    <w:rsid w:val="0016581F"/>
    <w:rPr>
      <w:rFonts w:eastAsiaTheme="minorHAnsi" w:cstheme="minorBidi"/>
      <w:b/>
      <w:bCs/>
      <w:i/>
      <w:iCs/>
      <w:color w:val="4F81BD" w:themeColor="accent1"/>
      <w:sz w:val="24"/>
      <w:szCs w:val="22"/>
      <w:lang w:val="en-US" w:eastAsia="en-US" w:bidi="en-US"/>
    </w:rPr>
  </w:style>
  <w:style w:type="character" w:styleId="SubtleEmphasis">
    <w:name w:val="Subtle Emphasis"/>
    <w:basedOn w:val="DefaultParagraphFont"/>
    <w:uiPriority w:val="19"/>
    <w:rsid w:val="0016581F"/>
    <w:rPr>
      <w:i/>
      <w:iCs/>
      <w:color w:val="808080" w:themeColor="text1" w:themeTint="7F"/>
    </w:rPr>
  </w:style>
  <w:style w:type="character" w:styleId="IntenseEmphasis">
    <w:name w:val="Intense Emphasis"/>
    <w:basedOn w:val="DefaultParagraphFont"/>
    <w:uiPriority w:val="21"/>
    <w:rsid w:val="0016581F"/>
    <w:rPr>
      <w:b/>
      <w:bCs/>
      <w:i/>
      <w:iCs/>
      <w:color w:val="4F81BD" w:themeColor="accent1"/>
    </w:rPr>
  </w:style>
  <w:style w:type="character" w:styleId="SubtleReference">
    <w:name w:val="Subtle Reference"/>
    <w:basedOn w:val="DefaultParagraphFont"/>
    <w:uiPriority w:val="31"/>
    <w:rsid w:val="0016581F"/>
    <w:rPr>
      <w:smallCaps/>
      <w:color w:val="C0504D" w:themeColor="accent2"/>
      <w:u w:val="single"/>
    </w:rPr>
  </w:style>
  <w:style w:type="character" w:styleId="IntenseReference">
    <w:name w:val="Intense Reference"/>
    <w:basedOn w:val="DefaultParagraphFont"/>
    <w:uiPriority w:val="32"/>
    <w:rsid w:val="0016581F"/>
    <w:rPr>
      <w:b/>
      <w:bCs/>
      <w:smallCaps/>
      <w:color w:val="C0504D" w:themeColor="accent2"/>
      <w:spacing w:val="5"/>
      <w:u w:val="single"/>
    </w:rPr>
  </w:style>
  <w:style w:type="character" w:styleId="BookTitle">
    <w:name w:val="Book Title"/>
    <w:basedOn w:val="DefaultParagraphFont"/>
    <w:uiPriority w:val="33"/>
    <w:rsid w:val="0016581F"/>
    <w:rPr>
      <w:b/>
      <w:bCs/>
      <w:smallCaps/>
      <w:spacing w:val="5"/>
    </w:rPr>
  </w:style>
  <w:style w:type="paragraph" w:styleId="Revision">
    <w:name w:val="Revision"/>
    <w:hidden/>
    <w:uiPriority w:val="99"/>
    <w:semiHidden/>
    <w:rsid w:val="0016581F"/>
    <w:rPr>
      <w:rFonts w:eastAsiaTheme="minorHAnsi" w:cstheme="minorBidi"/>
      <w:sz w:val="24"/>
      <w:szCs w:val="22"/>
      <w:lang w:val="en-US" w:eastAsia="en-US" w:bidi="en-US"/>
    </w:rPr>
  </w:style>
  <w:style w:type="table" w:customStyle="1" w:styleId="TableGrid2">
    <w:name w:val="Table Grid2"/>
    <w:basedOn w:val="TableNormal"/>
    <w:next w:val="TableGrid"/>
    <w:uiPriority w:val="59"/>
    <w:rsid w:val="0016581F"/>
    <w:rPr>
      <w:rFonts w:eastAsiaTheme="minorHAnsi" w:cstheme="minorBidi"/>
      <w:sz w:val="24"/>
      <w:szCs w:val="24"/>
      <w:lang w:val="en-US"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cid:image001.jpg@01D72252.19B69DE0"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33</Pages>
  <Words>7524</Words>
  <Characters>37300</Characters>
  <Application>Microsoft Office Word</Application>
  <DocSecurity>0</DocSecurity>
  <Lines>310</Lines>
  <Paragraphs>89</Paragraphs>
  <ScaleCrop>false</ScaleCrop>
  <Company/>
  <LinksUpToDate>false</LinksUpToDate>
  <CharactersWithSpaces>44735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2022-04-28T23:31:00Z</dcterms:created>
  <dcterms:modified xsi:type="dcterms:W3CDTF">2022-04-29T12:16:00Z</dcterms:modified>
</cp:coreProperties>
</file>