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1"/>
        <w:gridCol w:w="1376"/>
        <w:gridCol w:w="1443"/>
        <w:gridCol w:w="3275"/>
        <w:gridCol w:w="28"/>
      </w:tblGrid>
      <w:tr w:rsidR="00377DDF" w:rsidRPr="00377DDF" w14:paraId="05C1E7C6" w14:textId="77777777" w:rsidTr="002E1CEA">
        <w:trPr>
          <w:trHeight w:val="2103"/>
        </w:trPr>
        <w:tc>
          <w:tcPr>
            <w:tcW w:w="5000" w:type="pct"/>
            <w:gridSpan w:val="5"/>
          </w:tcPr>
          <w:p w14:paraId="47926302" w14:textId="77777777" w:rsidR="00377DDF" w:rsidRPr="00377DDF" w:rsidRDefault="00377DDF" w:rsidP="00377DDF">
            <w:pPr>
              <w:jc w:val="center"/>
              <w:rPr>
                <w:b/>
              </w:rPr>
            </w:pPr>
            <w:r w:rsidRPr="00377DDF">
              <w:rPr>
                <w:b/>
                <w:noProof/>
                <w:lang w:val="fr-CA" w:eastAsia="fr-CA"/>
              </w:rPr>
              <w:drawing>
                <wp:inline distT="0" distB="0" distL="0" distR="0" wp14:anchorId="6D828319" wp14:editId="42EC3F48">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5ED256F" w14:textId="77777777" w:rsidR="00377DDF" w:rsidRPr="00377DDF" w:rsidRDefault="00377DDF" w:rsidP="00377DDF">
            <w:pPr>
              <w:spacing w:before="120" w:after="100" w:afterAutospacing="1"/>
              <w:jc w:val="center"/>
            </w:pPr>
            <w:r w:rsidRPr="00377DDF">
              <w:rPr>
                <w:b/>
              </w:rPr>
              <w:t>SUPREME COURT OF CANADA</w:t>
            </w:r>
          </w:p>
        </w:tc>
      </w:tr>
      <w:tr w:rsidR="00377DDF" w:rsidRPr="00377DDF" w14:paraId="24FBFD4E" w14:textId="77777777" w:rsidTr="002E1CEA">
        <w:tblPrEx>
          <w:tblCellMar>
            <w:top w:w="58" w:type="dxa"/>
            <w:left w:w="58" w:type="dxa"/>
            <w:bottom w:w="58" w:type="dxa"/>
            <w:right w:w="58" w:type="dxa"/>
          </w:tblCellMar>
        </w:tblPrEx>
        <w:trPr>
          <w:gridAfter w:val="1"/>
          <w:wAfter w:w="17" w:type="pct"/>
          <w:cantSplit/>
        </w:trPr>
        <w:tc>
          <w:tcPr>
            <w:tcW w:w="2079" w:type="pct"/>
            <w:gridSpan w:val="2"/>
          </w:tcPr>
          <w:p w14:paraId="7AE53F3D" w14:textId="77777777" w:rsidR="00377DDF" w:rsidRPr="00377DDF" w:rsidRDefault="00377DDF" w:rsidP="00377DDF">
            <w:pPr>
              <w:rPr>
                <w:b/>
                <w:smallCaps/>
              </w:rPr>
            </w:pPr>
          </w:p>
          <w:p w14:paraId="47B7FCB9" w14:textId="77777777" w:rsidR="00377DDF" w:rsidRPr="00377DDF" w:rsidRDefault="00377DDF" w:rsidP="00377DDF">
            <w:pPr>
              <w:rPr>
                <w:b/>
                <w:smallCaps/>
              </w:rPr>
            </w:pPr>
            <w:r w:rsidRPr="00377DDF">
              <w:rPr>
                <w:b/>
                <w:smallCaps/>
              </w:rPr>
              <w:t>Citation:</w:t>
            </w:r>
            <w:r w:rsidRPr="00377DDF">
              <w:t xml:space="preserve"> R. </w:t>
            </w:r>
            <w:r w:rsidRPr="00377DDF">
              <w:rPr>
                <w:i/>
              </w:rPr>
              <w:t>v.</w:t>
            </w:r>
            <w:r w:rsidRPr="00377DDF">
              <w:t xml:space="preserve"> Brown, 2022 SCC 18</w:t>
            </w:r>
          </w:p>
        </w:tc>
        <w:tc>
          <w:tcPr>
            <w:tcW w:w="888" w:type="pct"/>
          </w:tcPr>
          <w:p w14:paraId="78671EE5" w14:textId="77777777" w:rsidR="00377DDF" w:rsidRPr="00377DDF" w:rsidRDefault="00377DDF" w:rsidP="00377DDF"/>
        </w:tc>
        <w:tc>
          <w:tcPr>
            <w:tcW w:w="2016" w:type="pct"/>
          </w:tcPr>
          <w:p w14:paraId="2719214B" w14:textId="77777777" w:rsidR="00377DDF" w:rsidRPr="00377DDF" w:rsidRDefault="00377DDF" w:rsidP="00377DDF">
            <w:pPr>
              <w:rPr>
                <w:b/>
                <w:smallCaps/>
              </w:rPr>
            </w:pPr>
          </w:p>
          <w:p w14:paraId="0A1EF585" w14:textId="77777777" w:rsidR="00377DDF" w:rsidRPr="00377DDF" w:rsidRDefault="00377DDF" w:rsidP="00377DDF">
            <w:pPr>
              <w:jc w:val="both"/>
            </w:pPr>
            <w:r w:rsidRPr="00377DDF">
              <w:rPr>
                <w:b/>
                <w:smallCaps/>
              </w:rPr>
              <w:t>Appeal Heard:</w:t>
            </w:r>
            <w:r w:rsidRPr="00377DDF">
              <w:t xml:space="preserve"> November 9, 2021</w:t>
            </w:r>
          </w:p>
          <w:p w14:paraId="60BD966D" w14:textId="77777777" w:rsidR="00377DDF" w:rsidRPr="00377DDF" w:rsidRDefault="00377DDF" w:rsidP="00377DDF">
            <w:r w:rsidRPr="00377DDF">
              <w:rPr>
                <w:b/>
                <w:smallCaps/>
              </w:rPr>
              <w:t>Judgment Rendered:</w:t>
            </w:r>
            <w:r w:rsidRPr="00377DDF">
              <w:t xml:space="preserve"> May 13, 2022</w:t>
            </w:r>
          </w:p>
          <w:p w14:paraId="6440CCC1" w14:textId="77777777" w:rsidR="00377DDF" w:rsidRPr="00377DDF" w:rsidRDefault="00377DDF" w:rsidP="00377DDF">
            <w:r w:rsidRPr="00377DDF">
              <w:rPr>
                <w:b/>
                <w:smallCaps/>
              </w:rPr>
              <w:t>Docket:</w:t>
            </w:r>
            <w:r w:rsidRPr="00377DDF">
              <w:t xml:space="preserve"> 39781</w:t>
            </w:r>
          </w:p>
        </w:tc>
      </w:tr>
      <w:tr w:rsidR="00377DDF" w:rsidRPr="00377DDF" w14:paraId="63C45415" w14:textId="77777777" w:rsidTr="002E1CEA">
        <w:tblPrEx>
          <w:tblCellMar>
            <w:top w:w="58" w:type="dxa"/>
            <w:left w:w="58" w:type="dxa"/>
            <w:bottom w:w="58" w:type="dxa"/>
            <w:right w:w="58" w:type="dxa"/>
          </w:tblCellMar>
        </w:tblPrEx>
        <w:tc>
          <w:tcPr>
            <w:tcW w:w="5000" w:type="pct"/>
            <w:gridSpan w:val="5"/>
          </w:tcPr>
          <w:p w14:paraId="7231501B" w14:textId="77777777" w:rsidR="00377DDF" w:rsidRPr="00377DDF" w:rsidRDefault="00377DDF" w:rsidP="00377DDF"/>
          <w:p w14:paraId="68DB138B" w14:textId="77777777" w:rsidR="00377DDF" w:rsidRPr="00377DDF" w:rsidRDefault="00377DDF" w:rsidP="00377DDF">
            <w:pPr>
              <w:rPr>
                <w:b/>
                <w:smallCaps/>
              </w:rPr>
            </w:pPr>
            <w:r w:rsidRPr="00377DDF">
              <w:rPr>
                <w:b/>
                <w:smallCaps/>
              </w:rPr>
              <w:t>Between:</w:t>
            </w:r>
          </w:p>
          <w:p w14:paraId="37899F87" w14:textId="77777777" w:rsidR="00377DDF" w:rsidRPr="00377DDF" w:rsidRDefault="00377DDF" w:rsidP="00377DDF"/>
          <w:p w14:paraId="35B9C454" w14:textId="77777777" w:rsidR="00377DDF" w:rsidRPr="00377DDF" w:rsidRDefault="00377DDF" w:rsidP="00377DDF">
            <w:pPr>
              <w:jc w:val="center"/>
              <w:rPr>
                <w:b/>
              </w:rPr>
            </w:pPr>
            <w:r w:rsidRPr="00377DDF">
              <w:rPr>
                <w:b/>
              </w:rPr>
              <w:t>Matthew Winston Brown</w:t>
            </w:r>
          </w:p>
          <w:p w14:paraId="32AD8C87" w14:textId="77777777" w:rsidR="00377DDF" w:rsidRPr="00377DDF" w:rsidRDefault="00377DDF" w:rsidP="00377DDF">
            <w:pPr>
              <w:jc w:val="center"/>
            </w:pPr>
            <w:r w:rsidRPr="00377DDF">
              <w:t>Appellant</w:t>
            </w:r>
          </w:p>
          <w:p w14:paraId="46F4F1DB" w14:textId="77777777" w:rsidR="00377DDF" w:rsidRPr="00377DDF" w:rsidRDefault="00377DDF" w:rsidP="00377DDF"/>
          <w:p w14:paraId="3DEF3E18" w14:textId="77777777" w:rsidR="00377DDF" w:rsidRPr="00377DDF" w:rsidRDefault="00377DDF" w:rsidP="00377DDF">
            <w:pPr>
              <w:jc w:val="center"/>
            </w:pPr>
            <w:r w:rsidRPr="00377DDF">
              <w:t>and</w:t>
            </w:r>
          </w:p>
          <w:p w14:paraId="1E2DE8E6" w14:textId="77777777" w:rsidR="00377DDF" w:rsidRPr="00377DDF" w:rsidRDefault="00377DDF" w:rsidP="00377DDF"/>
          <w:p w14:paraId="624C92A6" w14:textId="77777777" w:rsidR="00377DDF" w:rsidRPr="00377DDF" w:rsidRDefault="00377DDF" w:rsidP="00377DDF">
            <w:pPr>
              <w:jc w:val="center"/>
              <w:rPr>
                <w:b/>
              </w:rPr>
            </w:pPr>
            <w:r w:rsidRPr="00377DDF">
              <w:rPr>
                <w:b/>
              </w:rPr>
              <w:t>Her Majesty The Queen</w:t>
            </w:r>
          </w:p>
          <w:p w14:paraId="2EA2D501" w14:textId="77777777" w:rsidR="00377DDF" w:rsidRPr="00377DDF" w:rsidRDefault="00377DDF" w:rsidP="00377DDF">
            <w:pPr>
              <w:jc w:val="center"/>
            </w:pPr>
            <w:r w:rsidRPr="00377DDF">
              <w:t>Respondent</w:t>
            </w:r>
          </w:p>
          <w:p w14:paraId="37D25404" w14:textId="77777777" w:rsidR="00377DDF" w:rsidRPr="00377DDF" w:rsidRDefault="00377DDF" w:rsidP="00377DDF"/>
          <w:p w14:paraId="1AEDF054" w14:textId="77777777" w:rsidR="00377DDF" w:rsidRPr="00377DDF" w:rsidRDefault="00377DDF" w:rsidP="00377DDF">
            <w:pPr>
              <w:jc w:val="center"/>
            </w:pPr>
            <w:r w:rsidRPr="00377DDF">
              <w:t>- and -</w:t>
            </w:r>
          </w:p>
          <w:p w14:paraId="352975F2" w14:textId="77777777" w:rsidR="00377DDF" w:rsidRPr="00377DDF" w:rsidRDefault="00377DDF" w:rsidP="00377DDF"/>
          <w:p w14:paraId="129E9DEF" w14:textId="77777777" w:rsidR="00377DDF" w:rsidRPr="00377DDF" w:rsidRDefault="00377DDF" w:rsidP="00377DDF">
            <w:pPr>
              <w:jc w:val="center"/>
              <w:rPr>
                <w:b/>
              </w:rPr>
            </w:pPr>
            <w:r w:rsidRPr="00377DDF">
              <w:rPr>
                <w:b/>
              </w:rPr>
              <w:t>Attorney General of Canada, Attorney General of Ontario, Attorney General of Manitoba, Attorney General of British Columbia, Attorney General of Saskatchewan, Canadian Civil Liberties Association, Empowerment Council, Criminal Lawyers’ Association and Women’s Legal Education and Action Fund Inc.</w:t>
            </w:r>
          </w:p>
          <w:p w14:paraId="6A1D8535" w14:textId="77777777" w:rsidR="00377DDF" w:rsidRPr="00377DDF" w:rsidRDefault="00377DDF" w:rsidP="00377DDF">
            <w:pPr>
              <w:jc w:val="center"/>
            </w:pPr>
            <w:r w:rsidRPr="00377DDF">
              <w:t>Interveners</w:t>
            </w:r>
          </w:p>
          <w:p w14:paraId="098C229E" w14:textId="77777777" w:rsidR="00377DDF" w:rsidRPr="00377DDF" w:rsidRDefault="00377DDF" w:rsidP="00377DDF"/>
          <w:p w14:paraId="6018AB23" w14:textId="77777777" w:rsidR="00377DDF" w:rsidRPr="00377DDF" w:rsidRDefault="00377DDF" w:rsidP="00377DDF">
            <w:pPr>
              <w:jc w:val="center"/>
              <w:rPr>
                <w:b/>
                <w:smallCaps/>
              </w:rPr>
            </w:pPr>
          </w:p>
          <w:p w14:paraId="2D6A5035" w14:textId="77777777" w:rsidR="00377DDF" w:rsidRPr="00377DDF" w:rsidRDefault="00377DDF" w:rsidP="00377DDF"/>
          <w:p w14:paraId="6293C9B5" w14:textId="77777777" w:rsidR="00377DDF" w:rsidRPr="00377DDF" w:rsidRDefault="00377DDF" w:rsidP="00377DDF">
            <w:r w:rsidRPr="00377DDF">
              <w:rPr>
                <w:b/>
                <w:smallCaps/>
              </w:rPr>
              <w:t>Coram:</w:t>
            </w:r>
            <w:r w:rsidRPr="00377DDF">
              <w:t xml:space="preserve"> Wagner C.J. and Moldaver, Karakatsanis, Côté, Brown, Rowe, Martin, Kasirer and Jamal JJ.</w:t>
            </w:r>
          </w:p>
          <w:p w14:paraId="5AAE1765" w14:textId="77777777" w:rsidR="00377DDF" w:rsidRPr="00377DDF" w:rsidRDefault="00377DDF" w:rsidP="00377DDF">
            <w:pPr>
              <w:rPr>
                <w:b/>
                <w:smallCaps/>
              </w:rPr>
            </w:pPr>
          </w:p>
        </w:tc>
      </w:tr>
      <w:tr w:rsidR="00377DDF" w:rsidRPr="00377DDF" w14:paraId="56F3A9A0" w14:textId="77777777" w:rsidTr="002E1CEA">
        <w:tblPrEx>
          <w:tblCellMar>
            <w:top w:w="58" w:type="dxa"/>
            <w:left w:w="58" w:type="dxa"/>
            <w:bottom w:w="58" w:type="dxa"/>
            <w:right w:w="58" w:type="dxa"/>
          </w:tblCellMar>
        </w:tblPrEx>
        <w:trPr>
          <w:cantSplit/>
        </w:trPr>
        <w:tc>
          <w:tcPr>
            <w:tcW w:w="1232" w:type="pct"/>
          </w:tcPr>
          <w:p w14:paraId="7DDA9406" w14:textId="77777777" w:rsidR="00377DDF" w:rsidRPr="00377DDF" w:rsidRDefault="00377DDF" w:rsidP="00377DDF">
            <w:pPr>
              <w:rPr>
                <w:smallCaps/>
              </w:rPr>
            </w:pPr>
            <w:r w:rsidRPr="00377DDF">
              <w:rPr>
                <w:b/>
                <w:smallCaps/>
              </w:rPr>
              <w:lastRenderedPageBreak/>
              <w:t>Reasons for Judgment:</w:t>
            </w:r>
            <w:r w:rsidRPr="00377DDF">
              <w:rPr>
                <w:smallCaps/>
              </w:rPr>
              <w:t xml:space="preserve"> </w:t>
            </w:r>
          </w:p>
          <w:p w14:paraId="456DA7AF" w14:textId="77777777" w:rsidR="00377DDF" w:rsidRPr="00377DDF" w:rsidRDefault="00377DDF" w:rsidP="00377DDF">
            <w:r w:rsidRPr="00377DDF">
              <w:t>(paras. 1 to 168)</w:t>
            </w:r>
          </w:p>
        </w:tc>
        <w:tc>
          <w:tcPr>
            <w:tcW w:w="3768" w:type="pct"/>
            <w:gridSpan w:val="4"/>
          </w:tcPr>
          <w:p w14:paraId="1AC6C802" w14:textId="77777777" w:rsidR="00377DDF" w:rsidRPr="00377DDF" w:rsidRDefault="00377DDF" w:rsidP="00377DDF">
            <w:r w:rsidRPr="00377DDF">
              <w:t>Kasirer J. (Wagner C.J. and Moldaver, Karakatsanis, Côté, Brown, Rowe, Martin and Jamal JJ. concurring)</w:t>
            </w:r>
          </w:p>
        </w:tc>
      </w:tr>
    </w:tbl>
    <w:p w14:paraId="5CBF421B" w14:textId="77777777" w:rsidR="00377DDF" w:rsidRPr="00377DDF" w:rsidRDefault="00377DDF" w:rsidP="00377DDF">
      <w:pPr>
        <w:rPr>
          <w:rFonts w:eastAsiaTheme="minorHAnsi" w:cstheme="minorBidi"/>
          <w:szCs w:val="24"/>
          <w:lang w:eastAsia="en-US"/>
        </w:rPr>
      </w:pPr>
    </w:p>
    <w:p w14:paraId="3057DDA0" w14:textId="77777777" w:rsidR="00377DDF" w:rsidRPr="00377DDF" w:rsidRDefault="00377DDF" w:rsidP="00377DDF">
      <w:pPr>
        <w:rPr>
          <w:rFonts w:eastAsiaTheme="minorHAnsi" w:cstheme="minorBidi"/>
          <w:szCs w:val="24"/>
          <w:lang w:eastAsia="en-US"/>
        </w:rPr>
      </w:pPr>
    </w:p>
    <w:p w14:paraId="35DE1878" w14:textId="77777777" w:rsidR="00377DDF" w:rsidRPr="00377DDF" w:rsidRDefault="00377DDF" w:rsidP="00377DDF">
      <w:pPr>
        <w:rPr>
          <w:rFonts w:eastAsiaTheme="minorHAnsi" w:cstheme="minorBidi"/>
          <w:szCs w:val="24"/>
          <w:lang w:eastAsia="en-US"/>
        </w:rPr>
      </w:pPr>
      <w:r w:rsidRPr="00377DDF">
        <w:rPr>
          <w:rFonts w:eastAsiaTheme="minorHAnsi" w:cstheme="minorBidi"/>
          <w:b/>
          <w:smallCaps/>
          <w:szCs w:val="24"/>
          <w:lang w:eastAsia="en-US"/>
        </w:rPr>
        <w:t>Note:</w:t>
      </w:r>
      <w:r w:rsidRPr="00377DDF">
        <w:rPr>
          <w:rFonts w:eastAsiaTheme="minorHAnsi" w:cstheme="minorBidi"/>
          <w:b/>
          <w:szCs w:val="24"/>
          <w:lang w:eastAsia="en-US"/>
        </w:rPr>
        <w:t xml:space="preserve"> </w:t>
      </w:r>
      <w:r w:rsidRPr="00377DDF">
        <w:rPr>
          <w:rFonts w:eastAsiaTheme="minorHAnsi" w:cstheme="minorBidi"/>
          <w:szCs w:val="24"/>
          <w:lang w:eastAsia="en-US"/>
        </w:rPr>
        <w:t xml:space="preserve">This document is subject to editorial revision before its reproduction in final form in the </w:t>
      </w:r>
      <w:r w:rsidRPr="00377DDF">
        <w:rPr>
          <w:rFonts w:eastAsiaTheme="minorHAnsi" w:cstheme="minorBidi"/>
          <w:i/>
          <w:szCs w:val="24"/>
          <w:lang w:eastAsia="en-US"/>
        </w:rPr>
        <w:t>Canada Supreme Court Reports</w:t>
      </w:r>
      <w:r w:rsidRPr="00377DDF">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377DDF" w:rsidRPr="00377DDF" w14:paraId="2CFEDB36" w14:textId="77777777" w:rsidTr="00DE7E31">
        <w:tc>
          <w:tcPr>
            <w:tcW w:w="1500" w:type="pct"/>
            <w:tcMar>
              <w:top w:w="284" w:type="dxa"/>
            </w:tcMar>
          </w:tcPr>
          <w:p w14:paraId="245D892A" w14:textId="77777777" w:rsidR="00377DDF" w:rsidRPr="00377DDF" w:rsidRDefault="00377DDF" w:rsidP="00377DDF"/>
        </w:tc>
        <w:tc>
          <w:tcPr>
            <w:tcW w:w="2000" w:type="pct"/>
            <w:tcBorders>
              <w:bottom w:val="single" w:sz="4" w:space="0" w:color="auto"/>
            </w:tcBorders>
            <w:tcMar>
              <w:top w:w="284" w:type="dxa"/>
            </w:tcMar>
          </w:tcPr>
          <w:p w14:paraId="3363D45E" w14:textId="77777777" w:rsidR="00377DDF" w:rsidRPr="00377DDF" w:rsidRDefault="00377DDF" w:rsidP="00377DDF"/>
        </w:tc>
        <w:tc>
          <w:tcPr>
            <w:tcW w:w="1500" w:type="pct"/>
            <w:tcMar>
              <w:top w:w="284" w:type="dxa"/>
            </w:tcMar>
          </w:tcPr>
          <w:p w14:paraId="17D6F843" w14:textId="77777777" w:rsidR="00377DDF" w:rsidRPr="00377DDF" w:rsidRDefault="00377DDF" w:rsidP="00377DDF"/>
        </w:tc>
      </w:tr>
    </w:tbl>
    <w:p w14:paraId="482C7B49" w14:textId="77777777" w:rsidR="00377DDF" w:rsidRPr="00377DDF" w:rsidRDefault="00377DDF" w:rsidP="00377DDF">
      <w:pPr>
        <w:rPr>
          <w:rFonts w:eastAsiaTheme="minorHAnsi" w:cstheme="minorBidi"/>
          <w:szCs w:val="24"/>
          <w:lang w:eastAsia="en-US"/>
        </w:rPr>
      </w:pPr>
    </w:p>
    <w:p w14:paraId="682BDBAE" w14:textId="77777777" w:rsidR="00377DDF" w:rsidRDefault="00377DDF">
      <w:pPr>
        <w:rPr>
          <w:b/>
        </w:rPr>
      </w:pPr>
      <w:r>
        <w:br w:type="page"/>
      </w:r>
    </w:p>
    <w:p w14:paraId="2C29392B" w14:textId="1013F1B1" w:rsidR="00674ACA" w:rsidRDefault="00874D6F">
      <w:pPr>
        <w:pStyle w:val="SCCLsocLastPartyInRole"/>
      </w:pPr>
      <w:r>
        <w:t>Matthew Winston Brown</w:t>
      </w:r>
      <w:r>
        <w:rPr>
          <w:rStyle w:val="SCCLsocPartyRole"/>
        </w:rPr>
        <w:tab/>
        <w:t>Appellant</w:t>
      </w:r>
    </w:p>
    <w:p w14:paraId="4482E197" w14:textId="77777777" w:rsidR="00674ACA" w:rsidRDefault="00874D6F">
      <w:pPr>
        <w:pStyle w:val="SCCLsocVersus"/>
      </w:pPr>
      <w:proofErr w:type="gramStart"/>
      <w:r>
        <w:t>v</w:t>
      </w:r>
      <w:proofErr w:type="gramEnd"/>
      <w:r>
        <w:t>.</w:t>
      </w:r>
    </w:p>
    <w:p w14:paraId="6C1535D2" w14:textId="77777777" w:rsidR="00674ACA" w:rsidRDefault="00A676C5">
      <w:pPr>
        <w:pStyle w:val="SCCLsocLastPartyInRole"/>
      </w:pPr>
      <w:r>
        <w:t xml:space="preserve">Her Majesty </w:t>
      </w:r>
      <w:proofErr w:type="gramStart"/>
      <w:r>
        <w:t>T</w:t>
      </w:r>
      <w:r w:rsidR="00874D6F">
        <w:t>he</w:t>
      </w:r>
      <w:proofErr w:type="gramEnd"/>
      <w:r w:rsidR="00874D6F">
        <w:t xml:space="preserve"> Queen</w:t>
      </w:r>
      <w:r w:rsidR="00874D6F">
        <w:rPr>
          <w:rStyle w:val="SCCLsocPartyRole"/>
        </w:rPr>
        <w:tab/>
        <w:t>Respondent</w:t>
      </w:r>
    </w:p>
    <w:p w14:paraId="04BE9C93" w14:textId="77777777" w:rsidR="00674ACA" w:rsidRDefault="00874D6F">
      <w:pPr>
        <w:pStyle w:val="SCCLsocOtherPartySeparator"/>
      </w:pPr>
      <w:proofErr w:type="gramStart"/>
      <w:r>
        <w:t>and</w:t>
      </w:r>
      <w:proofErr w:type="gramEnd"/>
    </w:p>
    <w:p w14:paraId="1F895A71" w14:textId="77777777" w:rsidR="00674ACA" w:rsidRDefault="00874D6F">
      <w:pPr>
        <w:pStyle w:val="SCCLsocParty"/>
      </w:pPr>
      <w:r>
        <w:t>Attorney General of Canada,</w:t>
      </w:r>
    </w:p>
    <w:p w14:paraId="735F6CE0" w14:textId="77777777" w:rsidR="00A676C5" w:rsidRPr="00A676C5" w:rsidRDefault="00A676C5" w:rsidP="00A676C5">
      <w:pPr>
        <w:pStyle w:val="SCCLsocParty"/>
      </w:pPr>
      <w:r>
        <w:t>Attorney General of Ontario,</w:t>
      </w:r>
    </w:p>
    <w:p w14:paraId="2EE0C6AF" w14:textId="77777777" w:rsidR="00A676C5" w:rsidRDefault="00A676C5" w:rsidP="00A676C5">
      <w:pPr>
        <w:pStyle w:val="SCCLsocParty"/>
      </w:pPr>
      <w:r>
        <w:t>Attorney General of Manitoba,</w:t>
      </w:r>
    </w:p>
    <w:p w14:paraId="0033046A" w14:textId="77777777" w:rsidR="00A676C5" w:rsidRDefault="00A676C5" w:rsidP="00A676C5">
      <w:pPr>
        <w:pStyle w:val="SCCLsocParty"/>
      </w:pPr>
      <w:r>
        <w:t>Attorney General of British Columbia,</w:t>
      </w:r>
    </w:p>
    <w:p w14:paraId="403D0C02" w14:textId="77777777" w:rsidR="00674ACA" w:rsidRDefault="00874D6F">
      <w:pPr>
        <w:pStyle w:val="SCCLsocParty"/>
      </w:pPr>
      <w:r>
        <w:t>Attorney General of Saskatchewan,</w:t>
      </w:r>
    </w:p>
    <w:p w14:paraId="010276BC" w14:textId="77777777" w:rsidR="00674ACA" w:rsidRDefault="00874D6F">
      <w:pPr>
        <w:pStyle w:val="SCCLsocParty"/>
      </w:pPr>
      <w:r>
        <w:t>Canadian Civil Liberties Association,</w:t>
      </w:r>
    </w:p>
    <w:p w14:paraId="5691A92B" w14:textId="6397B209" w:rsidR="00674ACA" w:rsidRDefault="00874D6F">
      <w:pPr>
        <w:pStyle w:val="SCCLsocParty"/>
      </w:pPr>
      <w:r w:rsidRPr="00364DBD">
        <w:t>Empowerment Council,</w:t>
      </w:r>
    </w:p>
    <w:p w14:paraId="2D13AA2B" w14:textId="58FC800B" w:rsidR="00674ACA" w:rsidRDefault="00A676C5">
      <w:pPr>
        <w:pStyle w:val="SCCLsocParty"/>
      </w:pPr>
      <w:r>
        <w:t>Criminal Lawyers</w:t>
      </w:r>
      <w:r w:rsidR="00E45CA7">
        <w:t>’</w:t>
      </w:r>
      <w:r w:rsidR="0087057F">
        <w:t xml:space="preserve"> Association</w:t>
      </w:r>
      <w:r w:rsidR="00106B05">
        <w:t xml:space="preserve"> </w:t>
      </w:r>
      <w:r>
        <w:t>and</w:t>
      </w:r>
    </w:p>
    <w:p w14:paraId="667406DD" w14:textId="77777777" w:rsidR="00674ACA" w:rsidRDefault="00874D6F" w:rsidP="002D1316">
      <w:pPr>
        <w:pStyle w:val="SCCLsocLastPartyInRole"/>
      </w:pPr>
      <w:r>
        <w:t>Women</w:t>
      </w:r>
      <w:r w:rsidR="00E45CA7">
        <w:t>’</w:t>
      </w:r>
      <w:r>
        <w:t>s Legal Education and Action Fund Inc.</w:t>
      </w:r>
      <w:r>
        <w:rPr>
          <w:rStyle w:val="SCCLsocPartyRole"/>
        </w:rPr>
        <w:tab/>
        <w:t>Interveners</w:t>
      </w:r>
    </w:p>
    <w:p w14:paraId="28F3BD90" w14:textId="77777777" w:rsidR="00426659" w:rsidRPr="00426659" w:rsidRDefault="00426659" w:rsidP="002D1316">
      <w:pPr>
        <w:spacing w:after="720"/>
        <w:jc w:val="both"/>
        <w:rPr>
          <w:b/>
        </w:rPr>
      </w:pPr>
      <w:r w:rsidRPr="00426659">
        <w:rPr>
          <w:b/>
        </w:rPr>
        <w:t>Indexed as:</w:t>
      </w:r>
      <w:r>
        <w:rPr>
          <w:b/>
        </w:rPr>
        <w:t xml:space="preserve"> </w:t>
      </w:r>
      <w:r w:rsidR="00A676C5">
        <w:rPr>
          <w:rStyle w:val="SCCRespondentForIndexChar"/>
        </w:rPr>
        <w:t>R.</w:t>
      </w:r>
      <w:r w:rsidR="00A676C5">
        <w:rPr>
          <w:b/>
        </w:rPr>
        <w:t xml:space="preserve"> </w:t>
      </w:r>
      <w:r w:rsidRPr="00426659">
        <w:rPr>
          <w:b/>
          <w:i/>
        </w:rPr>
        <w:t>v.</w:t>
      </w:r>
      <w:r w:rsidRPr="00426659">
        <w:rPr>
          <w:b/>
        </w:rPr>
        <w:t xml:space="preserve"> </w:t>
      </w:r>
      <w:r w:rsidR="00A676C5">
        <w:rPr>
          <w:rStyle w:val="SCCAppellantForIndexChar"/>
        </w:rPr>
        <w:t>Brown</w:t>
      </w:r>
    </w:p>
    <w:p w14:paraId="63C61DA1" w14:textId="6470B2A8" w:rsidR="00426659" w:rsidRPr="00C02092" w:rsidRDefault="00570133" w:rsidP="002D1316">
      <w:pPr>
        <w:pStyle w:val="SCCSystemYear"/>
        <w:spacing w:after="720"/>
        <w:jc w:val="both"/>
      </w:pPr>
      <w:r>
        <w:t>2022</w:t>
      </w:r>
      <w:r w:rsidR="003D0399">
        <w:t xml:space="preserve"> </w:t>
      </w:r>
      <w:r w:rsidR="002D1316">
        <w:t xml:space="preserve">SCC </w:t>
      </w:r>
      <w:r w:rsidR="00E663EC">
        <w:t>18</w:t>
      </w:r>
    </w:p>
    <w:p w14:paraId="1112B04D" w14:textId="77777777" w:rsidR="008322BD" w:rsidRDefault="00E45CA7" w:rsidP="002D1316">
      <w:pPr>
        <w:spacing w:after="720"/>
        <w:jc w:val="both"/>
      </w:pPr>
      <w:r>
        <w:t xml:space="preserve">File No.: </w:t>
      </w:r>
      <w:r w:rsidR="009B57B3">
        <w:t>39781</w:t>
      </w:r>
      <w:r w:rsidR="009B57B3" w:rsidRPr="001426A9">
        <w:t>.</w:t>
      </w:r>
    </w:p>
    <w:p w14:paraId="758261C1" w14:textId="2C92FD64" w:rsidR="008322BD" w:rsidRDefault="00AE4535" w:rsidP="002D1316">
      <w:pPr>
        <w:spacing w:after="720"/>
        <w:jc w:val="both"/>
      </w:pPr>
      <w:r>
        <w:t>2021: November 9</w:t>
      </w:r>
      <w:r w:rsidR="009B57B3" w:rsidRPr="001426A9">
        <w:t xml:space="preserve">; </w:t>
      </w:r>
      <w:r w:rsidR="00F362A3">
        <w:t xml:space="preserve">2022: </w:t>
      </w:r>
      <w:r w:rsidR="00C51C8C" w:rsidRPr="00364DBD">
        <w:t>May 13</w:t>
      </w:r>
      <w:r w:rsidR="009B57B3" w:rsidRPr="001426A9">
        <w:t>.</w:t>
      </w:r>
    </w:p>
    <w:p w14:paraId="538C8EBA" w14:textId="16609FF4" w:rsidR="008322BD" w:rsidRDefault="00E45CA7" w:rsidP="002D1316">
      <w:pPr>
        <w:spacing w:after="720"/>
        <w:jc w:val="both"/>
      </w:pPr>
      <w:r>
        <w:t xml:space="preserve">Present: </w:t>
      </w:r>
      <w:r w:rsidR="002D1316">
        <w:t xml:space="preserve">Wagner </w:t>
      </w:r>
      <w:r w:rsidR="009B57B3">
        <w:t xml:space="preserve">C.J. and Moldaver, Karakatsanis, Côté, Brown, </w:t>
      </w:r>
      <w:r w:rsidR="002D1316">
        <w:t xml:space="preserve">Rowe, Martin, Kasirer and Jamal </w:t>
      </w:r>
      <w:r w:rsidR="009B57B3">
        <w:t>JJ.</w:t>
      </w:r>
    </w:p>
    <w:p w14:paraId="49635141" w14:textId="77777777" w:rsidR="008322BD" w:rsidRPr="001C779F" w:rsidRDefault="00656313" w:rsidP="002D1316">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cour</w:t>
      </w:r>
      <w:r w:rsidR="00E45CA7">
        <w:t xml:space="preserve">t of appeal of </w:t>
      </w:r>
      <w:proofErr w:type="spellStart"/>
      <w:r w:rsidR="00E45CA7">
        <w:t>alberta</w:t>
      </w:r>
      <w:proofErr w:type="spellEnd"/>
    </w:p>
    <w:p w14:paraId="467F4FD3" w14:textId="2C3F3B3F" w:rsidR="00A707AE" w:rsidRPr="0075409A" w:rsidRDefault="00A707AE" w:rsidP="00612DC7">
      <w:pPr>
        <w:pStyle w:val="SCCNormalDoubleSpacing"/>
        <w:spacing w:after="480"/>
        <w:rPr>
          <w:i/>
          <w:iCs/>
          <w:szCs w:val="24"/>
        </w:rPr>
      </w:pPr>
      <w:r w:rsidRPr="0075409A">
        <w:rPr>
          <w:bCs/>
          <w:i/>
          <w:szCs w:val="24"/>
        </w:rPr>
        <w:tab/>
      </w:r>
      <w:r w:rsidRPr="42B6A565">
        <w:rPr>
          <w:i/>
          <w:iCs/>
          <w:szCs w:val="24"/>
        </w:rPr>
        <w:t xml:space="preserve">Constitutional law — </w:t>
      </w:r>
      <w:r w:rsidRPr="42B6A565">
        <w:rPr>
          <w:i/>
          <w:iCs/>
          <w:szCs w:val="24"/>
          <w:lang w:val="en-GB"/>
        </w:rPr>
        <w:t xml:space="preserve">Charter of Rights </w:t>
      </w:r>
      <w:r w:rsidRPr="42B6A565">
        <w:rPr>
          <w:i/>
          <w:iCs/>
          <w:szCs w:val="24"/>
        </w:rPr>
        <w:t xml:space="preserve">— Fundamental justice — </w:t>
      </w:r>
      <w:r w:rsidRPr="42B6A565">
        <w:rPr>
          <w:i/>
          <w:iCs/>
          <w:szCs w:val="24"/>
          <w:lang w:val="en-GB"/>
        </w:rPr>
        <w:t xml:space="preserve">Presumption of innocence </w:t>
      </w:r>
      <w:r w:rsidR="00DC7D0F">
        <w:rPr>
          <w:i/>
          <w:iCs/>
          <w:szCs w:val="24"/>
        </w:rPr>
        <w:t xml:space="preserve">— </w:t>
      </w:r>
      <w:r w:rsidR="00DC7D0F">
        <w:rPr>
          <w:i/>
          <w:iCs/>
          <w:szCs w:val="24"/>
          <w:lang w:val="en-GB"/>
        </w:rPr>
        <w:t>Re</w:t>
      </w:r>
      <w:r w:rsidRPr="42B6A565">
        <w:rPr>
          <w:i/>
          <w:iCs/>
          <w:szCs w:val="24"/>
          <w:lang w:val="en-GB"/>
        </w:rPr>
        <w:t xml:space="preserve">asonable limits </w:t>
      </w:r>
      <w:r w:rsidRPr="42B6A565">
        <w:rPr>
          <w:i/>
          <w:iCs/>
          <w:szCs w:val="24"/>
        </w:rPr>
        <w:t>— Section 33.1 of Criminal Code preventing accused from rai</w:t>
      </w:r>
      <w:r w:rsidR="00612DC7">
        <w:rPr>
          <w:i/>
          <w:iCs/>
          <w:szCs w:val="24"/>
        </w:rPr>
        <w:t>sing common law defence of self</w:t>
      </w:r>
      <w:r w:rsidR="00612DC7">
        <w:rPr>
          <w:i/>
          <w:iCs/>
          <w:szCs w:val="24"/>
        </w:rPr>
        <w:noBreakHyphen/>
      </w:r>
      <w:r w:rsidRPr="42B6A565">
        <w:rPr>
          <w:i/>
          <w:iCs/>
          <w:szCs w:val="24"/>
        </w:rPr>
        <w:t xml:space="preserve">induced intoxication </w:t>
      </w:r>
      <w:r w:rsidR="00612DC7">
        <w:rPr>
          <w:i/>
          <w:iCs/>
          <w:szCs w:val="24"/>
        </w:rPr>
        <w:t>akin to automatism — Whether s. </w:t>
      </w:r>
      <w:r w:rsidRPr="42B6A565">
        <w:rPr>
          <w:i/>
          <w:iCs/>
          <w:szCs w:val="24"/>
        </w:rPr>
        <w:t>33.1 violates principles of fundamental justice or presumption of innocence — If so, whether infringement justified — Canadian Char</w:t>
      </w:r>
      <w:r w:rsidR="00612DC7">
        <w:rPr>
          <w:i/>
          <w:iCs/>
          <w:szCs w:val="24"/>
        </w:rPr>
        <w:t>ter of Rights and Freedoms, ss. </w:t>
      </w:r>
      <w:r w:rsidRPr="42B6A565">
        <w:rPr>
          <w:i/>
          <w:iCs/>
          <w:szCs w:val="24"/>
        </w:rPr>
        <w:t>1, 7, 11(d) — C</w:t>
      </w:r>
      <w:r w:rsidR="00612DC7">
        <w:rPr>
          <w:i/>
          <w:iCs/>
          <w:szCs w:val="24"/>
        </w:rPr>
        <w:t>riminal Code, R.S.C. 1985, c. C</w:t>
      </w:r>
      <w:r w:rsidR="00612DC7">
        <w:rPr>
          <w:i/>
          <w:iCs/>
          <w:szCs w:val="24"/>
        </w:rPr>
        <w:noBreakHyphen/>
        <w:t>46, s. </w:t>
      </w:r>
      <w:r w:rsidRPr="42B6A565">
        <w:rPr>
          <w:i/>
          <w:iCs/>
          <w:szCs w:val="24"/>
        </w:rPr>
        <w:t>33.1.</w:t>
      </w:r>
    </w:p>
    <w:p w14:paraId="5F1CB2E3" w14:textId="564DF8DA" w:rsidR="00A707AE" w:rsidRPr="0075409A" w:rsidRDefault="00A707AE" w:rsidP="00612DC7">
      <w:pPr>
        <w:pStyle w:val="SCCNormalDoubleSpacing"/>
        <w:spacing w:after="480"/>
      </w:pPr>
      <w:r w:rsidRPr="0075409A">
        <w:rPr>
          <w:szCs w:val="24"/>
        </w:rPr>
        <w:tab/>
      </w:r>
      <w:r w:rsidRPr="42B6A565">
        <w:t>At a house party, B consumed</w:t>
      </w:r>
      <w:r w:rsidR="00202EBC">
        <w:t xml:space="preserve"> alcohol and</w:t>
      </w:r>
      <w:r w:rsidRPr="42B6A565">
        <w:t xml:space="preserve"> magic mushrooms. </w:t>
      </w:r>
      <w:r w:rsidR="00DC7D0F">
        <w:t>Magic mushrooms contain</w:t>
      </w:r>
      <w:r w:rsidRPr="42B6A565">
        <w:t xml:space="preserve"> psilocybin, an illegal drug that can bring about hallucinations. </w:t>
      </w:r>
      <w:r w:rsidR="00DC7D0F">
        <w:t>B lost his</w:t>
      </w:r>
      <w:r w:rsidRPr="42B6A565">
        <w:t xml:space="preserve"> grip on reality and left the house. </w:t>
      </w:r>
      <w:r w:rsidR="00DC7D0F">
        <w:t xml:space="preserve">B </w:t>
      </w:r>
      <w:r w:rsidRPr="42B6A565">
        <w:t>was not simply drunk or high</w:t>
      </w:r>
      <w:r>
        <w:t>:</w:t>
      </w:r>
      <w:r w:rsidRPr="42B6A565">
        <w:t xml:space="preserve"> </w:t>
      </w:r>
      <w:r>
        <w:t>w</w:t>
      </w:r>
      <w:r w:rsidRPr="42B6A565">
        <w:t xml:space="preserve">hile capable of physical movement, he was in a </w:t>
      </w:r>
      <w:r w:rsidR="00DC7D0F">
        <w:t xml:space="preserve">psychotic </w:t>
      </w:r>
      <w:r w:rsidRPr="42B6A565">
        <w:t>state and had no wi</w:t>
      </w:r>
      <w:r w:rsidR="00DC7D0F">
        <w:t xml:space="preserve">lled control over his actions. </w:t>
      </w:r>
      <w:r w:rsidRPr="42B6A565">
        <w:t>He broke into the</w:t>
      </w:r>
      <w:r w:rsidR="00DC7D0F">
        <w:t xml:space="preserve"> nearby house </w:t>
      </w:r>
      <w:r w:rsidRPr="42B6A565">
        <w:t>of a stranger and</w:t>
      </w:r>
      <w:r w:rsidR="00DC7D0F">
        <w:t xml:space="preserve"> attacked the occupant, causing</w:t>
      </w:r>
      <w:r w:rsidRPr="42B6A565">
        <w:t xml:space="preserve"> permanent injuries. </w:t>
      </w:r>
      <w:r w:rsidR="00DC7D0F">
        <w:t>He then broke into another</w:t>
      </w:r>
      <w:r w:rsidRPr="0075409A">
        <w:t xml:space="preserve"> residence</w:t>
      </w:r>
      <w:r w:rsidR="00DC7D0F">
        <w:t xml:space="preserve"> and the occupants</w:t>
      </w:r>
      <w:r w:rsidRPr="42B6A565">
        <w:t xml:space="preserve"> call</w:t>
      </w:r>
      <w:r w:rsidR="00DC7D0F">
        <w:t>ed</w:t>
      </w:r>
      <w:r w:rsidRPr="42B6A565">
        <w:t xml:space="preserve"> the police. </w:t>
      </w:r>
      <w:r w:rsidR="00DC7D0F">
        <w:t>B</w:t>
      </w:r>
      <w:r w:rsidRPr="42B6A565">
        <w:t xml:space="preserve"> was charged with break and enter and aggravated assault, and with break and</w:t>
      </w:r>
      <w:r w:rsidR="00DC7D0F">
        <w:t xml:space="preserve"> enter and mischief to property over $5,000</w:t>
      </w:r>
      <w:r w:rsidR="00612DC7">
        <w:t>.</w:t>
      </w:r>
    </w:p>
    <w:p w14:paraId="1F7CF68A" w14:textId="5555ACAD" w:rsidR="00A707AE" w:rsidRPr="0075409A" w:rsidRDefault="00A707AE" w:rsidP="00612DC7">
      <w:pPr>
        <w:pStyle w:val="SCCNormalDoubleSpacing"/>
        <w:spacing w:after="480"/>
        <w:rPr>
          <w:lang w:val="en-US"/>
        </w:rPr>
      </w:pPr>
      <w:r w:rsidRPr="0075409A">
        <w:rPr>
          <w:szCs w:val="24"/>
        </w:rPr>
        <w:tab/>
      </w:r>
      <w:r w:rsidRPr="42B6A565">
        <w:t xml:space="preserve">At trial, </w:t>
      </w:r>
      <w:r w:rsidR="00DC7D0F">
        <w:t>B</w:t>
      </w:r>
      <w:r w:rsidRPr="42B6A565">
        <w:t xml:space="preserve"> argued that he was not guilty of the of</w:t>
      </w:r>
      <w:r w:rsidR="00DC7D0F">
        <w:t>fences by reason of automatism caused by</w:t>
      </w:r>
      <w:r w:rsidRPr="42B6A565">
        <w:t xml:space="preserve"> the consumption of psilocybin.</w:t>
      </w:r>
      <w:r w:rsidRPr="42B6A565">
        <w:rPr>
          <w:lang w:val="en-US"/>
        </w:rPr>
        <w:t xml:space="preserve"> </w:t>
      </w:r>
      <w:r w:rsidRPr="42B6A565">
        <w:t>Ex</w:t>
      </w:r>
      <w:r w:rsidR="00DC7D0F">
        <w:t>pert evidence adduced at trial confirmed that B had</w:t>
      </w:r>
      <w:r w:rsidRPr="42B6A565">
        <w:t xml:space="preserve"> no voluntary control over his conduct at the time. </w:t>
      </w:r>
      <w:r w:rsidR="00DC7D0F">
        <w:t xml:space="preserve">The Crown invoked s. 33.1 </w:t>
      </w:r>
      <w:r w:rsidRPr="42B6A565">
        <w:t xml:space="preserve">of the </w:t>
      </w:r>
      <w:r w:rsidRPr="42B6A565">
        <w:rPr>
          <w:i/>
          <w:iCs/>
        </w:rPr>
        <w:t>Criminal Code</w:t>
      </w:r>
      <w:r w:rsidRPr="42B6A565">
        <w:t xml:space="preserve"> as a means of precluding </w:t>
      </w:r>
      <w:r w:rsidR="00DC7D0F">
        <w:t>B</w:t>
      </w:r>
      <w:r w:rsidR="00612DC7">
        <w:t xml:space="preserve"> from relying on self</w:t>
      </w:r>
      <w:r w:rsidR="00612DC7">
        <w:noBreakHyphen/>
      </w:r>
      <w:r>
        <w:t>induced</w:t>
      </w:r>
      <w:r w:rsidRPr="42B6A565">
        <w:t xml:space="preserve"> intoxication akin to automatism as a defence to the charge of aggravated assault. </w:t>
      </w:r>
      <w:r w:rsidR="00DC7D0F">
        <w:rPr>
          <w:lang w:val="en-US"/>
        </w:rPr>
        <w:t xml:space="preserve">Parliament added s. 33.1 </w:t>
      </w:r>
      <w:r w:rsidRPr="42B6A565">
        <w:rPr>
          <w:lang w:val="en-US"/>
        </w:rPr>
        <w:t xml:space="preserve">to the </w:t>
      </w:r>
      <w:r w:rsidRPr="42B6A565">
        <w:rPr>
          <w:i/>
          <w:iCs/>
          <w:lang w:val="en-US"/>
        </w:rPr>
        <w:t>Criminal Code</w:t>
      </w:r>
      <w:r w:rsidRPr="42B6A565">
        <w:rPr>
          <w:lang w:val="en-US"/>
        </w:rPr>
        <w:t xml:space="preserve"> in response to </w:t>
      </w:r>
      <w:r w:rsidRPr="42B6A565">
        <w:rPr>
          <w:i/>
          <w:iCs/>
          <w:lang w:val="en-US"/>
        </w:rPr>
        <w:t>R. v. Daviault</w:t>
      </w:r>
      <w:r w:rsidRPr="42B6A565">
        <w:rPr>
          <w:lang w:val="en-US"/>
        </w:rPr>
        <w:t xml:space="preserve">, [1994] 3 S.C.R. 63. The Court in </w:t>
      </w:r>
      <w:r w:rsidRPr="42B6A565">
        <w:rPr>
          <w:i/>
          <w:iCs/>
          <w:lang w:val="en-US"/>
        </w:rPr>
        <w:t>Daviault</w:t>
      </w:r>
      <w:r w:rsidRPr="42B6A565">
        <w:rPr>
          <w:lang w:val="en-US"/>
        </w:rPr>
        <w:t xml:space="preserve"> confirmed the common law rule that intoxication is not a defenc</w:t>
      </w:r>
      <w:r w:rsidR="00DC7D0F">
        <w:rPr>
          <w:lang w:val="en-US"/>
        </w:rPr>
        <w:t>e to crimes of general intent, but a majority recognized</w:t>
      </w:r>
      <w:r w:rsidRPr="42B6A565">
        <w:rPr>
          <w:lang w:val="en-US"/>
        </w:rPr>
        <w:t xml:space="preserve"> that the </w:t>
      </w:r>
      <w:r w:rsidRPr="42B6A565">
        <w:rPr>
          <w:i/>
          <w:iCs/>
          <w:lang w:val="en-US"/>
        </w:rPr>
        <w:t>Charter</w:t>
      </w:r>
      <w:r w:rsidRPr="42B6A565">
        <w:rPr>
          <w:lang w:val="en-US"/>
        </w:rPr>
        <w:t xml:space="preserve"> mandated an exception where intoxication is so extreme that an accused falls into </w:t>
      </w:r>
      <w:r w:rsidR="00DC7D0F">
        <w:rPr>
          <w:lang w:val="en-US"/>
        </w:rPr>
        <w:t>a condition akin to automatism and is</w:t>
      </w:r>
      <w:r w:rsidRPr="42B6A565">
        <w:rPr>
          <w:lang w:val="en-US"/>
        </w:rPr>
        <w:t xml:space="preserve"> incapable of voluntarily committing a guilty act or of having a guilty mind.</w:t>
      </w:r>
      <w:r w:rsidRPr="42B6A565">
        <w:t xml:space="preserve"> </w:t>
      </w:r>
      <w:r w:rsidR="00DC7D0F">
        <w:t>Section 33.1 was enacted to</w:t>
      </w:r>
      <w:r w:rsidRPr="42B6A565">
        <w:t xml:space="preserve"> address the </w:t>
      </w:r>
      <w:r w:rsidR="00DC7D0F">
        <w:t>constitutional</w:t>
      </w:r>
      <w:r>
        <w:t xml:space="preserve"> </w:t>
      </w:r>
      <w:r w:rsidRPr="42B6A565">
        <w:t>fail</w:t>
      </w:r>
      <w:r w:rsidR="00DC7D0F">
        <w:t xml:space="preserve">ings identified by the majority </w:t>
      </w:r>
      <w:r>
        <w:t xml:space="preserve">in </w:t>
      </w:r>
      <w:r>
        <w:rPr>
          <w:i/>
        </w:rPr>
        <w:t>Daviault</w:t>
      </w:r>
      <w:r w:rsidRPr="42B6A565">
        <w:t xml:space="preserve"> in a manner that would properly reflect the blameworthiness of the extremely self-intoxicated accused identified by the dissent. </w:t>
      </w:r>
      <w:r w:rsidR="00DC7D0F">
        <w:rPr>
          <w:lang w:val="en-US"/>
        </w:rPr>
        <w:t>Section</w:t>
      </w:r>
      <w:r w:rsidR="00612DC7">
        <w:rPr>
          <w:lang w:val="en-US"/>
        </w:rPr>
        <w:t xml:space="preserve"> </w:t>
      </w:r>
      <w:r w:rsidRPr="42B6A565">
        <w:rPr>
          <w:lang w:val="en-US"/>
        </w:rPr>
        <w:t xml:space="preserve">33.1 blocks the defence of automatism for general intent </w:t>
      </w:r>
      <w:r w:rsidR="00DC7D0F">
        <w:rPr>
          <w:lang w:val="en-US"/>
        </w:rPr>
        <w:t>crimes designated in s. 33.1(3)</w:t>
      </w:r>
      <w:r w:rsidRPr="42B6A565">
        <w:rPr>
          <w:lang w:val="en-US"/>
        </w:rPr>
        <w:t>, including aggrav</w:t>
      </w:r>
      <w:r w:rsidR="00DC7D0F">
        <w:rPr>
          <w:lang w:val="en-US"/>
        </w:rPr>
        <w:t>ated assault and sexual assault</w:t>
      </w:r>
      <w:r w:rsidR="00612DC7">
        <w:rPr>
          <w:lang w:val="en-US"/>
        </w:rPr>
        <w:t>.</w:t>
      </w:r>
    </w:p>
    <w:p w14:paraId="70BE85D2" w14:textId="15B5D473" w:rsidR="00A707AE" w:rsidRPr="0075409A" w:rsidRDefault="00DC7D0F" w:rsidP="00612DC7">
      <w:pPr>
        <w:pStyle w:val="SCCNormalDoubleSpacing"/>
        <w:spacing w:after="480"/>
        <w:rPr>
          <w:szCs w:val="24"/>
        </w:rPr>
      </w:pPr>
      <w:r>
        <w:rPr>
          <w:szCs w:val="24"/>
          <w:lang w:val="en-US"/>
        </w:rPr>
        <w:tab/>
      </w:r>
      <w:r w:rsidR="00A707AE" w:rsidRPr="0075409A">
        <w:rPr>
          <w:szCs w:val="24"/>
          <w:lang w:val="en-US"/>
        </w:rPr>
        <w:t>B challenged t</w:t>
      </w:r>
      <w:r w:rsidR="00612DC7">
        <w:rPr>
          <w:szCs w:val="24"/>
          <w:lang w:val="en-US"/>
        </w:rPr>
        <w:t>he constitutionality of s. </w:t>
      </w:r>
      <w:r>
        <w:rPr>
          <w:szCs w:val="24"/>
          <w:lang w:val="en-US"/>
        </w:rPr>
        <w:t>33.1</w:t>
      </w:r>
      <w:r w:rsidR="00A707AE" w:rsidRPr="0075409A">
        <w:rPr>
          <w:szCs w:val="24"/>
          <w:lang w:val="en-US"/>
        </w:rPr>
        <w:t xml:space="preserve">. </w:t>
      </w:r>
      <w:r w:rsidR="00A707AE" w:rsidRPr="0075409A">
        <w:rPr>
          <w:szCs w:val="24"/>
        </w:rPr>
        <w:t xml:space="preserve">The </w:t>
      </w:r>
      <w:r w:rsidR="00A707AE" w:rsidRPr="0075409A">
        <w:rPr>
          <w:i/>
          <w:szCs w:val="24"/>
        </w:rPr>
        <w:t>voir dire</w:t>
      </w:r>
      <w:r>
        <w:rPr>
          <w:szCs w:val="24"/>
        </w:rPr>
        <w:t xml:space="preserve"> judge concluded that s. 33.1 violates</w:t>
      </w:r>
      <w:r w:rsidR="00A707AE" w:rsidRPr="0075409A">
        <w:rPr>
          <w:szCs w:val="24"/>
        </w:rPr>
        <w:t xml:space="preserve"> the principles of fundamental justice </w:t>
      </w:r>
      <w:r w:rsidR="00A707AE" w:rsidRPr="0075409A">
        <w:rPr>
          <w:sz w:val="26"/>
          <w:szCs w:val="24"/>
        </w:rPr>
        <w:t>and</w:t>
      </w:r>
      <w:r w:rsidR="00A707AE" w:rsidRPr="0075409A">
        <w:rPr>
          <w:szCs w:val="24"/>
        </w:rPr>
        <w:t xml:space="preserve"> the presumpt</w:t>
      </w:r>
      <w:r>
        <w:rPr>
          <w:szCs w:val="24"/>
        </w:rPr>
        <w:t>ion</w:t>
      </w:r>
      <w:r w:rsidR="00612DC7">
        <w:rPr>
          <w:szCs w:val="24"/>
        </w:rPr>
        <w:t xml:space="preserve"> of innocence guaranteed by ss. </w:t>
      </w:r>
      <w:r>
        <w:rPr>
          <w:szCs w:val="24"/>
        </w:rPr>
        <w:t>7 and 11(d) of</w:t>
      </w:r>
      <w:r w:rsidR="00A707AE" w:rsidRPr="0075409A">
        <w:rPr>
          <w:szCs w:val="24"/>
        </w:rPr>
        <w:t xml:space="preserve"> the </w:t>
      </w:r>
      <w:r w:rsidR="00A707AE" w:rsidRPr="0075409A">
        <w:rPr>
          <w:i/>
          <w:szCs w:val="24"/>
        </w:rPr>
        <w:t xml:space="preserve">Charter </w:t>
      </w:r>
      <w:r>
        <w:rPr>
          <w:szCs w:val="24"/>
        </w:rPr>
        <w:t xml:space="preserve">and that the violations are not justified pursuant to s. 1 </w:t>
      </w:r>
      <w:r w:rsidR="00A707AE" w:rsidRPr="0075409A">
        <w:rPr>
          <w:szCs w:val="24"/>
        </w:rPr>
        <w:t xml:space="preserve">of the </w:t>
      </w:r>
      <w:r w:rsidR="00A707AE" w:rsidRPr="0075409A">
        <w:rPr>
          <w:i/>
          <w:szCs w:val="24"/>
        </w:rPr>
        <w:t>Charter</w:t>
      </w:r>
      <w:r>
        <w:rPr>
          <w:szCs w:val="24"/>
        </w:rPr>
        <w:t>. He</w:t>
      </w:r>
      <w:r w:rsidR="00A707AE" w:rsidRPr="0075409A">
        <w:rPr>
          <w:szCs w:val="24"/>
        </w:rPr>
        <w:t xml:space="preserve"> declared s. 33.1 to be of no force and effect pursuant to s. 52(1) of the </w:t>
      </w:r>
      <w:r w:rsidR="00A707AE" w:rsidRPr="0075409A">
        <w:rPr>
          <w:i/>
          <w:szCs w:val="24"/>
        </w:rPr>
        <w:t>Constitution Act, 1982</w:t>
      </w:r>
      <w:r w:rsidR="00A707AE" w:rsidRPr="0075409A">
        <w:rPr>
          <w:szCs w:val="24"/>
        </w:rPr>
        <w:t xml:space="preserve">. </w:t>
      </w:r>
      <w:r>
        <w:rPr>
          <w:szCs w:val="24"/>
        </w:rPr>
        <w:t>As a result, B</w:t>
      </w:r>
      <w:r w:rsidR="00A707AE" w:rsidRPr="0075409A">
        <w:rPr>
          <w:szCs w:val="24"/>
        </w:rPr>
        <w:t xml:space="preserve"> was entitled to raise the defence of extreme i</w:t>
      </w:r>
      <w:r>
        <w:rPr>
          <w:szCs w:val="24"/>
        </w:rPr>
        <w:t xml:space="preserve">ntoxication akin to automatism at trial. </w:t>
      </w:r>
      <w:r w:rsidR="00A707AE" w:rsidRPr="0075409A">
        <w:rPr>
          <w:szCs w:val="24"/>
        </w:rPr>
        <w:t>The trial judge found that</w:t>
      </w:r>
      <w:r>
        <w:rPr>
          <w:szCs w:val="24"/>
        </w:rPr>
        <w:t xml:space="preserve"> </w:t>
      </w:r>
      <w:r w:rsidR="00A707AE" w:rsidRPr="0075409A">
        <w:rPr>
          <w:szCs w:val="24"/>
        </w:rPr>
        <w:t>the defence was an a</w:t>
      </w:r>
      <w:r>
        <w:rPr>
          <w:szCs w:val="24"/>
        </w:rPr>
        <w:t>nswer to both charges and entered acquittals. The Court of Appeal reversed the</w:t>
      </w:r>
      <w:r w:rsidR="00A707AE" w:rsidRPr="0075409A">
        <w:rPr>
          <w:szCs w:val="24"/>
        </w:rPr>
        <w:t xml:space="preserve"> declaration that s. 33.1 was of no force or effect, </w:t>
      </w:r>
      <w:r>
        <w:rPr>
          <w:szCs w:val="24"/>
        </w:rPr>
        <w:t xml:space="preserve">set aside the acquittal on the </w:t>
      </w:r>
      <w:r w:rsidR="00A707AE" w:rsidRPr="0075409A">
        <w:rPr>
          <w:szCs w:val="24"/>
        </w:rPr>
        <w:t>count of break an</w:t>
      </w:r>
      <w:r>
        <w:rPr>
          <w:szCs w:val="24"/>
        </w:rPr>
        <w:t xml:space="preserve">d enter and aggravated assault, and entered a conviction </w:t>
      </w:r>
      <w:r w:rsidR="00A707AE" w:rsidRPr="0075409A">
        <w:rPr>
          <w:szCs w:val="24"/>
        </w:rPr>
        <w:t>for that</w:t>
      </w:r>
      <w:r>
        <w:rPr>
          <w:szCs w:val="24"/>
        </w:rPr>
        <w:t xml:space="preserve"> offence</w:t>
      </w:r>
      <w:r w:rsidR="00A707AE" w:rsidRPr="0075409A">
        <w:rPr>
          <w:szCs w:val="24"/>
        </w:rPr>
        <w:t>. The ac</w:t>
      </w:r>
      <w:r>
        <w:rPr>
          <w:szCs w:val="24"/>
        </w:rPr>
        <w:t>quittal on the mischief charge was unaffected by s. 33.1 and</w:t>
      </w:r>
      <w:r w:rsidR="00A707AE" w:rsidRPr="0075409A">
        <w:rPr>
          <w:szCs w:val="24"/>
        </w:rPr>
        <w:t xml:space="preserve"> not appealed.</w:t>
      </w:r>
    </w:p>
    <w:p w14:paraId="7D6E720D" w14:textId="5FF38587" w:rsidR="00A707AE" w:rsidRPr="00B00623" w:rsidRDefault="00A707AE" w:rsidP="00612DC7">
      <w:pPr>
        <w:pStyle w:val="SCCNormalDoubleSpacing"/>
        <w:spacing w:after="480"/>
      </w:pPr>
      <w:r w:rsidRPr="0075409A">
        <w:rPr>
          <w:szCs w:val="24"/>
        </w:rPr>
        <w:tab/>
      </w:r>
      <w:r w:rsidRPr="42B6A565">
        <w:rPr>
          <w:i/>
          <w:iCs/>
        </w:rPr>
        <w:t>Held</w:t>
      </w:r>
      <w:r w:rsidRPr="42B6A565">
        <w:t xml:space="preserve">: </w:t>
      </w:r>
      <w:r w:rsidR="00DC7D0F">
        <w:t>The ap</w:t>
      </w:r>
      <w:r w:rsidR="00612DC7">
        <w:t xml:space="preserve">peal should be allowed. Section </w:t>
      </w:r>
      <w:r w:rsidR="00DC7D0F">
        <w:t xml:space="preserve">33.1 </w:t>
      </w:r>
      <w:r w:rsidRPr="42B6A565">
        <w:t xml:space="preserve">of the </w:t>
      </w:r>
      <w:r w:rsidRPr="42B6A565">
        <w:rPr>
          <w:i/>
          <w:iCs/>
        </w:rPr>
        <w:t xml:space="preserve">Criminal Code </w:t>
      </w:r>
      <w:r w:rsidR="00DC7D0F">
        <w:t>should be</w:t>
      </w:r>
      <w:r w:rsidRPr="42B6A565">
        <w:t xml:space="preserve"> declared unconstitutional and of no force or effect pursuant to s. 52(1) of the </w:t>
      </w:r>
      <w:r w:rsidRPr="42B6A565">
        <w:rPr>
          <w:i/>
          <w:iCs/>
        </w:rPr>
        <w:t>Constitution Act, 1982</w:t>
      </w:r>
      <w:r w:rsidRPr="42B6A565">
        <w:t xml:space="preserve">. The acquittal </w:t>
      </w:r>
      <w:r w:rsidRPr="0075409A">
        <w:t>on the count of unlawful break and enter of a dwelling house and committing aggravated assault therein should be restored.</w:t>
      </w:r>
    </w:p>
    <w:p w14:paraId="111A5536" w14:textId="5CE57FA4" w:rsidR="00A707AE" w:rsidRPr="00DD0D21" w:rsidRDefault="00612DC7" w:rsidP="00612DC7">
      <w:pPr>
        <w:pStyle w:val="SCCNormalDoubleSpacing"/>
        <w:spacing w:after="480"/>
        <w:rPr>
          <w:lang w:val="en-US"/>
        </w:rPr>
      </w:pPr>
      <w:r>
        <w:tab/>
      </w:r>
      <w:r w:rsidR="00DC7D0F">
        <w:t>This is not a drunkenness case</w:t>
      </w:r>
      <w:r w:rsidR="00A707AE" w:rsidRPr="42B6A565">
        <w:t xml:space="preserve">. </w:t>
      </w:r>
      <w:r w:rsidR="00DC7D0F">
        <w:t>B</w:t>
      </w:r>
      <w:r w:rsidR="00A707AE" w:rsidRPr="42B6A565">
        <w:t xml:space="preserve"> consumed </w:t>
      </w:r>
      <w:r w:rsidR="00A707AE">
        <w:t xml:space="preserve">a </w:t>
      </w:r>
      <w:r w:rsidR="00A707AE" w:rsidRPr="42B6A565">
        <w:t>drug which</w:t>
      </w:r>
      <w:r w:rsidR="00A707AE">
        <w:t>,</w:t>
      </w:r>
      <w:r w:rsidR="00A707AE" w:rsidRPr="42B6A565">
        <w:t xml:space="preserve"> taken in combination with alcohol, provoked psychotic, delusional and involuntary conduct. </w:t>
      </w:r>
      <w:r w:rsidR="00A707AE">
        <w:t>C</w:t>
      </w:r>
      <w:r w:rsidR="00A707AE" w:rsidRPr="42B6A565">
        <w:t>riminal liability for violent conduct produced by alcohol alone</w:t>
      </w:r>
      <w:r w:rsidR="00A707AE">
        <w:t>,</w:t>
      </w:r>
      <w:r w:rsidR="00A707AE" w:rsidRPr="42B6A565">
        <w:t xml:space="preserve"> short of the psychotic state aki</w:t>
      </w:r>
      <w:r w:rsidR="00DC7D0F">
        <w:t>n to automatism experienced by B, is not in issue</w:t>
      </w:r>
      <w:r w:rsidR="00A707AE" w:rsidRPr="42B6A565">
        <w:t xml:space="preserve">. </w:t>
      </w:r>
      <w:r w:rsidR="00A707AE" w:rsidRPr="005731BD">
        <w:rPr>
          <w:lang w:val="en-US"/>
        </w:rPr>
        <w:t xml:space="preserve">The outcome of </w:t>
      </w:r>
      <w:r w:rsidR="00A707AE">
        <w:rPr>
          <w:lang w:val="en-US"/>
        </w:rPr>
        <w:t xml:space="preserve">the </w:t>
      </w:r>
      <w:r w:rsidR="00A707AE" w:rsidRPr="002235D0">
        <w:t>declaration of unconst</w:t>
      </w:r>
      <w:r>
        <w:t>itutionality with respect to s. </w:t>
      </w:r>
      <w:r w:rsidR="00A707AE" w:rsidRPr="002235D0">
        <w:t>33.1</w:t>
      </w:r>
      <w:r w:rsidR="00A707AE" w:rsidRPr="005731BD">
        <w:rPr>
          <w:lang w:val="en-US"/>
        </w:rPr>
        <w:t xml:space="preserve"> has no impact on the rule that intoxication short of automatism is not a defence to violent crimes of general intent</w:t>
      </w:r>
      <w:r w:rsidR="00A707AE" w:rsidRPr="42B6A565">
        <w:t xml:space="preserve">, </w:t>
      </w:r>
      <w:r w:rsidR="00A707AE">
        <w:t xml:space="preserve">such as assault or </w:t>
      </w:r>
      <w:r w:rsidR="00DC7D0F">
        <w:t xml:space="preserve">sexual assault. </w:t>
      </w:r>
      <w:r w:rsidR="00A707AE">
        <w:t>While</w:t>
      </w:r>
      <w:r>
        <w:t xml:space="preserve"> s. </w:t>
      </w:r>
      <w:r w:rsidR="00A707AE" w:rsidRPr="42B6A565">
        <w:t>33.1 is unco</w:t>
      </w:r>
      <w:r w:rsidR="00DC7D0F">
        <w:t>nstitutional</w:t>
      </w:r>
      <w:r w:rsidR="00A707AE" w:rsidRPr="42B6A565">
        <w:t xml:space="preserve">, there may well have been other paths for Parliament to achieve its legitimate aims connected to combatting extreme intoxicated violence. </w:t>
      </w:r>
      <w:r w:rsidR="00A707AE">
        <w:t>T</w:t>
      </w:r>
      <w:r w:rsidR="00A707AE" w:rsidRPr="42B6A565">
        <w:t>he sense that an accused who acts violently in a state of extreme s</w:t>
      </w:r>
      <w:r>
        <w:t>elf</w:t>
      </w:r>
      <w:r>
        <w:noBreakHyphen/>
      </w:r>
      <w:r w:rsidR="00A707AE" w:rsidRPr="42B6A565">
        <w:t xml:space="preserve">induced intoxication is morally blameworthy is by no means beyond the proper reach of the criminal law. </w:t>
      </w:r>
      <w:r w:rsidR="00A707AE">
        <w:t xml:space="preserve">Protecting the victims of violent </w:t>
      </w:r>
      <w:r w:rsidR="00A707AE" w:rsidRPr="005731BD">
        <w:rPr>
          <w:lang w:val="en-US"/>
        </w:rPr>
        <w:t>crime — particularly in light of the equality and dignity interests of women and children who are vulnerable to intoxicated sexual and domestic violence — is a pressing and substantial social purpose.</w:t>
      </w:r>
      <w:r w:rsidR="00A707AE">
        <w:rPr>
          <w:lang w:val="en-US"/>
        </w:rPr>
        <w:t xml:space="preserve"> And i</w:t>
      </w:r>
      <w:r w:rsidR="00A707AE" w:rsidRPr="005731BD">
        <w:rPr>
          <w:lang w:val="en-US"/>
        </w:rPr>
        <w:t>t was not impermissible for Parliament to enact legislation seeking to hold an extremely intoxicated person accountable for a violent crime when they chose to create the risk of harm by ingesting intoxicants</w:t>
      </w:r>
      <w:r w:rsidR="00A707AE">
        <w:rPr>
          <w:lang w:val="en-US"/>
        </w:rPr>
        <w:t>.</w:t>
      </w:r>
    </w:p>
    <w:p w14:paraId="3A43AF17" w14:textId="59DDF13F" w:rsidR="00A707AE" w:rsidRPr="0075409A" w:rsidRDefault="00612DC7" w:rsidP="00612DC7">
      <w:pPr>
        <w:pStyle w:val="SCCNormalDoubleSpacing"/>
        <w:spacing w:after="480"/>
      </w:pPr>
      <w:r>
        <w:tab/>
        <w:t xml:space="preserve">Section </w:t>
      </w:r>
      <w:r w:rsidR="00DC7D0F">
        <w:t xml:space="preserve">33.1(1) </w:t>
      </w:r>
      <w:r w:rsidR="00A707AE" w:rsidRPr="42B6A565">
        <w:t xml:space="preserve">of the </w:t>
      </w:r>
      <w:r w:rsidR="00A707AE" w:rsidRPr="42B6A565">
        <w:rPr>
          <w:i/>
          <w:iCs/>
        </w:rPr>
        <w:t>Criminal Code</w:t>
      </w:r>
      <w:r w:rsidR="00A707AE" w:rsidRPr="42B6A565">
        <w:t xml:space="preserve"> eliminates the defence of self</w:t>
      </w:r>
      <w:r>
        <w:noBreakHyphen/>
      </w:r>
      <w:r w:rsidR="00A707AE" w:rsidRPr="42B6A565">
        <w:t xml:space="preserve">induced intoxication akin to automatism applied to the violent offences identified in s. 33.1(3) where the accused departs markedly from the standard of care described in s. 33.1(2). </w:t>
      </w:r>
      <w:r w:rsidR="00DC7D0F">
        <w:t>Section 33.1 does not</w:t>
      </w:r>
      <w:r w:rsidR="00A707AE" w:rsidRPr="42B6A565">
        <w:t xml:space="preserve"> create a new predicate act offence of self</w:t>
      </w:r>
      <w:r w:rsidR="00A707AE">
        <w:t>-</w:t>
      </w:r>
      <w:r w:rsidR="00A707AE" w:rsidRPr="42B6A565">
        <w:t>induced extreme intoxication or a new criminal negligence offence</w:t>
      </w:r>
      <w:r w:rsidR="00A707AE">
        <w:t>.</w:t>
      </w:r>
      <w:r w:rsidR="00A707AE" w:rsidRPr="42B6A565">
        <w:t xml:space="preserve"> </w:t>
      </w:r>
      <w:r w:rsidR="00A707AE">
        <w:t>T</w:t>
      </w:r>
      <w:r w:rsidR="00A707AE" w:rsidRPr="42B6A565">
        <w:t xml:space="preserve">he accused faces the full stigma of conviction and </w:t>
      </w:r>
      <w:r w:rsidR="00B33A03">
        <w:t xml:space="preserve">the </w:t>
      </w:r>
      <w:r w:rsidR="00A707AE" w:rsidRPr="42B6A565">
        <w:t>full brunt of punishment for the general intent offence pointed</w:t>
      </w:r>
      <w:r>
        <w:t xml:space="preserve"> to in s. 33.1(3). Section 33.1 </w:t>
      </w:r>
      <w:r w:rsidR="00A707AE" w:rsidRPr="42B6A565">
        <w:t>applies when three conditions are met: the accused was intoxicated at the material time, the intoxication was self</w:t>
      </w:r>
      <w:r>
        <w:noBreakHyphen/>
      </w:r>
      <w:r w:rsidR="00A707AE" w:rsidRPr="42B6A565">
        <w:t>induced, and the accused departed</w:t>
      </w:r>
      <w:r w:rsidR="00A707AE">
        <w:t xml:space="preserve"> markedly</w:t>
      </w:r>
      <w:r w:rsidR="00A707AE" w:rsidRPr="42B6A565">
        <w:t xml:space="preserve"> from the standard of reasonable care generally recognized in Canadian society by interfering or threatening to interfere with the bodily integrity of another person. When these three things are proved, it is not a defence that the accused lacked the general intent or the voluntariness required to commit the offence named in s. 33.1(3). The requirements of s. 33.1 are not, together or separately, a measure of fault; they are conditions of liability, as the use of the word “while” in s. 33.1(2) confirms.</w:t>
      </w:r>
      <w:r w:rsidR="00A707AE">
        <w:t xml:space="preserve"> The</w:t>
      </w:r>
      <w:r w:rsidR="00A707AE" w:rsidRPr="42B6A565">
        <w:t xml:space="preserve"> marked</w:t>
      </w:r>
      <w:r w:rsidR="00DC7D0F">
        <w:t xml:space="preserve"> departure described in s</w:t>
      </w:r>
      <w:r>
        <w:t>. </w:t>
      </w:r>
      <w:r w:rsidR="00DC7D0F">
        <w:t xml:space="preserve">33.1(2) </w:t>
      </w:r>
      <w:r w:rsidR="00A707AE" w:rsidRPr="42B6A565">
        <w:t>depends on proof</w:t>
      </w:r>
      <w:r w:rsidR="00DC7D0F">
        <w:t xml:space="preserve"> of two facts: that the person was in</w:t>
      </w:r>
      <w:r w:rsidR="00A707AE" w:rsidRPr="42B6A565">
        <w:t xml:space="preserve"> a state of self</w:t>
      </w:r>
      <w:r w:rsidR="00A707AE" w:rsidRPr="0075409A">
        <w:rPr>
          <w:szCs w:val="24"/>
        </w:rPr>
        <w:noBreakHyphen/>
      </w:r>
      <w:r w:rsidR="00A707AE" w:rsidRPr="42B6A565">
        <w:t>i</w:t>
      </w:r>
      <w:r w:rsidR="00DC7D0F">
        <w:t>nduced intoxication that rendered</w:t>
      </w:r>
      <w:r w:rsidR="00A707AE" w:rsidRPr="42B6A565">
        <w:t xml:space="preserve"> them unaware of, or incapable of</w:t>
      </w:r>
      <w:r w:rsidR="00DC7D0F">
        <w:t xml:space="preserve"> controlling, their behaviour, and that the violent act occurred</w:t>
      </w:r>
      <w:r w:rsidR="00A707AE" w:rsidRPr="42B6A565">
        <w:t xml:space="preserve"> while they</w:t>
      </w:r>
      <w:r w:rsidR="00DC7D0F">
        <w:t xml:space="preserve"> we</w:t>
      </w:r>
      <w:r w:rsidR="00A707AE" w:rsidRPr="42B6A565">
        <w:t xml:space="preserve">re in that state. </w:t>
      </w:r>
      <w:r w:rsidR="00DC7D0F">
        <w:t>These facts are</w:t>
      </w:r>
      <w:r w:rsidR="00A707AE" w:rsidRPr="42B6A565">
        <w:t xml:space="preserve"> conditions of liability and not measures of fault because neither of them import a criminal negligence standard. </w:t>
      </w:r>
      <w:r w:rsidR="00DC7D0F">
        <w:t>Thus</w:t>
      </w:r>
      <w:r w:rsidR="00A707AE">
        <w:t xml:space="preserve"> s.</w:t>
      </w:r>
      <w:r>
        <w:t> </w:t>
      </w:r>
      <w:r w:rsidR="00A707AE" w:rsidRPr="42B6A565">
        <w:t xml:space="preserve">33.1 deems criminal fault for the violent </w:t>
      </w:r>
      <w:r w:rsidR="00A707AE" w:rsidRPr="002C1CDC">
        <w:t xml:space="preserve">offence to be present </w:t>
      </w:r>
      <w:r w:rsidR="00A707AE">
        <w:t>based on</w:t>
      </w:r>
      <w:r w:rsidR="00A707AE" w:rsidRPr="42B6A565">
        <w:t xml:space="preserve"> the accused</w:t>
      </w:r>
      <w:r w:rsidR="00A707AE">
        <w:t>’s choice</w:t>
      </w:r>
      <w:r w:rsidR="00A707AE" w:rsidRPr="42B6A565">
        <w:t xml:space="preserve"> to become intoxicated. What Parliament sought was to impose liability for the charged o</w:t>
      </w:r>
      <w:r>
        <w:t>ffence, and not the act of self</w:t>
      </w:r>
      <w:r>
        <w:noBreakHyphen/>
      </w:r>
      <w:r w:rsidR="00A707AE" w:rsidRPr="42B6A565">
        <w:t>induced intoxication itself.</w:t>
      </w:r>
    </w:p>
    <w:p w14:paraId="53A6E02E" w14:textId="22FDB846" w:rsidR="00A707AE" w:rsidRDefault="00612DC7" w:rsidP="00612DC7">
      <w:pPr>
        <w:pStyle w:val="SCCNormalDoubleSpacing"/>
        <w:spacing w:after="480"/>
      </w:pPr>
      <w:r>
        <w:rPr>
          <w:szCs w:val="24"/>
        </w:rPr>
        <w:tab/>
      </w:r>
      <w:r w:rsidR="00A707AE">
        <w:rPr>
          <w:szCs w:val="24"/>
        </w:rPr>
        <w:t>T</w:t>
      </w:r>
      <w:r w:rsidR="00A707AE" w:rsidRPr="00122C5D">
        <w:rPr>
          <w:szCs w:val="24"/>
        </w:rPr>
        <w:t>he</w:t>
      </w:r>
      <w:r w:rsidR="00A707AE">
        <w:rPr>
          <w:i/>
          <w:szCs w:val="24"/>
        </w:rPr>
        <w:t xml:space="preserve"> </w:t>
      </w:r>
      <w:r w:rsidR="00A707AE" w:rsidRPr="00122C5D">
        <w:rPr>
          <w:szCs w:val="24"/>
        </w:rPr>
        <w:t>rights of victims</w:t>
      </w:r>
      <w:r w:rsidR="00A707AE">
        <w:rPr>
          <w:szCs w:val="24"/>
        </w:rPr>
        <w:t xml:space="preserve"> </w:t>
      </w:r>
      <w:r w:rsidR="00A707AE">
        <w:t>of intoxicated violence</w:t>
      </w:r>
      <w:r w:rsidR="00A707AE" w:rsidRPr="00122C5D">
        <w:rPr>
          <w:szCs w:val="24"/>
        </w:rPr>
        <w:t>,</w:t>
      </w:r>
      <w:r w:rsidR="00A707AE">
        <w:rPr>
          <w:szCs w:val="24"/>
        </w:rPr>
        <w:t xml:space="preserve"> </w:t>
      </w:r>
      <w:r w:rsidR="00A707AE" w:rsidRPr="00122C5D">
        <w:rPr>
          <w:szCs w:val="24"/>
        </w:rPr>
        <w:t xml:space="preserve">in particular </w:t>
      </w:r>
      <w:r w:rsidR="00A707AE">
        <w:rPr>
          <w:szCs w:val="24"/>
        </w:rPr>
        <w:t>the rights of</w:t>
      </w:r>
      <w:r w:rsidR="00A707AE" w:rsidRPr="00122C5D">
        <w:rPr>
          <w:szCs w:val="24"/>
        </w:rPr>
        <w:t xml:space="preserve"> women and children,</w:t>
      </w:r>
      <w:r w:rsidR="00A707AE">
        <w:rPr>
          <w:szCs w:val="24"/>
        </w:rPr>
        <w:t xml:space="preserve"> </w:t>
      </w:r>
      <w:r w:rsidR="00A707AE" w:rsidRPr="00122C5D">
        <w:rPr>
          <w:szCs w:val="24"/>
        </w:rPr>
        <w:t xml:space="preserve">should </w:t>
      </w:r>
      <w:r w:rsidR="00A707AE">
        <w:rPr>
          <w:szCs w:val="24"/>
        </w:rPr>
        <w:t>be considered</w:t>
      </w:r>
      <w:r w:rsidR="00A707AE" w:rsidRPr="00122C5D">
        <w:rPr>
          <w:szCs w:val="24"/>
        </w:rPr>
        <w:t xml:space="preserve"> at the justification stage</w:t>
      </w:r>
      <w:r>
        <w:rPr>
          <w:szCs w:val="24"/>
        </w:rPr>
        <w:t xml:space="preserve"> under s. </w:t>
      </w:r>
      <w:r w:rsidR="00DC7D0F">
        <w:rPr>
          <w:szCs w:val="24"/>
        </w:rPr>
        <w:t xml:space="preserve">1 </w:t>
      </w:r>
      <w:r w:rsidR="00A707AE">
        <w:rPr>
          <w:szCs w:val="24"/>
        </w:rPr>
        <w:t xml:space="preserve">of the </w:t>
      </w:r>
      <w:r w:rsidR="00A707AE">
        <w:rPr>
          <w:i/>
          <w:szCs w:val="24"/>
        </w:rPr>
        <w:t>Charter</w:t>
      </w:r>
      <w:r w:rsidR="00202EBC">
        <w:rPr>
          <w:szCs w:val="24"/>
        </w:rPr>
        <w:t xml:space="preserve"> rather than informing</w:t>
      </w:r>
      <w:r w:rsidR="00A707AE">
        <w:rPr>
          <w:szCs w:val="24"/>
        </w:rPr>
        <w:t xml:space="preserve"> </w:t>
      </w:r>
      <w:r w:rsidR="00A707AE" w:rsidRPr="00122C5D">
        <w:rPr>
          <w:szCs w:val="24"/>
        </w:rPr>
        <w:t>the analysis</w:t>
      </w:r>
      <w:r w:rsidR="00A707AE">
        <w:rPr>
          <w:szCs w:val="24"/>
        </w:rPr>
        <w:t xml:space="preserve"> of a possible breach o</w:t>
      </w:r>
      <w:r>
        <w:rPr>
          <w:szCs w:val="24"/>
        </w:rPr>
        <w:t>f the accused’s rights under s. </w:t>
      </w:r>
      <w:r w:rsidR="00A707AE">
        <w:rPr>
          <w:szCs w:val="24"/>
        </w:rPr>
        <w:t>7</w:t>
      </w:r>
      <w:r w:rsidR="00A707AE" w:rsidRPr="00122C5D">
        <w:rPr>
          <w:szCs w:val="24"/>
        </w:rPr>
        <w:t xml:space="preserve">. </w:t>
      </w:r>
      <w:r w:rsidR="00A707AE">
        <w:rPr>
          <w:iCs/>
          <w:szCs w:val="24"/>
        </w:rPr>
        <w:t>B</w:t>
      </w:r>
      <w:r w:rsidR="00DC7D0F">
        <w:rPr>
          <w:szCs w:val="24"/>
        </w:rPr>
        <w:t>alancing</w:t>
      </w:r>
      <w:r w:rsidR="00A707AE">
        <w:rPr>
          <w:szCs w:val="24"/>
        </w:rPr>
        <w:t xml:space="preserve"> </w:t>
      </w:r>
      <w:r w:rsidR="00A707AE" w:rsidRPr="00122C5D">
        <w:rPr>
          <w:szCs w:val="24"/>
        </w:rPr>
        <w:t xml:space="preserve">competing </w:t>
      </w:r>
      <w:r w:rsidR="00A707AE" w:rsidRPr="00122C5D">
        <w:rPr>
          <w:i/>
          <w:iCs/>
          <w:szCs w:val="24"/>
        </w:rPr>
        <w:t>Charter</w:t>
      </w:r>
      <w:r w:rsidR="00A707AE" w:rsidRPr="00122C5D">
        <w:rPr>
          <w:szCs w:val="24"/>
        </w:rPr>
        <w:t xml:space="preserve"> rights under the breach analysis</w:t>
      </w:r>
      <w:r w:rsidR="00DC7D0F">
        <w:rPr>
          <w:szCs w:val="24"/>
        </w:rPr>
        <w:t xml:space="preserve"> should occur where the</w:t>
      </w:r>
      <w:r w:rsidR="00A707AE">
        <w:rPr>
          <w:szCs w:val="24"/>
        </w:rPr>
        <w:t xml:space="preserve"> </w:t>
      </w:r>
      <w:r w:rsidR="00A707AE" w:rsidRPr="00122C5D">
        <w:rPr>
          <w:szCs w:val="24"/>
        </w:rPr>
        <w:t xml:space="preserve">rights of the accused </w:t>
      </w:r>
      <w:r w:rsidR="00DC7D0F">
        <w:rPr>
          <w:szCs w:val="24"/>
        </w:rPr>
        <w:t>and</w:t>
      </w:r>
      <w:r w:rsidR="00A707AE" w:rsidRPr="00122C5D">
        <w:rPr>
          <w:szCs w:val="24"/>
        </w:rPr>
        <w:t xml:space="preserve"> another party </w:t>
      </w:r>
      <w:r w:rsidR="00A707AE">
        <w:rPr>
          <w:szCs w:val="24"/>
        </w:rPr>
        <w:t>conflict and are directly implicated by state action</w:t>
      </w:r>
      <w:r w:rsidR="00A707AE" w:rsidRPr="00122C5D">
        <w:rPr>
          <w:szCs w:val="24"/>
        </w:rPr>
        <w:t>.</w:t>
      </w:r>
      <w:r w:rsidR="00A707AE">
        <w:rPr>
          <w:szCs w:val="24"/>
        </w:rPr>
        <w:t xml:space="preserve"> The equality, dignity and security interests of vulnerable groups informed the overarching public policy goals of Parliame</w:t>
      </w:r>
      <w:r w:rsidR="00DC7D0F">
        <w:rPr>
          <w:szCs w:val="24"/>
        </w:rPr>
        <w:t>nt but</w:t>
      </w:r>
      <w:r w:rsidR="00A707AE">
        <w:rPr>
          <w:szCs w:val="24"/>
        </w:rPr>
        <w:t xml:space="preserve"> th</w:t>
      </w:r>
      <w:r>
        <w:rPr>
          <w:szCs w:val="24"/>
        </w:rPr>
        <w:t>ey are best considered under s. </w:t>
      </w:r>
      <w:r w:rsidR="00A707AE">
        <w:rPr>
          <w:szCs w:val="24"/>
        </w:rPr>
        <w:t>1.</w:t>
      </w:r>
    </w:p>
    <w:p w14:paraId="60AE5B7B" w14:textId="7614A335" w:rsidR="00A707AE" w:rsidRPr="00612DC7" w:rsidRDefault="00612DC7" w:rsidP="00612DC7">
      <w:pPr>
        <w:pStyle w:val="SCCNormalDoubleSpacing"/>
        <w:spacing w:after="480"/>
        <w:rPr>
          <w:lang w:val="en-US"/>
        </w:rPr>
      </w:pPr>
      <w:r>
        <w:tab/>
      </w:r>
      <w:r w:rsidR="00A707AE" w:rsidRPr="42B6A565">
        <w:t>S</w:t>
      </w:r>
      <w:r>
        <w:t>ection 33.1 breaches s. </w:t>
      </w:r>
      <w:r w:rsidR="00A707AE" w:rsidRPr="42B6A565">
        <w:t xml:space="preserve">7 of the </w:t>
      </w:r>
      <w:r w:rsidR="00A707AE" w:rsidRPr="42B6A565">
        <w:rPr>
          <w:i/>
          <w:iCs/>
        </w:rPr>
        <w:t xml:space="preserve">Charter </w:t>
      </w:r>
      <w:r w:rsidR="00A707AE" w:rsidRPr="42B6A565">
        <w:t xml:space="preserve">by allowing a conviction without proof of </w:t>
      </w:r>
      <w:r w:rsidR="00A707AE" w:rsidRPr="42B6A565">
        <w:rPr>
          <w:i/>
          <w:iCs/>
        </w:rPr>
        <w:t>mens rea</w:t>
      </w:r>
      <w:r w:rsidR="00DC7D0F">
        <w:t xml:space="preserve"> or proof of voluntariness.</w:t>
      </w:r>
      <w:r w:rsidR="00A707AE" w:rsidRPr="42B6A565">
        <w:t xml:space="preserve"> It is a principle of fundamental justice that proof of penal negligence, in the form of a marked departure from the standard of a reasonable person, is minimally required for a criminal conviction, unless the specific nature of the c</w:t>
      </w:r>
      <w:r w:rsidR="00DC7D0F">
        <w:t xml:space="preserve">rime demands subjective fault. </w:t>
      </w:r>
      <w:r w:rsidR="00A707AE" w:rsidRPr="42B6A565">
        <w:t>Section 33.1 requires an i</w:t>
      </w:r>
      <w:r w:rsidR="00DC7D0F">
        <w:t xml:space="preserve">ntention to become intoxicated </w:t>
      </w:r>
      <w:r w:rsidR="00A707AE" w:rsidRPr="42B6A565">
        <w:t>but</w:t>
      </w:r>
      <w:r w:rsidR="00DC7D0F">
        <w:t xml:space="preserve"> </w:t>
      </w:r>
      <w:r w:rsidR="00A707AE" w:rsidRPr="42B6A565">
        <w:t>intention to become intoxicated to any degree suffices — it matters little that a person did not foresee their</w:t>
      </w:r>
      <w:r w:rsidR="00DC7D0F">
        <w:t xml:space="preserve"> loss of awareness or control, and</w:t>
      </w:r>
      <w:r w:rsidR="00A707AE" w:rsidRPr="42B6A565">
        <w:t xml:space="preserve"> nothing is said about the licit or illicit nature of the intoxicant or its known properties. For this re</w:t>
      </w:r>
      <w:r>
        <w:t>ason, while s. </w:t>
      </w:r>
      <w:r w:rsidR="00DC7D0F">
        <w:t>33.1</w:t>
      </w:r>
      <w:r w:rsidR="00A707AE" w:rsidRPr="42B6A565">
        <w:t xml:space="preserve"> applies to those who recklessly invite their loss of control, it also captures unexpecte</w:t>
      </w:r>
      <w:r w:rsidR="00DC7D0F">
        <w:t>d involuntariness, for example an</w:t>
      </w:r>
      <w:r w:rsidR="00A707AE" w:rsidRPr="42B6A565">
        <w:t xml:space="preserve"> unexpected reaction to a prescribed pain medication. </w:t>
      </w:r>
      <w:r w:rsidR="00DC7D0F">
        <w:rPr>
          <w:lang w:val="en-US"/>
        </w:rPr>
        <w:t>It</w:t>
      </w:r>
      <w:r w:rsidR="00A707AE" w:rsidRPr="42B6A565">
        <w:rPr>
          <w:lang w:val="en-US"/>
        </w:rPr>
        <w:t xml:space="preserve"> also imposes criminal liability where a person’s intoxication carries no obj</w:t>
      </w:r>
      <w:r w:rsidR="00DC7D0F">
        <w:rPr>
          <w:lang w:val="en-US"/>
        </w:rPr>
        <w:t xml:space="preserve">ective foreseeability of harm. </w:t>
      </w:r>
      <w:r w:rsidR="00A707AE" w:rsidRPr="42B6A565">
        <w:rPr>
          <w:lang w:val="en-US"/>
        </w:rPr>
        <w:t>Furthermore, instead of asking</w:t>
      </w:r>
      <w:r w:rsidR="00DC7D0F">
        <w:rPr>
          <w:lang w:val="en-US"/>
        </w:rPr>
        <w:t xml:space="preserve"> </w:t>
      </w:r>
      <w:r w:rsidR="00A707AE" w:rsidRPr="42B6A565">
        <w:t xml:space="preserve">whether a reasonable person would have foreseen the risk and taken steps to avoid it and whether the failure to do so amounted to a marked departure from the standard of care expected in the circumstances, </w:t>
      </w:r>
      <w:r w:rsidR="00DC7D0F">
        <w:t>s. 33.1 deems a marked departure</w:t>
      </w:r>
      <w:r w:rsidR="00A707AE" w:rsidRPr="42B6A565">
        <w:t xml:space="preserve"> </w:t>
      </w:r>
      <w:r w:rsidR="00A707AE">
        <w:t xml:space="preserve">to be present </w:t>
      </w:r>
      <w:r w:rsidR="00A707AE" w:rsidRPr="42B6A565">
        <w:t>whenever a violent act occurs while the person is in a state of extreme voluntary intoxicati</w:t>
      </w:r>
      <w:r>
        <w:t>on akin to automatism. Since s. </w:t>
      </w:r>
      <w:r w:rsidR="00A707AE" w:rsidRPr="42B6A565">
        <w:t xml:space="preserve">33.1 allows the court to convict an accused without proof of the constitutionally required </w:t>
      </w:r>
      <w:r w:rsidR="00A707AE" w:rsidRPr="42B6A565">
        <w:rPr>
          <w:i/>
          <w:iCs/>
        </w:rPr>
        <w:t>mens rea</w:t>
      </w:r>
      <w:r>
        <w:t>, it violates s. </w:t>
      </w:r>
      <w:r w:rsidR="00DC7D0F">
        <w:t xml:space="preserve">7 </w:t>
      </w:r>
      <w:r w:rsidR="00A707AE" w:rsidRPr="42B6A565">
        <w:t xml:space="preserve">of the </w:t>
      </w:r>
      <w:r w:rsidR="00A707AE" w:rsidRPr="42B6A565">
        <w:rPr>
          <w:i/>
          <w:iCs/>
        </w:rPr>
        <w:t>Charter</w:t>
      </w:r>
      <w:r w:rsidR="00A707AE" w:rsidRPr="42B6A565">
        <w:t>.</w:t>
      </w:r>
      <w:r w:rsidR="00A707AE" w:rsidRPr="42B6A565">
        <w:rPr>
          <w:i/>
          <w:iCs/>
        </w:rPr>
        <w:t xml:space="preserve"> </w:t>
      </w:r>
      <w:r>
        <w:t xml:space="preserve">Section </w:t>
      </w:r>
      <w:r w:rsidR="00A707AE" w:rsidRPr="42B6A565">
        <w:t xml:space="preserve">33.1 also directs that an accused person is criminally responsible for their involuntary conduct. Because involuntariness negates the </w:t>
      </w:r>
      <w:r w:rsidR="00A707AE" w:rsidRPr="42B6A565">
        <w:rPr>
          <w:i/>
          <w:iCs/>
        </w:rPr>
        <w:t xml:space="preserve">actus </w:t>
      </w:r>
      <w:proofErr w:type="gramStart"/>
      <w:r w:rsidR="00A707AE" w:rsidRPr="42B6A565">
        <w:rPr>
          <w:i/>
          <w:iCs/>
        </w:rPr>
        <w:t>reus</w:t>
      </w:r>
      <w:proofErr w:type="gramEnd"/>
      <w:r w:rsidR="00A707AE" w:rsidRPr="42B6A565">
        <w:t xml:space="preserve"> of the offence, involuntary conduct is not criminal, and the law recognizes that voluntariness for the conviction of a crime is a prin</w:t>
      </w:r>
      <w:r>
        <w:t>ciple of fundamental justice.</w:t>
      </w:r>
    </w:p>
    <w:p w14:paraId="220BB84D" w14:textId="629CC432" w:rsidR="00A707AE" w:rsidRPr="00612DC7" w:rsidRDefault="00612DC7" w:rsidP="00612DC7">
      <w:pPr>
        <w:pStyle w:val="SCCNormalDoubleSpacing"/>
        <w:spacing w:after="480"/>
      </w:pPr>
      <w:r>
        <w:rPr>
          <w:lang w:val="en-US"/>
        </w:rPr>
        <w:tab/>
      </w:r>
      <w:r w:rsidR="00A707AE" w:rsidRPr="42B6A565">
        <w:t xml:space="preserve">Section 33.1 also breaches </w:t>
      </w:r>
      <w:r w:rsidR="00A707AE" w:rsidRPr="42B6A565">
        <w:rPr>
          <w:lang w:val="en-US"/>
        </w:rPr>
        <w:t>the right to be presumed innocent until proven guilty</w:t>
      </w:r>
      <w:r>
        <w:t xml:space="preserve"> guaranteed by s. </w:t>
      </w:r>
      <w:r w:rsidR="00A707AE" w:rsidRPr="42B6A565">
        <w:t xml:space="preserve">11(d) of the </w:t>
      </w:r>
      <w:r w:rsidR="00A707AE" w:rsidRPr="42B6A565">
        <w:rPr>
          <w:i/>
          <w:iCs/>
        </w:rPr>
        <w:t>Charter</w:t>
      </w:r>
      <w:r w:rsidR="00DC7D0F">
        <w:t>.</w:t>
      </w:r>
      <w:r w:rsidR="00A707AE" w:rsidRPr="42B6A565">
        <w:t xml:space="preserve"> To convict the accused, the Crown must pr</w:t>
      </w:r>
      <w:r w:rsidR="00DC7D0F">
        <w:t>ove all the essential elements of an offence</w:t>
      </w:r>
      <w:r w:rsidR="00A707AE" w:rsidRPr="42B6A565">
        <w:t xml:space="preserve"> beyond a reasonable doubt. </w:t>
      </w:r>
      <w:r w:rsidR="00DC7D0F">
        <w:rPr>
          <w:lang w:val="en-US"/>
        </w:rPr>
        <w:t>A direction from Parliament</w:t>
      </w:r>
      <w:r w:rsidR="00A707AE" w:rsidRPr="42B6A565">
        <w:rPr>
          <w:lang w:val="en-US"/>
        </w:rPr>
        <w:t xml:space="preserve"> that proof of one fact is presumed to satisfy proof of on</w:t>
      </w:r>
      <w:r w:rsidR="00DC7D0F">
        <w:rPr>
          <w:lang w:val="en-US"/>
        </w:rPr>
        <w:t>e of the essential elements of an offence can only comply with s. 11(d) if, in all cases,</w:t>
      </w:r>
      <w:r w:rsidR="00A707AE" w:rsidRPr="42B6A565">
        <w:rPr>
          <w:lang w:val="en-US"/>
        </w:rPr>
        <w:t xml:space="preserve"> proof of the substituted fact leads inexorably to the conclusion that the essential element it replaces exists.</w:t>
      </w:r>
      <w:r w:rsidR="00A707AE" w:rsidRPr="42B6A565">
        <w:t xml:space="preserve"> Otherwise, the substitution may result in the accused being convicted, based on proof of the substituted fact, despite the existence of a reasonable doubt as to the essential element of the offence that it replaces. </w:t>
      </w:r>
      <w:r w:rsidR="00DC7D0F">
        <w:rPr>
          <w:lang w:val="en-US"/>
        </w:rPr>
        <w:t>Section</w:t>
      </w:r>
      <w:r>
        <w:rPr>
          <w:lang w:val="en-US"/>
        </w:rPr>
        <w:t> </w:t>
      </w:r>
      <w:r w:rsidR="00A707AE" w:rsidRPr="42B6A565">
        <w:rPr>
          <w:lang w:val="en-US"/>
        </w:rPr>
        <w:t>33.1 improperly substitutes proof of self</w:t>
      </w:r>
      <w:r>
        <w:rPr>
          <w:lang w:val="en-US"/>
        </w:rPr>
        <w:noBreakHyphen/>
      </w:r>
      <w:r w:rsidR="00A707AE" w:rsidRPr="42B6A565">
        <w:rPr>
          <w:lang w:val="en-US"/>
        </w:rPr>
        <w:t>induced intoxication for proof of the essential elements of an offence.</w:t>
      </w:r>
      <w:r w:rsidR="00A707AE" w:rsidRPr="003C5236">
        <w:rPr>
          <w:lang w:val="en-US"/>
        </w:rPr>
        <w:t xml:space="preserve"> </w:t>
      </w:r>
      <w:r w:rsidR="00A707AE" w:rsidRPr="42B6A565">
        <w:t xml:space="preserve">The fault and voluntariness of intoxication are substituted for the fault and voluntariness of the violent offence. </w:t>
      </w:r>
      <w:r w:rsidR="00DC7D0F">
        <w:t>This</w:t>
      </w:r>
      <w:r w:rsidR="00A707AE" w:rsidRPr="42B6A565">
        <w:t xml:space="preserve"> amounts to a constitutionally improper substitution. It cannot be </w:t>
      </w:r>
      <w:r>
        <w:t>said that in all cases under s. </w:t>
      </w:r>
      <w:r w:rsidR="00A707AE" w:rsidRPr="42B6A565">
        <w:t>33.1, the intention to become intoxicated can be substituted for the intenti</w:t>
      </w:r>
      <w:r>
        <w:t>on to commit a violent offence.</w:t>
      </w:r>
    </w:p>
    <w:p w14:paraId="36AA276F" w14:textId="41325AD5" w:rsidR="00A707AE" w:rsidRPr="0075409A" w:rsidRDefault="00612DC7" w:rsidP="00612DC7">
      <w:pPr>
        <w:pStyle w:val="SCCNormalDoubleSpacing"/>
        <w:spacing w:after="480"/>
      </w:pPr>
      <w:r>
        <w:tab/>
      </w:r>
      <w:r w:rsidR="00A707AE" w:rsidRPr="42B6A565">
        <w:t>Par</w:t>
      </w:r>
      <w:r w:rsidR="00DC7D0F">
        <w:t>liament had before it a record that</w:t>
      </w:r>
      <w:r w:rsidR="00A707AE" w:rsidRPr="42B6A565">
        <w:t xml:space="preserve"> highlighted the strong correlation between alcohol and drug use and violent offences, in particular against women, and brought to the fore of Parliament’s attention the equality, dignity, and security rights of all victims of intoxicated violence. </w:t>
      </w:r>
      <w:r w:rsidR="00A707AE">
        <w:t>Parliament’</w:t>
      </w:r>
      <w:r w:rsidR="00A707AE" w:rsidRPr="42B6A565">
        <w:t>s protective public goals cannot be understated: these interests bear meaningful attention at</w:t>
      </w:r>
      <w:r>
        <w:t xml:space="preserve"> both principal steps in the s. </w:t>
      </w:r>
      <w:r w:rsidR="00A707AE" w:rsidRPr="42B6A565">
        <w:t xml:space="preserve">1 analysis. </w:t>
      </w:r>
      <w:r w:rsidR="00DC7D0F">
        <w:t>But</w:t>
      </w:r>
      <w:r w:rsidR="00A707AE">
        <w:t xml:space="preserve"> the Crown must</w:t>
      </w:r>
      <w:r w:rsidR="00A707AE" w:rsidRPr="42B6A565">
        <w:t xml:space="preserve"> show on a balance of proba</w:t>
      </w:r>
      <w:r>
        <w:t>bilities that the limits of ss. 7 and 11(d) brought by s. </w:t>
      </w:r>
      <w:r w:rsidR="00A707AE" w:rsidRPr="42B6A565">
        <w:t>33.1 are reasonable and demonstrab</w:t>
      </w:r>
      <w:r>
        <w:t>ly justified under s. </w:t>
      </w:r>
      <w:r w:rsidR="00A707AE" w:rsidRPr="42B6A565">
        <w:t xml:space="preserve">1 of the </w:t>
      </w:r>
      <w:r w:rsidR="00A707AE" w:rsidRPr="42B6A565">
        <w:rPr>
          <w:i/>
          <w:iCs/>
        </w:rPr>
        <w:t>Charter</w:t>
      </w:r>
      <w:r w:rsidR="00A707AE" w:rsidRPr="42B6A565">
        <w:t xml:space="preserve">. </w:t>
      </w:r>
      <w:r w:rsidR="00DC7D0F">
        <w:t>G</w:t>
      </w:r>
      <w:r>
        <w:t>iven the patent risk that s. </w:t>
      </w:r>
      <w:r w:rsidR="00A707AE" w:rsidRPr="42B6A565">
        <w:t>33.</w:t>
      </w:r>
      <w:r w:rsidR="00A707AE" w:rsidRPr="002C1CDC">
        <w:t xml:space="preserve">1 may </w:t>
      </w:r>
      <w:r w:rsidR="00A707AE" w:rsidRPr="42B6A565">
        <w:t>result in</w:t>
      </w:r>
      <w:r w:rsidR="00A707AE">
        <w:t xml:space="preserve"> the</w:t>
      </w:r>
      <w:r w:rsidR="00A707AE" w:rsidRPr="42B6A565">
        <w:t xml:space="preserve"> conviction of an accused person who had no reason to believe that their voluntary intoxication would </w:t>
      </w:r>
      <w:r w:rsidR="00DC7D0F">
        <w:t xml:space="preserve">lead to a violent consequence, </w:t>
      </w:r>
      <w:r>
        <w:t>s. </w:t>
      </w:r>
      <w:r w:rsidR="00A707AE" w:rsidRPr="42B6A565">
        <w:t>33.1 fails at the proportionality step an</w:t>
      </w:r>
      <w:r>
        <w:t>d thus cannot be saved under s. 1.</w:t>
      </w:r>
    </w:p>
    <w:p w14:paraId="7195AF82" w14:textId="01E36950" w:rsidR="00A707AE" w:rsidRPr="00612DC7" w:rsidRDefault="00A707AE" w:rsidP="00612DC7">
      <w:pPr>
        <w:pStyle w:val="SCCNormalDoubleSpacing"/>
        <w:spacing w:after="480"/>
      </w:pPr>
      <w:r w:rsidRPr="0075409A">
        <w:rPr>
          <w:szCs w:val="24"/>
        </w:rPr>
        <w:tab/>
      </w:r>
      <w:r w:rsidRPr="42B6A565">
        <w:t>With respect to pr</w:t>
      </w:r>
      <w:r w:rsidR="00DC7D0F">
        <w:t>essing and substantial purpose,</w:t>
      </w:r>
      <w:r w:rsidRPr="42B6A565">
        <w:t xml:space="preserve"> </w:t>
      </w:r>
      <w:r w:rsidR="00DC7D0F">
        <w:t>the purpose of a provision</w:t>
      </w:r>
      <w:r w:rsidRPr="0075409A">
        <w:t xml:space="preserve"> must be properly identified with a view to justifying the infringement of the </w:t>
      </w:r>
      <w:r w:rsidRPr="42B6A565">
        <w:rPr>
          <w:i/>
          <w:iCs/>
        </w:rPr>
        <w:t>Charter</w:t>
      </w:r>
      <w:r w:rsidRPr="0075409A">
        <w:t>, otherwise the exercise is not helpful for the balancing mandated by s. 1.</w:t>
      </w:r>
      <w:r w:rsidRPr="42B6A565">
        <w:t xml:space="preserve"> </w:t>
      </w:r>
      <w:r w:rsidR="00612DC7">
        <w:t>In enacting s. </w:t>
      </w:r>
      <w:r w:rsidR="00DC7D0F">
        <w:t>33.1, Parliament</w:t>
      </w:r>
      <w:r w:rsidRPr="42B6A565">
        <w:t xml:space="preserve"> </w:t>
      </w:r>
      <w:r w:rsidR="00DC7D0F">
        <w:t>blocked</w:t>
      </w:r>
      <w:r w:rsidRPr="0075409A">
        <w:t xml:space="preserve"> the defence of automatism for the </w:t>
      </w:r>
      <w:r w:rsidR="00DC7D0F">
        <w:t xml:space="preserve">extremely intoxicated offender </w:t>
      </w:r>
      <w:r w:rsidRPr="0075409A">
        <w:t>fo</w:t>
      </w:r>
      <w:r w:rsidR="00DC7D0F">
        <w:t>r</w:t>
      </w:r>
      <w:r w:rsidRPr="0075409A">
        <w:t xml:space="preserve"> two </w:t>
      </w:r>
      <w:r w:rsidR="00DC7D0F">
        <w:t>legitimate purposes:</w:t>
      </w:r>
      <w:r w:rsidRPr="0075409A">
        <w:t xml:space="preserve"> </w:t>
      </w:r>
      <w:r w:rsidRPr="42B6A565">
        <w:t>to protect the victims of extremely intoxicated violence, with particular attention to women and children whose equal place in society is compromised by sexual assault and other violent crimes of general intent in such circu</w:t>
      </w:r>
      <w:r w:rsidR="00DC7D0F">
        <w:t>mstances; and</w:t>
      </w:r>
      <w:r w:rsidRPr="42B6A565">
        <w:t xml:space="preserve"> to call offenders to answer for their choice to voluntarily ingest intoxicants where that choice creates a risk of violent crime. The protective purpose is sufficiently pressing and substantial to warrant limiting </w:t>
      </w:r>
      <w:r w:rsidRPr="42B6A565">
        <w:rPr>
          <w:i/>
          <w:iCs/>
        </w:rPr>
        <w:t>Charter</w:t>
      </w:r>
      <w:r w:rsidRPr="42B6A565">
        <w:t xml:space="preserve"> rights — the protection of</w:t>
      </w:r>
      <w:r w:rsidR="006070DC">
        <w:t xml:space="preserve"> the public from</w:t>
      </w:r>
      <w:r w:rsidRPr="42B6A565">
        <w:t xml:space="preserve"> intoxicated offenders is of sufficient importance to warrant overriding a constitutionally protected right or freedom. As for the accountability objective, it</w:t>
      </w:r>
      <w:r w:rsidRPr="42B6A565">
        <w:rPr>
          <w:lang w:val="en-US"/>
        </w:rPr>
        <w:t xml:space="preserve"> rests on a philosophical idea that one should not be able to create the conditions of one’s own criminal defence to block liability for the crime committed. A</w:t>
      </w:r>
      <w:r w:rsidRPr="42B6A565">
        <w:t xml:space="preserve">n individual is responsible for their involuntary state because that person’s choice to ingest intoxicants and become extremely intoxicated ultimately creates a risk of violence. </w:t>
      </w:r>
      <w:r w:rsidRPr="0075409A">
        <w:t xml:space="preserve">Stated in this manner, accountability in this context is pressing and substantial and fits appropriately within the </w:t>
      </w:r>
      <w:r w:rsidRPr="42B6A565">
        <w:rPr>
          <w:i/>
          <w:iCs/>
        </w:rPr>
        <w:t>Oakes</w:t>
      </w:r>
      <w:r w:rsidR="00612DC7">
        <w:t xml:space="preserve"> analysis.</w:t>
      </w:r>
    </w:p>
    <w:p w14:paraId="167AFF25" w14:textId="7C7FDA1B" w:rsidR="00A707AE" w:rsidRPr="0075409A" w:rsidRDefault="00612DC7" w:rsidP="00612DC7">
      <w:pPr>
        <w:pStyle w:val="SCCNormalDoubleSpacing"/>
        <w:spacing w:after="480"/>
        <w:rPr>
          <w:szCs w:val="24"/>
        </w:rPr>
      </w:pPr>
      <w:r>
        <w:tab/>
      </w:r>
      <w:r w:rsidR="00A707AE" w:rsidRPr="0075409A">
        <w:t>The deterrent and denunciating effects of s. 33.1 provide a rational connection to Parliament’s protective objective</w:t>
      </w:r>
      <w:r w:rsidR="00A707AE" w:rsidRPr="0075409A">
        <w:rPr>
          <w:szCs w:val="24"/>
        </w:rPr>
        <w:t xml:space="preserve">. </w:t>
      </w:r>
      <w:r>
        <w:rPr>
          <w:szCs w:val="24"/>
          <w:lang w:val="en-US"/>
        </w:rPr>
        <w:t>While it is true that s. </w:t>
      </w:r>
      <w:r w:rsidR="00A707AE" w:rsidRPr="0075409A">
        <w:rPr>
          <w:szCs w:val="24"/>
          <w:lang w:val="en-US"/>
        </w:rPr>
        <w:t>33.1 applies to an accused who could not have foreseen the risk of a loss of control or of bodily harm, it</w:t>
      </w:r>
      <w:r w:rsidR="00A707AE" w:rsidRPr="0075409A">
        <w:rPr>
          <w:szCs w:val="24"/>
        </w:rPr>
        <w:t xml:space="preserve"> also extends to situations in which there was a foreseeable risk of a loss of control and harm. Thus, an individual who consum</w:t>
      </w:r>
      <w:r>
        <w:rPr>
          <w:szCs w:val="24"/>
        </w:rPr>
        <w:t>es an intoxicant with psychosis</w:t>
      </w:r>
      <w:r>
        <w:rPr>
          <w:szCs w:val="24"/>
        </w:rPr>
        <w:noBreakHyphen/>
      </w:r>
      <w:r w:rsidR="00A707AE" w:rsidRPr="0075409A">
        <w:rPr>
          <w:szCs w:val="24"/>
        </w:rPr>
        <w:t>inducing effects, including those who know they lost control of their conduct while in a drug-induced psychosis in</w:t>
      </w:r>
      <w:r>
        <w:rPr>
          <w:szCs w:val="24"/>
        </w:rPr>
        <w:t xml:space="preserve"> the past, will be caught by s. </w:t>
      </w:r>
      <w:r w:rsidR="00A707AE" w:rsidRPr="0075409A">
        <w:rPr>
          <w:szCs w:val="24"/>
        </w:rPr>
        <w:t>33.1. It is reasonable that Parliament would expect the provision to hold some modest deterrent effect for such individuals. This deterrent effect dissuades those contemplating this kind o</w:t>
      </w:r>
      <w:r>
        <w:rPr>
          <w:szCs w:val="24"/>
        </w:rPr>
        <w:t>f intoxication and, as such, s. </w:t>
      </w:r>
      <w:r w:rsidR="00A707AE" w:rsidRPr="0075409A">
        <w:rPr>
          <w:szCs w:val="24"/>
        </w:rPr>
        <w:t xml:space="preserve">33.1 is rationally connected to its protective purpose. In addition, s. 33.1 is rationally connected to </w:t>
      </w:r>
      <w:r w:rsidR="00A707AE" w:rsidRPr="0075409A">
        <w:t>the objective of holding individuals accountable, in as full a manner as possible, for the choice to become extremely intoxicated and the violence committed while in that state</w:t>
      </w:r>
      <w:r w:rsidR="00A707AE" w:rsidRPr="0075409A">
        <w:rPr>
          <w:szCs w:val="24"/>
        </w:rPr>
        <w:t>. It is obvious that a person foreclosed from advancing a defence that could result in an acquittal is held accountable.</w:t>
      </w:r>
    </w:p>
    <w:p w14:paraId="43FAF446" w14:textId="7CBEF145" w:rsidR="00A707AE" w:rsidRPr="00612DC7" w:rsidRDefault="00612DC7" w:rsidP="00612DC7">
      <w:pPr>
        <w:pStyle w:val="SCCNormalDoubleSpacing"/>
        <w:spacing w:after="480"/>
      </w:pPr>
      <w:r>
        <w:tab/>
        <w:t xml:space="preserve">Section </w:t>
      </w:r>
      <w:r w:rsidR="00202EBC">
        <w:t>33.1 is, however,</w:t>
      </w:r>
      <w:r w:rsidR="00A707AE" w:rsidRPr="42B6A565">
        <w:t xml:space="preserve"> not minimally impairing of an accused’s </w:t>
      </w:r>
      <w:r>
        <w:t xml:space="preserve">ss. 7 and </w:t>
      </w:r>
      <w:r w:rsidR="00A707AE" w:rsidRPr="42B6A565">
        <w:t>11(d) rights. There are l</w:t>
      </w:r>
      <w:r w:rsidR="00202EBC">
        <w:t xml:space="preserve">ess harmful means of achieving </w:t>
      </w:r>
      <w:r w:rsidR="00A707AE" w:rsidRPr="42B6A565">
        <w:t>Parliament’</w:t>
      </w:r>
      <w:r w:rsidR="00202EBC">
        <w:t>s</w:t>
      </w:r>
      <w:r w:rsidR="00A707AE" w:rsidRPr="42B6A565">
        <w:t xml:space="preserve"> objectives in a real and substantial manner. </w:t>
      </w:r>
      <w:r w:rsidR="00202EBC">
        <w:t>Options have been</w:t>
      </w:r>
      <w:r w:rsidR="00A707AE" w:rsidRPr="42B6A565">
        <w:t xml:space="preserve"> advanced that would trench less</w:t>
      </w:r>
      <w:r w:rsidR="00202EBC">
        <w:t xml:space="preserve"> on the rights of the accused, </w:t>
      </w:r>
      <w:r w:rsidR="00A707AE">
        <w:t>including</w:t>
      </w:r>
      <w:r w:rsidR="00A707AE" w:rsidRPr="42B6A565">
        <w:t xml:space="preserve"> a stand-alone offence of criminal intoxication</w:t>
      </w:r>
      <w:r w:rsidR="00A707AE">
        <w:t>.</w:t>
      </w:r>
      <w:r w:rsidR="00A707AE" w:rsidRPr="42B6A565">
        <w:t xml:space="preserve"> </w:t>
      </w:r>
      <w:r w:rsidR="00A707AE">
        <w:t>A</w:t>
      </w:r>
      <w:r w:rsidR="00A707AE" w:rsidRPr="42B6A565">
        <w:t>lternative</w:t>
      </w:r>
      <w:r w:rsidR="00202EBC">
        <w:t>ly, a</w:t>
      </w:r>
      <w:r w:rsidR="00A707AE" w:rsidRPr="42B6A565">
        <w:t xml:space="preserve"> path to liability for the underlying violent offence</w:t>
      </w:r>
      <w:r w:rsidR="00202EBC">
        <w:t xml:space="preserve"> might be</w:t>
      </w:r>
      <w:r w:rsidR="00A707AE" w:rsidRPr="42B6A565">
        <w:t xml:space="preserve"> based on a criminal negligence standard </w:t>
      </w:r>
      <w:r w:rsidR="00202EBC">
        <w:t>that</w:t>
      </w:r>
      <w:r w:rsidR="00A707AE">
        <w:t xml:space="preserve"> </w:t>
      </w:r>
      <w:r w:rsidR="00A707AE" w:rsidRPr="42B6A565">
        <w:t xml:space="preserve">would allow </w:t>
      </w:r>
      <w:r w:rsidR="00A707AE" w:rsidRPr="0075409A">
        <w:t>the trier of fact to consider whether a loss of control and bodily harm were both reasonably foreseeable at the time of intoxication.</w:t>
      </w:r>
      <w:r w:rsidR="00202EBC">
        <w:t xml:space="preserve"> T</w:t>
      </w:r>
      <w:r w:rsidR="00A707AE" w:rsidRPr="42B6A565">
        <w:t>his</w:t>
      </w:r>
      <w:r w:rsidR="00A707AE">
        <w:t xml:space="preserve"> latter option</w:t>
      </w:r>
      <w:r w:rsidR="00A707AE" w:rsidRPr="42B6A565">
        <w:t xml:space="preserve"> </w:t>
      </w:r>
      <w:r w:rsidR="00A707AE">
        <w:t>c</w:t>
      </w:r>
      <w:r w:rsidR="00A707AE" w:rsidRPr="42B6A565">
        <w:t>ould allow an accused to be convicted for the underlying violent act and not simply negli</w:t>
      </w:r>
      <w:r w:rsidR="00202EBC">
        <w:t xml:space="preserve">gent or dangerous intoxication </w:t>
      </w:r>
      <w:r w:rsidR="00A707AE">
        <w:t>while</w:t>
      </w:r>
      <w:r w:rsidR="00202EBC">
        <w:t xml:space="preserve"> achieving</w:t>
      </w:r>
      <w:r w:rsidR="00A707AE" w:rsidRPr="42B6A565">
        <w:t xml:space="preserve"> the minimum objective fault standar</w:t>
      </w:r>
      <w:r>
        <w:t>d required by the Constitution.</w:t>
      </w:r>
    </w:p>
    <w:p w14:paraId="1DC89F4C" w14:textId="3D09D3C2" w:rsidR="00A707AE" w:rsidRPr="003C5236" w:rsidRDefault="00612DC7" w:rsidP="00612DC7">
      <w:pPr>
        <w:pStyle w:val="SCCNormalDoubleSpacing"/>
        <w:spacing w:after="480"/>
      </w:pPr>
      <w:r>
        <w:rPr>
          <w:szCs w:val="24"/>
        </w:rPr>
        <w:tab/>
      </w:r>
      <w:r w:rsidR="00202EBC">
        <w:rPr>
          <w:szCs w:val="24"/>
        </w:rPr>
        <w:t>Section</w:t>
      </w:r>
      <w:r w:rsidR="00A707AE" w:rsidRPr="42B6A565">
        <w:rPr>
          <w:szCs w:val="24"/>
        </w:rPr>
        <w:t xml:space="preserve"> 33.1 also fails on an assessment of the relative benefits and negative effects of the law under the </w:t>
      </w:r>
      <w:r w:rsidR="00A707AE" w:rsidRPr="42B6A565">
        <w:rPr>
          <w:i/>
          <w:iCs/>
          <w:szCs w:val="24"/>
        </w:rPr>
        <w:t>Oakes</w:t>
      </w:r>
      <w:r w:rsidR="00A707AE" w:rsidRPr="42B6A565">
        <w:rPr>
          <w:szCs w:val="24"/>
        </w:rPr>
        <w:t xml:space="preserve"> test. At the final stage under s. 1, the question is whether there is proportionality between the overall effects of the </w:t>
      </w:r>
      <w:r w:rsidR="00A707AE" w:rsidRPr="42B6A565">
        <w:rPr>
          <w:i/>
          <w:iCs/>
          <w:szCs w:val="24"/>
        </w:rPr>
        <w:t>Charter</w:t>
      </w:r>
      <w:r>
        <w:rPr>
          <w:szCs w:val="24"/>
        </w:rPr>
        <w:noBreakHyphen/>
      </w:r>
      <w:r w:rsidR="00A707AE" w:rsidRPr="42B6A565">
        <w:rPr>
          <w:szCs w:val="24"/>
        </w:rPr>
        <w:t xml:space="preserve">infringing measure and the legislative objectives. This invites the broadest assessment of the benefits of s. 33.1 to society, weighed against the cost </w:t>
      </w:r>
      <w:r>
        <w:rPr>
          <w:szCs w:val="24"/>
        </w:rPr>
        <w:t xml:space="preserve">of the limitations to ss. 7 and </w:t>
      </w:r>
      <w:r w:rsidR="00A707AE" w:rsidRPr="42B6A565">
        <w:rPr>
          <w:szCs w:val="24"/>
        </w:rPr>
        <w:t xml:space="preserve">11(d) of the </w:t>
      </w:r>
      <w:r w:rsidR="00A707AE" w:rsidRPr="42B6A565">
        <w:rPr>
          <w:i/>
          <w:iCs/>
          <w:szCs w:val="24"/>
        </w:rPr>
        <w:t>Charter</w:t>
      </w:r>
      <w:r w:rsidR="00202EBC">
        <w:rPr>
          <w:szCs w:val="24"/>
        </w:rPr>
        <w:t xml:space="preserve">. </w:t>
      </w:r>
      <w:r w:rsidR="00A707AE" w:rsidRPr="42B6A565">
        <w:rPr>
          <w:szCs w:val="24"/>
        </w:rPr>
        <w:t>With respect to its salutary effects,</w:t>
      </w:r>
      <w:r>
        <w:rPr>
          <w:szCs w:val="24"/>
        </w:rPr>
        <w:t xml:space="preserve"> s. </w:t>
      </w:r>
      <w:r w:rsidR="00202EBC">
        <w:rPr>
          <w:szCs w:val="24"/>
        </w:rPr>
        <w:t>33.1</w:t>
      </w:r>
      <w:r w:rsidR="00A707AE" w:rsidRPr="42B6A565">
        <w:rPr>
          <w:szCs w:val="24"/>
        </w:rPr>
        <w:t xml:space="preserve"> gives expression to the close and harmful association between extreme self-ind</w:t>
      </w:r>
      <w:r w:rsidR="00202EBC">
        <w:rPr>
          <w:szCs w:val="24"/>
        </w:rPr>
        <w:t>uced intoxication and violence and</w:t>
      </w:r>
      <w:r w:rsidR="00A707AE" w:rsidRPr="42B6A565">
        <w:rPr>
          <w:szCs w:val="24"/>
        </w:rPr>
        <w:t xml:space="preserve"> affirms society’s commitment to the equality and security rights of victims vulnerable to intoxicated crime. </w:t>
      </w:r>
      <w:r w:rsidR="00202EBC">
        <w:rPr>
          <w:szCs w:val="24"/>
        </w:rPr>
        <w:t>It</w:t>
      </w:r>
      <w:r w:rsidR="00A707AE" w:rsidRPr="42B6A565">
        <w:rPr>
          <w:szCs w:val="24"/>
        </w:rPr>
        <w:t xml:space="preserve"> responds meaningfully to inequality by recognizing that women and children deserve the full protection of the law and by condemning intoxicated gendered and family violence. </w:t>
      </w:r>
      <w:r w:rsidR="00202EBC">
        <w:rPr>
          <w:szCs w:val="24"/>
        </w:rPr>
        <w:t>It</w:t>
      </w:r>
      <w:r w:rsidR="00A707AE" w:rsidRPr="42B6A565">
        <w:rPr>
          <w:szCs w:val="24"/>
        </w:rPr>
        <w:t xml:space="preserve"> includes in its reach the irresponsible use and mixing of intoxicants that could l</w:t>
      </w:r>
      <w:r w:rsidR="00202EBC">
        <w:rPr>
          <w:szCs w:val="24"/>
        </w:rPr>
        <w:t>ead to automatism and violence which</w:t>
      </w:r>
      <w:r w:rsidR="00A707AE" w:rsidRPr="42B6A565">
        <w:rPr>
          <w:szCs w:val="24"/>
        </w:rPr>
        <w:t xml:space="preserve"> discourages such behaviour and raises awareness about the link between extreme intoxication and violence. </w:t>
      </w:r>
      <w:r w:rsidR="00202EBC">
        <w:rPr>
          <w:szCs w:val="24"/>
        </w:rPr>
        <w:t>It</w:t>
      </w:r>
      <w:r w:rsidR="00A707AE" w:rsidRPr="42B6A565">
        <w:rPr>
          <w:szCs w:val="24"/>
        </w:rPr>
        <w:t xml:space="preserve"> contributes to public confidence i</w:t>
      </w:r>
      <w:r w:rsidR="00202EBC">
        <w:rPr>
          <w:szCs w:val="24"/>
        </w:rPr>
        <w:t xml:space="preserve">n the criminal justice system, </w:t>
      </w:r>
      <w:r w:rsidR="00A707AE" w:rsidRPr="42B6A565">
        <w:rPr>
          <w:szCs w:val="24"/>
        </w:rPr>
        <w:t xml:space="preserve">although this benefit must </w:t>
      </w:r>
      <w:r w:rsidR="00202EBC">
        <w:rPr>
          <w:szCs w:val="24"/>
        </w:rPr>
        <w:t>be balanced against recognizing</w:t>
      </w:r>
      <w:r w:rsidR="00A707AE" w:rsidRPr="42B6A565">
        <w:rPr>
          <w:szCs w:val="24"/>
        </w:rPr>
        <w:t xml:space="preserve"> society’s inter</w:t>
      </w:r>
      <w:r w:rsidR="00202EBC">
        <w:rPr>
          <w:szCs w:val="24"/>
        </w:rPr>
        <w:t>ests in</w:t>
      </w:r>
      <w:r w:rsidR="00A707AE" w:rsidRPr="42B6A565">
        <w:rPr>
          <w:szCs w:val="24"/>
        </w:rPr>
        <w:t xml:space="preserve"> a system of law governed by the principles of fundamental justice. </w:t>
      </w:r>
      <w:r w:rsidR="00202EBC">
        <w:rPr>
          <w:szCs w:val="24"/>
        </w:rPr>
        <w:t xml:space="preserve">As well, it </w:t>
      </w:r>
      <w:r w:rsidR="00A707AE" w:rsidRPr="42B6A565">
        <w:rPr>
          <w:szCs w:val="24"/>
        </w:rPr>
        <w:t>fosters personal responsibility in resp</w:t>
      </w:r>
      <w:r w:rsidR="00202EBC">
        <w:rPr>
          <w:szCs w:val="24"/>
        </w:rPr>
        <w:t>ect of voluntary intoxication, which</w:t>
      </w:r>
      <w:r w:rsidR="00A707AE" w:rsidRPr="42B6A565">
        <w:rPr>
          <w:szCs w:val="24"/>
        </w:rPr>
        <w:t xml:space="preserve"> Parliament saw as one of the root sources of violent crime.</w:t>
      </w:r>
    </w:p>
    <w:p w14:paraId="1B122AB9" w14:textId="7C44BC61" w:rsidR="00202EBC" w:rsidRDefault="00612DC7" w:rsidP="00612DC7">
      <w:pPr>
        <w:pStyle w:val="SCCNormalDoubleSpacing"/>
        <w:spacing w:after="480"/>
        <w:rPr>
          <w:szCs w:val="24"/>
        </w:rPr>
      </w:pPr>
      <w:r>
        <w:rPr>
          <w:szCs w:val="24"/>
        </w:rPr>
        <w:tab/>
      </w:r>
      <w:r w:rsidR="00A707AE" w:rsidRPr="42B6A565">
        <w:rPr>
          <w:szCs w:val="24"/>
        </w:rPr>
        <w:t>H</w:t>
      </w:r>
      <w:r>
        <w:rPr>
          <w:szCs w:val="24"/>
        </w:rPr>
        <w:t>owever, s. </w:t>
      </w:r>
      <w:r w:rsidR="00202EBC">
        <w:rPr>
          <w:szCs w:val="24"/>
        </w:rPr>
        <w:t>33.1’s</w:t>
      </w:r>
      <w:r w:rsidR="00A707AE" w:rsidRPr="42B6A565">
        <w:rPr>
          <w:szCs w:val="24"/>
        </w:rPr>
        <w:t xml:space="preserve"> deleterious effects are serious and troubling. </w:t>
      </w:r>
      <w:r w:rsidR="00202EBC">
        <w:rPr>
          <w:szCs w:val="24"/>
        </w:rPr>
        <w:t xml:space="preserve">Its </w:t>
      </w:r>
      <w:r w:rsidR="00A707AE" w:rsidRPr="42B6A565">
        <w:rPr>
          <w:szCs w:val="24"/>
        </w:rPr>
        <w:t xml:space="preserve">fundamental flaw is the risk of wrongful convictions it presents. </w:t>
      </w:r>
      <w:r w:rsidR="00202EBC">
        <w:rPr>
          <w:szCs w:val="24"/>
        </w:rPr>
        <w:t>It contravenes</w:t>
      </w:r>
      <w:r w:rsidR="00A707AE" w:rsidRPr="42B6A565">
        <w:rPr>
          <w:szCs w:val="24"/>
        </w:rPr>
        <w:t xml:space="preserve"> virtually all the criminal law principles that the law relies upon to protect the morally innocent.</w:t>
      </w:r>
      <w:r w:rsidR="00A707AE" w:rsidRPr="003C5236">
        <w:t xml:space="preserve"> </w:t>
      </w:r>
      <w:r w:rsidR="00A707AE" w:rsidRPr="42B6A565">
        <w:rPr>
          <w:szCs w:val="24"/>
        </w:rPr>
        <w:t>It enables conviction where the accused acted involuntarily, where the accused did not possess the minimum level of fault required, and where the Crown has not proven beyond a reasonable doubt the essential elements of the offence for which an accused is charged. Because s. 33.1 does not build in a criterion of objective foreseeability, it is impossible to say who, among those who voluntarily ingest intoxicants, has the degree of blameworthiness that would justify the stigma and punishment associated with the underlying offence with which they are charged. Where the intoxicant is licit, or where no reasonable person would anticipate the risk of automatism, whatever blameworthiness that comes from voluntary intoxication is relatively low and likely disproportionate to the punishment the individual would face if convicted for an offence committed in a state akin to automatism.</w:t>
      </w:r>
      <w:r w:rsidR="00A707AE" w:rsidRPr="003C5236">
        <w:t xml:space="preserve"> </w:t>
      </w:r>
      <w:r w:rsidR="00202EBC">
        <w:rPr>
          <w:szCs w:val="24"/>
        </w:rPr>
        <w:t>It cannot be concluded that</w:t>
      </w:r>
      <w:r w:rsidR="00A707AE" w:rsidRPr="42B6A565">
        <w:rPr>
          <w:szCs w:val="24"/>
        </w:rPr>
        <w:t xml:space="preserve"> the morally</w:t>
      </w:r>
      <w:r>
        <w:rPr>
          <w:szCs w:val="24"/>
        </w:rPr>
        <w:t xml:space="preserve"> innocent will not be punished.</w:t>
      </w:r>
      <w:r w:rsidR="00A707AE" w:rsidRPr="42B6A565">
        <w:rPr>
          <w:szCs w:val="24"/>
        </w:rPr>
        <w:t xml:space="preserve"> This is an extremely serious deleterious effect. </w:t>
      </w:r>
      <w:r>
        <w:rPr>
          <w:szCs w:val="24"/>
        </w:rPr>
        <w:t>Additionally, s. </w:t>
      </w:r>
      <w:r w:rsidR="00202EBC">
        <w:rPr>
          <w:szCs w:val="24"/>
        </w:rPr>
        <w:t>33.1</w:t>
      </w:r>
      <w:r w:rsidR="00A707AE" w:rsidRPr="42B6A565">
        <w:rPr>
          <w:szCs w:val="24"/>
        </w:rPr>
        <w:t xml:space="preserve"> disproportionately punishes for unintentional harm, contrary to</w:t>
      </w:r>
      <w:r w:rsidR="00202EBC">
        <w:rPr>
          <w:szCs w:val="24"/>
        </w:rPr>
        <w:t xml:space="preserve"> the principle that punishment must</w:t>
      </w:r>
      <w:r w:rsidR="00A707AE" w:rsidRPr="42B6A565">
        <w:rPr>
          <w:szCs w:val="24"/>
        </w:rPr>
        <w:t xml:space="preserve"> be proportionate</w:t>
      </w:r>
      <w:r w:rsidR="00202EBC">
        <w:rPr>
          <w:szCs w:val="24"/>
        </w:rPr>
        <w:t xml:space="preserve"> to the gravity of the offence.</w:t>
      </w:r>
    </w:p>
    <w:p w14:paraId="2B134246" w14:textId="4E73CDF0" w:rsidR="00A707AE" w:rsidRPr="00202EBC" w:rsidRDefault="00A707AE" w:rsidP="00612DC7">
      <w:pPr>
        <w:pStyle w:val="SCCNormalDoubleSpacing"/>
        <w:spacing w:after="480"/>
        <w:rPr>
          <w:szCs w:val="24"/>
        </w:rPr>
      </w:pPr>
      <w:r w:rsidRPr="0075409A">
        <w:rPr>
          <w:szCs w:val="24"/>
          <w:lang w:val="en-US"/>
        </w:rPr>
        <w:tab/>
      </w:r>
      <w:r w:rsidRPr="42B6A565">
        <w:t xml:space="preserve">The Crown has not discharged its burden of showing that the benefits suggested by the evidence are fairly realized by s. 33.1. </w:t>
      </w:r>
      <w:r>
        <w:t>T</w:t>
      </w:r>
      <w:r w:rsidRPr="42B6A565">
        <w:t>here are socially and constituti</w:t>
      </w:r>
      <w:r w:rsidR="00202EBC">
        <w:t xml:space="preserve">onally acceptable alternatives </w:t>
      </w:r>
      <w:r w:rsidRPr="42B6A565">
        <w:t xml:space="preserve">to the </w:t>
      </w:r>
      <w:r w:rsidRPr="00DD0D21">
        <w:rPr>
          <w:i/>
          <w:iCs/>
        </w:rPr>
        <w:t>Daviault</w:t>
      </w:r>
      <w:r w:rsidR="00202EBC">
        <w:t xml:space="preserve"> exception</w:t>
      </w:r>
      <w:r w:rsidRPr="42B6A565">
        <w:t xml:space="preserve"> that achieve the legitimate objectives of</w:t>
      </w:r>
      <w:r w:rsidR="00612DC7">
        <w:t xml:space="preserve"> the law more fairly than in s. </w:t>
      </w:r>
      <w:r w:rsidRPr="42B6A565">
        <w:t>33</w:t>
      </w:r>
      <w:r>
        <w:t>.</w:t>
      </w:r>
      <w:r w:rsidRPr="42B6A565">
        <w:t>1. In the absence of s. 33.1, the benefits tied to accountability and protection will continue to be met through the application of common law rules which prevent the defence of intoxication including to gen</w:t>
      </w:r>
      <w:r w:rsidR="00612DC7">
        <w:t>eral intent crimes of violence.</w:t>
      </w:r>
      <w:r w:rsidRPr="42B6A565">
        <w:t xml:space="preserve"> Parliament </w:t>
      </w:r>
      <w:r w:rsidR="00202EBC">
        <w:t xml:space="preserve">can further advance </w:t>
      </w:r>
      <w:r w:rsidRPr="42B6A565">
        <w:t>t</w:t>
      </w:r>
      <w:r w:rsidR="00612DC7">
        <w:t>hese goals with respect to self</w:t>
      </w:r>
      <w:r w:rsidR="00612DC7">
        <w:noBreakHyphen/>
      </w:r>
      <w:r w:rsidRPr="42B6A565">
        <w:t xml:space="preserve">induced extreme </w:t>
      </w:r>
      <w:r w:rsidR="00202EBC">
        <w:t xml:space="preserve">intoxication akin to automatism through other means. </w:t>
      </w:r>
      <w:r w:rsidRPr="42B6A565">
        <w:t xml:space="preserve">The weight to be accorded to the principles of fundamental justice and the presumption of innocence cannot be ignored. </w:t>
      </w:r>
      <w:r w:rsidR="00202EBC">
        <w:rPr>
          <w:lang w:val="en-US"/>
        </w:rPr>
        <w:t>Section</w:t>
      </w:r>
      <w:r w:rsidR="00612DC7">
        <w:rPr>
          <w:lang w:val="en-US"/>
        </w:rPr>
        <w:t xml:space="preserve"> </w:t>
      </w:r>
      <w:r w:rsidRPr="42B6A565">
        <w:rPr>
          <w:lang w:val="en-US"/>
        </w:rPr>
        <w:t xml:space="preserve">33.1 trenches on fundamental principles at the core of </w:t>
      </w:r>
      <w:r w:rsidR="00202EBC">
        <w:rPr>
          <w:lang w:val="en-US"/>
        </w:rPr>
        <w:t>Canada’s criminal law system,</w:t>
      </w:r>
      <w:r w:rsidRPr="42B6A565">
        <w:rPr>
          <w:lang w:val="en-US"/>
        </w:rPr>
        <w:t xml:space="preserve"> </w:t>
      </w:r>
      <w:r w:rsidRPr="42B6A565">
        <w:t xml:space="preserve">creates a liability regime that disregards principles meant to protect the innocent, and communicates the message that securing a conviction is more important than respecting the basic principles of justice. </w:t>
      </w:r>
      <w:r w:rsidR="00202EBC">
        <w:t>Its</w:t>
      </w:r>
      <w:r w:rsidRPr="42B6A565">
        <w:t xml:space="preserve"> impact on the principles of fundamental justice is disproportionate to its overarching public benefits. </w:t>
      </w:r>
      <w:r w:rsidR="00202EBC">
        <w:t>It should therefore</w:t>
      </w:r>
      <w:r w:rsidRPr="0075409A">
        <w:t xml:space="preserve"> be declared unconstituti</w:t>
      </w:r>
      <w:r w:rsidR="00612DC7">
        <w:t>onal and of no force or effect.</w:t>
      </w:r>
    </w:p>
    <w:p w14:paraId="210E82CA" w14:textId="77777777" w:rsidR="007E1C47" w:rsidRDefault="002E6705" w:rsidP="00612DC7">
      <w:pPr>
        <w:pStyle w:val="SCCNormalDoubleSpacing"/>
        <w:widowControl w:val="0"/>
        <w:spacing w:after="720" w:line="240" w:lineRule="auto"/>
        <w:rPr>
          <w:b/>
        </w:rPr>
      </w:pPr>
      <w:r w:rsidRPr="00314E01">
        <w:rPr>
          <w:b/>
        </w:rPr>
        <w:t>Cases Cited</w:t>
      </w:r>
    </w:p>
    <w:p w14:paraId="383AFD72" w14:textId="5A9B867F" w:rsidR="00066A6A" w:rsidRDefault="002E6705" w:rsidP="00612DC7">
      <w:pPr>
        <w:pStyle w:val="SCCNormalDoubleSpacing"/>
        <w:widowControl w:val="0"/>
        <w:spacing w:after="480"/>
      </w:pPr>
      <w:r>
        <w:tab/>
      </w:r>
      <w:r w:rsidR="00E96F11" w:rsidRPr="00E96F11">
        <w:rPr>
          <w:b/>
        </w:rPr>
        <w:t xml:space="preserve">Applied: </w:t>
      </w:r>
      <w:r w:rsidR="00E96F11">
        <w:rPr>
          <w:i/>
        </w:rPr>
        <w:t>R. v. Oakes</w:t>
      </w:r>
      <w:r w:rsidR="00E96F11">
        <w:t xml:space="preserve">, [1986] 1 S.C.R. 103; </w:t>
      </w:r>
      <w:r w:rsidR="00E96F11" w:rsidRPr="00E96F11">
        <w:rPr>
          <w:b/>
        </w:rPr>
        <w:t xml:space="preserve">considered: </w:t>
      </w:r>
      <w:r w:rsidR="00E96F11" w:rsidRPr="001004E3">
        <w:rPr>
          <w:i/>
          <w:lang w:val="en-US"/>
        </w:rPr>
        <w:t>R. v. Sullivan</w:t>
      </w:r>
      <w:r w:rsidR="00E96F11">
        <w:rPr>
          <w:lang w:val="en-US"/>
        </w:rPr>
        <w:t xml:space="preserve">, 2020 ONCA 333, 151 O.R. (3d) 353; </w:t>
      </w:r>
      <w:r w:rsidR="00E96F11" w:rsidRPr="002A0A00">
        <w:rPr>
          <w:i/>
          <w:lang w:val="en-US"/>
        </w:rPr>
        <w:t>R. v. Daviault</w:t>
      </w:r>
      <w:r w:rsidR="00E96F11">
        <w:rPr>
          <w:lang w:val="en-US"/>
        </w:rPr>
        <w:t xml:space="preserve">, [1994] 3 S.C.R. 63; </w:t>
      </w:r>
      <w:r w:rsidR="00E96F11" w:rsidRPr="00E96F11">
        <w:rPr>
          <w:b/>
        </w:rPr>
        <w:t>r</w:t>
      </w:r>
      <w:r w:rsidRPr="00314E01">
        <w:rPr>
          <w:b/>
        </w:rPr>
        <w:t>eferred to:</w:t>
      </w:r>
      <w:r w:rsidR="00BD0E9E" w:rsidRPr="00BD0E9E">
        <w:t xml:space="preserve"> </w:t>
      </w:r>
      <w:r w:rsidR="00B73A07" w:rsidRPr="3263A4C9">
        <w:rPr>
          <w:i/>
          <w:iCs/>
        </w:rPr>
        <w:t>R. v. Stone</w:t>
      </w:r>
      <w:r w:rsidR="00B73A07">
        <w:t xml:space="preserve">, [1999] 2 S.C.R. 290; </w:t>
      </w:r>
      <w:proofErr w:type="spellStart"/>
      <w:r w:rsidR="00C374D0" w:rsidRPr="3263A4C9">
        <w:rPr>
          <w:i/>
          <w:iCs/>
        </w:rPr>
        <w:t>Rabey</w:t>
      </w:r>
      <w:proofErr w:type="spellEnd"/>
      <w:r w:rsidR="00C374D0" w:rsidRPr="3263A4C9">
        <w:rPr>
          <w:i/>
          <w:iCs/>
        </w:rPr>
        <w:t xml:space="preserve"> v. The Queen</w:t>
      </w:r>
      <w:r w:rsidR="00C374D0">
        <w:t xml:space="preserve">, [1980] 2 S.C.R. 513; </w:t>
      </w:r>
      <w:r w:rsidR="00C30084" w:rsidRPr="3263A4C9">
        <w:rPr>
          <w:i/>
          <w:iCs/>
        </w:rPr>
        <w:t xml:space="preserve">R. v. </w:t>
      </w:r>
      <w:proofErr w:type="spellStart"/>
      <w:r w:rsidR="00C30084" w:rsidRPr="3263A4C9">
        <w:rPr>
          <w:i/>
          <w:iCs/>
        </w:rPr>
        <w:t>Luedecke</w:t>
      </w:r>
      <w:proofErr w:type="spellEnd"/>
      <w:r w:rsidR="00C30084">
        <w:t xml:space="preserve">, 2008 </w:t>
      </w:r>
      <w:proofErr w:type="spellStart"/>
      <w:r w:rsidR="00C30084">
        <w:t>ONCA</w:t>
      </w:r>
      <w:proofErr w:type="spellEnd"/>
      <w:r w:rsidR="00C30084">
        <w:t xml:space="preserve"> 716, </w:t>
      </w:r>
      <w:r w:rsidR="00C30084" w:rsidRPr="00B76F71">
        <w:t>93 O.R. (3d) 89</w:t>
      </w:r>
      <w:r w:rsidR="00C30084">
        <w:t xml:space="preserve">; </w:t>
      </w:r>
      <w:r w:rsidR="00FD6953">
        <w:rPr>
          <w:i/>
          <w:lang w:val="en-US"/>
        </w:rPr>
        <w:t xml:space="preserve">R. v. </w:t>
      </w:r>
      <w:r w:rsidR="00FD6953" w:rsidRPr="001004E3">
        <w:rPr>
          <w:i/>
          <w:lang w:val="en-US"/>
        </w:rPr>
        <w:t>Sullivan</w:t>
      </w:r>
      <w:r w:rsidR="00FD6953">
        <w:rPr>
          <w:lang w:val="en-US"/>
        </w:rPr>
        <w:t xml:space="preserve">, 2022 SCC </w:t>
      </w:r>
      <w:r w:rsidR="00E663EC">
        <w:rPr>
          <w:lang w:val="en-US"/>
        </w:rPr>
        <w:t>19</w:t>
      </w:r>
      <w:r w:rsidR="00FD6953">
        <w:rPr>
          <w:lang w:val="en-US"/>
        </w:rPr>
        <w:t xml:space="preserve">; </w:t>
      </w:r>
      <w:r w:rsidR="00DC171B" w:rsidRPr="0076186C">
        <w:rPr>
          <w:i/>
          <w:lang w:val="en-US"/>
        </w:rPr>
        <w:t>Re B.C. Motor Vehicle Act</w:t>
      </w:r>
      <w:r w:rsidR="00DC171B">
        <w:rPr>
          <w:lang w:val="en-US"/>
        </w:rPr>
        <w:t xml:space="preserve">, [1985] 2 S.C.R. 486; </w:t>
      </w:r>
      <w:r w:rsidR="00080D33" w:rsidRPr="000502DD">
        <w:rPr>
          <w:i/>
          <w:iCs/>
        </w:rPr>
        <w:t>R. v. Creighton</w:t>
      </w:r>
      <w:r w:rsidR="00080D33" w:rsidRPr="3263A4C9">
        <w:t>, [1993] 3 S.C.R. 3</w:t>
      </w:r>
      <w:r w:rsidR="00080D33">
        <w:t xml:space="preserve">; </w:t>
      </w:r>
      <w:r w:rsidR="00533BD0" w:rsidRPr="3263A4C9">
        <w:rPr>
          <w:i/>
          <w:iCs/>
        </w:rPr>
        <w:t>Leary</w:t>
      </w:r>
      <w:r w:rsidR="00533BD0">
        <w:rPr>
          <w:i/>
          <w:iCs/>
        </w:rPr>
        <w:t xml:space="preserve"> v. The Queen</w:t>
      </w:r>
      <w:r w:rsidR="00533BD0">
        <w:t>, [1978] 1 S.C.R. 29;</w:t>
      </w:r>
      <w:r w:rsidR="00533BD0">
        <w:rPr>
          <w:lang w:val="en-US"/>
        </w:rPr>
        <w:t xml:space="preserve"> </w:t>
      </w:r>
      <w:r w:rsidR="00533BD0" w:rsidRPr="3263A4C9">
        <w:rPr>
          <w:i/>
          <w:iCs/>
          <w:lang w:val="en-US"/>
        </w:rPr>
        <w:t>R. v. Bernard</w:t>
      </w:r>
      <w:r w:rsidR="00533BD0">
        <w:rPr>
          <w:lang w:val="en-US"/>
        </w:rPr>
        <w:t xml:space="preserve">, [1988] 2 S.C.R. 833; </w:t>
      </w:r>
      <w:r w:rsidR="00444431" w:rsidRPr="3263A4C9">
        <w:rPr>
          <w:i/>
          <w:iCs/>
        </w:rPr>
        <w:t>D</w:t>
      </w:r>
      <w:r w:rsidR="00444431">
        <w:rPr>
          <w:i/>
          <w:iCs/>
        </w:rPr>
        <w:t xml:space="preserve">irector of </w:t>
      </w:r>
      <w:r w:rsidR="00444431" w:rsidRPr="3263A4C9">
        <w:rPr>
          <w:i/>
          <w:iCs/>
        </w:rPr>
        <w:t>P</w:t>
      </w:r>
      <w:r w:rsidR="00444431">
        <w:rPr>
          <w:i/>
          <w:iCs/>
        </w:rPr>
        <w:t xml:space="preserve">ublic </w:t>
      </w:r>
      <w:r w:rsidR="00444431" w:rsidRPr="3263A4C9">
        <w:rPr>
          <w:i/>
          <w:iCs/>
        </w:rPr>
        <w:t>P</w:t>
      </w:r>
      <w:r w:rsidR="00444431">
        <w:rPr>
          <w:i/>
          <w:iCs/>
        </w:rPr>
        <w:t>rosecutions</w:t>
      </w:r>
      <w:r w:rsidR="00444431" w:rsidRPr="3263A4C9">
        <w:rPr>
          <w:i/>
          <w:iCs/>
        </w:rPr>
        <w:t xml:space="preserve"> v. Beard</w:t>
      </w:r>
      <w:r w:rsidR="00444431">
        <w:t xml:space="preserve">, [1920] A.C. 479; </w:t>
      </w:r>
      <w:r w:rsidR="001C6740" w:rsidRPr="3263A4C9">
        <w:rPr>
          <w:i/>
          <w:iCs/>
        </w:rPr>
        <w:t>R. v. Chaulk</w:t>
      </w:r>
      <w:r w:rsidR="001C6740">
        <w:t xml:space="preserve">, [1990] 3 S.C.R. 1303; </w:t>
      </w:r>
      <w:r w:rsidR="001C6740" w:rsidRPr="3263A4C9">
        <w:rPr>
          <w:i/>
          <w:iCs/>
        </w:rPr>
        <w:t>R. v. Parks</w:t>
      </w:r>
      <w:r w:rsidR="001C6740">
        <w:t xml:space="preserve">, [1992] 2 S.C.R. 871; </w:t>
      </w:r>
      <w:r w:rsidR="002D1316">
        <w:rPr>
          <w:i/>
          <w:iCs/>
        </w:rPr>
        <w:t>Bratty v. Attorney</w:t>
      </w:r>
      <w:r w:rsidR="002D1316">
        <w:rPr>
          <w:i/>
          <w:iCs/>
        </w:rPr>
        <w:noBreakHyphen/>
      </w:r>
      <w:r w:rsidR="00B047C2" w:rsidRPr="3263A4C9">
        <w:rPr>
          <w:i/>
          <w:iCs/>
        </w:rPr>
        <w:t>General for Northern Ireland</w:t>
      </w:r>
      <w:r w:rsidR="00B047C2">
        <w:t xml:space="preserve">, [1963] A.C. 386; </w:t>
      </w:r>
      <w:r w:rsidR="002215C1" w:rsidRPr="3263A4C9">
        <w:rPr>
          <w:i/>
          <w:iCs/>
        </w:rPr>
        <w:t xml:space="preserve">R. v. </w:t>
      </w:r>
      <w:proofErr w:type="spellStart"/>
      <w:r w:rsidR="002215C1" w:rsidRPr="3263A4C9">
        <w:rPr>
          <w:i/>
          <w:iCs/>
        </w:rPr>
        <w:t>Ruzic</w:t>
      </w:r>
      <w:proofErr w:type="spellEnd"/>
      <w:r w:rsidR="002215C1">
        <w:t xml:space="preserve">, 2001 SCC 24, [2001] 1 S.C.R. 687; </w:t>
      </w:r>
      <w:r w:rsidR="002215C1">
        <w:rPr>
          <w:i/>
        </w:rPr>
        <w:t xml:space="preserve">R. v. </w:t>
      </w:r>
      <w:r w:rsidR="002D1316">
        <w:rPr>
          <w:i/>
          <w:iCs/>
        </w:rPr>
        <w:t>Bouchard</w:t>
      </w:r>
      <w:r w:rsidR="002D1316">
        <w:rPr>
          <w:i/>
          <w:iCs/>
        </w:rPr>
        <w:noBreakHyphen/>
      </w:r>
      <w:r w:rsidR="002215C1" w:rsidRPr="3263A4C9">
        <w:rPr>
          <w:i/>
          <w:iCs/>
        </w:rPr>
        <w:t>Lebrun</w:t>
      </w:r>
      <w:r w:rsidR="002215C1">
        <w:rPr>
          <w:iCs/>
        </w:rPr>
        <w:t xml:space="preserve">, 2011 SCC 58, [2011] 3 S.C.R. 575; </w:t>
      </w:r>
      <w:r w:rsidR="003220D6">
        <w:rPr>
          <w:i/>
        </w:rPr>
        <w:t xml:space="preserve">R. v. </w:t>
      </w:r>
      <w:r w:rsidR="003220D6" w:rsidRPr="3263A4C9">
        <w:rPr>
          <w:i/>
          <w:iCs/>
        </w:rPr>
        <w:t>Théroux</w:t>
      </w:r>
      <w:r w:rsidR="002D1316">
        <w:rPr>
          <w:iCs/>
        </w:rPr>
        <w:t xml:space="preserve">, [1993] 2 S.C.R. </w:t>
      </w:r>
      <w:r w:rsidR="003220D6">
        <w:rPr>
          <w:iCs/>
        </w:rPr>
        <w:t xml:space="preserve">5; </w:t>
      </w:r>
      <w:r w:rsidR="00E92A5F" w:rsidRPr="3263A4C9">
        <w:rPr>
          <w:i/>
          <w:iCs/>
        </w:rPr>
        <w:t>R. v.</w:t>
      </w:r>
      <w:r w:rsidR="00E92A5F">
        <w:t xml:space="preserve"> </w:t>
      </w:r>
      <w:r w:rsidR="00E92A5F" w:rsidRPr="3263A4C9">
        <w:rPr>
          <w:i/>
          <w:iCs/>
        </w:rPr>
        <w:t>Vaillancourt</w:t>
      </w:r>
      <w:r w:rsidR="00E92A5F" w:rsidRPr="3263A4C9">
        <w:t>, [1987] 2 S.C.R. 636</w:t>
      </w:r>
      <w:r w:rsidR="00E92A5F">
        <w:t xml:space="preserve">; </w:t>
      </w:r>
      <w:r w:rsidR="009E7FDE" w:rsidRPr="3263A4C9">
        <w:rPr>
          <w:i/>
          <w:iCs/>
          <w:lang w:val="en-US"/>
        </w:rPr>
        <w:t xml:space="preserve">R. v. </w:t>
      </w:r>
      <w:proofErr w:type="spellStart"/>
      <w:r w:rsidR="009E7FDE" w:rsidRPr="3263A4C9">
        <w:rPr>
          <w:i/>
          <w:iCs/>
          <w:lang w:val="en-US"/>
        </w:rPr>
        <w:t>Hundal</w:t>
      </w:r>
      <w:proofErr w:type="spellEnd"/>
      <w:r w:rsidR="009E7FDE" w:rsidRPr="3263A4C9">
        <w:rPr>
          <w:lang w:val="en-US"/>
        </w:rPr>
        <w:t xml:space="preserve">, [1993] 1 </w:t>
      </w:r>
      <w:proofErr w:type="spellStart"/>
      <w:r w:rsidR="009E7FDE" w:rsidRPr="3263A4C9">
        <w:rPr>
          <w:lang w:val="en-US"/>
        </w:rPr>
        <w:t>S.C.R</w:t>
      </w:r>
      <w:proofErr w:type="spellEnd"/>
      <w:r w:rsidR="009E7FDE" w:rsidRPr="3263A4C9">
        <w:rPr>
          <w:lang w:val="en-US"/>
        </w:rPr>
        <w:t>. 867</w:t>
      </w:r>
      <w:r w:rsidR="009E7FDE">
        <w:rPr>
          <w:lang w:val="en-US"/>
        </w:rPr>
        <w:t xml:space="preserve">; </w:t>
      </w:r>
      <w:r w:rsidR="008D37B3" w:rsidRPr="3263A4C9">
        <w:rPr>
          <w:i/>
          <w:iCs/>
          <w:lang w:val="en-US"/>
        </w:rPr>
        <w:t>R. v. Roy</w:t>
      </w:r>
      <w:r w:rsidR="008D37B3">
        <w:t xml:space="preserve">, 2012 SCC 26, [2012] 2 S.C.R. 60; </w:t>
      </w:r>
      <w:r w:rsidR="002D2690" w:rsidRPr="3263A4C9">
        <w:rPr>
          <w:i/>
          <w:iCs/>
          <w:lang w:val="en-US"/>
        </w:rPr>
        <w:t xml:space="preserve">R. v. </w:t>
      </w:r>
      <w:proofErr w:type="spellStart"/>
      <w:r w:rsidR="002D2690" w:rsidRPr="3263A4C9">
        <w:rPr>
          <w:i/>
          <w:iCs/>
          <w:lang w:val="en-US"/>
        </w:rPr>
        <w:t>Penno</w:t>
      </w:r>
      <w:proofErr w:type="spellEnd"/>
      <w:r w:rsidR="002D2690" w:rsidRPr="3263A4C9">
        <w:rPr>
          <w:lang w:val="en-US"/>
        </w:rPr>
        <w:t xml:space="preserve">, [1990] 2 </w:t>
      </w:r>
      <w:proofErr w:type="spellStart"/>
      <w:r w:rsidR="002D2690" w:rsidRPr="3263A4C9">
        <w:rPr>
          <w:lang w:val="en-US"/>
        </w:rPr>
        <w:t>S.C.R</w:t>
      </w:r>
      <w:proofErr w:type="spellEnd"/>
      <w:r w:rsidR="002D2690" w:rsidRPr="3263A4C9">
        <w:rPr>
          <w:lang w:val="en-US"/>
        </w:rPr>
        <w:t>. 865</w:t>
      </w:r>
      <w:r w:rsidR="002D2690">
        <w:rPr>
          <w:lang w:val="en-US"/>
        </w:rPr>
        <w:t xml:space="preserve">; </w:t>
      </w:r>
      <w:r w:rsidR="00C87181" w:rsidRPr="3263A4C9">
        <w:rPr>
          <w:i/>
          <w:iCs/>
        </w:rPr>
        <w:t>R. v. DeSousa</w:t>
      </w:r>
      <w:r w:rsidR="00C87181" w:rsidRPr="3263A4C9">
        <w:t>, [1992] 2 S.C.R. 944</w:t>
      </w:r>
      <w:r w:rsidR="00C87181">
        <w:t xml:space="preserve">; </w:t>
      </w:r>
      <w:r w:rsidR="00B71DD7" w:rsidRPr="3263A4C9">
        <w:rPr>
          <w:i/>
          <w:iCs/>
        </w:rPr>
        <w:t>Canada (Attorney General) v. Bedford</w:t>
      </w:r>
      <w:r w:rsidR="00B71DD7">
        <w:t xml:space="preserve">, 2013 SCC 72, [2013] 3 S.C.R. 1101; </w:t>
      </w:r>
      <w:r w:rsidR="00B24BDE" w:rsidRPr="3263A4C9">
        <w:rPr>
          <w:i/>
          <w:iCs/>
        </w:rPr>
        <w:t>Carter v. Canada (Attorney General)</w:t>
      </w:r>
      <w:r w:rsidR="00B24BDE">
        <w:t xml:space="preserve">, 2015 SCC 5, [2015] 1 S.C.R. 331; </w:t>
      </w:r>
      <w:r w:rsidR="00774781" w:rsidRPr="3263A4C9">
        <w:rPr>
          <w:i/>
          <w:iCs/>
        </w:rPr>
        <w:t>Dagenais v. Canadian Broadcasting Corp</w:t>
      </w:r>
      <w:r w:rsidR="00774781">
        <w:rPr>
          <w:i/>
          <w:iCs/>
        </w:rPr>
        <w:t>.</w:t>
      </w:r>
      <w:r w:rsidR="00774781">
        <w:t xml:space="preserve">, [1994] 3 S.C.R. 835; </w:t>
      </w:r>
      <w:r w:rsidR="00E736C4" w:rsidRPr="3263A4C9">
        <w:rPr>
          <w:i/>
          <w:iCs/>
        </w:rPr>
        <w:t>R. v. Mills</w:t>
      </w:r>
      <w:r w:rsidR="00E736C4">
        <w:t xml:space="preserve">, [1999] 3 S.C.R. 668; </w:t>
      </w:r>
      <w:r w:rsidR="002D1316">
        <w:rPr>
          <w:i/>
        </w:rPr>
        <w:t>R. v. Malmo</w:t>
      </w:r>
      <w:r w:rsidR="002D1316">
        <w:rPr>
          <w:i/>
        </w:rPr>
        <w:noBreakHyphen/>
      </w:r>
      <w:r w:rsidR="00F05A87" w:rsidRPr="00AD0126">
        <w:rPr>
          <w:i/>
        </w:rPr>
        <w:t>Levine</w:t>
      </w:r>
      <w:r w:rsidR="00F05A87" w:rsidRPr="00AD0126">
        <w:t>, 2003 SCC 74, [2003] 3 S.C.R. 571</w:t>
      </w:r>
      <w:r w:rsidR="00F05A87">
        <w:t xml:space="preserve">; </w:t>
      </w:r>
      <w:r w:rsidR="00C12C9C" w:rsidRPr="3263A4C9">
        <w:rPr>
          <w:i/>
          <w:iCs/>
        </w:rPr>
        <w:t>R.</w:t>
      </w:r>
      <w:r w:rsidR="002D1316">
        <w:rPr>
          <w:i/>
          <w:iCs/>
        </w:rPr>
        <w:t xml:space="preserve"> </w:t>
      </w:r>
      <w:r w:rsidR="00C12C9C" w:rsidRPr="3263A4C9">
        <w:rPr>
          <w:i/>
          <w:iCs/>
        </w:rPr>
        <w:t>v. George</w:t>
      </w:r>
      <w:r w:rsidR="00C12C9C">
        <w:t xml:space="preserve">, 2017 SCC 38, [2017] 1 S.C.R. 1021; </w:t>
      </w:r>
      <w:r w:rsidR="00C12C9C" w:rsidRPr="3263A4C9">
        <w:rPr>
          <w:i/>
          <w:iCs/>
        </w:rPr>
        <w:t xml:space="preserve">R. v. </w:t>
      </w:r>
      <w:proofErr w:type="spellStart"/>
      <w:r w:rsidR="00C12C9C" w:rsidRPr="3263A4C9">
        <w:rPr>
          <w:i/>
          <w:iCs/>
        </w:rPr>
        <w:t>Levigne</w:t>
      </w:r>
      <w:proofErr w:type="spellEnd"/>
      <w:r w:rsidR="00C12C9C">
        <w:t>, 2010 SCC 25, [2010] 2 S.C.R. 3;</w:t>
      </w:r>
      <w:r w:rsidR="00422B65" w:rsidRPr="00422B65">
        <w:rPr>
          <w:i/>
          <w:iCs/>
        </w:rPr>
        <w:t xml:space="preserve"> </w:t>
      </w:r>
      <w:r w:rsidR="00422B65" w:rsidRPr="3263A4C9">
        <w:rPr>
          <w:i/>
          <w:iCs/>
        </w:rPr>
        <w:t>R. v. Chaulk</w:t>
      </w:r>
      <w:r w:rsidR="00422B65">
        <w:t>, 2007 NSCA 84</w:t>
      </w:r>
      <w:r w:rsidR="00422B65" w:rsidRPr="3263A4C9">
        <w:t xml:space="preserve">, </w:t>
      </w:r>
      <w:r w:rsidR="00422B65" w:rsidRPr="00DF4F6B">
        <w:t>257 N.S.R. (2d) 99</w:t>
      </w:r>
      <w:r w:rsidR="00422B65">
        <w:t xml:space="preserve">; </w:t>
      </w:r>
      <w:r w:rsidR="00CD1C06" w:rsidRPr="3263A4C9">
        <w:rPr>
          <w:i/>
          <w:iCs/>
          <w:lang w:val="en-US"/>
        </w:rPr>
        <w:t>R. v. Morrison</w:t>
      </w:r>
      <w:r w:rsidR="00CD1C06" w:rsidRPr="3263A4C9">
        <w:rPr>
          <w:lang w:val="en-US"/>
        </w:rPr>
        <w:t>, 2019 SCC 15, [2019] 2 S.C.R. 3</w:t>
      </w:r>
      <w:r w:rsidR="00CD1C06">
        <w:rPr>
          <w:lang w:val="en-US"/>
        </w:rPr>
        <w:t>;</w:t>
      </w:r>
      <w:r w:rsidR="00BD5B6A" w:rsidRPr="00BD5B6A">
        <w:rPr>
          <w:i/>
          <w:iCs/>
        </w:rPr>
        <w:t xml:space="preserve"> </w:t>
      </w:r>
      <w:r w:rsidR="00BD5B6A" w:rsidRPr="3263A4C9">
        <w:rPr>
          <w:i/>
          <w:iCs/>
        </w:rPr>
        <w:t>R. v. Vickberg</w:t>
      </w:r>
      <w:r w:rsidR="00BD5B6A">
        <w:rPr>
          <w:i/>
          <w:iCs/>
        </w:rPr>
        <w:t xml:space="preserve"> </w:t>
      </w:r>
      <w:r w:rsidR="00BD5B6A">
        <w:rPr>
          <w:iCs/>
        </w:rPr>
        <w:t>(1998)</w:t>
      </w:r>
      <w:r w:rsidR="00BD5B6A">
        <w:t>, 16 C.R. (5th) 164;</w:t>
      </w:r>
      <w:r w:rsidR="00190A16">
        <w:t xml:space="preserve"> </w:t>
      </w:r>
      <w:r w:rsidR="00190A16" w:rsidRPr="00AD0126">
        <w:rPr>
          <w:i/>
        </w:rPr>
        <w:t>Ontario v. Canadian Pacific Ltd.</w:t>
      </w:r>
      <w:r w:rsidR="00190A16" w:rsidRPr="00AD0126">
        <w:t>, [1995] 2 S.C.R. 1031</w:t>
      </w:r>
      <w:r w:rsidR="00190A16">
        <w:t xml:space="preserve">; </w:t>
      </w:r>
      <w:r w:rsidR="00701D20" w:rsidRPr="3263A4C9">
        <w:rPr>
          <w:i/>
          <w:iCs/>
        </w:rPr>
        <w:t>R. v. Beatty</w:t>
      </w:r>
      <w:r w:rsidR="002D1316">
        <w:t xml:space="preserve">, 2008 SCC 5, [2008] 1 S.C.R. </w:t>
      </w:r>
      <w:r w:rsidR="00701D20">
        <w:t>49;</w:t>
      </w:r>
      <w:r w:rsidR="00E63185" w:rsidRPr="00E63185">
        <w:rPr>
          <w:i/>
          <w:iCs/>
        </w:rPr>
        <w:t xml:space="preserve"> </w:t>
      </w:r>
      <w:r w:rsidR="00E63185" w:rsidRPr="3263A4C9">
        <w:rPr>
          <w:i/>
          <w:iCs/>
        </w:rPr>
        <w:t>R. v. Cooper</w:t>
      </w:r>
      <w:r w:rsidR="00E63185">
        <w:t>, [1993] 1 S.C.R. 146;</w:t>
      </w:r>
      <w:r w:rsidR="00735F8B" w:rsidRPr="00735F8B">
        <w:rPr>
          <w:i/>
        </w:rPr>
        <w:t xml:space="preserve"> </w:t>
      </w:r>
      <w:r w:rsidR="00DF29E8" w:rsidRPr="3263A4C9">
        <w:rPr>
          <w:i/>
          <w:iCs/>
        </w:rPr>
        <w:t>R. v. K.R.J.</w:t>
      </w:r>
      <w:r w:rsidR="00DF29E8">
        <w:t xml:space="preserve">, 2016 SCC 31, [2016] 1 S.C.R. 906; </w:t>
      </w:r>
      <w:r w:rsidR="00735F8B" w:rsidRPr="00AD0126">
        <w:rPr>
          <w:i/>
        </w:rPr>
        <w:t>Frank v. Canada (Attorney General)</w:t>
      </w:r>
      <w:r w:rsidR="00735F8B" w:rsidRPr="00AD0126">
        <w:t>, 2019 SCC 1, [2019] 1 S.C.R. 3</w:t>
      </w:r>
      <w:r w:rsidR="00735F8B">
        <w:t xml:space="preserve">; </w:t>
      </w:r>
      <w:r w:rsidR="00153B8B">
        <w:rPr>
          <w:i/>
        </w:rPr>
        <w:t xml:space="preserve">Alberta v. </w:t>
      </w:r>
      <w:proofErr w:type="spellStart"/>
      <w:r w:rsidR="00153B8B" w:rsidRPr="3263A4C9">
        <w:rPr>
          <w:i/>
          <w:iCs/>
        </w:rPr>
        <w:t>Hutterian</w:t>
      </w:r>
      <w:proofErr w:type="spellEnd"/>
      <w:r w:rsidR="00153B8B" w:rsidRPr="3263A4C9">
        <w:rPr>
          <w:i/>
          <w:iCs/>
        </w:rPr>
        <w:t xml:space="preserve"> Brethren</w:t>
      </w:r>
      <w:r w:rsidR="00153B8B" w:rsidRPr="00777CB0">
        <w:t xml:space="preserve"> </w:t>
      </w:r>
      <w:r w:rsidR="00153B8B" w:rsidRPr="00394507">
        <w:rPr>
          <w:i/>
        </w:rPr>
        <w:t>of Wilson Colony</w:t>
      </w:r>
      <w:r w:rsidR="00153B8B">
        <w:t>, 2009 SCC 37, [2009] 2 S.C.R. 567;</w:t>
      </w:r>
      <w:r w:rsidR="00097473" w:rsidRPr="00097473">
        <w:rPr>
          <w:i/>
          <w:iCs/>
        </w:rPr>
        <w:t xml:space="preserve"> </w:t>
      </w:r>
      <w:r w:rsidR="00097473" w:rsidRPr="00AD0126">
        <w:rPr>
          <w:i/>
          <w:iCs/>
        </w:rPr>
        <w:t>R. v. Robinson</w:t>
      </w:r>
      <w:r w:rsidR="00097473" w:rsidRPr="00AD0126">
        <w:t>, [1996] 1 S.C.R. 683</w:t>
      </w:r>
      <w:r w:rsidR="00097473">
        <w:t xml:space="preserve">; </w:t>
      </w:r>
      <w:r w:rsidR="002D1316">
        <w:rPr>
          <w:i/>
          <w:iCs/>
        </w:rPr>
        <w:t>RJR</w:t>
      </w:r>
      <w:r w:rsidR="002D1316">
        <w:rPr>
          <w:i/>
          <w:iCs/>
        </w:rPr>
        <w:noBreakHyphen/>
      </w:r>
      <w:r w:rsidR="006D7C9B" w:rsidRPr="3263A4C9">
        <w:rPr>
          <w:i/>
          <w:iCs/>
        </w:rPr>
        <w:t>MacDonald Inc. v. Canada (Attorney General)</w:t>
      </w:r>
      <w:r w:rsidR="006D7C9B">
        <w:t>, [1995] 3 S.C.R. 199;</w:t>
      </w:r>
      <w:r w:rsidR="00630391" w:rsidRPr="00630391">
        <w:rPr>
          <w:i/>
          <w:iCs/>
          <w:lang w:val="en-US"/>
        </w:rPr>
        <w:t xml:space="preserve"> </w:t>
      </w:r>
      <w:r w:rsidR="00630391" w:rsidRPr="00AD0126">
        <w:rPr>
          <w:i/>
          <w:iCs/>
          <w:lang w:val="en-US"/>
        </w:rPr>
        <w:t>Quebec</w:t>
      </w:r>
      <w:r w:rsidR="00630391">
        <w:rPr>
          <w:i/>
          <w:iCs/>
          <w:lang w:val="en-US"/>
        </w:rPr>
        <w:t xml:space="preserve"> (Attorney General)</w:t>
      </w:r>
      <w:r w:rsidR="00630391" w:rsidRPr="00AD0126">
        <w:rPr>
          <w:i/>
          <w:iCs/>
          <w:lang w:val="en-US"/>
        </w:rPr>
        <w:t xml:space="preserve"> v. A</w:t>
      </w:r>
      <w:r w:rsidR="00630391" w:rsidRPr="00AD0126">
        <w:rPr>
          <w:lang w:val="en-US"/>
        </w:rPr>
        <w:t>, 2013 SCC 5, [2013] 1 S.C.R. 61</w:t>
      </w:r>
      <w:r w:rsidR="00630391">
        <w:rPr>
          <w:lang w:val="en-US"/>
        </w:rPr>
        <w:t xml:space="preserve">; </w:t>
      </w:r>
      <w:r w:rsidR="00FA67D2" w:rsidRPr="3263A4C9">
        <w:rPr>
          <w:i/>
          <w:iCs/>
        </w:rPr>
        <w:t>R. v. Martineau</w:t>
      </w:r>
      <w:r w:rsidR="00FA67D2">
        <w:t>, [1990] 2 S.C.R. 633;</w:t>
      </w:r>
      <w:r w:rsidR="00366FDB" w:rsidRPr="00366FDB">
        <w:rPr>
          <w:i/>
          <w:lang w:val="en-US"/>
        </w:rPr>
        <w:t xml:space="preserve"> </w:t>
      </w:r>
      <w:r w:rsidR="00366FDB">
        <w:rPr>
          <w:i/>
          <w:lang w:val="en-US"/>
        </w:rPr>
        <w:t xml:space="preserve">R. v. </w:t>
      </w:r>
      <w:r w:rsidR="00366FDB" w:rsidRPr="3263A4C9">
        <w:rPr>
          <w:i/>
          <w:iCs/>
          <w:lang w:val="en-US"/>
        </w:rPr>
        <w:t>Dunn</w:t>
      </w:r>
      <w:r w:rsidR="00366FDB">
        <w:rPr>
          <w:i/>
          <w:iCs/>
          <w:lang w:val="en-US"/>
        </w:rPr>
        <w:t xml:space="preserve"> </w:t>
      </w:r>
      <w:r w:rsidR="00366FDB">
        <w:rPr>
          <w:iCs/>
          <w:lang w:val="en-US"/>
        </w:rPr>
        <w:t xml:space="preserve">(1999), </w:t>
      </w:r>
      <w:r w:rsidR="00366FDB" w:rsidRPr="00E27FF5">
        <w:rPr>
          <w:iCs/>
          <w:lang w:val="en-US"/>
        </w:rPr>
        <w:t>28 C.R. (5th) 295</w:t>
      </w:r>
      <w:r w:rsidR="00366FDB">
        <w:rPr>
          <w:iCs/>
        </w:rPr>
        <w:t>;</w:t>
      </w:r>
      <w:r w:rsidR="007B4E8E">
        <w:rPr>
          <w:iCs/>
        </w:rPr>
        <w:t xml:space="preserve"> </w:t>
      </w:r>
      <w:r w:rsidR="007B4E8E" w:rsidRPr="3263A4C9">
        <w:rPr>
          <w:i/>
          <w:iCs/>
          <w:lang w:val="en-US"/>
        </w:rPr>
        <w:t>Rodriguez v. British Columbia (Attorney General)</w:t>
      </w:r>
      <w:r w:rsidR="007B4E8E" w:rsidRPr="3263A4C9">
        <w:rPr>
          <w:lang w:val="en-US"/>
        </w:rPr>
        <w:t>, [1993] 3 S.C.R. 519</w:t>
      </w:r>
      <w:r w:rsidR="007B4E8E">
        <w:rPr>
          <w:lang w:val="en-US"/>
        </w:rPr>
        <w:t>;</w:t>
      </w:r>
      <w:r w:rsidR="007D1506">
        <w:rPr>
          <w:lang w:val="en-US"/>
        </w:rPr>
        <w:t xml:space="preserve"> </w:t>
      </w:r>
      <w:r w:rsidR="00592766" w:rsidRPr="3263A4C9">
        <w:rPr>
          <w:i/>
          <w:iCs/>
        </w:rPr>
        <w:t>R. v. Brenton</w:t>
      </w:r>
      <w:r w:rsidR="00592766">
        <w:t xml:space="preserve"> (1999), 180 D.L.R. (4th) 314;</w:t>
      </w:r>
      <w:r w:rsidR="00D9378C" w:rsidRPr="00D9378C">
        <w:rPr>
          <w:i/>
        </w:rPr>
        <w:t xml:space="preserve"> </w:t>
      </w:r>
      <w:r w:rsidR="00D9378C">
        <w:rPr>
          <w:i/>
        </w:rPr>
        <w:t xml:space="preserve">R. v. </w:t>
      </w:r>
      <w:r w:rsidR="00D9378C" w:rsidRPr="00AD0126">
        <w:rPr>
          <w:i/>
        </w:rPr>
        <w:t>Chan</w:t>
      </w:r>
      <w:r w:rsidR="00D9378C">
        <w:t xml:space="preserve">, 2018 ONSC 3849, 365 C.C.C. (3d) 376; </w:t>
      </w:r>
      <w:r w:rsidR="00382F3E" w:rsidRPr="3263A4C9">
        <w:rPr>
          <w:i/>
          <w:iCs/>
          <w:lang w:val="en-US"/>
        </w:rPr>
        <w:t>R. v. Stevens</w:t>
      </w:r>
      <w:r w:rsidR="00382F3E" w:rsidRPr="3263A4C9">
        <w:rPr>
          <w:lang w:val="en-US"/>
        </w:rPr>
        <w:t>, [1988] 1 S.C.R. 1153</w:t>
      </w:r>
      <w:r w:rsidR="00382F3E">
        <w:rPr>
          <w:lang w:val="en-US"/>
        </w:rPr>
        <w:t>;</w:t>
      </w:r>
      <w:r w:rsidR="00BA4A2A" w:rsidRPr="00BA4A2A">
        <w:rPr>
          <w:i/>
          <w:iCs/>
          <w:lang w:val="en-US"/>
        </w:rPr>
        <w:t xml:space="preserve"> </w:t>
      </w:r>
      <w:r w:rsidR="00BA4A2A" w:rsidRPr="3263A4C9">
        <w:rPr>
          <w:i/>
          <w:iCs/>
          <w:lang w:val="en-US"/>
        </w:rPr>
        <w:t>R. v. Hess</w:t>
      </w:r>
      <w:r w:rsidR="00BA4A2A" w:rsidRPr="3263A4C9">
        <w:rPr>
          <w:lang w:val="en-US"/>
        </w:rPr>
        <w:t>, [1990] 2 S.C.R. 906</w:t>
      </w:r>
      <w:r w:rsidR="009918E6">
        <w:rPr>
          <w:lang w:val="en-US"/>
        </w:rPr>
        <w:t>.</w:t>
      </w:r>
    </w:p>
    <w:p w14:paraId="60415038" w14:textId="77777777" w:rsidR="003B215F" w:rsidRDefault="002E6705" w:rsidP="002D1316">
      <w:pPr>
        <w:pStyle w:val="SCCNormalDoubleSpacing"/>
        <w:spacing w:after="720" w:line="240" w:lineRule="auto"/>
      </w:pPr>
      <w:r w:rsidRPr="00314E01">
        <w:rPr>
          <w:b/>
        </w:rPr>
        <w:t>Statutes and Regulations Cite</w:t>
      </w:r>
      <w:r w:rsidR="00A41805">
        <w:rPr>
          <w:b/>
        </w:rPr>
        <w:t>d</w:t>
      </w:r>
    </w:p>
    <w:p w14:paraId="15F7FFFF" w14:textId="6CB8BA13" w:rsidR="00A149DF" w:rsidRDefault="00003B49" w:rsidP="002D1316">
      <w:pPr>
        <w:pStyle w:val="SCCNormalDoubleSpacing"/>
        <w:spacing w:after="240" w:line="240" w:lineRule="auto"/>
        <w:ind w:left="547" w:hanging="547"/>
        <w:rPr>
          <w:lang w:val="en-US"/>
        </w:rPr>
      </w:pPr>
      <w:r w:rsidRPr="00A413D7">
        <w:rPr>
          <w:i/>
          <w:lang w:val="en-US"/>
        </w:rPr>
        <w:t>Act to amend the Criminal Code (self</w:t>
      </w:r>
      <w:r>
        <w:rPr>
          <w:i/>
          <w:lang w:val="en-US"/>
        </w:rPr>
        <w:noBreakHyphen/>
      </w:r>
      <w:r w:rsidRPr="00A413D7">
        <w:rPr>
          <w:i/>
          <w:lang w:val="en-US"/>
        </w:rPr>
        <w:t>induced intoxication)</w:t>
      </w:r>
      <w:r>
        <w:rPr>
          <w:lang w:val="en-US"/>
        </w:rPr>
        <w:t>, S.C. 1995, c. 32</w:t>
      </w:r>
      <w:r w:rsidR="00BD2693">
        <w:rPr>
          <w:lang w:val="en-US"/>
        </w:rPr>
        <w:t>,</w:t>
      </w:r>
      <w:r w:rsidR="00351BF4">
        <w:rPr>
          <w:lang w:val="en-US"/>
        </w:rPr>
        <w:t xml:space="preserve"> preamble</w:t>
      </w:r>
      <w:r>
        <w:rPr>
          <w:lang w:val="en-US"/>
        </w:rPr>
        <w:t>.</w:t>
      </w:r>
    </w:p>
    <w:p w14:paraId="0B47930E" w14:textId="00DACB6F" w:rsidR="005C3667" w:rsidRDefault="005C3667" w:rsidP="002D1316">
      <w:pPr>
        <w:pStyle w:val="SCCNormalDoubleSpacing"/>
        <w:spacing w:after="240" w:line="240" w:lineRule="auto"/>
        <w:ind w:left="547" w:hanging="547"/>
        <w:rPr>
          <w:lang w:val="en-US"/>
        </w:rPr>
      </w:pPr>
      <w:r w:rsidRPr="00474259">
        <w:rPr>
          <w:i/>
          <w:lang w:val="en-US"/>
        </w:rPr>
        <w:t>Canadian Charter of Rights and Freedoms</w:t>
      </w:r>
      <w:r>
        <w:rPr>
          <w:lang w:val="en-US"/>
        </w:rPr>
        <w:t>, ss. </w:t>
      </w:r>
      <w:r w:rsidR="000248AA">
        <w:rPr>
          <w:lang w:val="en-US"/>
        </w:rPr>
        <w:t xml:space="preserve">1, </w:t>
      </w:r>
      <w:r w:rsidR="00514255">
        <w:rPr>
          <w:lang w:val="en-US"/>
        </w:rPr>
        <w:t>7, 11</w:t>
      </w:r>
      <w:r w:rsidR="007E7240">
        <w:rPr>
          <w:lang w:val="en-US"/>
        </w:rPr>
        <w:t>, 15, 28</w:t>
      </w:r>
      <w:r>
        <w:rPr>
          <w:lang w:val="en-US"/>
        </w:rPr>
        <w:t>.</w:t>
      </w:r>
    </w:p>
    <w:p w14:paraId="3EFC31B4" w14:textId="69BB2C3B" w:rsidR="00081E0D" w:rsidRPr="00FB25BE" w:rsidRDefault="00081E0D" w:rsidP="002D1316">
      <w:pPr>
        <w:pStyle w:val="SCCNormalDoubleSpacing"/>
        <w:spacing w:after="240" w:line="240" w:lineRule="auto"/>
        <w:ind w:left="547" w:hanging="547"/>
        <w:rPr>
          <w:lang w:val="en-US"/>
        </w:rPr>
      </w:pPr>
      <w:r w:rsidRPr="0076186C">
        <w:rPr>
          <w:i/>
          <w:lang w:val="en-US"/>
        </w:rPr>
        <w:t>Constitution Act, 1982</w:t>
      </w:r>
      <w:r>
        <w:rPr>
          <w:lang w:val="en-US"/>
        </w:rPr>
        <w:t>, s. 52.</w:t>
      </w:r>
    </w:p>
    <w:p w14:paraId="0604F035" w14:textId="0D81CEA2" w:rsidR="00AC0C26" w:rsidRPr="00FB25BE" w:rsidRDefault="00AC0C26" w:rsidP="002D1316">
      <w:pPr>
        <w:pStyle w:val="SCCNormalDoubleSpacing"/>
        <w:spacing w:after="720" w:line="240" w:lineRule="auto"/>
        <w:ind w:left="547" w:hanging="547"/>
        <w:rPr>
          <w:lang w:val="en-US"/>
        </w:rPr>
      </w:pPr>
      <w:r w:rsidRPr="00FB25BE">
        <w:rPr>
          <w:i/>
          <w:lang w:val="en-US"/>
        </w:rPr>
        <w:t>Criminal Code</w:t>
      </w:r>
      <w:r w:rsidRPr="00FB25BE">
        <w:rPr>
          <w:lang w:val="en-US"/>
        </w:rPr>
        <w:t>, R.S.C. 1985, c. C</w:t>
      </w:r>
      <w:r w:rsidRPr="00FB25BE">
        <w:rPr>
          <w:lang w:val="en-US"/>
        </w:rPr>
        <w:noBreakHyphen/>
        <w:t xml:space="preserve">46, </w:t>
      </w:r>
      <w:r w:rsidR="002367F3">
        <w:rPr>
          <w:lang w:val="en-US"/>
        </w:rPr>
        <w:t xml:space="preserve">Part I, </w:t>
      </w:r>
      <w:r w:rsidRPr="00FB25BE">
        <w:rPr>
          <w:lang w:val="en-US"/>
        </w:rPr>
        <w:t>s. 33.1.</w:t>
      </w:r>
    </w:p>
    <w:p w14:paraId="25A4E7EC" w14:textId="77777777" w:rsidR="002E6705" w:rsidRDefault="002E6705" w:rsidP="002D1316">
      <w:pPr>
        <w:pStyle w:val="SCCNormalDoubleSpacing"/>
        <w:spacing w:after="720" w:line="240" w:lineRule="auto"/>
        <w:rPr>
          <w:b/>
        </w:rPr>
      </w:pPr>
      <w:r w:rsidRPr="00314E01">
        <w:rPr>
          <w:b/>
        </w:rPr>
        <w:t>Authors Cited</w:t>
      </w:r>
    </w:p>
    <w:p w14:paraId="049B121B" w14:textId="34C1D793" w:rsidR="00522B17" w:rsidRDefault="00522B17" w:rsidP="002D1316">
      <w:pPr>
        <w:pStyle w:val="SCCNormalDoubleSpacing"/>
        <w:spacing w:after="240" w:line="240" w:lineRule="auto"/>
        <w:ind w:left="540" w:hanging="540"/>
      </w:pPr>
      <w:r w:rsidRPr="00AD0126">
        <w:t>Baker</w:t>
      </w:r>
      <w:r>
        <w:t xml:space="preserve">, </w:t>
      </w:r>
      <w:r w:rsidRPr="00522B17">
        <w:t>Dennis</w:t>
      </w:r>
      <w:r>
        <w:t xml:space="preserve">, and </w:t>
      </w:r>
      <w:r w:rsidRPr="00522B17">
        <w:t>Rainer</w:t>
      </w:r>
      <w:r w:rsidR="002D1316">
        <w:t xml:space="preserve"> </w:t>
      </w:r>
      <w:proofErr w:type="spellStart"/>
      <w:r w:rsidRPr="00AD0126">
        <w:t>Knopff</w:t>
      </w:r>
      <w:proofErr w:type="spellEnd"/>
      <w:r>
        <w:t>.</w:t>
      </w:r>
      <w:r w:rsidRPr="00AD0126">
        <w:t xml:space="preserve"> “</w:t>
      </w:r>
      <w:r w:rsidRPr="00501CC0">
        <w:rPr>
          <w:i/>
        </w:rPr>
        <w:t>Daviault</w:t>
      </w:r>
      <w:r w:rsidRPr="00AD0126">
        <w:t xml:space="preserve"> Dialogue: The Strange Journey of Canada’s Intoxication Defence” (2014)</w:t>
      </w:r>
      <w:r>
        <w:t>,</w:t>
      </w:r>
      <w:r w:rsidRPr="00AD0126">
        <w:t xml:space="preserve"> 19 </w:t>
      </w:r>
      <w:r w:rsidRPr="00501CC0">
        <w:rPr>
          <w:i/>
        </w:rPr>
        <w:t>Rev. Const. Stud.</w:t>
      </w:r>
      <w:r w:rsidRPr="00AD0126">
        <w:t xml:space="preserve"> 35</w:t>
      </w:r>
      <w:r>
        <w:t>.</w:t>
      </w:r>
    </w:p>
    <w:p w14:paraId="1BD22EF4" w14:textId="15C6E02E" w:rsidR="0054392B" w:rsidRDefault="0054392B" w:rsidP="002D1316">
      <w:pPr>
        <w:pStyle w:val="SCCNormalDoubleSpacing"/>
        <w:spacing w:after="240" w:line="240" w:lineRule="auto"/>
        <w:ind w:left="540" w:hanging="540"/>
        <w:rPr>
          <w:lang w:val="en-US"/>
        </w:rPr>
      </w:pPr>
      <w:r>
        <w:rPr>
          <w:lang w:val="en-US"/>
        </w:rPr>
        <w:t xml:space="preserve">Canada. </w:t>
      </w:r>
      <w:r>
        <w:t xml:space="preserve">Department of Justice. </w:t>
      </w:r>
      <w:r w:rsidR="002D1316">
        <w:rPr>
          <w:i/>
        </w:rPr>
        <w:t>Self</w:t>
      </w:r>
      <w:r w:rsidR="002D1316">
        <w:rPr>
          <w:i/>
        </w:rPr>
        <w:noBreakHyphen/>
      </w:r>
      <w:r w:rsidRPr="00BA0108">
        <w:rPr>
          <w:i/>
        </w:rPr>
        <w:t>Induced Intoxication as Criminal Fault: Information Note</w:t>
      </w:r>
      <w:r>
        <w:t>. Ottawa, 1995.</w:t>
      </w:r>
    </w:p>
    <w:p w14:paraId="0C6CE921" w14:textId="5196369A" w:rsidR="00E265A8" w:rsidRDefault="00E265A8" w:rsidP="002D1316">
      <w:pPr>
        <w:pStyle w:val="SCCNormalDoubleSpacing"/>
        <w:spacing w:after="240" w:line="240" w:lineRule="auto"/>
        <w:ind w:left="540" w:hanging="540"/>
        <w:rPr>
          <w:lang w:val="en-US"/>
        </w:rPr>
      </w:pPr>
      <w:r>
        <w:rPr>
          <w:lang w:val="en-US"/>
        </w:rPr>
        <w:t xml:space="preserve">Canada. House of Commons. </w:t>
      </w:r>
      <w:r w:rsidRPr="00051321">
        <w:rPr>
          <w:i/>
          <w:lang w:val="en-US"/>
        </w:rPr>
        <w:t>H</w:t>
      </w:r>
      <w:r>
        <w:rPr>
          <w:i/>
          <w:lang w:val="en-US"/>
        </w:rPr>
        <w:t>ouse of Commons Debates</w:t>
      </w:r>
      <w:r>
        <w:rPr>
          <w:lang w:val="en-US"/>
        </w:rPr>
        <w:t>, vol. 133, No. 177, 1st Sess., 35th P</w:t>
      </w:r>
      <w:r w:rsidR="002D1316">
        <w:rPr>
          <w:lang w:val="en-US"/>
        </w:rPr>
        <w:t>arl., March 27, 1995, pp. 11037</w:t>
      </w:r>
      <w:r w:rsidR="002D1316">
        <w:rPr>
          <w:lang w:val="en-US"/>
        </w:rPr>
        <w:noBreakHyphen/>
      </w:r>
      <w:r>
        <w:rPr>
          <w:lang w:val="en-US"/>
        </w:rPr>
        <w:t>39.</w:t>
      </w:r>
    </w:p>
    <w:p w14:paraId="5AB6F534" w14:textId="13552EC2" w:rsidR="000248AA" w:rsidRDefault="000248AA" w:rsidP="002D1316">
      <w:pPr>
        <w:pStyle w:val="SCCNormalDoubleSpacing"/>
        <w:spacing w:after="240" w:line="240" w:lineRule="auto"/>
        <w:ind w:left="540" w:hanging="540"/>
        <w:rPr>
          <w:lang w:val="en-US"/>
        </w:rPr>
      </w:pPr>
      <w:r>
        <w:rPr>
          <w:lang w:val="en-US"/>
        </w:rPr>
        <w:t xml:space="preserve">Canada. House of Commons. </w:t>
      </w:r>
      <w:r w:rsidRPr="00051321">
        <w:rPr>
          <w:i/>
          <w:lang w:val="en-US"/>
        </w:rPr>
        <w:t>H</w:t>
      </w:r>
      <w:r>
        <w:rPr>
          <w:i/>
          <w:lang w:val="en-US"/>
        </w:rPr>
        <w:t>ouse of Commons Debates</w:t>
      </w:r>
      <w:r>
        <w:rPr>
          <w:lang w:val="en-US"/>
        </w:rPr>
        <w:t>, vol. 133, No. 2</w:t>
      </w:r>
      <w:r w:rsidR="002D1316">
        <w:rPr>
          <w:lang w:val="en-US"/>
        </w:rPr>
        <w:t xml:space="preserve">24, 1st Sess., 35th Parl., June </w:t>
      </w:r>
      <w:r>
        <w:rPr>
          <w:lang w:val="en-US"/>
        </w:rPr>
        <w:t>22,</w:t>
      </w:r>
      <w:r w:rsidR="006B1025">
        <w:rPr>
          <w:lang w:val="en-US"/>
        </w:rPr>
        <w:t xml:space="preserve"> </w:t>
      </w:r>
      <w:r>
        <w:rPr>
          <w:lang w:val="en-US"/>
        </w:rPr>
        <w:t>1995, p. 14470.</w:t>
      </w:r>
    </w:p>
    <w:p w14:paraId="70A81C4B" w14:textId="78CEEDF8" w:rsidR="00337D96" w:rsidRDefault="00337D96" w:rsidP="002D1316">
      <w:pPr>
        <w:pStyle w:val="SCCNormalDoubleSpacing"/>
        <w:spacing w:after="240" w:line="240" w:lineRule="auto"/>
        <w:ind w:left="540" w:hanging="540"/>
        <w:rPr>
          <w:lang w:val="en-US"/>
        </w:rPr>
      </w:pPr>
      <w:r>
        <w:rPr>
          <w:lang w:val="en-US"/>
        </w:rPr>
        <w:t xml:space="preserve">Canada. House of Commons. </w:t>
      </w:r>
      <w:r>
        <w:t xml:space="preserve">Standing Committee on Justice and Legal Affairs. </w:t>
      </w:r>
      <w:r>
        <w:rPr>
          <w:i/>
        </w:rPr>
        <w:t>Evidence</w:t>
      </w:r>
      <w:r>
        <w:t>, No. 1</w:t>
      </w:r>
      <w:r w:rsidR="002D1316">
        <w:t>61, 1st Sess., 35th Parl., June 13, 1995, pp. 22</w:t>
      </w:r>
      <w:r w:rsidR="002D1316">
        <w:noBreakHyphen/>
      </w:r>
      <w:r w:rsidR="00DD18BB">
        <w:t>25</w:t>
      </w:r>
      <w:r>
        <w:t>.</w:t>
      </w:r>
    </w:p>
    <w:p w14:paraId="62FDCED0" w14:textId="12645ACE" w:rsidR="0061393C" w:rsidRDefault="0061393C" w:rsidP="002D1316">
      <w:pPr>
        <w:pStyle w:val="SCCNormalDoubleSpacing"/>
        <w:spacing w:after="240" w:line="240" w:lineRule="auto"/>
        <w:ind w:left="540" w:hanging="540"/>
      </w:pPr>
      <w:r>
        <w:rPr>
          <w:lang w:val="en-US"/>
        </w:rPr>
        <w:t xml:space="preserve">Canada. House of Commons. </w:t>
      </w:r>
      <w:r>
        <w:t xml:space="preserve">Standing Committee on Justice and Legal Affairs. </w:t>
      </w:r>
      <w:r>
        <w:rPr>
          <w:i/>
        </w:rPr>
        <w:t xml:space="preserve">Minutes of Proceedings and Evidence of </w:t>
      </w:r>
      <w:r w:rsidRPr="00041026">
        <w:rPr>
          <w:i/>
        </w:rPr>
        <w:t>the Standing Committee on Justice and Legal Affairs</w:t>
      </w:r>
      <w:r>
        <w:t>,</w:t>
      </w:r>
      <w:r>
        <w:rPr>
          <w:i/>
        </w:rPr>
        <w:t xml:space="preserve"> </w:t>
      </w:r>
      <w:r>
        <w:t>No. 9</w:t>
      </w:r>
      <w:r w:rsidR="002D1316">
        <w:t xml:space="preserve">8, 1st Sess., 35th Parl., April </w:t>
      </w:r>
      <w:r>
        <w:t xml:space="preserve">6, 1995, </w:t>
      </w:r>
      <w:r w:rsidR="00F35809">
        <w:t>p</w:t>
      </w:r>
      <w:r>
        <w:t>p. </w:t>
      </w:r>
      <w:r w:rsidR="00F35809">
        <w:t xml:space="preserve">6, </w:t>
      </w:r>
      <w:r>
        <w:t>17.</w:t>
      </w:r>
    </w:p>
    <w:p w14:paraId="3577F07C" w14:textId="43A85456" w:rsidR="003046E4" w:rsidRDefault="003046E4" w:rsidP="002D1316">
      <w:pPr>
        <w:pStyle w:val="SCCNormalDoubleSpacing"/>
        <w:spacing w:after="240" w:line="240" w:lineRule="auto"/>
        <w:ind w:left="540" w:hanging="540"/>
        <w:rPr>
          <w:lang w:val="en-US"/>
        </w:rPr>
      </w:pPr>
      <w:r w:rsidRPr="3263A4C9">
        <w:rPr>
          <w:color w:val="000000"/>
          <w:lang w:val="en-US"/>
        </w:rPr>
        <w:t>Chapman,</w:t>
      </w:r>
      <w:r w:rsidR="0047355B">
        <w:rPr>
          <w:color w:val="000000"/>
          <w:lang w:val="en-US"/>
        </w:rPr>
        <w:t xml:space="preserve"> Frances </w:t>
      </w:r>
      <w:r>
        <w:rPr>
          <w:color w:val="000000"/>
          <w:lang w:val="en-US"/>
        </w:rPr>
        <w:t>E.</w:t>
      </w:r>
      <w:r w:rsidRPr="3263A4C9">
        <w:rPr>
          <w:color w:val="000000"/>
          <w:lang w:val="en-US"/>
        </w:rPr>
        <w:t xml:space="preserve"> “</w:t>
      </w:r>
      <w:r w:rsidRPr="3263A4C9">
        <w:rPr>
          <w:i/>
          <w:iCs/>
          <w:color w:val="000000"/>
          <w:lang w:val="en-US"/>
        </w:rPr>
        <w:t>Sullivan</w:t>
      </w:r>
      <w:r w:rsidRPr="3263A4C9">
        <w:rPr>
          <w:color w:val="000000"/>
          <w:lang w:val="en-US"/>
        </w:rPr>
        <w:t xml:space="preserve">. Specific and General Intent be Damned: Volition Missing and </w:t>
      </w:r>
      <w:r w:rsidRPr="3263A4C9">
        <w:rPr>
          <w:i/>
          <w:iCs/>
          <w:color w:val="000000"/>
          <w:lang w:val="en-US"/>
        </w:rPr>
        <w:t>Mens Rea</w:t>
      </w:r>
      <w:r w:rsidRPr="3263A4C9">
        <w:rPr>
          <w:color w:val="000000"/>
          <w:lang w:val="en-US"/>
        </w:rPr>
        <w:t xml:space="preserve"> Incomplete” (2020)</w:t>
      </w:r>
      <w:r>
        <w:rPr>
          <w:color w:val="000000"/>
          <w:lang w:val="en-US"/>
        </w:rPr>
        <w:t>,</w:t>
      </w:r>
      <w:r w:rsidRPr="3263A4C9">
        <w:rPr>
          <w:color w:val="000000"/>
          <w:lang w:val="en-US"/>
        </w:rPr>
        <w:t xml:space="preserve"> 63 C.R. (7th) 164</w:t>
      </w:r>
      <w:r>
        <w:rPr>
          <w:color w:val="000000"/>
          <w:lang w:val="en-US"/>
        </w:rPr>
        <w:t>.</w:t>
      </w:r>
    </w:p>
    <w:p w14:paraId="23B6791E" w14:textId="38B0F7B3" w:rsidR="004209E7" w:rsidRDefault="004209E7" w:rsidP="002D1316">
      <w:pPr>
        <w:pStyle w:val="SCCNormalDoubleSpacing"/>
        <w:spacing w:after="240" w:line="240" w:lineRule="auto"/>
        <w:ind w:left="540" w:hanging="540"/>
        <w:rPr>
          <w:lang w:val="en-US"/>
        </w:rPr>
      </w:pPr>
      <w:r w:rsidRPr="3263A4C9">
        <w:rPr>
          <w:lang w:val="en-US"/>
        </w:rPr>
        <w:t>Coughl</w:t>
      </w:r>
      <w:r>
        <w:rPr>
          <w:lang w:val="en-US"/>
        </w:rPr>
        <w:t>a</w:t>
      </w:r>
      <w:r w:rsidRPr="3263A4C9">
        <w:rPr>
          <w:lang w:val="en-US"/>
        </w:rPr>
        <w:t>n,</w:t>
      </w:r>
      <w:r>
        <w:rPr>
          <w:lang w:val="en-US"/>
        </w:rPr>
        <w:t xml:space="preserve"> Steve.</w:t>
      </w:r>
      <w:r w:rsidRPr="3263A4C9">
        <w:rPr>
          <w:lang w:val="en-US"/>
        </w:rPr>
        <w:t xml:space="preserve"> “</w:t>
      </w:r>
      <w:r w:rsidRPr="3263A4C9">
        <w:rPr>
          <w:i/>
          <w:iCs/>
          <w:lang w:val="en-US"/>
        </w:rPr>
        <w:t>Sullivan</w:t>
      </w:r>
      <w:r w:rsidRPr="3263A4C9">
        <w:rPr>
          <w:lang w:val="en-US"/>
        </w:rPr>
        <w:t xml:space="preserve">: </w:t>
      </w:r>
      <w:r>
        <w:rPr>
          <w:lang w:val="en-US"/>
        </w:rPr>
        <w:t>Can a</w:t>
      </w:r>
      <w:r w:rsidR="00612DC7">
        <w:rPr>
          <w:lang w:val="en-US"/>
        </w:rPr>
        <w:t xml:space="preserve"> Section </w:t>
      </w:r>
      <w:r>
        <w:rPr>
          <w:lang w:val="en-US"/>
        </w:rPr>
        <w:t xml:space="preserve">7 Violation Ever be Saved </w:t>
      </w:r>
      <w:proofErr w:type="gramStart"/>
      <w:r>
        <w:rPr>
          <w:lang w:val="en-US"/>
        </w:rPr>
        <w:t>Under</w:t>
      </w:r>
      <w:proofErr w:type="gramEnd"/>
      <w:r>
        <w:rPr>
          <w:lang w:val="en-US"/>
        </w:rPr>
        <w:t xml:space="preserve"> Section </w:t>
      </w:r>
      <w:r w:rsidRPr="3263A4C9">
        <w:rPr>
          <w:lang w:val="en-US"/>
        </w:rPr>
        <w:t>1?” (2020)</w:t>
      </w:r>
      <w:r>
        <w:rPr>
          <w:lang w:val="en-US"/>
        </w:rPr>
        <w:t>,</w:t>
      </w:r>
      <w:r w:rsidRPr="3263A4C9">
        <w:rPr>
          <w:lang w:val="en-US"/>
        </w:rPr>
        <w:t xml:space="preserve"> 63 </w:t>
      </w:r>
      <w:r w:rsidRPr="00C64FF0">
        <w:rPr>
          <w:lang w:val="en-US"/>
        </w:rPr>
        <w:t>C.R.</w:t>
      </w:r>
      <w:r w:rsidRPr="3263A4C9">
        <w:rPr>
          <w:lang w:val="en-US"/>
        </w:rPr>
        <w:t xml:space="preserve"> (7th) 157</w:t>
      </w:r>
      <w:r>
        <w:rPr>
          <w:lang w:val="en-US"/>
        </w:rPr>
        <w:t>.</w:t>
      </w:r>
    </w:p>
    <w:p w14:paraId="7B06C1E9" w14:textId="20FEF9B0" w:rsidR="00A771B7" w:rsidRDefault="00A771B7" w:rsidP="002D1316">
      <w:pPr>
        <w:pStyle w:val="SCCNormalDoubleSpacing"/>
        <w:spacing w:after="240" w:line="240" w:lineRule="auto"/>
        <w:ind w:left="540" w:hanging="540"/>
        <w:rPr>
          <w:lang w:val="en-US"/>
        </w:rPr>
      </w:pPr>
      <w:r w:rsidRPr="00AD0126">
        <w:rPr>
          <w:lang w:val="en-US"/>
        </w:rPr>
        <w:t>Dimock,</w:t>
      </w:r>
      <w:r>
        <w:rPr>
          <w:lang w:val="en-US"/>
        </w:rPr>
        <w:t xml:space="preserve"> Susan.</w:t>
      </w:r>
      <w:r w:rsidRPr="00AD0126">
        <w:rPr>
          <w:lang w:val="en-US"/>
        </w:rPr>
        <w:t xml:space="preserve"> </w:t>
      </w:r>
      <w:r w:rsidRPr="00AD0126">
        <w:t>“</w:t>
      </w:r>
      <w:proofErr w:type="spellStart"/>
      <w:r w:rsidRPr="00AD0126">
        <w:rPr>
          <w:lang w:val="en-US"/>
        </w:rPr>
        <w:t>Actio</w:t>
      </w:r>
      <w:proofErr w:type="spellEnd"/>
      <w:r w:rsidRPr="00AD0126">
        <w:rPr>
          <w:lang w:val="en-US"/>
        </w:rPr>
        <w:t xml:space="preserve"> </w:t>
      </w:r>
      <w:proofErr w:type="spellStart"/>
      <w:r w:rsidRPr="00AD0126">
        <w:rPr>
          <w:lang w:val="en-US"/>
        </w:rPr>
        <w:t>Libera</w:t>
      </w:r>
      <w:proofErr w:type="spellEnd"/>
      <w:r w:rsidRPr="00AD0126">
        <w:rPr>
          <w:lang w:val="en-US"/>
        </w:rPr>
        <w:t xml:space="preserve"> in Causa</w:t>
      </w:r>
      <w:r w:rsidRPr="00AD0126">
        <w:t>”</w:t>
      </w:r>
      <w:r w:rsidRPr="00AD0126">
        <w:rPr>
          <w:lang w:val="en-US"/>
        </w:rPr>
        <w:t xml:space="preserve"> (2013)</w:t>
      </w:r>
      <w:r>
        <w:rPr>
          <w:lang w:val="en-US"/>
        </w:rPr>
        <w:t>,</w:t>
      </w:r>
      <w:r w:rsidRPr="00AD0126">
        <w:rPr>
          <w:lang w:val="en-US"/>
        </w:rPr>
        <w:t xml:space="preserve"> </w:t>
      </w:r>
      <w:r>
        <w:rPr>
          <w:lang w:val="en-US"/>
        </w:rPr>
        <w:t xml:space="preserve">7 </w:t>
      </w:r>
      <w:r w:rsidRPr="009C6B35">
        <w:rPr>
          <w:i/>
          <w:lang w:val="en-US"/>
        </w:rPr>
        <w:t>Crim. Law and Philos.</w:t>
      </w:r>
      <w:r w:rsidRPr="00AD0126">
        <w:rPr>
          <w:lang w:val="en-US"/>
        </w:rPr>
        <w:t xml:space="preserve"> </w:t>
      </w:r>
      <w:r>
        <w:rPr>
          <w:lang w:val="en-US"/>
        </w:rPr>
        <w:t>549.</w:t>
      </w:r>
    </w:p>
    <w:p w14:paraId="56919C52" w14:textId="4744D0A9" w:rsidR="00E87000" w:rsidRDefault="00E87000" w:rsidP="002D1316">
      <w:pPr>
        <w:pStyle w:val="SCCNormalDoubleSpacing"/>
        <w:spacing w:after="240" w:line="240" w:lineRule="auto"/>
        <w:ind w:left="540" w:hanging="540"/>
        <w:rPr>
          <w:lang w:val="en-US"/>
        </w:rPr>
      </w:pPr>
      <w:r w:rsidRPr="006A22E8">
        <w:t>Ferguson,</w:t>
      </w:r>
      <w:r w:rsidRPr="00E87000">
        <w:t xml:space="preserve"> </w:t>
      </w:r>
      <w:r>
        <w:t>Gerry.</w:t>
      </w:r>
      <w:r w:rsidRPr="006A22E8">
        <w:t xml:space="preserve"> “The Intoxication Defence: Constitutionally Impaired and in Need of Rehabilitation” (2012)</w:t>
      </w:r>
      <w:r>
        <w:t>,</w:t>
      </w:r>
      <w:r w:rsidRPr="006A22E8">
        <w:t xml:space="preserve"> 57 </w:t>
      </w:r>
      <w:r w:rsidRPr="00C069EB">
        <w:rPr>
          <w:i/>
        </w:rPr>
        <w:t>S.C.L.R.</w:t>
      </w:r>
      <w:r>
        <w:t xml:space="preserve"> (2d)</w:t>
      </w:r>
      <w:r w:rsidRPr="006A22E8">
        <w:t xml:space="preserve"> 111</w:t>
      </w:r>
      <w:r>
        <w:t>.</w:t>
      </w:r>
    </w:p>
    <w:p w14:paraId="67E07EB4" w14:textId="3D768AAE" w:rsidR="00DD58B2" w:rsidRDefault="00DD58B2" w:rsidP="002D1316">
      <w:pPr>
        <w:pStyle w:val="SCCNormalDoubleSpacing"/>
        <w:spacing w:after="240" w:line="240" w:lineRule="auto"/>
        <w:ind w:left="540" w:hanging="540"/>
        <w:rPr>
          <w:lang w:val="en-US"/>
        </w:rPr>
      </w:pPr>
      <w:r w:rsidRPr="3263A4C9">
        <w:rPr>
          <w:lang w:val="en-US"/>
        </w:rPr>
        <w:t>Gardner,</w:t>
      </w:r>
      <w:r>
        <w:rPr>
          <w:lang w:val="en-US"/>
        </w:rPr>
        <w:t xml:space="preserve"> John.</w:t>
      </w:r>
      <w:r w:rsidRPr="3263A4C9">
        <w:rPr>
          <w:lang w:val="en-US"/>
        </w:rPr>
        <w:t xml:space="preserve"> </w:t>
      </w:r>
      <w:r w:rsidRPr="3263A4C9">
        <w:rPr>
          <w:i/>
          <w:iCs/>
          <w:lang w:val="en-US"/>
        </w:rPr>
        <w:t>Offences and Defences</w:t>
      </w:r>
      <w:r>
        <w:rPr>
          <w:i/>
          <w:iCs/>
          <w:lang w:val="en-US"/>
        </w:rPr>
        <w:t>: Selected Essays in the Philosophy of Criminal Law</w:t>
      </w:r>
      <w:r>
        <w:rPr>
          <w:lang w:val="en-US"/>
        </w:rPr>
        <w:t xml:space="preserve">. New York: Oxford University Press, </w:t>
      </w:r>
      <w:r w:rsidRPr="3263A4C9">
        <w:rPr>
          <w:lang w:val="en-US"/>
        </w:rPr>
        <w:t>2007</w:t>
      </w:r>
      <w:r>
        <w:rPr>
          <w:lang w:val="en-US"/>
        </w:rPr>
        <w:t>.</w:t>
      </w:r>
    </w:p>
    <w:p w14:paraId="1C0FECF2" w14:textId="71D695F4" w:rsidR="00AE43B4" w:rsidRDefault="00AE43B4" w:rsidP="002D1316">
      <w:pPr>
        <w:pStyle w:val="SCCNormalDoubleSpacing"/>
        <w:spacing w:after="240" w:line="240" w:lineRule="auto"/>
        <w:ind w:left="540" w:hanging="540"/>
        <w:rPr>
          <w:lang w:val="en-US"/>
        </w:rPr>
      </w:pPr>
      <w:r>
        <w:rPr>
          <w:lang w:val="en-US"/>
        </w:rPr>
        <w:t xml:space="preserve">Grant, </w:t>
      </w:r>
      <w:r w:rsidR="002D1316">
        <w:rPr>
          <w:lang w:val="en-US"/>
        </w:rPr>
        <w:t>Isabel. “Second Chances: Bill C</w:t>
      </w:r>
      <w:r w:rsidR="002D1316">
        <w:rPr>
          <w:lang w:val="en-US"/>
        </w:rPr>
        <w:noBreakHyphen/>
      </w:r>
      <w:r>
        <w:rPr>
          <w:lang w:val="en-US"/>
        </w:rPr>
        <w:t xml:space="preserve">72 and the </w:t>
      </w:r>
      <w:r w:rsidRPr="00AF79C4">
        <w:rPr>
          <w:i/>
          <w:lang w:val="en-US"/>
        </w:rPr>
        <w:t>Charter</w:t>
      </w:r>
      <w:r>
        <w:rPr>
          <w:lang w:val="en-US"/>
        </w:rPr>
        <w:t xml:space="preserve">” (1995), 33 </w:t>
      </w:r>
      <w:r w:rsidRPr="3263A4C9">
        <w:rPr>
          <w:i/>
          <w:iCs/>
          <w:lang w:val="en-US"/>
        </w:rPr>
        <w:t>Osgoode Hall L.J.</w:t>
      </w:r>
      <w:r>
        <w:rPr>
          <w:lang w:val="en-US"/>
        </w:rPr>
        <w:t xml:space="preserve"> 379.</w:t>
      </w:r>
    </w:p>
    <w:p w14:paraId="46A1C46C" w14:textId="26323D77" w:rsidR="00AC6DDE" w:rsidRDefault="00AC6DDE" w:rsidP="002D1316">
      <w:pPr>
        <w:pStyle w:val="SCCNormalDoubleSpacing"/>
        <w:spacing w:after="240" w:line="240" w:lineRule="auto"/>
        <w:ind w:left="540" w:hanging="540"/>
      </w:pPr>
      <w:r>
        <w:t>Grant</w:t>
      </w:r>
      <w:r>
        <w:rPr>
          <w:lang w:val="en-US"/>
        </w:rPr>
        <w:t>, Isabel.</w:t>
      </w:r>
      <w:r>
        <w:t xml:space="preserve"> “The Limits of </w:t>
      </w:r>
      <w:r w:rsidRPr="00E34B92">
        <w:rPr>
          <w:iCs/>
        </w:rPr>
        <w:t>Daviault</w:t>
      </w:r>
      <w:r>
        <w:t xml:space="preserve">” (1995), 33 </w:t>
      </w:r>
      <w:r w:rsidRPr="00C64FF0">
        <w:t>C.R.</w:t>
      </w:r>
      <w:r>
        <w:t xml:space="preserve"> (4th) 277.</w:t>
      </w:r>
    </w:p>
    <w:p w14:paraId="153E2272" w14:textId="6768E43E" w:rsidR="00BF03A0" w:rsidRDefault="00BF03A0" w:rsidP="002D1316">
      <w:pPr>
        <w:pStyle w:val="SCCNormalDoubleSpacing"/>
        <w:spacing w:after="240" w:line="240" w:lineRule="auto"/>
        <w:ind w:left="540" w:hanging="540"/>
      </w:pPr>
      <w:r w:rsidRPr="00AD0126">
        <w:t>Healy,</w:t>
      </w:r>
      <w:r>
        <w:t xml:space="preserve"> </w:t>
      </w:r>
      <w:r w:rsidRPr="00BF03A0">
        <w:t>Patrick</w:t>
      </w:r>
      <w:r>
        <w:t>.</w:t>
      </w:r>
      <w:r w:rsidRPr="00AD0126">
        <w:t xml:space="preserve"> “</w:t>
      </w:r>
      <w:r w:rsidRPr="006400A0">
        <w:t>Criminal Reports Forum on Daviault: Extreme Intoxication Akin to Automatism Defence to Sexual Assault</w:t>
      </w:r>
      <w:r>
        <w:t xml:space="preserve"> — </w:t>
      </w:r>
      <w:proofErr w:type="gramStart"/>
      <w:r w:rsidRPr="00AD0126">
        <w:t>Another</w:t>
      </w:r>
      <w:proofErr w:type="gramEnd"/>
      <w:r w:rsidRPr="00AD0126">
        <w:t xml:space="preserve"> Round on Intoxication” (1995)</w:t>
      </w:r>
      <w:r>
        <w:t>,</w:t>
      </w:r>
      <w:r w:rsidRPr="00AD0126">
        <w:t xml:space="preserve"> 33 C.R. (4th) 269</w:t>
      </w:r>
      <w:r>
        <w:t>.</w:t>
      </w:r>
    </w:p>
    <w:p w14:paraId="6968923A" w14:textId="03156914" w:rsidR="00866953" w:rsidRDefault="00866953" w:rsidP="002D1316">
      <w:pPr>
        <w:pStyle w:val="SCCNormalDoubleSpacing"/>
        <w:spacing w:after="240" w:line="240" w:lineRule="auto"/>
        <w:ind w:left="540" w:hanging="540"/>
        <w:rPr>
          <w:lang w:val="en-US"/>
        </w:rPr>
      </w:pPr>
      <w:r w:rsidRPr="00AD0126">
        <w:t>Healy,</w:t>
      </w:r>
      <w:r w:rsidRPr="00866953">
        <w:t xml:space="preserve"> </w:t>
      </w:r>
      <w:r w:rsidRPr="00BF03A0">
        <w:t>Patrick</w:t>
      </w:r>
      <w:r>
        <w:t>.</w:t>
      </w:r>
      <w:r w:rsidRPr="00AD0126">
        <w:t xml:space="preserve"> “Intoxication in the Codification of Canadian Criminal Law” (1994)</w:t>
      </w:r>
      <w:r>
        <w:t>,</w:t>
      </w:r>
      <w:r w:rsidRPr="00AD0126">
        <w:t xml:space="preserve"> 73 </w:t>
      </w:r>
      <w:r w:rsidRPr="00501CC0">
        <w:rPr>
          <w:i/>
        </w:rPr>
        <w:t>Can. Bar Rev.</w:t>
      </w:r>
      <w:r w:rsidRPr="00AD0126">
        <w:t xml:space="preserve"> 515</w:t>
      </w:r>
      <w:r>
        <w:t>.</w:t>
      </w:r>
    </w:p>
    <w:p w14:paraId="747DDECF" w14:textId="6D62532A" w:rsidR="005D1BE0" w:rsidRDefault="005D1BE0" w:rsidP="002D1316">
      <w:pPr>
        <w:pStyle w:val="SCCNormalDoubleSpacing"/>
        <w:spacing w:after="240" w:line="240" w:lineRule="auto"/>
        <w:ind w:left="540" w:hanging="540"/>
        <w:rPr>
          <w:lang w:val="en-US"/>
        </w:rPr>
      </w:pPr>
      <w:r w:rsidRPr="00AD0126">
        <w:t>Hogg</w:t>
      </w:r>
      <w:r w:rsidR="0047355B">
        <w:t xml:space="preserve">, Peter </w:t>
      </w:r>
      <w:r>
        <w:t>W., and Allison A.</w:t>
      </w:r>
      <w:r w:rsidRPr="00AD0126">
        <w:t> </w:t>
      </w:r>
      <w:proofErr w:type="spellStart"/>
      <w:r>
        <w:t>Bushell</w:t>
      </w:r>
      <w:proofErr w:type="spellEnd"/>
      <w:r>
        <w:t>.</w:t>
      </w:r>
      <w:r w:rsidRPr="00AD0126">
        <w:t xml:space="preserve"> “The </w:t>
      </w:r>
      <w:r w:rsidRPr="00AD0126">
        <w:rPr>
          <w:i/>
        </w:rPr>
        <w:t>Charter</w:t>
      </w:r>
      <w:r w:rsidRPr="00AD0126">
        <w:t xml:space="preserve"> Dialogue </w:t>
      </w:r>
      <w:r>
        <w:t>B</w:t>
      </w:r>
      <w:r w:rsidRPr="00AD0126">
        <w:t>etween Courts and Legislatures</w:t>
      </w:r>
      <w:r w:rsidR="00903071">
        <w:t xml:space="preserve"> </w:t>
      </w:r>
      <w:r w:rsidR="00903071" w:rsidRPr="00C1145B">
        <w:t xml:space="preserve">(Or Perhaps </w:t>
      </w:r>
      <w:proofErr w:type="gramStart"/>
      <w:r w:rsidR="00903071" w:rsidRPr="00C1145B">
        <w:t>The</w:t>
      </w:r>
      <w:proofErr w:type="gramEnd"/>
      <w:r w:rsidR="00903071" w:rsidRPr="00C1145B">
        <w:t xml:space="preserve"> </w:t>
      </w:r>
      <w:r w:rsidR="00903071" w:rsidRPr="00C1145B">
        <w:rPr>
          <w:i/>
        </w:rPr>
        <w:t>Charter of Rights</w:t>
      </w:r>
      <w:r w:rsidR="00903071" w:rsidRPr="00C1145B">
        <w:t xml:space="preserve"> Isn’t Such A Bad Thing After All)</w:t>
      </w:r>
      <w:r w:rsidRPr="00AD0126">
        <w:t>” (1997)</w:t>
      </w:r>
      <w:r>
        <w:t>,</w:t>
      </w:r>
      <w:r w:rsidRPr="00AD0126">
        <w:t xml:space="preserve"> 35 </w:t>
      </w:r>
      <w:r w:rsidRPr="3263A4C9">
        <w:rPr>
          <w:i/>
          <w:iCs/>
          <w:lang w:val="en-US"/>
        </w:rPr>
        <w:t>Osgoode Hall L.J.</w:t>
      </w:r>
      <w:r w:rsidRPr="00AD0126">
        <w:t xml:space="preserve"> 75</w:t>
      </w:r>
      <w:r>
        <w:t>.</w:t>
      </w:r>
    </w:p>
    <w:p w14:paraId="6D484C16" w14:textId="091CB13D" w:rsidR="00B423BB" w:rsidRDefault="00B423BB" w:rsidP="002D1316">
      <w:pPr>
        <w:pStyle w:val="SCCNormalDoubleSpacing"/>
        <w:spacing w:after="240" w:line="240" w:lineRule="auto"/>
        <w:ind w:left="540" w:hanging="540"/>
      </w:pPr>
      <w:r w:rsidRPr="00736AAC">
        <w:t>Kelly</w:t>
      </w:r>
      <w:r w:rsidR="00633048">
        <w:t xml:space="preserve">, </w:t>
      </w:r>
      <w:r w:rsidR="00633048" w:rsidRPr="00736AAC">
        <w:t>L</w:t>
      </w:r>
      <w:r w:rsidR="0047355B">
        <w:rPr>
          <w:szCs w:val="24"/>
        </w:rPr>
        <w:t xml:space="preserve">isa </w:t>
      </w:r>
      <w:r w:rsidR="00633048">
        <w:rPr>
          <w:szCs w:val="24"/>
        </w:rPr>
        <w:t>M.,</w:t>
      </w:r>
      <w:r w:rsidRPr="00736AAC">
        <w:t xml:space="preserve"> and </w:t>
      </w:r>
      <w:proofErr w:type="spellStart"/>
      <w:r w:rsidRPr="00736AAC">
        <w:t>N</w:t>
      </w:r>
      <w:r w:rsidR="00633048">
        <w:t>adya</w:t>
      </w:r>
      <w:proofErr w:type="spellEnd"/>
      <w:r w:rsidR="00633048">
        <w:t xml:space="preserve"> </w:t>
      </w:r>
      <w:r w:rsidRPr="00736AAC">
        <w:t>Gill</w:t>
      </w:r>
      <w:r w:rsidR="00633048">
        <w:t>.</w:t>
      </w:r>
      <w:r w:rsidRPr="00736AAC">
        <w:t xml:space="preserve"> </w:t>
      </w:r>
      <w:r w:rsidRPr="00436EE8">
        <w:rPr>
          <w:i/>
        </w:rPr>
        <w:t>The punishing response to the defence of extreme intoxication</w:t>
      </w:r>
      <w:r w:rsidRPr="00736AAC">
        <w:t>, October 13, 2020</w:t>
      </w:r>
      <w:r>
        <w:t xml:space="preserve"> (online: </w:t>
      </w:r>
      <w:r w:rsidRPr="00B423BB">
        <w:t>https://policyoptions.irpp.org/fr/magazines/october-2020/the-punishing-response-to-the-defence-of-extreme-intoxication/</w:t>
      </w:r>
      <w:r>
        <w:t xml:space="preserve">; archived version: </w:t>
      </w:r>
      <w:hyperlink r:id="rId10" w:history="1">
        <w:r w:rsidRPr="008D79F7">
          <w:rPr>
            <w:rStyle w:val="Hyperlink"/>
            <w:rFonts w:eastAsiaTheme="majorEastAsia"/>
          </w:rPr>
          <w:t>https://www.scc-csc.ca/cso-dce/2022SCC-CSC</w:t>
        </w:r>
        <w:r w:rsidR="00CB3829" w:rsidRPr="008D79F7">
          <w:rPr>
            <w:rStyle w:val="Hyperlink"/>
          </w:rPr>
          <w:t>18</w:t>
        </w:r>
        <w:r w:rsidRPr="008D79F7">
          <w:rPr>
            <w:rStyle w:val="Hyperlink"/>
            <w:rFonts w:eastAsiaTheme="majorEastAsia"/>
          </w:rPr>
          <w:t>_1_eng.pdf</w:t>
        </w:r>
      </w:hyperlink>
      <w:r>
        <w:rPr>
          <w:rFonts w:eastAsiaTheme="majorEastAsia"/>
        </w:rPr>
        <w:t>).</w:t>
      </w:r>
    </w:p>
    <w:p w14:paraId="01E58471" w14:textId="430E1F18" w:rsidR="00495FC2" w:rsidRPr="00E37AD2" w:rsidRDefault="00495FC2" w:rsidP="002D1316">
      <w:pPr>
        <w:pStyle w:val="SCCNormalDoubleSpacing"/>
        <w:spacing w:after="240" w:line="240" w:lineRule="auto"/>
        <w:ind w:left="540" w:hanging="540"/>
        <w:rPr>
          <w:lang w:val="en-US"/>
        </w:rPr>
      </w:pPr>
      <w:r>
        <w:t xml:space="preserve">Lawrence, Michelle S. “Voluntary Intoxication and the </w:t>
      </w:r>
      <w:r w:rsidRPr="0067274B">
        <w:rPr>
          <w:i/>
        </w:rPr>
        <w:t>Charter</w:t>
      </w:r>
      <w:r>
        <w:t xml:space="preserve">: Revisiting the Constitutionality of Section 33.1 of the </w:t>
      </w:r>
      <w:r w:rsidRPr="0067274B">
        <w:rPr>
          <w:i/>
        </w:rPr>
        <w:t>Criminal Code</w:t>
      </w:r>
      <w:r>
        <w:t xml:space="preserve">” (2017), 40:3 </w:t>
      </w:r>
      <w:r w:rsidRPr="0067274B">
        <w:rPr>
          <w:i/>
        </w:rPr>
        <w:t>Man</w:t>
      </w:r>
      <w:r>
        <w:rPr>
          <w:i/>
        </w:rPr>
        <w:t>.</w:t>
      </w:r>
      <w:r w:rsidRPr="0067274B">
        <w:rPr>
          <w:i/>
        </w:rPr>
        <w:t xml:space="preserve"> </w:t>
      </w:r>
      <w:r w:rsidRPr="00E37AD2">
        <w:rPr>
          <w:i/>
          <w:lang w:val="en-US"/>
        </w:rPr>
        <w:t>L.J.</w:t>
      </w:r>
      <w:r w:rsidRPr="00E37AD2">
        <w:rPr>
          <w:lang w:val="en-US"/>
        </w:rPr>
        <w:t xml:space="preserve"> 391.</w:t>
      </w:r>
    </w:p>
    <w:p w14:paraId="21767818" w14:textId="1BC9C454" w:rsidR="005E25C6" w:rsidRPr="005E375F" w:rsidRDefault="005E25C6" w:rsidP="002D1316">
      <w:pPr>
        <w:pStyle w:val="SCCNormalDoubleSpacing"/>
        <w:spacing w:after="240" w:line="240" w:lineRule="auto"/>
        <w:ind w:left="540" w:hanging="540"/>
        <w:rPr>
          <w:lang w:val="en-US"/>
        </w:rPr>
      </w:pPr>
      <w:r w:rsidRPr="00843D1B">
        <w:rPr>
          <w:lang w:val="fr-CA"/>
        </w:rPr>
        <w:t>Parent,</w:t>
      </w:r>
      <w:r>
        <w:rPr>
          <w:lang w:val="fr-CA"/>
        </w:rPr>
        <w:t xml:space="preserve"> Hug</w:t>
      </w:r>
      <w:r w:rsidR="00E37AD2">
        <w:rPr>
          <w:lang w:val="fr-CA"/>
        </w:rPr>
        <w:t>u</w:t>
      </w:r>
      <w:r>
        <w:rPr>
          <w:lang w:val="fr-CA"/>
        </w:rPr>
        <w:t>es.</w:t>
      </w:r>
      <w:r w:rsidRPr="00843D1B">
        <w:rPr>
          <w:lang w:val="fr-CA"/>
        </w:rPr>
        <w:t xml:space="preserve"> “La constitutionnalité de l’article 33.1 du </w:t>
      </w:r>
      <w:r w:rsidRPr="009E3CEE">
        <w:rPr>
          <w:lang w:val="fr-CA"/>
        </w:rPr>
        <w:t>Code criminel</w:t>
      </w:r>
      <w:r w:rsidRPr="00843D1B">
        <w:rPr>
          <w:lang w:val="fr-CA"/>
        </w:rPr>
        <w:t>: analyse et commentaires”</w:t>
      </w:r>
      <w:r w:rsidR="00990DD4">
        <w:rPr>
          <w:lang w:val="fr-CA"/>
        </w:rPr>
        <w:t xml:space="preserve"> (2022)</w:t>
      </w:r>
      <w:r>
        <w:rPr>
          <w:lang w:val="fr-CA"/>
        </w:rPr>
        <w:t>,</w:t>
      </w:r>
      <w:r w:rsidRPr="00843D1B">
        <w:rPr>
          <w:lang w:val="fr-CA"/>
        </w:rPr>
        <w:t xml:space="preserve"> </w:t>
      </w:r>
      <w:r w:rsidR="00990DD4">
        <w:rPr>
          <w:lang w:val="fr-CA"/>
        </w:rPr>
        <w:t xml:space="preserve">26 </w:t>
      </w:r>
      <w:r w:rsidR="00990DD4">
        <w:rPr>
          <w:i/>
          <w:lang w:val="fr-CA"/>
        </w:rPr>
        <w:t xml:space="preserve">Can. </w:t>
      </w:r>
      <w:r w:rsidR="00990DD4" w:rsidRPr="005E375F">
        <w:rPr>
          <w:i/>
          <w:lang w:val="en-US"/>
        </w:rPr>
        <w:t>Crim. L.R.</w:t>
      </w:r>
      <w:r w:rsidR="00990DD4" w:rsidRPr="005E375F">
        <w:rPr>
          <w:lang w:val="en-US"/>
        </w:rPr>
        <w:t xml:space="preserve"> 175.</w:t>
      </w:r>
    </w:p>
    <w:p w14:paraId="45EFBFF3" w14:textId="5FDCB966" w:rsidR="00A149DF" w:rsidRPr="00FE6B59" w:rsidRDefault="00E02EFA" w:rsidP="002D1316">
      <w:pPr>
        <w:pStyle w:val="SCCNormalDoubleSpacing"/>
        <w:spacing w:after="240" w:line="240" w:lineRule="auto"/>
        <w:ind w:left="540" w:hanging="540"/>
        <w:rPr>
          <w:lang w:val="en-US"/>
        </w:rPr>
      </w:pPr>
      <w:proofErr w:type="spellStart"/>
      <w:r w:rsidRPr="003072ED">
        <w:rPr>
          <w:lang w:val="en-US"/>
        </w:rPr>
        <w:t>Plaxton</w:t>
      </w:r>
      <w:proofErr w:type="spellEnd"/>
      <w:r w:rsidRPr="003072ED">
        <w:rPr>
          <w:lang w:val="en-US"/>
        </w:rPr>
        <w:t xml:space="preserve">, Michael, and </w:t>
      </w:r>
      <w:proofErr w:type="spellStart"/>
      <w:r w:rsidRPr="003072ED">
        <w:rPr>
          <w:lang w:val="en-US"/>
        </w:rPr>
        <w:t>Carissima</w:t>
      </w:r>
      <w:proofErr w:type="spellEnd"/>
      <w:r w:rsidRPr="003072ED">
        <w:rPr>
          <w:lang w:val="en-US"/>
        </w:rPr>
        <w:t xml:space="preserve"> </w:t>
      </w:r>
      <w:proofErr w:type="spellStart"/>
      <w:r w:rsidRPr="003072ED">
        <w:rPr>
          <w:lang w:val="en-US"/>
        </w:rPr>
        <w:t>Mathen</w:t>
      </w:r>
      <w:proofErr w:type="spellEnd"/>
      <w:r w:rsidRPr="003072ED">
        <w:rPr>
          <w:lang w:val="en-US"/>
        </w:rPr>
        <w:t xml:space="preserve">. “What’s Right </w:t>
      </w:r>
      <w:proofErr w:type="gramStart"/>
      <w:r w:rsidRPr="003072ED">
        <w:rPr>
          <w:lang w:val="en-US"/>
        </w:rPr>
        <w:t>With</w:t>
      </w:r>
      <w:proofErr w:type="gramEnd"/>
      <w:r w:rsidRPr="003072ED">
        <w:rPr>
          <w:lang w:val="en-US"/>
        </w:rPr>
        <w:t xml:space="preserve"> Section 33.1” (2021), 25 </w:t>
      </w:r>
      <w:r w:rsidRPr="003072ED">
        <w:rPr>
          <w:i/>
          <w:lang w:val="en-US"/>
        </w:rPr>
        <w:t xml:space="preserve">Can. </w:t>
      </w:r>
      <w:r w:rsidRPr="00FE6B59">
        <w:rPr>
          <w:i/>
          <w:lang w:val="en-US"/>
        </w:rPr>
        <w:t>Crim. L.R.</w:t>
      </w:r>
      <w:r w:rsidRPr="00FE6B59">
        <w:rPr>
          <w:lang w:val="en-US"/>
        </w:rPr>
        <w:t xml:space="preserve"> 255.</w:t>
      </w:r>
    </w:p>
    <w:p w14:paraId="47644E0F" w14:textId="2E692099" w:rsidR="002625F0" w:rsidRDefault="002625F0" w:rsidP="002D1316">
      <w:pPr>
        <w:pStyle w:val="SCCNormalDoubleSpacing"/>
        <w:spacing w:after="240" w:line="240" w:lineRule="auto"/>
        <w:ind w:left="540" w:hanging="540"/>
      </w:pPr>
      <w:r>
        <w:t>Quigley, Tim. “A Time for Parliament to Enact an Offence of Dangerous Incapacitation” (1995), 33 C.R. (4th) 283.</w:t>
      </w:r>
    </w:p>
    <w:p w14:paraId="59BFE6ED" w14:textId="5E361340" w:rsidR="00AE6124" w:rsidRPr="00AE6124" w:rsidRDefault="00AE6124" w:rsidP="002D1316">
      <w:pPr>
        <w:pStyle w:val="SCCNormalDoubleSpacing"/>
        <w:spacing w:after="240" w:line="240" w:lineRule="auto"/>
        <w:ind w:left="540" w:hanging="540"/>
        <w:rPr>
          <w:lang w:val="fr-CA"/>
        </w:rPr>
      </w:pPr>
      <w:r w:rsidRPr="00886174">
        <w:rPr>
          <w:lang w:val="fr-CA"/>
        </w:rPr>
        <w:t xml:space="preserve">Roy, Simon. </w:t>
      </w:r>
      <w:r w:rsidRPr="00AE6124">
        <w:rPr>
          <w:lang w:val="fr-CA"/>
        </w:rPr>
        <w:t xml:space="preserve">“Intoxication”, dans </w:t>
      </w:r>
      <w:proofErr w:type="spellStart"/>
      <w:r w:rsidRPr="00AE6124">
        <w:rPr>
          <w:i/>
          <w:lang w:val="fr-CA"/>
        </w:rPr>
        <w:t>Juris</w:t>
      </w:r>
      <w:r w:rsidR="00647F85">
        <w:rPr>
          <w:i/>
          <w:lang w:val="fr-CA"/>
        </w:rPr>
        <w:t>C</w:t>
      </w:r>
      <w:r w:rsidRPr="00AE6124">
        <w:rPr>
          <w:i/>
          <w:lang w:val="fr-CA"/>
        </w:rPr>
        <w:t>lasseur</w:t>
      </w:r>
      <w:proofErr w:type="spellEnd"/>
      <w:r w:rsidRPr="00AE6124">
        <w:rPr>
          <w:i/>
          <w:lang w:val="fr-CA"/>
        </w:rPr>
        <w:t xml:space="preserve"> Québec — Collection Droit pénal — Droit pénal général</w:t>
      </w:r>
      <w:r w:rsidRPr="00AE6124">
        <w:rPr>
          <w:lang w:val="fr-CA"/>
        </w:rPr>
        <w:t xml:space="preserve">, </w:t>
      </w:r>
      <w:r>
        <w:rPr>
          <w:lang w:val="fr-CA"/>
        </w:rPr>
        <w:t>par</w:t>
      </w:r>
      <w:r w:rsidR="002D1316">
        <w:rPr>
          <w:lang w:val="fr-CA"/>
        </w:rPr>
        <w:t xml:space="preserve"> Marie</w:t>
      </w:r>
      <w:r w:rsidR="002D1316">
        <w:rPr>
          <w:lang w:val="fr-CA"/>
        </w:rPr>
        <w:noBreakHyphen/>
      </w:r>
      <w:r w:rsidRPr="00AE6124">
        <w:rPr>
          <w:lang w:val="fr-CA"/>
        </w:rPr>
        <w:t xml:space="preserve">Pierre Robert et Simon Roy, </w:t>
      </w:r>
      <w:proofErr w:type="spellStart"/>
      <w:r>
        <w:rPr>
          <w:lang w:val="fr-CA"/>
        </w:rPr>
        <w:t>dir</w:t>
      </w:r>
      <w:proofErr w:type="spellEnd"/>
      <w:r w:rsidRPr="00AE6124">
        <w:rPr>
          <w:lang w:val="fr-CA"/>
        </w:rPr>
        <w:t>.</w:t>
      </w:r>
      <w:r>
        <w:rPr>
          <w:lang w:val="fr-CA"/>
        </w:rPr>
        <w:t xml:space="preserve"> </w:t>
      </w:r>
      <w:r w:rsidR="002D1316">
        <w:rPr>
          <w:color w:val="000000"/>
          <w:lang w:val="fr-CA"/>
        </w:rPr>
        <w:t xml:space="preserve">Montréal: </w:t>
      </w:r>
      <w:proofErr w:type="spellStart"/>
      <w:r w:rsidR="002D1316">
        <w:rPr>
          <w:color w:val="000000"/>
          <w:lang w:val="fr-CA"/>
        </w:rPr>
        <w:t>LexisNexis</w:t>
      </w:r>
      <w:proofErr w:type="spellEnd"/>
      <w:r w:rsidR="002D1316">
        <w:rPr>
          <w:color w:val="000000"/>
          <w:lang w:val="fr-CA"/>
        </w:rPr>
        <w:t xml:space="preserve">, </w:t>
      </w:r>
      <w:r w:rsidRPr="00AE6124">
        <w:rPr>
          <w:color w:val="000000"/>
          <w:lang w:val="fr-CA"/>
        </w:rPr>
        <w:t>2013,</w:t>
      </w:r>
      <w:r w:rsidRPr="00AE6124">
        <w:rPr>
          <w:lang w:val="fr-CA"/>
        </w:rPr>
        <w:t xml:space="preserve"> </w:t>
      </w:r>
      <w:r w:rsidRPr="00AE6124">
        <w:rPr>
          <w:color w:val="000000"/>
          <w:lang w:val="fr-CA"/>
        </w:rPr>
        <w:t>fascicule</w:t>
      </w:r>
      <w:r w:rsidRPr="00AE6124">
        <w:rPr>
          <w:lang w:val="fr-CA"/>
        </w:rPr>
        <w:t xml:space="preserve"> 13 </w:t>
      </w:r>
      <w:r w:rsidRPr="00AE6124">
        <w:rPr>
          <w:color w:val="000000"/>
          <w:lang w:val="fr-CA"/>
        </w:rPr>
        <w:t>(</w:t>
      </w:r>
      <w:r w:rsidR="00886174">
        <w:rPr>
          <w:color w:val="000000"/>
          <w:lang w:val="fr-CA"/>
        </w:rPr>
        <w:t>mis</w:t>
      </w:r>
      <w:r w:rsidRPr="00AE6124">
        <w:rPr>
          <w:color w:val="000000"/>
          <w:lang w:val="fr-CA"/>
        </w:rPr>
        <w:t xml:space="preserve"> à jour </w:t>
      </w:r>
      <w:r w:rsidR="00886174" w:rsidRPr="00886174">
        <w:rPr>
          <w:color w:val="000000"/>
          <w:lang w:val="fr-CA"/>
        </w:rPr>
        <w:t>7 juillet 2020</w:t>
      </w:r>
      <w:r w:rsidRPr="00AE6124">
        <w:rPr>
          <w:color w:val="000000"/>
          <w:lang w:val="fr-CA"/>
        </w:rPr>
        <w:t>).</w:t>
      </w:r>
    </w:p>
    <w:p w14:paraId="435BCB07" w14:textId="02101D85" w:rsidR="00EF0AF9" w:rsidRDefault="00EF0AF9" w:rsidP="002D1316">
      <w:pPr>
        <w:pStyle w:val="SCCNormalDoubleSpacing"/>
        <w:spacing w:after="240" w:line="240" w:lineRule="auto"/>
        <w:ind w:left="547" w:hanging="547"/>
      </w:pPr>
      <w:r w:rsidRPr="00AD0126">
        <w:t>Shaffer,</w:t>
      </w:r>
      <w:r>
        <w:t xml:space="preserve"> </w:t>
      </w:r>
      <w:r w:rsidRPr="00EF0AF9">
        <w:t>Martha</w:t>
      </w:r>
      <w:r>
        <w:t>.</w:t>
      </w:r>
      <w:r w:rsidRPr="00AD0126">
        <w:t xml:space="preserve"> “</w:t>
      </w:r>
      <w:r w:rsidRPr="00AD0126">
        <w:rPr>
          <w:i/>
        </w:rPr>
        <w:t xml:space="preserve">R. </w:t>
      </w:r>
      <w:r w:rsidRPr="00D90DED">
        <w:t>v.</w:t>
      </w:r>
      <w:r w:rsidRPr="00AD0126">
        <w:rPr>
          <w:i/>
        </w:rPr>
        <w:t xml:space="preserve"> Daviault</w:t>
      </w:r>
      <w:r w:rsidRPr="00AD0126">
        <w:t xml:space="preserve">: A Principled Approach </w:t>
      </w:r>
      <w:proofErr w:type="gramStart"/>
      <w:r>
        <w:t>T</w:t>
      </w:r>
      <w:r w:rsidRPr="00AD0126">
        <w:t>o</w:t>
      </w:r>
      <w:proofErr w:type="gramEnd"/>
      <w:r w:rsidRPr="00AD0126">
        <w:t xml:space="preserve"> Drunkenness or </w:t>
      </w:r>
      <w:r>
        <w:t>A</w:t>
      </w:r>
      <w:r w:rsidRPr="00AD0126">
        <w:t xml:space="preserve"> Lapse of Common Sense?” (1996)</w:t>
      </w:r>
      <w:r>
        <w:t>,</w:t>
      </w:r>
      <w:r w:rsidRPr="00AD0126">
        <w:t xml:space="preserve"> 3 </w:t>
      </w:r>
      <w:r w:rsidRPr="00D90DED">
        <w:rPr>
          <w:i/>
        </w:rPr>
        <w:t>Rev. Const. Stud</w:t>
      </w:r>
      <w:r>
        <w:rPr>
          <w:i/>
        </w:rPr>
        <w:t>.</w:t>
      </w:r>
      <w:r w:rsidRPr="00AD0126">
        <w:t xml:space="preserve"> 311</w:t>
      </w:r>
      <w:r>
        <w:t>.</w:t>
      </w:r>
    </w:p>
    <w:p w14:paraId="522EE5E2" w14:textId="5340C307" w:rsidR="003D2FA6" w:rsidRDefault="003D2FA6" w:rsidP="002D1316">
      <w:pPr>
        <w:pStyle w:val="SCCNormalDoubleSpacing"/>
        <w:spacing w:after="240" w:line="240" w:lineRule="auto"/>
        <w:ind w:left="540" w:hanging="540"/>
      </w:pPr>
      <w:r w:rsidRPr="00AD0126">
        <w:t>Sheehy,</w:t>
      </w:r>
      <w:r>
        <w:t xml:space="preserve"> </w:t>
      </w:r>
      <w:r w:rsidRPr="003D2FA6">
        <w:t>Elizabeth</w:t>
      </w:r>
      <w:r>
        <w:t>.</w:t>
      </w:r>
      <w:r w:rsidRPr="00AD0126">
        <w:t xml:space="preserve"> “The </w:t>
      </w:r>
      <w:r>
        <w:t>i</w:t>
      </w:r>
      <w:r w:rsidRPr="00AD0126">
        <w:t xml:space="preserve">ntoxication </w:t>
      </w:r>
      <w:r>
        <w:t>d</w:t>
      </w:r>
      <w:r w:rsidRPr="00AD0126">
        <w:t>efen</w:t>
      </w:r>
      <w:r>
        <w:t>s</w:t>
      </w:r>
      <w:r w:rsidRPr="00AD0126">
        <w:t xml:space="preserve">e in Canada: </w:t>
      </w:r>
      <w:r>
        <w:t>w</w:t>
      </w:r>
      <w:r w:rsidRPr="00AD0126">
        <w:t xml:space="preserve">hy </w:t>
      </w:r>
      <w:r>
        <w:t>w</w:t>
      </w:r>
      <w:r w:rsidRPr="00AD0126">
        <w:t xml:space="preserve">omen </w:t>
      </w:r>
      <w:r>
        <w:t>s</w:t>
      </w:r>
      <w:r w:rsidRPr="00AD0126">
        <w:t xml:space="preserve">hould </w:t>
      </w:r>
      <w:r>
        <w:t>c</w:t>
      </w:r>
      <w:r w:rsidRPr="00AD0126">
        <w:t>are” (1996)</w:t>
      </w:r>
      <w:r>
        <w:t>,</w:t>
      </w:r>
      <w:r w:rsidRPr="00AD0126">
        <w:t xml:space="preserve"> 23 </w:t>
      </w:r>
      <w:r w:rsidRPr="00501CC0">
        <w:rPr>
          <w:i/>
        </w:rPr>
        <w:t>Contemp. Drug Probs.</w:t>
      </w:r>
      <w:r w:rsidRPr="00AD0126">
        <w:t xml:space="preserve"> 595</w:t>
      </w:r>
      <w:r>
        <w:t>.</w:t>
      </w:r>
    </w:p>
    <w:p w14:paraId="64EF35D2" w14:textId="153EE5A8" w:rsidR="00335D83" w:rsidRPr="00B423BB" w:rsidRDefault="00335D83" w:rsidP="002D1316">
      <w:pPr>
        <w:pStyle w:val="SCCNormalDoubleSpacing"/>
        <w:spacing w:after="240" w:line="240" w:lineRule="auto"/>
        <w:ind w:left="540" w:hanging="540"/>
      </w:pPr>
      <w:r w:rsidRPr="00736AAC">
        <w:t>Silver,</w:t>
      </w:r>
      <w:r w:rsidR="00B423BB">
        <w:t xml:space="preserve"> Lisa.</w:t>
      </w:r>
      <w:r w:rsidRPr="00736AAC">
        <w:t xml:space="preserve"> </w:t>
      </w:r>
      <w:r w:rsidRPr="00C069EB">
        <w:rPr>
          <w:i/>
        </w:rPr>
        <w:t>Who is Responsible for Extreme Intoxication</w:t>
      </w:r>
      <w:proofErr w:type="gramStart"/>
      <w:r w:rsidRPr="00C069EB">
        <w:rPr>
          <w:i/>
        </w:rPr>
        <w:t>?</w:t>
      </w:r>
      <w:r>
        <w:t>,</w:t>
      </w:r>
      <w:proofErr w:type="gramEnd"/>
      <w:r w:rsidRPr="00736AAC">
        <w:t xml:space="preserve"> October 7, 2021</w:t>
      </w:r>
      <w:r>
        <w:t xml:space="preserve"> (online: </w:t>
      </w:r>
      <w:r w:rsidR="00B423BB" w:rsidRPr="00B423BB">
        <w:t>http://ablawg.ca/wp-content/uploads/2021/10/Blog_LS_Responsible_Extreme_Intoxication.pdf</w:t>
      </w:r>
      <w:r w:rsidR="00B423BB">
        <w:t xml:space="preserve">; archived version: </w:t>
      </w:r>
      <w:hyperlink r:id="rId11" w:history="1">
        <w:r w:rsidR="00B423BB" w:rsidRPr="008D79F7">
          <w:rPr>
            <w:rStyle w:val="Hyperlink"/>
            <w:rFonts w:eastAsiaTheme="majorEastAsia"/>
          </w:rPr>
          <w:t>https://www.scc-csc.ca/cso-dce/2022SCC-CSC</w:t>
        </w:r>
        <w:r w:rsidR="00CB3829" w:rsidRPr="008D79F7">
          <w:rPr>
            <w:rStyle w:val="Hyperlink"/>
          </w:rPr>
          <w:t>18</w:t>
        </w:r>
        <w:r w:rsidR="00B423BB" w:rsidRPr="008D79F7">
          <w:rPr>
            <w:rStyle w:val="Hyperlink"/>
            <w:rFonts w:eastAsiaTheme="majorEastAsia"/>
          </w:rPr>
          <w:t>_2_eng.pdf</w:t>
        </w:r>
      </w:hyperlink>
      <w:r w:rsidR="00B423BB">
        <w:rPr>
          <w:rFonts w:eastAsiaTheme="majorEastAsia"/>
        </w:rPr>
        <w:t>).</w:t>
      </w:r>
    </w:p>
    <w:p w14:paraId="5624C522" w14:textId="48F448A6" w:rsidR="008F2432" w:rsidRDefault="008F2432" w:rsidP="002D1316">
      <w:pPr>
        <w:pStyle w:val="SCCNormalDoubleSpacing"/>
        <w:spacing w:after="240" w:line="240" w:lineRule="auto"/>
        <w:ind w:left="540" w:hanging="540"/>
        <w:rPr>
          <w:lang w:val="en-US"/>
        </w:rPr>
      </w:pPr>
      <w:r>
        <w:t xml:space="preserve">Stuart, </w:t>
      </w:r>
      <w:r w:rsidRPr="00315874">
        <w:t>Don</w:t>
      </w:r>
      <w:r>
        <w:t xml:space="preserve">. </w:t>
      </w:r>
      <w:r w:rsidRPr="006A22E8">
        <w:t>“Parliament Should Declare a New Responsibility for Drunkenness Based on Criminal Negligence” (1995)</w:t>
      </w:r>
      <w:r>
        <w:t>,</w:t>
      </w:r>
      <w:r w:rsidRPr="006A22E8">
        <w:t xml:space="preserve"> 33 C.R. (4th) 289</w:t>
      </w:r>
      <w:r>
        <w:t>.</w:t>
      </w:r>
    </w:p>
    <w:p w14:paraId="1DC22D93" w14:textId="4FF36FBB" w:rsidR="0024433E" w:rsidRPr="0024433E" w:rsidRDefault="0024433E" w:rsidP="002D1316">
      <w:pPr>
        <w:pStyle w:val="SCCNormalDoubleSpacing"/>
        <w:spacing w:after="240" w:line="240" w:lineRule="auto"/>
        <w:ind w:left="540" w:hanging="540"/>
        <w:rPr>
          <w:lang w:val="fr-CA"/>
        </w:rPr>
      </w:pPr>
      <w:r w:rsidRPr="0024433E">
        <w:rPr>
          <w:lang w:val="fr-CA"/>
        </w:rPr>
        <w:t>Tremblay, Mathilde</w:t>
      </w:r>
      <w:r>
        <w:rPr>
          <w:lang w:val="fr-CA"/>
        </w:rPr>
        <w:t>.</w:t>
      </w:r>
      <w:r w:rsidRPr="0024433E">
        <w:rPr>
          <w:lang w:val="fr-CA"/>
        </w:rPr>
        <w:t xml:space="preserve"> “</w:t>
      </w:r>
      <w:r w:rsidRPr="0024433E">
        <w:rPr>
          <w:i/>
          <w:lang w:val="fr-CA"/>
        </w:rPr>
        <w:t>Charte canadienne</w:t>
      </w:r>
      <w:r w:rsidRPr="0024433E">
        <w:rPr>
          <w:lang w:val="fr-CA"/>
        </w:rPr>
        <w:t xml:space="preserve"> et int</w:t>
      </w:r>
      <w:r w:rsidR="00612DC7">
        <w:rPr>
          <w:lang w:val="fr-CA"/>
        </w:rPr>
        <w:t xml:space="preserve">oxication volontaire: l’article </w:t>
      </w:r>
      <w:r w:rsidRPr="0024433E">
        <w:rPr>
          <w:lang w:val="fr-CA"/>
        </w:rPr>
        <w:t xml:space="preserve">33.1 du </w:t>
      </w:r>
      <w:r w:rsidRPr="0024433E">
        <w:rPr>
          <w:i/>
          <w:lang w:val="fr-CA"/>
        </w:rPr>
        <w:t>Code criminel</w:t>
      </w:r>
      <w:r w:rsidRPr="0024433E">
        <w:rPr>
          <w:lang w:val="fr-CA"/>
        </w:rPr>
        <w:t xml:space="preserve"> et ses solutions de rechange” (2020), 79 </w:t>
      </w:r>
      <w:r w:rsidRPr="0024433E">
        <w:rPr>
          <w:i/>
          <w:lang w:val="fr-CA"/>
        </w:rPr>
        <w:t>R. du B.</w:t>
      </w:r>
      <w:r w:rsidRPr="0024433E">
        <w:rPr>
          <w:lang w:val="fr-CA"/>
        </w:rPr>
        <w:t xml:space="preserve"> 67.</w:t>
      </w:r>
    </w:p>
    <w:p w14:paraId="37A19CC6" w14:textId="77777777" w:rsidR="00C86C2A" w:rsidRPr="00886174" w:rsidRDefault="00C86C2A" w:rsidP="002D1316">
      <w:pPr>
        <w:pStyle w:val="SCCNormalDoubleSpacing"/>
        <w:spacing w:after="720" w:line="240" w:lineRule="auto"/>
        <w:ind w:left="547" w:hanging="547"/>
        <w:rPr>
          <w:lang w:val="en-US"/>
        </w:rPr>
      </w:pPr>
      <w:r w:rsidRPr="00886174">
        <w:rPr>
          <w:lang w:val="en-US"/>
        </w:rPr>
        <w:t xml:space="preserve">United Kingdom. Law Commission. </w:t>
      </w:r>
      <w:r w:rsidRPr="00886174">
        <w:rPr>
          <w:i/>
          <w:iCs/>
          <w:lang w:val="en-US"/>
        </w:rPr>
        <w:t>Criminal Liability: Insanity and Automatism — A Discussion Paper</w:t>
      </w:r>
      <w:r w:rsidRPr="00886174">
        <w:rPr>
          <w:lang w:val="en-US"/>
        </w:rPr>
        <w:t>. London, 2013.</w:t>
      </w:r>
    </w:p>
    <w:p w14:paraId="4241BC3A" w14:textId="5D08D0B4" w:rsidR="00D416A4" w:rsidRPr="00570133" w:rsidRDefault="009B57B3" w:rsidP="002D1316">
      <w:pPr>
        <w:pStyle w:val="SCCNormalDoubleSpacing"/>
        <w:spacing w:after="480"/>
        <w:rPr>
          <w:lang w:val="en-US"/>
        </w:rPr>
      </w:pPr>
      <w:r w:rsidRPr="00886174">
        <w:rPr>
          <w:lang w:val="en-US"/>
        </w:rPr>
        <w:tab/>
        <w:t>APPEAL f</w:t>
      </w:r>
      <w:r w:rsidRPr="001426A9">
        <w:t xml:space="preserve">rom a judgment of the </w:t>
      </w:r>
      <w:r w:rsidR="003231BD">
        <w:t>Alberta Court of Appeal (</w:t>
      </w:r>
      <w:r w:rsidR="009E21FB" w:rsidRPr="00570133">
        <w:rPr>
          <w:lang w:val="en-US"/>
        </w:rPr>
        <w:t>Slatter, Khullar and Hughes</w:t>
      </w:r>
      <w:r w:rsidR="00F362A3">
        <w:rPr>
          <w:lang w:val="en-US"/>
        </w:rPr>
        <w:t> JJ.A.</w:t>
      </w:r>
      <w:r w:rsidR="00D416A4">
        <w:t>),</w:t>
      </w:r>
      <w:r w:rsidR="009E21FB">
        <w:t xml:space="preserve"> </w:t>
      </w:r>
      <w:hyperlink r:id="rId12" w:history="1">
        <w:r w:rsidR="009E21FB" w:rsidRPr="009A32D0">
          <w:rPr>
            <w:rStyle w:val="Hyperlink"/>
            <w:lang w:val="en-US"/>
          </w:rPr>
          <w:t>2021 ABCA 273</w:t>
        </w:r>
      </w:hyperlink>
      <w:r w:rsidR="009E21FB" w:rsidRPr="00570133">
        <w:rPr>
          <w:lang w:val="en-US"/>
        </w:rPr>
        <w:t xml:space="preserve">, 30 Alta L.R. (7th) 1, 404 C.C.C. (3d) 311, [2021] </w:t>
      </w:r>
      <w:r w:rsidR="009A666E">
        <w:rPr>
          <w:lang w:val="en-US"/>
        </w:rPr>
        <w:t>11 W.W.R. 191, [2021] A.J. No. </w:t>
      </w:r>
      <w:r w:rsidR="009E21FB" w:rsidRPr="00570133">
        <w:rPr>
          <w:lang w:val="en-US"/>
        </w:rPr>
        <w:t>1028 (QL),</w:t>
      </w:r>
      <w:r w:rsidR="006F31AF">
        <w:rPr>
          <w:lang w:val="en-US"/>
        </w:rPr>
        <w:t xml:space="preserve"> 2021 CarswellAlta 1808 (WL</w:t>
      </w:r>
      <w:r w:rsidR="005E375F">
        <w:rPr>
          <w:lang w:val="en-US"/>
        </w:rPr>
        <w:t xml:space="preserve"> Can.</w:t>
      </w:r>
      <w:r w:rsidR="009E21FB" w:rsidRPr="00570133">
        <w:rPr>
          <w:lang w:val="en-US"/>
        </w:rPr>
        <w:t xml:space="preserve">), </w:t>
      </w:r>
      <w:r w:rsidR="00D416A4" w:rsidRPr="007815B6">
        <w:rPr>
          <w:lang w:val="en-US"/>
        </w:rPr>
        <w:t>setting aside a decision of</w:t>
      </w:r>
      <w:r w:rsidR="00D416A4" w:rsidRPr="00570133">
        <w:rPr>
          <w:lang w:val="en-US"/>
        </w:rPr>
        <w:t xml:space="preserve"> </w:t>
      </w:r>
      <w:r w:rsidR="00320941" w:rsidRPr="00570133">
        <w:rPr>
          <w:lang w:val="en-US"/>
        </w:rPr>
        <w:t xml:space="preserve">Hollins J., 2020 ABQB 166, 9 Alta. </w:t>
      </w:r>
      <w:r w:rsidR="009A666E">
        <w:rPr>
          <w:lang w:val="en-US"/>
        </w:rPr>
        <w:t>L.R. (7th) 375, [2020] A.J. No. </w:t>
      </w:r>
      <w:r w:rsidR="00320941" w:rsidRPr="00570133">
        <w:rPr>
          <w:lang w:val="en-US"/>
        </w:rPr>
        <w:t>294 (QL)</w:t>
      </w:r>
      <w:r w:rsidR="006F31AF">
        <w:rPr>
          <w:lang w:val="en-US"/>
        </w:rPr>
        <w:t>, 2020 CarswellAlta 442 (WL</w:t>
      </w:r>
      <w:r w:rsidR="005E375F">
        <w:rPr>
          <w:lang w:val="en-US"/>
        </w:rPr>
        <w:t xml:space="preserve"> Can.</w:t>
      </w:r>
      <w:r w:rsidR="00320941" w:rsidRPr="00570133">
        <w:rPr>
          <w:lang w:val="en-US"/>
        </w:rPr>
        <w:t>).</w:t>
      </w:r>
      <w:r w:rsidR="006937E3" w:rsidRPr="00570133">
        <w:rPr>
          <w:lang w:val="en-US"/>
        </w:rPr>
        <w:t xml:space="preserve"> </w:t>
      </w:r>
      <w:r w:rsidR="006937E3" w:rsidRPr="007815B6">
        <w:rPr>
          <w:lang w:val="en-US"/>
        </w:rPr>
        <w:t xml:space="preserve">Appeal </w:t>
      </w:r>
      <w:r w:rsidR="0035416D" w:rsidRPr="00E663EC">
        <w:rPr>
          <w:lang w:val="en-US"/>
        </w:rPr>
        <w:t>allowed</w:t>
      </w:r>
      <w:r w:rsidR="002D1316" w:rsidRPr="00E663EC">
        <w:rPr>
          <w:lang w:val="en-US"/>
        </w:rPr>
        <w:t>.</w:t>
      </w:r>
    </w:p>
    <w:p w14:paraId="13E73A90" w14:textId="77777777" w:rsidR="00674ACA" w:rsidRDefault="00874D6F" w:rsidP="002D1316">
      <w:pPr>
        <w:pStyle w:val="SCCNormalDoubleSpacing"/>
        <w:spacing w:after="480"/>
      </w:pPr>
      <w:r>
        <w:rPr>
          <w:rStyle w:val="SCCCounselNameChar"/>
        </w:rPr>
        <w:tab/>
        <w:t>Sean Fagan</w:t>
      </w:r>
      <w:r>
        <w:rPr>
          <w:rStyle w:val="SCCCounselSeparatorChar"/>
        </w:rPr>
        <w:t xml:space="preserve"> and </w:t>
      </w:r>
      <w:r>
        <w:rPr>
          <w:rStyle w:val="SCCCounselNameChar"/>
        </w:rPr>
        <w:t>Michelle Biddulph</w:t>
      </w:r>
      <w:r>
        <w:rPr>
          <w:rStyle w:val="SCCCounselPartyRoleChar"/>
        </w:rPr>
        <w:t>, for the appellant.</w:t>
      </w:r>
    </w:p>
    <w:p w14:paraId="2AE8FC26" w14:textId="4B6FED76" w:rsidR="00674ACA" w:rsidRDefault="00874D6F" w:rsidP="002D1316">
      <w:pPr>
        <w:pStyle w:val="SCCNormalDoubleSpacing"/>
        <w:spacing w:after="480"/>
      </w:pPr>
      <w:r>
        <w:rPr>
          <w:rStyle w:val="SCCCounselNameChar"/>
        </w:rPr>
        <w:tab/>
        <w:t>Deborah</w:t>
      </w:r>
      <w:r w:rsidR="0047355B">
        <w:rPr>
          <w:rStyle w:val="SCCCounselNameChar"/>
        </w:rPr>
        <w:t xml:space="preserve"> </w:t>
      </w:r>
      <w:r>
        <w:rPr>
          <w:rStyle w:val="SCCCounselNameChar"/>
        </w:rPr>
        <w:t>J. Alford</w:t>
      </w:r>
      <w:r>
        <w:rPr>
          <w:rStyle w:val="SCCCounselPartyRoleChar"/>
        </w:rPr>
        <w:t>, for the respondent.</w:t>
      </w:r>
    </w:p>
    <w:p w14:paraId="6733557C" w14:textId="33895861" w:rsidR="00674ACA" w:rsidRDefault="0047355B" w:rsidP="002D1316">
      <w:pPr>
        <w:pStyle w:val="SCCNormalDoubleSpacing"/>
        <w:spacing w:after="480"/>
      </w:pPr>
      <w:r>
        <w:rPr>
          <w:rStyle w:val="SCCCounselNameChar"/>
        </w:rPr>
        <w:tab/>
        <w:t xml:space="preserve">Michael </w:t>
      </w:r>
      <w:r w:rsidR="00874D6F">
        <w:rPr>
          <w:rStyle w:val="SCCCounselNameChar"/>
        </w:rPr>
        <w:t>H. Morris</w:t>
      </w:r>
      <w:r w:rsidR="00874D6F" w:rsidRPr="007815B6">
        <w:rPr>
          <w:rStyle w:val="SCCCounselNameChar"/>
          <w:i w:val="0"/>
        </w:rPr>
        <w:t xml:space="preserve">, </w:t>
      </w:r>
      <w:r w:rsidR="00874D6F">
        <w:rPr>
          <w:rStyle w:val="SCCCounselNameChar"/>
        </w:rPr>
        <w:t>Roy Lee</w:t>
      </w:r>
      <w:r w:rsidR="00874D6F">
        <w:rPr>
          <w:rStyle w:val="SCCCounselSeparatorChar"/>
        </w:rPr>
        <w:t xml:space="preserve"> and </w:t>
      </w:r>
      <w:r w:rsidR="00874D6F">
        <w:rPr>
          <w:rStyle w:val="SCCCounselNameChar"/>
        </w:rPr>
        <w:t>Rebecca Sewell</w:t>
      </w:r>
      <w:r w:rsidR="00874D6F">
        <w:rPr>
          <w:rStyle w:val="SCCCounselPartyRoleChar"/>
        </w:rPr>
        <w:t xml:space="preserve">, for the intervener </w:t>
      </w:r>
      <w:r w:rsidR="008B1837">
        <w:rPr>
          <w:rStyle w:val="SCCCounselPartyRoleChar"/>
        </w:rPr>
        <w:t xml:space="preserve">the </w:t>
      </w:r>
      <w:r w:rsidR="00874D6F">
        <w:rPr>
          <w:rStyle w:val="SCCCounselPartyRoleChar"/>
        </w:rPr>
        <w:t>Attorney General of Canada.</w:t>
      </w:r>
    </w:p>
    <w:p w14:paraId="79F39280" w14:textId="77777777" w:rsidR="008B1837" w:rsidRDefault="00874D6F" w:rsidP="002D1316">
      <w:pPr>
        <w:pStyle w:val="SCCNormalDoubleSpacing"/>
        <w:spacing w:after="480"/>
      </w:pPr>
      <w:r>
        <w:rPr>
          <w:rStyle w:val="SCCCounselNameChar"/>
        </w:rPr>
        <w:tab/>
      </w:r>
      <w:r w:rsidR="008B1837">
        <w:rPr>
          <w:rStyle w:val="SCCCounselNameChar"/>
        </w:rPr>
        <w:t>Michael Perlin</w:t>
      </w:r>
      <w:r w:rsidR="008B1837">
        <w:rPr>
          <w:rStyle w:val="SCCCounselSeparatorChar"/>
        </w:rPr>
        <w:t xml:space="preserve"> and </w:t>
      </w:r>
      <w:r w:rsidR="008B1837">
        <w:rPr>
          <w:rStyle w:val="SCCCounselNameChar"/>
        </w:rPr>
        <w:t>Jeffrey Wyngaarden</w:t>
      </w:r>
      <w:r w:rsidR="008B1837">
        <w:rPr>
          <w:rStyle w:val="SCCCounselPartyRoleChar"/>
        </w:rPr>
        <w:t xml:space="preserve">, for the intervener </w:t>
      </w:r>
      <w:r w:rsidR="00146070">
        <w:rPr>
          <w:rStyle w:val="SCCCounselPartyRoleChar"/>
        </w:rPr>
        <w:t xml:space="preserve">the </w:t>
      </w:r>
      <w:r w:rsidR="008B1837">
        <w:rPr>
          <w:rStyle w:val="SCCCounselPartyRoleChar"/>
        </w:rPr>
        <w:t>Attorney General of Ontario.</w:t>
      </w:r>
    </w:p>
    <w:p w14:paraId="3ECAF685" w14:textId="77777777" w:rsidR="00674ACA" w:rsidRDefault="008B1837" w:rsidP="002D1316">
      <w:pPr>
        <w:pStyle w:val="SCCNormalDoubleSpacing"/>
        <w:spacing w:after="480"/>
      </w:pPr>
      <w:r>
        <w:rPr>
          <w:rStyle w:val="SCCCounselNameChar"/>
        </w:rPr>
        <w:tab/>
      </w:r>
      <w:r w:rsidR="00146070">
        <w:rPr>
          <w:rStyle w:val="SCCCounselNameChar"/>
        </w:rPr>
        <w:t>Ami</w:t>
      </w:r>
      <w:r w:rsidR="00874D6F">
        <w:rPr>
          <w:rStyle w:val="SCCCounselNameChar"/>
        </w:rPr>
        <w:t xml:space="preserve"> Kotler</w:t>
      </w:r>
      <w:r w:rsidR="00874D6F">
        <w:rPr>
          <w:rStyle w:val="SCCCounselPartyRoleChar"/>
        </w:rPr>
        <w:t xml:space="preserve">, for the intervener </w:t>
      </w:r>
      <w:r w:rsidR="00146070">
        <w:rPr>
          <w:rStyle w:val="SCCCounselPartyRoleChar"/>
        </w:rPr>
        <w:t xml:space="preserve">the </w:t>
      </w:r>
      <w:r w:rsidR="00874D6F">
        <w:rPr>
          <w:rStyle w:val="SCCCounselPartyRoleChar"/>
        </w:rPr>
        <w:t>Attorney General of Manitoba.</w:t>
      </w:r>
    </w:p>
    <w:p w14:paraId="00295ACA" w14:textId="77777777" w:rsidR="00674ACA" w:rsidRDefault="00874D6F" w:rsidP="002D1316">
      <w:pPr>
        <w:pStyle w:val="SCCNormalDoubleSpacing"/>
        <w:spacing w:after="480"/>
      </w:pPr>
      <w:r>
        <w:rPr>
          <w:rStyle w:val="SCCCounselNameChar"/>
        </w:rPr>
        <w:tab/>
        <w:t xml:space="preserve">Lara </w:t>
      </w:r>
      <w:proofErr w:type="spellStart"/>
      <w:r>
        <w:rPr>
          <w:rStyle w:val="SCCCounselNameChar"/>
        </w:rPr>
        <w:t>Vizsolyi</w:t>
      </w:r>
      <w:proofErr w:type="spellEnd"/>
      <w:r>
        <w:rPr>
          <w:rStyle w:val="SCCCounselPartyRoleChar"/>
        </w:rPr>
        <w:t xml:space="preserve">, for the intervener </w:t>
      </w:r>
      <w:r w:rsidR="0075234F">
        <w:rPr>
          <w:rStyle w:val="SCCCounselPartyRoleChar"/>
        </w:rPr>
        <w:t xml:space="preserve">the </w:t>
      </w:r>
      <w:r>
        <w:rPr>
          <w:rStyle w:val="SCCCounselPartyRoleChar"/>
        </w:rPr>
        <w:t>Attorney General of British Columbia.</w:t>
      </w:r>
    </w:p>
    <w:p w14:paraId="26F3FD93" w14:textId="77777777" w:rsidR="008B1837" w:rsidRDefault="00874D6F" w:rsidP="002D1316">
      <w:pPr>
        <w:pStyle w:val="SCCNormalDoubleSpacing"/>
        <w:spacing w:after="480"/>
        <w:rPr>
          <w:rStyle w:val="SCCCounselPartyRoleChar"/>
        </w:rPr>
      </w:pPr>
      <w:r>
        <w:rPr>
          <w:rStyle w:val="SCCCounselNameChar"/>
        </w:rPr>
        <w:tab/>
      </w:r>
      <w:r w:rsidR="008B1837">
        <w:rPr>
          <w:rStyle w:val="SCCCounselNameChar"/>
        </w:rPr>
        <w:t xml:space="preserve">Noah </w:t>
      </w:r>
      <w:proofErr w:type="spellStart"/>
      <w:r w:rsidR="008B1837">
        <w:rPr>
          <w:rStyle w:val="SCCCounselNameChar"/>
        </w:rPr>
        <w:t>Wernikowski</w:t>
      </w:r>
      <w:proofErr w:type="spellEnd"/>
      <w:r w:rsidR="008B1837">
        <w:rPr>
          <w:rStyle w:val="SCCCounselPartyRoleChar"/>
        </w:rPr>
        <w:t xml:space="preserve">, for the intervener </w:t>
      </w:r>
      <w:r w:rsidR="00CB7E76">
        <w:rPr>
          <w:rStyle w:val="SCCCounselPartyRoleChar"/>
        </w:rPr>
        <w:t xml:space="preserve">the </w:t>
      </w:r>
      <w:r w:rsidR="008B1837">
        <w:rPr>
          <w:rStyle w:val="SCCCounselPartyRoleChar"/>
        </w:rPr>
        <w:t>Attorney General of Saskatchewan.</w:t>
      </w:r>
    </w:p>
    <w:p w14:paraId="1A74CCE2" w14:textId="068C0215" w:rsidR="00674ACA" w:rsidRDefault="008B1837" w:rsidP="002D1316">
      <w:pPr>
        <w:pStyle w:val="SCCNormalDoubleSpacing"/>
        <w:spacing w:after="480"/>
      </w:pPr>
      <w:r>
        <w:rPr>
          <w:rStyle w:val="SCCCounselPartyRoleChar"/>
        </w:rPr>
        <w:tab/>
      </w:r>
      <w:r w:rsidR="0047355B">
        <w:rPr>
          <w:rStyle w:val="SCCCounselNameChar"/>
        </w:rPr>
        <w:t xml:space="preserve">Anil </w:t>
      </w:r>
      <w:r w:rsidR="00874D6F">
        <w:rPr>
          <w:rStyle w:val="SCCCounselNameChar"/>
        </w:rPr>
        <w:t>K. Kapoor</w:t>
      </w:r>
      <w:r w:rsidR="00874D6F">
        <w:rPr>
          <w:rStyle w:val="SCCCounselSeparatorChar"/>
        </w:rPr>
        <w:t xml:space="preserve"> and </w:t>
      </w:r>
      <w:r w:rsidR="00874D6F">
        <w:rPr>
          <w:rStyle w:val="SCCCounselNameChar"/>
        </w:rPr>
        <w:t xml:space="preserve">Dana </w:t>
      </w:r>
      <w:proofErr w:type="spellStart"/>
      <w:r w:rsidR="00874D6F">
        <w:rPr>
          <w:rStyle w:val="SCCCounselNameChar"/>
        </w:rPr>
        <w:t>Achtemichuk</w:t>
      </w:r>
      <w:proofErr w:type="spellEnd"/>
      <w:r w:rsidR="00874D6F">
        <w:rPr>
          <w:rStyle w:val="SCCCounselPartyRoleChar"/>
        </w:rPr>
        <w:t xml:space="preserve">, for the intervener </w:t>
      </w:r>
      <w:r w:rsidR="00D15421">
        <w:rPr>
          <w:rStyle w:val="SCCCounselPartyRoleChar"/>
        </w:rPr>
        <w:t xml:space="preserve">the </w:t>
      </w:r>
      <w:r w:rsidR="00874D6F">
        <w:rPr>
          <w:rStyle w:val="SCCCounselPartyRoleChar"/>
        </w:rPr>
        <w:t>Canadian Civil Liberties Association.</w:t>
      </w:r>
    </w:p>
    <w:p w14:paraId="1D50657C" w14:textId="7A53E2B2" w:rsidR="00674ACA" w:rsidRDefault="00874D6F" w:rsidP="002D1316">
      <w:pPr>
        <w:pStyle w:val="SCCNormalDoubleSpacing"/>
        <w:spacing w:after="480"/>
      </w:pPr>
      <w:r>
        <w:rPr>
          <w:rStyle w:val="SCCCounselNameChar"/>
        </w:rPr>
        <w:tab/>
      </w:r>
      <w:r w:rsidR="00C17D9D">
        <w:rPr>
          <w:rStyle w:val="SCCCounselNameChar"/>
        </w:rPr>
        <w:t>Carter Martell</w:t>
      </w:r>
      <w:r w:rsidR="00C17D9D">
        <w:rPr>
          <w:rStyle w:val="SCCCounselNameChar"/>
          <w:i w:val="0"/>
        </w:rPr>
        <w:t>,</w:t>
      </w:r>
      <w:r w:rsidR="00C17D9D">
        <w:rPr>
          <w:rStyle w:val="SCCCounselNameChar"/>
        </w:rPr>
        <w:t xml:space="preserve"> </w:t>
      </w:r>
      <w:r>
        <w:rPr>
          <w:rStyle w:val="SCCCounselNameChar"/>
        </w:rPr>
        <w:t>Anita Szigeti</w:t>
      </w:r>
      <w:r w:rsidRPr="008145E3">
        <w:rPr>
          <w:rStyle w:val="SCCCounselNameChar"/>
          <w:i w:val="0"/>
        </w:rPr>
        <w:t>,</w:t>
      </w:r>
      <w:r>
        <w:rPr>
          <w:rStyle w:val="SCCCounselNameChar"/>
        </w:rPr>
        <w:t xml:space="preserve"> </w:t>
      </w:r>
      <w:r w:rsidR="008145E3" w:rsidRPr="00570133">
        <w:rPr>
          <w:rStyle w:val="SCCCounselNameChar"/>
          <w:lang w:val="en-US"/>
        </w:rPr>
        <w:t>Sarah Rankin</w:t>
      </w:r>
      <w:r w:rsidR="008145E3">
        <w:rPr>
          <w:rStyle w:val="SCCCounselNameChar"/>
        </w:rPr>
        <w:t xml:space="preserve"> </w:t>
      </w:r>
      <w:r>
        <w:rPr>
          <w:rStyle w:val="SCCCounselSeparatorChar"/>
        </w:rPr>
        <w:t>and</w:t>
      </w:r>
      <w:r w:rsidR="008145E3" w:rsidRPr="008145E3">
        <w:rPr>
          <w:rStyle w:val="SCCCounselNameChar"/>
        </w:rPr>
        <w:t xml:space="preserve"> </w:t>
      </w:r>
      <w:r w:rsidR="008145E3">
        <w:rPr>
          <w:rStyle w:val="SCCCounselNameChar"/>
        </w:rPr>
        <w:t xml:space="preserve">Maya </w:t>
      </w:r>
      <w:proofErr w:type="spellStart"/>
      <w:r w:rsidR="008145E3">
        <w:rPr>
          <w:rStyle w:val="SCCCounselNameChar"/>
        </w:rPr>
        <w:t>Kotob</w:t>
      </w:r>
      <w:proofErr w:type="spellEnd"/>
      <w:r>
        <w:rPr>
          <w:rStyle w:val="SCCCounselPartyRoleChar"/>
        </w:rPr>
        <w:t xml:space="preserve">, for the intervener </w:t>
      </w:r>
      <w:r w:rsidR="00C17D9D">
        <w:rPr>
          <w:rStyle w:val="SCCCounselPartyRoleChar"/>
        </w:rPr>
        <w:t xml:space="preserve">the </w:t>
      </w:r>
      <w:r w:rsidRPr="0035416D">
        <w:rPr>
          <w:rStyle w:val="SCCCounselPartyRoleChar"/>
        </w:rPr>
        <w:t>Empowerment Council</w:t>
      </w:r>
      <w:r>
        <w:rPr>
          <w:rStyle w:val="SCCCounselPartyRoleChar"/>
        </w:rPr>
        <w:t>.</w:t>
      </w:r>
    </w:p>
    <w:p w14:paraId="57AFAF61" w14:textId="7F2CC5D0" w:rsidR="00674ACA" w:rsidRDefault="00874D6F" w:rsidP="002D1316">
      <w:pPr>
        <w:pStyle w:val="SCCNormalDoubleSpacing"/>
        <w:spacing w:after="480"/>
      </w:pPr>
      <w:r>
        <w:rPr>
          <w:rStyle w:val="SCCCounselNameChar"/>
        </w:rPr>
        <w:tab/>
        <w:t xml:space="preserve">Lindsay </w:t>
      </w:r>
      <w:proofErr w:type="spellStart"/>
      <w:r>
        <w:rPr>
          <w:rStyle w:val="SCCCounselNameChar"/>
        </w:rPr>
        <w:t>Daviau</w:t>
      </w:r>
      <w:proofErr w:type="spellEnd"/>
      <w:r>
        <w:rPr>
          <w:rStyle w:val="SCCCounselSeparatorChar"/>
        </w:rPr>
        <w:t xml:space="preserve"> and </w:t>
      </w:r>
      <w:r>
        <w:rPr>
          <w:rStyle w:val="SCCCounselNameChar"/>
        </w:rPr>
        <w:t xml:space="preserve">Eric </w:t>
      </w:r>
      <w:proofErr w:type="spellStart"/>
      <w:r>
        <w:rPr>
          <w:rStyle w:val="SCCCounselNameChar"/>
        </w:rPr>
        <w:t>Neubauer</w:t>
      </w:r>
      <w:proofErr w:type="spellEnd"/>
      <w:r>
        <w:rPr>
          <w:rStyle w:val="SCCCounselPartyRoleChar"/>
        </w:rPr>
        <w:t>, for the intervener</w:t>
      </w:r>
      <w:r w:rsidR="004B54C0">
        <w:rPr>
          <w:rStyle w:val="SCCCounselPartyRoleChar"/>
        </w:rPr>
        <w:t xml:space="preserve"> the</w:t>
      </w:r>
      <w:r>
        <w:rPr>
          <w:rStyle w:val="SCCCounselPartyRoleChar"/>
        </w:rPr>
        <w:t xml:space="preserve"> Criminal Lawyers</w:t>
      </w:r>
      <w:r w:rsidR="00E45CA7">
        <w:rPr>
          <w:rStyle w:val="SCCCounselPartyRoleChar"/>
        </w:rPr>
        <w:t>’</w:t>
      </w:r>
      <w:r>
        <w:rPr>
          <w:rStyle w:val="SCCCounselPartyRoleChar"/>
        </w:rPr>
        <w:t xml:space="preserve"> Association.</w:t>
      </w:r>
    </w:p>
    <w:p w14:paraId="25845029" w14:textId="77777777" w:rsidR="00674ACA" w:rsidRDefault="00874D6F" w:rsidP="002D1316">
      <w:pPr>
        <w:pStyle w:val="SCCNormalDoubleSpacing"/>
        <w:spacing w:after="480"/>
      </w:pPr>
      <w:r>
        <w:rPr>
          <w:rStyle w:val="SCCCounselNameChar"/>
        </w:rPr>
        <w:tab/>
      </w:r>
      <w:r w:rsidR="00C126DF">
        <w:rPr>
          <w:rStyle w:val="SCCCounselNameChar"/>
        </w:rPr>
        <w:t xml:space="preserve">Lara </w:t>
      </w:r>
      <w:proofErr w:type="spellStart"/>
      <w:r w:rsidR="00C126DF">
        <w:rPr>
          <w:rStyle w:val="SCCCounselNameChar"/>
        </w:rPr>
        <w:t>Kinkartz</w:t>
      </w:r>
      <w:proofErr w:type="spellEnd"/>
      <w:r w:rsidR="00C126DF">
        <w:rPr>
          <w:rStyle w:val="SCCCounselSeparatorChar"/>
        </w:rPr>
        <w:t xml:space="preserve"> </w:t>
      </w:r>
      <w:r>
        <w:rPr>
          <w:rStyle w:val="SCCCounselSeparatorChar"/>
        </w:rPr>
        <w:t xml:space="preserve">and </w:t>
      </w:r>
      <w:r w:rsidR="00C126DF">
        <w:rPr>
          <w:rStyle w:val="SCCCounselNameChar"/>
        </w:rPr>
        <w:t>Megan Stephens</w:t>
      </w:r>
      <w:r>
        <w:rPr>
          <w:rStyle w:val="SCCCounselPartyRoleChar"/>
        </w:rPr>
        <w:t xml:space="preserve">, for the intervener </w:t>
      </w:r>
      <w:r w:rsidR="004B54C0">
        <w:rPr>
          <w:rStyle w:val="SCCCounselPartyRoleChar"/>
        </w:rPr>
        <w:t xml:space="preserve">the </w:t>
      </w:r>
      <w:r>
        <w:rPr>
          <w:rStyle w:val="SCCCounselPartyRoleChar"/>
        </w:rPr>
        <w:t>Women</w:t>
      </w:r>
      <w:r w:rsidR="00E45CA7">
        <w:rPr>
          <w:rStyle w:val="SCCCounselPartyRoleChar"/>
        </w:rPr>
        <w:t>’</w:t>
      </w:r>
      <w:r>
        <w:rPr>
          <w:rStyle w:val="SCCCounselPartyRoleChar"/>
        </w:rPr>
        <w:t>s Legal</w:t>
      </w:r>
      <w:r w:rsidR="003231BD">
        <w:rPr>
          <w:rStyle w:val="SCCCounselPartyRoleChar"/>
        </w:rPr>
        <w:t xml:space="preserve"> Education and Action Fund Inc.</w:t>
      </w:r>
    </w:p>
    <w:p w14:paraId="13633A41" w14:textId="77777777" w:rsidR="00E24573" w:rsidRDefault="00E24573" w:rsidP="002D1316">
      <w:pPr>
        <w:pStyle w:val="SCCNormalDoubleSpacing"/>
        <w:spacing w:after="480"/>
      </w:pPr>
    </w:p>
    <w:p w14:paraId="2B4E202B" w14:textId="77777777" w:rsidR="00377DDF" w:rsidRDefault="00377DDF" w:rsidP="00DA2CC1">
      <w:pPr>
        <w:tabs>
          <w:tab w:val="left" w:pos="1134"/>
        </w:tabs>
        <w:jc w:val="both"/>
      </w:pPr>
      <w:r w:rsidRPr="002E1CEA">
        <w:rPr>
          <w:lang w:val="en-US"/>
        </w:rPr>
        <w:tab/>
      </w:r>
      <w:r w:rsidRPr="00796D65">
        <w:t>The judgment of the Court was delivered by</w:t>
      </w:r>
    </w:p>
    <w:p w14:paraId="6F34E76A" w14:textId="77777777" w:rsidR="00377DDF" w:rsidRPr="002B3E4D" w:rsidRDefault="00377DDF" w:rsidP="00377DDF">
      <w:pPr>
        <w:jc w:val="both"/>
        <w:rPr>
          <w:lang w:val="en-US"/>
        </w:rPr>
      </w:pPr>
    </w:p>
    <w:p w14:paraId="3BBCF404" w14:textId="77777777" w:rsidR="00377DDF" w:rsidRPr="00E13133" w:rsidRDefault="00377DDF" w:rsidP="00377DDF">
      <w:pPr>
        <w:pStyle w:val="JudgeJuge"/>
      </w:pPr>
      <w:r w:rsidRPr="00E13133">
        <w:tab/>
        <w:t xml:space="preserve">Kasirer J. — </w:t>
      </w:r>
    </w:p>
    <w:p w14:paraId="5AEA0ADA" w14:textId="77777777" w:rsidR="00377DDF" w:rsidRPr="00E13133" w:rsidRDefault="00377DDF" w:rsidP="00377DDF">
      <w:pPr>
        <w:pStyle w:val="Title1LevelTitre1Niveau-AltL"/>
        <w:rPr>
          <w:rFonts w:cs="Times New Roman"/>
        </w:rPr>
      </w:pPr>
      <w:r w:rsidRPr="00E13133">
        <w:rPr>
          <w:rFonts w:cs="Times New Roman"/>
        </w:rPr>
        <w:t>Overview</w:t>
      </w:r>
    </w:p>
    <w:p w14:paraId="5FAF3F62" w14:textId="77777777" w:rsidR="00377DDF" w:rsidRPr="00E13133" w:rsidRDefault="00377DDF" w:rsidP="00377DDF">
      <w:pPr>
        <w:pStyle w:val="ParaNoNdepar-AltN"/>
        <w:rPr>
          <w:rFonts w:cs="Times New Roman"/>
          <w:lang w:val="en-US"/>
        </w:rPr>
      </w:pPr>
      <w:r w:rsidRPr="00E13133">
        <w:rPr>
          <w:rFonts w:cs="Times New Roman"/>
          <w:lang w:val="en-US"/>
        </w:rPr>
        <w:t>Following a party at which he had consumed alcohol and “magic mushrooms”, Matthew Winston Brown violently attacked Janet Hamnett, a person he did not know and who had done nothing to invite the assault. At the time, Mr. Brown was in what the trial judge described as a “substance intoxication delirium” that was so extreme as to be “akin to automatism” (2020 ABQB 166, 9 Alta. L.R. (7th) 375, at para. 87). While capable of physical movement, he was in a delusional state and had no willed control over his actions. Mr. Brown’s extreme intoxication akin to automatism was brought about by his voluntary ingestion of the magic mushrooms which contained a drug called psilocybin. Mr. Brown was acquitted at trial. The Alberta Court of Appeal set aside that verdict and convicted him of the general intent offence of aggravated assault.</w:t>
      </w:r>
    </w:p>
    <w:p w14:paraId="611F8BE9" w14:textId="77777777" w:rsidR="00377DDF" w:rsidRPr="00E13133" w:rsidRDefault="00377DDF" w:rsidP="00377DDF">
      <w:pPr>
        <w:pStyle w:val="ParaNoNdepar-AltN"/>
        <w:rPr>
          <w:rFonts w:cs="Times New Roman"/>
          <w:lang w:val="en-US"/>
        </w:rPr>
      </w:pPr>
      <w:r w:rsidRPr="00E13133">
        <w:rPr>
          <w:rFonts w:cs="Times New Roman"/>
          <w:lang w:val="en-US"/>
        </w:rPr>
        <w:t>At common law, automatism is “a state of impaired consciousness, rather than unconsciousness, in which an individual, though capable of action, has no voluntary control over that action” (</w:t>
      </w:r>
      <w:r w:rsidRPr="00E13133">
        <w:rPr>
          <w:rFonts w:cs="Times New Roman"/>
          <w:i/>
          <w:iCs/>
          <w:lang w:val="en-US"/>
        </w:rPr>
        <w:t>R. v. Stone</w:t>
      </w:r>
      <w:r w:rsidRPr="00E13133">
        <w:rPr>
          <w:rFonts w:cs="Times New Roman"/>
          <w:lang w:val="en-US"/>
        </w:rPr>
        <w:t xml:space="preserve">, [1999] 2 S.C.R. 290, at para. 156). It is sometimes said that the effect of automatism is to provoke physical involuntariness whereby there is no connection between </w:t>
      </w:r>
      <w:proofErr w:type="gramStart"/>
      <w:r w:rsidRPr="00E13133">
        <w:rPr>
          <w:rFonts w:cs="Times New Roman"/>
          <w:lang w:val="en-US"/>
        </w:rPr>
        <w:t>mind</w:t>
      </w:r>
      <w:proofErr w:type="gramEnd"/>
      <w:r w:rsidRPr="00E13133">
        <w:rPr>
          <w:rFonts w:cs="Times New Roman"/>
          <w:lang w:val="en-US"/>
        </w:rPr>
        <w:t xml:space="preserve"> and body (see </w:t>
      </w:r>
      <w:proofErr w:type="spellStart"/>
      <w:r w:rsidRPr="00E13133">
        <w:rPr>
          <w:rFonts w:cs="Times New Roman"/>
          <w:i/>
          <w:lang w:val="en-US"/>
        </w:rPr>
        <w:t>Rabey</w:t>
      </w:r>
      <w:proofErr w:type="spellEnd"/>
      <w:r w:rsidRPr="00E13133">
        <w:rPr>
          <w:rFonts w:cs="Times New Roman"/>
          <w:i/>
          <w:lang w:val="en-US"/>
        </w:rPr>
        <w:t xml:space="preserve"> v. The Queen</w:t>
      </w:r>
      <w:r w:rsidRPr="00E13133">
        <w:rPr>
          <w:rFonts w:cs="Times New Roman"/>
          <w:lang w:val="en-US"/>
        </w:rPr>
        <w:t xml:space="preserve">, [1980] 2 S.C.R. 513, at p. 518). Examples often given include the involuntary physical movement of an individual who has suffered a heart attack or seizure. Conduct that is involuntary in this sense cannot be criminal (see </w:t>
      </w:r>
      <w:r w:rsidRPr="00E13133">
        <w:rPr>
          <w:rFonts w:cs="Times New Roman"/>
          <w:i/>
          <w:lang w:val="en-US"/>
        </w:rPr>
        <w:t xml:space="preserve">R. v. </w:t>
      </w:r>
      <w:proofErr w:type="spellStart"/>
      <w:r w:rsidRPr="00E13133">
        <w:rPr>
          <w:rFonts w:cs="Times New Roman"/>
          <w:i/>
          <w:lang w:val="en-US"/>
        </w:rPr>
        <w:t>Luedecke</w:t>
      </w:r>
      <w:proofErr w:type="spellEnd"/>
      <w:r w:rsidRPr="00E13133">
        <w:rPr>
          <w:rFonts w:cs="Times New Roman"/>
          <w:lang w:val="en-US"/>
        </w:rPr>
        <w:t xml:space="preserve">, 2008 </w:t>
      </w:r>
      <w:proofErr w:type="spellStart"/>
      <w:r w:rsidRPr="00E13133">
        <w:rPr>
          <w:rFonts w:cs="Times New Roman"/>
          <w:lang w:val="en-US"/>
        </w:rPr>
        <w:t>ONCA</w:t>
      </w:r>
      <w:proofErr w:type="spellEnd"/>
      <w:r w:rsidRPr="00E13133">
        <w:rPr>
          <w:rFonts w:cs="Times New Roman"/>
          <w:lang w:val="en-US"/>
        </w:rPr>
        <w:t xml:space="preserve"> 716, 93 O.R. (3d) 89, at paras. 53</w:t>
      </w:r>
      <w:r w:rsidRPr="00E13133">
        <w:rPr>
          <w:rFonts w:cs="Times New Roman"/>
          <w:lang w:val="en-US"/>
        </w:rPr>
        <w:noBreakHyphen/>
        <w:t xml:space="preserve">56, relying in particular on </w:t>
      </w:r>
      <w:proofErr w:type="spellStart"/>
      <w:r w:rsidRPr="00E13133">
        <w:rPr>
          <w:rFonts w:cs="Times New Roman"/>
          <w:i/>
          <w:lang w:val="en-US"/>
        </w:rPr>
        <w:t>Rabey</w:t>
      </w:r>
      <w:proofErr w:type="spellEnd"/>
      <w:r w:rsidRPr="00E13133">
        <w:rPr>
          <w:rFonts w:cs="Times New Roman"/>
          <w:lang w:val="en-US"/>
        </w:rPr>
        <w:t>, at p. 519, per Ritchie J., and at p. 545, per Dickson J., as he then was, dissenting but not on this point).</w:t>
      </w:r>
    </w:p>
    <w:p w14:paraId="12474669" w14:textId="77777777" w:rsidR="00377DDF" w:rsidRPr="00E13133" w:rsidRDefault="00377DDF" w:rsidP="00377DDF">
      <w:pPr>
        <w:pStyle w:val="ParaNoNdepar-AltN"/>
        <w:rPr>
          <w:rFonts w:cs="Times New Roman"/>
          <w:lang w:val="en-US"/>
        </w:rPr>
      </w:pPr>
      <w:r w:rsidRPr="00E13133">
        <w:rPr>
          <w:rFonts w:cs="Times New Roman"/>
          <w:lang w:val="en-US"/>
        </w:rPr>
        <w:t>Mr. Brown’s appeal before this Court turns on the circumstances in which persons accused of certain violent crimes can invoke self</w:t>
      </w:r>
      <w:r w:rsidRPr="00E13133">
        <w:rPr>
          <w:rFonts w:cs="Times New Roman"/>
          <w:lang w:val="en-US"/>
        </w:rPr>
        <w:noBreakHyphen/>
        <w:t xml:space="preserve">induced extreme intoxication to show that they lacked the general intent or voluntariness ordinarily required to justify a conviction and punishment. Similar matters are at the heart of the Crown appeals in </w:t>
      </w:r>
      <w:r w:rsidRPr="00E13133">
        <w:rPr>
          <w:rFonts w:cs="Times New Roman"/>
          <w:i/>
          <w:lang w:val="en-US"/>
        </w:rPr>
        <w:t>R. v. Sullivan</w:t>
      </w:r>
      <w:r w:rsidRPr="00E13133">
        <w:rPr>
          <w:rFonts w:cs="Times New Roman"/>
          <w:lang w:val="en-US"/>
        </w:rPr>
        <w:t xml:space="preserve"> and </w:t>
      </w:r>
      <w:r w:rsidRPr="00E13133">
        <w:rPr>
          <w:rFonts w:cs="Times New Roman"/>
          <w:i/>
          <w:lang w:val="en-US"/>
        </w:rPr>
        <w:t>R. v. Chan</w:t>
      </w:r>
      <w:r w:rsidRPr="00E13133">
        <w:rPr>
          <w:rFonts w:cs="Times New Roman"/>
          <w:lang w:val="en-US"/>
        </w:rPr>
        <w:t>, for which judgments are rendered simultaneously with this case (</w:t>
      </w:r>
      <w:r w:rsidRPr="00E13133">
        <w:rPr>
          <w:rFonts w:cs="Times New Roman"/>
          <w:i/>
          <w:lang w:val="en-US"/>
        </w:rPr>
        <w:t>R. v. Sullivan</w:t>
      </w:r>
      <w:r w:rsidRPr="00E13133">
        <w:rPr>
          <w:rFonts w:cs="Times New Roman"/>
          <w:lang w:val="en-US"/>
        </w:rPr>
        <w:t xml:space="preserve">, 2022 SCC </w:t>
      </w:r>
      <w:r>
        <w:rPr>
          <w:rFonts w:cs="Times New Roman"/>
          <w:lang w:val="en-US"/>
        </w:rPr>
        <w:t>19</w:t>
      </w:r>
      <w:r w:rsidRPr="00E13133">
        <w:rPr>
          <w:rFonts w:cs="Times New Roman"/>
          <w:lang w:val="en-US"/>
        </w:rPr>
        <w:t>) (the “</w:t>
      </w:r>
      <w:r w:rsidRPr="00E13133">
        <w:rPr>
          <w:rFonts w:cs="Times New Roman"/>
          <w:i/>
          <w:lang w:val="en-US"/>
        </w:rPr>
        <w:t>Sullivan</w:t>
      </w:r>
      <w:r w:rsidRPr="00E13133">
        <w:rPr>
          <w:rFonts w:cs="Times New Roman"/>
          <w:lang w:val="en-US"/>
        </w:rPr>
        <w:t xml:space="preserve"> and </w:t>
      </w:r>
      <w:r w:rsidRPr="00E13133">
        <w:rPr>
          <w:rFonts w:cs="Times New Roman"/>
          <w:i/>
          <w:lang w:val="en-US"/>
        </w:rPr>
        <w:t>Chan</w:t>
      </w:r>
      <w:r w:rsidRPr="00E13133">
        <w:rPr>
          <w:rFonts w:cs="Times New Roman"/>
          <w:lang w:val="en-US"/>
        </w:rPr>
        <w:t xml:space="preserve"> appeals”). The Court is asked in all three cases to decide upon the constitutionality of </w:t>
      </w:r>
      <w:r w:rsidRPr="00E13133">
        <w:rPr>
          <w:rFonts w:cs="Times New Roman"/>
          <w:i/>
          <w:lang w:val="en-US"/>
        </w:rPr>
        <w:t>An Act to amend the Criminal Code (self</w:t>
      </w:r>
      <w:r w:rsidRPr="00E13133">
        <w:rPr>
          <w:rFonts w:cs="Times New Roman"/>
          <w:i/>
          <w:lang w:val="en-US"/>
        </w:rPr>
        <w:noBreakHyphen/>
        <w:t>induced intoxication)</w:t>
      </w:r>
      <w:r w:rsidRPr="00E13133">
        <w:rPr>
          <w:rFonts w:cs="Times New Roman"/>
          <w:lang w:val="en-US"/>
        </w:rPr>
        <w:t>, S.C. 1995, c. 32 (“Bill C</w:t>
      </w:r>
      <w:r w:rsidRPr="00E13133">
        <w:rPr>
          <w:rFonts w:cs="Times New Roman"/>
          <w:lang w:val="en-US"/>
        </w:rPr>
        <w:noBreakHyphen/>
        <w:t xml:space="preserve">72”), in light of, on the one hand, the principles of fundamental justice and the presumption of innocence guaranteed to the accused by ss. 7 and 11(d) of the </w:t>
      </w:r>
      <w:r w:rsidRPr="00E13133">
        <w:rPr>
          <w:rFonts w:cs="Times New Roman"/>
          <w:i/>
          <w:lang w:val="en-US"/>
        </w:rPr>
        <w:t>Canadian Charter of Rights and Freedoms</w:t>
      </w:r>
      <w:r w:rsidRPr="00E13133">
        <w:rPr>
          <w:rFonts w:cs="Times New Roman"/>
          <w:lang w:val="en-US"/>
        </w:rPr>
        <w:t xml:space="preserve"> and, on the other, Parliament’s aims to protect victims of intoxicated violence, in particular women and children, and hold perpetrators to account.</w:t>
      </w:r>
    </w:p>
    <w:p w14:paraId="5364D8AD" w14:textId="77777777" w:rsidR="00377DDF" w:rsidRPr="00E13133" w:rsidRDefault="00377DDF" w:rsidP="00377DDF">
      <w:pPr>
        <w:pStyle w:val="ParaNoNdepar-AltN"/>
        <w:rPr>
          <w:rFonts w:cs="Times New Roman"/>
          <w:lang w:val="en-US"/>
        </w:rPr>
      </w:pPr>
      <w:r w:rsidRPr="00E13133">
        <w:rPr>
          <w:rFonts w:cs="Times New Roman"/>
          <w:lang w:val="en-US"/>
        </w:rPr>
        <w:t xml:space="preserve">These are not drunkenness cases. The accused in each of these appeals consumed drugs which, they argued, taken alone or in combination with alcohol, provoked psychotic, delusional and involuntary conduct, which are reactions not generally associated with drunkenness. As I note below, there is good reason to believe Parliament understood that alcohol alone is unlikely to bring about the delusional state akin to automatism it sought to regulate in enacting s. 33.1 of the </w:t>
      </w:r>
      <w:r w:rsidRPr="00E13133">
        <w:rPr>
          <w:rFonts w:cs="Times New Roman"/>
          <w:i/>
          <w:lang w:val="en-US"/>
        </w:rPr>
        <w:t>Criminal Code</w:t>
      </w:r>
      <w:r w:rsidRPr="00E13133">
        <w:rPr>
          <w:rFonts w:cs="Times New Roman"/>
          <w:lang w:val="en-US"/>
        </w:rPr>
        <w:t>, R.S.C. 1985, c. C</w:t>
      </w:r>
      <w:r w:rsidRPr="00E13133">
        <w:rPr>
          <w:rFonts w:cs="Times New Roman"/>
          <w:lang w:val="en-US"/>
        </w:rPr>
        <w:noBreakHyphen/>
        <w:t xml:space="preserve">46. As Lauwers J.A. wrote in </w:t>
      </w:r>
      <w:r w:rsidRPr="00E13133">
        <w:rPr>
          <w:rFonts w:cs="Times New Roman"/>
          <w:i/>
          <w:lang w:val="en-US"/>
        </w:rPr>
        <w:t>R. v. Sullivan</w:t>
      </w:r>
      <w:r w:rsidRPr="00E13133">
        <w:rPr>
          <w:rFonts w:cs="Times New Roman"/>
          <w:lang w:val="en-US"/>
        </w:rPr>
        <w:t xml:space="preserve">, 2020 ONCA 333, 151 O.R. (3d) 353, “it is not clear that extreme alcohol intoxication causes non-mental disorder automatism as a matter of basic science” (para. 288). In any event, these reasons say nothing about criminal liability for violent conduct produced by alcohol alone short of the psychotic state akin to automatism experienced by Mr. Brown and spoken to by the trial judge. I specifically leave intact the common law rule that drunkenness, absent clear scientific evidence of automatism, is not a defence to general intent crimes, including crimes of violence such as sexual assault. </w:t>
      </w:r>
    </w:p>
    <w:p w14:paraId="5ED936F8" w14:textId="77777777" w:rsidR="00377DDF" w:rsidRPr="00E13133" w:rsidRDefault="00377DDF" w:rsidP="00377DDF">
      <w:pPr>
        <w:pStyle w:val="ParaNoNdepar-AltN"/>
        <w:rPr>
          <w:rFonts w:cs="Times New Roman"/>
          <w:lang w:val="en-US"/>
        </w:rPr>
      </w:pPr>
      <w:r w:rsidRPr="00E13133">
        <w:rPr>
          <w:rFonts w:cs="Times New Roman"/>
          <w:lang w:val="en-US"/>
        </w:rPr>
        <w:t>It thus bears emphasizing that Mr. Brown was not simply drunk or high. To be plain: it is the law in Canada that intoxication short of automatism is not a defence to the kind of violent crime at issue here. The outcome of the constitutional questions in these appeals has no impact on the rule that intoxication short of automatism is not a defence to violent crimes of general intent in this country.</w:t>
      </w:r>
    </w:p>
    <w:p w14:paraId="4E1EA4EE" w14:textId="77777777" w:rsidR="00377DDF" w:rsidRPr="00E13133" w:rsidRDefault="00377DDF" w:rsidP="00377DDF">
      <w:pPr>
        <w:pStyle w:val="ParaNoNdepar-AltN"/>
        <w:rPr>
          <w:rFonts w:cs="Times New Roman"/>
          <w:lang w:val="en-US"/>
        </w:rPr>
      </w:pPr>
      <w:r w:rsidRPr="00E13133">
        <w:rPr>
          <w:rFonts w:cs="Times New Roman"/>
          <w:lang w:val="en-US"/>
        </w:rPr>
        <w:t xml:space="preserve">Parliament added s. 33.1 largely in response to </w:t>
      </w:r>
      <w:r w:rsidRPr="00E13133">
        <w:rPr>
          <w:rFonts w:cs="Times New Roman"/>
          <w:i/>
          <w:lang w:val="en-US"/>
        </w:rPr>
        <w:t>R. v. Daviault</w:t>
      </w:r>
      <w:r w:rsidRPr="00E13133">
        <w:rPr>
          <w:rFonts w:cs="Times New Roman"/>
          <w:lang w:val="en-US"/>
        </w:rPr>
        <w:t xml:space="preserve">, [1994] 3 S.C.R. 63. In that case, the Court confirmed the common law rule that intoxication is not a defence to crimes of general intent. The majority in </w:t>
      </w:r>
      <w:r w:rsidRPr="00E13133">
        <w:rPr>
          <w:rFonts w:cs="Times New Roman"/>
          <w:i/>
          <w:lang w:val="en-US"/>
        </w:rPr>
        <w:t>Daviault</w:t>
      </w:r>
      <w:r w:rsidRPr="00E13133">
        <w:rPr>
          <w:rFonts w:cs="Times New Roman"/>
          <w:lang w:val="en-US"/>
        </w:rPr>
        <w:t xml:space="preserve"> recognized, however, that the </w:t>
      </w:r>
      <w:r w:rsidRPr="00E13133">
        <w:rPr>
          <w:rFonts w:cs="Times New Roman"/>
          <w:i/>
          <w:lang w:val="en-US"/>
        </w:rPr>
        <w:t>Charter</w:t>
      </w:r>
      <w:r w:rsidRPr="00E13133">
        <w:rPr>
          <w:rFonts w:cs="Times New Roman"/>
          <w:lang w:val="en-US"/>
        </w:rPr>
        <w:t xml:space="preserve"> mandated an exception to the common law rule: where intoxication is so extreme that an accused falls into a condition akin to automatism, a conviction for the offence charged would violate ss. 7 and 11(d) of the </w:t>
      </w:r>
      <w:r w:rsidRPr="00E13133">
        <w:rPr>
          <w:rFonts w:cs="Times New Roman"/>
          <w:i/>
          <w:lang w:val="en-US"/>
        </w:rPr>
        <w:t>Charter</w:t>
      </w:r>
      <w:r w:rsidRPr="00E13133">
        <w:rPr>
          <w:rFonts w:cs="Times New Roman"/>
          <w:lang w:val="en-US"/>
        </w:rPr>
        <w:t>. It would be unfair, reasoned the Court, to hold an individual responsible for crimes committed while in a state of automatism, as they are incapable of voluntarily committing a guilty act or of having a guilty mind.</w:t>
      </w:r>
    </w:p>
    <w:p w14:paraId="08AA1A54" w14:textId="77777777" w:rsidR="00377DDF" w:rsidRPr="00E13133" w:rsidRDefault="00377DDF" w:rsidP="00377DDF">
      <w:pPr>
        <w:pStyle w:val="ParaNoNdepar-AltN"/>
        <w:rPr>
          <w:rFonts w:cs="Times New Roman"/>
          <w:lang w:val="en-US"/>
        </w:rPr>
      </w:pPr>
      <w:r w:rsidRPr="00E13133">
        <w:rPr>
          <w:rFonts w:cs="Times New Roman"/>
          <w:lang w:val="en-US"/>
        </w:rPr>
        <w:t xml:space="preserve">Crown counsel in this appeal and the </w:t>
      </w:r>
      <w:r w:rsidRPr="00E13133">
        <w:rPr>
          <w:rFonts w:cs="Times New Roman"/>
          <w:i/>
          <w:lang w:val="en-US"/>
        </w:rPr>
        <w:t>Sullivan</w:t>
      </w:r>
      <w:r w:rsidRPr="00E13133">
        <w:rPr>
          <w:rFonts w:cs="Times New Roman"/>
          <w:lang w:val="en-US"/>
        </w:rPr>
        <w:t xml:space="preserve"> and </w:t>
      </w:r>
      <w:r w:rsidRPr="00E13133">
        <w:rPr>
          <w:rFonts w:cs="Times New Roman"/>
          <w:i/>
          <w:lang w:val="en-US"/>
        </w:rPr>
        <w:t>Chan</w:t>
      </w:r>
      <w:r w:rsidRPr="00E13133">
        <w:rPr>
          <w:rFonts w:cs="Times New Roman"/>
          <w:lang w:val="en-US"/>
        </w:rPr>
        <w:t xml:space="preserve"> appeals recall that the </w:t>
      </w:r>
      <w:r w:rsidRPr="00E13133">
        <w:rPr>
          <w:rFonts w:cs="Times New Roman"/>
          <w:i/>
          <w:lang w:val="en-US"/>
        </w:rPr>
        <w:t>Daviault</w:t>
      </w:r>
      <w:r w:rsidRPr="00E13133">
        <w:rPr>
          <w:rFonts w:cs="Times New Roman"/>
          <w:lang w:val="en-US"/>
        </w:rPr>
        <w:t xml:space="preserve"> exception was met with public incomprehension and disapproval. In dissent, Sopinka J. anticipated this grievance when he wrote that those who voluntarily render themselves intoxicated and then violently cause bodily harm to others are “far from blameless” (p. 128). In order to address the constitutional failings identified by the majority of the Court in a manner that would properly reflect the blameworthiness of the extremely self</w:t>
      </w:r>
      <w:r w:rsidRPr="00E13133">
        <w:rPr>
          <w:rFonts w:cs="Times New Roman"/>
          <w:lang w:val="en-US"/>
        </w:rPr>
        <w:noBreakHyphen/>
        <w:t>intoxicated accused identified by the dissent, Parliament enacted s. 33.1. The new provision purported to remove the defence of automatism for the extremely self-intoxicated accused and put in place a constitutionally</w:t>
      </w:r>
      <w:r w:rsidRPr="00E13133">
        <w:rPr>
          <w:rFonts w:cs="Times New Roman"/>
          <w:lang w:val="en-US"/>
        </w:rPr>
        <w:noBreakHyphen/>
        <w:t xml:space="preserve">compliant measure of criminal fault for the underlying violent offence. The Crown and the intervening attorneys general urge us to interpret s. 33.1 as validly imposing liability for violent crimes based on a standard of criminal negligence that would answer the violations of the </w:t>
      </w:r>
      <w:r w:rsidRPr="00E13133">
        <w:rPr>
          <w:rFonts w:cs="Times New Roman"/>
          <w:i/>
          <w:lang w:val="en-US"/>
        </w:rPr>
        <w:t>Charter</w:t>
      </w:r>
      <w:r w:rsidRPr="00E13133">
        <w:rPr>
          <w:rFonts w:cs="Times New Roman"/>
          <w:lang w:val="en-US"/>
        </w:rPr>
        <w:t xml:space="preserve"> pointed to in </w:t>
      </w:r>
      <w:r w:rsidRPr="00E13133">
        <w:rPr>
          <w:rFonts w:cs="Times New Roman"/>
          <w:i/>
          <w:lang w:val="en-US"/>
        </w:rPr>
        <w:t>Daviault</w:t>
      </w:r>
      <w:r w:rsidRPr="00E13133">
        <w:rPr>
          <w:rFonts w:cs="Times New Roman"/>
          <w:lang w:val="en-US"/>
        </w:rPr>
        <w:t xml:space="preserve">. </w:t>
      </w:r>
    </w:p>
    <w:p w14:paraId="00C0B028" w14:textId="77777777" w:rsidR="00377DDF" w:rsidRPr="00E13133" w:rsidRDefault="00377DDF" w:rsidP="00377DDF">
      <w:pPr>
        <w:pStyle w:val="ParaNoNdepar-AltN"/>
        <w:rPr>
          <w:rFonts w:cs="Times New Roman"/>
          <w:lang w:val="en-US"/>
        </w:rPr>
      </w:pPr>
      <w:r w:rsidRPr="00E13133">
        <w:rPr>
          <w:rFonts w:cs="Times New Roman"/>
          <w:lang w:val="en-US"/>
        </w:rPr>
        <w:t xml:space="preserve">But the impugned provision of the </w:t>
      </w:r>
      <w:r w:rsidRPr="00E13133">
        <w:rPr>
          <w:rFonts w:cs="Times New Roman"/>
          <w:i/>
          <w:lang w:val="en-US"/>
        </w:rPr>
        <w:t>Criminal Code</w:t>
      </w:r>
      <w:r w:rsidRPr="00E13133">
        <w:rPr>
          <w:rFonts w:cs="Times New Roman"/>
          <w:lang w:val="en-US"/>
        </w:rPr>
        <w:t xml:space="preserve"> does not establish a proper measure of criminal fault by reason of intoxication. Instead, s. 33.1 imposes liability for the violent offence if an accused interferes with the bodily integrity of another “while” in a state of self</w:t>
      </w:r>
      <w:r w:rsidRPr="00E13133">
        <w:rPr>
          <w:rFonts w:cs="Times New Roman"/>
          <w:lang w:val="en-US"/>
        </w:rPr>
        <w:noBreakHyphen/>
        <w:t>induced intoxication rendering them incapable of consciously controlling their behaviour. Section 33.1 treats extreme voluntary intoxication, foreseeable or otherwise, as a condition of liability for the underlying violent offence and not as a measure of fault based on criminal negligence.</w:t>
      </w:r>
    </w:p>
    <w:p w14:paraId="7B32A560" w14:textId="77777777" w:rsidR="00377DDF" w:rsidRPr="00E13133" w:rsidRDefault="00377DDF" w:rsidP="00377DDF">
      <w:pPr>
        <w:pStyle w:val="ParaNoNdepar-AltN"/>
        <w:rPr>
          <w:rFonts w:cs="Times New Roman"/>
          <w:lang w:val="en-US"/>
        </w:rPr>
      </w:pPr>
      <w:r w:rsidRPr="00E13133">
        <w:rPr>
          <w:rFonts w:cs="Times New Roman"/>
          <w:lang w:val="en-US"/>
        </w:rPr>
        <w:t xml:space="preserve">Accordingly, the accused risks conviction for the relevant general intent offence — in Mr. Brown’s case, for aggravated assault — based on conduct that occurred while they are incapable of committing the guilty act (the </w:t>
      </w:r>
      <w:r w:rsidRPr="00E13133">
        <w:rPr>
          <w:rFonts w:cs="Times New Roman"/>
          <w:i/>
          <w:lang w:val="en-US"/>
        </w:rPr>
        <w:t>actus reus</w:t>
      </w:r>
      <w:r w:rsidRPr="00E13133">
        <w:rPr>
          <w:rFonts w:cs="Times New Roman"/>
          <w:lang w:val="en-US"/>
        </w:rPr>
        <w:t>) or of having the guilty mind (</w:t>
      </w:r>
      <w:r w:rsidRPr="00E13133">
        <w:rPr>
          <w:rFonts w:cs="Times New Roman"/>
          <w:i/>
          <w:lang w:val="en-US"/>
        </w:rPr>
        <w:t>mens rea</w:t>
      </w:r>
      <w:r w:rsidRPr="00E13133">
        <w:rPr>
          <w:rFonts w:cs="Times New Roman"/>
          <w:lang w:val="en-US"/>
        </w:rPr>
        <w:t>) required to justify conviction and punishment. They are not being held to account for their conduct undertaken as free agents, including the choice to ingest an intoxicant undertaken when neither the risk of automatism nor the risk of harm was necessarily foreseeable. Instead, the accused is called to answer for the general intent crime that they cannot voluntarily or wilfully commit, an offence for which the whole weight of the criminal law and ss</w:t>
      </w:r>
      <w:r w:rsidRPr="00E13133">
        <w:rPr>
          <w:rFonts w:cs="Times New Roman"/>
          <w:szCs w:val="24"/>
          <w:lang w:val="en-US"/>
        </w:rPr>
        <w:t>. 7 and 11(d) say they may be morally innocent. To deprive a person of their liberty for that involuntary conduct committed in a state akin to automatism — conduct that cannot be criminal — violates the principles of fundamental justice in a system of criminal justice based on personal responsibility for one’s actions</w:t>
      </w:r>
      <w:r w:rsidRPr="00E13133">
        <w:rPr>
          <w:rFonts w:cs="Times New Roman"/>
          <w:lang w:val="en-US"/>
        </w:rPr>
        <w:t>. On its face, not only does the text of s. 33.1 fail to provide a constitutionally compliant fault for the underlying offence set out in its third paragraph, it creates what amounts to a crime of absolute liability.</w:t>
      </w:r>
    </w:p>
    <w:p w14:paraId="60FF5294" w14:textId="77777777" w:rsidR="00377DDF" w:rsidRPr="00E13133" w:rsidRDefault="00377DDF" w:rsidP="00377DDF">
      <w:pPr>
        <w:pStyle w:val="ParaNoNdepar-AltN"/>
        <w:rPr>
          <w:rFonts w:cs="Times New Roman"/>
          <w:lang w:val="en-US"/>
        </w:rPr>
      </w:pPr>
      <w:r w:rsidRPr="00E13133">
        <w:rPr>
          <w:rFonts w:cs="Times New Roman"/>
          <w:lang w:val="en-US"/>
        </w:rPr>
        <w:t>I hasten to say that there may well have been other paths for Parliament to achieve its legitimate aims connected to combatting extreme intoxicated violence. The sense that an accused who acts violently in a state of extreme self</w:t>
      </w:r>
      <w:r w:rsidRPr="00E13133">
        <w:rPr>
          <w:rFonts w:cs="Times New Roman"/>
          <w:lang w:val="en-US"/>
        </w:rPr>
        <w:noBreakHyphen/>
        <w:t xml:space="preserve">induced intoxication is morally blameworthy is by no means beyond the proper reach of the criminal law. Protecting the victims of violent crime — particularly in light of the equality and dignity interests of women and children who are vulnerable to intoxicated sexual and domestic violence — is a pressing and substantial social purpose. And as I shall </w:t>
      </w:r>
      <w:proofErr w:type="spellStart"/>
      <w:r w:rsidRPr="00E13133">
        <w:rPr>
          <w:rFonts w:cs="Times New Roman"/>
          <w:lang w:val="en-US"/>
        </w:rPr>
        <w:t>endeavour</w:t>
      </w:r>
      <w:proofErr w:type="spellEnd"/>
      <w:r w:rsidRPr="00E13133">
        <w:rPr>
          <w:rFonts w:cs="Times New Roman"/>
          <w:lang w:val="en-US"/>
        </w:rPr>
        <w:t xml:space="preserve"> to show, it was not impermissible for Parliament to enact legislation seeking to hold an extremely intoxicated person accountable for a violent crime when they chose to create the risk of harm by ingesting intoxicants.</w:t>
      </w:r>
    </w:p>
    <w:p w14:paraId="3E0FE323" w14:textId="77777777" w:rsidR="00377DDF" w:rsidRPr="00E13133" w:rsidRDefault="00377DDF" w:rsidP="00377DDF">
      <w:pPr>
        <w:pStyle w:val="ParaNoNdepar-AltN"/>
        <w:rPr>
          <w:rFonts w:cs="Times New Roman"/>
          <w:lang w:val="en-US"/>
        </w:rPr>
      </w:pPr>
      <w:r w:rsidRPr="00E13133">
        <w:rPr>
          <w:rFonts w:cs="Times New Roman"/>
          <w:lang w:val="en-US"/>
        </w:rPr>
        <w:t xml:space="preserve">The alternatives to the constitutionally fragile s. 33.1 strike different balances between individual rights and societal interests and, no doubt, each has advantages and shortcomings as a matter of social policy. Some of these options would be manifestly fairer to the accused while achieving some, if not all, of Parliament’s objectives. I am mindful that it is not the role of the courts to set social policy, much less draft legislation for Parliament, as courts are not institutionally designed for these tasks. But it is relevant to the analysis that follows that, as noted by the majority in </w:t>
      </w:r>
      <w:r w:rsidRPr="00E13133">
        <w:rPr>
          <w:rFonts w:cs="Times New Roman"/>
          <w:i/>
          <w:lang w:val="en-US"/>
        </w:rPr>
        <w:t>Daviault</w:t>
      </w:r>
      <w:r w:rsidRPr="00E13133">
        <w:rPr>
          <w:rFonts w:cs="Times New Roman"/>
          <w:lang w:val="en-US"/>
        </w:rPr>
        <w:t xml:space="preserve"> itself (p. 100) and by the majority of the Court of Appeal in </w:t>
      </w:r>
      <w:r w:rsidRPr="00E13133">
        <w:rPr>
          <w:rFonts w:cs="Times New Roman"/>
          <w:i/>
          <w:lang w:val="en-US"/>
        </w:rPr>
        <w:t>Sullivan</w:t>
      </w:r>
      <w:r w:rsidRPr="00E13133">
        <w:rPr>
          <w:rFonts w:cs="Times New Roman"/>
          <w:lang w:val="en-US"/>
        </w:rPr>
        <w:t xml:space="preserve"> (para. 132), it would likely be open to Parliament to establish a stand</w:t>
      </w:r>
      <w:r w:rsidRPr="00E13133">
        <w:rPr>
          <w:rFonts w:cs="Times New Roman"/>
          <w:lang w:val="en-US"/>
        </w:rPr>
        <w:noBreakHyphen/>
        <w:t xml:space="preserve">alone offence of criminal intoxication. Others, including the </w:t>
      </w:r>
      <w:r w:rsidRPr="00E13133">
        <w:rPr>
          <w:rFonts w:cs="Times New Roman"/>
          <w:i/>
          <w:lang w:val="en-US"/>
        </w:rPr>
        <w:t>voir dire</w:t>
      </w:r>
      <w:r w:rsidRPr="00E13133">
        <w:rPr>
          <w:rFonts w:cs="Times New Roman"/>
          <w:lang w:val="en-US"/>
        </w:rPr>
        <w:t xml:space="preserve"> judge in this very case (2019 ABQB 770, at para. 80 (CanLII)), have suggested liability for the underlying offence would be possible if the legal standard of criminal negligence required proof that both of the risks of a loss of control and of the harm that follows were reasonably foreseeable. In either of these ways, Parliament would be enacting a law rooted in a “moral instinct” that says a person who chooses to become extremely intoxicated may fairly be held responsible for creating a situation where they threaten the physical integrity of others (I borrow the phrase “moral instinct” from Professors M. </w:t>
      </w:r>
      <w:proofErr w:type="spellStart"/>
      <w:r w:rsidRPr="00E13133">
        <w:rPr>
          <w:rFonts w:cs="Times New Roman"/>
          <w:lang w:val="en-US"/>
        </w:rPr>
        <w:t>Plaxton</w:t>
      </w:r>
      <w:proofErr w:type="spellEnd"/>
      <w:r w:rsidRPr="00E13133">
        <w:rPr>
          <w:rFonts w:cs="Times New Roman"/>
          <w:lang w:val="en-US"/>
        </w:rPr>
        <w:t xml:space="preserve"> and C. </w:t>
      </w:r>
      <w:proofErr w:type="spellStart"/>
      <w:r w:rsidRPr="00E13133">
        <w:rPr>
          <w:rFonts w:cs="Times New Roman"/>
          <w:lang w:val="en-US"/>
        </w:rPr>
        <w:t>Mathen</w:t>
      </w:r>
      <w:proofErr w:type="spellEnd"/>
      <w:r w:rsidRPr="00E13133">
        <w:rPr>
          <w:rFonts w:cs="Times New Roman"/>
          <w:lang w:val="en-US"/>
        </w:rPr>
        <w:t xml:space="preserve">, “What’s Right With Section 33.1” (2021), 25 </w:t>
      </w:r>
      <w:r w:rsidRPr="00E13133">
        <w:rPr>
          <w:rFonts w:cs="Times New Roman"/>
          <w:i/>
          <w:lang w:val="en-US"/>
        </w:rPr>
        <w:t>Can. Crim. L.R.</w:t>
      </w:r>
      <w:r w:rsidRPr="00E13133">
        <w:rPr>
          <w:rFonts w:cs="Times New Roman"/>
          <w:lang w:val="en-US"/>
        </w:rPr>
        <w:t xml:space="preserve"> 255, at p. 257).</w:t>
      </w:r>
    </w:p>
    <w:p w14:paraId="02899AB9" w14:textId="1C73DFF8" w:rsidR="00377DDF" w:rsidRPr="00E13133" w:rsidRDefault="00377DDF" w:rsidP="00377DDF">
      <w:pPr>
        <w:pStyle w:val="ParaNoNdepar-AltN"/>
        <w:rPr>
          <w:rFonts w:cs="Times New Roman"/>
          <w:lang w:val="en-US"/>
        </w:rPr>
      </w:pPr>
      <w:r w:rsidRPr="00E13133">
        <w:rPr>
          <w:rFonts w:cs="Times New Roman"/>
          <w:lang w:val="en-US"/>
        </w:rPr>
        <w:t>Parliament did not enact a new offence of dangerous intoxication, nor did it adopt a new mode of</w:t>
      </w:r>
      <w:r w:rsidR="001815AA">
        <w:rPr>
          <w:rFonts w:cs="Times New Roman"/>
          <w:lang w:val="en-US"/>
        </w:rPr>
        <w:t xml:space="preserve"> liability for existing violent</w:t>
      </w:r>
      <w:r w:rsidRPr="00E13133">
        <w:rPr>
          <w:rFonts w:cs="Times New Roman"/>
          <w:lang w:val="en-US"/>
        </w:rPr>
        <w:t xml:space="preserve"> offences based on a proper standard of criminal negligence. With the utmost respect, I am bound to conclude the path Parliament chose in enacting s. 33.1 was not, from the point of view of ss. 7 and 11(d) of the </w:t>
      </w:r>
      <w:r w:rsidRPr="00E13133">
        <w:rPr>
          <w:rFonts w:cs="Times New Roman"/>
          <w:i/>
          <w:lang w:val="en-US"/>
        </w:rPr>
        <w:t>Charter</w:t>
      </w:r>
      <w:r w:rsidRPr="00E13133">
        <w:rPr>
          <w:rFonts w:cs="Times New Roman"/>
          <w:lang w:val="en-US"/>
        </w:rPr>
        <w:t>, constitutionally compliant. I am unable to agree with what the Minister of Justice asserted on the third reading of s. 33.1 in Parliament: “. . . the approach taken in Bill C</w:t>
      </w:r>
      <w:r w:rsidRPr="00E13133">
        <w:rPr>
          <w:rFonts w:cs="Times New Roman"/>
          <w:lang w:val="en-US"/>
        </w:rPr>
        <w:noBreakHyphen/>
        <w:t>72 is fundamentally fair, both to the victims of violence and to those accused of crime” (</w:t>
      </w:r>
      <w:r w:rsidRPr="00E13133">
        <w:rPr>
          <w:rFonts w:cs="Times New Roman"/>
          <w:i/>
          <w:lang w:val="en-US"/>
        </w:rPr>
        <w:t>House of Commons Debates</w:t>
      </w:r>
      <w:r w:rsidRPr="00E13133">
        <w:rPr>
          <w:rFonts w:cs="Times New Roman"/>
          <w:lang w:val="en-US"/>
        </w:rPr>
        <w:t xml:space="preserve"> (“Hansard”), vol. 133, No. 224, 1st Sess., 35th Parl., June 22, 1995, at p. 14470).</w:t>
      </w:r>
    </w:p>
    <w:p w14:paraId="740158FC" w14:textId="77777777" w:rsidR="00377DDF" w:rsidRPr="00E13133" w:rsidRDefault="00377DDF" w:rsidP="00377DDF">
      <w:pPr>
        <w:pStyle w:val="ParaNoNdepar-AltN"/>
        <w:rPr>
          <w:rFonts w:cs="Times New Roman"/>
          <w:lang w:val="en-US"/>
        </w:rPr>
      </w:pPr>
      <w:r w:rsidRPr="00E13133">
        <w:rPr>
          <w:rFonts w:cs="Times New Roman"/>
          <w:lang w:val="en-US"/>
        </w:rPr>
        <w:t xml:space="preserve">The violations of the rights of the accused in respect of the principles of fundamental justice and the presumption of innocence occasioned by s. 33.1 are grave. Notwithstanding Parliament’s laudable purpose, s. 33.1 is not saved by s. 1 of the </w:t>
      </w:r>
      <w:r w:rsidRPr="00E13133">
        <w:rPr>
          <w:rFonts w:cs="Times New Roman"/>
          <w:i/>
          <w:lang w:val="en-US"/>
        </w:rPr>
        <w:t>Charter</w:t>
      </w:r>
      <w:r w:rsidRPr="00E13133">
        <w:rPr>
          <w:rFonts w:cs="Times New Roman"/>
          <w:lang w:val="en-US"/>
        </w:rPr>
        <w:t xml:space="preserve">. The legitimate goals of protecting the victims of these crimes and holding the extremely self-intoxicated accountable, compelling as they are, do not justify these infringements of the </w:t>
      </w:r>
      <w:r w:rsidRPr="00E13133">
        <w:rPr>
          <w:rFonts w:cs="Times New Roman"/>
          <w:i/>
          <w:lang w:val="en-US"/>
        </w:rPr>
        <w:t>Charter</w:t>
      </w:r>
      <w:r w:rsidRPr="00E13133">
        <w:rPr>
          <w:rFonts w:cs="Times New Roman"/>
          <w:lang w:val="en-US"/>
        </w:rPr>
        <w:t xml:space="preserve"> that so fundamentally upset the tenets of the criminal law. With s. 33.1, Parliament has created a meaningful risk of conviction and punishment of an extremely intoxicated person who, while perhaps blameworthy in some respect, is innocent of the offence as charged according to the requirements of the Constitution.</w:t>
      </w:r>
    </w:p>
    <w:p w14:paraId="72BFBB13" w14:textId="77777777" w:rsidR="00377DDF" w:rsidRPr="00E13133" w:rsidRDefault="00377DDF" w:rsidP="00377DDF">
      <w:pPr>
        <w:pStyle w:val="ParaNoNdepar-AltN"/>
        <w:rPr>
          <w:rFonts w:cs="Times New Roman"/>
          <w:lang w:val="en-US"/>
        </w:rPr>
      </w:pPr>
      <w:r w:rsidRPr="00E13133">
        <w:rPr>
          <w:rFonts w:cs="Times New Roman"/>
          <w:lang w:val="en-US"/>
        </w:rPr>
        <w:t>In the case of Mr. Brown, and on the strength of the findings of fact at trial, the conclusion may be plainly stated. Mr. Brown might well be reproached for choosing to drink alcohol and ingest magic mushrooms prior to the harm suffered by Ms. Hamnett, but that blame cannot ground criminal liability for the aggravated assault that occurred while he was in a state of delirium akin to automatism. On a constitutional standard, he did not commit the guilty act of aggravated assault voluntarily and he was incapable of forming even the minimally</w:t>
      </w:r>
      <w:r w:rsidRPr="00E13133">
        <w:rPr>
          <w:rFonts w:cs="Times New Roman"/>
          <w:lang w:val="en-US"/>
        </w:rPr>
        <w:noBreakHyphen/>
        <w:t xml:space="preserve">required degree of </w:t>
      </w:r>
      <w:r w:rsidRPr="00E13133">
        <w:rPr>
          <w:rFonts w:cs="Times New Roman"/>
          <w:i/>
          <w:lang w:val="en-US"/>
        </w:rPr>
        <w:t>mens rea</w:t>
      </w:r>
      <w:r w:rsidRPr="00E13133">
        <w:rPr>
          <w:rFonts w:cs="Times New Roman"/>
          <w:lang w:val="en-US"/>
        </w:rPr>
        <w:t xml:space="preserve"> required for conviction of that offence. In my respectful view, to punish him in these circumstances, however exceptional they might be, would be intolerable in a free and democratic society. The law imposes the solemn and onerous duty on this Court to declare s. 33.1 unconstitutional (see </w:t>
      </w:r>
      <w:r w:rsidRPr="00E13133">
        <w:rPr>
          <w:rFonts w:cs="Times New Roman"/>
          <w:i/>
          <w:lang w:val="en-US"/>
        </w:rPr>
        <w:t>Re B.C. Motor Vehicle Act</w:t>
      </w:r>
      <w:r w:rsidRPr="00E13133">
        <w:rPr>
          <w:rFonts w:cs="Times New Roman"/>
          <w:lang w:val="en-US"/>
        </w:rPr>
        <w:t>, [1985] 2 S.C.R. 486 (“</w:t>
      </w:r>
      <w:r w:rsidRPr="00E13133">
        <w:rPr>
          <w:rFonts w:cs="Times New Roman"/>
          <w:i/>
          <w:lang w:val="en-US"/>
        </w:rPr>
        <w:t>Motor Vehicle Reference</w:t>
      </w:r>
      <w:r w:rsidRPr="00E13133">
        <w:rPr>
          <w:rFonts w:cs="Times New Roman"/>
          <w:lang w:val="en-US"/>
        </w:rPr>
        <w:t xml:space="preserve">”), at p. 497). For the reasons that follow, I would set aside the judgment of the Court of Appeal, declare s. 33.1 to be of no force and effect pursuant to s. 52(1) of the </w:t>
      </w:r>
      <w:r w:rsidRPr="00E13133">
        <w:rPr>
          <w:rFonts w:cs="Times New Roman"/>
          <w:i/>
          <w:lang w:val="en-US"/>
        </w:rPr>
        <w:t>Constitution Act, 1982</w:t>
      </w:r>
      <w:r w:rsidRPr="00E13133">
        <w:rPr>
          <w:rFonts w:cs="Times New Roman"/>
          <w:lang w:val="en-US"/>
        </w:rPr>
        <w:t>, and restore Mr. Brown’s acquittal rendered at trial.</w:t>
      </w:r>
    </w:p>
    <w:p w14:paraId="4078BEAA" w14:textId="77777777" w:rsidR="00377DDF" w:rsidRPr="00E13133" w:rsidRDefault="00377DDF" w:rsidP="00377DDF">
      <w:pPr>
        <w:pStyle w:val="Title1LevelTitre1Niveau-AltL"/>
        <w:rPr>
          <w:rFonts w:cs="Times New Roman"/>
        </w:rPr>
      </w:pPr>
      <w:r w:rsidRPr="00E13133">
        <w:rPr>
          <w:rFonts w:cs="Times New Roman"/>
        </w:rPr>
        <w:t>Background</w:t>
      </w:r>
    </w:p>
    <w:p w14:paraId="733755D9" w14:textId="77777777" w:rsidR="00377DDF" w:rsidRPr="00E13133" w:rsidRDefault="00377DDF" w:rsidP="00377DDF">
      <w:pPr>
        <w:pStyle w:val="ParaNoNdepar-AltN"/>
        <w:rPr>
          <w:rFonts w:cs="Times New Roman"/>
        </w:rPr>
      </w:pPr>
      <w:r w:rsidRPr="00E13133">
        <w:rPr>
          <w:rFonts w:cs="Times New Roman"/>
        </w:rPr>
        <w:t>At a friend’s house party on a January night in Calgary, Mr. Brown had six or seven mixed drinks, a few beers and consumed several one</w:t>
      </w:r>
      <w:r w:rsidRPr="00E13133">
        <w:rPr>
          <w:rFonts w:cs="Times New Roman"/>
        </w:rPr>
        <w:noBreakHyphen/>
        <w:t>half gram or smaller portions of magic mushrooms. He was 26 years old and in his last year of university and was aware that psilocybin in magic mushrooms is an illegal drug that can bring about hallucinations. He had tried magic mushrooms once before and believed that they generally gave a “fuzzy but positive feeling” (trial reasons, at para. 38).</w:t>
      </w:r>
    </w:p>
    <w:p w14:paraId="2CE55AB9" w14:textId="77777777" w:rsidR="00377DDF" w:rsidRPr="00E13133" w:rsidRDefault="00377DDF" w:rsidP="00377DDF">
      <w:pPr>
        <w:pStyle w:val="ParaNoNdepar-AltN"/>
        <w:rPr>
          <w:rFonts w:cs="Times New Roman"/>
        </w:rPr>
      </w:pPr>
      <w:r w:rsidRPr="00E13133">
        <w:rPr>
          <w:rFonts w:cs="Times New Roman"/>
        </w:rPr>
        <w:t>As Mr. Brown would testify at his trial, at around 1:30 a.m. he felt “wonky” and began to “</w:t>
      </w:r>
      <w:proofErr w:type="spellStart"/>
      <w:r w:rsidRPr="00E13133">
        <w:rPr>
          <w:rFonts w:cs="Times New Roman"/>
        </w:rPr>
        <w:t>los</w:t>
      </w:r>
      <w:proofErr w:type="spellEnd"/>
      <w:r w:rsidRPr="00E13133">
        <w:rPr>
          <w:rFonts w:cs="Times New Roman"/>
        </w:rPr>
        <w:t>[e] [his] grip on reality” (A.R., vol. V, at p. 13). Without any memory of having done so, Mr. Brown removed his clothing and left the house in an agitated state at around 3:45 a.m., running naked and barefoot into the cold winter night. His friends searched for him for about 10 to 15 minutes and then called the police.</w:t>
      </w:r>
    </w:p>
    <w:p w14:paraId="75D62C77" w14:textId="77777777" w:rsidR="00377DDF" w:rsidRPr="00E13133" w:rsidRDefault="00377DDF" w:rsidP="00377DDF">
      <w:pPr>
        <w:pStyle w:val="ParaNoNdepar-AltN"/>
        <w:rPr>
          <w:rFonts w:cs="Times New Roman"/>
        </w:rPr>
      </w:pPr>
      <w:r w:rsidRPr="00E13133">
        <w:rPr>
          <w:rFonts w:cs="Times New Roman"/>
        </w:rPr>
        <w:t xml:space="preserve">In a nearby house, Janet Hamnett was awoken around 4:00 a.m. by a loud noise. When she went to investigate, Ms. Hamnett was attacked by someone she did not know who she later described as a huge presence screaming at the top of his lungs. The intruder was Mr. Brown. Ms. Hamnett fell to the ground and put her arms up as he beat her repeatedly with a broken broom handle. With her head, face and arms covered in blood, she managed to get to a bathroom and lock the door. Mr. Brown left the house and continued into the street. When all appeared quiet Ms. Hamnett sought refuge at a neighbour’s house, at which time the police were called. </w:t>
      </w:r>
      <w:r w:rsidRPr="00E13133">
        <w:rPr>
          <w:rFonts w:eastAsia="Times New Roman" w:cs="Times New Roman"/>
        </w:rPr>
        <w:t>The attack left her with cuts and contusions, as well as broken bones in her right hand which resulted in permanent injuries. She also suffered psychological harm from the incident.</w:t>
      </w:r>
    </w:p>
    <w:p w14:paraId="3474D973" w14:textId="77777777" w:rsidR="00377DDF" w:rsidRPr="00E13133" w:rsidRDefault="00377DDF" w:rsidP="00377DDF">
      <w:pPr>
        <w:pStyle w:val="ParaNoNdepar-AltN"/>
        <w:rPr>
          <w:rFonts w:cs="Times New Roman"/>
        </w:rPr>
      </w:pPr>
      <w:r w:rsidRPr="00E13133">
        <w:rPr>
          <w:rFonts w:cs="Times New Roman"/>
        </w:rPr>
        <w:t>At about 5:00 a.m., Mr. Brown broke into the Varshney residence a kilometer away by throwing a heavy object through the front door window. Mr. and Mrs. Varshney, who did not know Mr. Brown, heard screaming and the sound of breaking glass. They were able to take shelter in their bedroom and call the police. The police found Mr. Brown lying naked on the floor of a bathroom. He was whispering and appeared confused by his surroundings; his feet were visibly bruised and bloodied. Mr. Brown complied with police instructions and was taken for medical care. He recalled coming to in hospital then waking later in a jail cell. Mr. Brown later said he had no memory of what transpired at either of the two homes.</w:t>
      </w:r>
    </w:p>
    <w:p w14:paraId="01C6F350" w14:textId="77777777" w:rsidR="00377DDF" w:rsidRPr="00E13133" w:rsidRDefault="00377DDF" w:rsidP="00377DDF">
      <w:pPr>
        <w:pStyle w:val="ParaNoNdepar-AltN"/>
        <w:rPr>
          <w:rFonts w:cs="Times New Roman"/>
        </w:rPr>
      </w:pPr>
      <w:r w:rsidRPr="00E13133">
        <w:rPr>
          <w:rFonts w:cs="Times New Roman"/>
        </w:rPr>
        <w:t>Mr. Brown had no previous criminal record and no history of mental illness. He was charged with one count of breaking and entering Ms. Hamnett’s home and committing the indictable offence of aggravated assault and one count of breaking and entering the Varshney home and committing the indictable offence of mischief to property over $5,000.</w:t>
      </w:r>
    </w:p>
    <w:p w14:paraId="4870F211" w14:textId="77777777" w:rsidR="00377DDF" w:rsidRPr="00E13133" w:rsidRDefault="00377DDF" w:rsidP="00377DDF">
      <w:pPr>
        <w:pStyle w:val="ParaNoNdepar-AltN"/>
        <w:rPr>
          <w:rFonts w:cs="Times New Roman"/>
        </w:rPr>
      </w:pPr>
      <w:r w:rsidRPr="00E13133">
        <w:rPr>
          <w:rFonts w:cs="Times New Roman"/>
        </w:rPr>
        <w:t xml:space="preserve">At trial, Mr. Brown argued that he was not guilty of the offences charged by reason of automatism. He claimed to have been so impaired by the consumption of psilocybin that his actions were involuntary and that he did not have the necessary </w:t>
      </w:r>
      <w:r w:rsidRPr="00E13133">
        <w:rPr>
          <w:rFonts w:cs="Times New Roman"/>
          <w:i/>
        </w:rPr>
        <w:t>mens rea</w:t>
      </w:r>
      <w:r w:rsidRPr="00E13133">
        <w:rPr>
          <w:rFonts w:cs="Times New Roman"/>
        </w:rPr>
        <w:t xml:space="preserve"> for conviction of aggravated assault or mischief to property. Expert evidence adduced at trial confirmed that that the psilocybin was the “clear causative factor” for what was described as the accused’s delirium (trial reasons, at para. 73). On the basis of this evidence, Mr. Brown was said to have no voluntary control over his conduct at the time.</w:t>
      </w:r>
    </w:p>
    <w:p w14:paraId="30036440" w14:textId="77777777" w:rsidR="00377DDF" w:rsidRPr="00E13133" w:rsidRDefault="00377DDF" w:rsidP="00377DDF">
      <w:pPr>
        <w:pStyle w:val="ParaNoNdepar-AltN"/>
        <w:rPr>
          <w:rFonts w:cs="Times New Roman"/>
        </w:rPr>
      </w:pPr>
      <w:r w:rsidRPr="00E13133">
        <w:rPr>
          <w:rFonts w:cs="Times New Roman"/>
        </w:rPr>
        <w:t>The Crown invoked s. 33.1 as a means of precluding Mr. Brown from relying on self</w:t>
      </w:r>
      <w:r w:rsidRPr="00E13133">
        <w:rPr>
          <w:rFonts w:cs="Times New Roman"/>
        </w:rPr>
        <w:noBreakHyphen/>
        <w:t xml:space="preserve">induced intoxication akin to automatism as a defence to the charge of aggravated assault. Mr. Brown answered that, insofar as it prevented him from raising automatism as a defence, s. 33.1 violated ss. 7 and 11(d) of the </w:t>
      </w:r>
      <w:r w:rsidRPr="00E13133">
        <w:rPr>
          <w:rFonts w:cs="Times New Roman"/>
          <w:i/>
        </w:rPr>
        <w:t>Charter</w:t>
      </w:r>
      <w:r w:rsidRPr="00E13133">
        <w:rPr>
          <w:rFonts w:cs="Times New Roman"/>
        </w:rPr>
        <w:t xml:space="preserve"> and could not be saved by s. 1. He said that the defence should be available to him against both charges, including the offence relating to the aggravated assault to which s. 33.1 purportedly applied.</w:t>
      </w:r>
    </w:p>
    <w:p w14:paraId="0D29AF37" w14:textId="77777777" w:rsidR="00377DDF" w:rsidRPr="00E13133" w:rsidRDefault="00377DDF" w:rsidP="00377DDF">
      <w:pPr>
        <w:pStyle w:val="Title1LevelTitre1Niveau-AltL"/>
        <w:rPr>
          <w:rFonts w:cs="Times New Roman"/>
        </w:rPr>
      </w:pPr>
      <w:r w:rsidRPr="00E13133">
        <w:rPr>
          <w:rFonts w:cs="Times New Roman"/>
        </w:rPr>
        <w:t>Proceedings Below</w:t>
      </w:r>
    </w:p>
    <w:p w14:paraId="13337ACB" w14:textId="77777777" w:rsidR="00377DDF" w:rsidRPr="00E13133" w:rsidRDefault="00377DDF" w:rsidP="00377DDF">
      <w:pPr>
        <w:pStyle w:val="Title2LevelTitre2Niveau"/>
        <w:rPr>
          <w:rFonts w:cs="Times New Roman"/>
        </w:rPr>
      </w:pPr>
      <w:r w:rsidRPr="00E13133">
        <w:rPr>
          <w:rFonts w:cs="Times New Roman"/>
        </w:rPr>
        <w:t>Alberta Court of Queen’s Bench</w:t>
      </w:r>
    </w:p>
    <w:p w14:paraId="38FA7EDC" w14:textId="77777777" w:rsidR="00377DDF" w:rsidRPr="00E13133" w:rsidRDefault="00377DDF" w:rsidP="00377DDF">
      <w:pPr>
        <w:pStyle w:val="Title3LevelTitre3Niveau"/>
        <w:rPr>
          <w:rFonts w:cs="Times New Roman"/>
        </w:rPr>
      </w:pPr>
      <w:r w:rsidRPr="00E13133">
        <w:rPr>
          <w:rFonts w:cs="Times New Roman"/>
        </w:rPr>
        <w:t>The Constitutional Ruling, 2019 ABQB 770 (deWit J.)</w:t>
      </w:r>
    </w:p>
    <w:p w14:paraId="7CE191D7" w14:textId="77777777" w:rsidR="00377DDF" w:rsidRPr="00E13133" w:rsidRDefault="00377DDF" w:rsidP="00377DDF">
      <w:pPr>
        <w:pStyle w:val="ParaNoNdepar-AltN"/>
        <w:rPr>
          <w:rFonts w:cs="Times New Roman"/>
        </w:rPr>
      </w:pPr>
      <w:r w:rsidRPr="00E13133">
        <w:rPr>
          <w:rFonts w:cs="Times New Roman"/>
        </w:rPr>
        <w:t xml:space="preserve">In a judgment rendered following a </w:t>
      </w:r>
      <w:r w:rsidRPr="00E13133">
        <w:rPr>
          <w:rFonts w:cs="Times New Roman"/>
          <w:i/>
        </w:rPr>
        <w:t>voir dire</w:t>
      </w:r>
      <w:r w:rsidRPr="00E13133">
        <w:rPr>
          <w:rFonts w:cs="Times New Roman"/>
        </w:rPr>
        <w:t xml:space="preserve">, deWit J. concluded that s. 33.1 violated the principles of fundamental justice and the presumption of innocence guaranteed by the </w:t>
      </w:r>
      <w:r w:rsidRPr="00E13133">
        <w:rPr>
          <w:rFonts w:cs="Times New Roman"/>
          <w:i/>
        </w:rPr>
        <w:t>Charter</w:t>
      </w:r>
      <w:r w:rsidRPr="00E13133">
        <w:rPr>
          <w:rFonts w:cs="Times New Roman"/>
        </w:rPr>
        <w:t xml:space="preserve"> and was not otherwise justified pursuant to s. 1.</w:t>
      </w:r>
    </w:p>
    <w:p w14:paraId="74A4CFBA" w14:textId="77777777" w:rsidR="00377DDF" w:rsidRPr="00E13133" w:rsidRDefault="00377DDF" w:rsidP="00377DDF">
      <w:pPr>
        <w:pStyle w:val="ParaNoNdepar-AltN"/>
        <w:rPr>
          <w:rFonts w:cs="Times New Roman"/>
        </w:rPr>
      </w:pPr>
      <w:r w:rsidRPr="00E13133">
        <w:rPr>
          <w:rFonts w:cs="Times New Roman"/>
        </w:rPr>
        <w:t xml:space="preserve">The </w:t>
      </w:r>
      <w:r w:rsidRPr="00E13133">
        <w:rPr>
          <w:rFonts w:cs="Times New Roman"/>
          <w:i/>
          <w:iCs/>
        </w:rPr>
        <w:t>voir dire</w:t>
      </w:r>
      <w:r w:rsidRPr="00E13133">
        <w:rPr>
          <w:rFonts w:cs="Times New Roman"/>
        </w:rPr>
        <w:t xml:space="preserve"> judge observed that s. 33.1 “does not deal with the consequence of criminal acts” but “simply eliminates any evidence and argument regarding the </w:t>
      </w:r>
      <w:r w:rsidRPr="00E13133">
        <w:rPr>
          <w:rFonts w:cs="Times New Roman"/>
          <w:i/>
          <w:iCs/>
        </w:rPr>
        <w:t>mens rea</w:t>
      </w:r>
      <w:r w:rsidRPr="00E13133">
        <w:rPr>
          <w:rFonts w:cs="Times New Roman"/>
        </w:rPr>
        <w:t xml:space="preserve"> and voluntariness of the accused” (paras. 29</w:t>
      </w:r>
      <w:r w:rsidRPr="00E13133">
        <w:rPr>
          <w:rFonts w:cs="Times New Roman"/>
        </w:rPr>
        <w:noBreakHyphen/>
        <w:t xml:space="preserve">30). He concluded that s. 33.1 allows for a conviction in the absence of proof that the underlying violent offence was intended or committed voluntarily, contrary to s. 7 of the </w:t>
      </w:r>
      <w:r w:rsidRPr="00E13133">
        <w:rPr>
          <w:rFonts w:cs="Times New Roman"/>
          <w:i/>
        </w:rPr>
        <w:t>Charter</w:t>
      </w:r>
      <w:r w:rsidRPr="00E13133">
        <w:rPr>
          <w:rFonts w:cs="Times New Roman"/>
        </w:rPr>
        <w:t xml:space="preserve"> (para. 31). Instead, the provision operates akin to a regime of absolute liability. He further held that s. 33.1 enables conviction even where there is a reasonable doubt about the essential elements of the charged offence, contrary to s. 11(</w:t>
      </w:r>
      <w:r w:rsidRPr="00E13133">
        <w:rPr>
          <w:rFonts w:cs="Times New Roman"/>
          <w:iCs/>
        </w:rPr>
        <w:t>d</w:t>
      </w:r>
      <w:r w:rsidRPr="00E13133">
        <w:rPr>
          <w:rFonts w:cs="Times New Roman"/>
        </w:rPr>
        <w:t>) (para. 37).</w:t>
      </w:r>
    </w:p>
    <w:p w14:paraId="71C1FEB0" w14:textId="77777777" w:rsidR="00377DDF" w:rsidRPr="00E13133" w:rsidRDefault="00377DDF" w:rsidP="00377DDF">
      <w:pPr>
        <w:pStyle w:val="ParaNoNdepar-AltN"/>
        <w:rPr>
          <w:rFonts w:cs="Times New Roman"/>
        </w:rPr>
      </w:pPr>
      <w:r w:rsidRPr="00E13133">
        <w:rPr>
          <w:rFonts w:cs="Times New Roman"/>
        </w:rPr>
        <w:t xml:space="preserve">He then held that these limits cannot be reasonably justified in a free and democratic society. The judge did recognize that the provision had pressing and substantial objectives relevant to s. 1 of the </w:t>
      </w:r>
      <w:r w:rsidRPr="00E13133">
        <w:rPr>
          <w:rFonts w:cs="Times New Roman"/>
          <w:i/>
          <w:iCs/>
        </w:rPr>
        <w:t>Charter</w:t>
      </w:r>
      <w:r w:rsidRPr="00E13133">
        <w:rPr>
          <w:rFonts w:cs="Times New Roman"/>
        </w:rPr>
        <w:t xml:space="preserve">. Section 33.1 was not, however, minimally impairing, as there were less harmful means of assuring Parliament’s protection and accountability objectives (para. 80). For the </w:t>
      </w:r>
      <w:r w:rsidRPr="00E13133">
        <w:rPr>
          <w:rFonts w:cs="Times New Roman"/>
          <w:i/>
        </w:rPr>
        <w:t xml:space="preserve">voir dire </w:t>
      </w:r>
      <w:r w:rsidRPr="00E13133">
        <w:rPr>
          <w:rFonts w:cs="Times New Roman"/>
        </w:rPr>
        <w:t>judge, the deleterious effects of s. 33.1 outweighed its benefits. Section 33.1’s primary flaw is that it offends “sacrosanct” principles of the legal system designed to avoid convicting the morally innocent (para. 89). This negative effect outweighs the benefits of the law, especially when Parliament could have adopted a better</w:t>
      </w:r>
      <w:r w:rsidRPr="00E13133">
        <w:rPr>
          <w:rFonts w:cs="Times New Roman"/>
        </w:rPr>
        <w:noBreakHyphen/>
        <w:t>tailored rule bearing on the consumption of intoxicants and their effects.</w:t>
      </w:r>
    </w:p>
    <w:p w14:paraId="3A54AA56" w14:textId="77777777" w:rsidR="00377DDF" w:rsidRPr="00E13133" w:rsidRDefault="00377DDF" w:rsidP="00377DDF">
      <w:pPr>
        <w:pStyle w:val="ParaNoNdepar-AltN"/>
        <w:rPr>
          <w:rFonts w:cs="Times New Roman"/>
        </w:rPr>
      </w:pPr>
      <w:r w:rsidRPr="00E13133">
        <w:rPr>
          <w:rFonts w:cs="Times New Roman"/>
        </w:rPr>
        <w:t xml:space="preserve">The </w:t>
      </w:r>
      <w:r w:rsidRPr="00E13133">
        <w:rPr>
          <w:rFonts w:cs="Times New Roman"/>
          <w:i/>
        </w:rPr>
        <w:t>voir dire</w:t>
      </w:r>
      <w:r w:rsidRPr="00E13133">
        <w:rPr>
          <w:rFonts w:cs="Times New Roman"/>
        </w:rPr>
        <w:t xml:space="preserve"> judge declared s. 33.1 to be of no force and effect pursuant to s. 52(1) of the </w:t>
      </w:r>
      <w:r w:rsidRPr="00E13133">
        <w:rPr>
          <w:rFonts w:cs="Times New Roman"/>
          <w:i/>
        </w:rPr>
        <w:t>Constitution Act, 1982</w:t>
      </w:r>
      <w:r w:rsidRPr="00E13133">
        <w:rPr>
          <w:rFonts w:cs="Times New Roman"/>
        </w:rPr>
        <w:t>. As a result, Mr. Brown was entitled to raise the defence of extreme intoxication akin to automatism that s. 33.1 purported to exclude.</w:t>
      </w:r>
    </w:p>
    <w:p w14:paraId="5D177D95" w14:textId="77777777" w:rsidR="00377DDF" w:rsidRPr="00E13133" w:rsidRDefault="00377DDF" w:rsidP="00377DDF">
      <w:pPr>
        <w:pStyle w:val="Title3LevelTitre3Niveau"/>
        <w:rPr>
          <w:rFonts w:cs="Times New Roman"/>
        </w:rPr>
      </w:pPr>
      <w:r w:rsidRPr="00E13133">
        <w:rPr>
          <w:rFonts w:cs="Times New Roman"/>
        </w:rPr>
        <w:t>Reasons for Judgment on the Merits, 2020 ABQB 166, 9 Alta. L.R. (7th) 375 (Hollins J.)</w:t>
      </w:r>
    </w:p>
    <w:p w14:paraId="69399CE3" w14:textId="77777777" w:rsidR="00377DDF" w:rsidRPr="00E13133" w:rsidRDefault="00377DDF" w:rsidP="00377DDF">
      <w:pPr>
        <w:pStyle w:val="ParaNoNdepar-AltN"/>
        <w:rPr>
          <w:rFonts w:cs="Times New Roman"/>
        </w:rPr>
      </w:pPr>
      <w:r w:rsidRPr="00E13133">
        <w:rPr>
          <w:rFonts w:cs="Times New Roman"/>
        </w:rPr>
        <w:t>At trial, Mr. Brown led evidence in support of the defence of extreme intoxication akin to automatism. Hollins J. held that every material piece of evidence supported a finding of automatism.</w:t>
      </w:r>
    </w:p>
    <w:p w14:paraId="62448F8C" w14:textId="77777777" w:rsidR="00377DDF" w:rsidRPr="00E13133" w:rsidRDefault="00377DDF" w:rsidP="00377DDF">
      <w:pPr>
        <w:pStyle w:val="ParaNoNdepar-AltN"/>
        <w:rPr>
          <w:rFonts w:cs="Times New Roman"/>
        </w:rPr>
      </w:pPr>
      <w:r w:rsidRPr="00E13133">
        <w:rPr>
          <w:rFonts w:cs="Times New Roman"/>
        </w:rPr>
        <w:t xml:space="preserve">The trial judge found that Mr. Brown was in a state of delirium due to his consumption of psilocybin, “which meant that he was not acting voluntarily in the commission of these offences nor with knowledge of his acts” (para. 34). Expert testimony was adduced that Mr. Brown’s conduct was involuntary at the time of the offences and he had no conscious control over or awareness of his actions. A forensic psychologist, Dr. Thomas Dalby, stated that Mr. Brown’s delirium was caused by the psilocybin and that his reaction was “unanticipated” (A.R., vol. III, at p. 318). An expert in </w:t>
      </w:r>
      <w:proofErr w:type="spellStart"/>
      <w:r w:rsidRPr="00E13133">
        <w:rPr>
          <w:rFonts w:cs="Times New Roman"/>
        </w:rPr>
        <w:t>pharmocology</w:t>
      </w:r>
      <w:proofErr w:type="spellEnd"/>
      <w:r w:rsidRPr="00E13133">
        <w:rPr>
          <w:rFonts w:cs="Times New Roman"/>
        </w:rPr>
        <w:t>, Dr. Mark </w:t>
      </w:r>
      <w:proofErr w:type="spellStart"/>
      <w:r w:rsidRPr="00E13133">
        <w:rPr>
          <w:rFonts w:cs="Times New Roman"/>
        </w:rPr>
        <w:t>Yarema</w:t>
      </w:r>
      <w:proofErr w:type="spellEnd"/>
      <w:r w:rsidRPr="00E13133">
        <w:rPr>
          <w:rFonts w:cs="Times New Roman"/>
        </w:rPr>
        <w:t>, agreed that psilocybin can “induce a state akin to legal automatism” (A.R., vol. III, at p. 241). In his view, Mr. Brown’s actions were those of someone “who has lost touch with reality, does not have a normal level of consciousness, and does not have voluntary control over their actions” (A.R., vol. III, at p. 242).</w:t>
      </w:r>
    </w:p>
    <w:p w14:paraId="7B43DAF4" w14:textId="77777777" w:rsidR="00377DDF" w:rsidRPr="00E13133" w:rsidRDefault="00377DDF" w:rsidP="00377DDF">
      <w:pPr>
        <w:pStyle w:val="ParaNoNdepar-AltN"/>
        <w:rPr>
          <w:rFonts w:cs="Times New Roman"/>
        </w:rPr>
      </w:pPr>
      <w:r w:rsidRPr="00E13133">
        <w:rPr>
          <w:rFonts w:cs="Times New Roman"/>
        </w:rPr>
        <w:t>Hollins J. accepted these conclusions as well as the evidence of other witnesses who testified, including the victims, who were all credible in her view. The defence was an answer to the property</w:t>
      </w:r>
      <w:r w:rsidRPr="00E13133">
        <w:rPr>
          <w:rFonts w:cs="Times New Roman"/>
        </w:rPr>
        <w:noBreakHyphen/>
        <w:t>based offence at common law and was available for the charge relating to the aggravated assault given that s. 33.1 had been declared of no force and effect by her colleague, deWit J. Accordingly, she entered acquittals on both counts of the indictment.</w:t>
      </w:r>
    </w:p>
    <w:p w14:paraId="7533AE76" w14:textId="77777777" w:rsidR="00377DDF" w:rsidRPr="00E13133" w:rsidRDefault="00377DDF" w:rsidP="00377DDF">
      <w:pPr>
        <w:pStyle w:val="Title2LevelTitre2Niveau"/>
        <w:rPr>
          <w:rFonts w:cs="Times New Roman"/>
        </w:rPr>
      </w:pPr>
      <w:r w:rsidRPr="00E13133">
        <w:rPr>
          <w:rFonts w:cs="Times New Roman"/>
        </w:rPr>
        <w:t>Court of Appeal of Alberta, 2021 ABCA 273, 30 Alta. L.R. (7th) 1 (Slatter, Khullar and Hughes JJ.A.)</w:t>
      </w:r>
    </w:p>
    <w:p w14:paraId="5AB8CD64" w14:textId="77777777" w:rsidR="00377DDF" w:rsidRPr="00E13133" w:rsidRDefault="00377DDF" w:rsidP="00377DDF">
      <w:pPr>
        <w:pStyle w:val="ParaNoNdepar-AltN"/>
        <w:rPr>
          <w:rFonts w:cs="Times New Roman"/>
        </w:rPr>
      </w:pPr>
      <w:r w:rsidRPr="00E13133">
        <w:rPr>
          <w:rFonts w:cs="Times New Roman"/>
        </w:rPr>
        <w:t>In separate opinions written by Slatter, Khullar and Hughes </w:t>
      </w:r>
      <w:proofErr w:type="gramStart"/>
      <w:r w:rsidRPr="00E13133">
        <w:rPr>
          <w:rFonts w:cs="Times New Roman"/>
        </w:rPr>
        <w:t>JJ.A.,</w:t>
      </w:r>
      <w:proofErr w:type="gramEnd"/>
      <w:r w:rsidRPr="00E13133">
        <w:rPr>
          <w:rFonts w:cs="Times New Roman"/>
        </w:rPr>
        <w:t xml:space="preserve"> the Court of Appeal reversed deWit J.’s declaration that s. 33.1 was of no force or effect. The court set aside the acquittal on the first count and entered a conviction on the included offence of aggravated assault. The acquittal on the mischief charge, unaffected by s. 33.1, was not appealed.</w:t>
      </w:r>
    </w:p>
    <w:p w14:paraId="7EAC5E26" w14:textId="77777777" w:rsidR="00377DDF" w:rsidRPr="00E13133" w:rsidRDefault="00377DDF" w:rsidP="00377DDF">
      <w:pPr>
        <w:pStyle w:val="ParaNoNdepar-AltN"/>
        <w:rPr>
          <w:rFonts w:cs="Times New Roman"/>
        </w:rPr>
      </w:pPr>
      <w:r w:rsidRPr="00E13133">
        <w:rPr>
          <w:rFonts w:cs="Times New Roman"/>
          <w:lang w:val="en-US"/>
        </w:rPr>
        <w:t xml:space="preserve">Slatter and Hughes JJ.A. </w:t>
      </w:r>
      <w:proofErr w:type="gramStart"/>
      <w:r w:rsidRPr="00E13133">
        <w:rPr>
          <w:rFonts w:cs="Times New Roman"/>
          <w:lang w:val="en-US"/>
        </w:rPr>
        <w:t>both</w:t>
      </w:r>
      <w:proofErr w:type="gramEnd"/>
      <w:r w:rsidRPr="00E13133">
        <w:rPr>
          <w:rFonts w:cs="Times New Roman"/>
          <w:lang w:val="en-US"/>
        </w:rPr>
        <w:t xml:space="preserve"> held that the </w:t>
      </w:r>
      <w:r w:rsidRPr="00E13133">
        <w:rPr>
          <w:rFonts w:cs="Times New Roman"/>
          <w:i/>
          <w:lang w:val="en-US"/>
        </w:rPr>
        <w:t>voir dire</w:t>
      </w:r>
      <w:r w:rsidRPr="00E13133">
        <w:rPr>
          <w:rFonts w:cs="Times New Roman"/>
          <w:lang w:val="en-US"/>
        </w:rPr>
        <w:t xml:space="preserve"> judge had erred in concluding that s. 33.1 violated ss. 7 and 11(d) of the </w:t>
      </w:r>
      <w:r w:rsidRPr="00E13133">
        <w:rPr>
          <w:rFonts w:cs="Times New Roman"/>
          <w:i/>
          <w:lang w:val="en-US"/>
        </w:rPr>
        <w:t>Charter</w:t>
      </w:r>
      <w:r w:rsidRPr="00E13133">
        <w:rPr>
          <w:rFonts w:cs="Times New Roman"/>
          <w:lang w:val="en-US"/>
        </w:rPr>
        <w:t>.</w:t>
      </w:r>
    </w:p>
    <w:p w14:paraId="35A4DC6E" w14:textId="77777777" w:rsidR="00377DDF" w:rsidRPr="00E13133" w:rsidRDefault="00377DDF" w:rsidP="00377DDF">
      <w:pPr>
        <w:pStyle w:val="ParaNoNdepar-AltN"/>
        <w:rPr>
          <w:rFonts w:cs="Times New Roman"/>
        </w:rPr>
      </w:pPr>
      <w:r w:rsidRPr="00E13133">
        <w:rPr>
          <w:rFonts w:cs="Times New Roman"/>
        </w:rPr>
        <w:t>For Slatter J</w:t>
      </w:r>
      <w:r w:rsidRPr="00E13133">
        <w:rPr>
          <w:rFonts w:cs="Times New Roman"/>
          <w:lang w:val="en-US"/>
        </w:rPr>
        <w:t xml:space="preserve">.A., the Supreme Court had </w:t>
      </w:r>
      <w:r w:rsidRPr="00E13133">
        <w:rPr>
          <w:rFonts w:cs="Times New Roman"/>
        </w:rPr>
        <w:t xml:space="preserve">“expressly invited Parliament to do exactly what it did, namely legislate to fill the gap created by </w:t>
      </w:r>
      <w:r w:rsidRPr="00E13133">
        <w:rPr>
          <w:rFonts w:cs="Times New Roman"/>
          <w:i/>
          <w:iCs/>
        </w:rPr>
        <w:t>Daviault</w:t>
      </w:r>
      <w:r w:rsidRPr="00E13133">
        <w:rPr>
          <w:rFonts w:cs="Times New Roman"/>
        </w:rPr>
        <w:t>, contemplating that the result would comply with s. 7” (para. 14). Slatter J.A. saw no breach of the principle of voluntariness because it was acceptable for Parliament to criminalize voluntary intoxication in situations where a self</w:t>
      </w:r>
      <w:r w:rsidRPr="00E13133">
        <w:rPr>
          <w:rFonts w:cs="Times New Roman"/>
        </w:rPr>
        <w:noBreakHyphen/>
        <w:t xml:space="preserve">created risk of harm is objectively foreseeable. He further held that there was no breach of the constitutional requirement of </w:t>
      </w:r>
      <w:r w:rsidRPr="00E13133">
        <w:rPr>
          <w:rFonts w:cs="Times New Roman"/>
          <w:i/>
          <w:iCs/>
        </w:rPr>
        <w:t>mens rea</w:t>
      </w:r>
      <w:r w:rsidRPr="00E13133">
        <w:rPr>
          <w:rFonts w:cs="Times New Roman"/>
        </w:rPr>
        <w:t xml:space="preserve"> because s. 33.1 adopts the marked departure standard, which has been accepted as a sufficient measure of fault, in particular in </w:t>
      </w:r>
      <w:r w:rsidRPr="00E13133">
        <w:rPr>
          <w:rFonts w:cs="Times New Roman"/>
          <w:i/>
          <w:iCs/>
        </w:rPr>
        <w:t>R. v. Creighton</w:t>
      </w:r>
      <w:r w:rsidRPr="00E13133">
        <w:rPr>
          <w:rFonts w:cs="Times New Roman"/>
        </w:rPr>
        <w:t>, [1993] 3 S.C.R. 3</w:t>
      </w:r>
      <w:r w:rsidRPr="00E13133">
        <w:rPr>
          <w:rFonts w:cs="Times New Roman"/>
          <w:iCs/>
        </w:rPr>
        <w:t>.</w:t>
      </w:r>
      <w:r w:rsidRPr="00E13133">
        <w:rPr>
          <w:rFonts w:cs="Times New Roman"/>
        </w:rPr>
        <w:t xml:space="preserve"> All that is constitutionally required is an “</w:t>
      </w:r>
      <w:r w:rsidRPr="00E13133">
        <w:rPr>
          <w:rFonts w:cs="Times New Roman"/>
          <w:u w:val="single"/>
        </w:rPr>
        <w:t>objectively</w:t>
      </w:r>
      <w:r w:rsidRPr="00E13133">
        <w:rPr>
          <w:rFonts w:cs="Times New Roman"/>
        </w:rPr>
        <w:t xml:space="preserve"> foreseeable risk of personal injury” (para. 26 (emphasis in original)). Finally, Parliament had not improperly substituted proof of extreme intoxication for proof of the essential elements of the charged offence because s. 33.1 simply “redefined” the </w:t>
      </w:r>
      <w:r w:rsidRPr="00E13133">
        <w:rPr>
          <w:rFonts w:cs="Times New Roman"/>
          <w:i/>
          <w:iCs/>
        </w:rPr>
        <w:t>mens rea</w:t>
      </w:r>
      <w:r w:rsidRPr="00E13133">
        <w:rPr>
          <w:rFonts w:cs="Times New Roman"/>
          <w:iCs/>
        </w:rPr>
        <w:t xml:space="preserve"> </w:t>
      </w:r>
      <w:r w:rsidRPr="00E13133">
        <w:rPr>
          <w:rFonts w:cs="Times New Roman"/>
        </w:rPr>
        <w:t>for general intent offences (para. 27). Slatter J.A. concluded that by “self</w:t>
      </w:r>
      <w:r w:rsidRPr="00E13133">
        <w:rPr>
          <w:rFonts w:cs="Times New Roman"/>
        </w:rPr>
        <w:noBreakHyphen/>
        <w:t>administering a dangerous drug”, a person is responsible for the objectively foreseeable risks associated with self</w:t>
      </w:r>
      <w:r w:rsidRPr="00E13133">
        <w:rPr>
          <w:rFonts w:cs="Times New Roman"/>
        </w:rPr>
        <w:noBreakHyphen/>
        <w:t>induced intoxication (para. 30). “It follows”, he wrote, “that there is nothing unconstitutional about Parliament establishing criminal fault based on the risks inherent in self-intoxication” (para. 34).</w:t>
      </w:r>
    </w:p>
    <w:p w14:paraId="10A92EEC" w14:textId="77777777" w:rsidR="00377DDF" w:rsidRPr="00E13133" w:rsidRDefault="00377DDF" w:rsidP="00377DDF">
      <w:pPr>
        <w:pStyle w:val="ParaNoNdepar-AltN"/>
        <w:rPr>
          <w:rFonts w:cs="Times New Roman"/>
        </w:rPr>
      </w:pPr>
      <w:r w:rsidRPr="00E13133">
        <w:rPr>
          <w:rFonts w:cs="Times New Roman"/>
        </w:rPr>
        <w:t>In the alternative, wrote Slatter J.A., s. 33.1 would be saved under s. 1. Protecting citizens from violent crimes and holding violent citizens accountable, as specific purposes, can be acknowledged as pressing and substantial, in addition to “the general purpose of the criminal law of protecting core social values” (para. 61). The provision has clear benefits: it affirms fundamental societal values about protecting women and children, it restores confidence in the justice system, it encourages the reporting of crime, and it denounces and deters the use of illegal substances. These outweigh any deleterious effects. “No one who is truly morally innocent is impacted”, he wrote (para. 81). He concluded that “it is demonstrably justifiable to hold persons like [Mr. Brown] accountable for their decisions to consume substances known to affect human behaviour” (para. 85). Slatter J.A. concluded that the appeal should be allowed, the declaration of unconstitutionality set aside, and a conviction should be entered for aggravated assault.</w:t>
      </w:r>
    </w:p>
    <w:p w14:paraId="4579C7BC" w14:textId="77777777" w:rsidR="00377DDF" w:rsidRPr="00E13133" w:rsidRDefault="00377DDF" w:rsidP="00377DDF">
      <w:pPr>
        <w:pStyle w:val="ParaNoNdepar-AltN"/>
        <w:rPr>
          <w:rFonts w:cs="Times New Roman"/>
        </w:rPr>
      </w:pPr>
      <w:r w:rsidRPr="00E13133">
        <w:rPr>
          <w:rFonts w:cs="Times New Roman"/>
        </w:rPr>
        <w:t>In concurring reasons, Hughes J.A. wrote that s. 33.1 requires a measure of fault that reflects a marked departure from the standard of care of a reasonable person. No substitution breach arose under the provision because Parliament created an alternative level of objective fault. Accused persons can still raise a reasonable doubt about whether the intoxication was self</w:t>
      </w:r>
      <w:r w:rsidRPr="00E13133">
        <w:rPr>
          <w:rFonts w:cs="Times New Roman"/>
        </w:rPr>
        <w:noBreakHyphen/>
        <w:t xml:space="preserve">induced or unforeseen. There is no </w:t>
      </w:r>
      <w:r w:rsidRPr="00E13133">
        <w:rPr>
          <w:rFonts w:cs="Times New Roman"/>
          <w:i/>
          <w:iCs/>
        </w:rPr>
        <w:t>Charter</w:t>
      </w:r>
      <w:r w:rsidRPr="00E13133">
        <w:rPr>
          <w:rFonts w:cs="Times New Roman"/>
        </w:rPr>
        <w:t xml:space="preserve"> breach. If she were wrong in this view, Hughes J.A. would agree with her colleagues that s. 33.1 is saved by s. 1. </w:t>
      </w:r>
    </w:p>
    <w:p w14:paraId="6BF05362" w14:textId="77777777" w:rsidR="00377DDF" w:rsidRPr="00E13133" w:rsidRDefault="00377DDF" w:rsidP="00377DDF">
      <w:pPr>
        <w:pStyle w:val="ParaNoNdepar-AltN"/>
        <w:rPr>
          <w:rFonts w:cs="Times New Roman"/>
        </w:rPr>
      </w:pPr>
      <w:r w:rsidRPr="00E13133">
        <w:rPr>
          <w:rFonts w:cs="Times New Roman"/>
        </w:rPr>
        <w:t>In her reasons concurring in the result, Khullar J.A. found breaches of ss. 7 and 11(</w:t>
      </w:r>
      <w:r w:rsidRPr="00E13133">
        <w:rPr>
          <w:rFonts w:cs="Times New Roman"/>
          <w:iCs/>
        </w:rPr>
        <w:t>d</w:t>
      </w:r>
      <w:r w:rsidRPr="00E13133">
        <w:rPr>
          <w:rFonts w:cs="Times New Roman"/>
        </w:rPr>
        <w:t xml:space="preserve">) but decided that the provision could be upheld under s. 1. In respect of the </w:t>
      </w:r>
      <w:r w:rsidRPr="00E13133">
        <w:rPr>
          <w:rFonts w:cs="Times New Roman"/>
          <w:i/>
        </w:rPr>
        <w:t xml:space="preserve">prima facie </w:t>
      </w:r>
      <w:r w:rsidRPr="00E13133">
        <w:rPr>
          <w:rFonts w:cs="Times New Roman"/>
        </w:rPr>
        <w:t xml:space="preserve">breach, she relied on the reasons of Paciocco J.A. in </w:t>
      </w:r>
      <w:r w:rsidRPr="00E13133">
        <w:rPr>
          <w:rFonts w:cs="Times New Roman"/>
          <w:i/>
          <w:iCs/>
        </w:rPr>
        <w:t>Sullivan</w:t>
      </w:r>
      <w:r w:rsidRPr="00E13133">
        <w:rPr>
          <w:rFonts w:cs="Times New Roman"/>
        </w:rPr>
        <w:t xml:space="preserve"> that s. 33.1 allows conviction even though the conduct of the offence was not voluntary (para. 168, citing </w:t>
      </w:r>
      <w:r w:rsidRPr="00E13133">
        <w:rPr>
          <w:rFonts w:cs="Times New Roman"/>
          <w:i/>
          <w:iCs/>
        </w:rPr>
        <w:t>Sullivan</w:t>
      </w:r>
      <w:r w:rsidRPr="00E13133">
        <w:rPr>
          <w:rFonts w:cs="Times New Roman"/>
        </w:rPr>
        <w:t xml:space="preserve"> at paras. 64</w:t>
      </w:r>
      <w:r w:rsidRPr="00E13133">
        <w:rPr>
          <w:rFonts w:cs="Times New Roman"/>
        </w:rPr>
        <w:noBreakHyphen/>
        <w:t xml:space="preserve">74) and, as such, it violated a principle of fundamental justice constitutionally mandated by the </w:t>
      </w:r>
      <w:r w:rsidRPr="00E13133">
        <w:rPr>
          <w:rFonts w:cs="Times New Roman"/>
          <w:i/>
          <w:iCs/>
        </w:rPr>
        <w:t>Charter</w:t>
      </w:r>
      <w:r w:rsidRPr="00E13133">
        <w:rPr>
          <w:rFonts w:cs="Times New Roman"/>
        </w:rPr>
        <w:t xml:space="preserve">. Relying further on </w:t>
      </w:r>
      <w:r w:rsidRPr="00E13133">
        <w:rPr>
          <w:rFonts w:cs="Times New Roman"/>
          <w:i/>
          <w:iCs/>
        </w:rPr>
        <w:t>Sullivan</w:t>
      </w:r>
      <w:r w:rsidRPr="00E13133">
        <w:rPr>
          <w:rFonts w:cs="Times New Roman"/>
        </w:rPr>
        <w:t xml:space="preserve">, Khullar J.A. noted that s. 33.1 fails to satisfy the minimum </w:t>
      </w:r>
      <w:r w:rsidRPr="00E13133">
        <w:rPr>
          <w:rFonts w:cs="Times New Roman"/>
          <w:i/>
          <w:iCs/>
        </w:rPr>
        <w:t>mens rea</w:t>
      </w:r>
      <w:r w:rsidRPr="00E13133">
        <w:rPr>
          <w:rFonts w:cs="Times New Roman"/>
        </w:rPr>
        <w:t xml:space="preserve"> required by the </w:t>
      </w:r>
      <w:r w:rsidRPr="00E13133">
        <w:rPr>
          <w:rFonts w:cs="Times New Roman"/>
          <w:i/>
          <w:iCs/>
        </w:rPr>
        <w:t>Charter</w:t>
      </w:r>
      <w:r w:rsidRPr="00E13133">
        <w:rPr>
          <w:rFonts w:cs="Times New Roman"/>
        </w:rPr>
        <w:t xml:space="preserve"> (para. 168, citing </w:t>
      </w:r>
      <w:r w:rsidRPr="00E13133">
        <w:rPr>
          <w:rFonts w:cs="Times New Roman"/>
          <w:i/>
          <w:iCs/>
        </w:rPr>
        <w:t>Sullivan</w:t>
      </w:r>
      <w:r w:rsidRPr="00E13133">
        <w:rPr>
          <w:rFonts w:cs="Times New Roman"/>
        </w:rPr>
        <w:t>, at paras. 79</w:t>
      </w:r>
      <w:r w:rsidRPr="00E13133">
        <w:rPr>
          <w:rFonts w:cs="Times New Roman"/>
        </w:rPr>
        <w:noBreakHyphen/>
        <w:t>94). Section 33.1 infringed s. 11(</w:t>
      </w:r>
      <w:r w:rsidRPr="00E13133">
        <w:rPr>
          <w:rFonts w:cs="Times New Roman"/>
          <w:iCs/>
        </w:rPr>
        <w:t>d</w:t>
      </w:r>
      <w:r w:rsidRPr="00E13133">
        <w:rPr>
          <w:rFonts w:cs="Times New Roman"/>
        </w:rPr>
        <w:t xml:space="preserve">) of the </w:t>
      </w:r>
      <w:r w:rsidRPr="00E13133">
        <w:rPr>
          <w:rFonts w:cs="Times New Roman"/>
          <w:i/>
          <w:iCs/>
        </w:rPr>
        <w:t>Charter</w:t>
      </w:r>
      <w:r w:rsidRPr="00E13133">
        <w:rPr>
          <w:rFonts w:cs="Times New Roman"/>
        </w:rPr>
        <w:t xml:space="preserve"> to the extent that it allows an accused to be found guilty despite a reasonable doubt whether they had the </w:t>
      </w:r>
      <w:r w:rsidRPr="00E13133">
        <w:rPr>
          <w:rFonts w:cs="Times New Roman"/>
          <w:i/>
          <w:iCs/>
        </w:rPr>
        <w:t>mens rea</w:t>
      </w:r>
      <w:r w:rsidRPr="00E13133">
        <w:rPr>
          <w:rFonts w:cs="Times New Roman"/>
        </w:rPr>
        <w:t xml:space="preserve"> required by the offence. </w:t>
      </w:r>
    </w:p>
    <w:p w14:paraId="7DBBB981" w14:textId="77777777" w:rsidR="00377DDF" w:rsidRPr="00E13133" w:rsidRDefault="00377DDF" w:rsidP="00377DDF">
      <w:pPr>
        <w:pStyle w:val="ParaNoNdepar-AltN"/>
        <w:rPr>
          <w:rFonts w:cs="Times New Roman"/>
        </w:rPr>
      </w:pPr>
      <w:r w:rsidRPr="00E13133">
        <w:rPr>
          <w:rFonts w:cs="Times New Roman"/>
        </w:rPr>
        <w:t xml:space="preserve">Khullar J.A. concluded however that the provision could be saved under s. 1. She stated that the justification analysis was a “hard and close case” but that Parliament’s choice was a defensible one in light of the options it reviewed (para. 166). </w:t>
      </w:r>
    </w:p>
    <w:p w14:paraId="25C88113" w14:textId="77777777" w:rsidR="00377DDF" w:rsidRPr="00E13133" w:rsidRDefault="00377DDF" w:rsidP="00377DDF">
      <w:pPr>
        <w:pStyle w:val="ParaNoNdepar-AltN"/>
        <w:rPr>
          <w:rFonts w:cs="Times New Roman"/>
        </w:rPr>
      </w:pPr>
      <w:r w:rsidRPr="00E13133">
        <w:rPr>
          <w:rFonts w:cs="Times New Roman"/>
        </w:rPr>
        <w:t xml:space="preserve">For Khullar J.A., Parliament had pressing and substantial objectives relating to accountability and protection in enacting s. 33.1. She disagreed with the view, expressed by the majority in </w:t>
      </w:r>
      <w:r w:rsidRPr="00E13133">
        <w:rPr>
          <w:rFonts w:cs="Times New Roman"/>
          <w:i/>
        </w:rPr>
        <w:t>Sullivan</w:t>
      </w:r>
      <w:r w:rsidRPr="00E13133">
        <w:rPr>
          <w:rFonts w:cs="Times New Roman"/>
        </w:rPr>
        <w:t xml:space="preserve">, that the accountability purpose is constitutionally impermissible. She was of the view that the majority in </w:t>
      </w:r>
      <w:r w:rsidRPr="00E13133">
        <w:rPr>
          <w:rFonts w:cs="Times New Roman"/>
          <w:i/>
        </w:rPr>
        <w:t xml:space="preserve">Sullivan </w:t>
      </w:r>
      <w:r w:rsidRPr="00E13133">
        <w:rPr>
          <w:rFonts w:cs="Times New Roman"/>
        </w:rPr>
        <w:t>confused the purpose of the provision with its effects (para. 184). Turning to the proportionality leg of the s. 1 test, Khullar J.A. found that the means were rationally connected to these objectives. Section 33.1 serves as a deterrent and strengthens a social ethos that disapproves of excessive intoxication leading to violence.</w:t>
      </w:r>
    </w:p>
    <w:p w14:paraId="180C8F72" w14:textId="77777777" w:rsidR="00377DDF" w:rsidRPr="00E13133" w:rsidRDefault="00377DDF" w:rsidP="00377DDF">
      <w:pPr>
        <w:pStyle w:val="ParaNoNdepar-AltN"/>
        <w:rPr>
          <w:rFonts w:cs="Times New Roman"/>
        </w:rPr>
      </w:pPr>
      <w:r w:rsidRPr="00E13133">
        <w:rPr>
          <w:rFonts w:cs="Times New Roman"/>
        </w:rPr>
        <w:t xml:space="preserve">Khullar J.A. observed that the provision might have been drafted using the modified objective test described by the </w:t>
      </w:r>
      <w:r w:rsidRPr="00E13133">
        <w:rPr>
          <w:rFonts w:cs="Times New Roman"/>
          <w:i/>
          <w:iCs/>
        </w:rPr>
        <w:t>voir dire</w:t>
      </w:r>
      <w:r w:rsidRPr="00E13133">
        <w:rPr>
          <w:rFonts w:cs="Times New Roman"/>
        </w:rPr>
        <w:t xml:space="preserve"> judge which would have been “less problematic” (para. 197). Parliament was, however, owed deference in its choice for the difficult moral issues. Thus, s. 33.1 passed the minimal impairment stage of the </w:t>
      </w:r>
      <w:r w:rsidRPr="00E13133">
        <w:rPr>
          <w:rFonts w:cs="Times New Roman"/>
          <w:i/>
          <w:iCs/>
        </w:rPr>
        <w:t>Oakes</w:t>
      </w:r>
      <w:r w:rsidRPr="00E13133">
        <w:rPr>
          <w:rFonts w:cs="Times New Roman"/>
        </w:rPr>
        <w:t xml:space="preserve"> test (</w:t>
      </w:r>
      <w:r w:rsidRPr="00E13133">
        <w:rPr>
          <w:rFonts w:cs="Times New Roman"/>
          <w:i/>
        </w:rPr>
        <w:t>R. v. Oakes</w:t>
      </w:r>
      <w:r w:rsidRPr="00E13133">
        <w:rPr>
          <w:rFonts w:cs="Times New Roman"/>
        </w:rPr>
        <w:t xml:space="preserve">, [1986] 1 S.C.R. 103). </w:t>
      </w:r>
    </w:p>
    <w:p w14:paraId="34E7BE37" w14:textId="77777777" w:rsidR="00377DDF" w:rsidRPr="00E13133" w:rsidRDefault="00377DDF" w:rsidP="00377DDF">
      <w:pPr>
        <w:pStyle w:val="ParaNoNdepar-AltN"/>
        <w:rPr>
          <w:rFonts w:cs="Times New Roman"/>
        </w:rPr>
      </w:pPr>
      <w:r w:rsidRPr="00E13133">
        <w:rPr>
          <w:rFonts w:cs="Times New Roman"/>
        </w:rPr>
        <w:t xml:space="preserve">At the final balancing stage, Khullar J.A. acknowledged that there are “serious and troubling negative effects of s. 33.1” in that it allows conviction for violent crimes even where the conduct constituting the </w:t>
      </w:r>
      <w:r w:rsidRPr="00E13133">
        <w:rPr>
          <w:rFonts w:cs="Times New Roman"/>
          <w:i/>
          <w:iCs/>
        </w:rPr>
        <w:t>actus reus</w:t>
      </w:r>
      <w:r w:rsidRPr="00E13133">
        <w:rPr>
          <w:rFonts w:cs="Times New Roman"/>
        </w:rPr>
        <w:t xml:space="preserve"> is not voluntary and the accused does not possess the </w:t>
      </w:r>
      <w:r w:rsidRPr="00E13133">
        <w:rPr>
          <w:rFonts w:cs="Times New Roman"/>
          <w:i/>
          <w:iCs/>
        </w:rPr>
        <w:t>mens rea</w:t>
      </w:r>
      <w:r w:rsidRPr="00E13133">
        <w:rPr>
          <w:rFonts w:cs="Times New Roman"/>
        </w:rPr>
        <w:t xml:space="preserve"> required for the general intent offence (para. 201). However, the important benefits outweigh these deleterious effects, including the protection of women and children that “breathes some meaning into the equality rights of victims” (para. 202). It also deters the irresponsible use and mixing of intoxicants that could lead to automatism and violent behaviour (para. 204): “Parliament is entitled to craft a legislative response regardless of how often an accused would fall within s. 33.1” (para. 207).</w:t>
      </w:r>
    </w:p>
    <w:p w14:paraId="3979077E" w14:textId="77777777" w:rsidR="00377DDF" w:rsidRPr="00E13133" w:rsidRDefault="00377DDF" w:rsidP="00377DDF">
      <w:pPr>
        <w:pStyle w:val="ParaNoNdepar-AltN"/>
        <w:rPr>
          <w:rFonts w:cs="Times New Roman"/>
        </w:rPr>
      </w:pPr>
      <w:r w:rsidRPr="00E13133">
        <w:rPr>
          <w:rFonts w:cs="Times New Roman"/>
        </w:rPr>
        <w:t>In conclusion, Khullar J.A. adopted Slatter J.A.’s disposition of the matter. The Court entered a conviction for aggravated assault.</w:t>
      </w:r>
    </w:p>
    <w:p w14:paraId="7321397F" w14:textId="77777777" w:rsidR="00377DDF" w:rsidRPr="00E13133" w:rsidRDefault="00377DDF" w:rsidP="00377DDF">
      <w:pPr>
        <w:pStyle w:val="Title1LevelTitre1Niveau-AltL"/>
        <w:rPr>
          <w:rFonts w:cs="Times New Roman"/>
        </w:rPr>
      </w:pPr>
      <w:r w:rsidRPr="00E13133">
        <w:rPr>
          <w:rFonts w:cs="Times New Roman"/>
        </w:rPr>
        <w:t>Issue</w:t>
      </w:r>
    </w:p>
    <w:p w14:paraId="5CA7BD56" w14:textId="77777777" w:rsidR="00377DDF" w:rsidRPr="00E13133" w:rsidRDefault="00377DDF" w:rsidP="00377DDF">
      <w:pPr>
        <w:pStyle w:val="ParaNoNdepar-AltN"/>
        <w:rPr>
          <w:rFonts w:cs="Times New Roman"/>
        </w:rPr>
      </w:pPr>
      <w:r w:rsidRPr="00E13133">
        <w:rPr>
          <w:rFonts w:cs="Times New Roman"/>
        </w:rPr>
        <w:t>The only issue is whether s. 33.1 violates ss. 7 and 11(</w:t>
      </w:r>
      <w:r w:rsidRPr="00E13133">
        <w:rPr>
          <w:rFonts w:cs="Times New Roman"/>
          <w:iCs/>
        </w:rPr>
        <w:t>d</w:t>
      </w:r>
      <w:r w:rsidRPr="00E13133">
        <w:rPr>
          <w:rFonts w:cs="Times New Roman"/>
        </w:rPr>
        <w:t xml:space="preserve">) of the </w:t>
      </w:r>
      <w:r w:rsidRPr="00E13133">
        <w:rPr>
          <w:rFonts w:cs="Times New Roman"/>
          <w:i/>
          <w:iCs/>
        </w:rPr>
        <w:t xml:space="preserve">Charter </w:t>
      </w:r>
      <w:r w:rsidRPr="00E13133">
        <w:rPr>
          <w:rFonts w:cs="Times New Roman"/>
        </w:rPr>
        <w:t xml:space="preserve">and, if so, whether it can be saved under s. 1. </w:t>
      </w:r>
    </w:p>
    <w:p w14:paraId="2A17845B" w14:textId="77777777" w:rsidR="00377DDF" w:rsidRPr="00E13133" w:rsidRDefault="00377DDF" w:rsidP="00377DDF">
      <w:pPr>
        <w:pStyle w:val="ParaNoNdepar-AltN"/>
        <w:rPr>
          <w:rFonts w:cs="Times New Roman"/>
        </w:rPr>
      </w:pPr>
      <w:r w:rsidRPr="00E13133">
        <w:rPr>
          <w:rFonts w:cs="Times New Roman"/>
        </w:rPr>
        <w:t>Section 33.1 provides:</w:t>
      </w:r>
    </w:p>
    <w:p w14:paraId="633D510D" w14:textId="77777777" w:rsidR="00377DDF" w:rsidRPr="00E13133" w:rsidRDefault="00377DDF" w:rsidP="00377DDF">
      <w:pPr>
        <w:pStyle w:val="Citation-AltC"/>
      </w:pPr>
      <w:r w:rsidRPr="00E13133">
        <w:rPr>
          <w:b/>
          <w:bCs/>
        </w:rPr>
        <w:t>33.1 (1)</w:t>
      </w:r>
      <w:r w:rsidRPr="00E13133">
        <w:t xml:space="preserve"> It is not a defence to an offence referred to in subsection (3) that the accused, by reason of self-induced intoxication, lacked the general intent or the voluntariness required to commit the offence, where the accused departed markedly from the standard of care as described in subsection (2).</w:t>
      </w:r>
    </w:p>
    <w:p w14:paraId="425B5031" w14:textId="77777777" w:rsidR="00377DDF" w:rsidRPr="00E13133" w:rsidRDefault="00377DDF" w:rsidP="00377DDF">
      <w:pPr>
        <w:pStyle w:val="Citation-AltC"/>
      </w:pPr>
    </w:p>
    <w:p w14:paraId="442033EE" w14:textId="77777777" w:rsidR="00377DDF" w:rsidRPr="00E13133" w:rsidRDefault="00377DDF" w:rsidP="00377DDF">
      <w:pPr>
        <w:pStyle w:val="Citation-AltC"/>
      </w:pPr>
      <w:r w:rsidRPr="00E13133">
        <w:rPr>
          <w:b/>
          <w:bCs/>
        </w:rPr>
        <w:t>(2)</w:t>
      </w:r>
      <w:r w:rsidRPr="00E13133">
        <w:t xml:space="preserve"> For the purposes of this section, a person departs markedly from the standard of reasonable care generally recognized in Canadian society and is thereby criminally at fault where the person, while in a state of self-induced intoxication that renders the person unaware of, or incapable of consciously controlling, their behaviour, voluntarily or involuntarily interferes or threatens to interfere with the bodily integrity of another person. </w:t>
      </w:r>
    </w:p>
    <w:p w14:paraId="2274F9EB" w14:textId="77777777" w:rsidR="00377DDF" w:rsidRPr="00E13133" w:rsidRDefault="00377DDF" w:rsidP="00377DDF">
      <w:pPr>
        <w:pStyle w:val="Citation-AltC"/>
      </w:pPr>
    </w:p>
    <w:p w14:paraId="7CA478A5" w14:textId="77777777" w:rsidR="00377DDF" w:rsidRPr="00E13133" w:rsidRDefault="00377DDF" w:rsidP="00377DDF">
      <w:pPr>
        <w:pStyle w:val="Citation-AltC"/>
      </w:pPr>
      <w:r w:rsidRPr="00E13133">
        <w:rPr>
          <w:b/>
          <w:bCs/>
        </w:rPr>
        <w:t>(3)</w:t>
      </w:r>
      <w:r w:rsidRPr="00E13133">
        <w:t xml:space="preserve"> This section applies in respect of an offence under this Act or any other Act of Parliament that includes as an element an assault or any other interference or threat of interference by a person with the bodily integrity of another person.</w:t>
      </w:r>
    </w:p>
    <w:p w14:paraId="4CB54EB2" w14:textId="77777777" w:rsidR="00377DDF" w:rsidRPr="00E13133" w:rsidRDefault="00377DDF" w:rsidP="00377DDF">
      <w:pPr>
        <w:pStyle w:val="Title1LevelTitre1Niveau-AltL"/>
        <w:rPr>
          <w:rFonts w:cs="Times New Roman"/>
        </w:rPr>
      </w:pPr>
      <w:r w:rsidRPr="00E13133">
        <w:rPr>
          <w:rFonts w:cs="Times New Roman"/>
        </w:rPr>
        <w:t>Analysis</w:t>
      </w:r>
    </w:p>
    <w:p w14:paraId="6298ED23" w14:textId="77777777" w:rsidR="00377DDF" w:rsidRPr="00E13133" w:rsidRDefault="00377DDF" w:rsidP="00377DDF">
      <w:pPr>
        <w:pStyle w:val="Title2LevelTitre2Niveau"/>
        <w:rPr>
          <w:rFonts w:cs="Times New Roman"/>
        </w:rPr>
      </w:pPr>
      <w:r w:rsidRPr="00E13133">
        <w:rPr>
          <w:rFonts w:cs="Times New Roman"/>
        </w:rPr>
        <w:t>Intoxication and Criminal Liability</w:t>
      </w:r>
    </w:p>
    <w:p w14:paraId="1FCE35D4" w14:textId="77777777" w:rsidR="00377DDF" w:rsidRPr="00E13133" w:rsidRDefault="00377DDF" w:rsidP="00377DDF">
      <w:pPr>
        <w:pStyle w:val="ParaNoNdepar-AltN"/>
        <w:rPr>
          <w:rFonts w:cs="Times New Roman"/>
        </w:rPr>
      </w:pPr>
      <w:r w:rsidRPr="00E13133">
        <w:rPr>
          <w:rFonts w:cs="Times New Roman"/>
          <w:lang w:val="en-US"/>
        </w:rPr>
        <w:t xml:space="preserve">While Mr. Brown was convicted of aggravated assault, it is of central importance to recall that s. 33.1 blocks the defence of automatism for all general intent crimes designated in s. 33.1(3), including sexual assault and some other forms of gendered violence. Intoxicated sexual assault was in issue in </w:t>
      </w:r>
      <w:r w:rsidRPr="00E13133">
        <w:rPr>
          <w:rFonts w:cs="Times New Roman"/>
          <w:i/>
          <w:iCs/>
        </w:rPr>
        <w:t>Leary v. The Queen</w:t>
      </w:r>
      <w:r w:rsidRPr="00E13133">
        <w:rPr>
          <w:rFonts w:cs="Times New Roman"/>
        </w:rPr>
        <w:t>, [1978] 1 S.C.R. 29</w:t>
      </w:r>
      <w:r w:rsidRPr="00E13133">
        <w:rPr>
          <w:rFonts w:cs="Times New Roman"/>
          <w:lang w:val="en-US"/>
        </w:rPr>
        <w:t xml:space="preserve">, </w:t>
      </w:r>
      <w:r w:rsidRPr="00E13133">
        <w:rPr>
          <w:rFonts w:cs="Times New Roman"/>
          <w:i/>
          <w:iCs/>
          <w:lang w:val="en-US"/>
        </w:rPr>
        <w:t>R. v. Bernard</w:t>
      </w:r>
      <w:r w:rsidRPr="00E13133">
        <w:rPr>
          <w:rFonts w:cs="Times New Roman"/>
          <w:lang w:val="en-US"/>
        </w:rPr>
        <w:t xml:space="preserve">, [1988] 2 S.C.R. 833, and </w:t>
      </w:r>
      <w:r w:rsidRPr="00E13133">
        <w:rPr>
          <w:rFonts w:cs="Times New Roman"/>
          <w:i/>
          <w:iCs/>
          <w:lang w:val="en-US"/>
        </w:rPr>
        <w:t>Daviault</w:t>
      </w:r>
      <w:r w:rsidRPr="00E13133">
        <w:rPr>
          <w:rFonts w:cs="Times New Roman"/>
          <w:lang w:val="en-US"/>
        </w:rPr>
        <w:t>. Domestic and sexual violence have had, as the preamble of Bill C</w:t>
      </w:r>
      <w:r w:rsidRPr="00E13133">
        <w:rPr>
          <w:rFonts w:cs="Times New Roman"/>
          <w:lang w:val="en-US"/>
        </w:rPr>
        <w:noBreakHyphen/>
        <w:t xml:space="preserve">72 makes plain, a “particularly </w:t>
      </w:r>
      <w:proofErr w:type="spellStart"/>
      <w:proofErr w:type="gramStart"/>
      <w:r w:rsidRPr="00E13133">
        <w:rPr>
          <w:rFonts w:cs="Times New Roman"/>
          <w:lang w:val="en-US"/>
        </w:rPr>
        <w:t>disadvantag</w:t>
      </w:r>
      <w:proofErr w:type="spellEnd"/>
      <w:r w:rsidRPr="00E13133">
        <w:rPr>
          <w:rFonts w:cs="Times New Roman"/>
          <w:lang w:val="en-US"/>
        </w:rPr>
        <w:t>[</w:t>
      </w:r>
      <w:proofErr w:type="spellStart"/>
      <w:proofErr w:type="gramEnd"/>
      <w:r w:rsidRPr="00E13133">
        <w:rPr>
          <w:rFonts w:cs="Times New Roman"/>
          <w:lang w:val="en-US"/>
        </w:rPr>
        <w:t>eous</w:t>
      </w:r>
      <w:proofErr w:type="spellEnd"/>
      <w:r w:rsidRPr="00E13133">
        <w:rPr>
          <w:rFonts w:cs="Times New Roman"/>
          <w:lang w:val="en-US"/>
        </w:rPr>
        <w:t xml:space="preserve">] impact on the equal participation of women and children in society” and Parliament was especially concerned not to allow voluntary intoxication to “excuse” violence against women and children. It is not only important that this preoccupation be recognized as legitimate, but that it be understood as having shaped arguments challenging the provision (see I. Grant, “Second Chances: Bill C-72 and the </w:t>
      </w:r>
      <w:r w:rsidRPr="00E13133">
        <w:rPr>
          <w:rFonts w:cs="Times New Roman"/>
          <w:i/>
          <w:lang w:val="en-US"/>
        </w:rPr>
        <w:t>Charter</w:t>
      </w:r>
      <w:r w:rsidRPr="00E13133">
        <w:rPr>
          <w:rFonts w:cs="Times New Roman"/>
          <w:lang w:val="en-US"/>
        </w:rPr>
        <w:t xml:space="preserve">” (1995), 33 </w:t>
      </w:r>
      <w:r w:rsidRPr="00E13133">
        <w:rPr>
          <w:rFonts w:cs="Times New Roman"/>
          <w:i/>
          <w:iCs/>
          <w:lang w:val="en-US"/>
        </w:rPr>
        <w:t>Osgoode Hall L.J.</w:t>
      </w:r>
      <w:r w:rsidRPr="00E13133">
        <w:rPr>
          <w:rFonts w:cs="Times New Roman"/>
          <w:lang w:val="en-US"/>
        </w:rPr>
        <w:t xml:space="preserve"> 379).</w:t>
      </w:r>
    </w:p>
    <w:p w14:paraId="44F3BEE3" w14:textId="77777777" w:rsidR="00377DDF" w:rsidRPr="00E13133" w:rsidRDefault="00377DDF" w:rsidP="00377DDF">
      <w:pPr>
        <w:pStyle w:val="ParaNoNdepar-AltN"/>
        <w:rPr>
          <w:rFonts w:eastAsia="Times New Roman" w:cs="Times New Roman"/>
          <w:szCs w:val="24"/>
          <w:lang w:val="en-US"/>
        </w:rPr>
      </w:pPr>
      <w:r w:rsidRPr="00E13133">
        <w:rPr>
          <w:rFonts w:cs="Times New Roman"/>
        </w:rPr>
        <w:t xml:space="preserve">The common law has developed an unsympathetic view towards offenders who argue that their intoxication rendered them incapable of forming the necessary guilty mind. In principle, intoxication does not allow the guilty to evade the stigma of proper conviction or the exacting of fair punishment in Canadian law. Intoxication short of automatism is never a defence to crimes of general intent, including manslaughter, assault, and sexual assault (see </w:t>
      </w:r>
      <w:r w:rsidRPr="00E13133">
        <w:rPr>
          <w:rFonts w:cs="Times New Roman"/>
          <w:i/>
          <w:iCs/>
        </w:rPr>
        <w:t>Director of Public Prosecutions v. Beard</w:t>
      </w:r>
      <w:r w:rsidRPr="00E13133">
        <w:rPr>
          <w:rFonts w:cs="Times New Roman"/>
        </w:rPr>
        <w:t xml:space="preserve">, [1920] A.C. 479 (H.L.); </w:t>
      </w:r>
      <w:r w:rsidRPr="00E13133">
        <w:rPr>
          <w:rFonts w:cs="Times New Roman"/>
          <w:i/>
          <w:iCs/>
        </w:rPr>
        <w:t>Leary</w:t>
      </w:r>
      <w:r w:rsidRPr="00E13133">
        <w:rPr>
          <w:rFonts w:cs="Times New Roman"/>
        </w:rPr>
        <w:t>, at pp. 57</w:t>
      </w:r>
      <w:r w:rsidRPr="00E13133">
        <w:rPr>
          <w:rFonts w:cs="Times New Roman"/>
        </w:rPr>
        <w:noBreakHyphen/>
        <w:t xml:space="preserve">60). In </w:t>
      </w:r>
      <w:r w:rsidRPr="00E13133">
        <w:rPr>
          <w:rFonts w:cs="Times New Roman"/>
          <w:i/>
          <w:iCs/>
        </w:rPr>
        <w:t>Leary</w:t>
      </w:r>
      <w:r w:rsidRPr="00E13133">
        <w:rPr>
          <w:rFonts w:cs="Times New Roman"/>
        </w:rPr>
        <w:t>, the majority determined that the recklessness involved in becoming drunk was sufficient to find the guilty mind for whatever general intent offence follows.</w:t>
      </w:r>
      <w:r w:rsidRPr="00E13133">
        <w:rPr>
          <w:rFonts w:cs="Times New Roman"/>
          <w:i/>
          <w:iCs/>
        </w:rPr>
        <w:t xml:space="preserve"> </w:t>
      </w:r>
      <w:r w:rsidRPr="00E13133">
        <w:rPr>
          <w:rFonts w:cs="Times New Roman"/>
        </w:rPr>
        <w:t xml:space="preserve">At the time, the </w:t>
      </w:r>
      <w:r w:rsidRPr="00E13133">
        <w:rPr>
          <w:rFonts w:cs="Times New Roman"/>
          <w:i/>
          <w:iCs/>
        </w:rPr>
        <w:t>Leary</w:t>
      </w:r>
      <w:r w:rsidRPr="00E13133">
        <w:rPr>
          <w:rFonts w:cs="Times New Roman"/>
        </w:rPr>
        <w:t xml:space="preserve"> rule applied to all degrees of intoxication, including extreme intoxication akin to automatism. Intoxication may only negate fault for crimes of specific intent, such as murder, by reason of the complexity of </w:t>
      </w:r>
      <w:r w:rsidRPr="00E13133">
        <w:rPr>
          <w:rFonts w:cs="Times New Roman"/>
          <w:i/>
          <w:iCs/>
        </w:rPr>
        <w:t>mens rea</w:t>
      </w:r>
      <w:r w:rsidRPr="00E13133">
        <w:rPr>
          <w:rFonts w:cs="Times New Roman"/>
          <w:iCs/>
        </w:rPr>
        <w:t xml:space="preserve"> required for conviction</w:t>
      </w:r>
      <w:r w:rsidRPr="00E13133">
        <w:rPr>
          <w:rFonts w:cs="Times New Roman"/>
        </w:rPr>
        <w:t>. It bears repeating: The rule that intoxication is not a defence to general intent crimes remains untouched by this appeal, except in the case of intoxication akin to automatism.</w:t>
      </w:r>
    </w:p>
    <w:p w14:paraId="55EEDF22" w14:textId="77777777" w:rsidR="00377DDF" w:rsidRPr="00E13133" w:rsidRDefault="00377DDF" w:rsidP="00377DDF">
      <w:pPr>
        <w:pStyle w:val="ParaNoNdepar-AltN"/>
        <w:rPr>
          <w:rFonts w:eastAsia="Times New Roman" w:cs="Times New Roman"/>
          <w:szCs w:val="24"/>
          <w:lang w:val="en-US"/>
        </w:rPr>
      </w:pPr>
      <w:r w:rsidRPr="00E13133">
        <w:rPr>
          <w:rFonts w:cs="Times New Roman"/>
        </w:rPr>
        <w:t xml:space="preserve">The constitutionality of the </w:t>
      </w:r>
      <w:r w:rsidRPr="00E13133">
        <w:rPr>
          <w:rFonts w:cs="Times New Roman"/>
          <w:i/>
          <w:iCs/>
        </w:rPr>
        <w:t>Leary</w:t>
      </w:r>
      <w:r w:rsidRPr="00E13133">
        <w:rPr>
          <w:rFonts w:cs="Times New Roman"/>
        </w:rPr>
        <w:t xml:space="preserve"> rule was upheld in </w:t>
      </w:r>
      <w:r w:rsidRPr="00E13133">
        <w:rPr>
          <w:rFonts w:cs="Times New Roman"/>
          <w:i/>
          <w:iCs/>
        </w:rPr>
        <w:t>Bernard</w:t>
      </w:r>
      <w:r w:rsidRPr="00E13133">
        <w:rPr>
          <w:rFonts w:cs="Times New Roman"/>
        </w:rPr>
        <w:t xml:space="preserve">. In concurring reasons, Wilson J. upheld the rule on the basis that the </w:t>
      </w:r>
      <w:r w:rsidRPr="00E13133">
        <w:rPr>
          <w:rFonts w:cs="Times New Roman"/>
          <w:i/>
          <w:iCs/>
        </w:rPr>
        <w:t>mens rea</w:t>
      </w:r>
      <w:r w:rsidRPr="00E13133">
        <w:rPr>
          <w:rFonts w:cs="Times New Roman"/>
        </w:rPr>
        <w:t xml:space="preserve"> for sexual assault could be inferred from the commission of the act, notwithstanding drunkenness, where the accused engaged in an “intentional and voluntary” act (p. 883). Wilson J. was quick however to distinguish the facts of </w:t>
      </w:r>
      <w:r w:rsidRPr="00E13133">
        <w:rPr>
          <w:rFonts w:cs="Times New Roman"/>
          <w:i/>
          <w:iCs/>
        </w:rPr>
        <w:t>Bernard</w:t>
      </w:r>
      <w:r w:rsidRPr="00E13133">
        <w:rPr>
          <w:rFonts w:cs="Times New Roman"/>
        </w:rPr>
        <w:t xml:space="preserve"> from cases of extreme intoxication akin to automatism. Wilson J. took care to note that, in a case of true automatism, the </w:t>
      </w:r>
      <w:r w:rsidRPr="00E13133">
        <w:rPr>
          <w:rFonts w:cs="Times New Roman"/>
          <w:i/>
          <w:iCs/>
        </w:rPr>
        <w:t>Leary</w:t>
      </w:r>
      <w:r w:rsidRPr="00E13133">
        <w:rPr>
          <w:rFonts w:cs="Times New Roman"/>
        </w:rPr>
        <w:t xml:space="preserve"> rule could violate the presumption of innocence by substituting the fault of becoming drunk for the fault of the charged offence (pp. 889</w:t>
      </w:r>
      <w:r w:rsidRPr="00E13133">
        <w:rPr>
          <w:rFonts w:cs="Times New Roman"/>
        </w:rPr>
        <w:noBreakHyphen/>
        <w:t xml:space="preserve">90). </w:t>
      </w:r>
    </w:p>
    <w:p w14:paraId="47F2FEEE" w14:textId="77777777" w:rsidR="00377DDF" w:rsidRPr="00E13133" w:rsidRDefault="00377DDF" w:rsidP="00377DDF">
      <w:pPr>
        <w:pStyle w:val="ParaNoNdepar-AltN"/>
        <w:rPr>
          <w:rFonts w:cs="Times New Roman"/>
        </w:rPr>
      </w:pPr>
      <w:r w:rsidRPr="00E13133">
        <w:rPr>
          <w:rFonts w:cs="Times New Roman"/>
        </w:rPr>
        <w:t xml:space="preserve">It bears recalling, then, that most degrees of intoxication do not provide a defence to crimes of general intent like the offence of aggravated assault from which Mr. Brown was convicted on appeal. Only the highest form of intoxication — that which results in a person losing voluntary control of their actions — is at issue here: extreme intoxication akin to automatism as a defence to violent crimes of general intent and, then again only intoxication that is self-induced. </w:t>
      </w:r>
    </w:p>
    <w:p w14:paraId="502AD9A9" w14:textId="77777777" w:rsidR="00377DDF" w:rsidRPr="00E13133" w:rsidRDefault="00377DDF" w:rsidP="00377DDF">
      <w:pPr>
        <w:pStyle w:val="ParaNoNdepar-AltN"/>
        <w:rPr>
          <w:rFonts w:cs="Times New Roman"/>
        </w:rPr>
      </w:pPr>
      <w:r w:rsidRPr="00E13133">
        <w:rPr>
          <w:rFonts w:cs="Times New Roman"/>
        </w:rPr>
        <w:t xml:space="preserve">The defence of automatism denies the element of voluntariness and therefore negates the </w:t>
      </w:r>
      <w:r w:rsidRPr="00E13133">
        <w:rPr>
          <w:rFonts w:cs="Times New Roman"/>
          <w:i/>
          <w:iCs/>
        </w:rPr>
        <w:t xml:space="preserve">actus </w:t>
      </w:r>
      <w:proofErr w:type="gramStart"/>
      <w:r w:rsidRPr="00E13133">
        <w:rPr>
          <w:rFonts w:cs="Times New Roman"/>
          <w:i/>
          <w:iCs/>
        </w:rPr>
        <w:t>reus</w:t>
      </w:r>
      <w:proofErr w:type="gramEnd"/>
      <w:r w:rsidRPr="00E13133">
        <w:rPr>
          <w:rFonts w:cs="Times New Roman"/>
        </w:rPr>
        <w:t xml:space="preserve"> of the offence (</w:t>
      </w:r>
      <w:r w:rsidRPr="00E13133">
        <w:rPr>
          <w:rFonts w:cs="Times New Roman"/>
          <w:i/>
          <w:iCs/>
        </w:rPr>
        <w:t>R. v. Chaulk</w:t>
      </w:r>
      <w:r w:rsidRPr="00E13133">
        <w:rPr>
          <w:rFonts w:cs="Times New Roman"/>
        </w:rPr>
        <w:t xml:space="preserve">, [1990] 3 S.C.R. 1303, at p. 1321; </w:t>
      </w:r>
      <w:r w:rsidRPr="00E13133">
        <w:rPr>
          <w:rFonts w:cs="Times New Roman"/>
          <w:i/>
          <w:iCs/>
        </w:rPr>
        <w:t>R. v. Parks</w:t>
      </w:r>
      <w:r w:rsidRPr="00E13133">
        <w:rPr>
          <w:rFonts w:cs="Times New Roman"/>
        </w:rPr>
        <w:t xml:space="preserve">, [1992] 2 S.C.R. 871, at p. 896). </w:t>
      </w:r>
      <w:r w:rsidRPr="00E13133">
        <w:rPr>
          <w:rFonts w:cs="Times New Roman"/>
          <w:lang w:val="en-US"/>
        </w:rPr>
        <w:t xml:space="preserve">Involuntary conduct is understood to be genuinely exculpatory because, while the prohibited act was harmful, the accused lacks the capacity to answer for what they did (J. Gardner, </w:t>
      </w:r>
      <w:r w:rsidRPr="00E13133">
        <w:rPr>
          <w:rFonts w:cs="Times New Roman"/>
          <w:i/>
          <w:iCs/>
          <w:lang w:val="en-US"/>
        </w:rPr>
        <w:t>Offences and Defences: Selected Essays in the Philosophy of Criminal Law</w:t>
      </w:r>
      <w:r w:rsidRPr="00E13133">
        <w:rPr>
          <w:rFonts w:cs="Times New Roman"/>
          <w:lang w:val="en-US"/>
        </w:rPr>
        <w:t xml:space="preserve"> (2007), at p. 142). A physically involuntary act, however wrongful in outward appearance, is not a guilty act that can be imputed to an accused. </w:t>
      </w:r>
    </w:p>
    <w:p w14:paraId="16ED0323" w14:textId="77777777" w:rsidR="00377DDF" w:rsidRPr="00E13133" w:rsidRDefault="00377DDF" w:rsidP="00377DDF">
      <w:pPr>
        <w:pStyle w:val="ParaNoNdepar-AltN"/>
        <w:rPr>
          <w:rFonts w:cs="Times New Roman"/>
        </w:rPr>
      </w:pPr>
      <w:r w:rsidRPr="00E13133">
        <w:rPr>
          <w:rFonts w:cs="Times New Roman"/>
        </w:rPr>
        <w:t>Automatism is reflected in involuntary movements that may be associated with heart attacks, seizures or “external” shock, or conditions such as sleepwalking or delirium, where the body moves but there is no link between mind and body (</w:t>
      </w:r>
      <w:r w:rsidRPr="00E13133">
        <w:rPr>
          <w:rFonts w:cs="Times New Roman"/>
          <w:i/>
          <w:iCs/>
        </w:rPr>
        <w:t>Bratty v. Attorney-General for Northern Ireland</w:t>
      </w:r>
      <w:r w:rsidRPr="00E13133">
        <w:rPr>
          <w:rFonts w:cs="Times New Roman"/>
        </w:rPr>
        <w:t xml:space="preserve">, [1963] A.C. 386 (H.L.), at p. 409; </w:t>
      </w:r>
      <w:proofErr w:type="spellStart"/>
      <w:r w:rsidRPr="00E13133">
        <w:rPr>
          <w:rFonts w:cs="Times New Roman"/>
          <w:i/>
          <w:iCs/>
        </w:rPr>
        <w:t>Rabey</w:t>
      </w:r>
      <w:proofErr w:type="spellEnd"/>
      <w:r w:rsidRPr="00E13133">
        <w:rPr>
          <w:rFonts w:cs="Times New Roman"/>
        </w:rPr>
        <w:t>, at p. 523). Physical voluntariness is a principle of fundamental justice and a requirement of all true criminal offences, central to the criminal law’s desire to avoid convicting the morally innocent (</w:t>
      </w:r>
      <w:r w:rsidRPr="00E13133">
        <w:rPr>
          <w:rFonts w:cs="Times New Roman"/>
          <w:i/>
          <w:iCs/>
        </w:rPr>
        <w:t>Daviault</w:t>
      </w:r>
      <w:r w:rsidRPr="00E13133">
        <w:rPr>
          <w:rFonts w:cs="Times New Roman"/>
        </w:rPr>
        <w:t xml:space="preserve">, at p. 74; </w:t>
      </w:r>
      <w:r w:rsidRPr="00E13133">
        <w:rPr>
          <w:rFonts w:cs="Times New Roman"/>
          <w:i/>
          <w:iCs/>
        </w:rPr>
        <w:t xml:space="preserve">R. v. </w:t>
      </w:r>
      <w:proofErr w:type="spellStart"/>
      <w:r w:rsidRPr="00E13133">
        <w:rPr>
          <w:rFonts w:cs="Times New Roman"/>
          <w:i/>
          <w:iCs/>
        </w:rPr>
        <w:t>Ruzic</w:t>
      </w:r>
      <w:proofErr w:type="spellEnd"/>
      <w:r w:rsidRPr="00E13133">
        <w:rPr>
          <w:rFonts w:cs="Times New Roman"/>
        </w:rPr>
        <w:t>, 2001 SCC 24, [2001] 1 S.C.R. 687, at paras. 46</w:t>
      </w:r>
      <w:r w:rsidRPr="00E13133">
        <w:rPr>
          <w:rFonts w:cs="Times New Roman"/>
        </w:rPr>
        <w:noBreakHyphen/>
        <w:t xml:space="preserve">47; </w:t>
      </w:r>
      <w:r w:rsidRPr="00E13133">
        <w:rPr>
          <w:rFonts w:cs="Times New Roman"/>
          <w:i/>
        </w:rPr>
        <w:t xml:space="preserve">R. v. </w:t>
      </w:r>
      <w:r w:rsidRPr="00E13133">
        <w:rPr>
          <w:rFonts w:cs="Times New Roman"/>
          <w:i/>
          <w:iCs/>
        </w:rPr>
        <w:t>Bouchard-Lebrun</w:t>
      </w:r>
      <w:r w:rsidRPr="00E13133">
        <w:rPr>
          <w:rFonts w:cs="Times New Roman"/>
        </w:rPr>
        <w:t xml:space="preserve">, 2011 SCC 58, [2011] 3 S.C.R. 575, at para. 45). Absent a willed movement of the body, the Crown cannot prove the </w:t>
      </w:r>
      <w:r w:rsidRPr="00E13133">
        <w:rPr>
          <w:rFonts w:cs="Times New Roman"/>
          <w:i/>
          <w:iCs/>
        </w:rPr>
        <w:t xml:space="preserve">actus </w:t>
      </w:r>
      <w:proofErr w:type="gramStart"/>
      <w:r w:rsidRPr="00E13133">
        <w:rPr>
          <w:rFonts w:cs="Times New Roman"/>
          <w:i/>
          <w:iCs/>
        </w:rPr>
        <w:t>reus</w:t>
      </w:r>
      <w:proofErr w:type="gramEnd"/>
      <w:r w:rsidRPr="00E13133">
        <w:rPr>
          <w:rFonts w:cs="Times New Roman"/>
        </w:rPr>
        <w:t xml:space="preserve"> beyond a reasonable doubt (</w:t>
      </w:r>
      <w:r w:rsidRPr="00E13133">
        <w:rPr>
          <w:rFonts w:cs="Times New Roman"/>
          <w:i/>
        </w:rPr>
        <w:t xml:space="preserve">R. v. </w:t>
      </w:r>
      <w:r w:rsidRPr="00E13133">
        <w:rPr>
          <w:rFonts w:cs="Times New Roman"/>
          <w:i/>
          <w:iCs/>
        </w:rPr>
        <w:t>Théroux</w:t>
      </w:r>
      <w:r w:rsidRPr="00E13133">
        <w:rPr>
          <w:rFonts w:cs="Times New Roman"/>
        </w:rPr>
        <w:t>, [1993] 2 S.C.R. 5, at pp. 17</w:t>
      </w:r>
      <w:r w:rsidRPr="00E13133">
        <w:rPr>
          <w:rFonts w:cs="Times New Roman"/>
        </w:rPr>
        <w:noBreakHyphen/>
        <w:t>18). This is distinguished from moral involuntariness, which describes scenarios where the accused retains conscious control over their body but has no realistic choice but to commit a guilty act (</w:t>
      </w:r>
      <w:proofErr w:type="spellStart"/>
      <w:r w:rsidRPr="00E13133">
        <w:rPr>
          <w:rFonts w:cs="Times New Roman"/>
          <w:i/>
        </w:rPr>
        <w:t>Ruzic</w:t>
      </w:r>
      <w:proofErr w:type="spellEnd"/>
      <w:r w:rsidRPr="00E13133">
        <w:rPr>
          <w:rFonts w:cs="Times New Roman"/>
        </w:rPr>
        <w:t>, at para. 44).</w:t>
      </w:r>
    </w:p>
    <w:p w14:paraId="1D9E07EB" w14:textId="77777777" w:rsidR="00377DDF" w:rsidRPr="00E13133" w:rsidRDefault="00377DDF" w:rsidP="00377DDF">
      <w:pPr>
        <w:pStyle w:val="ParaNoNdepar-AltN"/>
        <w:rPr>
          <w:rFonts w:cs="Times New Roman"/>
        </w:rPr>
      </w:pPr>
      <w:r w:rsidRPr="00E13133">
        <w:rPr>
          <w:rFonts w:cs="Times New Roman"/>
        </w:rPr>
        <w:t xml:space="preserve">In addition, an automaton cannot form the </w:t>
      </w:r>
      <w:r w:rsidRPr="00E13133">
        <w:rPr>
          <w:rFonts w:cs="Times New Roman"/>
          <w:i/>
          <w:iCs/>
        </w:rPr>
        <w:t>mens rea</w:t>
      </w:r>
      <w:r w:rsidRPr="00E13133">
        <w:rPr>
          <w:rFonts w:cs="Times New Roman"/>
        </w:rPr>
        <w:t>, or guilty mind, if their actions are involuntary. Where an accused has no conscious awareness of their movements, they necessarily cannot intend their involuntary acts. Imposing criminal liability in the absence of proof of fault also offends the principles of fundamental justice (</w:t>
      </w:r>
      <w:r w:rsidRPr="00E13133">
        <w:rPr>
          <w:rFonts w:cs="Times New Roman"/>
          <w:i/>
          <w:iCs/>
        </w:rPr>
        <w:t>Motor Vehicle Reference</w:t>
      </w:r>
      <w:r w:rsidRPr="00E13133">
        <w:rPr>
          <w:rFonts w:cs="Times New Roman"/>
        </w:rPr>
        <w:t>, at pp. 513</w:t>
      </w:r>
      <w:r w:rsidRPr="00E13133">
        <w:rPr>
          <w:rFonts w:cs="Times New Roman"/>
        </w:rPr>
        <w:noBreakHyphen/>
        <w:t xml:space="preserve">15). </w:t>
      </w:r>
    </w:p>
    <w:p w14:paraId="52A290AC" w14:textId="77777777" w:rsidR="00377DDF" w:rsidRPr="00E13133" w:rsidRDefault="00377DDF" w:rsidP="00377DDF">
      <w:pPr>
        <w:pStyle w:val="ParaNoNdepar-AltN"/>
        <w:rPr>
          <w:rFonts w:eastAsia="Times New Roman" w:cs="Times New Roman"/>
          <w:szCs w:val="24"/>
        </w:rPr>
      </w:pPr>
      <w:r w:rsidRPr="00E13133">
        <w:rPr>
          <w:rFonts w:cs="Times New Roman"/>
        </w:rPr>
        <w:t xml:space="preserve">I recall that, in </w:t>
      </w:r>
      <w:r w:rsidRPr="00E13133">
        <w:rPr>
          <w:rFonts w:cs="Times New Roman"/>
          <w:i/>
          <w:iCs/>
        </w:rPr>
        <w:t>Bernard</w:t>
      </w:r>
      <w:r w:rsidRPr="00E13133">
        <w:rPr>
          <w:rFonts w:cs="Times New Roman"/>
        </w:rPr>
        <w:t>, Wilson J. wrote that in a case of true intoxication akin to automatism, it may be improper to substitute proof of intention to become intoxicated for proof of intention to commit the violent offence (pp. 889</w:t>
      </w:r>
      <w:r w:rsidRPr="00E13133">
        <w:rPr>
          <w:rFonts w:cs="Times New Roman"/>
        </w:rPr>
        <w:noBreakHyphen/>
        <w:t>90). The choice to become intoxicated through legal or illegal means, a choice that many Canadians make, cannot be said to be the same as an intention to perpetrate the illegal act. The substitution violates the presumption of innocence, because a person can be convicted despite a reasonable doubt about whether the essential elements of the offence have been established (</w:t>
      </w:r>
      <w:r w:rsidRPr="00E13133">
        <w:rPr>
          <w:rFonts w:cs="Times New Roman"/>
          <w:i/>
          <w:iCs/>
        </w:rPr>
        <w:t>Oakes</w:t>
      </w:r>
      <w:r w:rsidRPr="00E13133">
        <w:rPr>
          <w:rFonts w:cs="Times New Roman"/>
        </w:rPr>
        <w:t xml:space="preserve">, at p. 134; </w:t>
      </w:r>
      <w:r w:rsidRPr="00E13133">
        <w:rPr>
          <w:rFonts w:cs="Times New Roman"/>
          <w:i/>
          <w:iCs/>
        </w:rPr>
        <w:t>R. v.</w:t>
      </w:r>
      <w:r w:rsidRPr="00E13133">
        <w:rPr>
          <w:rFonts w:cs="Times New Roman"/>
        </w:rPr>
        <w:t xml:space="preserve"> </w:t>
      </w:r>
      <w:r w:rsidRPr="00E13133">
        <w:rPr>
          <w:rFonts w:cs="Times New Roman"/>
          <w:i/>
          <w:iCs/>
        </w:rPr>
        <w:t>Vaillancourt</w:t>
      </w:r>
      <w:r w:rsidRPr="00E13133">
        <w:rPr>
          <w:rFonts w:cs="Times New Roman"/>
        </w:rPr>
        <w:t>, [1987] 2 S.C.R. 636, at p. 656).</w:t>
      </w:r>
    </w:p>
    <w:p w14:paraId="4194E935" w14:textId="77777777" w:rsidR="00377DDF" w:rsidRPr="00E13133" w:rsidRDefault="00377DDF" w:rsidP="00377DDF">
      <w:pPr>
        <w:pStyle w:val="ParaNoNdepar-AltN"/>
        <w:rPr>
          <w:rFonts w:cs="Times New Roman"/>
        </w:rPr>
      </w:pPr>
      <w:r w:rsidRPr="00E13133">
        <w:rPr>
          <w:rFonts w:cs="Times New Roman"/>
        </w:rPr>
        <w:t>I note that the defence has been referred to as “rare” in the case law (</w:t>
      </w:r>
      <w:r w:rsidRPr="00E13133">
        <w:rPr>
          <w:rFonts w:cs="Times New Roman"/>
          <w:i/>
        </w:rPr>
        <w:t>Daviault</w:t>
      </w:r>
      <w:r w:rsidRPr="00E13133">
        <w:rPr>
          <w:rFonts w:cs="Times New Roman"/>
        </w:rPr>
        <w:t>, at pp. 92</w:t>
      </w:r>
      <w:r w:rsidRPr="00E13133">
        <w:rPr>
          <w:rFonts w:cs="Times New Roman"/>
        </w:rPr>
        <w:noBreakHyphen/>
        <w:t xml:space="preserve">93; </w:t>
      </w:r>
      <w:r w:rsidRPr="00E13133">
        <w:rPr>
          <w:rFonts w:cs="Times New Roman"/>
          <w:i/>
        </w:rPr>
        <w:t>Sullivan</w:t>
      </w:r>
      <w:r w:rsidRPr="00E13133">
        <w:rPr>
          <w:rFonts w:cs="Times New Roman"/>
        </w:rPr>
        <w:t>, at para. 118). The Attorney General of Manitoba disputes that and points to instances of violence involving street drugs with known psychosis</w:t>
      </w:r>
      <w:r w:rsidRPr="00E13133">
        <w:rPr>
          <w:rFonts w:cs="Times New Roman"/>
        </w:rPr>
        <w:noBreakHyphen/>
        <w:t>inducing properties. It is certainly plain that intoxicated violence is a serious social problem. Whatever proportion of this phenomenon relates to involuntary conduct, it is notable that extreme intoxication akin to automatism is an exigent defence requiring the accused to show that their consciousness was so impaired as to deprive them of all willed control over their actions. This is not the same as simply waking up with no memory of committing a crime. A failure to remember does not prove that an individual was acting involuntarily. Nor is it the same as suffering a psychotic episode where physical voluntariness remains intact. But even if one were to accept that the defence is a rarity, it hardly seems conclusive to either side of the debate. It is cold comfort to the victim of extreme intoxicated violence that their plight is a rare one. And it is equally chilling to think that denying the defence to a person who is morally and physically incapable of committing a crime is somehow palatable in that it is a rare occurrence.</w:t>
      </w:r>
    </w:p>
    <w:p w14:paraId="08C35E1D" w14:textId="77777777" w:rsidR="00377DDF" w:rsidRPr="00E13133" w:rsidRDefault="00377DDF" w:rsidP="00377DDF">
      <w:pPr>
        <w:pStyle w:val="ParaNoNdepar-AltN"/>
        <w:rPr>
          <w:rFonts w:cs="Times New Roman"/>
        </w:rPr>
      </w:pPr>
      <w:r w:rsidRPr="00E13133">
        <w:rPr>
          <w:rFonts w:cs="Times New Roman"/>
        </w:rPr>
        <w:t xml:space="preserve">Disagreements concerning the blameworthiness of voluntary intoxication animated the majority and minority opinions in </w:t>
      </w:r>
      <w:r w:rsidRPr="00E13133">
        <w:rPr>
          <w:rFonts w:cs="Times New Roman"/>
          <w:i/>
          <w:iCs/>
        </w:rPr>
        <w:t>Daviault</w:t>
      </w:r>
      <w:r w:rsidRPr="00E13133">
        <w:rPr>
          <w:rFonts w:cs="Times New Roman"/>
        </w:rPr>
        <w:t xml:space="preserve">, which addressed squarely the impact of the </w:t>
      </w:r>
      <w:r w:rsidRPr="00E13133">
        <w:rPr>
          <w:rFonts w:cs="Times New Roman"/>
          <w:i/>
          <w:iCs/>
        </w:rPr>
        <w:t>Leary</w:t>
      </w:r>
      <w:r w:rsidRPr="00E13133">
        <w:rPr>
          <w:rFonts w:cs="Times New Roman"/>
        </w:rPr>
        <w:t xml:space="preserve"> rule and the preoccupations of Wilson J. in </w:t>
      </w:r>
      <w:r w:rsidRPr="00E13133">
        <w:rPr>
          <w:rFonts w:cs="Times New Roman"/>
          <w:i/>
          <w:iCs/>
        </w:rPr>
        <w:t>Bernard</w:t>
      </w:r>
      <w:r w:rsidRPr="00E13133">
        <w:rPr>
          <w:rFonts w:cs="Times New Roman"/>
        </w:rPr>
        <w:t xml:space="preserve"> on extreme intoxication akin to automatism.</w:t>
      </w:r>
    </w:p>
    <w:p w14:paraId="49FE396E" w14:textId="77777777" w:rsidR="00377DDF" w:rsidRPr="00E13133" w:rsidRDefault="00377DDF" w:rsidP="00377DDF">
      <w:pPr>
        <w:pStyle w:val="Title3LevelTitre3Niveau"/>
        <w:rPr>
          <w:rFonts w:cs="Times New Roman"/>
          <w:i/>
          <w:iCs/>
        </w:rPr>
      </w:pPr>
      <w:r w:rsidRPr="00E13133">
        <w:rPr>
          <w:rFonts w:cs="Times New Roman"/>
          <w:i/>
          <w:iCs/>
        </w:rPr>
        <w:t>Daviault</w:t>
      </w:r>
    </w:p>
    <w:p w14:paraId="38EE01F6"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Mr. Daviault sexually assaulted an acquaintance after drinking 7 or 8 bottles of beer and 35 ounces of brandy, an amount that would likely cause death or a coma in an ordinary person.</w:t>
      </w:r>
      <w:r w:rsidRPr="00E13133">
        <w:rPr>
          <w:rFonts w:cs="Times New Roman"/>
          <w:szCs w:val="24"/>
        </w:rPr>
        <w:t xml:space="preserve"> </w:t>
      </w:r>
      <w:r w:rsidRPr="00E13133">
        <w:rPr>
          <w:rFonts w:cs="Times New Roman"/>
        </w:rPr>
        <w:t>The issue was, as a matter of law, whether evidence of extreme self</w:t>
      </w:r>
      <w:r w:rsidRPr="00E13133">
        <w:rPr>
          <w:rFonts w:cs="Times New Roman"/>
          <w:szCs w:val="24"/>
        </w:rPr>
        <w:noBreakHyphen/>
      </w:r>
      <w:r w:rsidRPr="00E13133">
        <w:rPr>
          <w:rFonts w:cs="Times New Roman"/>
        </w:rPr>
        <w:t>induced intoxication akin to automatism could ground a defence to the general intent crime of sexual assault.</w:t>
      </w:r>
      <w:r w:rsidRPr="00E13133">
        <w:rPr>
          <w:rFonts w:cs="Times New Roman"/>
          <w:szCs w:val="24"/>
        </w:rPr>
        <w:t xml:space="preserve"> </w:t>
      </w:r>
      <w:r w:rsidRPr="00E13133">
        <w:rPr>
          <w:rFonts w:cs="Times New Roman"/>
        </w:rPr>
        <w:t xml:space="preserve">Cory J. for the majority held that the </w:t>
      </w:r>
      <w:r w:rsidRPr="00E13133">
        <w:rPr>
          <w:rFonts w:cs="Times New Roman"/>
          <w:i/>
          <w:iCs/>
        </w:rPr>
        <w:t xml:space="preserve">Leary </w:t>
      </w:r>
      <w:r w:rsidRPr="00E13133">
        <w:rPr>
          <w:rFonts w:cs="Times New Roman"/>
        </w:rPr>
        <w:t>rule offended ss. 7 and 11(</w:t>
      </w:r>
      <w:r w:rsidRPr="00E13133">
        <w:rPr>
          <w:rFonts w:cs="Times New Roman"/>
          <w:iCs/>
        </w:rPr>
        <w:t>d</w:t>
      </w:r>
      <w:r w:rsidRPr="00E13133">
        <w:rPr>
          <w:rFonts w:cs="Times New Roman"/>
        </w:rPr>
        <w:t xml:space="preserve">) of the </w:t>
      </w:r>
      <w:r w:rsidRPr="00E13133">
        <w:rPr>
          <w:rFonts w:cs="Times New Roman"/>
          <w:i/>
          <w:iCs/>
        </w:rPr>
        <w:t xml:space="preserve">Charter </w:t>
      </w:r>
      <w:r w:rsidRPr="00E13133">
        <w:rPr>
          <w:rFonts w:cs="Times New Roman"/>
        </w:rPr>
        <w:t xml:space="preserve">in three ways, </w:t>
      </w:r>
      <w:r w:rsidRPr="00E13133">
        <w:rPr>
          <w:rFonts w:cs="Times New Roman"/>
          <w:lang w:val="en-US"/>
        </w:rPr>
        <w:t xml:space="preserve">helpfully explained by Paciocco J.A. in </w:t>
      </w:r>
      <w:r w:rsidRPr="00E13133">
        <w:rPr>
          <w:rFonts w:cs="Times New Roman"/>
          <w:i/>
          <w:iCs/>
          <w:lang w:val="en-US"/>
        </w:rPr>
        <w:t>Sullivan</w:t>
      </w:r>
      <w:r w:rsidRPr="00E13133">
        <w:rPr>
          <w:rFonts w:cs="Times New Roman"/>
          <w:lang w:val="en-US"/>
        </w:rPr>
        <w:t xml:space="preserve"> as the “voluntariness breach”, the “improper substitution breach” and the “</w:t>
      </w:r>
      <w:r w:rsidRPr="00E13133">
        <w:rPr>
          <w:rFonts w:cs="Times New Roman"/>
          <w:iCs/>
          <w:lang w:val="en-US"/>
        </w:rPr>
        <w:t>mens rea</w:t>
      </w:r>
      <w:r w:rsidRPr="00E13133">
        <w:rPr>
          <w:rFonts w:cs="Times New Roman"/>
          <w:lang w:val="en-US"/>
        </w:rPr>
        <w:t xml:space="preserve"> breach” (</w:t>
      </w:r>
      <w:r w:rsidRPr="00E13133">
        <w:rPr>
          <w:rFonts w:cs="Times New Roman"/>
          <w:i/>
          <w:iCs/>
          <w:lang w:val="en-US"/>
        </w:rPr>
        <w:t>Sullivan</w:t>
      </w:r>
      <w:r w:rsidRPr="00E13133">
        <w:rPr>
          <w:rFonts w:cs="Times New Roman"/>
          <w:lang w:val="en-US"/>
        </w:rPr>
        <w:t xml:space="preserve">, at para. 47; </w:t>
      </w:r>
      <w:r w:rsidRPr="00E13133">
        <w:rPr>
          <w:rFonts w:cs="Times New Roman"/>
          <w:i/>
          <w:iCs/>
          <w:lang w:val="en-US"/>
        </w:rPr>
        <w:t>Daviault</w:t>
      </w:r>
      <w:r w:rsidRPr="00E13133">
        <w:rPr>
          <w:rFonts w:cs="Times New Roman"/>
          <w:lang w:val="en-US"/>
        </w:rPr>
        <w:t>, at pp. 89</w:t>
      </w:r>
      <w:r w:rsidRPr="00E13133">
        <w:rPr>
          <w:rFonts w:cs="Times New Roman"/>
          <w:lang w:val="en-US"/>
        </w:rPr>
        <w:noBreakHyphen/>
        <w:t xml:space="preserve">92). </w:t>
      </w:r>
    </w:p>
    <w:p w14:paraId="1DCDFB68" w14:textId="77777777" w:rsidR="00377DDF" w:rsidRPr="00E13133" w:rsidRDefault="00377DDF" w:rsidP="00377DDF">
      <w:pPr>
        <w:pStyle w:val="ParaNoNdepar-AltN"/>
        <w:tabs>
          <w:tab w:val="clear" w:pos="1166"/>
          <w:tab w:val="num" w:pos="1152"/>
        </w:tabs>
        <w:rPr>
          <w:rFonts w:cs="Times New Roman"/>
        </w:rPr>
      </w:pPr>
      <w:r w:rsidRPr="00E13133">
        <w:rPr>
          <w:rFonts w:cs="Times New Roman"/>
          <w:lang w:val="en-US"/>
        </w:rPr>
        <w:t xml:space="preserve">The majority was concerned that an accused in a state of extreme intoxication akin to automatism could be convicted for conduct that, by reason of its involuntary character, cannot amount to the </w:t>
      </w:r>
      <w:r w:rsidRPr="00E13133">
        <w:rPr>
          <w:rFonts w:cs="Times New Roman"/>
          <w:i/>
          <w:iCs/>
          <w:lang w:val="en-US"/>
        </w:rPr>
        <w:t xml:space="preserve">actus </w:t>
      </w:r>
      <w:proofErr w:type="gramStart"/>
      <w:r w:rsidRPr="00E13133">
        <w:rPr>
          <w:rFonts w:cs="Times New Roman"/>
          <w:i/>
          <w:iCs/>
          <w:lang w:val="en-US"/>
        </w:rPr>
        <w:t>reus</w:t>
      </w:r>
      <w:proofErr w:type="gramEnd"/>
      <w:r w:rsidRPr="00E13133">
        <w:rPr>
          <w:rFonts w:cs="Times New Roman"/>
          <w:lang w:val="en-US"/>
        </w:rPr>
        <w:t xml:space="preserve"> of the offence, for which proof beyond a reasonable doubt must be made. This violation of the criminal law’s voluntariness principle would breach the principles of fundamental justice in s. 7 of the </w:t>
      </w:r>
      <w:r w:rsidRPr="00E13133">
        <w:rPr>
          <w:rFonts w:cs="Times New Roman"/>
          <w:i/>
          <w:iCs/>
          <w:lang w:val="en-US"/>
        </w:rPr>
        <w:t xml:space="preserve">Charter </w:t>
      </w:r>
      <w:r w:rsidRPr="00E13133">
        <w:rPr>
          <w:rFonts w:cs="Times New Roman"/>
          <w:lang w:val="en-US"/>
        </w:rPr>
        <w:t>(pp. 91</w:t>
      </w:r>
      <w:r w:rsidRPr="00E13133">
        <w:rPr>
          <w:rFonts w:cs="Times New Roman"/>
          <w:lang w:val="en-US"/>
        </w:rPr>
        <w:noBreakHyphen/>
        <w:t xml:space="preserve">92). Moreover, the choice to become intoxicated cannot be properly substituted for the </w:t>
      </w:r>
      <w:r w:rsidRPr="00E13133">
        <w:rPr>
          <w:rFonts w:cs="Times New Roman"/>
          <w:i/>
          <w:iCs/>
          <w:lang w:val="en-US"/>
        </w:rPr>
        <w:t>mens rea</w:t>
      </w:r>
      <w:r w:rsidRPr="00E13133">
        <w:rPr>
          <w:rFonts w:cs="Times New Roman"/>
          <w:lang w:val="en-US"/>
        </w:rPr>
        <w:t xml:space="preserve"> of the offence charged. Proof of voluntary intoxication does not inevitably lead to the conclusion that the accused had the requisite mental element required for conviction. The improper substitution of proof of self</w:t>
      </w:r>
      <w:r w:rsidRPr="00E13133">
        <w:rPr>
          <w:rFonts w:cs="Times New Roman"/>
          <w:lang w:val="en-US"/>
        </w:rPr>
        <w:noBreakHyphen/>
        <w:t xml:space="preserve">induced intoxication for proof of </w:t>
      </w:r>
      <w:r w:rsidRPr="00E13133">
        <w:rPr>
          <w:rFonts w:cs="Times New Roman"/>
          <w:i/>
          <w:iCs/>
          <w:lang w:val="en-US"/>
        </w:rPr>
        <w:t>mens rea</w:t>
      </w:r>
      <w:r w:rsidRPr="00E13133">
        <w:rPr>
          <w:rFonts w:cs="Times New Roman"/>
          <w:lang w:val="en-US"/>
        </w:rPr>
        <w:t xml:space="preserve"> of the offence is a breach of the presumption of innocence (s. 11(</w:t>
      </w:r>
      <w:r w:rsidRPr="00E13133">
        <w:rPr>
          <w:rFonts w:cs="Times New Roman"/>
          <w:iCs/>
          <w:lang w:val="en-US"/>
        </w:rPr>
        <w:t>d</w:t>
      </w:r>
      <w:r w:rsidRPr="00E13133">
        <w:rPr>
          <w:rFonts w:cs="Times New Roman"/>
          <w:lang w:val="en-US"/>
        </w:rPr>
        <w:t xml:space="preserve">)) (p. 92). Finally, the majority in </w:t>
      </w:r>
      <w:r w:rsidRPr="00E13133">
        <w:rPr>
          <w:rFonts w:cs="Times New Roman"/>
          <w:i/>
          <w:iCs/>
          <w:lang w:val="en-US"/>
        </w:rPr>
        <w:t>Daviault</w:t>
      </w:r>
      <w:r w:rsidRPr="00E13133">
        <w:rPr>
          <w:rFonts w:cs="Times New Roman"/>
          <w:lang w:val="en-US"/>
        </w:rPr>
        <w:t xml:space="preserve"> recalled that voluntary intoxication is not a crime and the consequences of self</w:t>
      </w:r>
      <w:r w:rsidRPr="00E13133">
        <w:rPr>
          <w:rFonts w:cs="Times New Roman"/>
          <w:lang w:val="en-US"/>
        </w:rPr>
        <w:noBreakHyphen/>
        <w:t>induced intoxication may themselves not be voluntary or foreseeable. To convict a person based on self</w:t>
      </w:r>
      <w:r w:rsidRPr="00E13133">
        <w:rPr>
          <w:rFonts w:cs="Times New Roman"/>
          <w:lang w:val="en-US"/>
        </w:rPr>
        <w:noBreakHyphen/>
        <w:t xml:space="preserve">induced intoxication means that an accused might not have the constitutionally required minimum </w:t>
      </w:r>
      <w:r w:rsidRPr="00E13133">
        <w:rPr>
          <w:rFonts w:cs="Times New Roman"/>
          <w:i/>
          <w:iCs/>
          <w:lang w:val="en-US"/>
        </w:rPr>
        <w:t>mens rea</w:t>
      </w:r>
      <w:r w:rsidRPr="00E13133">
        <w:rPr>
          <w:rFonts w:cs="Times New Roman"/>
          <w:lang w:val="en-US"/>
        </w:rPr>
        <w:t xml:space="preserve"> that fits the offence charged and the criminal sanction that attaches thereto. This would violate the principles of fundamental justice in s. 7 of the </w:t>
      </w:r>
      <w:r w:rsidRPr="00E13133">
        <w:rPr>
          <w:rFonts w:cs="Times New Roman"/>
          <w:i/>
          <w:iCs/>
          <w:lang w:val="en-US"/>
        </w:rPr>
        <w:t>Charter</w:t>
      </w:r>
      <w:r w:rsidRPr="00E13133">
        <w:rPr>
          <w:rFonts w:cs="Times New Roman"/>
          <w:lang w:val="en-US"/>
        </w:rPr>
        <w:t xml:space="preserve"> and constitutes the </w:t>
      </w:r>
      <w:r w:rsidRPr="00E13133">
        <w:rPr>
          <w:rFonts w:cs="Times New Roman"/>
          <w:i/>
          <w:iCs/>
          <w:lang w:val="en-US"/>
        </w:rPr>
        <w:t>mens rea</w:t>
      </w:r>
      <w:r w:rsidRPr="00E13133">
        <w:rPr>
          <w:rFonts w:cs="Times New Roman"/>
          <w:lang w:val="en-US"/>
        </w:rPr>
        <w:t xml:space="preserve"> breach (</w:t>
      </w:r>
      <w:r w:rsidRPr="00E13133">
        <w:rPr>
          <w:rFonts w:cs="Times New Roman"/>
          <w:i/>
          <w:iCs/>
          <w:lang w:val="en-US"/>
        </w:rPr>
        <w:t>ibid.</w:t>
      </w:r>
      <w:r w:rsidRPr="00E13133">
        <w:rPr>
          <w:rFonts w:cs="Times New Roman"/>
          <w:lang w:val="en-US"/>
        </w:rPr>
        <w:t>).</w:t>
      </w:r>
      <w:r w:rsidRPr="00E13133">
        <w:rPr>
          <w:rFonts w:cs="Times New Roman"/>
        </w:rPr>
        <w:t xml:space="preserve"> </w:t>
      </w:r>
    </w:p>
    <w:p w14:paraId="023291BD"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 xml:space="preserve">The majority in </w:t>
      </w:r>
      <w:r w:rsidRPr="00E13133">
        <w:rPr>
          <w:rFonts w:cs="Times New Roman"/>
          <w:i/>
          <w:iCs/>
        </w:rPr>
        <w:t>Daviault</w:t>
      </w:r>
      <w:r w:rsidRPr="00E13133">
        <w:rPr>
          <w:rFonts w:cs="Times New Roman"/>
        </w:rPr>
        <w:t xml:space="preserve"> thus modified the rule that intoxication is not a defence to crimes of general intent. Exceptionally, a defence of extreme intoxication akin to automatism, including self</w:t>
      </w:r>
      <w:r w:rsidRPr="00E13133">
        <w:rPr>
          <w:rFonts w:cs="Times New Roman"/>
        </w:rPr>
        <w:noBreakHyphen/>
        <w:t>induced extreme intoxication, could be raised by an accused, although intoxication short of automatism would still not be a defence, as it will not interfere with someone’s ability to form the minimum mental element required for a general intent offence (pp. 99</w:t>
      </w:r>
      <w:r w:rsidRPr="00E13133">
        <w:rPr>
          <w:rFonts w:cs="Times New Roman"/>
        </w:rPr>
        <w:noBreakHyphen/>
        <w:t>101). Cory J. invited Parliament to legislate to meet what he considered to be the rare case of this degree of intoxication, noting that it was “always open to Parliament to fashion a remedy which would make it a crime to commit a prohibited act while drunk” (p. 100).</w:t>
      </w:r>
    </w:p>
    <w:p w14:paraId="690DA1AD"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In dissent, Sopinka J. said that self</w:t>
      </w:r>
      <w:r w:rsidRPr="00E13133">
        <w:rPr>
          <w:rFonts w:cs="Times New Roman"/>
        </w:rPr>
        <w:noBreakHyphen/>
        <w:t xml:space="preserve">induced extreme intoxication cannot be a defence for general intent crimes such as sexual assault. In his view, the principles of fundamental justice could be satisfied if there is a blameworthy mental element and the level of blameworthiness is not disproportionate to the seriousness of the offence (p. 118). Those who voluntarily consume alcohol or drugs and render themselves involuntary are not morally blameless. Sopinka J. wrote that the voluntariness principle must give way as a “perpetrator who by his or her own fault brings about the conditions should not escape punishment” (p. 121). </w:t>
      </w:r>
    </w:p>
    <w:p w14:paraId="4B005586"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 xml:space="preserve">Thus, following </w:t>
      </w:r>
      <w:r w:rsidRPr="00E13133">
        <w:rPr>
          <w:rFonts w:cs="Times New Roman"/>
          <w:i/>
        </w:rPr>
        <w:t>Daviault</w:t>
      </w:r>
      <w:r w:rsidRPr="00E13133">
        <w:rPr>
          <w:rFonts w:cs="Times New Roman"/>
        </w:rPr>
        <w:t xml:space="preserve">, at common law, an accused was entitled to an acquittal for a general intent offence if they could prove, on a balance of probabilities, that they committed the acts involuntarily, while in a state of extreme intoxication akin to automatism. In order to do so, the accused must adduce expert evidence. </w:t>
      </w:r>
    </w:p>
    <w:p w14:paraId="66DDC0D5"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 xml:space="preserve">In its aftermath, the majority opinion in </w:t>
      </w:r>
      <w:r w:rsidRPr="00E13133">
        <w:rPr>
          <w:rFonts w:cs="Times New Roman"/>
          <w:i/>
          <w:iCs/>
        </w:rPr>
        <w:t>Daviault</w:t>
      </w:r>
      <w:r w:rsidRPr="00E13133">
        <w:rPr>
          <w:rFonts w:cs="Times New Roman"/>
        </w:rPr>
        <w:t xml:space="preserve"> was criticized</w:t>
      </w:r>
      <w:r w:rsidRPr="00E13133">
        <w:rPr>
          <w:rFonts w:cs="Times New Roman"/>
          <w:i/>
          <w:iCs/>
        </w:rPr>
        <w:t xml:space="preserve"> </w:t>
      </w:r>
      <w:r w:rsidRPr="00E13133">
        <w:rPr>
          <w:rFonts w:cs="Times New Roman"/>
        </w:rPr>
        <w:t xml:space="preserve">for its “alarming lack of consideration of the social context of sexual assault particularly for women and children” (I. Grant, “The Limits of </w:t>
      </w:r>
      <w:r w:rsidRPr="00E13133">
        <w:rPr>
          <w:rFonts w:cs="Times New Roman"/>
          <w:iCs/>
        </w:rPr>
        <w:t>Daviault</w:t>
      </w:r>
      <w:r w:rsidRPr="00E13133">
        <w:rPr>
          <w:rFonts w:cs="Times New Roman"/>
        </w:rPr>
        <w:t>” (1995), 33 C.R. (4th) 277, at p. 287; see also M. Shaffer, “</w:t>
      </w:r>
      <w:r w:rsidRPr="00E13133">
        <w:rPr>
          <w:rFonts w:cs="Times New Roman"/>
          <w:i/>
        </w:rPr>
        <w:t xml:space="preserve">R. </w:t>
      </w:r>
      <w:r w:rsidRPr="00E13133">
        <w:rPr>
          <w:rFonts w:cs="Times New Roman"/>
        </w:rPr>
        <w:t>v.</w:t>
      </w:r>
      <w:r w:rsidRPr="00E13133">
        <w:rPr>
          <w:rFonts w:cs="Times New Roman"/>
          <w:i/>
        </w:rPr>
        <w:t xml:space="preserve"> Daviault</w:t>
      </w:r>
      <w:r w:rsidRPr="00E13133">
        <w:rPr>
          <w:rFonts w:cs="Times New Roman"/>
        </w:rPr>
        <w:t xml:space="preserve">: A Principled Approach </w:t>
      </w:r>
      <w:proofErr w:type="gramStart"/>
      <w:r w:rsidRPr="00E13133">
        <w:rPr>
          <w:rFonts w:cs="Times New Roman"/>
        </w:rPr>
        <w:t>To</w:t>
      </w:r>
      <w:proofErr w:type="gramEnd"/>
      <w:r w:rsidRPr="00E13133">
        <w:rPr>
          <w:rFonts w:cs="Times New Roman"/>
        </w:rPr>
        <w:t xml:space="preserve"> Drunkenness or A Lapse of Common Sense?” (1996), 3 </w:t>
      </w:r>
      <w:r w:rsidRPr="00E13133">
        <w:rPr>
          <w:rFonts w:cs="Times New Roman"/>
          <w:i/>
        </w:rPr>
        <w:t>Rev. Const. Stud.</w:t>
      </w:r>
      <w:r w:rsidRPr="00E13133">
        <w:rPr>
          <w:rFonts w:cs="Times New Roman"/>
        </w:rPr>
        <w:t xml:space="preserve"> 311, at pp. 324</w:t>
      </w:r>
      <w:r w:rsidRPr="00E13133">
        <w:rPr>
          <w:rFonts w:cs="Times New Roman"/>
        </w:rPr>
        <w:noBreakHyphen/>
        <w:t>27). Professor Grant, for example, argued that alcohol is often implicated in gendered violence, and therefore strong equality protections are necessary (“Second Chances: Bill C</w:t>
      </w:r>
      <w:r w:rsidRPr="00E13133">
        <w:rPr>
          <w:rFonts w:cs="Times New Roman"/>
        </w:rPr>
        <w:noBreakHyphen/>
        <w:t xml:space="preserve">72 and the </w:t>
      </w:r>
      <w:r w:rsidRPr="00E13133">
        <w:rPr>
          <w:rFonts w:cs="Times New Roman"/>
          <w:i/>
          <w:iCs/>
        </w:rPr>
        <w:t>Charter</w:t>
      </w:r>
      <w:r w:rsidRPr="00E13133">
        <w:rPr>
          <w:rFonts w:cs="Times New Roman"/>
        </w:rPr>
        <w:t xml:space="preserve">”, at p. 389). She wrote that </w:t>
      </w:r>
      <w:r w:rsidRPr="00E13133">
        <w:rPr>
          <w:rFonts w:cs="Times New Roman"/>
          <w:lang w:val="en-US"/>
        </w:rPr>
        <w:t>“[t]</w:t>
      </w:r>
      <w:proofErr w:type="gramStart"/>
      <w:r w:rsidRPr="00E13133">
        <w:rPr>
          <w:rFonts w:cs="Times New Roman"/>
          <w:lang w:val="en-US"/>
        </w:rPr>
        <w:t>he</w:t>
      </w:r>
      <w:proofErr w:type="gramEnd"/>
      <w:r w:rsidRPr="00E13133">
        <w:rPr>
          <w:rFonts w:cs="Times New Roman"/>
          <w:lang w:val="en-US"/>
        </w:rPr>
        <w:t xml:space="preserve"> suggestion that someone could be too drunk to be convicted of sexual assault shocked the public’s sense of justice and common sense” (p. 383).</w:t>
      </w:r>
    </w:p>
    <w:p w14:paraId="643B8C56" w14:textId="77777777" w:rsidR="00377DDF" w:rsidRPr="00E13133" w:rsidRDefault="00377DDF" w:rsidP="00377DDF">
      <w:pPr>
        <w:pStyle w:val="Title3LevelTitre3Niveau"/>
        <w:rPr>
          <w:rFonts w:cs="Times New Roman"/>
          <w:iCs/>
        </w:rPr>
      </w:pPr>
      <w:r w:rsidRPr="00E13133">
        <w:rPr>
          <w:rFonts w:cs="Times New Roman"/>
          <w:iCs/>
        </w:rPr>
        <w:t>Bill C-72</w:t>
      </w:r>
    </w:p>
    <w:p w14:paraId="5B839ABA" w14:textId="77777777" w:rsidR="00377DDF" w:rsidRPr="00E13133" w:rsidRDefault="00377DDF" w:rsidP="00377DDF">
      <w:pPr>
        <w:pStyle w:val="ParaNoNdepar-AltN"/>
        <w:rPr>
          <w:rFonts w:cs="Times New Roman"/>
        </w:rPr>
      </w:pPr>
      <w:r w:rsidRPr="00E13133">
        <w:rPr>
          <w:rFonts w:cs="Times New Roman"/>
          <w:lang w:val="en-US"/>
        </w:rPr>
        <w:t xml:space="preserve">Within a relatively short period following the judgment of this Court in </w:t>
      </w:r>
      <w:r w:rsidRPr="00E13133">
        <w:rPr>
          <w:rFonts w:cs="Times New Roman"/>
          <w:i/>
          <w:lang w:val="en-US"/>
        </w:rPr>
        <w:t>Daviault</w:t>
      </w:r>
      <w:r w:rsidRPr="00E13133">
        <w:rPr>
          <w:rFonts w:cs="Times New Roman"/>
          <w:lang w:val="en-US"/>
        </w:rPr>
        <w:t xml:space="preserve">, Parliament added s. 33.1 to the general part (Part I — General) of the </w:t>
      </w:r>
      <w:r w:rsidRPr="00E13133">
        <w:rPr>
          <w:rFonts w:cs="Times New Roman"/>
          <w:i/>
          <w:iCs/>
          <w:lang w:val="en-US"/>
        </w:rPr>
        <w:t>Criminal Code</w:t>
      </w:r>
      <w:r w:rsidRPr="00E13133">
        <w:rPr>
          <w:rFonts w:cs="Times New Roman"/>
          <w:lang w:val="en-US"/>
        </w:rPr>
        <w:t>, which sought to abolish self</w:t>
      </w:r>
      <w:r w:rsidRPr="00E13133">
        <w:rPr>
          <w:rFonts w:cs="Times New Roman"/>
          <w:lang w:val="en-US"/>
        </w:rPr>
        <w:noBreakHyphen/>
        <w:t>induced intoxication akin to automatism as a defence to general intent offences involving violence. The preamble of Bill C</w:t>
      </w:r>
      <w:r w:rsidRPr="00E13133">
        <w:rPr>
          <w:rFonts w:cs="Times New Roman"/>
          <w:lang w:val="en-US"/>
        </w:rPr>
        <w:noBreakHyphen/>
        <w:t>72, to which I will return, emphasized Parliament’s concerns regarding intoxicated violence and its impact on the equality and security interests of women and children. It also spoke to the moral view that someone who caused harm while voluntarily intoxicated was blameworthy and should be held accountable for that harm.</w:t>
      </w:r>
      <w:r w:rsidRPr="00E13133">
        <w:rPr>
          <w:rFonts w:cs="Times New Roman"/>
        </w:rPr>
        <w:t xml:space="preserve"> </w:t>
      </w:r>
    </w:p>
    <w:p w14:paraId="62D3C974" w14:textId="77777777" w:rsidR="00377DDF" w:rsidRPr="00E13133" w:rsidRDefault="00377DDF" w:rsidP="00377DDF">
      <w:pPr>
        <w:pStyle w:val="ParaNoNdepar-AltN"/>
        <w:rPr>
          <w:rFonts w:cs="Times New Roman"/>
        </w:rPr>
      </w:pPr>
      <w:r w:rsidRPr="00E13133">
        <w:rPr>
          <w:rFonts w:cs="Times New Roman"/>
        </w:rPr>
        <w:t xml:space="preserve">Before the Standing Committee on Justice and Legal Affairs in advance of the Bill’s enactment, the Minister of Justice stated that in </w:t>
      </w:r>
      <w:r w:rsidRPr="00E13133">
        <w:rPr>
          <w:rFonts w:cs="Times New Roman"/>
          <w:i/>
          <w:iCs/>
        </w:rPr>
        <w:t>Daviault</w:t>
      </w:r>
      <w:r w:rsidRPr="00E13133">
        <w:rPr>
          <w:rFonts w:cs="Times New Roman"/>
        </w:rPr>
        <w:t>, Sopinka J. “wrote a strong judgment for the dissent. . . . He was able to conclude that the moral blameworthiness in the act of inducing your own intoxication was sufficient as a link to criminal liability for the harm charged in the offence” (</w:t>
      </w:r>
      <w:r w:rsidRPr="00E13133">
        <w:rPr>
          <w:rFonts w:cs="Times New Roman"/>
          <w:i/>
        </w:rPr>
        <w:t>Minutes of Proceedings and Evidence of the Standing Committee on Justice and Legal Affairs</w:t>
      </w:r>
      <w:r w:rsidRPr="00E13133">
        <w:rPr>
          <w:rFonts w:cs="Times New Roman"/>
        </w:rPr>
        <w:t>, No. 98, 1st Sess., 35th Parl., April 6, 1995, at p. 17). He stated that the draft amendment provided a sufficient level of fault in that self</w:t>
      </w:r>
      <w:r w:rsidRPr="00E13133">
        <w:rPr>
          <w:rFonts w:cs="Times New Roman"/>
        </w:rPr>
        <w:noBreakHyphen/>
        <w:t>induced intoxication to the point of automatism was a departure from the standard of care (</w:t>
      </w:r>
      <w:r w:rsidRPr="00E13133">
        <w:rPr>
          <w:rFonts w:cs="Times New Roman"/>
          <w:i/>
          <w:iCs/>
        </w:rPr>
        <w:t>ibid.</w:t>
      </w:r>
      <w:r w:rsidRPr="00E13133">
        <w:rPr>
          <w:rFonts w:cs="Times New Roman"/>
        </w:rPr>
        <w:t xml:space="preserve">). In its response to </w:t>
      </w:r>
      <w:r w:rsidRPr="00E13133">
        <w:rPr>
          <w:rFonts w:cs="Times New Roman"/>
          <w:i/>
          <w:iCs/>
        </w:rPr>
        <w:t>Daviault</w:t>
      </w:r>
      <w:r w:rsidRPr="00E13133">
        <w:rPr>
          <w:rFonts w:cs="Times New Roman"/>
        </w:rPr>
        <w:t>, Parliament thus sought to supply a link between the intention to become intoxicated and the intention to commit a crime of violence identified by the majority. It endeavoured to do so by legislating the marked departure standard described in s. 33.1(2), which was viewed as avoiding the constitutional infirmities identified by Cory J. and extending the moral and policy reasoning of Sopinka J.’s dissent.</w:t>
      </w:r>
    </w:p>
    <w:p w14:paraId="71E458F4" w14:textId="77777777" w:rsidR="00377DDF" w:rsidRPr="00E13133" w:rsidRDefault="00377DDF" w:rsidP="00377DDF">
      <w:pPr>
        <w:pStyle w:val="ParaNoNdepar-AltN"/>
        <w:rPr>
          <w:rFonts w:cs="Times New Roman"/>
        </w:rPr>
      </w:pPr>
      <w:r w:rsidRPr="00E13133">
        <w:rPr>
          <w:rFonts w:cs="Times New Roman"/>
          <w:lang w:val="en-US"/>
        </w:rPr>
        <w:t xml:space="preserve">Even after </w:t>
      </w:r>
      <w:r w:rsidRPr="00E13133">
        <w:rPr>
          <w:rFonts w:cs="Times New Roman"/>
          <w:i/>
          <w:iCs/>
          <w:lang w:val="en-US"/>
        </w:rPr>
        <w:t>Daviault</w:t>
      </w:r>
      <w:r w:rsidRPr="00E13133">
        <w:rPr>
          <w:rFonts w:cs="Times New Roman"/>
          <w:lang w:val="en-US"/>
        </w:rPr>
        <w:t>,</w:t>
      </w:r>
      <w:r w:rsidRPr="00E13133">
        <w:rPr>
          <w:rFonts w:cs="Times New Roman"/>
          <w:i/>
          <w:iCs/>
          <w:lang w:val="en-US"/>
        </w:rPr>
        <w:t xml:space="preserve"> </w:t>
      </w:r>
      <w:r w:rsidRPr="00E13133">
        <w:rPr>
          <w:rFonts w:cs="Times New Roman"/>
          <w:lang w:val="en-US"/>
        </w:rPr>
        <w:t>there is general agreement that a person acting in a state of automatism deserves an acquittal where their loss of control is truly morally blameless. But, to borrow a phrase from the United Kingdom Law Commission, there is a persistent sense shared by many that “it is not fair for there to be an acquittal where the accused may be blamed for whatever led to the loss of control” (</w:t>
      </w:r>
      <w:r w:rsidRPr="00E13133">
        <w:rPr>
          <w:rFonts w:cs="Times New Roman"/>
          <w:i/>
          <w:iCs/>
          <w:lang w:val="en-US"/>
        </w:rPr>
        <w:t xml:space="preserve">Criminal Liability: Insanity and Automatism — A Discussion Paper </w:t>
      </w:r>
      <w:r w:rsidRPr="00E13133">
        <w:rPr>
          <w:rFonts w:cs="Times New Roman"/>
          <w:lang w:val="en-US"/>
        </w:rPr>
        <w:t>(2013), at para. 1.117). On this view, a person whose automatism is brought about by self</w:t>
      </w:r>
      <w:r w:rsidRPr="00E13133">
        <w:rPr>
          <w:rFonts w:cs="Times New Roman"/>
          <w:lang w:val="en-US"/>
        </w:rPr>
        <w:noBreakHyphen/>
        <w:t xml:space="preserve">induced extreme intoxication should shoulder that blame and the law should not allow them to escape liability for their violent conduct. There is a perceived difference, say, between a person who consumes a spiked drink and, as a result, loses control of their actions and another person who, because they chose to drink or take drugs to excess, falls into a state akin to automatism. At the same time, issues related to agency and automatism are complicated by other factors, including the social problem of addiction that may have a bearing on the question of moral blameworthiness (see, generally, L. Silver, </w:t>
      </w:r>
      <w:r w:rsidRPr="00E13133">
        <w:rPr>
          <w:rFonts w:cs="Times New Roman"/>
          <w:i/>
          <w:lang w:val="en-US"/>
        </w:rPr>
        <w:t>Who is Responsible for Extreme Intoxication?</w:t>
      </w:r>
      <w:r w:rsidRPr="00E13133">
        <w:rPr>
          <w:rFonts w:cs="Times New Roman"/>
          <w:lang w:val="en-US"/>
        </w:rPr>
        <w:t xml:space="preserve">, October 7, 2021 (online); L. M. Kelly and N. Gill, </w:t>
      </w:r>
      <w:r w:rsidRPr="00E13133">
        <w:rPr>
          <w:rFonts w:cs="Times New Roman"/>
          <w:i/>
          <w:lang w:val="en-US"/>
        </w:rPr>
        <w:t>The punishing response to the defence of extreme intoxication</w:t>
      </w:r>
      <w:r w:rsidRPr="00E13133">
        <w:rPr>
          <w:rFonts w:cs="Times New Roman"/>
          <w:lang w:val="en-US"/>
        </w:rPr>
        <w:t xml:space="preserve">, October 13, 2020 (online)). While this bears noting, it is unnecessary to say more on this problem that does not arise on the facts of this appeal or of the </w:t>
      </w:r>
      <w:r w:rsidRPr="00E13133">
        <w:rPr>
          <w:rFonts w:cs="Times New Roman"/>
          <w:i/>
          <w:lang w:val="en-US"/>
        </w:rPr>
        <w:t>Sullivan</w:t>
      </w:r>
      <w:r w:rsidRPr="00E13133">
        <w:rPr>
          <w:rFonts w:cs="Times New Roman"/>
          <w:lang w:val="en-US"/>
        </w:rPr>
        <w:t xml:space="preserve"> and </w:t>
      </w:r>
      <w:r w:rsidRPr="00E13133">
        <w:rPr>
          <w:rFonts w:cs="Times New Roman"/>
          <w:i/>
          <w:lang w:val="en-US"/>
        </w:rPr>
        <w:t>Chan</w:t>
      </w:r>
      <w:r w:rsidRPr="00E13133">
        <w:rPr>
          <w:rFonts w:cs="Times New Roman"/>
          <w:lang w:val="en-US"/>
        </w:rPr>
        <w:t xml:space="preserve"> appeals before the Court.</w:t>
      </w:r>
    </w:p>
    <w:p w14:paraId="60358578" w14:textId="77777777" w:rsidR="00377DDF" w:rsidRPr="00E13133" w:rsidRDefault="00377DDF" w:rsidP="00377DDF">
      <w:pPr>
        <w:pStyle w:val="ParaNoNdepar-AltN"/>
        <w:rPr>
          <w:rFonts w:cs="Times New Roman"/>
        </w:rPr>
      </w:pPr>
      <w:r w:rsidRPr="00E13133">
        <w:rPr>
          <w:rFonts w:cs="Times New Roman"/>
        </w:rPr>
        <w:t>I take due note that the preamble to Bill C</w:t>
      </w:r>
      <w:r w:rsidRPr="00E13133">
        <w:rPr>
          <w:rFonts w:cs="Times New Roman"/>
        </w:rPr>
        <w:noBreakHyphen/>
        <w:t>72 provides that, in most cases, extreme intoxication akin to automatism is brought about not through the consumption of alcohol alone, but by the consumption of other intoxicants or a mix of alcohol and another substance. For this observation, Parliament relied upon reports and testimony by three experts in support of its conclusion that alcohol alone will not induce a state of automatism. One expert, Dr. Harold </w:t>
      </w:r>
      <w:proofErr w:type="spellStart"/>
      <w:r w:rsidRPr="00E13133">
        <w:rPr>
          <w:rFonts w:cs="Times New Roman"/>
        </w:rPr>
        <w:t>Kalant</w:t>
      </w:r>
      <w:proofErr w:type="spellEnd"/>
      <w:r w:rsidRPr="00E13133">
        <w:rPr>
          <w:rFonts w:cs="Times New Roman"/>
        </w:rPr>
        <w:t>, stated that there was no scientific evidence that alcohol could cause automatism, absent an underlying health condition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A.R., vol. VI, at pp. 93</w:t>
      </w:r>
      <w:r w:rsidRPr="00E13133">
        <w:rPr>
          <w:rFonts w:cs="Times New Roman"/>
        </w:rPr>
        <w:noBreakHyphen/>
        <w:t xml:space="preserve">95; see also the evidence of Dr. Kendall and Dr. Bradford in Standing Committee on Justice and Legal Affairs, </w:t>
      </w:r>
      <w:r w:rsidRPr="00E13133">
        <w:rPr>
          <w:rFonts w:cs="Times New Roman"/>
          <w:i/>
        </w:rPr>
        <w:t>Evidence</w:t>
      </w:r>
      <w:r w:rsidRPr="00E13133">
        <w:rPr>
          <w:rFonts w:cs="Times New Roman"/>
        </w:rPr>
        <w:t>, No. 161, 1st Sess., 35th Parl., June 13, 1995, at pp. 22</w:t>
      </w:r>
      <w:r w:rsidRPr="00E13133">
        <w:rPr>
          <w:rFonts w:cs="Times New Roman"/>
        </w:rPr>
        <w:noBreakHyphen/>
        <w:t>25). While s. 33.1 refers to intoxication generally, without formally distinguishing between licit or illicit substances, the preamble to Bill C</w:t>
      </w:r>
      <w:r w:rsidRPr="00E13133">
        <w:rPr>
          <w:rFonts w:cs="Times New Roman"/>
        </w:rPr>
        <w:noBreakHyphen/>
        <w:t xml:space="preserve">72 states that “the Parliament of </w:t>
      </w:r>
      <w:proofErr w:type="gramStart"/>
      <w:r w:rsidRPr="00E13133">
        <w:rPr>
          <w:rFonts w:cs="Times New Roman"/>
        </w:rPr>
        <w:t>Canada .</w:t>
      </w:r>
      <w:proofErr w:type="gramEnd"/>
      <w:r w:rsidRPr="00E13133">
        <w:rPr>
          <w:rFonts w:cs="Times New Roman"/>
        </w:rPr>
        <w:t> . . is aware of scientific evidence that most intoxicants, including alcohol, by themselves, will not cause a person to act involuntarily”.</w:t>
      </w:r>
    </w:p>
    <w:p w14:paraId="004E3E1D" w14:textId="77777777" w:rsidR="00377DDF" w:rsidRPr="00E13133" w:rsidRDefault="00377DDF" w:rsidP="00377DDF">
      <w:pPr>
        <w:pStyle w:val="ParaNoNdepar-AltN"/>
        <w:rPr>
          <w:rFonts w:cs="Times New Roman"/>
        </w:rPr>
      </w:pPr>
      <w:r w:rsidRPr="00E13133">
        <w:rPr>
          <w:rFonts w:cs="Times New Roman"/>
        </w:rPr>
        <w:t xml:space="preserve">Although both </w:t>
      </w:r>
      <w:r w:rsidRPr="00E13133">
        <w:rPr>
          <w:rFonts w:cs="Times New Roman"/>
          <w:i/>
        </w:rPr>
        <w:t xml:space="preserve">Daviault </w:t>
      </w:r>
      <w:r w:rsidRPr="00E13133">
        <w:rPr>
          <w:rFonts w:cs="Times New Roman"/>
        </w:rPr>
        <w:t>and Parliament were</w:t>
      </w:r>
      <w:r w:rsidRPr="00E13133">
        <w:rPr>
          <w:rFonts w:cs="Times New Roman"/>
          <w:i/>
        </w:rPr>
        <w:t xml:space="preserve"> </w:t>
      </w:r>
      <w:r w:rsidRPr="00E13133">
        <w:rPr>
          <w:rFonts w:cs="Times New Roman"/>
        </w:rPr>
        <w:t xml:space="preserve">focussed on “drunkenness”, the parliamentary record and facts of this appeal and the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suggest that the defence of extreme intoxication akin to automatism will generally not be relevant in cases involving alcohol alone. The experts in this case explained, with reference to the legal definition of automatism, that psilocybin may induce delusions, psychotic episodes, confusion and disorientation (A.R., vol. III, at pp. 241 and 315). Dr. </w:t>
      </w:r>
      <w:proofErr w:type="spellStart"/>
      <w:r w:rsidRPr="00E13133">
        <w:rPr>
          <w:rFonts w:cs="Times New Roman"/>
        </w:rPr>
        <w:t>Kalant</w:t>
      </w:r>
      <w:proofErr w:type="spellEnd"/>
      <w:r w:rsidRPr="00E13133">
        <w:rPr>
          <w:rFonts w:cs="Times New Roman"/>
        </w:rPr>
        <w:t>, in contrast, testified before Parliament that, normally, alcohol progressively decreases nerve cell activity in the brain until a person becomes both unconscious and incapable of physical movement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A.R., vol. VI, at p. 93), an effect which would not satisfy the state of impaired conscious and unwilled movements necessary for a true state automatism. Claims of extreme intoxication must, of course, be assessed with reference to the facts and expert evidence adduced at the trial. It would be inappropriate here to foreclose a finding of extreme intoxication through any intoxicant taken alone, if medical and scientific evidence adduced compel such a conclusion. </w:t>
      </w:r>
    </w:p>
    <w:p w14:paraId="54B19921" w14:textId="77777777" w:rsidR="00377DDF" w:rsidRPr="00E13133" w:rsidRDefault="00377DDF" w:rsidP="00377DDF">
      <w:pPr>
        <w:pStyle w:val="ParaNoNdepar-AltN"/>
        <w:rPr>
          <w:rFonts w:cs="Times New Roman"/>
        </w:rPr>
      </w:pPr>
      <w:r w:rsidRPr="00E13133">
        <w:rPr>
          <w:rFonts w:cs="Times New Roman"/>
        </w:rPr>
        <w:t>I now turn to the question of whether s. 33.1 infringes ss. 7 and 11(</w:t>
      </w:r>
      <w:r w:rsidRPr="00E13133">
        <w:rPr>
          <w:rFonts w:cs="Times New Roman"/>
          <w:iCs/>
        </w:rPr>
        <w:t>d</w:t>
      </w:r>
      <w:r w:rsidRPr="00E13133">
        <w:rPr>
          <w:rFonts w:cs="Times New Roman"/>
        </w:rPr>
        <w:t xml:space="preserve">) of the </w:t>
      </w:r>
      <w:r w:rsidRPr="00E13133">
        <w:rPr>
          <w:rFonts w:cs="Times New Roman"/>
          <w:i/>
          <w:iCs/>
        </w:rPr>
        <w:t>Charter</w:t>
      </w:r>
      <w:r w:rsidRPr="00E13133">
        <w:rPr>
          <w:rFonts w:cs="Times New Roman"/>
        </w:rPr>
        <w:t>, as alleged by Mr. Brown.</w:t>
      </w:r>
    </w:p>
    <w:p w14:paraId="3C4C627A" w14:textId="77777777" w:rsidR="00377DDF" w:rsidRPr="00E13133" w:rsidRDefault="00377DDF" w:rsidP="00377DDF">
      <w:pPr>
        <w:pStyle w:val="Title2LevelTitre2Niveau"/>
        <w:rPr>
          <w:rFonts w:cs="Times New Roman"/>
        </w:rPr>
      </w:pPr>
      <w:r w:rsidRPr="00E13133">
        <w:rPr>
          <w:rFonts w:cs="Times New Roman"/>
        </w:rPr>
        <w:t>Section 33.1 Infringes Sections 7 and 11(d)</w:t>
      </w:r>
    </w:p>
    <w:p w14:paraId="596AC23A" w14:textId="77777777" w:rsidR="00377DDF" w:rsidRPr="00E13133" w:rsidRDefault="00377DDF" w:rsidP="00377DDF">
      <w:pPr>
        <w:pStyle w:val="Title3LevelTitre3Niveau"/>
        <w:rPr>
          <w:rFonts w:cs="Times New Roman"/>
        </w:rPr>
      </w:pPr>
      <w:r w:rsidRPr="00E13133">
        <w:rPr>
          <w:rFonts w:cs="Times New Roman"/>
        </w:rPr>
        <w:t>Principal Arguments</w:t>
      </w:r>
    </w:p>
    <w:p w14:paraId="6FAA1817" w14:textId="77777777" w:rsidR="00377DDF" w:rsidRPr="00E13133" w:rsidRDefault="00377DDF" w:rsidP="00377DDF">
      <w:pPr>
        <w:pStyle w:val="ParaNoNdepar-AltN"/>
        <w:rPr>
          <w:rFonts w:cs="Times New Roman"/>
        </w:rPr>
      </w:pPr>
      <w:r w:rsidRPr="00E13133">
        <w:rPr>
          <w:rFonts w:cs="Times New Roman"/>
        </w:rPr>
        <w:t>Mr. Brown says s. 33.1 violates ss. 7 and 11(</w:t>
      </w:r>
      <w:r w:rsidRPr="00E13133">
        <w:rPr>
          <w:rFonts w:cs="Times New Roman"/>
          <w:iCs/>
        </w:rPr>
        <w:t>d</w:t>
      </w:r>
      <w:r w:rsidRPr="00E13133">
        <w:rPr>
          <w:rFonts w:cs="Times New Roman"/>
        </w:rPr>
        <w:t xml:space="preserve">) of the </w:t>
      </w:r>
      <w:r w:rsidRPr="00E13133">
        <w:rPr>
          <w:rFonts w:cs="Times New Roman"/>
          <w:i/>
          <w:iCs/>
        </w:rPr>
        <w:t>Charter</w:t>
      </w:r>
      <w:r w:rsidRPr="00E13133">
        <w:rPr>
          <w:rFonts w:cs="Times New Roman"/>
        </w:rPr>
        <w:t xml:space="preserve">. In its reading of the provision, the Court of Appeal erred in departing from the principles set forth in </w:t>
      </w:r>
      <w:r w:rsidRPr="00E13133">
        <w:rPr>
          <w:rFonts w:cs="Times New Roman"/>
          <w:i/>
          <w:iCs/>
        </w:rPr>
        <w:t>Daviault</w:t>
      </w:r>
      <w:r w:rsidRPr="00E13133">
        <w:rPr>
          <w:rFonts w:cs="Times New Roman"/>
        </w:rPr>
        <w:t xml:space="preserve">. He says that s. 33.1 unfairly extends to situations in which there is no foreseeable risk of violence for the general intent offence to which it applies. It creates a regime for absolute liability by allowing conviction without proof beyond a reasonable doubt that the accused intentionally or voluntarily committed the offence. Section 33.1 therefore improperly substitutes intent to become intoxicated with intent to commit the violent offence. Mr. Brown adds that s. 33.1 also limits s. 7 because it mandates conviction without any contemporaneity between the </w:t>
      </w:r>
      <w:r w:rsidRPr="00E13133">
        <w:rPr>
          <w:rFonts w:cs="Times New Roman"/>
          <w:i/>
          <w:iCs/>
        </w:rPr>
        <w:t xml:space="preserve">actus </w:t>
      </w:r>
      <w:proofErr w:type="gramStart"/>
      <w:r w:rsidRPr="00E13133">
        <w:rPr>
          <w:rFonts w:cs="Times New Roman"/>
          <w:i/>
          <w:iCs/>
        </w:rPr>
        <w:t>reus</w:t>
      </w:r>
      <w:proofErr w:type="gramEnd"/>
      <w:r w:rsidRPr="00E13133">
        <w:rPr>
          <w:rFonts w:cs="Times New Roman"/>
        </w:rPr>
        <w:t xml:space="preserve"> and </w:t>
      </w:r>
      <w:r w:rsidRPr="00E13133">
        <w:rPr>
          <w:rFonts w:cs="Times New Roman"/>
          <w:i/>
          <w:iCs/>
        </w:rPr>
        <w:t>mens rea</w:t>
      </w:r>
      <w:r w:rsidRPr="00E13133">
        <w:rPr>
          <w:rFonts w:cs="Times New Roman"/>
        </w:rPr>
        <w:t xml:space="preserve"> of a criminal offence. </w:t>
      </w:r>
    </w:p>
    <w:p w14:paraId="6B6B0F35" w14:textId="77777777" w:rsidR="00377DDF" w:rsidRPr="00E13133" w:rsidRDefault="00377DDF" w:rsidP="00377DDF">
      <w:pPr>
        <w:pStyle w:val="ParaNoNdepar-AltN"/>
        <w:rPr>
          <w:rFonts w:cs="Times New Roman"/>
        </w:rPr>
      </w:pPr>
      <w:r w:rsidRPr="00E13133">
        <w:rPr>
          <w:rFonts w:cs="Times New Roman"/>
        </w:rPr>
        <w:t xml:space="preserve">The Crown responds that, when properly interpreted, s. 33.1 complies with the </w:t>
      </w:r>
      <w:r w:rsidRPr="00E13133">
        <w:rPr>
          <w:rFonts w:cs="Times New Roman"/>
          <w:i/>
          <w:iCs/>
        </w:rPr>
        <w:t>Charter</w:t>
      </w:r>
      <w:r w:rsidRPr="00E13133">
        <w:rPr>
          <w:rFonts w:cs="Times New Roman"/>
        </w:rPr>
        <w:t xml:space="preserve">. Under the Crown’s reading, s. 33.1 only punishes the intentional and voluntary consumption of drugs to an extreme level, thus meeting the voluntariness requirement. There is no </w:t>
      </w:r>
      <w:r w:rsidRPr="00E13133">
        <w:rPr>
          <w:rFonts w:cs="Times New Roman"/>
          <w:i/>
        </w:rPr>
        <w:t xml:space="preserve">mens rea </w:t>
      </w:r>
      <w:r w:rsidRPr="00E13133">
        <w:rPr>
          <w:rFonts w:cs="Times New Roman"/>
        </w:rPr>
        <w:t xml:space="preserve">breach because s. 33.1 contains a true objective standard and includes objective foresight of harm. There is no improper substitution because s. 33.1 changes the </w:t>
      </w:r>
      <w:r w:rsidRPr="00E13133">
        <w:rPr>
          <w:rFonts w:cs="Times New Roman"/>
          <w:i/>
          <w:iCs/>
        </w:rPr>
        <w:t xml:space="preserve">mens rea </w:t>
      </w:r>
      <w:r w:rsidRPr="00E13133">
        <w:rPr>
          <w:rFonts w:cs="Times New Roman"/>
        </w:rPr>
        <w:t xml:space="preserve">needed to prove a general intent offence. Parliament was entitled to set standards of behaviour that all in society must follow. </w:t>
      </w:r>
    </w:p>
    <w:p w14:paraId="053350FB" w14:textId="77777777" w:rsidR="00377DDF" w:rsidRPr="00E13133" w:rsidRDefault="00377DDF" w:rsidP="00377DDF">
      <w:pPr>
        <w:pStyle w:val="ParaNoNdepar-AltN"/>
        <w:rPr>
          <w:rFonts w:cs="Times New Roman"/>
        </w:rPr>
      </w:pPr>
      <w:r w:rsidRPr="00E13133">
        <w:rPr>
          <w:rFonts w:cs="Times New Roman"/>
        </w:rPr>
        <w:t xml:space="preserve">The intervening attorneys general say that s. 33.1 has cast a unique mode of liability that provides the necessary ingredients for a constitutionally valid offence. </w:t>
      </w:r>
      <w:r w:rsidRPr="00E13133">
        <w:rPr>
          <w:rFonts w:cs="Times New Roman"/>
          <w:lang w:val="en-US"/>
        </w:rPr>
        <w:t xml:space="preserve">The mental element inherent in s. 33.1(2) reflects the minimum objective fault requirement along the same marked departure standard recognized in cases such as </w:t>
      </w:r>
      <w:r w:rsidRPr="00E13133">
        <w:rPr>
          <w:rFonts w:cs="Times New Roman"/>
          <w:i/>
          <w:iCs/>
          <w:lang w:val="en-US"/>
        </w:rPr>
        <w:t xml:space="preserve">R. v. </w:t>
      </w:r>
      <w:proofErr w:type="spellStart"/>
      <w:r w:rsidRPr="00E13133">
        <w:rPr>
          <w:rFonts w:cs="Times New Roman"/>
          <w:i/>
          <w:iCs/>
          <w:lang w:val="en-US"/>
        </w:rPr>
        <w:t>Hundal</w:t>
      </w:r>
      <w:proofErr w:type="spellEnd"/>
      <w:r w:rsidRPr="00E13133">
        <w:rPr>
          <w:rFonts w:cs="Times New Roman"/>
          <w:lang w:val="en-US"/>
        </w:rPr>
        <w:t xml:space="preserve">, [1993] 1 </w:t>
      </w:r>
      <w:proofErr w:type="spellStart"/>
      <w:r w:rsidRPr="00E13133">
        <w:rPr>
          <w:rFonts w:cs="Times New Roman"/>
          <w:lang w:val="en-US"/>
        </w:rPr>
        <w:t>S.C.R</w:t>
      </w:r>
      <w:proofErr w:type="spellEnd"/>
      <w:r w:rsidRPr="00E13133">
        <w:rPr>
          <w:rFonts w:cs="Times New Roman"/>
          <w:lang w:val="en-US"/>
        </w:rPr>
        <w:t xml:space="preserve">. 867, </w:t>
      </w:r>
      <w:r w:rsidRPr="00E13133">
        <w:rPr>
          <w:rFonts w:cs="Times New Roman"/>
          <w:i/>
          <w:iCs/>
          <w:lang w:val="en-US"/>
        </w:rPr>
        <w:t>Creighton</w:t>
      </w:r>
      <w:r w:rsidRPr="00E13133">
        <w:rPr>
          <w:rFonts w:cs="Times New Roman"/>
          <w:lang w:val="en-US"/>
        </w:rPr>
        <w:t xml:space="preserve"> and </w:t>
      </w:r>
      <w:r w:rsidRPr="00E13133">
        <w:rPr>
          <w:rFonts w:cs="Times New Roman"/>
          <w:i/>
          <w:iCs/>
          <w:lang w:val="en-US"/>
        </w:rPr>
        <w:t>R. v. Roy</w:t>
      </w:r>
      <w:r w:rsidRPr="00E13133">
        <w:rPr>
          <w:rFonts w:cs="Times New Roman"/>
        </w:rPr>
        <w:t>, 2012 SCC 26, [2012] 2 S.C.R. 60</w:t>
      </w:r>
      <w:r w:rsidRPr="00E13133">
        <w:rPr>
          <w:rFonts w:cs="Times New Roman"/>
          <w:lang w:val="en-US"/>
        </w:rPr>
        <w:t xml:space="preserve">. Accordingly, s. 33.1 is consistent with ss. 7 and 11(d) of the </w:t>
      </w:r>
      <w:r w:rsidRPr="00E13133">
        <w:rPr>
          <w:rFonts w:cs="Times New Roman"/>
          <w:i/>
          <w:iCs/>
          <w:lang w:val="en-US"/>
        </w:rPr>
        <w:t>Charter</w:t>
      </w:r>
      <w:r w:rsidRPr="00E13133">
        <w:rPr>
          <w:rFonts w:cs="Times New Roman"/>
          <w:lang w:val="en-US"/>
        </w:rPr>
        <w:t xml:space="preserve"> because it follows “a blueprint this Court has already endorsed as constitutional” (Condensed Book, A.G. Ontario, at p. 2). Moreover, Parliament can constitutionally preclude intoxication as a defence if it is the gravamen of the offence (</w:t>
      </w:r>
      <w:r w:rsidRPr="00E13133">
        <w:rPr>
          <w:rFonts w:cs="Times New Roman"/>
          <w:i/>
          <w:iCs/>
          <w:lang w:val="en-US"/>
        </w:rPr>
        <w:t xml:space="preserve">R. v. </w:t>
      </w:r>
      <w:proofErr w:type="spellStart"/>
      <w:r w:rsidRPr="00E13133">
        <w:rPr>
          <w:rFonts w:cs="Times New Roman"/>
          <w:i/>
          <w:iCs/>
          <w:lang w:val="en-US"/>
        </w:rPr>
        <w:t>Penno</w:t>
      </w:r>
      <w:proofErr w:type="spellEnd"/>
      <w:r w:rsidRPr="00E13133">
        <w:rPr>
          <w:rFonts w:cs="Times New Roman"/>
          <w:lang w:val="en-US"/>
        </w:rPr>
        <w:t xml:space="preserve">, [1990] 2 </w:t>
      </w:r>
      <w:proofErr w:type="spellStart"/>
      <w:r w:rsidRPr="00E13133">
        <w:rPr>
          <w:rFonts w:cs="Times New Roman"/>
          <w:lang w:val="en-US"/>
        </w:rPr>
        <w:t>S.C.R</w:t>
      </w:r>
      <w:proofErr w:type="spellEnd"/>
      <w:r w:rsidRPr="00E13133">
        <w:rPr>
          <w:rFonts w:cs="Times New Roman"/>
          <w:lang w:val="en-US"/>
        </w:rPr>
        <w:t xml:space="preserve">. 865, at p. 891, </w:t>
      </w:r>
      <w:r w:rsidRPr="00E13133">
        <w:rPr>
          <w:rFonts w:cs="Times New Roman"/>
          <w:iCs/>
          <w:lang w:val="en-US"/>
        </w:rPr>
        <w:t xml:space="preserve">per </w:t>
      </w:r>
      <w:r w:rsidRPr="00E13133">
        <w:rPr>
          <w:rFonts w:cs="Times New Roman"/>
          <w:lang w:val="en-US"/>
        </w:rPr>
        <w:t xml:space="preserve">Wilson J.). Here, acting on this Court’s invitation in </w:t>
      </w:r>
      <w:r w:rsidRPr="00E13133">
        <w:rPr>
          <w:rFonts w:cs="Times New Roman"/>
          <w:i/>
          <w:iCs/>
          <w:lang w:val="en-US"/>
        </w:rPr>
        <w:t>Daviault</w:t>
      </w:r>
      <w:r w:rsidRPr="00E13133">
        <w:rPr>
          <w:rFonts w:cs="Times New Roman"/>
          <w:lang w:val="en-US"/>
        </w:rPr>
        <w:t xml:space="preserve">, Parliament has sought to impose liability for the unintended consequences of a blameworthy predicate act following, in particular, </w:t>
      </w:r>
      <w:r w:rsidRPr="00E13133">
        <w:rPr>
          <w:rFonts w:cs="Times New Roman"/>
          <w:i/>
          <w:lang w:val="en-US"/>
        </w:rPr>
        <w:t xml:space="preserve">R. v. </w:t>
      </w:r>
      <w:r w:rsidRPr="00E13133">
        <w:rPr>
          <w:rFonts w:cs="Times New Roman"/>
          <w:i/>
          <w:iCs/>
          <w:lang w:val="en-US"/>
        </w:rPr>
        <w:t>DeSousa</w:t>
      </w:r>
      <w:r w:rsidRPr="00E13133">
        <w:rPr>
          <w:rFonts w:cs="Times New Roman"/>
          <w:iCs/>
          <w:lang w:val="en-US"/>
        </w:rPr>
        <w:t>, [1992] 2 S.C.R. 944</w:t>
      </w:r>
      <w:r w:rsidRPr="00E13133">
        <w:rPr>
          <w:rFonts w:cs="Times New Roman"/>
          <w:lang w:val="en-US"/>
        </w:rPr>
        <w:t>.</w:t>
      </w:r>
    </w:p>
    <w:p w14:paraId="1CB64FE1" w14:textId="77777777" w:rsidR="00377DDF" w:rsidRPr="00E13133" w:rsidRDefault="00377DDF" w:rsidP="00377DDF">
      <w:pPr>
        <w:pStyle w:val="Title3LevelTitre3Niveau"/>
        <w:rPr>
          <w:rFonts w:cs="Times New Roman"/>
        </w:rPr>
      </w:pPr>
      <w:r w:rsidRPr="00E13133">
        <w:rPr>
          <w:rFonts w:cs="Times New Roman"/>
        </w:rPr>
        <w:t>Threshold Issue: Internal Balancing Under Section 7</w:t>
      </w:r>
    </w:p>
    <w:p w14:paraId="1923220A" w14:textId="77777777" w:rsidR="00377DDF" w:rsidRPr="00E13133" w:rsidRDefault="00377DDF" w:rsidP="00377DDF">
      <w:pPr>
        <w:pStyle w:val="ParaNoNdepar-AltN"/>
        <w:rPr>
          <w:rFonts w:cs="Times New Roman"/>
        </w:rPr>
      </w:pPr>
      <w:r w:rsidRPr="00E13133">
        <w:rPr>
          <w:rFonts w:cs="Times New Roman"/>
        </w:rPr>
        <w:t xml:space="preserve">As a preliminary matter, the Court must first decide whether the rights of victims of intoxicated violence, in particular the rights of women and children under ss. 7 and 15 of the </w:t>
      </w:r>
      <w:r w:rsidRPr="00E13133">
        <w:rPr>
          <w:rFonts w:cs="Times New Roman"/>
          <w:i/>
          <w:iCs/>
        </w:rPr>
        <w:t>Charter</w:t>
      </w:r>
      <w:r w:rsidRPr="00E13133">
        <w:rPr>
          <w:rFonts w:cs="Times New Roman"/>
        </w:rPr>
        <w:t xml:space="preserve"> and alluded to in the preamble to Bill C</w:t>
      </w:r>
      <w:r w:rsidRPr="00E13133">
        <w:rPr>
          <w:rFonts w:cs="Times New Roman"/>
        </w:rPr>
        <w:noBreakHyphen/>
        <w:t xml:space="preserve">72, should inform the analysis of a possible breach of the accused’s rights under s. 7, or whether it is appropriate to consider these interests specifically at the justification stage under s. 1. </w:t>
      </w:r>
    </w:p>
    <w:p w14:paraId="73DD8F0E" w14:textId="77777777" w:rsidR="00377DDF" w:rsidRPr="00E13133" w:rsidRDefault="00377DDF" w:rsidP="00377DDF">
      <w:pPr>
        <w:pStyle w:val="ParaNoNdepar-AltN"/>
        <w:rPr>
          <w:rFonts w:cs="Times New Roman"/>
        </w:rPr>
      </w:pPr>
      <w:r w:rsidRPr="00E13133">
        <w:rPr>
          <w:rFonts w:cs="Times New Roman"/>
        </w:rPr>
        <w:t xml:space="preserve">The intervener Women’s Legal Education and Action Fund Inc. (LEAF) invites this Court to balance the rights of the accused against the rights of women and children in the s. 7 analysis. It says that, in </w:t>
      </w:r>
      <w:r w:rsidRPr="00E13133">
        <w:rPr>
          <w:rFonts w:cs="Times New Roman"/>
          <w:i/>
          <w:iCs/>
        </w:rPr>
        <w:t>Daviault</w:t>
      </w:r>
      <w:r w:rsidRPr="00E13133">
        <w:rPr>
          <w:rFonts w:cs="Times New Roman"/>
        </w:rPr>
        <w:t>, there was no consideration of competing rights at that stage, unlike the clear engagement with equality, security and dignity interests in Bill C</w:t>
      </w:r>
      <w:r w:rsidRPr="00E13133">
        <w:rPr>
          <w:rFonts w:cs="Times New Roman"/>
        </w:rPr>
        <w:noBreakHyphen/>
        <w:t xml:space="preserve">72. </w:t>
      </w:r>
      <w:r w:rsidRPr="00E13133">
        <w:rPr>
          <w:rFonts w:cs="Times New Roman"/>
          <w:lang w:val="en-US"/>
        </w:rPr>
        <w:t xml:space="preserve">These rights are not simply other social interests that should be “relegated” to the s. 1 justification. Where courts fail to undertake balancing under s. 7 — as the majority of the Court of Appeal did not do in </w:t>
      </w:r>
      <w:r w:rsidRPr="00E13133">
        <w:rPr>
          <w:rFonts w:cs="Times New Roman"/>
          <w:i/>
          <w:iCs/>
          <w:lang w:val="en-US"/>
        </w:rPr>
        <w:t>Sullivan</w:t>
      </w:r>
      <w:r w:rsidRPr="00E13133">
        <w:rPr>
          <w:rFonts w:cs="Times New Roman"/>
          <w:lang w:val="en-US"/>
        </w:rPr>
        <w:t>, for example — the effect is that, wittingly or unwittingly, they favour individual rights over those of vulnerable groups who disproportionately bear the risk of intoxicated violence.</w:t>
      </w:r>
      <w:r w:rsidRPr="00E13133">
        <w:rPr>
          <w:rFonts w:cs="Times New Roman"/>
        </w:rPr>
        <w:t xml:space="preserve"> Others, including the Crown and the Canadian Civil Liberties Association, depart from this view and submit that the interests of women and children are properly considered under s. 1 following </w:t>
      </w:r>
      <w:r w:rsidRPr="00E13133">
        <w:rPr>
          <w:rFonts w:cs="Times New Roman"/>
          <w:i/>
          <w:iCs/>
        </w:rPr>
        <w:t>Canada (Attorney General) v. Bedford</w:t>
      </w:r>
      <w:r w:rsidRPr="00E13133">
        <w:rPr>
          <w:rFonts w:cs="Times New Roman"/>
        </w:rPr>
        <w:t xml:space="preserve">, 2013 SCC 72, [2013] 3 S.C.R. 1101, and </w:t>
      </w:r>
      <w:r w:rsidRPr="00E13133">
        <w:rPr>
          <w:rFonts w:cs="Times New Roman"/>
          <w:i/>
          <w:iCs/>
        </w:rPr>
        <w:t>Carter v. Canada (Attorney General)</w:t>
      </w:r>
      <w:r w:rsidRPr="00E13133">
        <w:rPr>
          <w:rFonts w:cs="Times New Roman"/>
        </w:rPr>
        <w:t xml:space="preserve">, 2015 SCC 5, [2015] 1 S.C.R. 331. </w:t>
      </w:r>
    </w:p>
    <w:p w14:paraId="15C5F97C" w14:textId="77777777" w:rsidR="00377DDF" w:rsidRPr="00E13133" w:rsidRDefault="00377DDF" w:rsidP="00377DDF">
      <w:pPr>
        <w:pStyle w:val="ParaNoNdepar-AltN"/>
        <w:rPr>
          <w:rFonts w:cs="Times New Roman"/>
        </w:rPr>
      </w:pPr>
      <w:r w:rsidRPr="00E13133">
        <w:rPr>
          <w:rFonts w:cs="Times New Roman"/>
        </w:rPr>
        <w:t>LEAF invokes</w:t>
      </w:r>
      <w:r w:rsidRPr="00E13133">
        <w:rPr>
          <w:rFonts w:cs="Times New Roman"/>
          <w:i/>
          <w:iCs/>
        </w:rPr>
        <w:t xml:space="preserve"> Dagenais v. Canadian Broadcasting Corp.</w:t>
      </w:r>
      <w:r w:rsidRPr="00E13133">
        <w:rPr>
          <w:rFonts w:cs="Times New Roman"/>
        </w:rPr>
        <w:t xml:space="preserve">, [1994] 3 S.C.R. 835, and </w:t>
      </w:r>
      <w:r w:rsidRPr="00E13133">
        <w:rPr>
          <w:rFonts w:cs="Times New Roman"/>
          <w:i/>
          <w:iCs/>
        </w:rPr>
        <w:t>R. v. Mills</w:t>
      </w:r>
      <w:r w:rsidRPr="00E13133">
        <w:rPr>
          <w:rFonts w:cs="Times New Roman"/>
        </w:rPr>
        <w:t xml:space="preserve">, [1999] 3 S.C.R. 668, in which this Court balanced competing </w:t>
      </w:r>
      <w:r w:rsidRPr="00E13133">
        <w:rPr>
          <w:rFonts w:cs="Times New Roman"/>
          <w:i/>
          <w:iCs/>
        </w:rPr>
        <w:t>Charter</w:t>
      </w:r>
      <w:r w:rsidRPr="00E13133">
        <w:rPr>
          <w:rFonts w:cs="Times New Roman"/>
        </w:rPr>
        <w:t xml:space="preserve"> rights under the breach analysis. These cases involved situations where state action directly implicated multiple sets of </w:t>
      </w:r>
      <w:r w:rsidRPr="00E13133">
        <w:rPr>
          <w:rFonts w:cs="Times New Roman"/>
          <w:i/>
          <w:iCs/>
        </w:rPr>
        <w:t>Charter</w:t>
      </w:r>
      <w:r w:rsidRPr="00E13133">
        <w:rPr>
          <w:rFonts w:cs="Times New Roman"/>
        </w:rPr>
        <w:t xml:space="preserve"> rights. In both, the procedural rights of the accused brought the </w:t>
      </w:r>
      <w:r w:rsidRPr="00E13133">
        <w:rPr>
          <w:rFonts w:cs="Times New Roman"/>
          <w:i/>
          <w:iCs/>
        </w:rPr>
        <w:t>Charter</w:t>
      </w:r>
      <w:r w:rsidRPr="00E13133">
        <w:rPr>
          <w:rFonts w:cs="Times New Roman"/>
        </w:rPr>
        <w:t xml:space="preserve"> rights of another party into conflict and created the risk that both sets of rights would be undermined.</w:t>
      </w:r>
    </w:p>
    <w:p w14:paraId="6700C503" w14:textId="77777777" w:rsidR="00377DDF" w:rsidRPr="00E13133" w:rsidRDefault="00377DDF" w:rsidP="00377DDF">
      <w:pPr>
        <w:pStyle w:val="ParaNoNdepar-AltN"/>
        <w:rPr>
          <w:rFonts w:cs="Times New Roman"/>
        </w:rPr>
      </w:pPr>
      <w:r w:rsidRPr="00E13133">
        <w:rPr>
          <w:rFonts w:cs="Times New Roman"/>
        </w:rPr>
        <w:t xml:space="preserve">In my view, the </w:t>
      </w:r>
      <w:r w:rsidRPr="00E13133">
        <w:rPr>
          <w:rFonts w:cs="Times New Roman"/>
          <w:i/>
          <w:iCs/>
        </w:rPr>
        <w:t>Dagenais</w:t>
      </w:r>
      <w:r w:rsidRPr="00E13133">
        <w:rPr>
          <w:rFonts w:cs="Times New Roman"/>
        </w:rPr>
        <w:t xml:space="preserve"> and </w:t>
      </w:r>
      <w:r w:rsidRPr="00E13133">
        <w:rPr>
          <w:rFonts w:cs="Times New Roman"/>
          <w:i/>
          <w:iCs/>
        </w:rPr>
        <w:t>Mills</w:t>
      </w:r>
      <w:r w:rsidRPr="00E13133">
        <w:rPr>
          <w:rFonts w:cs="Times New Roman"/>
        </w:rPr>
        <w:t xml:space="preserve"> mode of analysis does not apply and does not support the argument that balancing between the rights and interests of alleged perpetrators and victims of crime should take place under s. 7 in this circumstance. </w:t>
      </w:r>
      <w:r w:rsidRPr="00E13133">
        <w:rPr>
          <w:rFonts w:cs="Times New Roman"/>
          <w:i/>
          <w:iCs/>
        </w:rPr>
        <w:t>Dagenais</w:t>
      </w:r>
      <w:r w:rsidRPr="00E13133">
        <w:rPr>
          <w:rFonts w:cs="Times New Roman"/>
        </w:rPr>
        <w:t xml:space="preserve"> and </w:t>
      </w:r>
      <w:r w:rsidRPr="00E13133">
        <w:rPr>
          <w:rFonts w:cs="Times New Roman"/>
          <w:i/>
          <w:iCs/>
        </w:rPr>
        <w:t>Mills</w:t>
      </w:r>
      <w:r w:rsidRPr="00E13133">
        <w:rPr>
          <w:rFonts w:cs="Times New Roman"/>
        </w:rPr>
        <w:t xml:space="preserve"> apply when the </w:t>
      </w:r>
      <w:r w:rsidRPr="00E13133">
        <w:rPr>
          <w:rFonts w:cs="Times New Roman"/>
          <w:i/>
          <w:iCs/>
        </w:rPr>
        <w:t>Charter</w:t>
      </w:r>
      <w:r w:rsidRPr="00E13133">
        <w:rPr>
          <w:rFonts w:cs="Times New Roman"/>
        </w:rPr>
        <w:t xml:space="preserve"> rights of two or more parties are in conflict and both are directly implicated by state action, which is not the case here. Section 33.1 affects the substantive rights of the accused subject to prosecution by the state. The equality and dignity interests of women and children are certainly engaged as potential victims of crime — but in this context, by virtue of the accused’s actions, not of some state action against them. </w:t>
      </w:r>
      <w:r w:rsidRPr="00E13133">
        <w:rPr>
          <w:rFonts w:cs="Times New Roman"/>
          <w:lang w:val="en-US"/>
        </w:rPr>
        <w:t xml:space="preserve">This is qualitatively different from the balancing undertaken for example in </w:t>
      </w:r>
      <w:r w:rsidRPr="00E13133">
        <w:rPr>
          <w:rFonts w:cs="Times New Roman"/>
          <w:i/>
          <w:iCs/>
          <w:lang w:val="en-US"/>
        </w:rPr>
        <w:t>Mills</w:t>
      </w:r>
      <w:r w:rsidRPr="00E13133">
        <w:rPr>
          <w:rFonts w:cs="Times New Roman"/>
          <w:lang w:val="en-US"/>
        </w:rPr>
        <w:t xml:space="preserve">, where it was state action — through the application of an evidentiary rule for the production of records to the accused relating to the complainant — that directly affected both the accused and the complainant. Section 33.1 operates to constrain the ability of an accused to rely on the defence of automatism but nothing in the provision limits, by the state’s action, the rights of victims including the ss. 7, 15 and 28 </w:t>
      </w:r>
      <w:r w:rsidRPr="00E13133">
        <w:rPr>
          <w:rFonts w:cs="Times New Roman"/>
          <w:i/>
          <w:lang w:val="en-US"/>
        </w:rPr>
        <w:t>Charter</w:t>
      </w:r>
      <w:r w:rsidRPr="00E13133">
        <w:rPr>
          <w:rFonts w:cs="Times New Roman"/>
          <w:lang w:val="en-US"/>
        </w:rPr>
        <w:t xml:space="preserve"> rights of women and children. T</w:t>
      </w:r>
      <w:proofErr w:type="spellStart"/>
      <w:r w:rsidRPr="00E13133">
        <w:rPr>
          <w:rFonts w:cs="Times New Roman"/>
        </w:rPr>
        <w:t>hese</w:t>
      </w:r>
      <w:proofErr w:type="spellEnd"/>
      <w:r w:rsidRPr="00E13133">
        <w:rPr>
          <w:rFonts w:cs="Times New Roman"/>
        </w:rPr>
        <w:t xml:space="preserve"> interests are appropriately understood as justification for the infringement by the state. As the preamble of Bill C</w:t>
      </w:r>
      <w:r w:rsidRPr="00E13133">
        <w:rPr>
          <w:rFonts w:cs="Times New Roman"/>
        </w:rPr>
        <w:noBreakHyphen/>
        <w:t>72 makes plain, the equality, dignity and security interests of vulnerable groups informed the overarching social policy goals of Parliament; they are best considered under s. 1.</w:t>
      </w:r>
    </w:p>
    <w:p w14:paraId="2393026C" w14:textId="77777777" w:rsidR="00377DDF" w:rsidRPr="00E13133" w:rsidRDefault="00377DDF" w:rsidP="00377DDF">
      <w:pPr>
        <w:pStyle w:val="ParaNoNdepar-AltN"/>
        <w:rPr>
          <w:rFonts w:cs="Times New Roman"/>
        </w:rPr>
      </w:pPr>
      <w:r w:rsidRPr="00E13133">
        <w:rPr>
          <w:rFonts w:cs="Times New Roman"/>
        </w:rPr>
        <w:t xml:space="preserve">Considering these as societal concerns under s. 1 does not “relegate” the equality, security and dignity interests of women and children to second order importance. LEAF is correct to say that these rights are intensely important and must be given full consideration in the </w:t>
      </w:r>
      <w:r w:rsidRPr="00E13133">
        <w:rPr>
          <w:rFonts w:cs="Times New Roman"/>
          <w:i/>
          <w:iCs/>
        </w:rPr>
        <w:t>Charter</w:t>
      </w:r>
      <w:r w:rsidRPr="00E13133">
        <w:rPr>
          <w:rFonts w:cs="Times New Roman"/>
        </w:rPr>
        <w:t xml:space="preserve"> analysis. </w:t>
      </w:r>
      <w:r w:rsidRPr="00E13133">
        <w:rPr>
          <w:rFonts w:cs="Times New Roman"/>
          <w:lang w:val="en-US"/>
        </w:rPr>
        <w:t xml:space="preserve">Indeed, it has been usefully argued that the opportunity to consider the competing interests of vulnerable groups in the present context should find its fullest expression when a court considers the proportionality of deleterious and salutary effects of legislation under s. 1. Commenting on the justification for the breach by the majority of the Court of Appeal in </w:t>
      </w:r>
      <w:r w:rsidRPr="00E13133">
        <w:rPr>
          <w:rFonts w:cs="Times New Roman"/>
          <w:i/>
          <w:iCs/>
          <w:lang w:val="en-US"/>
        </w:rPr>
        <w:t>Sullivan</w:t>
      </w:r>
      <w:r w:rsidRPr="00E13133">
        <w:rPr>
          <w:rFonts w:cs="Times New Roman"/>
          <w:lang w:val="en-US"/>
        </w:rPr>
        <w:t>, Professor S. Coughlan writes that s. 1, as opposed to s. 7, gives a proper opportunity to “shift from an individual focus to a comparative focus”, which is methodologically more suited to balancing under s. 1 than s. 7 in this context (“</w:t>
      </w:r>
      <w:r w:rsidRPr="00E13133">
        <w:rPr>
          <w:rFonts w:cs="Times New Roman"/>
          <w:i/>
          <w:iCs/>
          <w:lang w:val="en-US"/>
        </w:rPr>
        <w:t>Sullivan</w:t>
      </w:r>
      <w:r w:rsidRPr="00E13133">
        <w:rPr>
          <w:rFonts w:cs="Times New Roman"/>
          <w:lang w:val="en-US"/>
        </w:rPr>
        <w:t xml:space="preserve">: Can a Section 7 Violation Ever be Saved Under Section 1?” (2020), 63 C.R. (7th) 157, at p. 159). Counsel for LEAF at the </w:t>
      </w:r>
      <w:r w:rsidRPr="00E13133">
        <w:rPr>
          <w:rFonts w:cs="Times New Roman"/>
          <w:i/>
          <w:iCs/>
          <w:lang w:val="en-US"/>
        </w:rPr>
        <w:t>Sullivan</w:t>
      </w:r>
      <w:r w:rsidRPr="00E13133">
        <w:rPr>
          <w:rFonts w:cs="Times New Roman"/>
          <w:iCs/>
          <w:lang w:val="en-US"/>
        </w:rPr>
        <w:t xml:space="preserve"> and </w:t>
      </w:r>
      <w:r w:rsidRPr="00E13133">
        <w:rPr>
          <w:rFonts w:cs="Times New Roman"/>
          <w:i/>
          <w:iCs/>
          <w:lang w:val="en-US"/>
        </w:rPr>
        <w:t>Chan</w:t>
      </w:r>
      <w:r w:rsidRPr="00E13133">
        <w:rPr>
          <w:rFonts w:cs="Times New Roman"/>
          <w:lang w:val="en-US"/>
        </w:rPr>
        <w:t xml:space="preserve"> appeals rightly urged that, as an alternative to her preferred s. 7 balancing, s. 1 should be seized upon by this Court to reinforce the accountability and protective objectives of s. 33.1 from the perspective of the particular vulnerability of women and children to the intoxicated violence (transcript, at p. 100). I agree.</w:t>
      </w:r>
    </w:p>
    <w:p w14:paraId="59D0A626" w14:textId="77777777" w:rsidR="00377DDF" w:rsidRPr="00E13133" w:rsidRDefault="00377DDF" w:rsidP="00377DDF">
      <w:pPr>
        <w:pStyle w:val="ParaNoNdepar-AltN"/>
        <w:rPr>
          <w:rFonts w:cs="Times New Roman"/>
        </w:rPr>
      </w:pPr>
      <w:r w:rsidRPr="00E13133">
        <w:rPr>
          <w:rFonts w:cs="Times New Roman"/>
        </w:rPr>
        <w:t xml:space="preserve">Finally, and with due respect for other views, the basic values against arbitrariness, overbreadth and gross disproportionality are unrelated to the analysis of the </w:t>
      </w:r>
      <w:r w:rsidRPr="00E13133">
        <w:rPr>
          <w:rFonts w:cs="Times New Roman"/>
          <w:i/>
          <w:iCs/>
        </w:rPr>
        <w:t>Charter</w:t>
      </w:r>
      <w:r w:rsidRPr="00E13133">
        <w:rPr>
          <w:rFonts w:cs="Times New Roman"/>
        </w:rPr>
        <w:t xml:space="preserve"> rights engaged in this appeal and the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The principles in </w:t>
      </w:r>
      <w:r w:rsidRPr="00E13133">
        <w:rPr>
          <w:rFonts w:cs="Times New Roman"/>
          <w:i/>
        </w:rPr>
        <w:t>Bedford</w:t>
      </w:r>
      <w:r w:rsidRPr="00E13133">
        <w:rPr>
          <w:rFonts w:cs="Times New Roman"/>
        </w:rPr>
        <w:t xml:space="preserve"> speak to “failures of instrumental rationality” that reflect a legislative provision that is unconnected from or grossly disproportionate with its purpose (para. 107). By contrast, the principles of fundamental justice in this case relate to substantive and procedural standards for criminal liability that ensure the fair operation of the legal system and which are “found in the basic tenets of our legal system” (</w:t>
      </w:r>
      <w:r w:rsidRPr="00E13133">
        <w:rPr>
          <w:rFonts w:cs="Times New Roman"/>
          <w:i/>
        </w:rPr>
        <w:t>Motor Vehicle Reference</w:t>
      </w:r>
      <w:r w:rsidRPr="00E13133">
        <w:rPr>
          <w:rFonts w:cs="Times New Roman"/>
        </w:rPr>
        <w:t xml:space="preserve">, at p. 503). I agree on this point with Paciocco J.A. in </w:t>
      </w:r>
      <w:r w:rsidRPr="00E13133">
        <w:rPr>
          <w:rFonts w:cs="Times New Roman"/>
          <w:i/>
          <w:iCs/>
        </w:rPr>
        <w:t>Sullivan</w:t>
      </w:r>
      <w:r w:rsidRPr="00E13133">
        <w:rPr>
          <w:rFonts w:cs="Times New Roman"/>
        </w:rPr>
        <w:t xml:space="preserve"> (para. 61) that the challenge here pertains to s. 7 principles of the voluntariness and </w:t>
      </w:r>
      <w:r w:rsidRPr="00E13133">
        <w:rPr>
          <w:rFonts w:cs="Times New Roman"/>
          <w:i/>
        </w:rPr>
        <w:t>mens rea</w:t>
      </w:r>
      <w:r w:rsidRPr="00E13133">
        <w:rPr>
          <w:rFonts w:cs="Times New Roman"/>
        </w:rPr>
        <w:t xml:space="preserve"> required to justify punishment and not those matters of arbitrariness and proportionality at issue in </w:t>
      </w:r>
      <w:r w:rsidRPr="00E13133">
        <w:rPr>
          <w:rFonts w:cs="Times New Roman"/>
          <w:i/>
          <w:iCs/>
        </w:rPr>
        <w:t>Bedford</w:t>
      </w:r>
      <w:r w:rsidRPr="00E13133">
        <w:rPr>
          <w:rFonts w:cs="Times New Roman"/>
        </w:rPr>
        <w:t xml:space="preserve">. A court’s s. 7 analysis should start by asking whether a statutory provision fails to meet the requirements of the specific principle raised by the claimant before turning to the more general matter as to whether the law is arbitrary or disproportionate in light of its purpose in the </w:t>
      </w:r>
      <w:r w:rsidRPr="00E13133">
        <w:rPr>
          <w:rFonts w:cs="Times New Roman"/>
          <w:i/>
        </w:rPr>
        <w:t>Bedford</w:t>
      </w:r>
      <w:r w:rsidRPr="00E13133">
        <w:rPr>
          <w:rFonts w:cs="Times New Roman"/>
        </w:rPr>
        <w:t xml:space="preserve"> sense (</w:t>
      </w:r>
      <w:r w:rsidRPr="00E13133">
        <w:rPr>
          <w:rFonts w:cs="Times New Roman"/>
          <w:i/>
        </w:rPr>
        <w:t>R. v. Malmo-Levine</w:t>
      </w:r>
      <w:r w:rsidRPr="00E13133">
        <w:rPr>
          <w:rFonts w:cs="Times New Roman"/>
        </w:rPr>
        <w:t>, 2003 SCC 74, [2003] 3 S.C.R. 571, at paras. 129 and 135</w:t>
      </w:r>
      <w:r w:rsidRPr="00E13133">
        <w:rPr>
          <w:rFonts w:cs="Times New Roman"/>
        </w:rPr>
        <w:noBreakHyphen/>
        <w:t>45).</w:t>
      </w:r>
    </w:p>
    <w:p w14:paraId="3482F37F" w14:textId="77777777" w:rsidR="00377DDF" w:rsidRPr="00E13133" w:rsidRDefault="00377DDF" w:rsidP="00377DDF">
      <w:pPr>
        <w:pStyle w:val="Title3LevelTitre3Niveau"/>
        <w:rPr>
          <w:rFonts w:cs="Times New Roman"/>
        </w:rPr>
      </w:pPr>
      <w:r w:rsidRPr="00E13133">
        <w:rPr>
          <w:rFonts w:cs="Times New Roman"/>
        </w:rPr>
        <w:t>Interpretation of Section 33.1</w:t>
      </w:r>
    </w:p>
    <w:p w14:paraId="1EC41400" w14:textId="77777777" w:rsidR="00377DDF" w:rsidRPr="00E13133" w:rsidRDefault="00377DDF" w:rsidP="00377DDF">
      <w:pPr>
        <w:pStyle w:val="ParaNoNdepar-AltN"/>
        <w:rPr>
          <w:rFonts w:cs="Times New Roman"/>
        </w:rPr>
      </w:pPr>
      <w:r w:rsidRPr="00E13133">
        <w:rPr>
          <w:rFonts w:cs="Times New Roman"/>
        </w:rPr>
        <w:t xml:space="preserve">Much of the argument in this appeal, as well as in the </w:t>
      </w:r>
      <w:r w:rsidRPr="00E13133">
        <w:rPr>
          <w:rFonts w:cs="Times New Roman"/>
          <w:i/>
          <w:iCs/>
        </w:rPr>
        <w:t>Sullivan</w:t>
      </w:r>
      <w:r w:rsidRPr="00E13133">
        <w:rPr>
          <w:rFonts w:cs="Times New Roman"/>
        </w:rPr>
        <w:t xml:space="preserve"> and </w:t>
      </w:r>
      <w:r w:rsidRPr="00E13133">
        <w:rPr>
          <w:rFonts w:cs="Times New Roman"/>
          <w:i/>
          <w:iCs/>
        </w:rPr>
        <w:t>Chan</w:t>
      </w:r>
      <w:r w:rsidRPr="00E13133">
        <w:rPr>
          <w:rFonts w:cs="Times New Roman"/>
          <w:iCs/>
        </w:rPr>
        <w:t xml:space="preserve"> appeals</w:t>
      </w:r>
      <w:r w:rsidRPr="00E13133">
        <w:rPr>
          <w:rFonts w:cs="Times New Roman"/>
        </w:rPr>
        <w:t xml:space="preserve">, turns on the proper interpretation of s. 33.1. Crown counsel and interveners in these appeals offer somewhat different readings of the text of s. 33.1 in support of its validity. In the </w:t>
      </w:r>
      <w:r w:rsidRPr="00E13133">
        <w:rPr>
          <w:rFonts w:cs="Times New Roman"/>
          <w:i/>
          <w:iCs/>
        </w:rPr>
        <w:t>Sullivan</w:t>
      </w:r>
      <w:r w:rsidRPr="00E13133">
        <w:rPr>
          <w:rFonts w:cs="Times New Roman"/>
          <w:iCs/>
        </w:rPr>
        <w:t xml:space="preserve"> and </w:t>
      </w:r>
      <w:r w:rsidRPr="00E13133">
        <w:rPr>
          <w:rFonts w:cs="Times New Roman"/>
          <w:i/>
          <w:iCs/>
        </w:rPr>
        <w:t>Chan</w:t>
      </w:r>
      <w:r w:rsidRPr="00E13133">
        <w:rPr>
          <w:rFonts w:cs="Times New Roman"/>
          <w:iCs/>
        </w:rPr>
        <w:t xml:space="preserve"> appeals</w:t>
      </w:r>
      <w:r w:rsidRPr="00E13133">
        <w:rPr>
          <w:rFonts w:cs="Times New Roman"/>
        </w:rPr>
        <w:t>, the Crown says that liability under s. 33.1 is imposed for the “predicate act of self-induced extreme intoxication when it leads to involuntary or unintended violence” (Appellant’s Condensed Book, at p. 1). That blameworthy predicate act is said to include, according to the Crown, a constitutionally-compliant fault element of negligence requiring a marked departure from the reasonably prudent person. In this appeal, it was argued that the “self</w:t>
      </w:r>
      <w:r w:rsidRPr="00E13133">
        <w:rPr>
          <w:rFonts w:cs="Times New Roman"/>
        </w:rPr>
        <w:noBreakHyphen/>
        <w:t xml:space="preserve">induced” character of intoxication, alluded to in s. 33.1, incorporates voluntariness and </w:t>
      </w:r>
      <w:r w:rsidRPr="00E13133">
        <w:rPr>
          <w:rFonts w:cs="Times New Roman"/>
          <w:i/>
          <w:iCs/>
        </w:rPr>
        <w:t>mens rea</w:t>
      </w:r>
      <w:r w:rsidRPr="00E13133">
        <w:rPr>
          <w:rFonts w:cs="Times New Roman"/>
        </w:rPr>
        <w:t xml:space="preserve"> components: “The act of voluntarily intoxicating oneself to an extreme level”, said the Crown, “is a marked departure from the standard of reasonable care generally recognized in Canadian society” (Respondent’s Condensed Book, at p. 1; see also transcript, at pp. 35</w:t>
      </w:r>
      <w:r w:rsidRPr="00E13133">
        <w:rPr>
          <w:rFonts w:cs="Times New Roman"/>
        </w:rPr>
        <w:noBreakHyphen/>
        <w:t xml:space="preserve">36). When pressed on these interpretations of s. 33.1 in oral argument in this appeal and the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counsel acknowledged that the basis for the position they espouse was not found expressly in the text of the section. But, they said, when read purposefully and as a whole, s. 33.1 both eliminates a defence and creates a new mode of liability.</w:t>
      </w:r>
    </w:p>
    <w:p w14:paraId="633FF4B4" w14:textId="77777777" w:rsidR="00377DDF" w:rsidRPr="00E13133" w:rsidRDefault="00377DDF" w:rsidP="00377DDF">
      <w:pPr>
        <w:pStyle w:val="ParaNoNdepar-AltN"/>
        <w:rPr>
          <w:rFonts w:cs="Times New Roman"/>
        </w:rPr>
      </w:pPr>
      <w:r w:rsidRPr="00E13133">
        <w:rPr>
          <w:rFonts w:cs="Times New Roman"/>
        </w:rPr>
        <w:t>The Attorney General of Canada stated that s. 33.1 must be read in keeping with the presumption of constitutionality. The Attorney General argued that the fault targeted by s. 33.1(1) and (2) is the voluntary consumption of an intoxicant that a person knew or ought to have known creates a risk of automatism and, when violence ensues, that self</w:t>
      </w:r>
      <w:r w:rsidRPr="00E13133">
        <w:rPr>
          <w:rFonts w:cs="Times New Roman"/>
        </w:rPr>
        <w:noBreakHyphen/>
        <w:t xml:space="preserve">induced intoxication departs markedly from the standard of care reasonably expected in the circumstances. But in advancing that view, counsel acknowledged, at the hearing in the </w:t>
      </w:r>
      <w:r w:rsidRPr="00E13133">
        <w:rPr>
          <w:rFonts w:cs="Times New Roman"/>
          <w:i/>
          <w:iCs/>
        </w:rPr>
        <w:t>Sullivan</w:t>
      </w:r>
      <w:r w:rsidRPr="00E13133">
        <w:rPr>
          <w:rFonts w:cs="Times New Roman"/>
          <w:iCs/>
        </w:rPr>
        <w:t xml:space="preserve"> and </w:t>
      </w:r>
      <w:r w:rsidRPr="00E13133">
        <w:rPr>
          <w:rFonts w:cs="Times New Roman"/>
          <w:i/>
          <w:iCs/>
        </w:rPr>
        <w:t>Chan</w:t>
      </w:r>
      <w:r w:rsidRPr="00E13133">
        <w:rPr>
          <w:rFonts w:cs="Times New Roman"/>
          <w:iCs/>
        </w:rPr>
        <w:t xml:space="preserve"> appeals</w:t>
      </w:r>
      <w:r w:rsidRPr="00E13133">
        <w:rPr>
          <w:rFonts w:cs="Times New Roman"/>
        </w:rPr>
        <w:t>, that “you are not going to find that specifically in the section” (transcript, at p. 51). Moreover, counsel for the attorneys general of Canada, Manitoba and Saskatchewan invited the Court variously to interpret or read words into the text to overcome what was, they said, “inelegant drafting”, “hardly a model of successful drafting”, or a provision that was “oddly drafted” (</w:t>
      </w:r>
      <w:r w:rsidRPr="00E13133">
        <w:rPr>
          <w:rFonts w:cs="Times New Roman"/>
          <w:i/>
          <w:iCs/>
        </w:rPr>
        <w:t>Sullivan</w:t>
      </w:r>
      <w:r w:rsidRPr="00E13133">
        <w:rPr>
          <w:rFonts w:cs="Times New Roman"/>
          <w:iCs/>
        </w:rPr>
        <w:t xml:space="preserve"> and </w:t>
      </w:r>
      <w:r w:rsidRPr="00E13133">
        <w:rPr>
          <w:rFonts w:cs="Times New Roman"/>
          <w:i/>
          <w:iCs/>
        </w:rPr>
        <w:t>Chan</w:t>
      </w:r>
      <w:r w:rsidRPr="00E13133">
        <w:rPr>
          <w:rFonts w:cs="Times New Roman"/>
          <w:iCs/>
        </w:rPr>
        <w:t xml:space="preserve"> appeals,</w:t>
      </w:r>
      <w:r w:rsidRPr="00E13133">
        <w:rPr>
          <w:rFonts w:cs="Times New Roman"/>
        </w:rPr>
        <w:t xml:space="preserve"> transcript, at pp. 56, 73 and 83).</w:t>
      </w:r>
    </w:p>
    <w:p w14:paraId="279B79C7" w14:textId="77777777" w:rsidR="00377DDF" w:rsidRPr="00E13133" w:rsidRDefault="00377DDF" w:rsidP="00377DDF">
      <w:pPr>
        <w:pStyle w:val="ParaNoNdepar-AltN"/>
        <w:rPr>
          <w:rFonts w:cs="Times New Roman"/>
        </w:rPr>
      </w:pPr>
      <w:r w:rsidRPr="00E13133">
        <w:rPr>
          <w:rFonts w:cs="Times New Roman"/>
        </w:rPr>
        <w:t xml:space="preserve">I see no ambiguity in s. 33.1 and disagree with the interpretation proposed by the Crown and the attorneys general which, with due respect for those who hold other views, falls afoul of the ordinary meaning of the provision. I would add that the interpretation proposed by the Crown in these appeals trenches on the plain reading of the text given by this Court in </w:t>
      </w:r>
      <w:r w:rsidRPr="00E13133">
        <w:rPr>
          <w:rFonts w:cs="Times New Roman"/>
          <w:i/>
          <w:iCs/>
        </w:rPr>
        <w:t>Bouchard-Lebrun</w:t>
      </w:r>
      <w:r w:rsidRPr="00E13133">
        <w:rPr>
          <w:rFonts w:cs="Times New Roman"/>
        </w:rPr>
        <w:t xml:space="preserve">, albeit in another context. This plain reading, as Paciocco and Khullar JJ.A. </w:t>
      </w:r>
      <w:proofErr w:type="gramStart"/>
      <w:r w:rsidRPr="00E13133">
        <w:rPr>
          <w:rFonts w:cs="Times New Roman"/>
        </w:rPr>
        <w:t>held</w:t>
      </w:r>
      <w:proofErr w:type="gramEnd"/>
      <w:r w:rsidRPr="00E13133">
        <w:rPr>
          <w:rFonts w:cs="Times New Roman"/>
        </w:rPr>
        <w:t>, suggests strongly that Parliament fell short in its stated goal of providing a constitutionally</w:t>
      </w:r>
      <w:r w:rsidRPr="00E13133">
        <w:rPr>
          <w:rFonts w:cs="Times New Roman"/>
        </w:rPr>
        <w:noBreakHyphen/>
        <w:t>compliant measure of criminal fault for violent crimes of general intent based on self</w:t>
      </w:r>
      <w:r w:rsidRPr="00E13133">
        <w:rPr>
          <w:rFonts w:cs="Times New Roman"/>
        </w:rPr>
        <w:noBreakHyphen/>
        <w:t>induced intoxication.</w:t>
      </w:r>
    </w:p>
    <w:p w14:paraId="129B9FB6" w14:textId="77777777" w:rsidR="00377DDF" w:rsidRPr="00E13133" w:rsidRDefault="00377DDF" w:rsidP="00377DDF">
      <w:pPr>
        <w:pStyle w:val="ParaNoNdepar-AltN"/>
        <w:rPr>
          <w:rFonts w:eastAsia="Times New Roman" w:cs="Times New Roman"/>
          <w:szCs w:val="24"/>
        </w:rPr>
      </w:pPr>
      <w:r w:rsidRPr="00E13133">
        <w:rPr>
          <w:rFonts w:cs="Times New Roman"/>
        </w:rPr>
        <w:t>What does the impugned provision in fact say? Section 33.1(1) eliminates the defence of self</w:t>
      </w:r>
      <w:r w:rsidRPr="00E13133">
        <w:rPr>
          <w:rFonts w:cs="Times New Roman"/>
        </w:rPr>
        <w:noBreakHyphen/>
        <w:t xml:space="preserve">induced intoxication akin to automatism applied to the violent offences identified in s. 33.1(3) where the accused departs markedly from the standard of care described in s. 33.1(2). It opens with the words “[i]t is not a defence”. These words have been consistently interpreted in the context of other provisions of the </w:t>
      </w:r>
      <w:r w:rsidRPr="00E13133">
        <w:rPr>
          <w:rFonts w:cs="Times New Roman"/>
          <w:i/>
        </w:rPr>
        <w:t xml:space="preserve">Criminal </w:t>
      </w:r>
      <w:r w:rsidRPr="00E13133">
        <w:rPr>
          <w:rFonts w:cs="Times New Roman"/>
          <w:i/>
          <w:iCs/>
        </w:rPr>
        <w:t>Code</w:t>
      </w:r>
      <w:r w:rsidRPr="00E13133">
        <w:rPr>
          <w:rFonts w:cs="Times New Roman"/>
        </w:rPr>
        <w:t xml:space="preserve"> as invalidating or limiting a defence (</w:t>
      </w:r>
      <w:r w:rsidRPr="00E13133">
        <w:rPr>
          <w:rFonts w:cs="Times New Roman"/>
          <w:i/>
          <w:iCs/>
        </w:rPr>
        <w:t>R. v. George</w:t>
      </w:r>
      <w:r w:rsidRPr="00E13133">
        <w:rPr>
          <w:rFonts w:cs="Times New Roman"/>
        </w:rPr>
        <w:t xml:space="preserve">, 2017 SCC 38, [2017] 1 S.C.R. 1021, at para. 7; </w:t>
      </w:r>
      <w:r w:rsidRPr="00E13133">
        <w:rPr>
          <w:rFonts w:cs="Times New Roman"/>
          <w:i/>
          <w:iCs/>
        </w:rPr>
        <w:t xml:space="preserve">R. v. </w:t>
      </w:r>
      <w:proofErr w:type="spellStart"/>
      <w:r w:rsidRPr="00E13133">
        <w:rPr>
          <w:rFonts w:cs="Times New Roman"/>
          <w:i/>
          <w:iCs/>
        </w:rPr>
        <w:t>Levigne</w:t>
      </w:r>
      <w:proofErr w:type="spellEnd"/>
      <w:r w:rsidRPr="00E13133">
        <w:rPr>
          <w:rFonts w:cs="Times New Roman"/>
        </w:rPr>
        <w:t>, 2010 SCC 25, [2010] 2 S.C.R. 3). Nowhere does s. 33.1 create a new offence, with or without the same penalties, be it a predicate act offence of self</w:t>
      </w:r>
      <w:r w:rsidRPr="00E13133">
        <w:rPr>
          <w:rFonts w:cs="Times New Roman"/>
        </w:rPr>
        <w:noBreakHyphen/>
        <w:t xml:space="preserve">induced extreme intoxication or a new criminal negligence offence. The accused faces the full stigma of conviction and the full brunt of punishment for the general intent offence pointed to </w:t>
      </w:r>
      <w:proofErr w:type="spellStart"/>
      <w:r w:rsidRPr="00E13133">
        <w:rPr>
          <w:rFonts w:cs="Times New Roman"/>
        </w:rPr>
        <w:t>in s</w:t>
      </w:r>
      <w:proofErr w:type="spellEnd"/>
      <w:r w:rsidRPr="00E13133">
        <w:rPr>
          <w:rFonts w:cs="Times New Roman"/>
        </w:rPr>
        <w:t>. 33.1(3). For Mr. Brown, that offence is the included offence of aggravated assault to count 1 of his indictment. For Mr. Sullivan, the offences are aggravated assault and assault with a weapon. For Mr. Chan, the offences are manslaughter and aggravated assault. In none of their cases were they charged with dangerous or negligent self-induced extreme intoxication causing bodily harm. Extreme voluntary intoxication may well be an instance of what many Canadians see as morally reprehensible conduct, but s. 33.1 — or any other act of Parliament for that matter — does not designate it an unlawful act.</w:t>
      </w:r>
    </w:p>
    <w:p w14:paraId="774AC97A" w14:textId="77777777" w:rsidR="00377DDF" w:rsidRPr="00E13133" w:rsidRDefault="00377DDF" w:rsidP="00377DDF">
      <w:pPr>
        <w:pStyle w:val="ParaNoNdepar-AltN"/>
        <w:rPr>
          <w:rFonts w:cs="Times New Roman"/>
        </w:rPr>
      </w:pPr>
      <w:r w:rsidRPr="00E13133">
        <w:rPr>
          <w:rFonts w:cs="Times New Roman"/>
        </w:rPr>
        <w:t xml:space="preserve">I agree with LeBel J. in </w:t>
      </w:r>
      <w:r w:rsidRPr="00E13133">
        <w:rPr>
          <w:rFonts w:cs="Times New Roman"/>
          <w:i/>
          <w:iCs/>
        </w:rPr>
        <w:t>Bouchard-Lebrun</w:t>
      </w:r>
      <w:r w:rsidRPr="00E13133">
        <w:rPr>
          <w:rFonts w:cs="Times New Roman"/>
        </w:rPr>
        <w:t xml:space="preserve"> when he said that s. 33.1 applies when three conditions are met: (1) that the accused was intoxicated at the material time; (2) the intoxication was self</w:t>
      </w:r>
      <w:r w:rsidRPr="00E13133">
        <w:rPr>
          <w:rFonts w:cs="Times New Roman"/>
        </w:rPr>
        <w:noBreakHyphen/>
        <w:t xml:space="preserve">induced; and (3) that the accused departed markedly from the standard of reasonable care generally recognized in Canadian society by interfering or threatening to interfere with the bodily integrity of another person (para. 89). LeBel J. did not comment on the constitutionality of the provision but observed how it operated, concluding — in a manner consonant with the ordinary meaning of the text itself — that when these three things are proved, it is not a defence that the accused lacked the general intent or the voluntariness required to commit the offence named in s. 33.1(3). To that extent, the provision undoes the defence recognized in </w:t>
      </w:r>
      <w:r w:rsidRPr="00E13133">
        <w:rPr>
          <w:rFonts w:cs="Times New Roman"/>
          <w:i/>
          <w:iCs/>
        </w:rPr>
        <w:t>Daviault</w:t>
      </w:r>
      <w:r w:rsidRPr="00E13133">
        <w:rPr>
          <w:rFonts w:cs="Times New Roman"/>
        </w:rPr>
        <w:t>.</w:t>
      </w:r>
    </w:p>
    <w:p w14:paraId="0B204EA6" w14:textId="77777777" w:rsidR="00377DDF" w:rsidRPr="00E13133" w:rsidRDefault="00377DDF" w:rsidP="00377DDF">
      <w:pPr>
        <w:pStyle w:val="ParaNoNdepar-AltN"/>
        <w:rPr>
          <w:rFonts w:cs="Times New Roman"/>
        </w:rPr>
      </w:pPr>
      <w:r w:rsidRPr="00E13133">
        <w:rPr>
          <w:rFonts w:cs="Times New Roman"/>
        </w:rPr>
        <w:t>The Crown is mistaken when it draws an analogy between impaired driving offences and s. 33.1. The gravamen of the offence faced by Mr. Brown does not include intoxication, unlike criminal offences for impaired driving. Counsel for Mr. Sullivan made the point plainly: “The gravamen of assault is not intoxication. Without intoxication, every element of an assault [must] be proven; without intoxication, driving is benign”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R.F., at para. 44; see also </w:t>
      </w:r>
      <w:r w:rsidRPr="00E13133">
        <w:rPr>
          <w:rFonts w:cs="Times New Roman"/>
          <w:i/>
          <w:iCs/>
        </w:rPr>
        <w:t>Sullivan</w:t>
      </w:r>
      <w:r w:rsidRPr="00E13133">
        <w:rPr>
          <w:rFonts w:cs="Times New Roman"/>
        </w:rPr>
        <w:t>, at para. 65</w:t>
      </w:r>
      <w:r>
        <w:rPr>
          <w:rFonts w:cs="Times New Roman"/>
        </w:rPr>
        <w:t>,</w:t>
      </w:r>
      <w:r w:rsidRPr="00313B76">
        <w:rPr>
          <w:rFonts w:cs="Times New Roman"/>
        </w:rPr>
        <w:t xml:space="preserve"> </w:t>
      </w:r>
      <w:r w:rsidRPr="00E13133">
        <w:rPr>
          <w:rFonts w:cs="Times New Roman"/>
        </w:rPr>
        <w:t>per Paciocco J.A.).</w:t>
      </w:r>
    </w:p>
    <w:p w14:paraId="7175FD8F" w14:textId="77777777" w:rsidR="00377DDF" w:rsidRPr="00E13133" w:rsidRDefault="00377DDF" w:rsidP="00377DDF">
      <w:pPr>
        <w:pStyle w:val="ParaNoNdepar-AltN"/>
        <w:rPr>
          <w:rFonts w:eastAsia="Times New Roman" w:cs="Times New Roman"/>
          <w:szCs w:val="24"/>
        </w:rPr>
      </w:pPr>
      <w:r w:rsidRPr="00E13133">
        <w:rPr>
          <w:rFonts w:cs="Times New Roman"/>
        </w:rPr>
        <w:t>The requirements of s. 33.1 — that the accused be intoxicated at the material time and the intoxication be self</w:t>
      </w:r>
      <w:r w:rsidRPr="00E13133">
        <w:rPr>
          <w:rFonts w:cs="Times New Roman"/>
        </w:rPr>
        <w:noBreakHyphen/>
        <w:t xml:space="preserve">induced — are not, together or separately, a measure of fault. They are, as </w:t>
      </w:r>
      <w:r w:rsidRPr="00E13133">
        <w:rPr>
          <w:rFonts w:cs="Times New Roman"/>
          <w:i/>
          <w:iCs/>
        </w:rPr>
        <w:t>Bouchard-Lebrun</w:t>
      </w:r>
      <w:r w:rsidRPr="00E13133">
        <w:rPr>
          <w:rFonts w:cs="Times New Roman"/>
        </w:rPr>
        <w:t xml:space="preserve"> makes clear, conditions of liability as the use of the word “while” in s. 33.1(2) confirms. </w:t>
      </w:r>
    </w:p>
    <w:p w14:paraId="568D4D2F" w14:textId="77777777" w:rsidR="00377DDF" w:rsidRPr="00E13133" w:rsidRDefault="00377DDF" w:rsidP="00377DDF">
      <w:pPr>
        <w:pStyle w:val="ParaNoNdepar-AltN"/>
        <w:rPr>
          <w:rFonts w:cs="Times New Roman"/>
        </w:rPr>
      </w:pPr>
      <w:r w:rsidRPr="00E13133">
        <w:rPr>
          <w:rFonts w:cs="Times New Roman"/>
        </w:rPr>
        <w:t>Section 33.1(1) blocks the defence of automatism to general intent offences where the automatism was the result of self</w:t>
      </w:r>
      <w:r w:rsidRPr="00E13133">
        <w:rPr>
          <w:rFonts w:cs="Times New Roman"/>
        </w:rPr>
        <w:noBreakHyphen/>
        <w:t>induced intoxication and the accused departed markedly from the standard of care described in s. 33.1(2). Under s. 33.1(2), an accused departs markedly from the standard of care where:</w:t>
      </w:r>
    </w:p>
    <w:p w14:paraId="05D6F632" w14:textId="77777777" w:rsidR="00377DDF" w:rsidRPr="00E13133" w:rsidRDefault="00377DDF" w:rsidP="00377DDF">
      <w:pPr>
        <w:pStyle w:val="Citation-AltC"/>
        <w:ind w:firstLine="274"/>
      </w:pPr>
      <w:r w:rsidRPr="00E13133">
        <w:t>. . . </w:t>
      </w:r>
      <w:proofErr w:type="gramStart"/>
      <w:r w:rsidRPr="00E13133">
        <w:t>the</w:t>
      </w:r>
      <w:proofErr w:type="gramEnd"/>
      <w:r w:rsidRPr="00E13133">
        <w:t xml:space="preserve"> person, while in a state of self-induced intoxication that renders the person unaware of, or incapable of consciously controlling, their behaviour, voluntarily or involuntarily interferes or threatens to interfere with the bodily integrity of another person.</w:t>
      </w:r>
    </w:p>
    <w:p w14:paraId="22AF81C8" w14:textId="77777777" w:rsidR="00377DDF" w:rsidRPr="00E13133" w:rsidRDefault="00377DDF" w:rsidP="00377DDF">
      <w:pPr>
        <w:pStyle w:val="ParaNoNdepar-AltN"/>
        <w:rPr>
          <w:rFonts w:cs="Times New Roman"/>
        </w:rPr>
      </w:pPr>
      <w:r w:rsidRPr="00E13133">
        <w:rPr>
          <w:rFonts w:cs="Times New Roman"/>
        </w:rPr>
        <w:t>In 1995, the Minister of Justice said in the House that “[w]e are stating in Bill C</w:t>
      </w:r>
      <w:r w:rsidRPr="00E13133">
        <w:rPr>
          <w:rFonts w:cs="Times New Roman"/>
        </w:rPr>
        <w:noBreakHyphen/>
        <w:t xml:space="preserve">72 conclusively that intoxicating yourself to the point at which you lose conscious control and harm others is a departure from the standard of care” (Hansard, vol. 133, No. 177, 1st Sess., 35th Parl., March 27, 1995, at p. 11039). This description fits the text of the section that was enacted. The marked departure alluded to in s. 33.1(1) depends on proof of the two facts alluded to by the Minister and spoken to </w:t>
      </w:r>
      <w:proofErr w:type="spellStart"/>
      <w:r w:rsidRPr="00E13133">
        <w:rPr>
          <w:rFonts w:cs="Times New Roman"/>
        </w:rPr>
        <w:t>in s</w:t>
      </w:r>
      <w:proofErr w:type="spellEnd"/>
      <w:r w:rsidRPr="00E13133">
        <w:rPr>
          <w:rFonts w:cs="Times New Roman"/>
        </w:rPr>
        <w:t xml:space="preserve">. 33.1(2). First, that the person must be in a state of </w:t>
      </w:r>
      <w:r w:rsidRPr="00E13133">
        <w:rPr>
          <w:rFonts w:cs="Times New Roman"/>
          <w:i/>
          <w:iCs/>
        </w:rPr>
        <w:t>self</w:t>
      </w:r>
      <w:r w:rsidRPr="00E13133">
        <w:rPr>
          <w:rFonts w:cs="Times New Roman"/>
          <w:i/>
        </w:rPr>
        <w:noBreakHyphen/>
      </w:r>
      <w:r w:rsidRPr="00E13133">
        <w:rPr>
          <w:rFonts w:cs="Times New Roman"/>
          <w:i/>
          <w:iCs/>
        </w:rPr>
        <w:t>induced intoxication</w:t>
      </w:r>
      <w:r w:rsidRPr="00E13133">
        <w:rPr>
          <w:rFonts w:cs="Times New Roman"/>
        </w:rPr>
        <w:t xml:space="preserve"> that renders them unaware of, or incapable of controlling, their behaviour. Second, the </w:t>
      </w:r>
      <w:r w:rsidRPr="00E13133">
        <w:rPr>
          <w:rFonts w:cs="Times New Roman"/>
          <w:i/>
          <w:iCs/>
        </w:rPr>
        <w:t xml:space="preserve">violent act </w:t>
      </w:r>
      <w:r w:rsidRPr="00E13133">
        <w:rPr>
          <w:rFonts w:cs="Times New Roman"/>
        </w:rPr>
        <w:t xml:space="preserve">must occur while they are in that state. These facts are best understood as conditions of liability and not measures of fault because neither of them import a criminal negligence standard. </w:t>
      </w:r>
    </w:p>
    <w:p w14:paraId="4212902D" w14:textId="77777777" w:rsidR="00377DDF" w:rsidRPr="00E13133" w:rsidRDefault="00377DDF" w:rsidP="00377DDF">
      <w:pPr>
        <w:pStyle w:val="ParaNoNdepar-AltN"/>
        <w:rPr>
          <w:rFonts w:cs="Times New Roman"/>
          <w:lang w:val="en-US"/>
        </w:rPr>
      </w:pPr>
      <w:r w:rsidRPr="00E13133">
        <w:rPr>
          <w:rFonts w:cs="Times New Roman"/>
        </w:rPr>
        <w:t>I disagree with the view advanced by the Attorney General of Saskatchewan and others that the adjective “self-induced” must be read so that s. 33.1 carries with it a proper criminal negligence standard. The cases say that intoxication is “self</w:t>
      </w:r>
      <w:r w:rsidRPr="00E13133">
        <w:rPr>
          <w:rFonts w:cs="Times New Roman"/>
        </w:rPr>
        <w:noBreakHyphen/>
        <w:t xml:space="preserve">induced” where the accused voluntarily ingests a substance that they know or ought to know is an intoxicant, in circumstances where the risk of becoming intoxicated is or should be within their contemplation (see, e.g., </w:t>
      </w:r>
      <w:r w:rsidRPr="00E13133">
        <w:rPr>
          <w:rFonts w:cs="Times New Roman"/>
          <w:i/>
        </w:rPr>
        <w:t>R. v. Chaulk</w:t>
      </w:r>
      <w:r w:rsidRPr="00E13133">
        <w:rPr>
          <w:rFonts w:cs="Times New Roman"/>
        </w:rPr>
        <w:t>, 2007 NSCA 84, 257 N.S.R. (2d) 99 (“</w:t>
      </w:r>
      <w:r w:rsidRPr="00E13133">
        <w:rPr>
          <w:rFonts w:cs="Times New Roman"/>
          <w:i/>
        </w:rPr>
        <w:t>Chaulk (2007)</w:t>
      </w:r>
      <w:r w:rsidRPr="00E13133">
        <w:rPr>
          <w:rFonts w:cs="Times New Roman"/>
        </w:rPr>
        <w:t>”), at para. 47). The term “self</w:t>
      </w:r>
      <w:r w:rsidRPr="00E13133">
        <w:rPr>
          <w:rFonts w:cs="Times New Roman"/>
        </w:rPr>
        <w:noBreakHyphen/>
        <w:t>induced intoxication” says nothing about whether the accused foresaw, or ought to have foreseen, the risk of extreme intoxication.</w:t>
      </w:r>
    </w:p>
    <w:p w14:paraId="5D31E2DE" w14:textId="77777777" w:rsidR="00377DDF" w:rsidRPr="00E13133" w:rsidRDefault="00377DDF" w:rsidP="00377DDF">
      <w:pPr>
        <w:pStyle w:val="ParaNoNdepar-AltN"/>
        <w:rPr>
          <w:rFonts w:cs="Times New Roman"/>
        </w:rPr>
      </w:pPr>
      <w:r w:rsidRPr="00E13133">
        <w:rPr>
          <w:rFonts w:cs="Times New Roman"/>
        </w:rPr>
        <w:t>Moreover, no plausible reading of the text suggests that self</w:t>
      </w:r>
      <w:r w:rsidRPr="00E13133">
        <w:rPr>
          <w:rFonts w:cs="Times New Roman"/>
        </w:rPr>
        <w:noBreakHyphen/>
        <w:t xml:space="preserve">induced intoxication brings with it a reasonable foreseeability of bodily harm, as the </w:t>
      </w:r>
      <w:r w:rsidRPr="00E13133">
        <w:rPr>
          <w:rFonts w:cs="Times New Roman"/>
          <w:i/>
          <w:iCs/>
        </w:rPr>
        <w:t>voir dire</w:t>
      </w:r>
      <w:r w:rsidRPr="00E13133">
        <w:rPr>
          <w:rFonts w:cs="Times New Roman"/>
        </w:rPr>
        <w:t xml:space="preserve"> judge rightly wrote in this case</w:t>
      </w:r>
      <w:r w:rsidRPr="00E13133">
        <w:rPr>
          <w:rFonts w:cs="Times New Roman"/>
          <w:iCs/>
        </w:rPr>
        <w:t>,</w:t>
      </w:r>
      <w:r w:rsidRPr="00E13133">
        <w:rPr>
          <w:rFonts w:cs="Times New Roman"/>
        </w:rPr>
        <w:t xml:space="preserve"> at paras. 36</w:t>
      </w:r>
      <w:r w:rsidRPr="00E13133">
        <w:rPr>
          <w:rFonts w:cs="Times New Roman"/>
        </w:rPr>
        <w:noBreakHyphen/>
        <w:t xml:space="preserve">37. In addition, I agree with Paciocco J.A. in </w:t>
      </w:r>
      <w:r w:rsidRPr="00E13133">
        <w:rPr>
          <w:rFonts w:cs="Times New Roman"/>
          <w:i/>
          <w:iCs/>
        </w:rPr>
        <w:t>Sullivan</w:t>
      </w:r>
      <w:r w:rsidRPr="00E13133">
        <w:rPr>
          <w:rFonts w:cs="Times New Roman"/>
        </w:rPr>
        <w:t xml:space="preserve"> that the problem is not overcome by designating the violent act as the marked departure. This is so because, as he wrote, “moral fault cannot come from a consequence alone” (para. 94). Drawing on this Court’s judgment in </w:t>
      </w:r>
      <w:r w:rsidRPr="00E13133">
        <w:rPr>
          <w:rFonts w:cs="Times New Roman"/>
          <w:i/>
          <w:iCs/>
        </w:rPr>
        <w:t>Creighton</w:t>
      </w:r>
      <w:r w:rsidRPr="00E13133">
        <w:rPr>
          <w:rFonts w:cs="Times New Roman"/>
        </w:rPr>
        <w:t>, at p. 58, he explained that the mental fault inherent in penal negligence “lies in [the] failure to direct the mind to a risk which the reasonable person would have appreciated” (para. 94). If the marked departure from the norm was simply the violent act, the law countenances a form of absolute liability. On its face, and notwithstanding the reference to “departed markedly” in subs. (1), s. 33.1 is not a fault</w:t>
      </w:r>
      <w:r w:rsidRPr="00E13133">
        <w:rPr>
          <w:rFonts w:cs="Times New Roman"/>
        </w:rPr>
        <w:noBreakHyphen/>
        <w:t>creating provision but one that sets conditions of liability for intoxicated violence. The fault is that which is already required in the underlying offence mentioned in s. 33.1(3).</w:t>
      </w:r>
    </w:p>
    <w:p w14:paraId="5DD9344A" w14:textId="77777777" w:rsidR="00377DDF" w:rsidRPr="00E13133" w:rsidRDefault="00377DDF" w:rsidP="00377DDF">
      <w:pPr>
        <w:pStyle w:val="ParaNoNdepar-AltN"/>
        <w:rPr>
          <w:rFonts w:cs="Times New Roman"/>
        </w:rPr>
      </w:pPr>
      <w:r w:rsidRPr="00E13133">
        <w:rPr>
          <w:rFonts w:cs="Times New Roman"/>
        </w:rPr>
        <w:t xml:space="preserve">In oral argument in the </w:t>
      </w:r>
      <w:r w:rsidRPr="00E13133">
        <w:rPr>
          <w:rFonts w:cs="Times New Roman"/>
          <w:i/>
          <w:iCs/>
        </w:rPr>
        <w:t>Sullivan</w:t>
      </w:r>
      <w:r w:rsidRPr="00E13133">
        <w:rPr>
          <w:rFonts w:cs="Times New Roman"/>
          <w:iCs/>
        </w:rPr>
        <w:t xml:space="preserve"> and </w:t>
      </w:r>
      <w:r w:rsidRPr="00E13133">
        <w:rPr>
          <w:rFonts w:cs="Times New Roman"/>
          <w:i/>
          <w:iCs/>
        </w:rPr>
        <w:t>Chan</w:t>
      </w:r>
      <w:r w:rsidRPr="00E13133">
        <w:rPr>
          <w:rFonts w:cs="Times New Roman"/>
          <w:iCs/>
        </w:rPr>
        <w:t xml:space="preserve"> appeals</w:t>
      </w:r>
      <w:r w:rsidRPr="00E13133">
        <w:rPr>
          <w:rFonts w:cs="Times New Roman"/>
        </w:rPr>
        <w:t xml:space="preserve">, the Crown asserted that “nobody says that this is a pure deeming provision such that when this state of intoxication coincides with violence it results in liability” (transcript, at p. 5). This statement must be qualified. It is true that Mr. Brown, Mr. Sullivan and Mr. Chan do not suggest that s. 33.1 is a “pure” deeming provision, as they all recognize that s. 33.1 does not capture those who commit acts of </w:t>
      </w:r>
      <w:proofErr w:type="spellStart"/>
      <w:r w:rsidRPr="00E13133">
        <w:rPr>
          <w:rFonts w:cs="Times New Roman"/>
        </w:rPr>
        <w:t>automatistic</w:t>
      </w:r>
      <w:proofErr w:type="spellEnd"/>
      <w:r w:rsidRPr="00E13133">
        <w:rPr>
          <w:rFonts w:cs="Times New Roman"/>
        </w:rPr>
        <w:t xml:space="preserve"> violence after involuntarily consuming, say, a spiked drink. However, the Crown is incorrect in a more fundamental sense. As the appellant in this appeal</w:t>
      </w:r>
      <w:r w:rsidRPr="00E13133">
        <w:rPr>
          <w:rFonts w:cs="Times New Roman"/>
          <w:i/>
        </w:rPr>
        <w:t xml:space="preserve"> </w:t>
      </w:r>
      <w:r w:rsidRPr="00E13133">
        <w:rPr>
          <w:rFonts w:cs="Times New Roman"/>
        </w:rPr>
        <w:t xml:space="preserve">and the respondents in the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argue, s. 33.1 deems criminal fault for the violent offence to be present based on the accused’s choice to become intoxicated. Indeed, this was the conclusion reached by deWit J. (para. 30), and Khullar J.A. (para. 168) in this case, and by Paciocco and Lauwers JJ.A. </w:t>
      </w:r>
      <w:proofErr w:type="gramStart"/>
      <w:r w:rsidRPr="00E13133">
        <w:rPr>
          <w:rFonts w:cs="Times New Roman"/>
        </w:rPr>
        <w:t>in</w:t>
      </w:r>
      <w:proofErr w:type="gramEnd"/>
      <w:r w:rsidRPr="00E13133">
        <w:rPr>
          <w:rFonts w:cs="Times New Roman"/>
        </w:rPr>
        <w:t xml:space="preserve"> </w:t>
      </w:r>
      <w:r w:rsidRPr="00E13133">
        <w:rPr>
          <w:rFonts w:cs="Times New Roman"/>
          <w:i/>
        </w:rPr>
        <w:t xml:space="preserve">Sullivan </w:t>
      </w:r>
      <w:r w:rsidRPr="00E13133">
        <w:rPr>
          <w:rFonts w:cs="Times New Roman"/>
        </w:rPr>
        <w:t xml:space="preserve">(paras. 94 and 275). It is a conclusion, too, that finds repeated support in a segment of the scholarship on s. 33.1 (see, e.g., M. S. Lawrence, “Voluntary Intoxication and the </w:t>
      </w:r>
      <w:r w:rsidRPr="00E13133">
        <w:rPr>
          <w:rFonts w:cs="Times New Roman"/>
          <w:i/>
        </w:rPr>
        <w:t>Charter</w:t>
      </w:r>
      <w:r w:rsidRPr="00E13133">
        <w:rPr>
          <w:rFonts w:cs="Times New Roman"/>
        </w:rPr>
        <w:t xml:space="preserve">: Revisiting the Constitutionality of Section 33.1 of the </w:t>
      </w:r>
      <w:r w:rsidRPr="00E13133">
        <w:rPr>
          <w:rFonts w:cs="Times New Roman"/>
          <w:i/>
        </w:rPr>
        <w:t>Criminal Code</w:t>
      </w:r>
      <w:r w:rsidRPr="00E13133">
        <w:rPr>
          <w:rFonts w:cs="Times New Roman"/>
        </w:rPr>
        <w:t xml:space="preserve">” (2017), 40:3 </w:t>
      </w:r>
      <w:r w:rsidRPr="00E13133">
        <w:rPr>
          <w:rFonts w:cs="Times New Roman"/>
          <w:i/>
        </w:rPr>
        <w:t>Man. L.J.</w:t>
      </w:r>
      <w:r w:rsidRPr="00E13133">
        <w:rPr>
          <w:rFonts w:cs="Times New Roman"/>
        </w:rPr>
        <w:t xml:space="preserve"> 391, at pp. 403</w:t>
      </w:r>
      <w:r w:rsidRPr="00E13133">
        <w:rPr>
          <w:rFonts w:cs="Times New Roman"/>
        </w:rPr>
        <w:noBreakHyphen/>
        <w:t xml:space="preserve">10; S. Roy, “Intoxication”, in </w:t>
      </w:r>
      <w:proofErr w:type="spellStart"/>
      <w:r w:rsidRPr="00E13133">
        <w:rPr>
          <w:rFonts w:cs="Times New Roman"/>
          <w:i/>
        </w:rPr>
        <w:t>JurisClasseur</w:t>
      </w:r>
      <w:proofErr w:type="spellEnd"/>
      <w:r w:rsidRPr="00E13133">
        <w:rPr>
          <w:rFonts w:cs="Times New Roman"/>
          <w:i/>
        </w:rPr>
        <w:t xml:space="preserve"> Québec — Collection Droit </w:t>
      </w:r>
      <w:proofErr w:type="spellStart"/>
      <w:r w:rsidRPr="00E13133">
        <w:rPr>
          <w:rFonts w:cs="Times New Roman"/>
          <w:i/>
        </w:rPr>
        <w:t>pénal</w:t>
      </w:r>
      <w:proofErr w:type="spellEnd"/>
      <w:r w:rsidRPr="00E13133">
        <w:rPr>
          <w:rFonts w:cs="Times New Roman"/>
          <w:i/>
        </w:rPr>
        <w:t xml:space="preserve"> —</w:t>
      </w:r>
      <w:r w:rsidRPr="00E13133">
        <w:rPr>
          <w:rFonts w:cs="Times New Roman"/>
        </w:rPr>
        <w:t xml:space="preserve"> </w:t>
      </w:r>
      <w:r w:rsidRPr="00E13133">
        <w:rPr>
          <w:rFonts w:cs="Times New Roman"/>
          <w:i/>
        </w:rPr>
        <w:t xml:space="preserve">Droit </w:t>
      </w:r>
      <w:proofErr w:type="spellStart"/>
      <w:r w:rsidRPr="00E13133">
        <w:rPr>
          <w:rFonts w:cs="Times New Roman"/>
          <w:i/>
        </w:rPr>
        <w:t>pénal</w:t>
      </w:r>
      <w:proofErr w:type="spellEnd"/>
      <w:r w:rsidRPr="00E13133">
        <w:rPr>
          <w:rFonts w:cs="Times New Roman"/>
          <w:i/>
        </w:rPr>
        <w:t xml:space="preserve"> général</w:t>
      </w:r>
      <w:r w:rsidRPr="00E13133">
        <w:rPr>
          <w:rFonts w:cs="Times New Roman"/>
        </w:rPr>
        <w:t xml:space="preserve"> (loose</w:t>
      </w:r>
      <w:r w:rsidRPr="00E13133">
        <w:rPr>
          <w:rFonts w:cs="Times New Roman"/>
        </w:rPr>
        <w:noBreakHyphen/>
        <w:t xml:space="preserve">leaf), fasc. 13, at No. 18). Crown counsel in the </w:t>
      </w:r>
      <w:r w:rsidRPr="00E13133">
        <w:rPr>
          <w:rFonts w:cs="Times New Roman"/>
          <w:i/>
          <w:iCs/>
        </w:rPr>
        <w:t>Sullivan</w:t>
      </w:r>
      <w:r w:rsidRPr="00E13133">
        <w:rPr>
          <w:rFonts w:cs="Times New Roman"/>
          <w:iCs/>
        </w:rPr>
        <w:t xml:space="preserve"> and </w:t>
      </w:r>
      <w:r w:rsidRPr="00E13133">
        <w:rPr>
          <w:rFonts w:cs="Times New Roman"/>
          <w:i/>
          <w:iCs/>
        </w:rPr>
        <w:t>Chan</w:t>
      </w:r>
      <w:r w:rsidRPr="00E13133">
        <w:rPr>
          <w:rFonts w:cs="Times New Roman"/>
        </w:rPr>
        <w:t xml:space="preserve"> appeals was well aware that, if the Court did not adopt his interpretation of s. 33.1 to include a fault on the marked departure standard as contemplated in </w:t>
      </w:r>
      <w:r w:rsidRPr="00E13133">
        <w:rPr>
          <w:rFonts w:cs="Times New Roman"/>
          <w:i/>
          <w:iCs/>
        </w:rPr>
        <w:t>Creighton</w:t>
      </w:r>
      <w:r w:rsidRPr="00E13133">
        <w:rPr>
          <w:rFonts w:cs="Times New Roman"/>
        </w:rPr>
        <w:t xml:space="preserve"> and similar cases, “then the provision imposes liability in the absence of [a] </w:t>
      </w:r>
      <w:proofErr w:type="gramStart"/>
      <w:r w:rsidRPr="00E13133">
        <w:rPr>
          <w:rFonts w:cs="Times New Roman"/>
        </w:rPr>
        <w:t>necessary .</w:t>
      </w:r>
      <w:proofErr w:type="gramEnd"/>
      <w:r w:rsidRPr="00E13133">
        <w:rPr>
          <w:rFonts w:cs="Times New Roman"/>
        </w:rPr>
        <w:t> . . minimum fault requirement and we are into section 1” (transcript, at p. 10).</w:t>
      </w:r>
    </w:p>
    <w:p w14:paraId="70B7EC52" w14:textId="77777777" w:rsidR="00377DDF" w:rsidRPr="00E13133" w:rsidRDefault="00377DDF" w:rsidP="00377DDF">
      <w:pPr>
        <w:pStyle w:val="ParaNoNdepar-AltN"/>
        <w:rPr>
          <w:rFonts w:cs="Times New Roman"/>
        </w:rPr>
      </w:pPr>
      <w:r w:rsidRPr="00E13133">
        <w:rPr>
          <w:rFonts w:cs="Times New Roman"/>
        </w:rPr>
        <w:t>Contrary to the Crown’s position, the “marked departure” standard of fault in s. 33.1(2) clearly attaches then to the violent offence, not the act of self</w:t>
      </w:r>
      <w:r w:rsidRPr="00E13133">
        <w:rPr>
          <w:rFonts w:cs="Times New Roman"/>
        </w:rPr>
        <w:noBreakHyphen/>
        <w:t xml:space="preserve">induced intoxication. Neither can the definition of “self-induced” supply the </w:t>
      </w:r>
      <w:r w:rsidRPr="00E13133">
        <w:rPr>
          <w:rFonts w:cs="Times New Roman"/>
          <w:i/>
        </w:rPr>
        <w:t>mens rea</w:t>
      </w:r>
      <w:r w:rsidRPr="00E13133">
        <w:rPr>
          <w:rFonts w:cs="Times New Roman"/>
        </w:rPr>
        <w:t xml:space="preserve"> for criminal negligence, as it says nothing about risk, either by way of foreseeability of extreme intoxication or the possibility of violence.</w:t>
      </w:r>
    </w:p>
    <w:p w14:paraId="5AF20624" w14:textId="77777777" w:rsidR="00377DDF" w:rsidRPr="00E13133" w:rsidRDefault="00377DDF" w:rsidP="00377DDF">
      <w:pPr>
        <w:pStyle w:val="ParaNoNdepar-AltN"/>
        <w:rPr>
          <w:rFonts w:cs="Times New Roman"/>
        </w:rPr>
      </w:pPr>
      <w:r w:rsidRPr="00E13133">
        <w:rPr>
          <w:rFonts w:cs="Times New Roman"/>
        </w:rPr>
        <w:t>The whole of the text confirms this. Section 33.1(1) distinguishes self</w:t>
      </w:r>
      <w:r w:rsidRPr="00E13133">
        <w:rPr>
          <w:rFonts w:cs="Times New Roman"/>
        </w:rPr>
        <w:noBreakHyphen/>
        <w:t xml:space="preserve">induced intoxication from the prohibited offence, meaning the two cannot be the same. It provides that no defence is available where “the accused, </w:t>
      </w:r>
      <w:r w:rsidRPr="00E13133">
        <w:rPr>
          <w:rFonts w:cs="Times New Roman"/>
          <w:iCs/>
          <w:u w:val="single"/>
        </w:rPr>
        <w:t>by reason of self</w:t>
      </w:r>
      <w:r w:rsidRPr="00E13133">
        <w:rPr>
          <w:rFonts w:cs="Times New Roman"/>
          <w:iCs/>
          <w:u w:val="single"/>
        </w:rPr>
        <w:noBreakHyphen/>
        <w:t>induced intoxication</w:t>
      </w:r>
      <w:r w:rsidRPr="00E13133">
        <w:rPr>
          <w:rFonts w:cs="Times New Roman"/>
        </w:rPr>
        <w:t>, lacked the general intent or the voluntariness required to commit</w:t>
      </w:r>
      <w:r w:rsidRPr="00E13133">
        <w:rPr>
          <w:rFonts w:cs="Times New Roman"/>
          <w:iCs/>
        </w:rPr>
        <w:t xml:space="preserve"> </w:t>
      </w:r>
      <w:r w:rsidRPr="00E13133">
        <w:rPr>
          <w:rFonts w:cs="Times New Roman"/>
          <w:iCs/>
          <w:u w:val="single"/>
        </w:rPr>
        <w:t>the offence</w:t>
      </w:r>
      <w:r w:rsidRPr="00E13133">
        <w:rPr>
          <w:rFonts w:cs="Times New Roman"/>
        </w:rPr>
        <w:t>”. This is telling and clearly indicates that what Parliament sought was to impose liability for the charged offence, namely the assaultive behaviour, and not the act of self</w:t>
      </w:r>
      <w:r w:rsidRPr="00E13133">
        <w:rPr>
          <w:rFonts w:cs="Times New Roman"/>
        </w:rPr>
        <w:noBreakHyphen/>
        <w:t xml:space="preserve">induced intoxication itself. Furthermore, in </w:t>
      </w:r>
      <w:r w:rsidRPr="00E13133">
        <w:rPr>
          <w:rFonts w:cs="Times New Roman"/>
          <w:i/>
        </w:rPr>
        <w:t>R. v. Morrison</w:t>
      </w:r>
      <w:r w:rsidRPr="00E13133">
        <w:rPr>
          <w:rFonts w:cs="Times New Roman"/>
        </w:rPr>
        <w:t xml:space="preserve">, 2019 SCC 15, [2019] 2 S.C.R. 3, Moldaver J. interpreted the phrase “[i]t is not a defence” as precluding an independent pathway to conviction, as was similarly argued in that case (para. 82). Here, rather than an alternate route to liability, the word “defence” refers to a defence advanced by the accused that would entitle them to an acquittal. </w:t>
      </w:r>
    </w:p>
    <w:p w14:paraId="11E272C4" w14:textId="77777777" w:rsidR="00377DDF" w:rsidRPr="00E13133" w:rsidRDefault="00377DDF" w:rsidP="00377DDF">
      <w:pPr>
        <w:pStyle w:val="ParaNoNdepar-AltN"/>
        <w:rPr>
          <w:rFonts w:cs="Times New Roman"/>
        </w:rPr>
      </w:pPr>
      <w:r w:rsidRPr="00E13133">
        <w:rPr>
          <w:rFonts w:cs="Times New Roman"/>
        </w:rPr>
        <w:t>Counsel was unable to cite a single case in the 25</w:t>
      </w:r>
      <w:r w:rsidRPr="00E13133">
        <w:rPr>
          <w:rFonts w:cs="Times New Roman"/>
        </w:rPr>
        <w:noBreakHyphen/>
        <w:t xml:space="preserve">year history of s. 33.1 that adopted the interpretation proposed here by the Crown apart from the majority view of the Court of Appeal in this case. Counsel further acknowledged that the court in </w:t>
      </w:r>
      <w:r w:rsidRPr="00E13133">
        <w:rPr>
          <w:rFonts w:cs="Times New Roman"/>
          <w:i/>
        </w:rPr>
        <w:t xml:space="preserve">R. v. </w:t>
      </w:r>
      <w:r w:rsidRPr="00E13133">
        <w:rPr>
          <w:rFonts w:cs="Times New Roman"/>
          <w:i/>
          <w:iCs/>
        </w:rPr>
        <w:t>Vickberg</w:t>
      </w:r>
      <w:r w:rsidRPr="00E13133">
        <w:rPr>
          <w:rFonts w:cs="Times New Roman"/>
          <w:iCs/>
        </w:rPr>
        <w:t xml:space="preserve"> (1998), 16 C.R. (5th) 164 (B.C.S.C.)</w:t>
      </w:r>
      <w:r w:rsidRPr="00E13133">
        <w:rPr>
          <w:rFonts w:cs="Times New Roman"/>
        </w:rPr>
        <w:t xml:space="preserve"> — cited by LeBel J. with approval in </w:t>
      </w:r>
      <w:r w:rsidRPr="00E13133">
        <w:rPr>
          <w:rFonts w:cs="Times New Roman"/>
          <w:i/>
          <w:iCs/>
        </w:rPr>
        <w:t>Bouchard-Lebrun</w:t>
      </w:r>
      <w:r w:rsidRPr="00E13133">
        <w:rPr>
          <w:rFonts w:cs="Times New Roman"/>
        </w:rPr>
        <w:t>, at para. 89 — expressly rejected the reading of s. 33.1 he advanced (</w:t>
      </w:r>
      <w:r w:rsidRPr="00E13133">
        <w:rPr>
          <w:rFonts w:cs="Times New Roman"/>
          <w:i/>
          <w:iCs/>
        </w:rPr>
        <w:t>Sullivan</w:t>
      </w:r>
      <w:r w:rsidRPr="00E13133">
        <w:rPr>
          <w:rFonts w:cs="Times New Roman"/>
          <w:iCs/>
        </w:rPr>
        <w:t xml:space="preserve"> and </w:t>
      </w:r>
      <w:r w:rsidRPr="00E13133">
        <w:rPr>
          <w:rFonts w:cs="Times New Roman"/>
          <w:i/>
          <w:iCs/>
        </w:rPr>
        <w:t>Chan</w:t>
      </w:r>
      <w:r w:rsidRPr="00E13133">
        <w:rPr>
          <w:rFonts w:cs="Times New Roman"/>
          <w:iCs/>
        </w:rPr>
        <w:t xml:space="preserve"> appeals,</w:t>
      </w:r>
      <w:r w:rsidRPr="00E13133">
        <w:rPr>
          <w:rFonts w:cs="Times New Roman"/>
        </w:rPr>
        <w:t xml:space="preserve"> transcript, at pp. 30</w:t>
      </w:r>
      <w:r w:rsidRPr="00E13133">
        <w:rPr>
          <w:rFonts w:cs="Times New Roman"/>
        </w:rPr>
        <w:noBreakHyphen/>
        <w:t xml:space="preserve">31). In my view, </w:t>
      </w:r>
      <w:r w:rsidRPr="00E13133">
        <w:rPr>
          <w:rFonts w:cs="Times New Roman"/>
          <w:i/>
          <w:iCs/>
        </w:rPr>
        <w:t>Vickberg</w:t>
      </w:r>
      <w:r w:rsidRPr="00E13133">
        <w:rPr>
          <w:rFonts w:cs="Times New Roman"/>
        </w:rPr>
        <w:t xml:space="preserve"> rightly points to the failing of the Crown’s proposed interpretation and the reasoning offered in 1998 by Owen-Flood J. on this point remains compelling today: “The ‘marked departure’ language does not refer to the manner in which the accused got into the state of </w:t>
      </w:r>
      <w:proofErr w:type="gramStart"/>
      <w:r w:rsidRPr="00E13133">
        <w:rPr>
          <w:rFonts w:cs="Times New Roman"/>
        </w:rPr>
        <w:t>intoxication[</w:t>
      </w:r>
      <w:proofErr w:type="gramEnd"/>
      <w:r w:rsidRPr="00E13133">
        <w:rPr>
          <w:rFonts w:cs="Times New Roman"/>
        </w:rPr>
        <w:t xml:space="preserve">, it refers to] the interference with another’s bodily integrity while in that state” (para. 69). </w:t>
      </w:r>
    </w:p>
    <w:p w14:paraId="37597AF5" w14:textId="77777777" w:rsidR="00377DDF" w:rsidRPr="00E13133" w:rsidRDefault="00377DDF" w:rsidP="00377DDF">
      <w:pPr>
        <w:pStyle w:val="ParaNoNdepar-AltN"/>
        <w:rPr>
          <w:rFonts w:cs="Times New Roman"/>
        </w:rPr>
      </w:pPr>
      <w:r w:rsidRPr="00E13133">
        <w:rPr>
          <w:rFonts w:cs="Times New Roman"/>
        </w:rPr>
        <w:t xml:space="preserve">Neither can this Court “read in” that interpretation, as the Crown suggested, by relying on the marginal notes accompanying the legislation and the presumption of constitutionality. To do so would strain the meaning beyond what the text can plausibly bear. </w:t>
      </w:r>
      <w:r w:rsidRPr="00E13133">
        <w:rPr>
          <w:rFonts w:eastAsia="Times New Roman" w:cs="Times New Roman"/>
        </w:rPr>
        <w:t xml:space="preserve">In the </w:t>
      </w:r>
      <w:r w:rsidRPr="00E13133">
        <w:rPr>
          <w:rFonts w:eastAsia="Times New Roman" w:cs="Times New Roman"/>
          <w:i/>
          <w:iCs/>
        </w:rPr>
        <w:t>Sullivan</w:t>
      </w:r>
      <w:r w:rsidRPr="00E13133">
        <w:rPr>
          <w:rFonts w:eastAsia="Times New Roman" w:cs="Times New Roman"/>
          <w:iCs/>
        </w:rPr>
        <w:t xml:space="preserve"> and </w:t>
      </w:r>
      <w:r w:rsidRPr="00E13133">
        <w:rPr>
          <w:rFonts w:eastAsia="Times New Roman" w:cs="Times New Roman"/>
          <w:i/>
          <w:iCs/>
        </w:rPr>
        <w:t>Chan</w:t>
      </w:r>
      <w:r w:rsidRPr="00E13133">
        <w:rPr>
          <w:rFonts w:eastAsia="Times New Roman" w:cs="Times New Roman"/>
          <w:iCs/>
        </w:rPr>
        <w:t xml:space="preserve"> appeals</w:t>
      </w:r>
      <w:r w:rsidRPr="00E13133">
        <w:rPr>
          <w:rFonts w:eastAsia="Times New Roman" w:cs="Times New Roman"/>
        </w:rPr>
        <w:t>, Crown counsel pointed this Court to the marginal note in Bill C</w:t>
      </w:r>
      <w:r w:rsidRPr="00E13133">
        <w:rPr>
          <w:rFonts w:eastAsia="Times New Roman" w:cs="Times New Roman"/>
        </w:rPr>
        <w:noBreakHyphen/>
        <w:t>72 recorded next to s. 33.1(2) in support of its interpretation (transcript, at p. 7). The marginal note may well state “Criminal fault by reason of intoxication” but, however relevant it is in interpreting parliamentary intent, it cannot displace the plain language of s. 33.1. Whatever the marginal note might suggest, the text states that fault is determined not “</w:t>
      </w:r>
      <w:r w:rsidRPr="00E13133">
        <w:rPr>
          <w:rFonts w:eastAsia="Times New Roman" w:cs="Times New Roman"/>
          <w:i/>
          <w:iCs/>
        </w:rPr>
        <w:t>by reason</w:t>
      </w:r>
      <w:r w:rsidRPr="00E13133">
        <w:rPr>
          <w:rFonts w:eastAsia="Times New Roman" w:cs="Times New Roman"/>
        </w:rPr>
        <w:t>” of intoxication but instead “</w:t>
      </w:r>
      <w:r w:rsidRPr="00E13133">
        <w:rPr>
          <w:rFonts w:eastAsia="Times New Roman" w:cs="Times New Roman"/>
          <w:i/>
          <w:iCs/>
        </w:rPr>
        <w:t>while</w:t>
      </w:r>
      <w:r w:rsidRPr="00E13133">
        <w:rPr>
          <w:rFonts w:eastAsia="Times New Roman" w:cs="Times New Roman"/>
        </w:rPr>
        <w:t>” in a state of intoxication. The Crown’s reliance on the presumption of constitutionality is also undermined by the plain meaning of the section. The presumption cannot be relied upon in service of one interpretation where statutory language to the contrary is so clear (</w:t>
      </w:r>
      <w:r w:rsidRPr="00E13133">
        <w:rPr>
          <w:rFonts w:eastAsia="Times New Roman" w:cs="Times New Roman"/>
          <w:i/>
        </w:rPr>
        <w:t>Ontario v. Canadian Pacific Ltd.</w:t>
      </w:r>
      <w:r w:rsidRPr="00E13133">
        <w:rPr>
          <w:rFonts w:eastAsia="Times New Roman" w:cs="Times New Roman"/>
        </w:rPr>
        <w:t>, [1995] 2 S.C.R. 1031, at para. 15).</w:t>
      </w:r>
    </w:p>
    <w:p w14:paraId="7ECED3DB" w14:textId="77777777" w:rsidR="00377DDF" w:rsidRPr="00E13133" w:rsidRDefault="00377DDF" w:rsidP="00377DDF">
      <w:pPr>
        <w:pStyle w:val="Title3LevelTitre3Niveau"/>
        <w:rPr>
          <w:rFonts w:cs="Times New Roman"/>
        </w:rPr>
      </w:pPr>
      <w:r w:rsidRPr="00E13133">
        <w:rPr>
          <w:rFonts w:cs="Times New Roman"/>
        </w:rPr>
        <w:t xml:space="preserve">Breaches of Sections 7 and 11(d) of the </w:t>
      </w:r>
      <w:r w:rsidRPr="00E13133">
        <w:rPr>
          <w:rFonts w:cs="Times New Roman"/>
          <w:i/>
        </w:rPr>
        <w:t>Charter</w:t>
      </w:r>
    </w:p>
    <w:p w14:paraId="5FA26401" w14:textId="77777777" w:rsidR="00377DDF" w:rsidRPr="00E13133" w:rsidRDefault="00377DDF" w:rsidP="00377DDF">
      <w:pPr>
        <w:pStyle w:val="ParaNoNdepar-AltN"/>
        <w:rPr>
          <w:rFonts w:cs="Times New Roman"/>
        </w:rPr>
      </w:pPr>
      <w:r w:rsidRPr="00E13133">
        <w:rPr>
          <w:rFonts w:cs="Times New Roman"/>
        </w:rPr>
        <w:t>Section 33.1 thus applies whenever a person interferes with the bodily integrity of another while in a state of extreme intoxication akin to automatism, regardless of whether a loss of awareness or control or a risk of harm was foreseeable. This breaches ss. 7 and 11(</w:t>
      </w:r>
      <w:r w:rsidRPr="00E13133">
        <w:rPr>
          <w:rFonts w:cs="Times New Roman"/>
          <w:iCs/>
        </w:rPr>
        <w:t>d</w:t>
      </w:r>
      <w:r w:rsidRPr="00E13133">
        <w:rPr>
          <w:rFonts w:cs="Times New Roman"/>
        </w:rPr>
        <w:t xml:space="preserve">) of the </w:t>
      </w:r>
      <w:r w:rsidRPr="00E13133">
        <w:rPr>
          <w:rFonts w:cs="Times New Roman"/>
          <w:i/>
          <w:iCs/>
        </w:rPr>
        <w:t>Charter</w:t>
      </w:r>
      <w:r w:rsidRPr="00E13133">
        <w:rPr>
          <w:rFonts w:cs="Times New Roman"/>
        </w:rPr>
        <w:t xml:space="preserve">, even if one accepts Sopinka J.’s premise in </w:t>
      </w:r>
      <w:r w:rsidRPr="00E13133">
        <w:rPr>
          <w:rFonts w:cs="Times New Roman"/>
          <w:i/>
        </w:rPr>
        <w:t>Daviault</w:t>
      </w:r>
      <w:r w:rsidRPr="00E13133">
        <w:rPr>
          <w:rFonts w:cs="Times New Roman"/>
        </w:rPr>
        <w:t xml:space="preserve"> that individuals who create the conditions for their loss of control may be in some way morally blameworthy. </w:t>
      </w:r>
    </w:p>
    <w:p w14:paraId="73E3667B" w14:textId="77777777" w:rsidR="00377DDF" w:rsidRPr="00E13133" w:rsidRDefault="00377DDF" w:rsidP="00377DDF">
      <w:pPr>
        <w:pStyle w:val="Title4LevelTitre4Niveau"/>
        <w:rPr>
          <w:rFonts w:cs="Times New Roman"/>
        </w:rPr>
      </w:pPr>
      <w:r w:rsidRPr="00E13133">
        <w:rPr>
          <w:rFonts w:cs="Times New Roman"/>
        </w:rPr>
        <w:t>Mens Rea as Required by Section 7</w:t>
      </w:r>
    </w:p>
    <w:p w14:paraId="75DF8101" w14:textId="77777777" w:rsidR="00377DDF" w:rsidRPr="00E13133" w:rsidRDefault="00377DDF" w:rsidP="00377DDF">
      <w:pPr>
        <w:pStyle w:val="ParaNoNdepar-AltN"/>
        <w:rPr>
          <w:rFonts w:cs="Times New Roman"/>
        </w:rPr>
      </w:pPr>
      <w:r w:rsidRPr="00E13133">
        <w:rPr>
          <w:rFonts w:cs="Times New Roman"/>
        </w:rPr>
        <w:t>It is a principle of fundamental justice that proof of penal negligence, in the form of a marked departure from the standard of a reasonable person, is minimally required for a criminal conviction, unless the specific nature of the crime demands subjective fault (</w:t>
      </w:r>
      <w:r w:rsidRPr="00E13133">
        <w:rPr>
          <w:rFonts w:cs="Times New Roman"/>
          <w:i/>
        </w:rPr>
        <w:t>Creighton</w:t>
      </w:r>
      <w:r w:rsidRPr="00E13133">
        <w:rPr>
          <w:rFonts w:cs="Times New Roman"/>
        </w:rPr>
        <w:t>, at pp. 61</w:t>
      </w:r>
      <w:r w:rsidRPr="00E13133">
        <w:rPr>
          <w:rFonts w:cs="Times New Roman"/>
        </w:rPr>
        <w:noBreakHyphen/>
        <w:t xml:space="preserve">62; </w:t>
      </w:r>
      <w:r w:rsidRPr="00E13133">
        <w:rPr>
          <w:rFonts w:cs="Times New Roman"/>
          <w:i/>
        </w:rPr>
        <w:t>Vaillancourt</w:t>
      </w:r>
      <w:r w:rsidRPr="00E13133">
        <w:rPr>
          <w:rFonts w:cs="Times New Roman"/>
        </w:rPr>
        <w:t>, at pp. 653</w:t>
      </w:r>
      <w:r w:rsidRPr="00E13133">
        <w:rPr>
          <w:rFonts w:cs="Times New Roman"/>
        </w:rPr>
        <w:noBreakHyphen/>
        <w:t xml:space="preserve">54; </w:t>
      </w:r>
      <w:r w:rsidRPr="00E13133">
        <w:rPr>
          <w:rFonts w:cs="Times New Roman"/>
          <w:i/>
        </w:rPr>
        <w:t>DeSousa</w:t>
      </w:r>
      <w:r w:rsidRPr="00E13133">
        <w:rPr>
          <w:rFonts w:cs="Times New Roman"/>
        </w:rPr>
        <w:t>, at p. 962). If the offence takes the form of a predicate act offence, objective foreseeability of harm can be constitutionally sufficient (</w:t>
      </w:r>
      <w:r w:rsidRPr="00E13133">
        <w:rPr>
          <w:rFonts w:cs="Times New Roman"/>
          <w:i/>
        </w:rPr>
        <w:t>DeSousa</w:t>
      </w:r>
      <w:r w:rsidRPr="00E13133">
        <w:rPr>
          <w:rFonts w:cs="Times New Roman"/>
        </w:rPr>
        <w:t>, at p. 962).</w:t>
      </w:r>
    </w:p>
    <w:p w14:paraId="1A64FB2D" w14:textId="77777777" w:rsidR="00377DDF" w:rsidRPr="00E13133" w:rsidRDefault="00377DDF" w:rsidP="00377DDF">
      <w:pPr>
        <w:pStyle w:val="ParaNoNdepar-AltN"/>
        <w:rPr>
          <w:rFonts w:cs="Times New Roman"/>
        </w:rPr>
      </w:pPr>
      <w:r w:rsidRPr="00E13133">
        <w:rPr>
          <w:rFonts w:cs="Times New Roman"/>
        </w:rPr>
        <w:t>Section 33.1 requires, for its proper application, an intention to become intoxicated. As noted, the term “self</w:t>
      </w:r>
      <w:r w:rsidRPr="00E13133">
        <w:rPr>
          <w:rFonts w:cs="Times New Roman"/>
        </w:rPr>
        <w:noBreakHyphen/>
        <w:t>induced intoxication” has been interpreted to mean voluntarily ingesting a substance that one knows or ought to have known is an intoxicant, in circumstances where the risk of becoming intoxicated is or should be within contemplation (</w:t>
      </w:r>
      <w:r w:rsidRPr="00E13133">
        <w:rPr>
          <w:rFonts w:cs="Times New Roman"/>
          <w:i/>
        </w:rPr>
        <w:t>Chaulk (2007)</w:t>
      </w:r>
      <w:r w:rsidRPr="00E13133">
        <w:rPr>
          <w:rFonts w:cs="Times New Roman"/>
        </w:rPr>
        <w:t xml:space="preserve">, at para. 47). Yet, as LeBel J. observed in his interpretation of s. 33.1 in </w:t>
      </w:r>
      <w:r w:rsidRPr="00E13133">
        <w:rPr>
          <w:rFonts w:cs="Times New Roman"/>
          <w:i/>
          <w:iCs/>
        </w:rPr>
        <w:t>Bouchard</w:t>
      </w:r>
      <w:r w:rsidRPr="00E13133">
        <w:rPr>
          <w:rFonts w:cs="Times New Roman"/>
          <w:i/>
        </w:rPr>
        <w:noBreakHyphen/>
      </w:r>
      <w:r w:rsidRPr="00E13133">
        <w:rPr>
          <w:rFonts w:cs="Times New Roman"/>
          <w:i/>
          <w:iCs/>
        </w:rPr>
        <w:t>Lebrun</w:t>
      </w:r>
      <w:r w:rsidRPr="00E13133">
        <w:rPr>
          <w:rFonts w:cs="Times New Roman"/>
        </w:rPr>
        <w:t>, “no distinction based on the seriousness of the effects of self</w:t>
      </w:r>
      <w:r w:rsidRPr="00E13133">
        <w:rPr>
          <w:rFonts w:cs="Times New Roman"/>
        </w:rPr>
        <w:noBreakHyphen/>
        <w:t xml:space="preserve">induced intoxication is drawn in this provision” (para. 91). In other words, it matters little that a person did not foresee their loss of awareness or control. Moreover, nothing is said about the licit or illicit nature of the intoxicant or its known properties. Intention to become intoxicated to any degree suffices. </w:t>
      </w:r>
    </w:p>
    <w:p w14:paraId="2F04B1E9" w14:textId="77777777" w:rsidR="00377DDF" w:rsidRPr="00E13133" w:rsidRDefault="00377DDF" w:rsidP="00377DDF">
      <w:pPr>
        <w:pStyle w:val="ParaNoNdepar-AltN"/>
        <w:rPr>
          <w:rFonts w:cs="Times New Roman"/>
        </w:rPr>
      </w:pPr>
      <w:r w:rsidRPr="00E13133">
        <w:rPr>
          <w:rFonts w:cs="Times New Roman"/>
        </w:rPr>
        <w:t>For this reason, while the provision applies to those who recklessly invite their loss of control, it also captures the sudden and unexpected onset of involuntariness produced by “self-induced intoxication”, for example the patient who experiences an overwhelming and unexpected reaction to a prescribed pain medication and injures another in a state of involuntariness. The patient may have intended to experience the ordinary pain relief effects of the medication, but in those circumstances it would be beyond the contemplation of a reasonable person to foresee a loss of control or awareness of their behaviour.</w:t>
      </w:r>
    </w:p>
    <w:p w14:paraId="6229F2D6" w14:textId="77777777" w:rsidR="00377DDF" w:rsidRPr="00E13133" w:rsidRDefault="00377DDF" w:rsidP="00377DDF">
      <w:pPr>
        <w:pStyle w:val="ParaNoNdepar-AltN"/>
        <w:rPr>
          <w:rFonts w:cs="Times New Roman"/>
          <w:lang w:val="en-US"/>
        </w:rPr>
      </w:pPr>
      <w:r w:rsidRPr="00E13133">
        <w:rPr>
          <w:rFonts w:cs="Times New Roman"/>
        </w:rPr>
        <w:t>Section 33.1 also imposes criminal liability where a person’s intoxication carries no objective foreseeability of harm. Just as it draws no distinction based on the seriousness of the effects of intoxication, neither does s. 33.1 draw any distinction based on the risk of harm, which may vary depending on the intoxicant in question. It is certainly true that some inherently risky forms of self</w:t>
      </w:r>
      <w:r w:rsidRPr="00E13133">
        <w:rPr>
          <w:rFonts w:cs="Times New Roman"/>
        </w:rPr>
        <w:noBreakHyphen/>
        <w:t xml:space="preserve">intoxication — such as mixing alcohol with dangerous street drugs — may carry reasonably foreseeable harm. </w:t>
      </w:r>
      <w:r w:rsidRPr="00E13133">
        <w:rPr>
          <w:rFonts w:cs="Times New Roman"/>
          <w:lang w:val="en-US"/>
        </w:rPr>
        <w:t xml:space="preserve">The difficulty is that s. 33.1 applies even where the intoxicant in question is typically known for its relaxing or therapeutic properties: </w:t>
      </w:r>
      <w:r w:rsidRPr="00E13133">
        <w:rPr>
          <w:rFonts w:cs="Times New Roman"/>
        </w:rPr>
        <w:t>[</w:t>
      </w:r>
      <w:r w:rsidRPr="00E13133">
        <w:rPr>
          <w:rFonts w:cs="Times New Roman"/>
          <w:smallCaps/>
        </w:rPr>
        <w:t>translation</w:t>
      </w:r>
      <w:r w:rsidRPr="00E13133">
        <w:rPr>
          <w:rFonts w:cs="Times New Roman"/>
        </w:rPr>
        <w:t>] “</w:t>
      </w:r>
      <w:r>
        <w:rPr>
          <w:rFonts w:cs="Times New Roman"/>
        </w:rPr>
        <w:t xml:space="preserve">. . . </w:t>
      </w:r>
      <w:r w:rsidRPr="00E13133">
        <w:rPr>
          <w:rFonts w:cs="Times New Roman"/>
        </w:rPr>
        <w:t>the provision seems capable of applying to people who have done little or nothing for which they can be reproached”</w:t>
      </w:r>
      <w:r w:rsidRPr="00E13133">
        <w:rPr>
          <w:rFonts w:cs="Times New Roman"/>
          <w:lang w:val="en-US"/>
        </w:rPr>
        <w:t xml:space="preserve"> (H. Parent, “La </w:t>
      </w:r>
      <w:proofErr w:type="spellStart"/>
      <w:r w:rsidRPr="00E13133">
        <w:rPr>
          <w:rFonts w:cs="Times New Roman"/>
          <w:lang w:val="en-US"/>
        </w:rPr>
        <w:t>constitutionnalité</w:t>
      </w:r>
      <w:proofErr w:type="spellEnd"/>
      <w:r w:rsidRPr="00E13133">
        <w:rPr>
          <w:rFonts w:cs="Times New Roman"/>
          <w:lang w:val="en-US"/>
        </w:rPr>
        <w:t xml:space="preserve"> de </w:t>
      </w:r>
      <w:proofErr w:type="spellStart"/>
      <w:r w:rsidRPr="00E13133">
        <w:rPr>
          <w:rFonts w:cs="Times New Roman"/>
          <w:lang w:val="en-US"/>
        </w:rPr>
        <w:t>l’article</w:t>
      </w:r>
      <w:proofErr w:type="spellEnd"/>
      <w:r w:rsidRPr="00E13133">
        <w:rPr>
          <w:rFonts w:cs="Times New Roman"/>
          <w:lang w:val="en-US"/>
        </w:rPr>
        <w:t xml:space="preserve"> 33.1 du </w:t>
      </w:r>
      <w:r w:rsidRPr="0061189C">
        <w:rPr>
          <w:rFonts w:cs="Times New Roman"/>
          <w:lang w:val="en-US"/>
        </w:rPr>
        <w:t xml:space="preserve">Code </w:t>
      </w:r>
      <w:proofErr w:type="spellStart"/>
      <w:r w:rsidRPr="0061189C">
        <w:rPr>
          <w:rFonts w:cs="Times New Roman"/>
          <w:lang w:val="en-US"/>
        </w:rPr>
        <w:t>criminel</w:t>
      </w:r>
      <w:proofErr w:type="spellEnd"/>
      <w:r w:rsidRPr="0061189C">
        <w:rPr>
          <w:rFonts w:cs="Times New Roman"/>
          <w:lang w:val="en-US"/>
        </w:rPr>
        <w:t>:</w:t>
      </w:r>
      <w:r w:rsidRPr="00E13133">
        <w:rPr>
          <w:rFonts w:cs="Times New Roman"/>
          <w:lang w:val="en-US"/>
        </w:rPr>
        <w:t xml:space="preserve"> </w:t>
      </w:r>
      <w:proofErr w:type="spellStart"/>
      <w:r w:rsidRPr="00E13133">
        <w:rPr>
          <w:rFonts w:cs="Times New Roman"/>
          <w:lang w:val="en-US"/>
        </w:rPr>
        <w:t>analyse</w:t>
      </w:r>
      <w:proofErr w:type="spellEnd"/>
      <w:r w:rsidRPr="00E13133">
        <w:rPr>
          <w:rFonts w:cs="Times New Roman"/>
          <w:lang w:val="en-US"/>
        </w:rPr>
        <w:t xml:space="preserve"> et </w:t>
      </w:r>
      <w:proofErr w:type="spellStart"/>
      <w:r w:rsidRPr="00E13133">
        <w:rPr>
          <w:rFonts w:cs="Times New Roman"/>
          <w:lang w:val="en-US"/>
        </w:rPr>
        <w:t>commentaires</w:t>
      </w:r>
      <w:proofErr w:type="spellEnd"/>
      <w:r w:rsidRPr="00E13133">
        <w:rPr>
          <w:rFonts w:cs="Times New Roman"/>
          <w:lang w:val="en-US"/>
        </w:rPr>
        <w:t xml:space="preserve">” (2022), 26 </w:t>
      </w:r>
      <w:r w:rsidRPr="00E13133">
        <w:rPr>
          <w:rFonts w:cs="Times New Roman"/>
          <w:i/>
          <w:lang w:val="en-US"/>
        </w:rPr>
        <w:t xml:space="preserve">Can. Crim. L. Rev. </w:t>
      </w:r>
      <w:r w:rsidRPr="00E13133">
        <w:rPr>
          <w:rFonts w:cs="Times New Roman"/>
          <w:lang w:val="en-US"/>
        </w:rPr>
        <w:t>175, at p. 190). Forms of self</w:t>
      </w:r>
      <w:r w:rsidRPr="00E13133">
        <w:rPr>
          <w:rFonts w:cs="Times New Roman"/>
          <w:lang w:val="en-US"/>
        </w:rPr>
        <w:noBreakHyphen/>
        <w:t>intoxication that carry reasonably foreseeable harm are more blameworthy than those that do not because the individual has proceeded in spite of the known risks. Yet s. 33.1 captures both indifferently on the premise that all extreme self-intoxication is blameworthy.</w:t>
      </w:r>
    </w:p>
    <w:p w14:paraId="7E55E89C" w14:textId="77777777" w:rsidR="00377DDF" w:rsidRPr="00E13133" w:rsidRDefault="00377DDF" w:rsidP="00377DDF">
      <w:pPr>
        <w:pStyle w:val="ParaNoNdepar-AltN"/>
        <w:rPr>
          <w:rFonts w:cs="Times New Roman"/>
          <w:lang w:val="en-US"/>
        </w:rPr>
      </w:pPr>
      <w:r w:rsidRPr="00E13133">
        <w:rPr>
          <w:rFonts w:cs="Times New Roman"/>
        </w:rPr>
        <w:t xml:space="preserve">Additionally, even where an offence criminalizes an inherently dangerous activity, the trier of fact must not simply infer a marked departure from the standard of care (see, e.g., </w:t>
      </w:r>
      <w:r w:rsidRPr="00E13133">
        <w:rPr>
          <w:rFonts w:cs="Times New Roman"/>
          <w:i/>
          <w:iCs/>
        </w:rPr>
        <w:t>R. v. Beatty</w:t>
      </w:r>
      <w:r w:rsidRPr="00E13133">
        <w:rPr>
          <w:rFonts w:cs="Times New Roman"/>
        </w:rPr>
        <w:t>, 2008 SCC 5, [2008] 1 S.C.R. 49;</w:t>
      </w:r>
      <w:r w:rsidRPr="00E13133">
        <w:rPr>
          <w:rFonts w:cs="Times New Roman"/>
          <w:i/>
          <w:iCs/>
        </w:rPr>
        <w:t xml:space="preserve"> Roy</w:t>
      </w:r>
      <w:r w:rsidRPr="00E13133">
        <w:rPr>
          <w:rFonts w:cs="Times New Roman"/>
          <w:iCs/>
        </w:rPr>
        <w:t>)</w:t>
      </w:r>
      <w:r w:rsidRPr="00E13133">
        <w:rPr>
          <w:rFonts w:cs="Times New Roman"/>
        </w:rPr>
        <w:t xml:space="preserve">. It must still be asked whether, first, a reasonable person would have foreseen the risk and taken steps to avoid it and, second, whether the failure to do so amounted to a marked departure from the standard of care expected of a reasonable person in the circumstances. </w:t>
      </w:r>
      <w:r w:rsidRPr="00E13133">
        <w:rPr>
          <w:rFonts w:cs="Times New Roman"/>
          <w:lang w:val="en-US"/>
        </w:rPr>
        <w:t xml:space="preserve">As Professor Parent has observed, </w:t>
      </w:r>
      <w:r w:rsidRPr="00E13133">
        <w:rPr>
          <w:rFonts w:cs="Times New Roman"/>
        </w:rPr>
        <w:t>[</w:t>
      </w:r>
      <w:r w:rsidRPr="00E13133">
        <w:rPr>
          <w:rFonts w:cs="Times New Roman"/>
          <w:smallCaps/>
        </w:rPr>
        <w:t>translation</w:t>
      </w:r>
      <w:r w:rsidRPr="00E13133">
        <w:rPr>
          <w:rFonts w:cs="Times New Roman"/>
        </w:rPr>
        <w:t>] “the danger of convicting a person who does not evince ‘sufficient blameworthiness to support a finding of penal liability’ is indeed real”</w:t>
      </w:r>
      <w:r w:rsidRPr="00E13133">
        <w:rPr>
          <w:rFonts w:cs="Times New Roman"/>
          <w:lang w:val="en-US"/>
        </w:rPr>
        <w:t xml:space="preserve"> (p. 191, quoting </w:t>
      </w:r>
      <w:r w:rsidRPr="00E13133">
        <w:rPr>
          <w:rFonts w:cs="Times New Roman"/>
          <w:i/>
          <w:lang w:val="en-US"/>
        </w:rPr>
        <w:t>Beatty</w:t>
      </w:r>
      <w:r w:rsidRPr="00E13133">
        <w:rPr>
          <w:rFonts w:cs="Times New Roman"/>
          <w:lang w:val="en-US"/>
        </w:rPr>
        <w:t>, at para. 33).</w:t>
      </w:r>
    </w:p>
    <w:p w14:paraId="40C9A5F4" w14:textId="77777777" w:rsidR="00377DDF" w:rsidRPr="00E13133" w:rsidRDefault="00377DDF" w:rsidP="00377DDF">
      <w:pPr>
        <w:pStyle w:val="ParaNoNdepar-AltN"/>
        <w:rPr>
          <w:rFonts w:cs="Times New Roman"/>
        </w:rPr>
      </w:pPr>
      <w:r w:rsidRPr="00E13133">
        <w:rPr>
          <w:rFonts w:cs="Times New Roman"/>
        </w:rPr>
        <w:t>Instead, s. 33.1 deems a person to have departed markedly from the standard of care expected in Canadian society whenever a violent act occurs while the person is in a state of extreme voluntary intoxication akin to automatism. This is so even where a loss of control or awareness of one’s behaviour and a risk of harm was unforeseeable and even where the accused’s conduct did not in fact depart markedly from the standard of a reasonable person. In doing so, s. 33.1 runs afoul of the principle of fundamental justice that penal liability requires proof of fault reflecting the offence and punishment faced by the accused (</w:t>
      </w:r>
      <w:r w:rsidRPr="00E13133">
        <w:rPr>
          <w:rFonts w:cs="Times New Roman"/>
          <w:i/>
          <w:iCs/>
        </w:rPr>
        <w:t>Motor Vehicle Reference</w:t>
      </w:r>
      <w:r w:rsidRPr="00E13133">
        <w:rPr>
          <w:rFonts w:cs="Times New Roman"/>
        </w:rPr>
        <w:t>, at pp. 513</w:t>
      </w:r>
      <w:r w:rsidRPr="00E13133">
        <w:rPr>
          <w:rFonts w:cs="Times New Roman"/>
        </w:rPr>
        <w:noBreakHyphen/>
        <w:t xml:space="preserve">15; </w:t>
      </w:r>
      <w:r w:rsidRPr="00E13133">
        <w:rPr>
          <w:rFonts w:cs="Times New Roman"/>
          <w:i/>
          <w:iCs/>
        </w:rPr>
        <w:t>Vaillancourt</w:t>
      </w:r>
      <w:r w:rsidRPr="00E13133">
        <w:rPr>
          <w:rFonts w:cs="Times New Roman"/>
        </w:rPr>
        <w:t>, at pp. 653</w:t>
      </w:r>
      <w:r w:rsidRPr="00E13133">
        <w:rPr>
          <w:rFonts w:cs="Times New Roman"/>
        </w:rPr>
        <w:noBreakHyphen/>
        <w:t xml:space="preserve">54). Since s. 33.1 allows a court to convict an accused without proof of the constitutionally required </w:t>
      </w:r>
      <w:r w:rsidRPr="00E13133">
        <w:rPr>
          <w:rFonts w:cs="Times New Roman"/>
          <w:i/>
        </w:rPr>
        <w:t>mens rea</w:t>
      </w:r>
      <w:r w:rsidRPr="00E13133">
        <w:rPr>
          <w:rFonts w:cs="Times New Roman"/>
        </w:rPr>
        <w:t>, s. 33.1 violates s. 7 (</w:t>
      </w:r>
      <w:r w:rsidRPr="00E13133">
        <w:rPr>
          <w:rFonts w:cs="Times New Roman"/>
          <w:i/>
        </w:rPr>
        <w:t>Daviault</w:t>
      </w:r>
      <w:r w:rsidRPr="00E13133">
        <w:rPr>
          <w:rFonts w:cs="Times New Roman"/>
        </w:rPr>
        <w:t xml:space="preserve">, at p. 90). By allowing courts to convict individuals of a crime without proof of </w:t>
      </w:r>
      <w:r w:rsidRPr="00E13133">
        <w:rPr>
          <w:rFonts w:cs="Times New Roman"/>
          <w:i/>
        </w:rPr>
        <w:t>mens rea</w:t>
      </w:r>
      <w:r w:rsidRPr="00E13133">
        <w:rPr>
          <w:rFonts w:cs="Times New Roman"/>
        </w:rPr>
        <w:t xml:space="preserve">, s. 33.1 turns those offences, which carry the possibility of imprisonment, into what amounts to absolute liability offences, contrary to s. 7 of the </w:t>
      </w:r>
      <w:r w:rsidRPr="00E13133">
        <w:rPr>
          <w:rFonts w:cs="Times New Roman"/>
          <w:i/>
        </w:rPr>
        <w:t>Charter</w:t>
      </w:r>
      <w:r w:rsidRPr="00E13133">
        <w:rPr>
          <w:rFonts w:cs="Times New Roman"/>
        </w:rPr>
        <w:t xml:space="preserve"> (</w:t>
      </w:r>
      <w:r w:rsidRPr="00E13133">
        <w:rPr>
          <w:rFonts w:cs="Times New Roman"/>
          <w:i/>
        </w:rPr>
        <w:t>Motor Vehicle Reference</w:t>
      </w:r>
      <w:r w:rsidRPr="00E13133">
        <w:rPr>
          <w:rFonts w:cs="Times New Roman"/>
        </w:rPr>
        <w:t>, at p. 515).</w:t>
      </w:r>
    </w:p>
    <w:p w14:paraId="12F05018" w14:textId="77777777" w:rsidR="00377DDF" w:rsidRPr="00E13133" w:rsidRDefault="00377DDF" w:rsidP="00377DDF">
      <w:pPr>
        <w:pStyle w:val="Title4LevelTitre4Niveau"/>
        <w:rPr>
          <w:rFonts w:cs="Times New Roman"/>
        </w:rPr>
      </w:pPr>
      <w:r w:rsidRPr="00E13133">
        <w:rPr>
          <w:rFonts w:cs="Times New Roman"/>
        </w:rPr>
        <w:t>Voluntariness as Required by Section 7</w:t>
      </w:r>
    </w:p>
    <w:p w14:paraId="283D6304" w14:textId="77777777" w:rsidR="00377DDF" w:rsidRPr="00E13133" w:rsidRDefault="00377DDF" w:rsidP="00377DDF">
      <w:pPr>
        <w:pStyle w:val="ParaNoNdepar-AltN"/>
        <w:rPr>
          <w:rFonts w:cs="Times New Roman"/>
        </w:rPr>
      </w:pPr>
      <w:r w:rsidRPr="00E13133">
        <w:rPr>
          <w:rFonts w:cs="Times New Roman"/>
        </w:rPr>
        <w:t xml:space="preserve">Section 33.1 also directs that an accused person is criminally responsible for their involuntary conduct. Because involuntariness negates the </w:t>
      </w:r>
      <w:r w:rsidRPr="00E13133">
        <w:rPr>
          <w:rFonts w:cs="Times New Roman"/>
          <w:i/>
          <w:iCs/>
        </w:rPr>
        <w:t xml:space="preserve">actus </w:t>
      </w:r>
      <w:proofErr w:type="gramStart"/>
      <w:r w:rsidRPr="00E13133">
        <w:rPr>
          <w:rFonts w:cs="Times New Roman"/>
          <w:i/>
          <w:iCs/>
        </w:rPr>
        <w:t>reus</w:t>
      </w:r>
      <w:proofErr w:type="gramEnd"/>
      <w:r w:rsidRPr="00E13133">
        <w:rPr>
          <w:rFonts w:cs="Times New Roman"/>
        </w:rPr>
        <w:t xml:space="preserve"> of the offence, involuntary conduct is not criminal, and Canadian law recognizes that the requirement of voluntariness for the conviction of a crime is a principle of fundamental justice (</w:t>
      </w:r>
      <w:proofErr w:type="spellStart"/>
      <w:r w:rsidRPr="00E13133">
        <w:rPr>
          <w:rFonts w:cs="Times New Roman"/>
          <w:i/>
          <w:iCs/>
        </w:rPr>
        <w:t>Luedecke</w:t>
      </w:r>
      <w:proofErr w:type="spellEnd"/>
      <w:r w:rsidRPr="00E13133">
        <w:rPr>
          <w:rFonts w:cs="Times New Roman"/>
        </w:rPr>
        <w:t xml:space="preserve">, at para. 53; </w:t>
      </w:r>
      <w:r w:rsidRPr="00E13133">
        <w:rPr>
          <w:rFonts w:cs="Times New Roman"/>
          <w:i/>
          <w:iCs/>
        </w:rPr>
        <w:t>Daviault</w:t>
      </w:r>
      <w:r w:rsidRPr="00E13133">
        <w:rPr>
          <w:rFonts w:cs="Times New Roman"/>
        </w:rPr>
        <w:t>, at pp. 91</w:t>
      </w:r>
      <w:r w:rsidRPr="00E13133">
        <w:rPr>
          <w:rFonts w:cs="Times New Roman"/>
        </w:rPr>
        <w:noBreakHyphen/>
        <w:t>92). Mr. Brown was convicted by the Court of Appeal of aggravated assault, for actions that he did not commit voluntarily. This breaches s. 7.</w:t>
      </w:r>
    </w:p>
    <w:p w14:paraId="560C5011" w14:textId="77777777" w:rsidR="00377DDF" w:rsidRPr="00E13133" w:rsidRDefault="00377DDF" w:rsidP="00377DDF">
      <w:pPr>
        <w:pStyle w:val="ParaNoNdepar-AltN"/>
        <w:rPr>
          <w:rFonts w:cs="Times New Roman"/>
        </w:rPr>
      </w:pPr>
      <w:r w:rsidRPr="00E13133">
        <w:rPr>
          <w:rFonts w:cs="Times New Roman"/>
        </w:rPr>
        <w:t xml:space="preserve">There may be situations in which an accused should be answerable for their involuntary actions where they are to blame for the conditions that led to their involuntariness. In terms of physical involuntariness, Professors </w:t>
      </w:r>
      <w:proofErr w:type="spellStart"/>
      <w:r w:rsidRPr="00E13133">
        <w:rPr>
          <w:rFonts w:cs="Times New Roman"/>
        </w:rPr>
        <w:t>Plaxton</w:t>
      </w:r>
      <w:proofErr w:type="spellEnd"/>
      <w:r w:rsidRPr="00E13133">
        <w:rPr>
          <w:rFonts w:cs="Times New Roman"/>
        </w:rPr>
        <w:t xml:space="preserve"> and </w:t>
      </w:r>
      <w:proofErr w:type="spellStart"/>
      <w:r w:rsidRPr="00E13133">
        <w:rPr>
          <w:rFonts w:cs="Times New Roman"/>
        </w:rPr>
        <w:t>Mathen</w:t>
      </w:r>
      <w:proofErr w:type="spellEnd"/>
      <w:r w:rsidRPr="00E13133">
        <w:rPr>
          <w:rFonts w:cs="Times New Roman"/>
        </w:rPr>
        <w:t xml:space="preserve"> give the example of an accused experiencing an involuntary reflex and pulling the trigger of a gun deliberately and voluntarily pointed at a victim (p. 264). I disagree, however, with the view of Slatter J.A. that s. 33.1 operates in a similar manner when he wrote that “Parliament is entitled to establish criminal liability commencing at the stage that intoxicating substances are voluntarily consumed, where the risk of harm to other persons is self</w:t>
      </w:r>
      <w:r w:rsidRPr="00E13133">
        <w:rPr>
          <w:rFonts w:cs="Times New Roman"/>
        </w:rPr>
        <w:noBreakHyphen/>
        <w:t xml:space="preserve">created and objectively foreseeable” (para. 25, citing </w:t>
      </w:r>
      <w:proofErr w:type="spellStart"/>
      <w:r w:rsidRPr="00E13133">
        <w:rPr>
          <w:rFonts w:cs="Times New Roman"/>
          <w:i/>
          <w:iCs/>
        </w:rPr>
        <w:t>Penno</w:t>
      </w:r>
      <w:proofErr w:type="spellEnd"/>
      <w:r w:rsidRPr="00E13133">
        <w:rPr>
          <w:rFonts w:cs="Times New Roman"/>
        </w:rPr>
        <w:t>, at pp. 884</w:t>
      </w:r>
      <w:r w:rsidRPr="00E13133">
        <w:rPr>
          <w:rFonts w:cs="Times New Roman"/>
        </w:rPr>
        <w:noBreakHyphen/>
        <w:t>85 and 904). The gravamen of s. 33.1 is the violent conduct for which an accused person is charged — in the case of Mr. Brown, aggravated assault — and not the act of voluntarily consuming intoxicants.</w:t>
      </w:r>
    </w:p>
    <w:p w14:paraId="31687E2F" w14:textId="77777777" w:rsidR="00377DDF" w:rsidRPr="00E13133" w:rsidRDefault="00377DDF" w:rsidP="00377DDF">
      <w:pPr>
        <w:pStyle w:val="ParaNoNdepar-AltN"/>
        <w:rPr>
          <w:rFonts w:cs="Times New Roman"/>
          <w:lang w:val="en-US"/>
        </w:rPr>
      </w:pPr>
      <w:r w:rsidRPr="00E13133">
        <w:rPr>
          <w:rFonts w:cs="Times New Roman"/>
        </w:rPr>
        <w:t xml:space="preserve">It may be that the voluntariness problem could be avoided if Parliament legislated an offence of dangerous intoxication or intoxication causing harm that incorporates voluntary intoxication as an essential element — in this hypothetical offence, the gravamen of the offence is the voluntary intoxication, not the involuntary conduct that follows. </w:t>
      </w:r>
      <w:r w:rsidRPr="00E13133">
        <w:rPr>
          <w:rFonts w:cs="Times New Roman"/>
          <w:lang w:val="en-US"/>
        </w:rPr>
        <w:t xml:space="preserve">I recall that, in part, this was the invitation made by the majority of this Court in </w:t>
      </w:r>
      <w:r w:rsidRPr="00E13133">
        <w:rPr>
          <w:rFonts w:cs="Times New Roman"/>
          <w:i/>
          <w:iCs/>
          <w:lang w:val="en-US"/>
        </w:rPr>
        <w:t>Daviault</w:t>
      </w:r>
      <w:r w:rsidRPr="00E13133">
        <w:rPr>
          <w:rFonts w:cs="Times New Roman"/>
          <w:lang w:val="en-US"/>
        </w:rPr>
        <w:t xml:space="preserve"> (p. 100); a suggested avenue of legislative action that had also been noted nearly twenty years before the enactment of Bill C</w:t>
      </w:r>
      <w:r w:rsidRPr="00E13133">
        <w:rPr>
          <w:rFonts w:cs="Times New Roman"/>
          <w:szCs w:val="24"/>
          <w:lang w:val="en-US"/>
        </w:rPr>
        <w:noBreakHyphen/>
      </w:r>
      <w:r w:rsidRPr="00E13133">
        <w:rPr>
          <w:rFonts w:cs="Times New Roman"/>
          <w:lang w:val="en-US"/>
        </w:rPr>
        <w:t xml:space="preserve">72 by Dickson J., as he then was, in </w:t>
      </w:r>
      <w:r w:rsidRPr="00E13133">
        <w:rPr>
          <w:rFonts w:cs="Times New Roman"/>
          <w:i/>
          <w:iCs/>
          <w:lang w:val="en-US"/>
        </w:rPr>
        <w:t>Leary</w:t>
      </w:r>
      <w:r w:rsidRPr="00E13133">
        <w:rPr>
          <w:rFonts w:cs="Times New Roman"/>
          <w:lang w:val="en-US"/>
        </w:rPr>
        <w:t xml:space="preserve"> (“a crime of being drunk and dangerous”) (pp. 46</w:t>
      </w:r>
      <w:r w:rsidRPr="00E13133">
        <w:rPr>
          <w:rFonts w:cs="Times New Roman"/>
          <w:lang w:val="en-US"/>
        </w:rPr>
        <w:noBreakHyphen/>
        <w:t xml:space="preserve">47). I recall too that Paciocco J.A. signaled this option in </w:t>
      </w:r>
      <w:r w:rsidRPr="00E13133">
        <w:rPr>
          <w:rFonts w:cs="Times New Roman"/>
          <w:i/>
          <w:lang w:val="en-US"/>
        </w:rPr>
        <w:t>Sullivan</w:t>
      </w:r>
      <w:r w:rsidRPr="00E13133">
        <w:rPr>
          <w:rFonts w:cs="Times New Roman"/>
          <w:lang w:val="en-US"/>
        </w:rPr>
        <w:t xml:space="preserve">, as one that would not infringe the </w:t>
      </w:r>
      <w:r w:rsidRPr="00E13133">
        <w:rPr>
          <w:rFonts w:cs="Times New Roman"/>
          <w:i/>
          <w:lang w:val="en-US"/>
        </w:rPr>
        <w:t>Charter</w:t>
      </w:r>
      <w:r w:rsidRPr="00E13133">
        <w:rPr>
          <w:rFonts w:cs="Times New Roman"/>
          <w:lang w:val="en-US"/>
        </w:rPr>
        <w:t xml:space="preserve"> rights that s. 33.1 disregards: “It would criminalize”, he wrote, “the very act from which the Crown purports to derive the relevant moral fault, namely, the decision to become intoxicated in those cases where that intoxication proves, by the subsequent conduct of the accused, to have been dangerous” (para. 134). This, however, is not what Parliament enacted in that s. 33.1 exposes the accused to jeopardy for the underlying offence, not for extreme intoxication which is not, in itself, an unlawful act.</w:t>
      </w:r>
    </w:p>
    <w:p w14:paraId="10BD9B08" w14:textId="77777777" w:rsidR="00377DDF" w:rsidRPr="00E13133" w:rsidRDefault="00377DDF" w:rsidP="00377DDF">
      <w:pPr>
        <w:pStyle w:val="Title4LevelTitre4Niveau"/>
        <w:rPr>
          <w:rFonts w:cs="Times New Roman"/>
        </w:rPr>
      </w:pPr>
      <w:r w:rsidRPr="00E13133">
        <w:rPr>
          <w:rFonts w:cs="Times New Roman"/>
        </w:rPr>
        <w:t>Substitution as Prohibited by Section 11(d)</w:t>
      </w:r>
    </w:p>
    <w:p w14:paraId="54F14019" w14:textId="77777777" w:rsidR="00377DDF" w:rsidRPr="00E13133" w:rsidRDefault="00377DDF" w:rsidP="00377DDF">
      <w:pPr>
        <w:pStyle w:val="ParaNoNdepar-AltN"/>
        <w:rPr>
          <w:rFonts w:cs="Times New Roman"/>
          <w:lang w:val="en-US"/>
        </w:rPr>
      </w:pPr>
      <w:r w:rsidRPr="00E13133">
        <w:rPr>
          <w:rFonts w:cs="Times New Roman"/>
          <w:lang w:val="en-US"/>
        </w:rPr>
        <w:t>Section 11(</w:t>
      </w:r>
      <w:r w:rsidRPr="00E13133">
        <w:rPr>
          <w:rFonts w:cs="Times New Roman"/>
          <w:iCs/>
          <w:lang w:val="en-US"/>
        </w:rPr>
        <w:t>d</w:t>
      </w:r>
      <w:r w:rsidRPr="00E13133">
        <w:rPr>
          <w:rFonts w:cs="Times New Roman"/>
          <w:lang w:val="en-US"/>
        </w:rPr>
        <w:t xml:space="preserve">) of the </w:t>
      </w:r>
      <w:r w:rsidRPr="00E13133">
        <w:rPr>
          <w:rFonts w:cs="Times New Roman"/>
          <w:i/>
          <w:iCs/>
          <w:lang w:val="en-US"/>
        </w:rPr>
        <w:t>Charter</w:t>
      </w:r>
      <w:r w:rsidRPr="00E13133">
        <w:rPr>
          <w:rFonts w:cs="Times New Roman"/>
          <w:lang w:val="en-US"/>
        </w:rPr>
        <w:t xml:space="preserve"> guarantees the accused’s right to be presumed innocent until proven guilty. To convict the accused, the Crown must prove all the essential elements, including the requisite </w:t>
      </w:r>
      <w:r w:rsidRPr="00E13133">
        <w:rPr>
          <w:rFonts w:cs="Times New Roman"/>
          <w:i/>
          <w:iCs/>
          <w:lang w:val="en-US"/>
        </w:rPr>
        <w:t>mens rea</w:t>
      </w:r>
      <w:r w:rsidRPr="00E13133">
        <w:rPr>
          <w:rFonts w:cs="Times New Roman"/>
          <w:lang w:val="en-US"/>
        </w:rPr>
        <w:t xml:space="preserve"> for the offence, beyond a reasonable doubt. As my colleague Moldaver J. explained in </w:t>
      </w:r>
      <w:r w:rsidRPr="00E13133">
        <w:rPr>
          <w:rFonts w:cs="Times New Roman"/>
          <w:i/>
          <w:iCs/>
          <w:lang w:val="en-US"/>
        </w:rPr>
        <w:t>Morrison</w:t>
      </w:r>
      <w:r w:rsidRPr="00E13133">
        <w:rPr>
          <w:rFonts w:cs="Times New Roman"/>
          <w:lang w:val="en-US"/>
        </w:rPr>
        <w:t>, Parliament sometimes directs that proof of one fact is presumed to satisfy proof of one of the essential elements of the offence and this kind of substitution can comply with s. 11(</w:t>
      </w:r>
      <w:r w:rsidRPr="00E13133">
        <w:rPr>
          <w:rFonts w:cs="Times New Roman"/>
          <w:iCs/>
          <w:lang w:val="en-US"/>
        </w:rPr>
        <w:t>d</w:t>
      </w:r>
      <w:r w:rsidRPr="00E13133">
        <w:rPr>
          <w:rFonts w:cs="Times New Roman"/>
          <w:lang w:val="en-US"/>
        </w:rPr>
        <w:t>). Yet as he observed, the presumption of innocence will only be satisfied if proof of the substituted fact leads “inexorably” to the conclusion that the essential element it replaces exists (para. 52). This connection must hold true “in all cases” and not be based on a mere probability or common sense inference (para. 53). Otherwise, the substitution may result in the accused being convicted, based on proof of the substituted fact, despite the existence of a reasonable doubt as to the essential element of the offence that it replaces.</w:t>
      </w:r>
    </w:p>
    <w:p w14:paraId="4634CFC8" w14:textId="77777777" w:rsidR="00377DDF" w:rsidRPr="00E13133" w:rsidRDefault="00377DDF" w:rsidP="00377DDF">
      <w:pPr>
        <w:pStyle w:val="ParaNoNdepar-AltN"/>
        <w:rPr>
          <w:rFonts w:cs="Times New Roman"/>
        </w:rPr>
      </w:pPr>
      <w:r w:rsidRPr="00E13133">
        <w:rPr>
          <w:rFonts w:cs="Times New Roman"/>
        </w:rPr>
        <w:t xml:space="preserve">Many critics of </w:t>
      </w:r>
      <w:r w:rsidRPr="00E13133">
        <w:rPr>
          <w:rFonts w:cs="Times New Roman"/>
          <w:i/>
          <w:iCs/>
        </w:rPr>
        <w:t>Daviault</w:t>
      </w:r>
      <w:r w:rsidRPr="00E13133">
        <w:rPr>
          <w:rFonts w:cs="Times New Roman"/>
        </w:rPr>
        <w:t xml:space="preserve"> take the view that intoxication should aggravate, not excuse, the liability of someone who self</w:t>
      </w:r>
      <w:r w:rsidRPr="00E13133">
        <w:rPr>
          <w:rFonts w:cs="Times New Roman"/>
        </w:rPr>
        <w:noBreakHyphen/>
        <w:t xml:space="preserve">intoxicates and causes injury to another, even if their actions are involuntary (see discussion in P. Healy, “Criminal Reports Forum on Daviault: Extreme Intoxication Akin to Automatism Defence to Sexual Assault — Another Round on Intoxication” (1995), 33 C.R. (4th) 269, at p. 271). It is often argued that the fault attaching to a person who puts themselves in a situation where they lose control and cause harm to another by reason of voluntary intoxication sufficiently demonstrates fault for the violent act itself. </w:t>
      </w:r>
      <w:r w:rsidRPr="00E13133">
        <w:rPr>
          <w:rFonts w:cs="Times New Roman"/>
          <w:lang w:val="en-US"/>
        </w:rPr>
        <w:t xml:space="preserve">I recall the words of the Minister in Parliament quoted above who, after referencing the dissent in </w:t>
      </w:r>
      <w:r w:rsidRPr="00E13133">
        <w:rPr>
          <w:rFonts w:cs="Times New Roman"/>
          <w:i/>
          <w:iCs/>
          <w:lang w:val="en-US"/>
        </w:rPr>
        <w:t>Daviault</w:t>
      </w:r>
      <w:r w:rsidRPr="00E13133">
        <w:rPr>
          <w:rFonts w:cs="Times New Roman"/>
          <w:lang w:val="en-US"/>
        </w:rPr>
        <w:t>, noted that the blameworthiness in the act of voluntary intoxication can be sufficient to link it to criminal liability for the harm charged in the offence given the seriousness of that harm.</w:t>
      </w:r>
    </w:p>
    <w:p w14:paraId="7313F72E" w14:textId="77777777" w:rsidR="00377DDF" w:rsidRPr="00E13133" w:rsidRDefault="00377DDF" w:rsidP="00377DDF">
      <w:pPr>
        <w:pStyle w:val="ParaNoNdepar-AltN"/>
        <w:rPr>
          <w:rFonts w:cs="Times New Roman"/>
        </w:rPr>
      </w:pPr>
      <w:r w:rsidRPr="00E13133">
        <w:rPr>
          <w:rFonts w:cs="Times New Roman"/>
          <w:lang w:val="en-US"/>
        </w:rPr>
        <w:t>The Crown argues that s. 33.1 is not an instance of improper substitution, but instead a choice by Parliament to redefine the fault and voluntariness required for conviction of the underlying offence. Where violence ensues, the expression “self</w:t>
      </w:r>
      <w:r w:rsidRPr="00E13133">
        <w:rPr>
          <w:rFonts w:cs="Times New Roman"/>
          <w:lang w:val="en-US"/>
        </w:rPr>
        <w:noBreakHyphen/>
        <w:t xml:space="preserve">induced intoxication” in s. 33.1 includes a voluntariness component in that the accused is properly held responsible for the free choice to become extremely intoxicated. The term “self-induced” also provides the constitutionally required </w:t>
      </w:r>
      <w:r w:rsidRPr="00E13133">
        <w:rPr>
          <w:rFonts w:cs="Times New Roman"/>
          <w:i/>
          <w:iCs/>
          <w:lang w:val="en-US"/>
        </w:rPr>
        <w:t>mens rea</w:t>
      </w:r>
      <w:r w:rsidRPr="00E13133">
        <w:rPr>
          <w:rFonts w:cs="Times New Roman"/>
          <w:lang w:val="en-US"/>
        </w:rPr>
        <w:t>. It should be interpreted, says the Crown, to mean that the accused knew or ought to have known that the substance was an intoxicant and that the risk of becoming intoxicated was or should have been in their contemplation. Moreover, read together, s. 33.1(1) and (2) satisfy the requirements of criminal negligence of a marked departure from the standard of reasonable conduct through the voluntary act of becoming intoxicated.</w:t>
      </w:r>
    </w:p>
    <w:p w14:paraId="5FFEA382" w14:textId="77777777" w:rsidR="00377DDF" w:rsidRPr="00E13133" w:rsidRDefault="00377DDF" w:rsidP="00377DDF">
      <w:pPr>
        <w:pStyle w:val="ParaNoNdepar-AltN"/>
        <w:rPr>
          <w:rFonts w:cs="Times New Roman"/>
        </w:rPr>
      </w:pPr>
      <w:r w:rsidRPr="00E13133">
        <w:rPr>
          <w:rFonts w:cs="Times New Roman"/>
          <w:lang w:val="en-US"/>
        </w:rPr>
        <w:t>I disagree with the Crown. Mr. Brown is right to say that s. 33.1 improperly substitutes proof of self</w:t>
      </w:r>
      <w:r w:rsidRPr="00E13133">
        <w:rPr>
          <w:rFonts w:cs="Times New Roman"/>
          <w:lang w:val="en-US"/>
        </w:rPr>
        <w:noBreakHyphen/>
        <w:t xml:space="preserve">induced intoxication for proof of the essential elements of an offence, contrary to s. 11(d) of the </w:t>
      </w:r>
      <w:r w:rsidRPr="00E13133">
        <w:rPr>
          <w:rFonts w:cs="Times New Roman"/>
          <w:i/>
          <w:lang w:val="en-US"/>
        </w:rPr>
        <w:t>Charter</w:t>
      </w:r>
      <w:r w:rsidRPr="00E13133">
        <w:rPr>
          <w:rFonts w:cs="Times New Roman"/>
          <w:lang w:val="en-US"/>
        </w:rPr>
        <w:t>.</w:t>
      </w:r>
    </w:p>
    <w:p w14:paraId="46D39F8C" w14:textId="77777777" w:rsidR="00377DDF" w:rsidRPr="00E13133" w:rsidRDefault="00377DDF" w:rsidP="00377DDF">
      <w:pPr>
        <w:pStyle w:val="ParaNoNdepar-AltN"/>
        <w:rPr>
          <w:rFonts w:cs="Times New Roman"/>
        </w:rPr>
      </w:pPr>
      <w:r w:rsidRPr="00E13133">
        <w:rPr>
          <w:rFonts w:cs="Times New Roman"/>
        </w:rPr>
        <w:t xml:space="preserve">As noted, s. 33.1 unequivocally removes a defence that the accused lacked the general intent or voluntariness to commit the offence. Accordingly, the fault and voluntariness of intoxication are substituted by s. 33.1 for the fault and voluntariness of the violent offence. </w:t>
      </w:r>
      <w:r w:rsidRPr="00E13133">
        <w:rPr>
          <w:rFonts w:cs="Times New Roman"/>
          <w:lang w:val="en-US"/>
        </w:rPr>
        <w:t>The provision has been described as “a legislated form of guilt</w:t>
      </w:r>
      <w:r w:rsidRPr="00E13133">
        <w:rPr>
          <w:rFonts w:cs="Times New Roman"/>
          <w:lang w:val="en-US"/>
        </w:rPr>
        <w:noBreakHyphen/>
        <w:t>by</w:t>
      </w:r>
      <w:r w:rsidRPr="00E13133">
        <w:rPr>
          <w:rFonts w:cs="Times New Roman"/>
          <w:szCs w:val="24"/>
          <w:lang w:val="en-US"/>
        </w:rPr>
        <w:noBreakHyphen/>
      </w:r>
      <w:r w:rsidRPr="00E13133">
        <w:rPr>
          <w:rFonts w:cs="Times New Roman"/>
          <w:lang w:val="en-US"/>
        </w:rPr>
        <w:t>proxy” whereby the moral blameworthiness that one might associate with extreme self</w:t>
      </w:r>
      <w:r w:rsidRPr="00E13133">
        <w:rPr>
          <w:rFonts w:cs="Times New Roman"/>
          <w:szCs w:val="24"/>
          <w:lang w:val="en-US"/>
        </w:rPr>
        <w:noBreakHyphen/>
      </w:r>
      <w:r w:rsidRPr="00E13133">
        <w:rPr>
          <w:rFonts w:cs="Times New Roman"/>
          <w:lang w:val="en-US"/>
        </w:rPr>
        <w:t xml:space="preserve">induced intoxication is substituted for the </w:t>
      </w:r>
      <w:r w:rsidRPr="00E13133">
        <w:rPr>
          <w:rFonts w:cs="Times New Roman"/>
          <w:i/>
          <w:iCs/>
          <w:lang w:val="en-US"/>
        </w:rPr>
        <w:t>mens rea</w:t>
      </w:r>
      <w:r w:rsidRPr="00E13133">
        <w:rPr>
          <w:rFonts w:cs="Times New Roman"/>
          <w:lang w:val="en-US"/>
        </w:rPr>
        <w:t xml:space="preserve"> of the violent offences of general intent which make up the charge pursuant to s. 33.1(3) (Lawrence, at p. 391; see also F. E. Chapman, “</w:t>
      </w:r>
      <w:r w:rsidRPr="00E13133">
        <w:rPr>
          <w:rFonts w:cs="Times New Roman"/>
          <w:i/>
          <w:iCs/>
          <w:lang w:val="en-US"/>
        </w:rPr>
        <w:t>Sullivan</w:t>
      </w:r>
      <w:r w:rsidRPr="00E13133">
        <w:rPr>
          <w:rFonts w:cs="Times New Roman"/>
          <w:lang w:val="en-US"/>
        </w:rPr>
        <w:t xml:space="preserve">. Specific and General Intent be Damned: Volition Missing and </w:t>
      </w:r>
      <w:r w:rsidRPr="00E13133">
        <w:rPr>
          <w:rFonts w:cs="Times New Roman"/>
          <w:i/>
          <w:iCs/>
          <w:lang w:val="en-US"/>
        </w:rPr>
        <w:t>Mens Rea</w:t>
      </w:r>
      <w:r w:rsidRPr="00E13133">
        <w:rPr>
          <w:rFonts w:cs="Times New Roman"/>
          <w:lang w:val="en-US"/>
        </w:rPr>
        <w:t xml:space="preserve"> Incomplete” (2020), 63 C.R. (7th) 164, at pp. 167</w:t>
      </w:r>
      <w:r w:rsidRPr="00E13133">
        <w:rPr>
          <w:rFonts w:cs="Times New Roman"/>
          <w:lang w:val="en-US"/>
        </w:rPr>
        <w:noBreakHyphen/>
        <w:t xml:space="preserve">71). </w:t>
      </w:r>
      <w:r w:rsidRPr="00E13133">
        <w:rPr>
          <w:rFonts w:cs="Times New Roman"/>
        </w:rPr>
        <w:t>To avoid the improper substitution problem, the trier of fact must be sure that the fault attaching to the intoxication is such that the person can fairly be held accountable for their violent conduct.</w:t>
      </w:r>
    </w:p>
    <w:p w14:paraId="3F9C9839" w14:textId="77777777" w:rsidR="00377DDF" w:rsidRPr="00E13133" w:rsidRDefault="00377DDF" w:rsidP="00377DDF">
      <w:pPr>
        <w:pStyle w:val="ParaNoNdepar-AltN"/>
        <w:rPr>
          <w:rFonts w:cs="Times New Roman"/>
        </w:rPr>
      </w:pPr>
      <w:r w:rsidRPr="00E13133">
        <w:rPr>
          <w:rFonts w:cs="Times New Roman"/>
        </w:rPr>
        <w:t xml:space="preserve">Section 33.1 fails the test in </w:t>
      </w:r>
      <w:r w:rsidRPr="00E13133">
        <w:rPr>
          <w:rFonts w:cs="Times New Roman"/>
          <w:i/>
          <w:iCs/>
        </w:rPr>
        <w:t>Morrison</w:t>
      </w:r>
      <w:r w:rsidRPr="00E13133">
        <w:rPr>
          <w:rFonts w:cs="Times New Roman"/>
        </w:rPr>
        <w:t xml:space="preserve"> and amounts to a constitutionally improper substitution. While an accused who loses conscious control and assaults another person after a night of substance abuse is undoubtedly morally blameworthy, s. 33.1 faces obvious difficulties. It does not discern, for example, between the accused and morally blameless individuals who voluntarily consume legal intoxicants for personal or medical purposes. It therefore cannot be said that, “in all cases” under s. 33.1, the intention to become intoxicated can be substituted for the intention to commit a violent offence. Moreover, even in the case of the accused who voluntarily ingested an illegal drug like magic mushrooms, proof of self-induced intoxication does not lead inexorably to the conclusion that the accused intended to or voluntarily committed aggravated assault in all cases.</w:t>
      </w:r>
    </w:p>
    <w:p w14:paraId="75889ECA" w14:textId="77777777" w:rsidR="00377DDF" w:rsidRPr="00E13133" w:rsidRDefault="00377DDF" w:rsidP="00377DDF">
      <w:pPr>
        <w:pStyle w:val="ParaNoNdepar-AltN"/>
        <w:rPr>
          <w:rFonts w:cs="Times New Roman"/>
        </w:rPr>
      </w:pPr>
      <w:r w:rsidRPr="00E13133">
        <w:rPr>
          <w:rFonts w:cs="Times New Roman"/>
        </w:rPr>
        <w:t>In sum, the effect of s. 33.1 is to invite conviction even where a reasonable doubt remains about the voluntariness or the fault required to prove the violent offence, contrary to the presumption of innocence under s. 11(</w:t>
      </w:r>
      <w:r w:rsidRPr="00E13133">
        <w:rPr>
          <w:rFonts w:cs="Times New Roman"/>
          <w:iCs/>
        </w:rPr>
        <w:t>d</w:t>
      </w:r>
      <w:r w:rsidRPr="00E13133">
        <w:rPr>
          <w:rFonts w:cs="Times New Roman"/>
        </w:rPr>
        <w:t xml:space="preserve">). </w:t>
      </w:r>
    </w:p>
    <w:p w14:paraId="1540B4A8" w14:textId="77777777" w:rsidR="00377DDF" w:rsidRPr="00E13133" w:rsidRDefault="00377DDF" w:rsidP="00377DDF">
      <w:pPr>
        <w:pStyle w:val="Title4LevelTitre4Niveau"/>
        <w:rPr>
          <w:rFonts w:cs="Times New Roman"/>
        </w:rPr>
      </w:pPr>
      <w:r w:rsidRPr="00E13133">
        <w:rPr>
          <w:rFonts w:cs="Times New Roman"/>
        </w:rPr>
        <w:t>Contemporaneity</w:t>
      </w:r>
    </w:p>
    <w:p w14:paraId="6E5F3B83" w14:textId="77777777" w:rsidR="00377DDF" w:rsidRPr="00E13133" w:rsidRDefault="00377DDF" w:rsidP="00377DDF">
      <w:pPr>
        <w:pStyle w:val="ParaNoNdepar-AltN"/>
        <w:rPr>
          <w:rFonts w:cs="Times New Roman"/>
        </w:rPr>
      </w:pPr>
      <w:r w:rsidRPr="00E13133">
        <w:rPr>
          <w:rFonts w:cs="Times New Roman"/>
        </w:rPr>
        <w:t xml:space="preserve">As a final point, Mr. Brown asserts that s. 33.1 infringes s. 7 of the </w:t>
      </w:r>
      <w:r w:rsidRPr="00E13133">
        <w:rPr>
          <w:rFonts w:cs="Times New Roman"/>
          <w:i/>
          <w:iCs/>
        </w:rPr>
        <w:t>Charter</w:t>
      </w:r>
      <w:r w:rsidRPr="00E13133">
        <w:rPr>
          <w:rFonts w:cs="Times New Roman"/>
        </w:rPr>
        <w:t xml:space="preserve"> because the violent offence occurs later in time than the intention to become intoxicated. Mr. Brown says this is contrary to rule of contemporaneity, which holds that the </w:t>
      </w:r>
      <w:r w:rsidRPr="00E13133">
        <w:rPr>
          <w:rFonts w:cs="Times New Roman"/>
          <w:i/>
          <w:iCs/>
        </w:rPr>
        <w:t xml:space="preserve">actus </w:t>
      </w:r>
      <w:proofErr w:type="gramStart"/>
      <w:r w:rsidRPr="00E13133">
        <w:rPr>
          <w:rFonts w:cs="Times New Roman"/>
          <w:i/>
          <w:iCs/>
        </w:rPr>
        <w:t>reus</w:t>
      </w:r>
      <w:proofErr w:type="gramEnd"/>
      <w:r w:rsidRPr="00E13133">
        <w:rPr>
          <w:rFonts w:cs="Times New Roman"/>
        </w:rPr>
        <w:t xml:space="preserve"> and </w:t>
      </w:r>
      <w:r w:rsidRPr="00E13133">
        <w:rPr>
          <w:rFonts w:cs="Times New Roman"/>
          <w:i/>
          <w:iCs/>
        </w:rPr>
        <w:t>mens rea</w:t>
      </w:r>
      <w:r w:rsidRPr="00E13133">
        <w:rPr>
          <w:rFonts w:cs="Times New Roman"/>
        </w:rPr>
        <w:t xml:space="preserve"> must coincide. The Crown responds that symmetry is not required between the </w:t>
      </w:r>
      <w:r w:rsidRPr="00E13133">
        <w:rPr>
          <w:rFonts w:cs="Times New Roman"/>
          <w:i/>
          <w:iCs/>
        </w:rPr>
        <w:t>mens rea</w:t>
      </w:r>
      <w:r w:rsidRPr="00E13133">
        <w:rPr>
          <w:rFonts w:cs="Times New Roman"/>
        </w:rPr>
        <w:t xml:space="preserve"> and the consequences of the prohibited act.</w:t>
      </w:r>
    </w:p>
    <w:p w14:paraId="567B106B" w14:textId="77777777" w:rsidR="00377DDF" w:rsidRPr="00E13133" w:rsidRDefault="00377DDF" w:rsidP="00377DDF">
      <w:pPr>
        <w:pStyle w:val="ParaNoNdepar-AltN"/>
        <w:rPr>
          <w:rFonts w:cs="Times New Roman"/>
        </w:rPr>
      </w:pPr>
      <w:r w:rsidRPr="00E13133">
        <w:rPr>
          <w:rFonts w:cs="Times New Roman"/>
        </w:rPr>
        <w:t xml:space="preserve">Symmetry differs from contemporaneity. Symmetry refers to knowledge or foreseeability of the precise consequences of the </w:t>
      </w:r>
      <w:r w:rsidRPr="00E13133">
        <w:rPr>
          <w:rFonts w:cs="Times New Roman"/>
          <w:i/>
          <w:iCs/>
        </w:rPr>
        <w:t xml:space="preserve">actus </w:t>
      </w:r>
      <w:proofErr w:type="gramStart"/>
      <w:r w:rsidRPr="00E13133">
        <w:rPr>
          <w:rFonts w:cs="Times New Roman"/>
          <w:i/>
          <w:iCs/>
        </w:rPr>
        <w:t>reus</w:t>
      </w:r>
      <w:proofErr w:type="gramEnd"/>
      <w:r w:rsidRPr="00E13133">
        <w:rPr>
          <w:rFonts w:cs="Times New Roman"/>
        </w:rPr>
        <w:t xml:space="preserve">. For example, in </w:t>
      </w:r>
      <w:r w:rsidRPr="00E13133">
        <w:rPr>
          <w:rFonts w:cs="Times New Roman"/>
          <w:i/>
          <w:iCs/>
        </w:rPr>
        <w:t>Creighton</w:t>
      </w:r>
      <w:r w:rsidRPr="00E13133">
        <w:rPr>
          <w:rFonts w:cs="Times New Roman"/>
        </w:rPr>
        <w:t xml:space="preserve">, McLachlin J., as she then was, held that the accused need not foresee </w:t>
      </w:r>
      <w:r w:rsidRPr="00E13133">
        <w:rPr>
          <w:rFonts w:cs="Times New Roman"/>
          <w:iCs/>
        </w:rPr>
        <w:t>death</w:t>
      </w:r>
      <w:r w:rsidRPr="00E13133">
        <w:rPr>
          <w:rFonts w:cs="Times New Roman"/>
        </w:rPr>
        <w:t xml:space="preserve">, the consequence, specifically — it was enough to foresee </w:t>
      </w:r>
      <w:r w:rsidRPr="00E13133">
        <w:rPr>
          <w:rFonts w:cs="Times New Roman"/>
          <w:iCs/>
        </w:rPr>
        <w:t>bodily harm</w:t>
      </w:r>
      <w:r w:rsidRPr="00E13133">
        <w:rPr>
          <w:rFonts w:cs="Times New Roman"/>
        </w:rPr>
        <w:t xml:space="preserve"> that is neither trivial nor transitory (pp. 44</w:t>
      </w:r>
      <w:r w:rsidRPr="00E13133">
        <w:rPr>
          <w:rFonts w:cs="Times New Roman"/>
        </w:rPr>
        <w:noBreakHyphen/>
        <w:t>45). Contemporaneity holds that the guilty mind must concur with the prohibited act, although this principle is applied flexibly (</w:t>
      </w:r>
      <w:r w:rsidRPr="00E13133">
        <w:rPr>
          <w:rFonts w:cs="Times New Roman"/>
          <w:i/>
          <w:iCs/>
        </w:rPr>
        <w:t>R. v. Cooper</w:t>
      </w:r>
      <w:r w:rsidRPr="00E13133">
        <w:rPr>
          <w:rFonts w:cs="Times New Roman"/>
        </w:rPr>
        <w:t xml:space="preserve">, [1993] 1 S.C.R. 146, at p. 156). Contemporaneity has not yet been recognized as a principle of fundamental justice, and I respectfully decline to do so here. The </w:t>
      </w:r>
      <w:r w:rsidRPr="00E13133">
        <w:rPr>
          <w:rFonts w:cs="Times New Roman"/>
          <w:i/>
          <w:iCs/>
        </w:rPr>
        <w:t>mens rea</w:t>
      </w:r>
      <w:r w:rsidRPr="00E13133">
        <w:rPr>
          <w:rFonts w:cs="Times New Roman"/>
        </w:rPr>
        <w:t xml:space="preserve">, voluntariness, and improper substitution breaches remain the most accurate and relevant way of describing the way in which s. 33.1 imposes absolute liability, contrary to the principles of fundamental justice. </w:t>
      </w:r>
    </w:p>
    <w:p w14:paraId="4A31AE37" w14:textId="77777777" w:rsidR="00377DDF" w:rsidRPr="00E13133" w:rsidRDefault="00377DDF" w:rsidP="00377DDF">
      <w:pPr>
        <w:pStyle w:val="ParaNoNdepar-AltN"/>
        <w:rPr>
          <w:rFonts w:cs="Times New Roman"/>
        </w:rPr>
      </w:pPr>
      <w:r w:rsidRPr="00E13133">
        <w:rPr>
          <w:rFonts w:cs="Times New Roman"/>
        </w:rPr>
        <w:t xml:space="preserve">I thus agree with the conclusion of the </w:t>
      </w:r>
      <w:r w:rsidRPr="00E13133">
        <w:rPr>
          <w:rFonts w:cs="Times New Roman"/>
          <w:i/>
        </w:rPr>
        <w:t>voir dire</w:t>
      </w:r>
      <w:r w:rsidRPr="00E13133">
        <w:rPr>
          <w:rFonts w:cs="Times New Roman"/>
        </w:rPr>
        <w:t xml:space="preserve"> judge and with Khullar J.A., who relied on the reasons of the majority of the Court of Appeal in </w:t>
      </w:r>
      <w:r w:rsidRPr="00E13133">
        <w:rPr>
          <w:rFonts w:cs="Times New Roman"/>
          <w:i/>
        </w:rPr>
        <w:t>Sullivan</w:t>
      </w:r>
      <w:r w:rsidRPr="00E13133">
        <w:rPr>
          <w:rFonts w:cs="Times New Roman"/>
        </w:rPr>
        <w:t xml:space="preserve">, that s. 33.1 violates ss. 7 and 11(d) of the </w:t>
      </w:r>
      <w:r w:rsidRPr="00E13133">
        <w:rPr>
          <w:rFonts w:cs="Times New Roman"/>
          <w:i/>
        </w:rPr>
        <w:t>Charter</w:t>
      </w:r>
      <w:r w:rsidRPr="00E13133">
        <w:rPr>
          <w:rFonts w:cs="Times New Roman"/>
        </w:rPr>
        <w:t xml:space="preserve">. </w:t>
      </w:r>
    </w:p>
    <w:p w14:paraId="6EF5498C" w14:textId="77777777" w:rsidR="00377DDF" w:rsidRPr="00E13133" w:rsidRDefault="00377DDF" w:rsidP="00377DDF">
      <w:pPr>
        <w:pStyle w:val="ParaNoNdepar-AltN"/>
        <w:rPr>
          <w:rFonts w:cs="Times New Roman"/>
        </w:rPr>
      </w:pPr>
      <w:r w:rsidRPr="00E13133">
        <w:rPr>
          <w:rFonts w:cs="Times New Roman"/>
        </w:rPr>
        <w:t>I turn to a consideration of whether s. 33.1 can be saved under s. 1.</w:t>
      </w:r>
    </w:p>
    <w:p w14:paraId="53136A55" w14:textId="77777777" w:rsidR="00377DDF" w:rsidRPr="00E13133" w:rsidRDefault="00377DDF" w:rsidP="00377DDF">
      <w:pPr>
        <w:pStyle w:val="Title2LevelTitre2Niveau"/>
        <w:rPr>
          <w:rFonts w:cs="Times New Roman"/>
        </w:rPr>
      </w:pPr>
      <w:r w:rsidRPr="00E13133">
        <w:rPr>
          <w:rFonts w:cs="Times New Roman"/>
        </w:rPr>
        <w:t>Justification Analysis</w:t>
      </w:r>
    </w:p>
    <w:p w14:paraId="2AE31D11" w14:textId="77777777" w:rsidR="00377DDF" w:rsidRPr="00E13133" w:rsidRDefault="00377DDF" w:rsidP="00377DDF">
      <w:pPr>
        <w:pStyle w:val="ParaNoNdepar-AltN"/>
        <w:tabs>
          <w:tab w:val="clear" w:pos="1166"/>
          <w:tab w:val="num" w:pos="1152"/>
        </w:tabs>
        <w:rPr>
          <w:rFonts w:eastAsia="Times New Roman" w:cs="Times New Roman"/>
        </w:rPr>
      </w:pPr>
      <w:r w:rsidRPr="00E13133">
        <w:rPr>
          <w:rFonts w:cs="Times New Roman"/>
        </w:rPr>
        <w:t>The Crown must show on a balance of probabilities that the limits on ss. 7 and 11(</w:t>
      </w:r>
      <w:r w:rsidRPr="00E13133">
        <w:rPr>
          <w:rFonts w:cs="Times New Roman"/>
          <w:iCs/>
        </w:rPr>
        <w:t>d</w:t>
      </w:r>
      <w:r w:rsidRPr="00E13133">
        <w:rPr>
          <w:rFonts w:cs="Times New Roman"/>
        </w:rPr>
        <w:t xml:space="preserve">) brought by s. 33.1 are reasonable and demonstrably justified under s. 1 of the </w:t>
      </w:r>
      <w:r w:rsidRPr="00E13133">
        <w:rPr>
          <w:rFonts w:cs="Times New Roman"/>
          <w:i/>
        </w:rPr>
        <w:t>Charter</w:t>
      </w:r>
      <w:r w:rsidRPr="00E13133">
        <w:rPr>
          <w:rFonts w:cs="Times New Roman"/>
        </w:rPr>
        <w:t xml:space="preserve"> (</w:t>
      </w:r>
      <w:r w:rsidRPr="00E13133">
        <w:rPr>
          <w:rFonts w:cs="Times New Roman"/>
          <w:i/>
          <w:iCs/>
        </w:rPr>
        <w:t>Oakes</w:t>
      </w:r>
      <w:r w:rsidRPr="00E13133">
        <w:rPr>
          <w:rFonts w:cs="Times New Roman"/>
        </w:rPr>
        <w:t xml:space="preserve">, at pp. 135 and 137). The legislative goals of the provision must first be sufficiently pressing and substantial to justify curtailing a </w:t>
      </w:r>
      <w:r w:rsidRPr="00E13133">
        <w:rPr>
          <w:rFonts w:cs="Times New Roman"/>
          <w:i/>
          <w:iCs/>
        </w:rPr>
        <w:t>Charter</w:t>
      </w:r>
      <w:r w:rsidRPr="00E13133">
        <w:rPr>
          <w:rFonts w:cs="Times New Roman"/>
        </w:rPr>
        <w:t xml:space="preserve"> right. There must also be proportionality between Parliament’s objectives and its chosen means. Proportionality is understood to have three components: (i) rational connection to the objective, (ii) minimal impairment of the right, and (iii) proportionality between the effects of the measure and the objective (</w:t>
      </w:r>
      <w:r w:rsidRPr="00E13133">
        <w:rPr>
          <w:rFonts w:cs="Times New Roman"/>
          <w:i/>
          <w:iCs/>
        </w:rPr>
        <w:t>Oakes</w:t>
      </w:r>
      <w:r w:rsidRPr="00E13133">
        <w:rPr>
          <w:rFonts w:cs="Times New Roman"/>
        </w:rPr>
        <w:t>, at pp. 138</w:t>
      </w:r>
      <w:r w:rsidRPr="00E13133">
        <w:rPr>
          <w:rFonts w:cs="Times New Roman"/>
        </w:rPr>
        <w:noBreakHyphen/>
        <w:t xml:space="preserve">39; </w:t>
      </w:r>
      <w:r w:rsidRPr="00E13133">
        <w:rPr>
          <w:rFonts w:cs="Times New Roman"/>
          <w:i/>
          <w:iCs/>
        </w:rPr>
        <w:t>R. v. K.R.J.</w:t>
      </w:r>
      <w:r w:rsidRPr="00E13133">
        <w:rPr>
          <w:rFonts w:cs="Times New Roman"/>
        </w:rPr>
        <w:t xml:space="preserve">, 2016 SCC 31, [2016] 1 S.C.R. 906, at para. 58). </w:t>
      </w:r>
    </w:p>
    <w:p w14:paraId="65DED503"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 xml:space="preserve">Unlike in the appeal in </w:t>
      </w:r>
      <w:r w:rsidRPr="00E13133">
        <w:rPr>
          <w:rFonts w:cs="Times New Roman"/>
          <w:i/>
          <w:iCs/>
        </w:rPr>
        <w:t>Daviault</w:t>
      </w:r>
      <w:r w:rsidRPr="00E13133">
        <w:rPr>
          <w:rFonts w:cs="Times New Roman"/>
        </w:rPr>
        <w:t>, Parliament had before it a record related to the social problems associated with extreme intoxication and violence when enacting s. 33.1. The evidence highlighted the strong correlation between alcohol and drug use and violent offences, in particular against women, and brought to the fore of Parliament’s attention the equality, dignity, and security rights of all victims of intoxicated violence with particular attention given to vulnerable groups, including women and children. In the circumstances of the three appeals before the Court, it is undeniable that Mr. Brown, Mr. Sullivan and Mr. Chan inflicted great harm upon their victims and have caused lasting physical and psychological injuries. Bill C</w:t>
      </w:r>
      <w:r w:rsidRPr="00E13133">
        <w:rPr>
          <w:rFonts w:cs="Times New Roman"/>
        </w:rPr>
        <w:noBreakHyphen/>
        <w:t>72’s protective public goals cannot be understated: these interests bear meaningful attention at both principal steps in the s. 1 analysis.</w:t>
      </w:r>
    </w:p>
    <w:p w14:paraId="309ECB01"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 xml:space="preserve">While s. 33.1 reflects broad Parliamentary pursuits relating to the common good, it also engages the traditional confrontation between the individual accused and the state in the context of a criminal prosecution. As we have seen, s. 33.1 challenges principles at the very core of our justice system, including the presumption of innocence, that exist to protect the morally innocent and prevent wrongful convictions. </w:t>
      </w:r>
      <w:r w:rsidRPr="00E13133">
        <w:rPr>
          <w:rFonts w:cs="Times New Roman"/>
          <w:lang w:val="en-US"/>
        </w:rPr>
        <w:t xml:space="preserve">I observe that Parliament also had these considerations in mind in enacting s. 33.1. The sixth paragraph of the preamble has largely been ignored, where Parliament states its desire “to promote and help to ensure the full protection of the rights guaranteed under sections 7, 11, 15 and 28 of the </w:t>
      </w:r>
      <w:r w:rsidRPr="00E13133">
        <w:rPr>
          <w:rFonts w:cs="Times New Roman"/>
          <w:i/>
          <w:iCs/>
          <w:lang w:val="en-US"/>
        </w:rPr>
        <w:t>Canadian Charter of Rights and Freedoms</w:t>
      </w:r>
      <w:r w:rsidRPr="00E13133">
        <w:rPr>
          <w:rFonts w:cs="Times New Roman"/>
          <w:lang w:val="en-US"/>
        </w:rPr>
        <w:t xml:space="preserve"> for all Canadians”. To be sure, this contains a further reference to the rights of victims, including women and children. But the reference to s. 7 also extends, of course, to persons accused and, more tellingly still, the reference to s. 11, including the presumption of innocence in s. 11(</w:t>
      </w:r>
      <w:r w:rsidRPr="00E13133">
        <w:rPr>
          <w:rFonts w:cs="Times New Roman"/>
          <w:iCs/>
          <w:lang w:val="en-US"/>
        </w:rPr>
        <w:t>d</w:t>
      </w:r>
      <w:r w:rsidRPr="00E13133">
        <w:rPr>
          <w:rFonts w:cs="Times New Roman"/>
          <w:lang w:val="en-US"/>
        </w:rPr>
        <w:t>), can only refer to “[a]</w:t>
      </w:r>
      <w:proofErr w:type="spellStart"/>
      <w:r w:rsidRPr="00E13133">
        <w:rPr>
          <w:rFonts w:cs="Times New Roman"/>
          <w:lang w:val="en-US"/>
        </w:rPr>
        <w:t>ny</w:t>
      </w:r>
      <w:proofErr w:type="spellEnd"/>
      <w:r w:rsidRPr="00E13133">
        <w:rPr>
          <w:rFonts w:cs="Times New Roman"/>
          <w:lang w:val="en-US"/>
        </w:rPr>
        <w:t xml:space="preserve"> person charged with an offence”. In announcing its policy goals of protecting victims of intoxicated violence, on the one hand, and the rights of the accused, on the other, Parliament appears to have foreseen in the preamble the delicate balancing task that this Court must undertake under s. 1 of the </w:t>
      </w:r>
      <w:r w:rsidRPr="00E13133">
        <w:rPr>
          <w:rFonts w:cs="Times New Roman"/>
          <w:i/>
          <w:lang w:val="en-US"/>
        </w:rPr>
        <w:t>Charter</w:t>
      </w:r>
      <w:r w:rsidRPr="00E13133">
        <w:rPr>
          <w:rFonts w:cs="Times New Roman"/>
          <w:lang w:val="en-US"/>
        </w:rPr>
        <w:t>.</w:t>
      </w:r>
    </w:p>
    <w:p w14:paraId="56DEA2F4"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Invoking the goals served by s. 33.1, the Crown submits that the Alberta Court of Appeal was right to decide the provision imposes reasonable limits and is justified under s. 1. As for Mr. Brown, he argues that the provision fails at each step of the proportionality analysis. Its only valid purpose is not rationally connected to the provision, it is not minimally impairing, and the meaningful risk of wrongful convictions outweigh the salutary effects.</w:t>
      </w:r>
    </w:p>
    <w:p w14:paraId="361E5052" w14:textId="77777777" w:rsidR="00377DDF" w:rsidRPr="00E13133" w:rsidRDefault="00377DDF" w:rsidP="00377DDF">
      <w:pPr>
        <w:pStyle w:val="ParaNoNdepar-AltN"/>
        <w:rPr>
          <w:rFonts w:cs="Times New Roman"/>
        </w:rPr>
      </w:pPr>
      <w:r w:rsidRPr="00E13133">
        <w:rPr>
          <w:rFonts w:cs="Times New Roman"/>
        </w:rPr>
        <w:t xml:space="preserve">In my respectful view, Mr. Brown significantly understates the important goals pursued by Parliament in enacting s. 33.1. That said, given the patent risk that s. 33.1 may result in the conviction of an accused person who had no reason to believe that their voluntary intoxication would lead to a violent consequence, I agree with him, and with the respondents in the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that s. 33.1 fails at the proportionality step and thus cannot be saved under s. 1. After a weighing of the salutary and deleterious effects of s. 33.1, including the risk of what I see as a wrongful conviction, I conclude that Parliament’s aims come at too high a cost. </w:t>
      </w:r>
    </w:p>
    <w:p w14:paraId="43FC1FEC" w14:textId="77777777" w:rsidR="00377DDF" w:rsidRPr="00E13133" w:rsidRDefault="00377DDF" w:rsidP="00377DDF">
      <w:pPr>
        <w:pStyle w:val="Title3LevelTitre3Niveau"/>
        <w:rPr>
          <w:rFonts w:cs="Times New Roman"/>
        </w:rPr>
      </w:pPr>
      <w:r w:rsidRPr="00E13133">
        <w:rPr>
          <w:rFonts w:cs="Times New Roman"/>
        </w:rPr>
        <w:t>Pressing and Substantial Purpose</w:t>
      </w:r>
    </w:p>
    <w:p w14:paraId="3A617B2C" w14:textId="77777777" w:rsidR="00377DDF" w:rsidRPr="00E13133" w:rsidRDefault="00377DDF" w:rsidP="00377DDF">
      <w:pPr>
        <w:pStyle w:val="ParaNoNdepar-AltN"/>
        <w:rPr>
          <w:rFonts w:cs="Times New Roman"/>
        </w:rPr>
      </w:pPr>
      <w:r w:rsidRPr="00E13133">
        <w:rPr>
          <w:rFonts w:cs="Times New Roman"/>
        </w:rPr>
        <w:t xml:space="preserve">The parliamentary record, the preamble and, of course, s. 33.1 itself, all point to the two broad reasons why s. 33.1 was enacted in the period following </w:t>
      </w:r>
      <w:r w:rsidRPr="00E13133">
        <w:rPr>
          <w:rFonts w:cs="Times New Roman"/>
          <w:i/>
        </w:rPr>
        <w:t>Daviault</w:t>
      </w:r>
      <w:r w:rsidRPr="00E13133">
        <w:rPr>
          <w:rFonts w:cs="Times New Roman"/>
        </w:rPr>
        <w:t xml:space="preserve">: the protection of the victims of extremely intoxicated violence and a sense that the law should hold offenders accountable for the bodily harm they cause to others when, by choice, they become extremely intoxicated. With some variations, these were the purposes recognized by the </w:t>
      </w:r>
      <w:r w:rsidRPr="00E13133">
        <w:rPr>
          <w:rFonts w:cs="Times New Roman"/>
          <w:i/>
        </w:rPr>
        <w:t xml:space="preserve">voir dire </w:t>
      </w:r>
      <w:r w:rsidRPr="00E13133">
        <w:rPr>
          <w:rFonts w:cs="Times New Roman"/>
        </w:rPr>
        <w:t>judge and all the judges on appeal in this case.</w:t>
      </w:r>
    </w:p>
    <w:p w14:paraId="48BF2A0A" w14:textId="77777777" w:rsidR="00377DDF" w:rsidRPr="00E13133" w:rsidRDefault="00377DDF" w:rsidP="00377DDF">
      <w:pPr>
        <w:pStyle w:val="ParaNoNdepar-AltN"/>
        <w:rPr>
          <w:rFonts w:cs="Times New Roman"/>
        </w:rPr>
      </w:pPr>
      <w:r w:rsidRPr="00E13133">
        <w:rPr>
          <w:rFonts w:cs="Times New Roman"/>
        </w:rPr>
        <w:t xml:space="preserve">While these broad aspirations are easy enough to identify, the accused in this appeal and in the </w:t>
      </w:r>
      <w:r w:rsidRPr="00E13133">
        <w:rPr>
          <w:rFonts w:cs="Times New Roman"/>
          <w:i/>
        </w:rPr>
        <w:t>Sullivan</w:t>
      </w:r>
      <w:r w:rsidRPr="00E13133">
        <w:rPr>
          <w:rFonts w:cs="Times New Roman"/>
        </w:rPr>
        <w:t xml:space="preserve"> and </w:t>
      </w:r>
      <w:r w:rsidRPr="00E13133">
        <w:rPr>
          <w:rFonts w:cs="Times New Roman"/>
          <w:i/>
        </w:rPr>
        <w:t>Chan</w:t>
      </w:r>
      <w:r w:rsidRPr="00E13133">
        <w:rPr>
          <w:rFonts w:cs="Times New Roman"/>
        </w:rPr>
        <w:t xml:space="preserve"> appeals argue that the purposes of a provision must be described with greater precision when one examines whether a law that breaches the </w:t>
      </w:r>
      <w:r w:rsidRPr="00E13133">
        <w:rPr>
          <w:rFonts w:cs="Times New Roman"/>
          <w:i/>
        </w:rPr>
        <w:t xml:space="preserve">Charter </w:t>
      </w:r>
      <w:r w:rsidRPr="00E13133">
        <w:rPr>
          <w:rFonts w:cs="Times New Roman"/>
        </w:rPr>
        <w:t xml:space="preserve">is justified under s. 1. It is rightly said that, for the law’s purpose to be “pressing and substantial”, it must be characterized in light of the requirements of the </w:t>
      </w:r>
      <w:r w:rsidRPr="00E13133">
        <w:rPr>
          <w:rFonts w:cs="Times New Roman"/>
          <w:i/>
        </w:rPr>
        <w:t xml:space="preserve">Oakes </w:t>
      </w:r>
      <w:r w:rsidRPr="00E13133">
        <w:rPr>
          <w:rFonts w:cs="Times New Roman"/>
        </w:rPr>
        <w:t>test to be of value (</w:t>
      </w:r>
      <w:r w:rsidRPr="00E13133">
        <w:rPr>
          <w:rFonts w:cs="Times New Roman"/>
          <w:i/>
        </w:rPr>
        <w:t>Frank v. Canada (Attorney General)</w:t>
      </w:r>
      <w:r w:rsidRPr="00E13133">
        <w:rPr>
          <w:rFonts w:cs="Times New Roman"/>
        </w:rPr>
        <w:t xml:space="preserve">, 2019 SCC 1, [2019] 1 S.C.R. 3, at para. 46; </w:t>
      </w:r>
      <w:r w:rsidRPr="00E13133">
        <w:rPr>
          <w:rFonts w:cs="Times New Roman"/>
          <w:i/>
        </w:rPr>
        <w:t xml:space="preserve">Alberta v. </w:t>
      </w:r>
      <w:proofErr w:type="spellStart"/>
      <w:r w:rsidRPr="00E13133">
        <w:rPr>
          <w:rFonts w:cs="Times New Roman"/>
          <w:i/>
        </w:rPr>
        <w:t>Hutterian</w:t>
      </w:r>
      <w:proofErr w:type="spellEnd"/>
      <w:r w:rsidRPr="00E13133">
        <w:rPr>
          <w:rFonts w:cs="Times New Roman"/>
          <w:i/>
        </w:rPr>
        <w:t xml:space="preserve"> Brethren of Wilson Colony</w:t>
      </w:r>
      <w:r w:rsidRPr="00E13133">
        <w:rPr>
          <w:rFonts w:cs="Times New Roman"/>
        </w:rPr>
        <w:t xml:space="preserve">, 2009 SCC 37, [2009] 2 S.C.R. 567, at para. 76). The purpose must be properly identified with a view to justifying the infringement of the </w:t>
      </w:r>
      <w:r w:rsidRPr="00E13133">
        <w:rPr>
          <w:rFonts w:cs="Times New Roman"/>
          <w:i/>
        </w:rPr>
        <w:t>Charter</w:t>
      </w:r>
      <w:r w:rsidRPr="00E13133">
        <w:rPr>
          <w:rFonts w:cs="Times New Roman"/>
        </w:rPr>
        <w:t xml:space="preserve">, otherwise the exercise is not helpful for the balancing mandated by s. 1. If the purpose is characterized too broadly and without a view to the infringement, the rational connection inquiry in </w:t>
      </w:r>
      <w:r w:rsidRPr="00E13133">
        <w:rPr>
          <w:rFonts w:cs="Times New Roman"/>
          <w:i/>
        </w:rPr>
        <w:t xml:space="preserve">Oakes </w:t>
      </w:r>
      <w:r w:rsidRPr="00E13133">
        <w:rPr>
          <w:rFonts w:cs="Times New Roman"/>
        </w:rPr>
        <w:t xml:space="preserve">and the balancing exercise at the core of the s. 1 analysis risk losing their </w:t>
      </w:r>
      <w:r w:rsidRPr="00E13133">
        <w:rPr>
          <w:rFonts w:cs="Times New Roman"/>
          <w:i/>
        </w:rPr>
        <w:t>raison d’être</w:t>
      </w:r>
      <w:r w:rsidRPr="00E13133">
        <w:rPr>
          <w:rFonts w:cs="Times New Roman"/>
        </w:rPr>
        <w:t xml:space="preserve">. One can fairly say that virtually all of substantive criminal law seeks, at some level, to “protect victims of crime” and “hold perpetrators accountable for their blameworthy conduct”. So characterized, s. 33.1 would inevitably be understood as rationally connected to its purpose and the measure of proportionality would be thwarted such that the s. 1 analysis would lose its explanatory value. </w:t>
      </w:r>
    </w:p>
    <w:p w14:paraId="68BCA06A" w14:textId="77777777" w:rsidR="00377DDF" w:rsidRPr="00E13133" w:rsidRDefault="00377DDF" w:rsidP="00377DDF">
      <w:pPr>
        <w:pStyle w:val="ParaNoNdepar-AltN"/>
        <w:rPr>
          <w:rFonts w:cs="Times New Roman"/>
        </w:rPr>
      </w:pPr>
      <w:r w:rsidRPr="00E13133">
        <w:rPr>
          <w:rFonts w:cs="Times New Roman"/>
        </w:rPr>
        <w:t xml:space="preserve">It is not therefore enough to say, as the Attorney General of Canada does here, that “protection for victims of intoxicated crime” and “holding perpetrators of intoxicated violence accountable” defines Parliament’s purpose in enacting s. 33.1 in such a sufficiently precise a manner so as to ground the s. 1 analysis (I.F., at paras. 3 and 6). In particular, this was one of the reasons that Paciocco J.A. rejected accountability as a pressing and substantial purpose in </w:t>
      </w:r>
      <w:r w:rsidRPr="00E13133">
        <w:rPr>
          <w:rFonts w:cs="Times New Roman"/>
          <w:i/>
        </w:rPr>
        <w:t>Sullivan</w:t>
      </w:r>
      <w:r w:rsidRPr="00E13133">
        <w:rPr>
          <w:rFonts w:cs="Times New Roman"/>
        </w:rPr>
        <w:t>. Not only is “accountability for morally blameworthy” conduct unhelpfully broad, “accountability for morally blameworthy behaviour in a constitutionally compliant manner” is also unworkable in that the latter identification of the accountability purpose risks circular reasoning by confusing the ends of the legislation with its means. Nor is it enough to say that Parliament simply sought to legislate a standard of fault, as that would describe the purpose too narrowly and merely reiterate the means chosen to achieve the legislative ends (</w:t>
      </w:r>
      <w:r w:rsidRPr="00E13133">
        <w:rPr>
          <w:rFonts w:cs="Times New Roman"/>
          <w:i/>
        </w:rPr>
        <w:t>K.R.J.</w:t>
      </w:r>
      <w:r w:rsidRPr="00E13133">
        <w:rPr>
          <w:rFonts w:cs="Times New Roman"/>
        </w:rPr>
        <w:t xml:space="preserve">, at para. 63). </w:t>
      </w:r>
    </w:p>
    <w:p w14:paraId="2762FA18" w14:textId="77777777" w:rsidR="00377DDF" w:rsidRPr="00E13133" w:rsidRDefault="00377DDF" w:rsidP="00377DDF">
      <w:pPr>
        <w:pStyle w:val="ParaNoNdepar-AltN"/>
        <w:rPr>
          <w:rFonts w:cs="Times New Roman"/>
        </w:rPr>
      </w:pPr>
      <w:r w:rsidRPr="00E13133">
        <w:rPr>
          <w:rFonts w:cs="Times New Roman"/>
        </w:rPr>
        <w:t>What, then, are the objectives of s. 33.1 and are they properly identified for conducting the justification exercise under s. 1?</w:t>
      </w:r>
    </w:p>
    <w:p w14:paraId="1B2140AA" w14:textId="77777777" w:rsidR="00377DDF" w:rsidRPr="00E13133" w:rsidRDefault="00377DDF" w:rsidP="00377DDF">
      <w:pPr>
        <w:pStyle w:val="ParaNoNdepar-AltN"/>
        <w:rPr>
          <w:rFonts w:cs="Times New Roman"/>
        </w:rPr>
      </w:pPr>
      <w:r w:rsidRPr="00E13133">
        <w:rPr>
          <w:rFonts w:cs="Times New Roman"/>
        </w:rPr>
        <w:t xml:space="preserve">It is plain that s. 33.1, above all things, blocks the defence of automatism for the extremely intoxicated offender that was recognized in </w:t>
      </w:r>
      <w:r w:rsidRPr="00E13133">
        <w:rPr>
          <w:rFonts w:cs="Times New Roman"/>
          <w:i/>
        </w:rPr>
        <w:t>Daviault</w:t>
      </w:r>
      <w:r w:rsidRPr="00E13133">
        <w:rPr>
          <w:rFonts w:cs="Times New Roman"/>
        </w:rPr>
        <w:t xml:space="preserve"> as an exception to the intoxication rules. Parliament did so with two specific purposes in mind. First, it sought to protect the victims of extremely intoxicated violence, with particular attention to women and children whose equal place in society is compromised by sexual assault and other violent crimes of general intent in such circumstances. Second, it sought to call offenders to answer for their choice to voluntarily ingest intoxicants, where that choice creates a risk of violent crime. Those offenders should be accountable for the harm they cause as a result of their choice to self</w:t>
      </w:r>
      <w:r w:rsidRPr="00E13133">
        <w:rPr>
          <w:rFonts w:cs="Times New Roman"/>
        </w:rPr>
        <w:noBreakHyphen/>
        <w:t xml:space="preserve">intoxicate and thereby create the risk of extreme intoxication. In other words, in addition to its goal of protecting victims of such crimes, Parliament wanted to explain, as a moral proposition, why the defence of automatism should not be available for those who chose to intoxicate themselves to an extreme degree and risk violent consequences. Unlike a person who becomes an automaton by reason of an external force beyond their control, a person who voluntarily becomes intoxicated in the extreme has taken a risk that they will harm others in that state. Parliament sought to have an accused answer for that choice. These are the two objectives that Parliament felt were sufficient to justify the enactment of legislation that, as we have seen, infringes </w:t>
      </w:r>
      <w:r w:rsidRPr="00E13133">
        <w:rPr>
          <w:rFonts w:cs="Times New Roman"/>
          <w:i/>
        </w:rPr>
        <w:t>prima facie</w:t>
      </w:r>
      <w:r w:rsidRPr="00E13133">
        <w:rPr>
          <w:rFonts w:cs="Times New Roman"/>
        </w:rPr>
        <w:t xml:space="preserve"> upon ss. 7 and 11(d) of the </w:t>
      </w:r>
      <w:r w:rsidRPr="00E13133">
        <w:rPr>
          <w:rFonts w:cs="Times New Roman"/>
          <w:i/>
        </w:rPr>
        <w:t>Charter</w:t>
      </w:r>
      <w:r w:rsidRPr="00E13133">
        <w:rPr>
          <w:rFonts w:cs="Times New Roman"/>
        </w:rPr>
        <w:t>.</w:t>
      </w:r>
    </w:p>
    <w:p w14:paraId="65BA7A58" w14:textId="77777777" w:rsidR="00377DDF" w:rsidRPr="00E13133" w:rsidRDefault="00377DDF" w:rsidP="00377DDF">
      <w:pPr>
        <w:pStyle w:val="ParaNoNdepar-AltN"/>
        <w:rPr>
          <w:rFonts w:cs="Times New Roman"/>
        </w:rPr>
      </w:pPr>
      <w:r w:rsidRPr="00E13133">
        <w:rPr>
          <w:rFonts w:cs="Times New Roman"/>
        </w:rPr>
        <w:t xml:space="preserve">I share the view that the protective purpose is sufficiently pressing and substantial to warrant limiting </w:t>
      </w:r>
      <w:r w:rsidRPr="00E13133">
        <w:rPr>
          <w:rFonts w:cs="Times New Roman"/>
          <w:i/>
          <w:iCs/>
        </w:rPr>
        <w:t>Charter</w:t>
      </w:r>
      <w:r w:rsidRPr="00E13133">
        <w:rPr>
          <w:rFonts w:cs="Times New Roman"/>
        </w:rPr>
        <w:t xml:space="preserve"> rights. As stated by Lamer C.J. in </w:t>
      </w:r>
      <w:r w:rsidRPr="00E13133">
        <w:rPr>
          <w:rFonts w:cs="Times New Roman"/>
          <w:i/>
          <w:iCs/>
        </w:rPr>
        <w:t>R. v. Robinson</w:t>
      </w:r>
      <w:r w:rsidRPr="00E13133">
        <w:rPr>
          <w:rFonts w:cs="Times New Roman"/>
        </w:rPr>
        <w:t>, [1996] 1 S.C.R. 683, at para. 43: “There is no question that the protection of the public from intoxicated offenders is of sufficient importance to warrant overriding a constitutionally protected right or freedom.”</w:t>
      </w:r>
    </w:p>
    <w:p w14:paraId="3DF471D6" w14:textId="77777777" w:rsidR="00377DDF" w:rsidRPr="00E13133" w:rsidRDefault="00377DDF" w:rsidP="00377DDF">
      <w:pPr>
        <w:pStyle w:val="ParaNoNdepar-AltN"/>
        <w:rPr>
          <w:rFonts w:cs="Times New Roman"/>
        </w:rPr>
      </w:pPr>
      <w:r w:rsidRPr="00E13133">
        <w:rPr>
          <w:rFonts w:cs="Times New Roman"/>
        </w:rPr>
        <w:t xml:space="preserve">Paciocco J.A. explained in </w:t>
      </w:r>
      <w:r w:rsidRPr="00E13133">
        <w:rPr>
          <w:rFonts w:cs="Times New Roman"/>
          <w:i/>
        </w:rPr>
        <w:t xml:space="preserve">Sullivan </w:t>
      </w:r>
      <w:r w:rsidRPr="00E13133">
        <w:rPr>
          <w:rFonts w:cs="Times New Roman"/>
        </w:rPr>
        <w:t xml:space="preserve">why he viewed the accountability objective as impermissible and, as a result, cannot be considered as a “pressing and substantial objective” under the </w:t>
      </w:r>
      <w:r w:rsidRPr="00E13133">
        <w:rPr>
          <w:rFonts w:cs="Times New Roman"/>
          <w:i/>
        </w:rPr>
        <w:t xml:space="preserve">Oakes </w:t>
      </w:r>
      <w:r w:rsidRPr="00E13133">
        <w:rPr>
          <w:rFonts w:cs="Times New Roman"/>
        </w:rPr>
        <w:t xml:space="preserve">analysis. He wrote in part: “It cannot be that a preference for other values over constitutionally entrenched values is a pressing and substantial reason for denying constitutional rights” (para. 113). </w:t>
      </w:r>
    </w:p>
    <w:p w14:paraId="65BFFFD9" w14:textId="77777777" w:rsidR="00377DDF" w:rsidRPr="00E13133" w:rsidRDefault="00377DDF" w:rsidP="00377DDF">
      <w:pPr>
        <w:pStyle w:val="ParaNoNdepar-AltN"/>
        <w:rPr>
          <w:rFonts w:cs="Times New Roman"/>
        </w:rPr>
      </w:pPr>
      <w:r w:rsidRPr="00E13133">
        <w:rPr>
          <w:rFonts w:cs="Times New Roman"/>
        </w:rPr>
        <w:t xml:space="preserve">Respectfully, I disagree. First, as I note below, Parliament did not “reject” the constitutional values spoken to in </w:t>
      </w:r>
      <w:r w:rsidRPr="00E13133">
        <w:rPr>
          <w:rFonts w:cs="Times New Roman"/>
          <w:i/>
        </w:rPr>
        <w:t>Daviault</w:t>
      </w:r>
      <w:r w:rsidRPr="00E13133">
        <w:rPr>
          <w:rFonts w:cs="Times New Roman"/>
        </w:rPr>
        <w:t xml:space="preserve"> when it enacted s. 33.1. As the Minister stated in the House and as evidenced by the preamble to Bill C</w:t>
      </w:r>
      <w:r w:rsidRPr="00E13133">
        <w:rPr>
          <w:rFonts w:cs="Times New Roman"/>
        </w:rPr>
        <w:noBreakHyphen/>
        <w:t xml:space="preserve">72, the law sought to respect both the rights of the accused and the interests of victims. More importantly, I believe that, properly construed, Parliament’s specific accountability objective in the particular circumstances of this case is neither too broad nor does it lead to circular reasoning that would defeat the usefulness of </w:t>
      </w:r>
      <w:r w:rsidRPr="00E13133">
        <w:rPr>
          <w:rFonts w:cs="Times New Roman"/>
          <w:i/>
        </w:rPr>
        <w:t>Oakes</w:t>
      </w:r>
      <w:r w:rsidRPr="00E13133">
        <w:rPr>
          <w:rFonts w:cs="Times New Roman"/>
        </w:rPr>
        <w:t>.</w:t>
      </w:r>
    </w:p>
    <w:p w14:paraId="11C71142" w14:textId="77777777" w:rsidR="00377DDF" w:rsidRPr="00E13133" w:rsidRDefault="00377DDF" w:rsidP="00377DDF">
      <w:pPr>
        <w:pStyle w:val="ParaNoNdepar-AltN"/>
        <w:rPr>
          <w:rFonts w:cs="Times New Roman"/>
        </w:rPr>
      </w:pPr>
      <w:r w:rsidRPr="00E13133">
        <w:rPr>
          <w:rFonts w:cs="Times New Roman"/>
        </w:rPr>
        <w:t xml:space="preserve">The objectives that moved Parliament to enact s. 33.1 in the wake of </w:t>
      </w:r>
      <w:r w:rsidRPr="00E13133">
        <w:rPr>
          <w:rFonts w:cs="Times New Roman"/>
          <w:i/>
        </w:rPr>
        <w:t xml:space="preserve">Daviault </w:t>
      </w:r>
      <w:r w:rsidRPr="00E13133">
        <w:rPr>
          <w:rFonts w:cs="Times New Roman"/>
        </w:rPr>
        <w:t>are not completely encapsulated by the single goal of protecting the victims of extremely intoxicated violent crime. For Parliament, s. 33.1 also sought to express a moral view, stated in the preamble, that a person should be precluded from escaping liability for certain violent crimes by reason of their self</w:t>
      </w:r>
      <w:r w:rsidRPr="00E13133">
        <w:rPr>
          <w:rFonts w:cs="Times New Roman"/>
        </w:rPr>
        <w:noBreakHyphen/>
        <w:t>induced extreme intoxication. In the House, the Minister made plain when speaking to his approach based on the principle of accountability, that “[p]</w:t>
      </w:r>
      <w:proofErr w:type="spellStart"/>
      <w:r w:rsidRPr="00E13133">
        <w:rPr>
          <w:rFonts w:cs="Times New Roman"/>
        </w:rPr>
        <w:t>eople</w:t>
      </w:r>
      <w:proofErr w:type="spellEnd"/>
      <w:r w:rsidRPr="00E13133">
        <w:rPr>
          <w:rFonts w:cs="Times New Roman"/>
        </w:rPr>
        <w:t xml:space="preserve"> cannot be permitted to hide behind drunkenness or other forms of intoxication to escape responsibility for their criminal conduct” (Hansard, March 27, 1995, at p. 11038). Parliament’s purpose in enacting s. 33.1 reflects this idea of personal responsibility and its relevance to the availability of the defence of automatism for intoxicated violence.</w:t>
      </w:r>
    </w:p>
    <w:p w14:paraId="1CEDDA42" w14:textId="77777777" w:rsidR="00377DDF" w:rsidRPr="00E13133" w:rsidRDefault="00377DDF" w:rsidP="00377DDF">
      <w:pPr>
        <w:pStyle w:val="ParaNoNdepar-AltN"/>
        <w:rPr>
          <w:rFonts w:cs="Times New Roman"/>
        </w:rPr>
      </w:pPr>
      <w:r w:rsidRPr="00E13133">
        <w:rPr>
          <w:rFonts w:cs="Times New Roman"/>
          <w:lang w:val="en-US"/>
        </w:rPr>
        <w:t xml:space="preserve">The objective that Parliament sought to act upon is distinct from the protective purpose of the law. In fact, it rests on a philosophical idea that one should not be able to create the conditions of one’s own criminal defence to block liability for the crime committed (see S. Dimock, </w:t>
      </w:r>
      <w:r w:rsidRPr="00E13133">
        <w:rPr>
          <w:rFonts w:cs="Times New Roman"/>
        </w:rPr>
        <w:t>“</w:t>
      </w:r>
      <w:proofErr w:type="spellStart"/>
      <w:r w:rsidRPr="00E13133">
        <w:rPr>
          <w:rFonts w:cs="Times New Roman"/>
          <w:lang w:val="en-US"/>
        </w:rPr>
        <w:t>Actio</w:t>
      </w:r>
      <w:proofErr w:type="spellEnd"/>
      <w:r w:rsidRPr="00E13133">
        <w:rPr>
          <w:rFonts w:cs="Times New Roman"/>
          <w:lang w:val="en-US"/>
        </w:rPr>
        <w:t xml:space="preserve"> </w:t>
      </w:r>
      <w:proofErr w:type="spellStart"/>
      <w:r w:rsidRPr="00E13133">
        <w:rPr>
          <w:rFonts w:cs="Times New Roman"/>
          <w:lang w:val="en-US"/>
        </w:rPr>
        <w:t>Libera</w:t>
      </w:r>
      <w:proofErr w:type="spellEnd"/>
      <w:r w:rsidRPr="00E13133">
        <w:rPr>
          <w:rFonts w:cs="Times New Roman"/>
          <w:lang w:val="en-US"/>
        </w:rPr>
        <w:t xml:space="preserve"> in Causa</w:t>
      </w:r>
      <w:r w:rsidRPr="00E13133">
        <w:rPr>
          <w:rFonts w:cs="Times New Roman"/>
        </w:rPr>
        <w:t>”</w:t>
      </w:r>
      <w:r w:rsidRPr="00E13133">
        <w:rPr>
          <w:rFonts w:cs="Times New Roman"/>
          <w:lang w:val="en-US"/>
        </w:rPr>
        <w:t xml:space="preserve"> (2013), 7 </w:t>
      </w:r>
      <w:r w:rsidRPr="00E13133">
        <w:rPr>
          <w:rFonts w:cs="Times New Roman"/>
          <w:i/>
          <w:lang w:val="en-US"/>
        </w:rPr>
        <w:t>Crim. Law and Philos.</w:t>
      </w:r>
      <w:r w:rsidRPr="00E13133">
        <w:rPr>
          <w:rFonts w:cs="Times New Roman"/>
          <w:lang w:val="en-US"/>
        </w:rPr>
        <w:t xml:space="preserve"> 549, at p. 511 (who gives the example of the voluntarily intoxicated offender); see also, </w:t>
      </w:r>
      <w:proofErr w:type="spellStart"/>
      <w:r w:rsidRPr="00E13133">
        <w:rPr>
          <w:rFonts w:cs="Times New Roman"/>
          <w:lang w:val="en-US"/>
        </w:rPr>
        <w:t>Plaxton</w:t>
      </w:r>
      <w:proofErr w:type="spellEnd"/>
      <w:r w:rsidRPr="00E13133">
        <w:rPr>
          <w:rFonts w:cs="Times New Roman"/>
          <w:lang w:val="en-US"/>
        </w:rPr>
        <w:t xml:space="preserve"> and </w:t>
      </w:r>
      <w:proofErr w:type="spellStart"/>
      <w:r w:rsidRPr="00E13133">
        <w:rPr>
          <w:rFonts w:cs="Times New Roman"/>
          <w:lang w:val="en-US"/>
        </w:rPr>
        <w:t>Mathen</w:t>
      </w:r>
      <w:proofErr w:type="spellEnd"/>
      <w:r w:rsidRPr="00E13133">
        <w:rPr>
          <w:rFonts w:cs="Times New Roman"/>
          <w:lang w:val="en-US"/>
        </w:rPr>
        <w:t xml:space="preserve">, at p. 257). As Professor Parent has written, in addition to protecting the public, </w:t>
      </w:r>
      <w:r w:rsidRPr="00E13133">
        <w:rPr>
          <w:rFonts w:cs="Times New Roman"/>
        </w:rPr>
        <w:t>[</w:t>
      </w:r>
      <w:r w:rsidRPr="00E13133">
        <w:rPr>
          <w:rFonts w:cs="Times New Roman"/>
          <w:smallCaps/>
        </w:rPr>
        <w:t>translation</w:t>
      </w:r>
      <w:r w:rsidRPr="00E13133">
        <w:rPr>
          <w:rFonts w:cs="Times New Roman"/>
        </w:rPr>
        <w:t xml:space="preserve">] “the purpose of section 33.1 is to </w:t>
      </w:r>
      <w:r w:rsidRPr="00E13133">
        <w:rPr>
          <w:rFonts w:cs="Times New Roman"/>
          <w:i/>
        </w:rPr>
        <w:t>render accountable</w:t>
      </w:r>
      <w:r w:rsidRPr="00E13133">
        <w:rPr>
          <w:rFonts w:cs="Times New Roman"/>
        </w:rPr>
        <w:t xml:space="preserve"> those intoxicated individuals who interfere with the bodily integrity of another person”</w:t>
      </w:r>
      <w:r w:rsidRPr="00E13133">
        <w:rPr>
          <w:rFonts w:cs="Times New Roman"/>
          <w:lang w:val="en-US"/>
        </w:rPr>
        <w:t xml:space="preserve"> based on what he describes as the </w:t>
      </w:r>
      <w:r w:rsidRPr="00E13133">
        <w:rPr>
          <w:rFonts w:cs="Times New Roman"/>
        </w:rPr>
        <w:t>“</w:t>
      </w:r>
      <w:r w:rsidRPr="00E13133">
        <w:rPr>
          <w:rFonts w:cs="Times New Roman"/>
          <w:i/>
        </w:rPr>
        <w:t>active participation</w:t>
      </w:r>
      <w:r w:rsidRPr="00E13133">
        <w:rPr>
          <w:rFonts w:cs="Times New Roman"/>
        </w:rPr>
        <w:t xml:space="preserve"> of the individual in creating the incapacity relied upon and the risk that materialized”</w:t>
      </w:r>
      <w:r w:rsidRPr="00E13133">
        <w:rPr>
          <w:rFonts w:cs="Times New Roman"/>
          <w:lang w:val="en-US"/>
        </w:rPr>
        <w:t xml:space="preserve"> (pp. 176 and 184 (emphasis in original)). </w:t>
      </w:r>
      <w:r w:rsidRPr="00E13133">
        <w:rPr>
          <w:rFonts w:cs="Times New Roman"/>
        </w:rPr>
        <w:t xml:space="preserve">This is the essence of the accountability objective: an individual is responsible for their involuntary state because that person’s choice to ingest intoxicants and become extremely intoxicated ultimately creates a risk of violence. The physically involuntary conduct did not arise by accident or through some external force, but by choice and, as such, Parliament saw this as conduct for which the offender must answer. The connection observed in the Parliamentary record between violence and intoxication would be attenuated, on this moral view, if people took responsibility for the choice they made to consume intoxicants and the risks that are created by that choice. Because of the danger they create through the voluntary character of their extreme intoxication, people who cause harm to others in that state are, to recall Sopinka J.’s phrase in dissent in </w:t>
      </w:r>
      <w:r w:rsidRPr="00E13133">
        <w:rPr>
          <w:rFonts w:cs="Times New Roman"/>
          <w:i/>
        </w:rPr>
        <w:t>Daviault</w:t>
      </w:r>
      <w:r w:rsidRPr="00E13133">
        <w:rPr>
          <w:rFonts w:cs="Times New Roman"/>
        </w:rPr>
        <w:t xml:space="preserve">, “far from blameless”. In answer to the public response to </w:t>
      </w:r>
      <w:r w:rsidRPr="00E13133">
        <w:rPr>
          <w:rFonts w:cs="Times New Roman"/>
          <w:i/>
        </w:rPr>
        <w:t>Daviault</w:t>
      </w:r>
      <w:r w:rsidRPr="00E13133">
        <w:rPr>
          <w:rFonts w:cs="Times New Roman"/>
        </w:rPr>
        <w:t>, s. 33.1 has the distinct public purpose of holding the voluntarily extremely intoxicated responsible for the danger they brought about.</w:t>
      </w:r>
    </w:p>
    <w:p w14:paraId="6BDAE22D" w14:textId="77777777" w:rsidR="00377DDF" w:rsidRPr="00E13133" w:rsidRDefault="00377DDF" w:rsidP="00377DDF">
      <w:pPr>
        <w:pStyle w:val="ParaNoNdepar-AltN"/>
        <w:rPr>
          <w:rFonts w:cs="Times New Roman"/>
        </w:rPr>
      </w:pPr>
      <w:r w:rsidRPr="00E13133">
        <w:rPr>
          <w:rFonts w:cs="Times New Roman"/>
        </w:rPr>
        <w:t>Perhaps the plainest demonstration that Parliament’s objective cannot be limited to the protective goal is found in the explanation, by the Minister, as to why the stand</w:t>
      </w:r>
      <w:r w:rsidRPr="00E13133">
        <w:rPr>
          <w:rFonts w:cs="Times New Roman"/>
        </w:rPr>
        <w:noBreakHyphen/>
        <w:t>alone offence was rejected as not meeting his goals. He accepted the view that the option of a new stand-alone offence of criminal intoxication would be inadequate. While it offers protection against extremely intoxicated violence, it fails to meet Parliament’s accountability objective in that the offender would not be held to answer for creating the risk of more serious underlying violent crime, with its more meaningful stigma and punishment. Even if found guilty of the new offence, the offender would not answer, by reason of their self-induced extreme intoxication, for the full extent of the harm in law, and would benefit from what the Minister described as a “drunkenness discount” (Standing Committee on Justice and Legal Affairs, April 6, 1995, at p. 6). He observed that “[t]he government believes that a person who becomes voluntarily intoxicated to the point of losing conscious control or awareness . . . should be held criminally accountable for that offence [i.e., the underlying assault] and for nothing less”, said the Minister in the House (Hansard, March 27, 1995, at pp. 11037</w:t>
      </w:r>
      <w:r w:rsidRPr="00E13133">
        <w:rPr>
          <w:rFonts w:cs="Times New Roman"/>
        </w:rPr>
        <w:noBreakHyphen/>
        <w:t>38).</w:t>
      </w:r>
    </w:p>
    <w:p w14:paraId="4723CE23" w14:textId="07E1547F" w:rsidR="00377DDF" w:rsidRPr="00E13133" w:rsidRDefault="00377DDF" w:rsidP="00377DDF">
      <w:pPr>
        <w:pStyle w:val="ParaNoNdepar-AltN"/>
        <w:rPr>
          <w:rFonts w:cs="Times New Roman"/>
        </w:rPr>
      </w:pPr>
      <w:r w:rsidRPr="00E13133">
        <w:rPr>
          <w:rFonts w:cs="Times New Roman"/>
        </w:rPr>
        <w:t xml:space="preserve">This distinct and particularized accountability goal can serve as an objective for the purpose of the </w:t>
      </w:r>
      <w:r w:rsidRPr="00E13133">
        <w:rPr>
          <w:rFonts w:cs="Times New Roman"/>
          <w:i/>
        </w:rPr>
        <w:t xml:space="preserve">Oakes </w:t>
      </w:r>
      <w:r w:rsidRPr="00E13133">
        <w:rPr>
          <w:rFonts w:cs="Times New Roman"/>
        </w:rPr>
        <w:t>test in the unusual circumstances of this case. Here, the objective concerns the choice</w:t>
      </w:r>
      <w:r w:rsidRPr="00E13133">
        <w:rPr>
          <w:rFonts w:cs="Times New Roman"/>
          <w:i/>
        </w:rPr>
        <w:t xml:space="preserve"> </w:t>
      </w:r>
      <w:r w:rsidRPr="00E13133">
        <w:rPr>
          <w:rFonts w:cs="Times New Roman"/>
        </w:rPr>
        <w:t>to create a risk, and this choice</w:t>
      </w:r>
      <w:r w:rsidRPr="00E13133">
        <w:rPr>
          <w:rFonts w:cs="Times New Roman"/>
          <w:i/>
        </w:rPr>
        <w:t xml:space="preserve"> </w:t>
      </w:r>
      <w:r w:rsidRPr="00E13133">
        <w:rPr>
          <w:rFonts w:cs="Times New Roman"/>
        </w:rPr>
        <w:t xml:space="preserve">is not the conduct Parliament aims to criminalize. In other words, the objective is separate from the gravamen of the offence (i.e., the assault), which ensures that the ends and the means remain distinct. Stated in this manner, accountability in this context is pressing and substantial and fits appropriately within the </w:t>
      </w:r>
      <w:r w:rsidRPr="00E13133">
        <w:rPr>
          <w:rFonts w:cs="Times New Roman"/>
          <w:i/>
        </w:rPr>
        <w:t>Oakes</w:t>
      </w:r>
      <w:r w:rsidRPr="00E13133">
        <w:rPr>
          <w:rFonts w:cs="Times New Roman"/>
        </w:rPr>
        <w:t xml:space="preserve"> analysis. This is not just a preference for other values over rights that have been constitutionally entrenched; right or wrong, it is a policy choice, by Parliament, that accountability for creating a risk of violence and bodily harm by way of extreme voluntary intoxication take</w:t>
      </w:r>
      <w:r w:rsidR="00CC284D">
        <w:rPr>
          <w:rFonts w:cs="Times New Roman"/>
        </w:rPr>
        <w:t>s</w:t>
      </w:r>
      <w:bookmarkStart w:id="0" w:name="_GoBack"/>
      <w:bookmarkEnd w:id="0"/>
      <w:r w:rsidRPr="00E13133">
        <w:rPr>
          <w:rFonts w:cs="Times New Roman"/>
        </w:rPr>
        <w:t xml:space="preserve"> precedence in a free and democratic society (see Coughlan, at p. 2). It is not circular to frame the accountability objective in this way; the finding that a right has been violated, as I have found here with respect to ss. 7 and 11(d), is a preliminary conclusion. An “infringement” in this context is a limit that is not justified (</w:t>
      </w:r>
      <w:r w:rsidRPr="00E13133">
        <w:rPr>
          <w:rFonts w:cs="Times New Roman"/>
          <w:i/>
        </w:rPr>
        <w:t>K.R.J.</w:t>
      </w:r>
      <w:r w:rsidRPr="00E13133">
        <w:rPr>
          <w:rFonts w:cs="Times New Roman"/>
        </w:rPr>
        <w:t>, at paras. 91</w:t>
      </w:r>
      <w:r w:rsidRPr="00E13133">
        <w:rPr>
          <w:rFonts w:cs="Times New Roman"/>
        </w:rPr>
        <w:noBreakHyphen/>
        <w:t>92 and 115</w:t>
      </w:r>
      <w:r w:rsidRPr="00E13133">
        <w:rPr>
          <w:rFonts w:cs="Times New Roman"/>
        </w:rPr>
        <w:noBreakHyphen/>
        <w:t xml:space="preserve">16). The infringement question is only answered once the </w:t>
      </w:r>
      <w:r w:rsidRPr="00E13133">
        <w:rPr>
          <w:rFonts w:cs="Times New Roman"/>
          <w:i/>
        </w:rPr>
        <w:t>prima facie</w:t>
      </w:r>
      <w:r w:rsidRPr="00E13133">
        <w:rPr>
          <w:rFonts w:cs="Times New Roman"/>
        </w:rPr>
        <w:t xml:space="preserve"> breaches have been considered in light of the broader public interest considerations mandated by </w:t>
      </w:r>
      <w:r w:rsidRPr="00E13133">
        <w:rPr>
          <w:rFonts w:cs="Times New Roman"/>
          <w:i/>
        </w:rPr>
        <w:t>Oakes</w:t>
      </w:r>
      <w:r w:rsidRPr="00E13133">
        <w:rPr>
          <w:rFonts w:cs="Times New Roman"/>
        </w:rPr>
        <w:t>.</w:t>
      </w:r>
    </w:p>
    <w:p w14:paraId="43A7DCDF" w14:textId="77777777" w:rsidR="00377DDF" w:rsidRPr="00E13133" w:rsidRDefault="00377DDF" w:rsidP="00377DDF">
      <w:pPr>
        <w:pStyle w:val="ParaNoNdepar-AltN"/>
        <w:rPr>
          <w:rFonts w:cs="Times New Roman"/>
        </w:rPr>
      </w:pPr>
      <w:r w:rsidRPr="00E13133">
        <w:rPr>
          <w:rFonts w:cs="Times New Roman"/>
        </w:rPr>
        <w:t>To be clear, this conclusion rests on the specific concerns Parliament had when enacting s. 33.1. This case engages unusual issues and should not be seen as allowing governments to justify attempts to expand criminal liability as a routine matter. The accountability objective must, as here, be defined with precision, distinct from the means and, importantly, be sufficiently compelling from a societal perspective to warrant the overriding of rights.</w:t>
      </w:r>
    </w:p>
    <w:p w14:paraId="19D12DC8" w14:textId="77777777" w:rsidR="00377DDF" w:rsidRPr="00E13133" w:rsidRDefault="00377DDF" w:rsidP="00377DDF">
      <w:pPr>
        <w:pStyle w:val="Title3LevelTitre3Niveau"/>
        <w:rPr>
          <w:rFonts w:cs="Times New Roman"/>
        </w:rPr>
      </w:pPr>
      <w:r w:rsidRPr="00E13133">
        <w:rPr>
          <w:rFonts w:cs="Times New Roman"/>
        </w:rPr>
        <w:t>Proportionality</w:t>
      </w:r>
    </w:p>
    <w:p w14:paraId="08D6122C" w14:textId="77777777" w:rsidR="00377DDF" w:rsidRPr="00E13133" w:rsidRDefault="00377DDF" w:rsidP="00377DDF">
      <w:pPr>
        <w:pStyle w:val="Title4LevelTitre4Niveau"/>
        <w:rPr>
          <w:rFonts w:cs="Times New Roman"/>
        </w:rPr>
      </w:pPr>
      <w:r w:rsidRPr="00E13133">
        <w:rPr>
          <w:rFonts w:cs="Times New Roman"/>
        </w:rPr>
        <w:t>Rational Connection</w:t>
      </w:r>
    </w:p>
    <w:p w14:paraId="1783E486" w14:textId="77777777" w:rsidR="00377DDF" w:rsidRPr="00E13133" w:rsidRDefault="00377DDF" w:rsidP="00377DDF">
      <w:pPr>
        <w:pStyle w:val="ParaNoNdepar-AltN"/>
        <w:rPr>
          <w:rFonts w:cs="Times New Roman"/>
        </w:rPr>
      </w:pPr>
      <w:r w:rsidRPr="00E13133">
        <w:rPr>
          <w:rFonts w:cs="Times New Roman"/>
        </w:rPr>
        <w:t>At this stage, the Crown must show, first, that s. 33.1 is rationally connected to holding individuals accountable, in as full a manner as possible, for the choice to become extremely intoxicated and the violence committed while in that state and, second, that it is rationally connected to protecting vulnerable groups from extremely intoxicated violence. There must be “a causal connection between the infringement and the benefit sought on the basis of reason or logic” (</w:t>
      </w:r>
      <w:r w:rsidRPr="00E13133">
        <w:rPr>
          <w:rFonts w:cs="Times New Roman"/>
          <w:i/>
          <w:iCs/>
        </w:rPr>
        <w:t>RJR-MacDonald Inc. v. Canada (Attorney General)</w:t>
      </w:r>
      <w:r w:rsidRPr="00E13133">
        <w:rPr>
          <w:rFonts w:cs="Times New Roman"/>
        </w:rPr>
        <w:t xml:space="preserve">, [1995] 3 S.C.R. 199, at para. 153). </w:t>
      </w:r>
    </w:p>
    <w:p w14:paraId="39E2A78C" w14:textId="77777777" w:rsidR="00377DDF" w:rsidRPr="00E13133" w:rsidRDefault="00377DDF" w:rsidP="00377DDF">
      <w:pPr>
        <w:pStyle w:val="ParaNoNdepar-AltN"/>
        <w:rPr>
          <w:rFonts w:cs="Times New Roman"/>
        </w:rPr>
      </w:pPr>
      <w:r w:rsidRPr="00E13133">
        <w:rPr>
          <w:rFonts w:cs="Times New Roman"/>
        </w:rPr>
        <w:t xml:space="preserve">Mr. Brown focussed his criticism on the connection between s. 33.1 and the protection of vulnerable groups, as did Mr. Chan and Mr. Sullivan. In Mr. Brown’s submission, the protective purpose relies on an unrealizable deterrent effect of s. 33.1 for its value. Since a person cannot necessarily foresee the possibility that they will find themselves in a state of automatism or that they will commit an act of violence while in that state, s. 33.1 can have no meaningful deterrent effect. In short, deterrence has no effect on the automaton. </w:t>
      </w:r>
    </w:p>
    <w:p w14:paraId="4742688C" w14:textId="77777777" w:rsidR="00377DDF" w:rsidRPr="00E13133" w:rsidRDefault="00377DDF" w:rsidP="00377DDF">
      <w:pPr>
        <w:pStyle w:val="ParaNoNdepar-AltN"/>
        <w:rPr>
          <w:rFonts w:cs="Times New Roman"/>
        </w:rPr>
      </w:pPr>
      <w:r w:rsidRPr="00E13133">
        <w:rPr>
          <w:rFonts w:cs="Times New Roman"/>
        </w:rPr>
        <w:t xml:space="preserve">I agree with the Court of Appeal in </w:t>
      </w:r>
      <w:r w:rsidRPr="00E13133">
        <w:rPr>
          <w:rFonts w:cs="Times New Roman"/>
          <w:iCs/>
        </w:rPr>
        <w:t xml:space="preserve">this case </w:t>
      </w:r>
      <w:r w:rsidRPr="00E13133">
        <w:rPr>
          <w:rFonts w:cs="Times New Roman"/>
        </w:rPr>
        <w:t>that the deterrent and denunciating effects of s. 33.1 provide a rational connection to Parliament’s protective objective.</w:t>
      </w:r>
    </w:p>
    <w:p w14:paraId="59B18FA9" w14:textId="77777777" w:rsidR="00377DDF" w:rsidRPr="00E13133" w:rsidRDefault="00377DDF" w:rsidP="00377DDF">
      <w:pPr>
        <w:pStyle w:val="ParaNoNdepar-AltN"/>
        <w:rPr>
          <w:rFonts w:eastAsia="Times New Roman" w:cs="Times New Roman"/>
          <w:szCs w:val="24"/>
        </w:rPr>
      </w:pPr>
      <w:r w:rsidRPr="00E13133">
        <w:rPr>
          <w:rFonts w:cs="Times New Roman"/>
          <w:lang w:val="en-US"/>
        </w:rPr>
        <w:t xml:space="preserve">I recognize Paciocco J.A.’s criticism that s. 33.1 fails to offer meaningful deterrence in support of Parliament’s protective purpose. In </w:t>
      </w:r>
      <w:r w:rsidRPr="00E13133">
        <w:rPr>
          <w:rFonts w:cs="Times New Roman"/>
          <w:i/>
          <w:iCs/>
          <w:lang w:val="en-US"/>
        </w:rPr>
        <w:t>Sullivan</w:t>
      </w:r>
      <w:r w:rsidRPr="00E13133">
        <w:rPr>
          <w:rFonts w:cs="Times New Roman"/>
          <w:iCs/>
          <w:lang w:val="en-US"/>
        </w:rPr>
        <w:t>,</w:t>
      </w:r>
      <w:r w:rsidRPr="00E13133">
        <w:rPr>
          <w:rFonts w:cs="Times New Roman"/>
          <w:lang w:val="en-US"/>
        </w:rPr>
        <w:t xml:space="preserve"> he wrote that “[e]</w:t>
      </w:r>
      <w:proofErr w:type="spellStart"/>
      <w:r w:rsidRPr="00E13133">
        <w:rPr>
          <w:rFonts w:cs="Times New Roman"/>
          <w:lang w:val="en-US"/>
        </w:rPr>
        <w:t>ffective</w:t>
      </w:r>
      <w:proofErr w:type="spellEnd"/>
      <w:r w:rsidRPr="00E13133">
        <w:rPr>
          <w:rFonts w:cs="Times New Roman"/>
          <w:lang w:val="en-US"/>
        </w:rPr>
        <w:t xml:space="preserve"> deterrence requires </w:t>
      </w:r>
      <w:proofErr w:type="gramStart"/>
      <w:r w:rsidRPr="00E13133">
        <w:rPr>
          <w:rFonts w:cs="Times New Roman"/>
          <w:lang w:val="en-US"/>
        </w:rPr>
        <w:t>foresight .</w:t>
      </w:r>
      <w:proofErr w:type="gramEnd"/>
      <w:r w:rsidRPr="00E13133">
        <w:rPr>
          <w:rFonts w:cs="Times New Roman"/>
          <w:lang w:val="en-US"/>
        </w:rPr>
        <w:t xml:space="preserve"> . . of the penal consequence” (para. 121). “I am not persuaded”, he continued, </w:t>
      </w:r>
      <w:proofErr w:type="gramStart"/>
      <w:r w:rsidRPr="00E13133">
        <w:rPr>
          <w:rFonts w:cs="Times New Roman"/>
          <w:lang w:val="en-US"/>
        </w:rPr>
        <w:t>“</w:t>
      </w:r>
      <w:proofErr w:type="gramEnd"/>
      <w:r w:rsidRPr="00E13133">
        <w:rPr>
          <w:rFonts w:cs="Times New Roman"/>
          <w:lang w:val="en-US"/>
        </w:rPr>
        <w:t xml:space="preserve">that a reasonable person would anticipate the risk that, by becoming voluntarily intoxicated, they could lapse into a state of automatism and </w:t>
      </w:r>
      <w:proofErr w:type="spellStart"/>
      <w:r w:rsidRPr="00E13133">
        <w:rPr>
          <w:rFonts w:cs="Times New Roman"/>
          <w:lang w:val="en-US"/>
        </w:rPr>
        <w:t>unwilfully</w:t>
      </w:r>
      <w:proofErr w:type="spellEnd"/>
      <w:r w:rsidRPr="00E13133">
        <w:rPr>
          <w:rFonts w:cs="Times New Roman"/>
          <w:lang w:val="en-US"/>
        </w:rPr>
        <w:t xml:space="preserve"> commit a violent act” (</w:t>
      </w:r>
      <w:r w:rsidRPr="00E13133">
        <w:rPr>
          <w:rFonts w:cs="Times New Roman"/>
          <w:i/>
          <w:iCs/>
          <w:lang w:val="en-US"/>
        </w:rPr>
        <w:t>ibid</w:t>
      </w:r>
      <w:r w:rsidRPr="00E13133">
        <w:rPr>
          <w:rFonts w:cs="Times New Roman"/>
          <w:i/>
          <w:lang w:val="en-US"/>
        </w:rPr>
        <w:t>.</w:t>
      </w:r>
      <w:r w:rsidRPr="00E13133">
        <w:rPr>
          <w:rFonts w:cs="Times New Roman"/>
          <w:lang w:val="en-US"/>
        </w:rPr>
        <w:t>).</w:t>
      </w:r>
      <w:r w:rsidRPr="00E13133">
        <w:rPr>
          <w:rFonts w:cs="Times New Roman"/>
        </w:rPr>
        <w:t xml:space="preserve"> </w:t>
      </w:r>
    </w:p>
    <w:p w14:paraId="0BE12735" w14:textId="77777777" w:rsidR="00377DDF" w:rsidRPr="00E13133" w:rsidRDefault="00377DDF" w:rsidP="00377DDF">
      <w:pPr>
        <w:pStyle w:val="ParaNoNdepar-AltN"/>
        <w:rPr>
          <w:rFonts w:eastAsia="Times New Roman" w:cs="Times New Roman"/>
          <w:szCs w:val="24"/>
        </w:rPr>
      </w:pPr>
      <w:r w:rsidRPr="00E13133">
        <w:rPr>
          <w:rFonts w:cs="Times New Roman"/>
          <w:lang w:val="en-US"/>
        </w:rPr>
        <w:t xml:space="preserve">It is no doubt true that the deterrent effect of the provision would be more immediately felt if one could be sure that the accused understood the risk of violence associated with extreme self-induced intoxication and that this element is lacking in s. 33.1. </w:t>
      </w:r>
      <w:r w:rsidRPr="00E13133">
        <w:rPr>
          <w:rFonts w:cs="Times New Roman"/>
        </w:rPr>
        <w:t>However, in keeping with its moral view of fault expressed in the preamble, Parliament’s focus was on the choice to become extremely intoxicated. Section 33.1’s deterrent value should also be considered in relation to individuals at the time they make that choice. While it is true that s. 33.1 applies to an accused who could not have foreseen the risk of a loss of control or of bodily harm, it also extends to situations in which there was a foreseeable risk of a loss of control and harm. Thus, an individual who consumes an intoxicant with psychosis</w:t>
      </w:r>
      <w:r w:rsidRPr="00E13133">
        <w:rPr>
          <w:rFonts w:cs="Times New Roman"/>
        </w:rPr>
        <w:noBreakHyphen/>
        <w:t>inducing effects, including those who know they lost control of their conduct while in a drug</w:t>
      </w:r>
      <w:r w:rsidRPr="00E13133">
        <w:rPr>
          <w:rFonts w:cs="Times New Roman"/>
        </w:rPr>
        <w:noBreakHyphen/>
        <w:t>induced psychosis in the past, will be caught by s. 33.1. It is reasonable that Parliament would expect the provision to hold some modest deterrent effect for such individuals. This deterrent effect acts [</w:t>
      </w:r>
      <w:r w:rsidRPr="00E13133">
        <w:rPr>
          <w:rFonts w:cs="Times New Roman"/>
          <w:smallCaps/>
        </w:rPr>
        <w:t>translation</w:t>
      </w:r>
      <w:r w:rsidRPr="00E13133">
        <w:rPr>
          <w:rFonts w:cs="Times New Roman"/>
        </w:rPr>
        <w:t>] “upstream”, as Professor Parent writes (p. </w:t>
      </w:r>
      <w:r>
        <w:rPr>
          <w:rFonts w:cs="Times New Roman"/>
        </w:rPr>
        <w:t>187</w:t>
      </w:r>
      <w:r w:rsidRPr="00E13133">
        <w:rPr>
          <w:rFonts w:cs="Times New Roman"/>
        </w:rPr>
        <w:t xml:space="preserve">), to dissuade those contemplating this kind of intoxication. As such, s. 33.1 is rationally connected to its protective purpose. </w:t>
      </w:r>
    </w:p>
    <w:p w14:paraId="57A9C371" w14:textId="77777777" w:rsidR="00377DDF" w:rsidRPr="00E13133" w:rsidRDefault="00377DDF" w:rsidP="00377DDF">
      <w:pPr>
        <w:pStyle w:val="ParaNoNdepar-AltN"/>
        <w:rPr>
          <w:rFonts w:eastAsia="Times New Roman" w:cs="Times New Roman"/>
          <w:szCs w:val="24"/>
        </w:rPr>
      </w:pPr>
      <w:r w:rsidRPr="00E13133">
        <w:rPr>
          <w:rFonts w:cs="Times New Roman"/>
          <w:lang w:val="en-US"/>
        </w:rPr>
        <w:t>Courts should exercise caution before concluding that a measure in like circumstances is ineffective simply because they could imagine a way in which it would be more effective. To my mind, the Crown has met the rational connection test for Parliament’s protective purpose.</w:t>
      </w:r>
    </w:p>
    <w:p w14:paraId="26BB9FD1" w14:textId="77777777" w:rsidR="00377DDF" w:rsidRPr="00E13133" w:rsidRDefault="00377DDF" w:rsidP="00377DDF">
      <w:pPr>
        <w:pStyle w:val="ParaNoNdepar-AltN"/>
        <w:rPr>
          <w:rFonts w:cs="Times New Roman"/>
        </w:rPr>
      </w:pPr>
      <w:r w:rsidRPr="00E13133">
        <w:rPr>
          <w:rFonts w:cs="Times New Roman"/>
        </w:rPr>
        <w:t>In addition, s. 33.1 is rationally connected to the objective of holding individuals accountable, in as full a manner as possible, for the choice to become extremely intoxicated and the violence committed while in that state. It is obvious that where a person is foreclosed from advancing a defence that could result in an acquittal, that person is held accountable for something they otherwise would not be.</w:t>
      </w:r>
    </w:p>
    <w:p w14:paraId="06EEDFA2" w14:textId="77777777" w:rsidR="00377DDF" w:rsidRPr="00E13133" w:rsidRDefault="00377DDF" w:rsidP="00377DDF">
      <w:pPr>
        <w:pStyle w:val="Title4LevelTitre4Niveau"/>
        <w:rPr>
          <w:rFonts w:cs="Times New Roman"/>
        </w:rPr>
      </w:pPr>
      <w:r w:rsidRPr="00E13133">
        <w:rPr>
          <w:rFonts w:cs="Times New Roman"/>
        </w:rPr>
        <w:t>Minimal Impairment</w:t>
      </w:r>
    </w:p>
    <w:p w14:paraId="15060100" w14:textId="77777777" w:rsidR="00377DDF" w:rsidRPr="00E13133" w:rsidRDefault="00377DDF" w:rsidP="00377DDF">
      <w:pPr>
        <w:pStyle w:val="ParaNoNdepar-AltN"/>
        <w:rPr>
          <w:rFonts w:cs="Times New Roman"/>
        </w:rPr>
      </w:pPr>
      <w:r w:rsidRPr="00E13133">
        <w:rPr>
          <w:rFonts w:cs="Times New Roman"/>
        </w:rPr>
        <w:t>The state must show that the impugned provision impairs rights as little as reasonably possible in furtherance of the legislative objective (</w:t>
      </w:r>
      <w:r w:rsidRPr="00E13133">
        <w:rPr>
          <w:rFonts w:cs="Times New Roman"/>
          <w:i/>
          <w:iCs/>
        </w:rPr>
        <w:t>RJR-MacDonald</w:t>
      </w:r>
      <w:r w:rsidRPr="00E13133">
        <w:rPr>
          <w:rFonts w:cs="Times New Roman"/>
        </w:rPr>
        <w:t xml:space="preserve">, at para. 160; </w:t>
      </w:r>
      <w:r w:rsidRPr="00E13133">
        <w:rPr>
          <w:rFonts w:cs="Times New Roman"/>
          <w:i/>
          <w:iCs/>
        </w:rPr>
        <w:t>Oakes</w:t>
      </w:r>
      <w:r w:rsidRPr="00E13133">
        <w:rPr>
          <w:rFonts w:cs="Times New Roman"/>
        </w:rPr>
        <w:t>, at p. 139). The law should only fail minimal impairment when there are less harmful means of achieving the objectives “in a real and substantial manner” (</w:t>
      </w:r>
      <w:r w:rsidRPr="00E13133">
        <w:rPr>
          <w:rFonts w:cs="Times New Roman"/>
          <w:i/>
          <w:iCs/>
        </w:rPr>
        <w:t>K.R.J</w:t>
      </w:r>
      <w:r w:rsidRPr="00E13133">
        <w:rPr>
          <w:rFonts w:cs="Times New Roman"/>
          <w:i/>
        </w:rPr>
        <w:t>.</w:t>
      </w:r>
      <w:r w:rsidRPr="00E13133">
        <w:rPr>
          <w:rFonts w:cs="Times New Roman"/>
        </w:rPr>
        <w:t xml:space="preserve">, at para. 70; </w:t>
      </w:r>
      <w:proofErr w:type="spellStart"/>
      <w:r w:rsidRPr="00E13133">
        <w:rPr>
          <w:rFonts w:cs="Times New Roman"/>
          <w:i/>
          <w:iCs/>
        </w:rPr>
        <w:t>Hutterian</w:t>
      </w:r>
      <w:proofErr w:type="spellEnd"/>
      <w:r w:rsidRPr="00E13133">
        <w:rPr>
          <w:rFonts w:cs="Times New Roman"/>
          <w:i/>
          <w:iCs/>
        </w:rPr>
        <w:t xml:space="preserve"> Brethren</w:t>
      </w:r>
      <w:r w:rsidRPr="00E13133">
        <w:rPr>
          <w:rFonts w:cs="Times New Roman"/>
        </w:rPr>
        <w:t xml:space="preserve">, at para. 55). </w:t>
      </w:r>
      <w:r w:rsidRPr="00E13133">
        <w:rPr>
          <w:rFonts w:cs="Times New Roman"/>
          <w:lang w:val="en-US"/>
        </w:rPr>
        <w:t xml:space="preserve">It is understood that the courts show some deference to legislatures at this stage of the analysis. The question is whether s. 33.1 falls within a range of reasonable alternatives open to Parliament to achieve its objectives; if it is within this range, it should not fail the minimal impairment test merely because, in the Court’s view, an alternative would have been better suited to the objective (see </w:t>
      </w:r>
      <w:r w:rsidRPr="00E13133">
        <w:rPr>
          <w:rFonts w:cs="Times New Roman"/>
          <w:i/>
          <w:iCs/>
          <w:lang w:val="en-US"/>
        </w:rPr>
        <w:t>RJR-MacDonald</w:t>
      </w:r>
      <w:r w:rsidRPr="00E13133">
        <w:rPr>
          <w:rFonts w:cs="Times New Roman"/>
          <w:lang w:val="en-US"/>
        </w:rPr>
        <w:t>, at para. 160). This is particularly so where the impugned measure seeks to strike a balance between competing and legitimate social values (</w:t>
      </w:r>
      <w:r w:rsidRPr="00E13133">
        <w:rPr>
          <w:rFonts w:cs="Times New Roman"/>
          <w:i/>
          <w:iCs/>
          <w:lang w:val="en-US"/>
        </w:rPr>
        <w:t>Quebec (Attorney General) v. A</w:t>
      </w:r>
      <w:r w:rsidRPr="00E13133">
        <w:rPr>
          <w:rFonts w:cs="Times New Roman"/>
          <w:lang w:val="en-US"/>
        </w:rPr>
        <w:t xml:space="preserve">, 2013 SCC 5, [2013] 1 S.C.R. 61, at para. 439, </w:t>
      </w:r>
      <w:r w:rsidRPr="00E13133">
        <w:rPr>
          <w:rFonts w:cs="Times New Roman"/>
          <w:iCs/>
          <w:lang w:val="en-US"/>
        </w:rPr>
        <w:t xml:space="preserve">per </w:t>
      </w:r>
      <w:r w:rsidRPr="00E13133">
        <w:rPr>
          <w:rFonts w:cs="Times New Roman"/>
          <w:lang w:val="en-US"/>
        </w:rPr>
        <w:t>McLachlin C.J., concurring). This is the circumstance here: the debate surrounding the enactment of s. 33.1 and its application to Mr. </w:t>
      </w:r>
      <w:r w:rsidRPr="00E13133">
        <w:rPr>
          <w:rFonts w:cs="Times New Roman"/>
          <w:iCs/>
          <w:lang w:val="en-US"/>
        </w:rPr>
        <w:t>Sullivan</w:t>
      </w:r>
      <w:r w:rsidRPr="00E13133">
        <w:rPr>
          <w:rFonts w:cs="Times New Roman"/>
          <w:lang w:val="en-US"/>
        </w:rPr>
        <w:t>, Mr. </w:t>
      </w:r>
      <w:r w:rsidRPr="00E13133">
        <w:rPr>
          <w:rFonts w:cs="Times New Roman"/>
          <w:iCs/>
          <w:lang w:val="en-US"/>
        </w:rPr>
        <w:t>Chan</w:t>
      </w:r>
      <w:r w:rsidRPr="00E13133">
        <w:rPr>
          <w:rFonts w:cs="Times New Roman"/>
          <w:lang w:val="en-US"/>
        </w:rPr>
        <w:t xml:space="preserve"> and Mr. </w:t>
      </w:r>
      <w:r w:rsidRPr="00E13133">
        <w:rPr>
          <w:rFonts w:cs="Times New Roman"/>
          <w:iCs/>
          <w:lang w:val="en-US"/>
        </w:rPr>
        <w:t>Brown</w:t>
      </w:r>
      <w:r w:rsidRPr="00E13133">
        <w:rPr>
          <w:rFonts w:cs="Times New Roman"/>
          <w:lang w:val="en-US"/>
        </w:rPr>
        <w:t xml:space="preserve"> has brought to the fore the challenge Parliament faced in striking a balance between the rights of the accused and the stake society has in the equality and dignity interests of the victims of intoxicated violence. </w:t>
      </w:r>
    </w:p>
    <w:p w14:paraId="22612ADA" w14:textId="77777777" w:rsidR="00377DDF" w:rsidRPr="00E13133" w:rsidRDefault="00377DDF" w:rsidP="00377DDF">
      <w:pPr>
        <w:pStyle w:val="ParaNoNdepar-AltN"/>
        <w:rPr>
          <w:rFonts w:cs="Times New Roman"/>
        </w:rPr>
      </w:pPr>
      <w:r w:rsidRPr="00E13133">
        <w:rPr>
          <w:rFonts w:cs="Times New Roman"/>
        </w:rPr>
        <w:t xml:space="preserve">I have no hesitation imagining less impairing options. Many scholars have advanced options that would trench less on the rights of the accused (see, e.g., D. Stuart, “Parliament Should Declare a New Responsibility for Drunkenness Based on Criminal Negligence” (1995), 33 C.R. (4th) 289; T. Quigley, “A Time for Parliament to Enact an Offence of Dangerous Incapacitation” (1995), 33 C.R. (4th) 283; </w:t>
      </w:r>
      <w:r w:rsidRPr="00E13133">
        <w:rPr>
          <w:rFonts w:cs="Times New Roman"/>
          <w:lang w:val="en-US"/>
        </w:rPr>
        <w:t>M. Tremblay, “</w:t>
      </w:r>
      <w:proofErr w:type="spellStart"/>
      <w:r w:rsidRPr="00E13133">
        <w:rPr>
          <w:rFonts w:cs="Times New Roman"/>
          <w:i/>
          <w:lang w:val="en-US"/>
        </w:rPr>
        <w:t>Charte</w:t>
      </w:r>
      <w:proofErr w:type="spellEnd"/>
      <w:r w:rsidRPr="00E13133">
        <w:rPr>
          <w:rFonts w:cs="Times New Roman"/>
          <w:i/>
          <w:lang w:val="en-US"/>
        </w:rPr>
        <w:t xml:space="preserve"> </w:t>
      </w:r>
      <w:proofErr w:type="spellStart"/>
      <w:r w:rsidRPr="00E13133">
        <w:rPr>
          <w:rFonts w:cs="Times New Roman"/>
          <w:i/>
          <w:lang w:val="en-US"/>
        </w:rPr>
        <w:t>canadienne</w:t>
      </w:r>
      <w:proofErr w:type="spellEnd"/>
      <w:r w:rsidRPr="00E13133">
        <w:rPr>
          <w:rFonts w:cs="Times New Roman"/>
          <w:lang w:val="en-US"/>
        </w:rPr>
        <w:t xml:space="preserve"> et intoxication </w:t>
      </w:r>
      <w:proofErr w:type="spellStart"/>
      <w:r w:rsidRPr="00E13133">
        <w:rPr>
          <w:rFonts w:cs="Times New Roman"/>
          <w:lang w:val="en-US"/>
        </w:rPr>
        <w:t>volontaire</w:t>
      </w:r>
      <w:proofErr w:type="spellEnd"/>
      <w:r w:rsidRPr="00E13133">
        <w:rPr>
          <w:rFonts w:cs="Times New Roman"/>
          <w:lang w:val="en-US"/>
        </w:rPr>
        <w:t xml:space="preserve">: </w:t>
      </w:r>
      <w:proofErr w:type="spellStart"/>
      <w:r w:rsidRPr="00E13133">
        <w:rPr>
          <w:rFonts w:cs="Times New Roman"/>
          <w:lang w:val="en-US"/>
        </w:rPr>
        <w:t>l’article</w:t>
      </w:r>
      <w:proofErr w:type="spellEnd"/>
      <w:r w:rsidRPr="00E13133">
        <w:rPr>
          <w:rFonts w:cs="Times New Roman"/>
          <w:lang w:val="en-US"/>
        </w:rPr>
        <w:t xml:space="preserve"> 33.1 du </w:t>
      </w:r>
      <w:r w:rsidRPr="00E13133">
        <w:rPr>
          <w:rFonts w:cs="Times New Roman"/>
          <w:i/>
          <w:lang w:val="en-US"/>
        </w:rPr>
        <w:t xml:space="preserve">Code </w:t>
      </w:r>
      <w:proofErr w:type="spellStart"/>
      <w:r w:rsidRPr="00E13133">
        <w:rPr>
          <w:rFonts w:cs="Times New Roman"/>
          <w:i/>
          <w:lang w:val="en-US"/>
        </w:rPr>
        <w:t>criminel</w:t>
      </w:r>
      <w:proofErr w:type="spellEnd"/>
      <w:r w:rsidRPr="00E13133">
        <w:rPr>
          <w:rFonts w:cs="Times New Roman"/>
          <w:lang w:val="en-US"/>
        </w:rPr>
        <w:t xml:space="preserve"> et </w:t>
      </w:r>
      <w:proofErr w:type="spellStart"/>
      <w:r w:rsidRPr="00E13133">
        <w:rPr>
          <w:rFonts w:cs="Times New Roman"/>
          <w:lang w:val="en-US"/>
        </w:rPr>
        <w:t>ses</w:t>
      </w:r>
      <w:proofErr w:type="spellEnd"/>
      <w:r w:rsidRPr="00E13133">
        <w:rPr>
          <w:rFonts w:cs="Times New Roman"/>
          <w:lang w:val="en-US"/>
        </w:rPr>
        <w:t xml:space="preserve"> solutions de </w:t>
      </w:r>
      <w:proofErr w:type="spellStart"/>
      <w:r w:rsidRPr="00E13133">
        <w:rPr>
          <w:rFonts w:cs="Times New Roman"/>
          <w:lang w:val="en-US"/>
        </w:rPr>
        <w:t>rechange</w:t>
      </w:r>
      <w:proofErr w:type="spellEnd"/>
      <w:r w:rsidRPr="00E13133">
        <w:rPr>
          <w:rFonts w:cs="Times New Roman"/>
          <w:lang w:val="en-US"/>
        </w:rPr>
        <w:t xml:space="preserve">” (2020), 79 </w:t>
      </w:r>
      <w:r w:rsidRPr="00E13133">
        <w:rPr>
          <w:rFonts w:cs="Times New Roman"/>
          <w:i/>
          <w:lang w:val="en-US"/>
        </w:rPr>
        <w:t>R. du B.</w:t>
      </w:r>
      <w:r w:rsidRPr="00E13133">
        <w:rPr>
          <w:rFonts w:cs="Times New Roman"/>
          <w:lang w:val="en-US"/>
        </w:rPr>
        <w:t xml:space="preserve"> 67, at p. 98;</w:t>
      </w:r>
      <w:r w:rsidRPr="00E13133">
        <w:rPr>
          <w:rFonts w:cs="Times New Roman"/>
        </w:rPr>
        <w:t xml:space="preserve"> G. Ferguson, “The Intoxication Defence: Constitutionally Impaired and in Need of Rehabilitation” (2012), 57 </w:t>
      </w:r>
      <w:r w:rsidRPr="00E13133">
        <w:rPr>
          <w:rFonts w:cs="Times New Roman"/>
          <w:i/>
        </w:rPr>
        <w:t>S.C.L.R.</w:t>
      </w:r>
      <w:r w:rsidRPr="00E13133">
        <w:rPr>
          <w:rFonts w:cs="Times New Roman"/>
        </w:rPr>
        <w:t xml:space="preserve"> (2d) 111). Paciocco J.A. concluded that a stand</w:t>
      </w:r>
      <w:r w:rsidRPr="00E13133">
        <w:rPr>
          <w:rFonts w:cs="Times New Roman"/>
        </w:rPr>
        <w:noBreakHyphen/>
        <w:t>alone offence of criminal intoxication would achieve similar objectives as s. 33.1 and would arguably improve on the protective purpose by making deterrence more focused on the intoxication itself (paras. 132</w:t>
      </w:r>
      <w:r w:rsidRPr="00E13133">
        <w:rPr>
          <w:rFonts w:cs="Times New Roman"/>
        </w:rPr>
        <w:noBreakHyphen/>
        <w:t xml:space="preserve">34). </w:t>
      </w:r>
      <w:r w:rsidRPr="00E13133">
        <w:rPr>
          <w:rFonts w:cs="Times New Roman"/>
          <w:lang w:val="en-US"/>
        </w:rPr>
        <w:t>It is certainly true, as the Minister said in Parliament, that the lesser stigma and lesser penalties associated with a new offence would punish intoxicated perpetrators less severely for their wrongs than would a conviction for the underlying offence. But it is an alternative to the consequence of allowing the extremely intoxicated offender to escape punishment altogether.</w:t>
      </w:r>
    </w:p>
    <w:p w14:paraId="04B5BC79" w14:textId="77777777" w:rsidR="00377DDF" w:rsidRPr="00E13133" w:rsidRDefault="00377DDF" w:rsidP="00377DDF">
      <w:pPr>
        <w:pStyle w:val="ParaNoNdepar-AltN"/>
        <w:rPr>
          <w:rFonts w:cs="Times New Roman"/>
        </w:rPr>
      </w:pPr>
      <w:r w:rsidRPr="00E13133">
        <w:rPr>
          <w:rFonts w:cs="Times New Roman"/>
        </w:rPr>
        <w:t>Apart from the stand</w:t>
      </w:r>
      <w:r w:rsidRPr="00E13133">
        <w:rPr>
          <w:rFonts w:cs="Times New Roman"/>
        </w:rPr>
        <w:noBreakHyphen/>
        <w:t xml:space="preserve">alone offence, others have proposed alternative paths to liability for the underlying violent offence based on a criminal negligence standard more carefully crafted than that advanced by s. 33.1. One example is that proposed by the </w:t>
      </w:r>
      <w:r w:rsidRPr="00E13133">
        <w:rPr>
          <w:rFonts w:cs="Times New Roman"/>
          <w:i/>
          <w:iCs/>
        </w:rPr>
        <w:t xml:space="preserve">voir dire </w:t>
      </w:r>
      <w:r w:rsidRPr="00E13133">
        <w:rPr>
          <w:rFonts w:cs="Times New Roman"/>
        </w:rPr>
        <w:t xml:space="preserve">judge. He accepted Parliament’s goal of holding people accountable for a violent act when they have departed from a minimum standard of care by voluntarily consuming intoxicants (para. 79). However, he observed that this standard could be achieved in a less impairing way if s. 33.1 incorporated a true objective fault standard that clearly attaches to the act of self-induced intoxication, which would allow the trier of fact to consider whether a loss of control and bodily harm were both reasonably foreseeable at the time of intoxication (para. 80). He concluded that this would “truly be a link between the </w:t>
      </w:r>
      <w:r w:rsidRPr="00E13133">
        <w:rPr>
          <w:rFonts w:cs="Times New Roman"/>
          <w:i/>
          <w:iCs/>
        </w:rPr>
        <w:t xml:space="preserve">mens rea </w:t>
      </w:r>
      <w:r w:rsidRPr="00E13133">
        <w:rPr>
          <w:rFonts w:cs="Times New Roman"/>
        </w:rPr>
        <w:t xml:space="preserve">of becoming intoxicated and the </w:t>
      </w:r>
      <w:r w:rsidRPr="00E13133">
        <w:rPr>
          <w:rFonts w:cs="Times New Roman"/>
          <w:i/>
          <w:iCs/>
        </w:rPr>
        <w:t xml:space="preserve">mens rea </w:t>
      </w:r>
      <w:r w:rsidRPr="00E13133">
        <w:rPr>
          <w:rFonts w:cs="Times New Roman"/>
        </w:rPr>
        <w:t>for the underlying offence” (</w:t>
      </w:r>
      <w:r w:rsidRPr="00E13133">
        <w:rPr>
          <w:rFonts w:cs="Times New Roman"/>
          <w:i/>
          <w:iCs/>
        </w:rPr>
        <w:t>ibid.</w:t>
      </w:r>
      <w:r w:rsidRPr="00E13133">
        <w:rPr>
          <w:rFonts w:cs="Times New Roman"/>
        </w:rPr>
        <w:t xml:space="preserve">). This would align with the principle in </w:t>
      </w:r>
      <w:r w:rsidRPr="00E13133">
        <w:rPr>
          <w:rFonts w:cs="Times New Roman"/>
          <w:i/>
          <w:iCs/>
        </w:rPr>
        <w:t>DeSousa</w:t>
      </w:r>
      <w:r w:rsidRPr="00E13133">
        <w:rPr>
          <w:rFonts w:cs="Times New Roman"/>
        </w:rPr>
        <w:t xml:space="preserve"> and </w:t>
      </w:r>
      <w:r w:rsidRPr="00E13133">
        <w:rPr>
          <w:rFonts w:cs="Times New Roman"/>
          <w:i/>
          <w:iCs/>
        </w:rPr>
        <w:t xml:space="preserve">Creighton </w:t>
      </w:r>
      <w:r w:rsidRPr="00E13133">
        <w:rPr>
          <w:rFonts w:cs="Times New Roman"/>
        </w:rPr>
        <w:t>that specific consequences need not always be foreseen provided there is an objectively foreseeable risk of bodily harm.</w:t>
      </w:r>
    </w:p>
    <w:p w14:paraId="4B0C282D" w14:textId="77777777" w:rsidR="00377DDF" w:rsidRPr="00E13133" w:rsidRDefault="00377DDF" w:rsidP="00377DDF">
      <w:pPr>
        <w:pStyle w:val="ParaNoNdepar-AltN"/>
        <w:rPr>
          <w:rFonts w:cs="Times New Roman"/>
        </w:rPr>
      </w:pPr>
      <w:r w:rsidRPr="00E13133">
        <w:rPr>
          <w:rFonts w:cs="Times New Roman"/>
        </w:rPr>
        <w:t xml:space="preserve">In terms of the minimal impairment analysis, the stand-alone offence fails to meet Parliament’s full objective and thus was not a viable alternative. It would have labelled Mr. Brown’s offence as one of negligent or dangerous intoxication, rather than stigmatize him for the aggravated assault. The stand-alone offence might also have led to lesser sentences, and, as noted above, the option was criticized as proposing a “drunkenness discount”. Indeed, Parliament rejected the stand-alone offence because it would fail to recognize the true harm committed by an offender and would send the message that an offender should not be held accountable for the harm that is inherent in the underlying offence (see, e.g., Department of Justice, </w:t>
      </w:r>
      <w:r w:rsidRPr="00E13133">
        <w:rPr>
          <w:rFonts w:cs="Times New Roman"/>
          <w:i/>
        </w:rPr>
        <w:t>Self</w:t>
      </w:r>
      <w:r w:rsidRPr="00E13133">
        <w:rPr>
          <w:rFonts w:cs="Times New Roman"/>
          <w:i/>
        </w:rPr>
        <w:noBreakHyphen/>
        <w:t>Induced Intoxication as Criminal Fault: Information Note</w:t>
      </w:r>
      <w:r w:rsidRPr="00E13133">
        <w:rPr>
          <w:rFonts w:cs="Times New Roman"/>
        </w:rPr>
        <w:t xml:space="preserve"> (1995), at p. 5). This would be a particular failure in respect of Parliament’s goal to hold perpetrators to account in as full a manner as possible for the choice to become extremely intoxicated and the violence committed while in that state (see P. Healy, “Intoxication in the Codification of Canadian Criminal Law” (1994), 73 </w:t>
      </w:r>
      <w:r w:rsidRPr="00E13133">
        <w:rPr>
          <w:rFonts w:cs="Times New Roman"/>
          <w:i/>
        </w:rPr>
        <w:t>Can. Bar Rev.</w:t>
      </w:r>
      <w:r w:rsidRPr="00E13133">
        <w:rPr>
          <w:rFonts w:cs="Times New Roman"/>
        </w:rPr>
        <w:t xml:space="preserve"> 515, at pp. 541</w:t>
      </w:r>
      <w:r w:rsidRPr="00E13133">
        <w:rPr>
          <w:rFonts w:cs="Times New Roman"/>
        </w:rPr>
        <w:noBreakHyphen/>
        <w:t xml:space="preserve">42; E. Sheehy, “The intoxication defense in Canada: why women should care” (1996), 23 </w:t>
      </w:r>
      <w:r w:rsidRPr="00E13133">
        <w:rPr>
          <w:rFonts w:cs="Times New Roman"/>
          <w:i/>
        </w:rPr>
        <w:t>Contemp. Drug Probs.</w:t>
      </w:r>
      <w:r w:rsidRPr="00E13133">
        <w:rPr>
          <w:rFonts w:cs="Times New Roman"/>
        </w:rPr>
        <w:t xml:space="preserve"> 595, at p. 618). In the circumstances, it is difficult to conclude that the stand-alone offence would have achieved the objectives in a “real and substantial manner”.</w:t>
      </w:r>
    </w:p>
    <w:p w14:paraId="2C6E255C" w14:textId="77777777" w:rsidR="00377DDF" w:rsidRPr="00E13133" w:rsidRDefault="00377DDF" w:rsidP="00377DDF">
      <w:pPr>
        <w:pStyle w:val="ParaNoNdepar-AltN"/>
        <w:rPr>
          <w:rFonts w:cs="Times New Roman"/>
        </w:rPr>
      </w:pPr>
      <w:r w:rsidRPr="00E13133">
        <w:rPr>
          <w:rFonts w:cs="Times New Roman"/>
        </w:rPr>
        <w:t xml:space="preserve">The alternative proposed by the </w:t>
      </w:r>
      <w:r w:rsidRPr="00E13133">
        <w:rPr>
          <w:rFonts w:cs="Times New Roman"/>
          <w:i/>
          <w:iCs/>
        </w:rPr>
        <w:t xml:space="preserve">voir dire </w:t>
      </w:r>
      <w:r w:rsidRPr="00E13133">
        <w:rPr>
          <w:rFonts w:cs="Times New Roman"/>
        </w:rPr>
        <w:t xml:space="preserve">judge could however allow an accused to be convicted for the underlying violent act and not simply negligent or dangerous intoxication. Incorporating a true marked departure standard into s. 33.1 would allow it to achieve the minimum objective fault standard required by the Constitution (in the case of offences that are not constitutionally required to contain subjective fault, </w:t>
      </w:r>
      <w:r w:rsidRPr="00E13133">
        <w:rPr>
          <w:rFonts w:cs="Times New Roman"/>
          <w:iCs/>
        </w:rPr>
        <w:t xml:space="preserve">per </w:t>
      </w:r>
      <w:r w:rsidRPr="00E13133">
        <w:rPr>
          <w:rFonts w:cs="Times New Roman"/>
          <w:i/>
          <w:iCs/>
        </w:rPr>
        <w:t>R. v. Martineau</w:t>
      </w:r>
      <w:r w:rsidRPr="00E13133">
        <w:rPr>
          <w:rFonts w:cs="Times New Roman"/>
        </w:rPr>
        <w:t>, [1990] 2 S.C.R. 633). Indeed, Khullar J.A. recognized that this alternative would be “less problematic”.</w:t>
      </w:r>
    </w:p>
    <w:p w14:paraId="189BFA30" w14:textId="77777777" w:rsidR="00377DDF" w:rsidRPr="00E13133" w:rsidRDefault="00377DDF" w:rsidP="00377DDF">
      <w:pPr>
        <w:pStyle w:val="ParaNoNdepar-AltN"/>
        <w:rPr>
          <w:rFonts w:cs="Times New Roman"/>
        </w:rPr>
      </w:pPr>
      <w:r w:rsidRPr="00E13133">
        <w:rPr>
          <w:rFonts w:cs="Times New Roman"/>
        </w:rPr>
        <w:t xml:space="preserve">I am aware that Parliament is entitled to deference in this analysis. Indeed, in crafting a new legislative response to the problem of intoxicated violence, it is up to Parliament to decide how to balance its objectives while also respecting </w:t>
      </w:r>
      <w:r w:rsidRPr="00E13133">
        <w:rPr>
          <w:rFonts w:cs="Times New Roman"/>
          <w:i/>
          <w:iCs/>
        </w:rPr>
        <w:t xml:space="preserve">Charter </w:t>
      </w:r>
      <w:r w:rsidRPr="00E13133">
        <w:rPr>
          <w:rFonts w:cs="Times New Roman"/>
        </w:rPr>
        <w:t>rights as much as possible (see, e.g., P. W. Hogg and A. A. </w:t>
      </w:r>
      <w:proofErr w:type="spellStart"/>
      <w:r w:rsidRPr="00E13133">
        <w:rPr>
          <w:rFonts w:cs="Times New Roman"/>
        </w:rPr>
        <w:t>Bushell</w:t>
      </w:r>
      <w:proofErr w:type="spellEnd"/>
      <w:r w:rsidRPr="00E13133">
        <w:rPr>
          <w:rFonts w:cs="Times New Roman"/>
        </w:rPr>
        <w:t xml:space="preserve">, “The </w:t>
      </w:r>
      <w:r w:rsidRPr="00E13133">
        <w:rPr>
          <w:rFonts w:cs="Times New Roman"/>
          <w:i/>
        </w:rPr>
        <w:t>Charter</w:t>
      </w:r>
      <w:r w:rsidRPr="00E13133">
        <w:rPr>
          <w:rFonts w:cs="Times New Roman"/>
        </w:rPr>
        <w:t xml:space="preserve"> Dialogue Between Courts and Legislatures” (1997), 35 </w:t>
      </w:r>
      <w:r w:rsidRPr="00E13133">
        <w:rPr>
          <w:rFonts w:cs="Times New Roman"/>
          <w:i/>
        </w:rPr>
        <w:t>Osgoode Hall L.J.</w:t>
      </w:r>
      <w:r w:rsidRPr="00E13133">
        <w:rPr>
          <w:rFonts w:cs="Times New Roman"/>
        </w:rPr>
        <w:t xml:space="preserve"> 75; D. Baker and R. </w:t>
      </w:r>
      <w:proofErr w:type="spellStart"/>
      <w:r w:rsidRPr="00E13133">
        <w:rPr>
          <w:rFonts w:cs="Times New Roman"/>
        </w:rPr>
        <w:t>Knopff</w:t>
      </w:r>
      <w:proofErr w:type="spellEnd"/>
      <w:r w:rsidRPr="00E13133">
        <w:rPr>
          <w:rFonts w:cs="Times New Roman"/>
        </w:rPr>
        <w:t>, “</w:t>
      </w:r>
      <w:proofErr w:type="spellStart"/>
      <w:r w:rsidRPr="00E13133">
        <w:rPr>
          <w:rFonts w:cs="Times New Roman"/>
          <w:i/>
        </w:rPr>
        <w:t>Daviault</w:t>
      </w:r>
      <w:proofErr w:type="spellEnd"/>
      <w:r w:rsidRPr="00E13133">
        <w:rPr>
          <w:rFonts w:cs="Times New Roman"/>
        </w:rPr>
        <w:t xml:space="preserve"> Dialogue: The Strange Journey of Canada’s Intoxication Defence” (2014), 19 </w:t>
      </w:r>
      <w:r w:rsidRPr="00E13133">
        <w:rPr>
          <w:rFonts w:cs="Times New Roman"/>
          <w:i/>
        </w:rPr>
        <w:t>Rev. Const. Stud.</w:t>
      </w:r>
      <w:r w:rsidRPr="00E13133">
        <w:rPr>
          <w:rFonts w:cs="Times New Roman"/>
        </w:rPr>
        <w:t xml:space="preserve"> 35, at p. 41). Parliament may also wish to study and regulate according to the nature and properties of the intoxicant. The common effects of the intoxicant, its legality, and the circumstances in which it was obtained and consumed may be relevant to a marked departure standard. </w:t>
      </w:r>
    </w:p>
    <w:p w14:paraId="32D9CD05" w14:textId="77777777" w:rsidR="00377DDF" w:rsidRPr="00E13133" w:rsidRDefault="00377DDF" w:rsidP="00377DDF">
      <w:pPr>
        <w:pStyle w:val="ParaNoNdepar-AltN"/>
        <w:rPr>
          <w:rFonts w:cs="Times New Roman"/>
        </w:rPr>
      </w:pPr>
      <w:r w:rsidRPr="00E13133">
        <w:rPr>
          <w:rFonts w:cs="Times New Roman"/>
        </w:rPr>
        <w:t xml:space="preserve">In light of these alternatives, in particular that proposed by the </w:t>
      </w:r>
      <w:r w:rsidRPr="00E13133">
        <w:rPr>
          <w:rFonts w:cs="Times New Roman"/>
          <w:i/>
          <w:iCs/>
        </w:rPr>
        <w:t>voir dire</w:t>
      </w:r>
      <w:r w:rsidRPr="00E13133">
        <w:rPr>
          <w:rFonts w:cs="Times New Roman"/>
        </w:rPr>
        <w:t xml:space="preserve"> judge, which would have achieved Parliament’s accountability objective in a real and substantial manner, I conclude that s. 33.1 is not minimally impairing. Parliament’s objectives of protection and accountability would have been partially met by the stand</w:t>
      </w:r>
      <w:r w:rsidRPr="00E13133">
        <w:rPr>
          <w:rFonts w:cs="Times New Roman"/>
        </w:rPr>
        <w:noBreakHyphen/>
        <w:t>alone offence and even more completely met had Parliament properly followed through on its announced design for a law based on a constitutionally</w:t>
      </w:r>
      <w:r w:rsidRPr="00E13133">
        <w:rPr>
          <w:rFonts w:cs="Times New Roman"/>
        </w:rPr>
        <w:noBreakHyphen/>
        <w:t xml:space="preserve">compliant standard of criminal negligence. But I acknowledge that this is a close call and that experts who have studied the alternatives are not of a single view. </w:t>
      </w:r>
      <w:r w:rsidRPr="00E13133">
        <w:rPr>
          <w:rFonts w:cs="Times New Roman"/>
          <w:lang w:val="en-US"/>
        </w:rPr>
        <w:t>Professor Parent has, for example, proposed no less than four variations on the criminal negligence theme, all designed to ensure that the objective fault required by a remodeled s. 33.1 would ensure that punishment for the general intent offence would only be imposed on those deserving the stigma of a criminal conviction (p. 191).</w:t>
      </w:r>
    </w:p>
    <w:p w14:paraId="689AFA87" w14:textId="77777777" w:rsidR="00377DDF" w:rsidRPr="00E13133" w:rsidRDefault="00377DDF" w:rsidP="00377DDF">
      <w:pPr>
        <w:pStyle w:val="ParaNoNdepar-AltN"/>
        <w:rPr>
          <w:rFonts w:cs="Times New Roman"/>
        </w:rPr>
      </w:pPr>
      <w:r w:rsidRPr="00E13133">
        <w:rPr>
          <w:rFonts w:cs="Times New Roman"/>
        </w:rPr>
        <w:t xml:space="preserve">While I conclude that s. 33.1 is not minimally impairing of an accused’s ss. 7 and 11(d) rights, I recognize that Parliament is entitled to a degree of deference in measuring the reasonable character of policy alternatives. But even if those who defend the law as minimally impairing were right, I am unequivocally of the view that s. 33.1 must fail on the last branch of the proportionality test which reveals the most profound failings of the provision. Mindful that the proportionality analysis is holistic and depends on a close connection between the final two stages of </w:t>
      </w:r>
      <w:r w:rsidRPr="00E13133">
        <w:rPr>
          <w:rFonts w:cs="Times New Roman"/>
          <w:i/>
        </w:rPr>
        <w:t>Oakes</w:t>
      </w:r>
      <w:r w:rsidRPr="00E13133">
        <w:rPr>
          <w:rFonts w:cs="Times New Roman"/>
        </w:rPr>
        <w:t xml:space="preserve"> (</w:t>
      </w:r>
      <w:proofErr w:type="spellStart"/>
      <w:r w:rsidRPr="00E13133">
        <w:rPr>
          <w:rFonts w:cs="Times New Roman"/>
          <w:i/>
        </w:rPr>
        <w:t>Hutterian</w:t>
      </w:r>
      <w:proofErr w:type="spellEnd"/>
      <w:r w:rsidRPr="00E13133">
        <w:rPr>
          <w:rFonts w:cs="Times New Roman"/>
          <w:i/>
        </w:rPr>
        <w:t xml:space="preserve"> Brethren</w:t>
      </w:r>
      <w:r w:rsidRPr="00E13133">
        <w:rPr>
          <w:rFonts w:cs="Times New Roman"/>
        </w:rPr>
        <w:t xml:space="preserve">, at para. 191, per LeBel J.), I turn now to an explanation of why s. 33.1 must also fail on an assessment of the relative benefits and negative effects of the law under the </w:t>
      </w:r>
      <w:r w:rsidRPr="00E13133">
        <w:rPr>
          <w:rFonts w:cs="Times New Roman"/>
          <w:i/>
        </w:rPr>
        <w:t>Oakes</w:t>
      </w:r>
      <w:r w:rsidRPr="00E13133">
        <w:rPr>
          <w:rFonts w:cs="Times New Roman"/>
        </w:rPr>
        <w:t xml:space="preserve"> test. </w:t>
      </w:r>
    </w:p>
    <w:p w14:paraId="1C89F259" w14:textId="77777777" w:rsidR="00377DDF" w:rsidRPr="00E13133" w:rsidRDefault="00377DDF" w:rsidP="00377DDF">
      <w:pPr>
        <w:pStyle w:val="Title4LevelTitre4Niveau"/>
        <w:rPr>
          <w:rFonts w:cs="Times New Roman"/>
        </w:rPr>
      </w:pPr>
      <w:r w:rsidRPr="00E13133">
        <w:rPr>
          <w:rFonts w:cs="Times New Roman"/>
        </w:rPr>
        <w:t>Proportionality Between Effects and Objectives</w:t>
      </w:r>
    </w:p>
    <w:p w14:paraId="732309FC" w14:textId="77777777" w:rsidR="00377DDF" w:rsidRPr="00E13133" w:rsidRDefault="00377DDF" w:rsidP="00377DDF">
      <w:pPr>
        <w:pStyle w:val="ParaNoNdepar-AltN"/>
        <w:rPr>
          <w:rFonts w:cs="Times New Roman"/>
        </w:rPr>
      </w:pPr>
      <w:r w:rsidRPr="00E13133">
        <w:rPr>
          <w:rFonts w:cs="Times New Roman"/>
        </w:rPr>
        <w:t xml:space="preserve">At the final stage under s. 1, the question is whether there is proportionality between the overall effects of the </w:t>
      </w:r>
      <w:r w:rsidRPr="00E13133">
        <w:rPr>
          <w:rFonts w:cs="Times New Roman"/>
          <w:i/>
          <w:iCs/>
        </w:rPr>
        <w:t>Charter</w:t>
      </w:r>
      <w:r w:rsidRPr="00E13133">
        <w:rPr>
          <w:rFonts w:cs="Times New Roman"/>
          <w:iCs/>
        </w:rPr>
        <w:t>-</w:t>
      </w:r>
      <w:r w:rsidRPr="00E13133">
        <w:rPr>
          <w:rFonts w:cs="Times New Roman"/>
        </w:rPr>
        <w:t>infringing measure and the legislative objectives (</w:t>
      </w:r>
      <w:r w:rsidRPr="00E13133">
        <w:rPr>
          <w:rFonts w:cs="Times New Roman"/>
          <w:i/>
          <w:iCs/>
        </w:rPr>
        <w:t>Oakes</w:t>
      </w:r>
      <w:r w:rsidRPr="00E13133">
        <w:rPr>
          <w:rFonts w:cs="Times New Roman"/>
        </w:rPr>
        <w:t xml:space="preserve">, at p. 139; </w:t>
      </w:r>
      <w:proofErr w:type="spellStart"/>
      <w:r w:rsidRPr="00E13133">
        <w:rPr>
          <w:rFonts w:cs="Times New Roman"/>
          <w:i/>
          <w:iCs/>
        </w:rPr>
        <w:t>Hutterian</w:t>
      </w:r>
      <w:proofErr w:type="spellEnd"/>
      <w:r w:rsidRPr="00E13133">
        <w:rPr>
          <w:rFonts w:cs="Times New Roman"/>
          <w:i/>
          <w:iCs/>
        </w:rPr>
        <w:t xml:space="preserve"> Brethren</w:t>
      </w:r>
      <w:r w:rsidRPr="00E13133">
        <w:rPr>
          <w:rFonts w:cs="Times New Roman"/>
        </w:rPr>
        <w:t>, at paras. 72</w:t>
      </w:r>
      <w:r w:rsidRPr="00E13133">
        <w:rPr>
          <w:rFonts w:cs="Times New Roman"/>
        </w:rPr>
        <w:noBreakHyphen/>
        <w:t>73). This invites the broadest assessment of the benefits of s. 33.1 to society, weighed against the cost of the limitations to ss. 7 and 11(</w:t>
      </w:r>
      <w:r w:rsidRPr="00E13133">
        <w:rPr>
          <w:rFonts w:cs="Times New Roman"/>
          <w:iCs/>
        </w:rPr>
        <w:t>d</w:t>
      </w:r>
      <w:r w:rsidRPr="00E13133">
        <w:rPr>
          <w:rFonts w:cs="Times New Roman"/>
        </w:rPr>
        <w:t xml:space="preserve">) of the </w:t>
      </w:r>
      <w:r w:rsidRPr="00E13133">
        <w:rPr>
          <w:rFonts w:cs="Times New Roman"/>
          <w:i/>
          <w:iCs/>
        </w:rPr>
        <w:t>Charter</w:t>
      </w:r>
      <w:r w:rsidRPr="00E13133">
        <w:rPr>
          <w:rFonts w:cs="Times New Roman"/>
        </w:rPr>
        <w:t xml:space="preserve"> (see </w:t>
      </w:r>
      <w:r w:rsidRPr="00E13133">
        <w:rPr>
          <w:rFonts w:cs="Times New Roman"/>
          <w:i/>
          <w:iCs/>
        </w:rPr>
        <w:t>K.R.J.</w:t>
      </w:r>
      <w:r w:rsidRPr="00E13133">
        <w:rPr>
          <w:rFonts w:cs="Times New Roman"/>
        </w:rPr>
        <w:t xml:space="preserve">, at para. 77; </w:t>
      </w:r>
      <w:r w:rsidRPr="00E13133">
        <w:rPr>
          <w:rFonts w:cs="Times New Roman"/>
          <w:i/>
          <w:iCs/>
        </w:rPr>
        <w:t>Bedford</w:t>
      </w:r>
      <w:r w:rsidRPr="00E13133">
        <w:rPr>
          <w:rFonts w:cs="Times New Roman"/>
        </w:rPr>
        <w:t xml:space="preserve">, at para. 123; </w:t>
      </w:r>
      <w:r w:rsidRPr="00E13133">
        <w:rPr>
          <w:rFonts w:cs="Times New Roman"/>
          <w:i/>
          <w:iCs/>
        </w:rPr>
        <w:t>Carter</w:t>
      </w:r>
      <w:r w:rsidRPr="00E13133">
        <w:rPr>
          <w:rFonts w:cs="Times New Roman"/>
        </w:rPr>
        <w:t>, at para. 122). Balancing requires a court to “transcend the law’s purpose and engage in a robust examination of the law’s impact on Canada’s free and democratic society ‘in direct and explicit terms’” (</w:t>
      </w:r>
      <w:r w:rsidRPr="00E13133">
        <w:rPr>
          <w:rFonts w:cs="Times New Roman"/>
          <w:i/>
          <w:iCs/>
        </w:rPr>
        <w:t>K.R.J</w:t>
      </w:r>
      <w:r w:rsidRPr="00E13133">
        <w:rPr>
          <w:rFonts w:cs="Times New Roman"/>
          <w:i/>
        </w:rPr>
        <w:t>.</w:t>
      </w:r>
      <w:r w:rsidRPr="00E13133">
        <w:rPr>
          <w:rFonts w:cs="Times New Roman"/>
        </w:rPr>
        <w:t>, at para. 79).</w:t>
      </w:r>
    </w:p>
    <w:p w14:paraId="2242F798" w14:textId="77777777" w:rsidR="00377DDF" w:rsidRPr="00E13133" w:rsidRDefault="00377DDF" w:rsidP="00377DDF">
      <w:pPr>
        <w:pStyle w:val="ParaNoNdepar-AltN"/>
        <w:rPr>
          <w:rFonts w:cs="Times New Roman"/>
        </w:rPr>
      </w:pPr>
      <w:r w:rsidRPr="00E13133">
        <w:rPr>
          <w:rFonts w:cs="Times New Roman"/>
        </w:rPr>
        <w:t>Mr. Brown says that the Court of Appeal erred in minimizing the deleterious effects of s. 33.1 in that the provision would allow for wrongful convictions based on involuntary acts and the absence of even reasonable foreseeability of the consequences of those acts. In response, the Crown asks this Court to accept the proportionality analysis of the Court of Appeal, in particular the analysis of Khullar J.A. It says that her emphasis on the gendered nature of intoxicated violence and Parliament’s efforts to address that problem in s. 33.1 should be adopted, notwithstanding the abridgment of the ss. 7 and 11(</w:t>
      </w:r>
      <w:r w:rsidRPr="00E13133">
        <w:rPr>
          <w:rFonts w:cs="Times New Roman"/>
          <w:iCs/>
        </w:rPr>
        <w:t>d</w:t>
      </w:r>
      <w:r w:rsidRPr="00E13133">
        <w:rPr>
          <w:rFonts w:cs="Times New Roman"/>
        </w:rPr>
        <w:t xml:space="preserve">) </w:t>
      </w:r>
      <w:r w:rsidRPr="00E13133">
        <w:rPr>
          <w:rFonts w:cs="Times New Roman"/>
          <w:i/>
          <w:iCs/>
        </w:rPr>
        <w:t>Charter</w:t>
      </w:r>
      <w:r w:rsidRPr="00E13133">
        <w:rPr>
          <w:rFonts w:cs="Times New Roman"/>
        </w:rPr>
        <w:t xml:space="preserve"> rights of the accused which the Crown argues Mr. Brown has overstated.</w:t>
      </w:r>
    </w:p>
    <w:p w14:paraId="7E213D2F" w14:textId="77777777" w:rsidR="00377DDF" w:rsidRPr="00E13133" w:rsidRDefault="00377DDF" w:rsidP="00377DDF">
      <w:pPr>
        <w:pStyle w:val="ParaNoNdepar-AltN"/>
        <w:rPr>
          <w:rFonts w:cs="Times New Roman"/>
        </w:rPr>
      </w:pPr>
      <w:r w:rsidRPr="00E13133">
        <w:rPr>
          <w:rFonts w:cs="Times New Roman"/>
        </w:rPr>
        <w:t>In my view, Mr. Brown is right on this point. In the result, the meaningful benefits of s. 33.1 do not outweigh the costs, in particular</w:t>
      </w:r>
      <w:r w:rsidRPr="00E13133">
        <w:rPr>
          <w:rFonts w:cs="Times New Roman"/>
          <w:lang w:val="en-US"/>
        </w:rPr>
        <w:t xml:space="preserve"> to what the </w:t>
      </w:r>
      <w:r w:rsidRPr="00E13133">
        <w:rPr>
          <w:rFonts w:cs="Times New Roman"/>
          <w:i/>
          <w:iCs/>
          <w:lang w:val="en-US"/>
        </w:rPr>
        <w:t>voir dire</w:t>
      </w:r>
      <w:r w:rsidRPr="00E13133">
        <w:rPr>
          <w:rFonts w:cs="Times New Roman"/>
          <w:lang w:val="en-US"/>
        </w:rPr>
        <w:t xml:space="preserve"> judge describes as the “sacrosanct principles” integral to our criminal justice system, including the presumption of innocence (para. </w:t>
      </w:r>
      <w:r w:rsidRPr="00E13133">
        <w:rPr>
          <w:rFonts w:cs="Times New Roman"/>
        </w:rPr>
        <w:t xml:space="preserve">89). </w:t>
      </w:r>
    </w:p>
    <w:p w14:paraId="5C353267" w14:textId="77777777" w:rsidR="00377DDF" w:rsidRPr="00E13133" w:rsidRDefault="00377DDF" w:rsidP="00377DDF">
      <w:pPr>
        <w:pStyle w:val="Title5LevelTitre5Niveau"/>
        <w:tabs>
          <w:tab w:val="clear" w:pos="1728"/>
        </w:tabs>
        <w:ind w:left="1134" w:hanging="567"/>
        <w:rPr>
          <w:rFonts w:cs="Times New Roman"/>
        </w:rPr>
      </w:pPr>
      <w:r w:rsidRPr="00E13133">
        <w:rPr>
          <w:rFonts w:cs="Times New Roman"/>
        </w:rPr>
        <w:t>Salutary Effects</w:t>
      </w:r>
    </w:p>
    <w:p w14:paraId="7FDB7CD8" w14:textId="77777777" w:rsidR="00377DDF" w:rsidRPr="00E13133" w:rsidRDefault="00377DDF" w:rsidP="00377DDF">
      <w:pPr>
        <w:pStyle w:val="ParaNoNdepar-AltN"/>
        <w:rPr>
          <w:rFonts w:cs="Times New Roman"/>
        </w:rPr>
      </w:pPr>
      <w:r w:rsidRPr="00E13133">
        <w:rPr>
          <w:rFonts w:cs="Times New Roman"/>
          <w:lang w:val="en-US"/>
        </w:rPr>
        <w:t xml:space="preserve">By including general intent crimes of sexual and domestic violence within s. 33.1(3), the amendments to the </w:t>
      </w:r>
      <w:r w:rsidRPr="00E13133">
        <w:rPr>
          <w:rFonts w:cs="Times New Roman"/>
          <w:i/>
          <w:lang w:val="en-US"/>
        </w:rPr>
        <w:t xml:space="preserve">Criminal </w:t>
      </w:r>
      <w:r w:rsidRPr="00E13133">
        <w:rPr>
          <w:rFonts w:cs="Times New Roman"/>
          <w:i/>
          <w:iCs/>
          <w:lang w:val="en-US"/>
        </w:rPr>
        <w:t>Code</w:t>
      </w:r>
      <w:r w:rsidRPr="00E13133">
        <w:rPr>
          <w:rFonts w:cs="Times New Roman"/>
          <w:lang w:val="en-US"/>
        </w:rPr>
        <w:t xml:space="preserve"> do help to ensure the rights of women and children to equal protection and benefit of the law as guaranteed by the </w:t>
      </w:r>
      <w:r w:rsidRPr="00E13133">
        <w:rPr>
          <w:rFonts w:cs="Times New Roman"/>
          <w:i/>
          <w:iCs/>
          <w:lang w:val="en-US"/>
        </w:rPr>
        <w:t>Charter</w:t>
      </w:r>
      <w:r w:rsidRPr="00E13133">
        <w:rPr>
          <w:rFonts w:cs="Times New Roman"/>
          <w:lang w:val="en-US"/>
        </w:rPr>
        <w:t>, as promised in the preamble. The provision gives expression to the close and harmful association between extreme self-induced intoxication and violence. By removing the defence in s. 33.1(1), it ensures that the morally blameworthy conduct of self</w:t>
      </w:r>
      <w:r w:rsidRPr="00E13133">
        <w:rPr>
          <w:rFonts w:cs="Times New Roman"/>
          <w:lang w:val="en-US"/>
        </w:rPr>
        <w:noBreakHyphen/>
        <w:t xml:space="preserve">induced extreme intoxication is not an excuse at law for that violence, which is a plain social good. Section 33.1 </w:t>
      </w:r>
      <w:r w:rsidRPr="00E13133">
        <w:rPr>
          <w:rFonts w:cs="Times New Roman"/>
        </w:rPr>
        <w:t xml:space="preserve">voices society’s strong intolerance for such behaviour, and affirms society’s commitment to the equality and security rights of victims vulnerable to intoxicated crime. </w:t>
      </w:r>
    </w:p>
    <w:p w14:paraId="22516C19" w14:textId="77777777" w:rsidR="00377DDF" w:rsidRPr="00E13133" w:rsidRDefault="00377DDF" w:rsidP="00377DDF">
      <w:pPr>
        <w:pStyle w:val="ParaNoNdepar-AltN"/>
        <w:rPr>
          <w:rFonts w:eastAsia="Times New Roman" w:cs="Times New Roman"/>
        </w:rPr>
      </w:pPr>
      <w:r w:rsidRPr="00E13133">
        <w:rPr>
          <w:rFonts w:cs="Times New Roman"/>
        </w:rPr>
        <w:t>The “recognition of the dignity and self</w:t>
      </w:r>
      <w:r w:rsidRPr="00E13133">
        <w:rPr>
          <w:rFonts w:cs="Times New Roman"/>
        </w:rPr>
        <w:noBreakHyphen/>
        <w:t xml:space="preserve">worth of women and children” was well described by Khullar J.A., who wrote that this “breathes some meaning” into equality rights in the </w:t>
      </w:r>
      <w:r w:rsidRPr="00E13133">
        <w:rPr>
          <w:rFonts w:cs="Times New Roman"/>
          <w:i/>
        </w:rPr>
        <w:t>Charter</w:t>
      </w:r>
      <w:r w:rsidRPr="00E13133">
        <w:rPr>
          <w:rFonts w:cs="Times New Roman"/>
        </w:rPr>
        <w:t>, and properly took notice of this as a beneficial effect of s. 33.1 in the justification analysis (para. 202). Others have rightly observed that violence against vulnerable groups is “one way in which women are denied full participation in society, furthering women’s inequality” (Grant, “Second Chances: Bill C</w:t>
      </w:r>
      <w:r w:rsidRPr="00E13133">
        <w:rPr>
          <w:rFonts w:cs="Times New Roman"/>
        </w:rPr>
        <w:noBreakHyphen/>
        <w:t xml:space="preserve">72 and the </w:t>
      </w:r>
      <w:r w:rsidRPr="00E13133">
        <w:rPr>
          <w:rFonts w:cs="Times New Roman"/>
          <w:i/>
        </w:rPr>
        <w:t>Charter</w:t>
      </w:r>
      <w:r w:rsidRPr="00E13133">
        <w:rPr>
          <w:rFonts w:cs="Times New Roman"/>
        </w:rPr>
        <w:t xml:space="preserve">”, at p. 388). Section 33.1 responds meaningfully to that inequality by recognizing that women and children deserve the full protection of the law and by condemning intoxicated gendered and family violence. I would add that by considering equality as a broad social interest under s. 1 rather than under s. 7 as she did, Khullar J.A. did not devalue its importance as a justification for the </w:t>
      </w:r>
      <w:r w:rsidRPr="00E13133">
        <w:rPr>
          <w:rFonts w:cs="Times New Roman"/>
          <w:i/>
        </w:rPr>
        <w:t>Charter</w:t>
      </w:r>
      <w:r w:rsidRPr="00E13133">
        <w:rPr>
          <w:rFonts w:cs="Times New Roman"/>
        </w:rPr>
        <w:t xml:space="preserve"> violation. Not only is s. 7 unsuited, in this case, to the balancing of competing rights, s. 1 is the proper locus for considering how much society, including the victims of crime, benefit from the impugned law (see </w:t>
      </w:r>
      <w:r w:rsidRPr="00E13133">
        <w:rPr>
          <w:rFonts w:cs="Times New Roman"/>
          <w:i/>
        </w:rPr>
        <w:t>Bedford</w:t>
      </w:r>
      <w:r w:rsidRPr="00E13133">
        <w:rPr>
          <w:rFonts w:cs="Times New Roman"/>
        </w:rPr>
        <w:t>, at para. 125; Coughlan, at p. 157). I agree too with Khullar J.A. that a benefit of s. 33.1 is that the accountability promised in the preamble advances dignity and equality interests that unpunished intoxicated violence threatens (paras. 202</w:t>
      </w:r>
      <w:r w:rsidRPr="00E13133">
        <w:rPr>
          <w:rFonts w:cs="Times New Roman"/>
        </w:rPr>
        <w:noBreakHyphen/>
        <w:t>4).</w:t>
      </w:r>
    </w:p>
    <w:p w14:paraId="28ACB7DA"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Section 33.1 also provides societal benefit through its communicative and deterrent effects. Khullar J.A. recognized not only that s. 33.1 contributes to a social ethos of disapproval of extreme self</w:t>
      </w:r>
      <w:r w:rsidRPr="00E13133">
        <w:rPr>
          <w:rFonts w:cs="Times New Roman"/>
        </w:rPr>
        <w:noBreakHyphen/>
        <w:t>induced intoxication, she wrote that it “serves the important role of signalling to people that they must be aware and cautious that their alcohol and drug use may lead to consequences they do not intend and cannot control” (para. 206). Similarly, the interveners the Attorney General of Saskatchewan and LEAF argue that s. 33.1 denounces wrongful behaviour and, as a result, recognizes the dignity and equality interests of victims. Because s. 33.1 includes in its reach the irresponsible use and mixing of intoxicants that could lead to automatism and violence, the law discourages such behaviour and also raises awareness about the link between extreme intoxication and violence. This benefit is not negated by the fact that some deterrence is already provided by the common law rule on intoxication or that the deterrent effect is mitigated by the fact that it needs to take hold before the offender loses control. And while I recognize that deterrence might also come if a stand</w:t>
      </w:r>
      <w:r w:rsidRPr="00E13133">
        <w:rPr>
          <w:rFonts w:cs="Times New Roman"/>
        </w:rPr>
        <w:noBreakHyphen/>
        <w:t>alone offence of dangerous intoxication was enacted, I nevertheless agree that these meaningful benefits are properly ascribed to s. 33.1.</w:t>
      </w:r>
    </w:p>
    <w:p w14:paraId="0515E597"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In addition, as the Attorney General</w:t>
      </w:r>
      <w:r w:rsidRPr="00E13133">
        <w:rPr>
          <w:rFonts w:cs="Times New Roman"/>
          <w:szCs w:val="24"/>
        </w:rPr>
        <w:t xml:space="preserve"> </w:t>
      </w:r>
      <w:r w:rsidRPr="00E13133">
        <w:rPr>
          <w:rFonts w:cs="Times New Roman"/>
        </w:rPr>
        <w:t xml:space="preserve">of Manitoba submits, s. 33.1 contributes to public confidence in the criminal justice system. In </w:t>
      </w:r>
      <w:r w:rsidRPr="00E13133">
        <w:rPr>
          <w:rFonts w:cs="Times New Roman"/>
          <w:i/>
          <w:iCs/>
        </w:rPr>
        <w:t>Creighton</w:t>
      </w:r>
      <w:r w:rsidRPr="00E13133">
        <w:rPr>
          <w:rFonts w:cs="Times New Roman"/>
        </w:rPr>
        <w:t xml:space="preserve">, McLachlin J. observed that it would “offend common notions of justice to acquit a person who has killed another of manslaughter and find him guilty instead of aggravated assault on the ground that death, as opposed to harm, was not foreseeable” (p. 54). Similarly, it was reasonable for Parliament to conclude, as suggested in the record, that it offended the public’s common notions of justice that, to take the example of </w:t>
      </w:r>
      <w:r w:rsidRPr="00E13133">
        <w:rPr>
          <w:rFonts w:cs="Times New Roman"/>
          <w:i/>
        </w:rPr>
        <w:t>Daviault</w:t>
      </w:r>
      <w:r w:rsidRPr="00E13133">
        <w:rPr>
          <w:rFonts w:cs="Times New Roman"/>
        </w:rPr>
        <w:t>, a highly intoxicated accused who intentionally ingested half</w:t>
      </w:r>
      <w:r w:rsidRPr="00E13133">
        <w:rPr>
          <w:rFonts w:cs="Times New Roman"/>
        </w:rPr>
        <w:noBreakHyphen/>
        <w:t>a</w:t>
      </w:r>
      <w:r w:rsidRPr="00E13133">
        <w:rPr>
          <w:rFonts w:cs="Times New Roman"/>
          <w:szCs w:val="24"/>
        </w:rPr>
        <w:noBreakHyphen/>
      </w:r>
      <w:r w:rsidRPr="00E13133">
        <w:rPr>
          <w:rFonts w:cs="Times New Roman"/>
        </w:rPr>
        <w:t xml:space="preserve">dozen beers and a bottle of brandy might completely escape liability for sexually assaulting an elderly, disabled woman. </w:t>
      </w:r>
      <w:r w:rsidRPr="00E13133">
        <w:rPr>
          <w:rFonts w:cs="Times New Roman"/>
          <w:lang w:val="en-US"/>
        </w:rPr>
        <w:t xml:space="preserve">That said, given that s. 33.1 infringes the </w:t>
      </w:r>
      <w:r w:rsidRPr="00E13133">
        <w:rPr>
          <w:rFonts w:cs="Times New Roman"/>
          <w:i/>
          <w:iCs/>
          <w:lang w:val="en-US"/>
        </w:rPr>
        <w:t>Charter</w:t>
      </w:r>
      <w:r w:rsidRPr="00E13133">
        <w:rPr>
          <w:rFonts w:cs="Times New Roman"/>
          <w:lang w:val="en-US"/>
        </w:rPr>
        <w:t xml:space="preserve"> as it does, it is best not to overstate the confidence to the public that its protective and accountability purposes might foster. It is too easy to lose sight of the fact that, as Wallace J. wrote in </w:t>
      </w:r>
      <w:r w:rsidRPr="00E13133">
        <w:rPr>
          <w:rFonts w:cs="Times New Roman"/>
          <w:i/>
          <w:lang w:val="en-US"/>
        </w:rPr>
        <w:t xml:space="preserve">R. v. </w:t>
      </w:r>
      <w:r w:rsidRPr="00E13133">
        <w:rPr>
          <w:rFonts w:cs="Times New Roman"/>
          <w:i/>
          <w:iCs/>
          <w:lang w:val="en-US"/>
        </w:rPr>
        <w:t>Dunn</w:t>
      </w:r>
      <w:r w:rsidRPr="00E13133">
        <w:rPr>
          <w:rFonts w:cs="Times New Roman"/>
          <w:lang w:val="en-US"/>
        </w:rPr>
        <w:t xml:space="preserve"> (1999), 28 C.R. (5th) 295 (Ont. C.J. (Gen. Div.)), “society’s interests must also include a system of law, governed by the principles of fundamental justice” (para. 32). Principles of fundamental justice are recognized as such because they form basic tenets of the legal system in which there is some “general acceptance among reasonable people” that the principle is vital or fundamental to societal notions of justice (</w:t>
      </w:r>
      <w:r w:rsidRPr="00E13133">
        <w:rPr>
          <w:rFonts w:cs="Times New Roman"/>
          <w:i/>
          <w:iCs/>
          <w:lang w:val="en-US"/>
        </w:rPr>
        <w:t>Malmo-Levine</w:t>
      </w:r>
      <w:r w:rsidRPr="00E13133">
        <w:rPr>
          <w:rFonts w:cs="Times New Roman"/>
          <w:lang w:val="en-US"/>
        </w:rPr>
        <w:t xml:space="preserve">, at para. 112 (emphasis deleted); </w:t>
      </w:r>
      <w:r w:rsidRPr="00E13133">
        <w:rPr>
          <w:rFonts w:cs="Times New Roman"/>
          <w:i/>
          <w:iCs/>
          <w:lang w:val="en-US"/>
        </w:rPr>
        <w:t>Motor Vehicle Reference</w:t>
      </w:r>
      <w:r w:rsidRPr="00E13133">
        <w:rPr>
          <w:rFonts w:cs="Times New Roman"/>
          <w:lang w:val="en-US"/>
        </w:rPr>
        <w:t xml:space="preserve">, at p. 503; </w:t>
      </w:r>
      <w:r w:rsidRPr="00E13133">
        <w:rPr>
          <w:rFonts w:cs="Times New Roman"/>
          <w:i/>
          <w:iCs/>
          <w:lang w:val="en-US"/>
        </w:rPr>
        <w:t>Rodriguez v. British Columbia (Attorney General)</w:t>
      </w:r>
      <w:r w:rsidRPr="00E13133">
        <w:rPr>
          <w:rFonts w:cs="Times New Roman"/>
          <w:lang w:val="en-US"/>
        </w:rPr>
        <w:t>, [1993] 3 S.C.R. 519, at pp. 590</w:t>
      </w:r>
      <w:r w:rsidRPr="00E13133">
        <w:rPr>
          <w:rFonts w:cs="Times New Roman"/>
          <w:lang w:val="en-US"/>
        </w:rPr>
        <w:noBreakHyphen/>
        <w:t>91 and 607). In denying the presumption of innocence, s. 33.1 unwittingly serves to compromise the full promise of the confidence that Parliament designed it to promote.</w:t>
      </w:r>
    </w:p>
    <w:p w14:paraId="34157898" w14:textId="77777777" w:rsidR="00377DDF" w:rsidRPr="00E13133" w:rsidRDefault="00377DDF" w:rsidP="00377DDF">
      <w:pPr>
        <w:pStyle w:val="ParaNoNdepar-AltN"/>
        <w:tabs>
          <w:tab w:val="clear" w:pos="1166"/>
          <w:tab w:val="num" w:pos="1152"/>
        </w:tabs>
        <w:rPr>
          <w:rFonts w:cs="Times New Roman"/>
        </w:rPr>
      </w:pPr>
      <w:r w:rsidRPr="00E13133">
        <w:rPr>
          <w:rFonts w:cs="Times New Roman"/>
          <w:lang w:val="en-US"/>
        </w:rPr>
        <w:t xml:space="preserve">There is a manifest benefit to be connected with the accountability purpose of Parliament described above which, in my respectful view, the majority of the Court of Appeal in </w:t>
      </w:r>
      <w:r w:rsidRPr="00E13133">
        <w:rPr>
          <w:rFonts w:cs="Times New Roman"/>
          <w:i/>
          <w:lang w:val="en-US"/>
        </w:rPr>
        <w:t>Sullivan</w:t>
      </w:r>
      <w:r w:rsidRPr="00E13133">
        <w:rPr>
          <w:rFonts w:cs="Times New Roman"/>
          <w:lang w:val="en-US"/>
        </w:rPr>
        <w:t xml:space="preserve"> should have considered as part of the full measure of the beneficial effects of s. 33.1 (see, on this point, Coughlan, at p. 158). Section 33.1 targets the offender’s choice to create a risk of harm by becoming extremely intoxicated. One of the benefits of s. 33.1 is that it fosters personal responsibility in respect of voluntary intoxication that Parliament saw as one of the root sources of violent crime. To ignore that policy is to diminish one of the benefits of the impugned law which — however imperfectly — sought to impose that ethic of personal responsibility as a key to breaking the connection between intoxication and violence. I note that Lauwers J.A. did take this dimension of s. 33.1 into consideration in his justification analysis and the majority considered the matter in the alternative and that neither felt this factor, on its own, tipped the scales in the ultimate balancing under </w:t>
      </w:r>
      <w:r w:rsidRPr="00E13133">
        <w:rPr>
          <w:rFonts w:cs="Times New Roman"/>
          <w:i/>
          <w:lang w:val="en-US"/>
        </w:rPr>
        <w:t>Oakes</w:t>
      </w:r>
      <w:r w:rsidRPr="00E13133">
        <w:rPr>
          <w:rFonts w:cs="Times New Roman"/>
          <w:lang w:val="en-US"/>
        </w:rPr>
        <w:t>.</w:t>
      </w:r>
    </w:p>
    <w:p w14:paraId="36C03589" w14:textId="77777777" w:rsidR="00377DDF" w:rsidRPr="00E13133" w:rsidRDefault="00377DDF" w:rsidP="00377DDF">
      <w:pPr>
        <w:pStyle w:val="ParaNoNdepar-AltN"/>
        <w:tabs>
          <w:tab w:val="clear" w:pos="1166"/>
          <w:tab w:val="num" w:pos="1152"/>
        </w:tabs>
        <w:rPr>
          <w:rFonts w:cs="Times New Roman"/>
        </w:rPr>
      </w:pPr>
      <w:r w:rsidRPr="00E13133">
        <w:rPr>
          <w:rFonts w:cs="Times New Roman"/>
          <w:lang w:val="en-US"/>
        </w:rPr>
        <w:t>At the end of the day, Parliament’s own accountability objective was undone by the very means it chose to pursue it. In holding the extreme self</w:t>
      </w:r>
      <w:r w:rsidRPr="00E13133">
        <w:rPr>
          <w:rFonts w:cs="Times New Roman"/>
          <w:lang w:val="en-US"/>
        </w:rPr>
        <w:noBreakHyphen/>
        <w:t xml:space="preserve">intoxicated offender to account, s. 33.1 does not require objective foreseeability of the risk of falling into a state of automatism, much less the risk of consequential harm. Parliament’s goal may have been to impose personal responsibility for the creation of the risk of harm, but in the absence of a requirement of reasonable foreseeability, that goal is frustrated. The Minister said in the House — his point was echoed by the Crown in this appeal and the </w:t>
      </w:r>
      <w:r w:rsidRPr="00E13133">
        <w:rPr>
          <w:rFonts w:cs="Times New Roman"/>
          <w:i/>
          <w:lang w:val="en-US"/>
        </w:rPr>
        <w:t>Sullivan</w:t>
      </w:r>
      <w:r w:rsidRPr="00E13133">
        <w:rPr>
          <w:rFonts w:cs="Times New Roman"/>
          <w:lang w:val="en-US"/>
        </w:rPr>
        <w:t xml:space="preserve"> and </w:t>
      </w:r>
      <w:r w:rsidRPr="00E13133">
        <w:rPr>
          <w:rFonts w:cs="Times New Roman"/>
          <w:i/>
          <w:lang w:val="en-US"/>
        </w:rPr>
        <w:t>Chan</w:t>
      </w:r>
      <w:r w:rsidRPr="00E13133">
        <w:rPr>
          <w:rFonts w:cs="Times New Roman"/>
          <w:lang w:val="en-US"/>
        </w:rPr>
        <w:t xml:space="preserve"> appeals — that s. 33.1 “provides for the link between the fault in self</w:t>
      </w:r>
      <w:r w:rsidRPr="00E13133">
        <w:rPr>
          <w:rFonts w:cs="Times New Roman"/>
          <w:lang w:val="en-US"/>
        </w:rPr>
        <w:noBreakHyphen/>
        <w:t>induced intoxication and the harm or fault in the criminal conduct which forms the basis of the charge” (Hansard, March 27, 1995, at p. 11038). With great respect, that link is not found in s. 33.1, suggesting strongly that Parliament failed to satisfy its own announced purpose.</w:t>
      </w:r>
    </w:p>
    <w:p w14:paraId="06D2AC34" w14:textId="77777777" w:rsidR="00377DDF" w:rsidRPr="00E13133" w:rsidRDefault="00377DDF" w:rsidP="00377DDF">
      <w:pPr>
        <w:pStyle w:val="Title5LevelTitre5Niveau"/>
        <w:tabs>
          <w:tab w:val="clear" w:pos="1728"/>
        </w:tabs>
        <w:ind w:left="1134" w:hanging="567"/>
        <w:rPr>
          <w:rFonts w:cs="Times New Roman"/>
        </w:rPr>
      </w:pPr>
      <w:r w:rsidRPr="00E13133">
        <w:rPr>
          <w:rFonts w:cs="Times New Roman"/>
        </w:rPr>
        <w:t>Deleterious Effects</w:t>
      </w:r>
    </w:p>
    <w:p w14:paraId="5B24FBCA" w14:textId="77777777" w:rsidR="00377DDF" w:rsidRPr="00E13133" w:rsidRDefault="00377DDF" w:rsidP="00377DDF">
      <w:pPr>
        <w:pStyle w:val="ParaNoNdepar-AltN"/>
        <w:rPr>
          <w:rFonts w:cs="Times New Roman"/>
        </w:rPr>
      </w:pPr>
      <w:r w:rsidRPr="00E13133">
        <w:rPr>
          <w:rFonts w:cs="Times New Roman"/>
        </w:rPr>
        <w:t xml:space="preserve">The fundamental flaw of s. 33.1 is the risk of wrongful convictions it presents. By denying even a small fraction of accused persons the ability to raise a reasonable doubt as to the voluntariness or </w:t>
      </w:r>
      <w:r w:rsidRPr="00E13133">
        <w:rPr>
          <w:rFonts w:cs="Times New Roman"/>
          <w:i/>
          <w:iCs/>
        </w:rPr>
        <w:t>mens rea</w:t>
      </w:r>
      <w:r w:rsidRPr="00E13133">
        <w:rPr>
          <w:rFonts w:cs="Times New Roman"/>
        </w:rPr>
        <w:t xml:space="preserve"> elements of the offence charged, s. 33.1 permits an individual to be convicted, and subject to the stigma, liberty restrictions and other consequences of a criminal conviction, for involuntary conduct. Section 33.1 runs counter to the fundamental organizing principles that are necessary to allow individuals to face the power of the state in the criminal justice system fairly, in particular the all-important presumption of innocence. It enables conviction for conduct that an accused person was not aware of and could not control and therefore cannot be a “guilty act” as defined by the underlying offences. This result follows even where individuals ingest alcohol or drugs in common</w:t>
      </w:r>
      <w:r w:rsidRPr="00E13133">
        <w:rPr>
          <w:rFonts w:cs="Times New Roman"/>
        </w:rPr>
        <w:noBreakHyphen/>
        <w:t>place situations where there is no subjective or objective foresight of automatism or violence.</w:t>
      </w:r>
    </w:p>
    <w:p w14:paraId="34DC575D" w14:textId="77777777" w:rsidR="00377DDF" w:rsidRPr="00E13133" w:rsidRDefault="00377DDF" w:rsidP="00377DDF">
      <w:pPr>
        <w:pStyle w:val="ParaNoNdepar-AltN"/>
        <w:rPr>
          <w:rFonts w:cs="Times New Roman"/>
        </w:rPr>
      </w:pPr>
      <w:r w:rsidRPr="00E13133">
        <w:rPr>
          <w:rFonts w:cs="Times New Roman"/>
        </w:rPr>
        <w:t xml:space="preserve">I agree with the courts below that the deleterious effects of s. 33.1 are serious and troubling. As </w:t>
      </w:r>
      <w:proofErr w:type="spellStart"/>
      <w:r w:rsidRPr="00E13133">
        <w:rPr>
          <w:rFonts w:cs="Times New Roman"/>
        </w:rPr>
        <w:t>Vertes</w:t>
      </w:r>
      <w:proofErr w:type="spellEnd"/>
      <w:r w:rsidRPr="00E13133">
        <w:rPr>
          <w:rFonts w:cs="Times New Roman"/>
        </w:rPr>
        <w:t xml:space="preserve"> J. put it in </w:t>
      </w:r>
      <w:r w:rsidRPr="00E13133">
        <w:rPr>
          <w:rFonts w:cs="Times New Roman"/>
          <w:i/>
          <w:iCs/>
        </w:rPr>
        <w:t>R. v. Brenton</w:t>
      </w:r>
      <w:r w:rsidRPr="00E13133">
        <w:rPr>
          <w:rFonts w:cs="Times New Roman"/>
        </w:rPr>
        <w:t xml:space="preserve"> (1999), 180 D.L.R. (4th) 314 (N.W.T.S.C.), in denying the defence of automatism, s. 33.1 “casts aside the fundamental principle of voluntariness as well as the presumption of innocence, values that are enshrined in the </w:t>
      </w:r>
      <w:r w:rsidRPr="00E13133">
        <w:rPr>
          <w:rFonts w:cs="Times New Roman"/>
          <w:iCs/>
        </w:rPr>
        <w:t>Charter</w:t>
      </w:r>
      <w:r w:rsidRPr="00E13133">
        <w:rPr>
          <w:rFonts w:cs="Times New Roman"/>
        </w:rPr>
        <w:t xml:space="preserve"> and at the very core of our criminal law system as developed over many centuries” (para. 122). In </w:t>
      </w:r>
      <w:r w:rsidRPr="00E13133">
        <w:rPr>
          <w:rFonts w:cs="Times New Roman"/>
          <w:i/>
          <w:iCs/>
        </w:rPr>
        <w:t>Dunn</w:t>
      </w:r>
      <w:r w:rsidRPr="00E13133">
        <w:rPr>
          <w:rFonts w:cs="Times New Roman"/>
        </w:rPr>
        <w:t xml:space="preserve">, Wallace J. concluded that there are few infringements that could be more serious because “[w]hen an accused can be convicted without proof that he intended his actions or without proof that his actions were voluntary, then absolute liability has become a component of Canadian criminal justice, the presumption of innocence is eroded and principles of fundamental justice are seriously compromised” (para. 54). In </w:t>
      </w:r>
      <w:r w:rsidRPr="00E13133">
        <w:rPr>
          <w:rFonts w:cs="Times New Roman"/>
          <w:i/>
          <w:iCs/>
        </w:rPr>
        <w:t>Sullivan</w:t>
      </w:r>
      <w:r w:rsidRPr="00E13133">
        <w:rPr>
          <w:rFonts w:cs="Times New Roman"/>
        </w:rPr>
        <w:t>, Paciocco J.A. wrote compellingly that “the deleterious effects of s. 33.1 include the contravention of virtually all the criminal law principles that the law relies upon to protect the morally innocent, including the venerable presumption of innocence” (para. 153), and Lauwers J.A. said that fundamental rights of the accused under ss. 7 and 11(d) are “severely limited” (para. 287). In this case, Khullar J.A. acknowledged that the negative effects on the rights of the accused are “serious and troubling” (para. 201). This is particularly true when one recalls that Parliament failed to respect its own promise, made in the preamble to Bill C</w:t>
      </w:r>
      <w:r w:rsidRPr="00E13133">
        <w:rPr>
          <w:rFonts w:cs="Times New Roman"/>
        </w:rPr>
        <w:noBreakHyphen/>
        <w:t>72, to provide “full protection” to the ss. 7 and 11 rights of the accused.</w:t>
      </w:r>
    </w:p>
    <w:p w14:paraId="0410629B" w14:textId="77777777" w:rsidR="00377DDF" w:rsidRPr="00E13133" w:rsidRDefault="00377DDF" w:rsidP="00377DDF">
      <w:pPr>
        <w:pStyle w:val="ParaNoNdepar-AltN"/>
        <w:rPr>
          <w:rFonts w:cs="Times New Roman"/>
        </w:rPr>
      </w:pPr>
      <w:r w:rsidRPr="00E13133">
        <w:rPr>
          <w:rFonts w:cs="Times New Roman"/>
        </w:rPr>
        <w:t>It is not unfair to say that the narrow compass of s. 33.1 limits these negative effects. Section 33.1 only applies, as we have seen, to the violent offences of general intent named in s. 33.1(3). It is also not unfair to say that the burden of showing automatism presents a high hurdle for the accused and that the law only applies to certain intoxicants that have the properties that can bring about a state akin to automatism. While these considerations may limit the number of offenders who face these negative consequences, it is best to recognize that the narrow compass argument is two</w:t>
      </w:r>
      <w:r w:rsidRPr="00E13133">
        <w:rPr>
          <w:rFonts w:cs="Times New Roman"/>
        </w:rPr>
        <w:noBreakHyphen/>
        <w:t xml:space="preserve">edged. If it is indeed true that s. 33.1 does not apply to alcohol alone, for example — a point I need not decide here — then some of the benefits ascribed to the law by the Crown were already assured by the aspects of the </w:t>
      </w:r>
      <w:r w:rsidRPr="00E13133">
        <w:rPr>
          <w:rFonts w:cs="Times New Roman"/>
          <w:i/>
        </w:rPr>
        <w:t>Leary</w:t>
      </w:r>
      <w:r w:rsidRPr="00E13133">
        <w:rPr>
          <w:rFonts w:cs="Times New Roman"/>
        </w:rPr>
        <w:t xml:space="preserve"> rule that denied the defence of most forms of intoxication for crimes of general intent that </w:t>
      </w:r>
      <w:r w:rsidRPr="00E13133">
        <w:rPr>
          <w:rFonts w:cs="Times New Roman"/>
          <w:i/>
        </w:rPr>
        <w:t>Daviault</w:t>
      </w:r>
      <w:r w:rsidRPr="00E13133">
        <w:rPr>
          <w:rFonts w:cs="Times New Roman"/>
        </w:rPr>
        <w:t xml:space="preserve"> left intact.</w:t>
      </w:r>
    </w:p>
    <w:p w14:paraId="03A3834B" w14:textId="77777777" w:rsidR="00377DDF" w:rsidRPr="00E13133" w:rsidRDefault="00377DDF" w:rsidP="00377DDF">
      <w:pPr>
        <w:pStyle w:val="ParaNoNdepar-AltN"/>
        <w:rPr>
          <w:rFonts w:cs="Times New Roman"/>
        </w:rPr>
      </w:pPr>
      <w:r w:rsidRPr="00E13133">
        <w:rPr>
          <w:rFonts w:cs="Times New Roman"/>
        </w:rPr>
        <w:t>But even if its compass is narrow and its application rare, s. 33.1 limits not just one but three fundamental rights of the accused</w:t>
      </w:r>
      <w:r w:rsidRPr="00E13133">
        <w:rPr>
          <w:rFonts w:cs="Times New Roman"/>
          <w:iCs/>
        </w:rPr>
        <w:t>.</w:t>
      </w:r>
      <w:r w:rsidRPr="00E13133">
        <w:rPr>
          <w:rFonts w:cs="Times New Roman"/>
        </w:rPr>
        <w:t xml:space="preserve"> It enables conviction where the accused acted involuntarily, where the accused did not possess the minimum level of fault required, and where the Crown has not proven beyond a reasonable doubt the essential elements of the offence for which an accused is charged. These limitations operate to put in place a regime of absolute liability that undermines many of the core beliefs used to structure our system of criminal law. It is difficult to imagine more serious limitations than the denial of voluntariness, </w:t>
      </w:r>
      <w:r w:rsidRPr="00E13133">
        <w:rPr>
          <w:rFonts w:cs="Times New Roman"/>
          <w:i/>
          <w:iCs/>
        </w:rPr>
        <w:t>mens rea</w:t>
      </w:r>
      <w:r w:rsidRPr="00E13133">
        <w:rPr>
          <w:rFonts w:cs="Times New Roman"/>
        </w:rPr>
        <w:t>, and the presumption of innocence all in one. An accused may be morally blameworthy in some measure for voluntarily consuming intoxicants but that blame is not the measure of guilt at law for the underlying offences set out in s. 33.1(3). With great respect, I cannot agree with Slatter J.A., who said in the balancing of salutary and deleterious effects, that “[n]o one who is truly morally innocent is impacted [by s. 33.1]” (para. 81).</w:t>
      </w:r>
    </w:p>
    <w:p w14:paraId="32F08374" w14:textId="77777777" w:rsidR="00377DDF" w:rsidRPr="00E13133" w:rsidRDefault="00377DDF" w:rsidP="00377DDF">
      <w:pPr>
        <w:pStyle w:val="ParaNoNdepar-AltN"/>
        <w:rPr>
          <w:rFonts w:cs="Times New Roman"/>
        </w:rPr>
      </w:pPr>
      <w:r w:rsidRPr="00E13133">
        <w:rPr>
          <w:rFonts w:cs="Times New Roman"/>
        </w:rPr>
        <w:t xml:space="preserve">I acknowledge that some, pointing in particular to Sopinka J.’s dissent in </w:t>
      </w:r>
      <w:r w:rsidRPr="00E13133">
        <w:rPr>
          <w:rFonts w:cs="Times New Roman"/>
          <w:i/>
        </w:rPr>
        <w:t>Daviault</w:t>
      </w:r>
      <w:r w:rsidRPr="00E13133">
        <w:rPr>
          <w:rFonts w:cs="Times New Roman"/>
        </w:rPr>
        <w:t>, have argued that s. 33.1 does not create a true offence of absolute liability since extreme voluntary intoxication can bring with it a degree of fault. Contrary to the person who falls into a state of involuntariness by reason of an uncontrollable epileptic fit, for example, the voluntarily extremely intoxicated offender is [</w:t>
      </w:r>
      <w:r w:rsidRPr="00E13133">
        <w:rPr>
          <w:rFonts w:cs="Times New Roman"/>
          <w:smallCaps/>
        </w:rPr>
        <w:t>translation</w:t>
      </w:r>
      <w:r w:rsidRPr="00E13133">
        <w:rPr>
          <w:rFonts w:cs="Times New Roman"/>
        </w:rPr>
        <w:t>] “directly responsible for their lack of voluntariness” (Parent, at p. 197). But as I have endeavoured to show, it is not enough that s. 33.1 captures only the blameworthiness associated with extreme self</w:t>
      </w:r>
      <w:r w:rsidRPr="00E13133">
        <w:rPr>
          <w:rFonts w:cs="Times New Roman"/>
        </w:rPr>
        <w:noBreakHyphen/>
        <w:t xml:space="preserve">intoxication when s. 33.1 fails to consider whether the offender knew or ought to have known that there was a risk they would lose control of their actions and thereby risk causing harm to others. Because s. 33.1 does not build in a criterion of objective foreseeability, it is impossible to say who, among those who voluntarily ingest intoxicants, has the degree of blameworthiness that would justify the stigma and punishment associated with the underlying offence with which they are charged. </w:t>
      </w:r>
    </w:p>
    <w:p w14:paraId="4FEFBD40" w14:textId="77777777" w:rsidR="00377DDF" w:rsidRPr="00E13133" w:rsidRDefault="00377DDF" w:rsidP="00377DDF">
      <w:pPr>
        <w:pStyle w:val="ParaNoNdepar-AltN"/>
        <w:rPr>
          <w:rFonts w:cs="Times New Roman"/>
        </w:rPr>
      </w:pPr>
      <w:r w:rsidRPr="00E13133">
        <w:rPr>
          <w:rFonts w:cs="Times New Roman"/>
        </w:rPr>
        <w:t xml:space="preserve">Where the intoxicant is licit, or where no reasonable person would anticipate the risk of automatism, whatever blameworthiness that comes from voluntary intoxication is relatively low and likely disproportionate to the punishment the individual would face if convicted for an offence committed in a state akin to automatism (see </w:t>
      </w:r>
      <w:r w:rsidRPr="00E13133">
        <w:rPr>
          <w:rFonts w:cs="Times New Roman"/>
          <w:i/>
        </w:rPr>
        <w:t>Creighton</w:t>
      </w:r>
      <w:r w:rsidRPr="00E13133">
        <w:rPr>
          <w:rFonts w:cs="Times New Roman"/>
        </w:rPr>
        <w:t>, at pp. 48</w:t>
      </w:r>
      <w:r w:rsidRPr="00E13133">
        <w:rPr>
          <w:rFonts w:cs="Times New Roman"/>
        </w:rPr>
        <w:noBreakHyphen/>
        <w:t xml:space="preserve">49, citing </w:t>
      </w:r>
      <w:r w:rsidRPr="00E13133">
        <w:rPr>
          <w:rFonts w:cs="Times New Roman"/>
          <w:i/>
        </w:rPr>
        <w:t>Martineau</w:t>
      </w:r>
      <w:r w:rsidRPr="00E13133">
        <w:rPr>
          <w:rFonts w:cs="Times New Roman"/>
        </w:rPr>
        <w:t xml:space="preserve">, at p. 647). While Mr. Brown ingested an illicit drug, the trial judge found, based on expert evidence, that his reaction to the drug was not reasonably foreseeable. Even if the ingestion of magic mushrooms is not morally innocent in the broadest sense, to convict Mr. Brown for aggravated assault in light of the voluntariness and minimal </w:t>
      </w:r>
      <w:r w:rsidRPr="00E13133">
        <w:rPr>
          <w:rFonts w:cs="Times New Roman"/>
          <w:i/>
        </w:rPr>
        <w:t>mens rea</w:t>
      </w:r>
      <w:r w:rsidRPr="00E13133">
        <w:rPr>
          <w:rFonts w:cs="Times New Roman"/>
        </w:rPr>
        <w:t xml:space="preserve"> requirements fixed by the </w:t>
      </w:r>
      <w:r w:rsidRPr="00E13133">
        <w:rPr>
          <w:rFonts w:cs="Times New Roman"/>
          <w:i/>
        </w:rPr>
        <w:t>Charter</w:t>
      </w:r>
      <w:r w:rsidRPr="00E13133">
        <w:rPr>
          <w:rFonts w:cs="Times New Roman"/>
        </w:rPr>
        <w:t xml:space="preserve"> would, in my view, account to a wrongful conviction for the offence as charged.</w:t>
      </w:r>
    </w:p>
    <w:p w14:paraId="3B3C1E5C" w14:textId="77777777" w:rsidR="00377DDF" w:rsidRPr="00E13133" w:rsidRDefault="00377DDF" w:rsidP="00377DDF">
      <w:pPr>
        <w:pStyle w:val="ParaNoNdepar-AltN"/>
        <w:rPr>
          <w:rFonts w:cs="Times New Roman"/>
        </w:rPr>
      </w:pPr>
      <w:r w:rsidRPr="00E13133">
        <w:rPr>
          <w:rFonts w:cs="Times New Roman"/>
        </w:rPr>
        <w:t xml:space="preserve">One is hard pressed to disagree with the trial judge in </w:t>
      </w:r>
      <w:r w:rsidRPr="00E13133">
        <w:rPr>
          <w:rFonts w:cs="Times New Roman"/>
          <w:i/>
        </w:rPr>
        <w:t>R. v. Chan</w:t>
      </w:r>
      <w:r w:rsidRPr="00E13133">
        <w:rPr>
          <w:rFonts w:cs="Times New Roman"/>
        </w:rPr>
        <w:t>, 2018 ONSC 3849, 365 C.C.C. (3d) 376, who observed that “Parliament is entitled to express the view that extreme self</w:t>
      </w:r>
      <w:r w:rsidRPr="00E13133">
        <w:rPr>
          <w:rFonts w:cs="Times New Roman"/>
        </w:rPr>
        <w:noBreakHyphen/>
        <w:t xml:space="preserve">intoxication is morally blameworthy behaviour” (para. 152). But I respectfully disagree with him where he wrote “the morally innocent will not be punished” (para. 156). Mr. Brown may not have been blameless in deciding to consume the magic mushrooms, but he is not guilty of the crime with which he was charged according to the requirements of the </w:t>
      </w:r>
      <w:r w:rsidRPr="00E13133">
        <w:rPr>
          <w:rFonts w:cs="Times New Roman"/>
          <w:i/>
        </w:rPr>
        <w:t>Charter</w:t>
      </w:r>
      <w:r w:rsidRPr="00E13133">
        <w:rPr>
          <w:rFonts w:cs="Times New Roman"/>
        </w:rPr>
        <w:t>.</w:t>
      </w:r>
    </w:p>
    <w:p w14:paraId="0C658EA9" w14:textId="77777777" w:rsidR="00377DDF" w:rsidRPr="00E13133" w:rsidRDefault="00377DDF" w:rsidP="00377DDF">
      <w:pPr>
        <w:pStyle w:val="ParaNoNdepar-AltN"/>
        <w:rPr>
          <w:rFonts w:cs="Times New Roman"/>
        </w:rPr>
      </w:pPr>
      <w:r w:rsidRPr="00E13133">
        <w:rPr>
          <w:rFonts w:cs="Times New Roman"/>
        </w:rPr>
        <w:t xml:space="preserve">The </w:t>
      </w:r>
      <w:r w:rsidRPr="00E13133">
        <w:rPr>
          <w:rFonts w:cs="Times New Roman"/>
          <w:i/>
          <w:iCs/>
        </w:rPr>
        <w:t>voir dire</w:t>
      </w:r>
      <w:r w:rsidRPr="00E13133">
        <w:rPr>
          <w:rFonts w:cs="Times New Roman"/>
        </w:rPr>
        <w:t xml:space="preserve"> judge in Mr. Brown</w:t>
      </w:r>
      <w:r w:rsidRPr="00E13133">
        <w:rPr>
          <w:rFonts w:cs="Times New Roman"/>
          <w:lang w:val="en-US"/>
        </w:rPr>
        <w:t>’s case</w:t>
      </w:r>
      <w:r w:rsidRPr="00E13133">
        <w:rPr>
          <w:rFonts w:cs="Times New Roman"/>
        </w:rPr>
        <w:t xml:space="preserve"> was right to speak of the principles breached by s. 33.1 as “sacrosanct”. In the </w:t>
      </w:r>
      <w:r w:rsidRPr="00E13133">
        <w:rPr>
          <w:rFonts w:cs="Times New Roman"/>
          <w:i/>
          <w:iCs/>
        </w:rPr>
        <w:t>Motor Vehicle Reference</w:t>
      </w:r>
      <w:r w:rsidRPr="00E13133">
        <w:rPr>
          <w:rFonts w:cs="Times New Roman"/>
          <w:iCs/>
        </w:rPr>
        <w:t>,</w:t>
      </w:r>
      <w:r w:rsidRPr="00E13133">
        <w:rPr>
          <w:rFonts w:cs="Times New Roman"/>
        </w:rPr>
        <w:t xml:space="preserve"> Lamer J., as he then was, wrote that the principle that the innocent must not be punished “has long been recognized as an essential element of a system for the administration of justice which is founded upon a belief in the dignity and worth of the human person and on the rule of law” (p. 513).</w:t>
      </w:r>
    </w:p>
    <w:p w14:paraId="2F1E97B4" w14:textId="77777777" w:rsidR="00377DDF" w:rsidRPr="00E13133" w:rsidRDefault="00377DDF" w:rsidP="00377DDF">
      <w:pPr>
        <w:pStyle w:val="ParaNoNdepar-AltN"/>
        <w:tabs>
          <w:tab w:val="clear" w:pos="1166"/>
          <w:tab w:val="num" w:pos="1152"/>
        </w:tabs>
        <w:rPr>
          <w:rFonts w:cs="Times New Roman"/>
        </w:rPr>
      </w:pPr>
      <w:r w:rsidRPr="00E13133">
        <w:rPr>
          <w:rFonts w:cs="Times New Roman"/>
          <w:lang w:val="en-US"/>
        </w:rPr>
        <w:t xml:space="preserve">The idea that a conviction in the absence of the required proof of blameworthiness threatens a system of criminal justice founded on the dignity and worth of the human person has been a recurring theme in our jurisprudence (see, e.g., </w:t>
      </w:r>
      <w:r w:rsidRPr="00E13133">
        <w:rPr>
          <w:rFonts w:cs="Times New Roman"/>
          <w:i/>
          <w:iCs/>
          <w:lang w:val="en-US"/>
        </w:rPr>
        <w:t>Oakes</w:t>
      </w:r>
      <w:r w:rsidRPr="00E13133">
        <w:rPr>
          <w:rFonts w:cs="Times New Roman"/>
          <w:lang w:val="en-US"/>
        </w:rPr>
        <w:t xml:space="preserve">, at p. 136; </w:t>
      </w:r>
      <w:r w:rsidRPr="00E13133">
        <w:rPr>
          <w:rFonts w:cs="Times New Roman"/>
          <w:i/>
          <w:iCs/>
          <w:lang w:val="en-US"/>
        </w:rPr>
        <w:t>R. v. Stevens</w:t>
      </w:r>
      <w:r w:rsidRPr="00E13133">
        <w:rPr>
          <w:rFonts w:cs="Times New Roman"/>
          <w:lang w:val="en-US"/>
        </w:rPr>
        <w:t xml:space="preserve">, [1988] 1 S.C.R. 1153, at p. 1175; </w:t>
      </w:r>
      <w:r w:rsidRPr="00E13133">
        <w:rPr>
          <w:rFonts w:cs="Times New Roman"/>
          <w:i/>
          <w:iCs/>
          <w:lang w:val="en-US"/>
        </w:rPr>
        <w:t>R. v. Hess</w:t>
      </w:r>
      <w:r w:rsidRPr="00E13133">
        <w:rPr>
          <w:rFonts w:cs="Times New Roman"/>
          <w:lang w:val="en-US"/>
        </w:rPr>
        <w:t xml:space="preserve">, [1990] 2 S.C.R. 906, at p. 918). Where a person is punished who did not know or could not know they are committing an offence, wrote Wilson J. in </w:t>
      </w:r>
      <w:r w:rsidRPr="00E13133">
        <w:rPr>
          <w:rFonts w:cs="Times New Roman"/>
          <w:i/>
          <w:iCs/>
          <w:lang w:val="en-US"/>
        </w:rPr>
        <w:t>Hess</w:t>
      </w:r>
      <w:r w:rsidRPr="00E13133">
        <w:rPr>
          <w:rFonts w:cs="Times New Roman"/>
          <w:lang w:val="en-US"/>
        </w:rPr>
        <w:t xml:space="preserve">, that state action inflicts a grave injury on that person’s dignity and self-worth. Two comments, however, help explain the full message of this idea. First, the measure of moral innocence extends not just to the requirement of proof of subjective fault but, as Wilson J. suggests, it leaves room for offences where blameworthiness is measured on a modified objective basis, anticipating developments in the law coming later in cases such as </w:t>
      </w:r>
      <w:r w:rsidRPr="00E13133">
        <w:rPr>
          <w:rFonts w:cs="Times New Roman"/>
          <w:i/>
          <w:iCs/>
          <w:lang w:val="en-US"/>
        </w:rPr>
        <w:t>Creighton</w:t>
      </w:r>
      <w:r w:rsidRPr="00E13133">
        <w:rPr>
          <w:rFonts w:cs="Times New Roman"/>
          <w:lang w:val="en-US"/>
        </w:rPr>
        <w:t>. Section 33.1 does not do even this and, in my view, the possibility of a fairly crafted rule on criminal liability for harm caused by self-induced intoxication remains open to Parliament. Second, and importantly, the recognition of the “dignity and self-worth” of the accused does not come at the expense of the dignity and self-worth of the victims of crime, a value alluded to in the preamble of Bill C</w:t>
      </w:r>
      <w:r w:rsidRPr="00E13133">
        <w:rPr>
          <w:rFonts w:cs="Times New Roman"/>
          <w:lang w:val="en-US"/>
        </w:rPr>
        <w:noBreakHyphen/>
        <w:t>72. Nor is the victim’s dignity interest consigned to a second-order status if, in the balancing mandated by s. 1, s. 33.1 is struck down because of its overarching deleterious effects of state action.</w:t>
      </w:r>
    </w:p>
    <w:p w14:paraId="43AE919B"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 xml:space="preserve">The </w:t>
      </w:r>
      <w:r w:rsidRPr="00E13133">
        <w:rPr>
          <w:rFonts w:cs="Times New Roman"/>
          <w:i/>
          <w:iCs/>
        </w:rPr>
        <w:t>voir dire</w:t>
      </w:r>
      <w:r w:rsidRPr="00E13133">
        <w:rPr>
          <w:rFonts w:cs="Times New Roman"/>
        </w:rPr>
        <w:t xml:space="preserve"> judge rightly recognized that these principles exist to ensure that the morally innocent are not convicted (para. 89). Section 33.1 creates the risk that a person will be convicted of the underlying offence on the basis of proof of the blameworthiness associated with extreme intoxication, without regard to the objective foreseeability of harm. It holds a person to answer for their involuntary conduct. It does so without due regard to the presumption of innocence which protects against arbitrary exercise of power by the state. Potentially, s. 33.1 could apply to anyone who voluntarily consumes an intoxicant, even if they do so with restraint or for medical reasons where the reasonable person would not have foreseen even trivial or transitory physical harm. This is an extremely serious deleterious effect. </w:t>
      </w:r>
    </w:p>
    <w:p w14:paraId="1B14D083" w14:textId="77777777" w:rsidR="00377DDF" w:rsidRPr="00E13133" w:rsidRDefault="00377DDF" w:rsidP="00377DDF">
      <w:pPr>
        <w:pStyle w:val="ParaNoNdepar-AltN"/>
        <w:tabs>
          <w:tab w:val="clear" w:pos="1166"/>
          <w:tab w:val="num" w:pos="1152"/>
        </w:tabs>
        <w:rPr>
          <w:rFonts w:cs="Times New Roman"/>
        </w:rPr>
      </w:pPr>
      <w:r w:rsidRPr="00E13133">
        <w:rPr>
          <w:rFonts w:cs="Times New Roman"/>
        </w:rPr>
        <w:t xml:space="preserve">An additional deleterious effect is that s. 33.1 disproportionately punishes for unintentional harm, contrary to the principle that punishment be proportionate to the gravity of the offence. Section 33.1 requires the offender to face full responsibility of the underlying crime even though the </w:t>
      </w:r>
      <w:r w:rsidRPr="00E13133">
        <w:rPr>
          <w:rFonts w:cs="Times New Roman"/>
          <w:i/>
          <w:iCs/>
        </w:rPr>
        <w:t xml:space="preserve">actus </w:t>
      </w:r>
      <w:proofErr w:type="gramStart"/>
      <w:r w:rsidRPr="00E13133">
        <w:rPr>
          <w:rFonts w:cs="Times New Roman"/>
          <w:i/>
          <w:iCs/>
        </w:rPr>
        <w:t>reus</w:t>
      </w:r>
      <w:proofErr w:type="gramEnd"/>
      <w:r w:rsidRPr="00E13133">
        <w:rPr>
          <w:rFonts w:cs="Times New Roman"/>
        </w:rPr>
        <w:t xml:space="preserve"> and </w:t>
      </w:r>
      <w:r w:rsidRPr="00E13133">
        <w:rPr>
          <w:rFonts w:cs="Times New Roman"/>
          <w:i/>
          <w:iCs/>
        </w:rPr>
        <w:t>mens rea</w:t>
      </w:r>
      <w:r w:rsidRPr="00E13133">
        <w:rPr>
          <w:rFonts w:cs="Times New Roman"/>
        </w:rPr>
        <w:t xml:space="preserve"> of the violent offence are not met. They are exposed, at sentence, to the full brunt of punishment for that offence, subject to the sentencing judge’s exercise of discretion, according to law. This must be the focus of the deleterious effects analysis since, under s. 33.1(3), it is the violent offence for which the accused is convicted and punished. It bears repeating: the gravamen of Mr. Brown’s charged offence is not extreme intoxication, it is the violent assault that he is said to have committed while he did not have the capacity for voluntary action.</w:t>
      </w:r>
    </w:p>
    <w:p w14:paraId="088FE5F8" w14:textId="77777777" w:rsidR="00377DDF" w:rsidRPr="00E13133" w:rsidRDefault="00377DDF" w:rsidP="00377DDF">
      <w:pPr>
        <w:pStyle w:val="ParaNoNdepar-AltN"/>
        <w:rPr>
          <w:rFonts w:cs="Times New Roman"/>
        </w:rPr>
      </w:pPr>
      <w:r w:rsidRPr="00E13133">
        <w:rPr>
          <w:rFonts w:cs="Times New Roman"/>
          <w:lang w:val="en-US"/>
        </w:rPr>
        <w:t xml:space="preserve">In saying this, I have not lost sight of the often-cited public outcry that followed </w:t>
      </w:r>
      <w:r w:rsidRPr="00E13133">
        <w:rPr>
          <w:rFonts w:cs="Times New Roman"/>
          <w:i/>
          <w:iCs/>
          <w:lang w:val="en-US"/>
        </w:rPr>
        <w:t>Daviault</w:t>
      </w:r>
      <w:r w:rsidRPr="00E13133">
        <w:rPr>
          <w:rFonts w:cs="Times New Roman"/>
          <w:lang w:val="en-US"/>
        </w:rPr>
        <w:t xml:space="preserve"> which the Minister of Justice of the day said was one of the driving forces behind the enactment of s. 33.1. But public outcries do not in themselves justify unconstitutional laws. And to my mind, that response was focused on the ultimate effect of allowing the defence of automatism to act as a source of </w:t>
      </w:r>
      <w:r w:rsidRPr="00E13133">
        <w:rPr>
          <w:rFonts w:cs="Times New Roman"/>
          <w:i/>
          <w:iCs/>
          <w:lang w:val="en-US"/>
        </w:rPr>
        <w:t>impunity</w:t>
      </w:r>
      <w:r w:rsidRPr="00E13133">
        <w:rPr>
          <w:rFonts w:cs="Times New Roman"/>
          <w:lang w:val="en-US"/>
        </w:rPr>
        <w:t xml:space="preserve"> for the violent intoxicated offender by allowing them, in the words of the Minister of Justice in Parliament in 1995, “to escape the consequences [of the] law” (</w:t>
      </w:r>
      <w:r w:rsidRPr="00E13133">
        <w:rPr>
          <w:rFonts w:cs="Times New Roman"/>
          <w:iCs/>
          <w:lang w:val="en-US"/>
        </w:rPr>
        <w:t>Hansard</w:t>
      </w:r>
      <w:r w:rsidRPr="00E13133">
        <w:rPr>
          <w:rFonts w:cs="Times New Roman"/>
          <w:lang w:val="en-US"/>
        </w:rPr>
        <w:t>, March 27, 1995, at p. 11038). But if s. 33.1 were properly tailored to the blameworthiness of the accused — if it, for example, punished dangerous intoxication or criminally negligent intoxication leading to objectively foreseeable loss of control and non</w:t>
      </w:r>
      <w:r w:rsidRPr="00E13133">
        <w:rPr>
          <w:rFonts w:cs="Times New Roman"/>
          <w:lang w:val="en-US"/>
        </w:rPr>
        <w:noBreakHyphen/>
        <w:t>trivial, non</w:t>
      </w:r>
      <w:r w:rsidRPr="00E13133">
        <w:rPr>
          <w:rFonts w:cs="Times New Roman"/>
          <w:lang w:val="en-US"/>
        </w:rPr>
        <w:noBreakHyphen/>
        <w:t>transitory bodily harm — the accused would not escape the consequences of the law and the accountability and protective goals of Parliament would have been met. This Court’s task is not to solve the problem for Parliament of the right balance between competing interests. But it is fair to surmise that there are socially and constitutionally acceptable alternatives to the complete immunity that achieve the legitimate objectives of the law more fairly than in s. 33.1.</w:t>
      </w:r>
    </w:p>
    <w:p w14:paraId="13760D4C" w14:textId="77777777" w:rsidR="00377DDF" w:rsidRPr="00E13133" w:rsidRDefault="00377DDF" w:rsidP="00377DDF">
      <w:pPr>
        <w:pStyle w:val="Title5LevelTitre5Niveau"/>
        <w:tabs>
          <w:tab w:val="clear" w:pos="1728"/>
        </w:tabs>
        <w:ind w:left="1134" w:hanging="567"/>
        <w:rPr>
          <w:rFonts w:cs="Times New Roman"/>
        </w:rPr>
      </w:pPr>
      <w:r w:rsidRPr="00E13133">
        <w:rPr>
          <w:rFonts w:cs="Times New Roman"/>
        </w:rPr>
        <w:t>Weighing the Salutary and Deleterious Effects</w:t>
      </w:r>
    </w:p>
    <w:p w14:paraId="32E8EAE9" w14:textId="77777777" w:rsidR="00377DDF" w:rsidRPr="00E13133" w:rsidRDefault="00377DDF" w:rsidP="00377DDF">
      <w:pPr>
        <w:pStyle w:val="ParaNoNdepar-AltN"/>
        <w:rPr>
          <w:rFonts w:cs="Times New Roman"/>
        </w:rPr>
      </w:pPr>
      <w:r w:rsidRPr="00E13133">
        <w:rPr>
          <w:rFonts w:cs="Times New Roman"/>
        </w:rPr>
        <w:t xml:space="preserve">As this Court held in </w:t>
      </w:r>
      <w:r w:rsidRPr="00E13133">
        <w:rPr>
          <w:rFonts w:cs="Times New Roman"/>
          <w:i/>
          <w:iCs/>
        </w:rPr>
        <w:t>Bedford</w:t>
      </w:r>
      <w:r w:rsidRPr="00E13133">
        <w:rPr>
          <w:rFonts w:cs="Times New Roman"/>
        </w:rPr>
        <w:t>, at the final stage of the s. 1 analysis, the negative impact of the law is weighed against the beneficial impact of the law in terms of achieving its goal for the greater public good. The impacts are weighed both qualitatively and quantitatively. As with the previous stages of the justification analysis, the state continues to bear the burden of showing that the breaches are justified having regard to Parliament’s goals. The Crown is well placed to call the social science and expert evidence required to justify the law’s impact in societal terms (</w:t>
      </w:r>
      <w:r w:rsidRPr="00E13133">
        <w:rPr>
          <w:rFonts w:cs="Times New Roman"/>
          <w:i/>
          <w:iCs/>
        </w:rPr>
        <w:t>Bedford</w:t>
      </w:r>
      <w:r w:rsidRPr="00E13133">
        <w:rPr>
          <w:rFonts w:cs="Times New Roman"/>
        </w:rPr>
        <w:t xml:space="preserve">, at para. 126). At the end of the day, the courts determine whether the </w:t>
      </w:r>
      <w:r w:rsidRPr="00E13133">
        <w:rPr>
          <w:rFonts w:cs="Times New Roman"/>
          <w:i/>
          <w:iCs/>
        </w:rPr>
        <w:t>Charter</w:t>
      </w:r>
      <w:r w:rsidRPr="00E13133">
        <w:rPr>
          <w:rFonts w:cs="Times New Roman"/>
        </w:rPr>
        <w:t xml:space="preserve"> infringements resulting from state action are too high a price to pay for the benefit of the law.</w:t>
      </w:r>
    </w:p>
    <w:p w14:paraId="2C88BF5E" w14:textId="77777777" w:rsidR="00377DDF" w:rsidRPr="00E13133" w:rsidDel="00CD264B" w:rsidRDefault="00377DDF" w:rsidP="00377DDF">
      <w:pPr>
        <w:pStyle w:val="ParaNoNdepar-AltN"/>
        <w:rPr>
          <w:rFonts w:cs="Times New Roman"/>
        </w:rPr>
      </w:pPr>
      <w:r w:rsidRPr="00E13133">
        <w:rPr>
          <w:rFonts w:cs="Times New Roman"/>
        </w:rPr>
        <w:t xml:space="preserve">In my respectful view, the Crown has not discharged its burden of showing that the benefits suggested by the evidence are fairly realized by s. 33.1. The Crown warns of widespread sexual and intimate partner violence, with the implication that such gendered violence will go undeterred in the absence of s. 33.1. I accept that such violence exists in the severe magnitude described by the Crown. But even the current common law precludes an accused from relying on voluntary intoxication as a complete answer to crime in a broad sweep of instances of intoxicated violence. It is not the case that in the absence of what amounts to a rule of absolute liability in s. 33.1 such violence will go unpunished or undeterred. Rather, in relation to the evidence presented by the Crown, in the absence of s. 33.1, the benefits tied to accountability and protection will continue to be met, to a not </w:t>
      </w:r>
      <w:proofErr w:type="spellStart"/>
      <w:r w:rsidRPr="00E13133">
        <w:rPr>
          <w:rFonts w:cs="Times New Roman"/>
        </w:rPr>
        <w:t>unmeaningful</w:t>
      </w:r>
      <w:proofErr w:type="spellEnd"/>
      <w:r w:rsidRPr="00E13133">
        <w:rPr>
          <w:rFonts w:cs="Times New Roman"/>
        </w:rPr>
        <w:t xml:space="preserve"> extent, through the application of common law rules which prevent the defence of intoxication including to general intent crimes of violence. This would be truer still if a more fairly crafted rule than s. 33.1 was enacted by Parliament.</w:t>
      </w:r>
    </w:p>
    <w:p w14:paraId="15224102" w14:textId="77777777" w:rsidR="00377DDF" w:rsidRPr="00E13133" w:rsidRDefault="00377DDF" w:rsidP="00377DDF">
      <w:pPr>
        <w:pStyle w:val="ParaNoNdepar-AltN"/>
        <w:rPr>
          <w:rFonts w:cs="Times New Roman"/>
        </w:rPr>
      </w:pPr>
      <w:r w:rsidRPr="00E13133">
        <w:rPr>
          <w:rFonts w:cs="Times New Roman"/>
        </w:rPr>
        <w:t xml:space="preserve">The limits imposed on the most fundamental </w:t>
      </w:r>
      <w:r w:rsidRPr="00E13133">
        <w:rPr>
          <w:rFonts w:cs="Times New Roman"/>
          <w:i/>
          <w:iCs/>
        </w:rPr>
        <w:t>Charter</w:t>
      </w:r>
      <w:r w:rsidRPr="00E13133">
        <w:rPr>
          <w:rFonts w:cs="Times New Roman"/>
        </w:rPr>
        <w:t xml:space="preserve"> rights in our system of criminal justice outweigh societal benefits that are already in part realized, and which Parliament can advance through other means. The weight to be accorded to the principles of fundamental justice and the presumption of innocence cannot be ignored here. </w:t>
      </w:r>
      <w:r w:rsidRPr="00E13133">
        <w:rPr>
          <w:rFonts w:cs="Times New Roman"/>
          <w:lang w:val="en-US"/>
        </w:rPr>
        <w:t xml:space="preserve">In </w:t>
      </w:r>
      <w:r w:rsidRPr="00E13133">
        <w:rPr>
          <w:rFonts w:cs="Times New Roman"/>
          <w:i/>
          <w:iCs/>
          <w:lang w:val="en-US"/>
        </w:rPr>
        <w:t>Oakes</w:t>
      </w:r>
      <w:r w:rsidRPr="00E13133">
        <w:rPr>
          <w:rFonts w:cs="Times New Roman"/>
          <w:lang w:val="en-US"/>
        </w:rPr>
        <w:t xml:space="preserve">, Dickson C.J. explained that different rights and freedoms carry different weight: “Some limits on rights and freedoms protected by the </w:t>
      </w:r>
      <w:r w:rsidRPr="00E13133">
        <w:rPr>
          <w:rFonts w:cs="Times New Roman"/>
          <w:i/>
          <w:iCs/>
          <w:lang w:val="en-US"/>
        </w:rPr>
        <w:t>Charter</w:t>
      </w:r>
      <w:r w:rsidRPr="00E13133">
        <w:rPr>
          <w:rFonts w:cs="Times New Roman"/>
          <w:lang w:val="en-US"/>
        </w:rPr>
        <w:t xml:space="preserve"> will be more serious than others in terms of the nature of the right or freedom violated, the extent of the violation, and the degree to which the measures which impose the limit trench upon the integral principles of a free and democratic society” (pp. 139</w:t>
      </w:r>
      <w:r w:rsidRPr="00E13133">
        <w:rPr>
          <w:rFonts w:cs="Times New Roman"/>
          <w:lang w:val="en-US"/>
        </w:rPr>
        <w:noBreakHyphen/>
        <w:t>40). Some rights, such as the protections in ss. 7 and 11(</w:t>
      </w:r>
      <w:r w:rsidRPr="00E13133">
        <w:rPr>
          <w:rFonts w:cs="Times New Roman"/>
          <w:iCs/>
          <w:lang w:val="en-US"/>
        </w:rPr>
        <w:t>d</w:t>
      </w:r>
      <w:r w:rsidRPr="00E13133">
        <w:rPr>
          <w:rFonts w:cs="Times New Roman"/>
          <w:lang w:val="en-US"/>
        </w:rPr>
        <w:t xml:space="preserve">), will not be easily outweighed by collective interests under s. 1. That is the case here, as s. 33.1 trenches on fundamental principles at the very core of our criminal law system, including the presumption of innocence upon which the fairness of the system itself depends. </w:t>
      </w:r>
      <w:r w:rsidRPr="00E13133">
        <w:rPr>
          <w:rFonts w:cs="Times New Roman"/>
        </w:rPr>
        <w:t>Section 33.1 creates a liability regime that disregards principles meant to protect the innocent, and communicates the message that securing a conviction is more important than respecting basic principles of justice. Balancing the salutary and deleterious effects of the law, I respectfully conclude that the impact on the principles of fundamental justice is disproportionate to its overarching public benefits. For these reasons, the limits s. 33.1 places on ss. 7 and 11(</w:t>
      </w:r>
      <w:r w:rsidRPr="00E13133">
        <w:rPr>
          <w:rFonts w:cs="Times New Roman"/>
          <w:iCs/>
        </w:rPr>
        <w:t>d</w:t>
      </w:r>
      <w:r w:rsidRPr="00E13133">
        <w:rPr>
          <w:rFonts w:cs="Times New Roman"/>
        </w:rPr>
        <w:t xml:space="preserve">) of the </w:t>
      </w:r>
      <w:r w:rsidRPr="00E13133">
        <w:rPr>
          <w:rFonts w:cs="Times New Roman"/>
          <w:i/>
          <w:iCs/>
        </w:rPr>
        <w:t>Charter</w:t>
      </w:r>
      <w:r w:rsidRPr="00E13133">
        <w:rPr>
          <w:rFonts w:cs="Times New Roman"/>
        </w:rPr>
        <w:t xml:space="preserve"> cannot be justified in a free and democratic society.</w:t>
      </w:r>
    </w:p>
    <w:p w14:paraId="5E24A49E" w14:textId="77777777" w:rsidR="00377DDF" w:rsidRPr="00E13133" w:rsidRDefault="00377DDF" w:rsidP="00377DDF">
      <w:pPr>
        <w:pStyle w:val="Title1LevelTitre1Niveau-AltL"/>
        <w:rPr>
          <w:rFonts w:cs="Times New Roman"/>
        </w:rPr>
      </w:pPr>
      <w:r w:rsidRPr="00E13133">
        <w:rPr>
          <w:rFonts w:cs="Times New Roman"/>
        </w:rPr>
        <w:t>Conclusion</w:t>
      </w:r>
    </w:p>
    <w:p w14:paraId="3ECC38C2" w14:textId="77777777" w:rsidR="00377DDF" w:rsidRPr="00E13133" w:rsidRDefault="00377DDF" w:rsidP="00377DDF">
      <w:pPr>
        <w:pStyle w:val="ParaNoNdepar-AltN"/>
        <w:rPr>
          <w:rFonts w:cs="Times New Roman"/>
        </w:rPr>
      </w:pPr>
      <w:r w:rsidRPr="00E13133">
        <w:rPr>
          <w:rFonts w:cs="Times New Roman"/>
        </w:rPr>
        <w:t xml:space="preserve">I would answer the constitutional questions as follows: s. 33.1 of the </w:t>
      </w:r>
      <w:r w:rsidRPr="00E13133">
        <w:rPr>
          <w:rFonts w:cs="Times New Roman"/>
          <w:i/>
        </w:rPr>
        <w:t>Criminal Code</w:t>
      </w:r>
      <w:r w:rsidRPr="00E13133">
        <w:rPr>
          <w:rFonts w:cs="Times New Roman"/>
        </w:rPr>
        <w:t xml:space="preserve"> infringes ss. 7 and 11(d) of the </w:t>
      </w:r>
      <w:r w:rsidRPr="00E13133">
        <w:rPr>
          <w:rFonts w:cs="Times New Roman"/>
          <w:i/>
        </w:rPr>
        <w:t>Charter</w:t>
      </w:r>
      <w:r w:rsidRPr="00E13133">
        <w:rPr>
          <w:rFonts w:cs="Times New Roman"/>
        </w:rPr>
        <w:t xml:space="preserve"> and the infringements are not justified under s. 1 of the </w:t>
      </w:r>
      <w:r w:rsidRPr="00E13133">
        <w:rPr>
          <w:rFonts w:cs="Times New Roman"/>
          <w:i/>
        </w:rPr>
        <w:t>Charter</w:t>
      </w:r>
      <w:r w:rsidRPr="00E13133">
        <w:rPr>
          <w:rFonts w:cs="Times New Roman"/>
        </w:rPr>
        <w:t xml:space="preserve">. I would allow Mr. Brown’s appeal. Section 33.1 should be declared unconstitutional and of no force or effect pursuant to s. 52(1) of the </w:t>
      </w:r>
      <w:r w:rsidRPr="00E13133">
        <w:rPr>
          <w:rFonts w:cs="Times New Roman"/>
          <w:i/>
          <w:iCs/>
        </w:rPr>
        <w:t>Constitution Act, 1982</w:t>
      </w:r>
      <w:r w:rsidRPr="00E13133">
        <w:rPr>
          <w:rFonts w:cs="Times New Roman"/>
        </w:rPr>
        <w:t xml:space="preserve">. The trial judge concluded in this case, based on the evidence brought before her by the </w:t>
      </w:r>
      <w:proofErr w:type="gramStart"/>
      <w:r w:rsidRPr="00E13133">
        <w:rPr>
          <w:rFonts w:cs="Times New Roman"/>
        </w:rPr>
        <w:t>defence, that</w:t>
      </w:r>
      <w:proofErr w:type="gramEnd"/>
      <w:r w:rsidRPr="00E13133">
        <w:rPr>
          <w:rFonts w:cs="Times New Roman"/>
        </w:rPr>
        <w:t xml:space="preserve"> Mr. Brown was in a state of extreme intoxication akin to automatism. That finding was not challenged on appeal. His acquittal on the count of break and enter and committing aggravated assault was wrongly set aside because the Court of Appeal erred in deciding that s. 33.1 is constitutional. As a result, I would restore Mr. Brown’s acquittal. </w:t>
      </w:r>
    </w:p>
    <w:p w14:paraId="3BAA51E1" w14:textId="77777777" w:rsidR="00377DDF" w:rsidRPr="00E13133" w:rsidRDefault="00377DDF" w:rsidP="00377DDF">
      <w:pPr>
        <w:pStyle w:val="ParaNoNdepar-AltN"/>
        <w:rPr>
          <w:rFonts w:cs="Times New Roman"/>
        </w:rPr>
      </w:pPr>
      <w:r w:rsidRPr="00E13133">
        <w:rPr>
          <w:rFonts w:cs="Times New Roman"/>
        </w:rPr>
        <w:t>The judgment of the Court of Appeal should be set aside. The acquittal entered by Hollins J. on the count of unlawful break and enter of a dwelling house and committing aggravated assault therein should be restored; the acquittal for unlawful break and enter of a dwelling house and committing mischief to property over $5,000 should be left undisturbed.</w:t>
      </w:r>
    </w:p>
    <w:p w14:paraId="63451F18" w14:textId="77777777" w:rsidR="00377DDF" w:rsidRDefault="00377DDF" w:rsidP="002D1316">
      <w:pPr>
        <w:pStyle w:val="SCCNormalDoubleSpacing"/>
        <w:spacing w:after="480"/>
      </w:pPr>
    </w:p>
    <w:p w14:paraId="60BE7AD8" w14:textId="6EA95788" w:rsidR="009B57B3" w:rsidRDefault="009B57B3" w:rsidP="002D1316">
      <w:pPr>
        <w:pStyle w:val="SCCNormalDoubleSpacing"/>
        <w:spacing w:after="480"/>
      </w:pPr>
      <w:r w:rsidRPr="001426A9">
        <w:tab/>
      </w:r>
      <w:r w:rsidR="00656313" w:rsidRPr="00E663EC">
        <w:rPr>
          <w:i/>
        </w:rPr>
        <w:t>Appeal</w:t>
      </w:r>
      <w:r w:rsidR="0035416D" w:rsidRPr="00E663EC">
        <w:rPr>
          <w:i/>
        </w:rPr>
        <w:t xml:space="preserve"> allowed.</w:t>
      </w:r>
    </w:p>
    <w:p w14:paraId="5118F4F5" w14:textId="1CB5E571" w:rsidR="00674ACA" w:rsidRPr="002D1316" w:rsidRDefault="00874D6F" w:rsidP="002D1316">
      <w:pPr>
        <w:pStyle w:val="SCCNormalDoubleSpacing"/>
        <w:spacing w:after="480"/>
        <w:rPr>
          <w:i/>
        </w:rPr>
      </w:pPr>
      <w:r>
        <w:tab/>
      </w:r>
      <w:r w:rsidRPr="002D1316">
        <w:rPr>
          <w:i/>
        </w:rPr>
        <w:t xml:space="preserve">Solicitors for the appellant: Evans &amp; Fagan, </w:t>
      </w:r>
      <w:r w:rsidR="0080315F" w:rsidRPr="002D1316">
        <w:rPr>
          <w:i/>
        </w:rPr>
        <w:t>Calgary; Greenspan Humphrey Weinstein, Toronto</w:t>
      </w:r>
      <w:r w:rsidRPr="002D1316">
        <w:rPr>
          <w:i/>
        </w:rPr>
        <w:t>.</w:t>
      </w:r>
    </w:p>
    <w:p w14:paraId="7FDF0AE2" w14:textId="77777777" w:rsidR="00674ACA" w:rsidRPr="002D1316" w:rsidRDefault="00874D6F" w:rsidP="002D1316">
      <w:pPr>
        <w:pStyle w:val="SCCNormalDoubleSpacing"/>
        <w:spacing w:after="480"/>
        <w:rPr>
          <w:i/>
        </w:rPr>
      </w:pPr>
      <w:r>
        <w:tab/>
      </w:r>
      <w:r w:rsidRPr="002D1316">
        <w:rPr>
          <w:i/>
        </w:rPr>
        <w:t xml:space="preserve">Solicitor for the respondent: </w:t>
      </w:r>
      <w:r w:rsidR="0053612C" w:rsidRPr="002D1316">
        <w:rPr>
          <w:i/>
        </w:rPr>
        <w:t>Justice and Solicitor General, Appeals, Education &amp; Prosecution Policy Branch</w:t>
      </w:r>
      <w:r w:rsidRPr="002D1316">
        <w:rPr>
          <w:i/>
        </w:rPr>
        <w:t>, Edmonton.</w:t>
      </w:r>
    </w:p>
    <w:p w14:paraId="74F8F480" w14:textId="77777777" w:rsidR="00674ACA" w:rsidRPr="002D1316" w:rsidRDefault="00052FF2" w:rsidP="002D1316">
      <w:pPr>
        <w:pStyle w:val="SCCNormalDoubleSpacing"/>
        <w:spacing w:after="480"/>
        <w:rPr>
          <w:i/>
        </w:rPr>
      </w:pPr>
      <w:r>
        <w:tab/>
      </w:r>
      <w:r w:rsidRPr="002D1316">
        <w:rPr>
          <w:i/>
        </w:rPr>
        <w:t>Solicitor</w:t>
      </w:r>
      <w:r w:rsidR="00874D6F" w:rsidRPr="002D1316">
        <w:rPr>
          <w:i/>
        </w:rPr>
        <w:t xml:space="preserve"> for the intervener </w:t>
      </w:r>
      <w:r w:rsidRPr="002D1316">
        <w:rPr>
          <w:i/>
        </w:rPr>
        <w:t xml:space="preserve">the </w:t>
      </w:r>
      <w:r w:rsidR="00874D6F" w:rsidRPr="002D1316">
        <w:rPr>
          <w:i/>
        </w:rPr>
        <w:t>Attorney General of Canada: Attorney General of Canada, Toronto.</w:t>
      </w:r>
    </w:p>
    <w:p w14:paraId="688AE047" w14:textId="77777777" w:rsidR="009221A9" w:rsidRPr="002D1316" w:rsidRDefault="002E2BB7" w:rsidP="002D1316">
      <w:pPr>
        <w:pStyle w:val="SCCNormalDoubleSpacing"/>
        <w:spacing w:after="480"/>
        <w:rPr>
          <w:i/>
        </w:rPr>
      </w:pPr>
      <w:r>
        <w:tab/>
      </w:r>
      <w:r w:rsidR="009221A9" w:rsidRPr="002D1316">
        <w:rPr>
          <w:i/>
        </w:rPr>
        <w:t>Solicitor for the intervener the Attorney General of Ontario: Attorney General of Ontario, Toronto.</w:t>
      </w:r>
    </w:p>
    <w:p w14:paraId="6597DC89" w14:textId="77777777" w:rsidR="00674ACA" w:rsidRPr="002D1316" w:rsidRDefault="00874D6F" w:rsidP="002D1316">
      <w:pPr>
        <w:pStyle w:val="SCCNormalDoubleSpacing"/>
        <w:spacing w:after="480"/>
        <w:rPr>
          <w:i/>
        </w:rPr>
      </w:pPr>
      <w:r>
        <w:tab/>
      </w:r>
      <w:r w:rsidRPr="002D1316">
        <w:rPr>
          <w:i/>
        </w:rPr>
        <w:t>Solicito</w:t>
      </w:r>
      <w:r w:rsidR="002E2BB7" w:rsidRPr="002D1316">
        <w:rPr>
          <w:i/>
        </w:rPr>
        <w:t>r</w:t>
      </w:r>
      <w:r w:rsidRPr="002D1316">
        <w:rPr>
          <w:i/>
        </w:rPr>
        <w:t xml:space="preserve"> for the intervener </w:t>
      </w:r>
      <w:r w:rsidR="002E2BB7" w:rsidRPr="002D1316">
        <w:rPr>
          <w:i/>
        </w:rPr>
        <w:t xml:space="preserve">the </w:t>
      </w:r>
      <w:r w:rsidRPr="002D1316">
        <w:rPr>
          <w:i/>
        </w:rPr>
        <w:t>Attorney General of Manitoba: Attorney General of Manitoba, Winnipeg.</w:t>
      </w:r>
    </w:p>
    <w:p w14:paraId="75349316" w14:textId="77777777" w:rsidR="00674ACA" w:rsidRPr="002D1316" w:rsidRDefault="002E2BB7" w:rsidP="002D1316">
      <w:pPr>
        <w:pStyle w:val="SCCNormalDoubleSpacing"/>
        <w:spacing w:after="480"/>
        <w:rPr>
          <w:i/>
        </w:rPr>
      </w:pPr>
      <w:r>
        <w:tab/>
      </w:r>
      <w:r w:rsidRPr="002D1316">
        <w:rPr>
          <w:i/>
        </w:rPr>
        <w:t>Solicitor</w:t>
      </w:r>
      <w:r w:rsidR="00874D6F" w:rsidRPr="002D1316">
        <w:rPr>
          <w:i/>
        </w:rPr>
        <w:t xml:space="preserve"> for the intervener </w:t>
      </w:r>
      <w:r w:rsidRPr="002D1316">
        <w:rPr>
          <w:i/>
        </w:rPr>
        <w:t xml:space="preserve">the </w:t>
      </w:r>
      <w:r w:rsidR="00874D6F" w:rsidRPr="002D1316">
        <w:rPr>
          <w:i/>
        </w:rPr>
        <w:t>Attorney General of British Columbia: Attorney General of British Columbia, Victoria.</w:t>
      </w:r>
    </w:p>
    <w:p w14:paraId="480BDBC5" w14:textId="77777777" w:rsidR="0080315F" w:rsidRPr="002D1316" w:rsidRDefault="0080315F" w:rsidP="002D1316">
      <w:pPr>
        <w:pStyle w:val="SCCNormalDoubleSpacing"/>
        <w:spacing w:after="480"/>
        <w:rPr>
          <w:i/>
        </w:rPr>
      </w:pPr>
      <w:r>
        <w:tab/>
      </w:r>
      <w:r w:rsidRPr="002D1316">
        <w:rPr>
          <w:i/>
        </w:rPr>
        <w:t>Solicitor for the intervener the Attorney General of Saskatchewan: Attorney General of Saskatchewan, Regina.</w:t>
      </w:r>
    </w:p>
    <w:p w14:paraId="5AD4E7D9" w14:textId="77777777" w:rsidR="00674ACA" w:rsidRPr="002D1316" w:rsidRDefault="002E2BB7" w:rsidP="002D1316">
      <w:pPr>
        <w:pStyle w:val="SCCNormalDoubleSpacing"/>
        <w:spacing w:after="480"/>
        <w:rPr>
          <w:i/>
        </w:rPr>
      </w:pPr>
      <w:r>
        <w:tab/>
      </w:r>
      <w:r w:rsidRPr="002D1316">
        <w:rPr>
          <w:i/>
        </w:rPr>
        <w:t>Solicitors</w:t>
      </w:r>
      <w:r w:rsidR="00874D6F" w:rsidRPr="002D1316">
        <w:rPr>
          <w:i/>
        </w:rPr>
        <w:t xml:space="preserve"> for the intervener </w:t>
      </w:r>
      <w:r w:rsidRPr="002D1316">
        <w:rPr>
          <w:i/>
        </w:rPr>
        <w:t xml:space="preserve">the </w:t>
      </w:r>
      <w:r w:rsidR="00874D6F" w:rsidRPr="002D1316">
        <w:rPr>
          <w:i/>
        </w:rPr>
        <w:t>Canadian Civil Liberties Association: Kapoor Barristers, Toronto.</w:t>
      </w:r>
    </w:p>
    <w:p w14:paraId="1354EE9A" w14:textId="73ADC634" w:rsidR="00674ACA" w:rsidRPr="002D1316" w:rsidRDefault="00F85C28" w:rsidP="002D1316">
      <w:pPr>
        <w:pStyle w:val="SCCNormalDoubleSpacing"/>
        <w:spacing w:after="480"/>
        <w:rPr>
          <w:i/>
        </w:rPr>
      </w:pPr>
      <w:r>
        <w:tab/>
      </w:r>
      <w:r w:rsidRPr="002D1316">
        <w:rPr>
          <w:i/>
        </w:rPr>
        <w:t>Solicitor</w:t>
      </w:r>
      <w:r w:rsidR="00874D6F" w:rsidRPr="002D1316">
        <w:rPr>
          <w:i/>
        </w:rPr>
        <w:t xml:space="preserve">s for the intervener </w:t>
      </w:r>
      <w:r w:rsidR="00D37AB0" w:rsidRPr="002D1316">
        <w:rPr>
          <w:i/>
        </w:rPr>
        <w:t xml:space="preserve">the </w:t>
      </w:r>
      <w:r w:rsidR="00874D6F" w:rsidRPr="0035416D">
        <w:rPr>
          <w:i/>
        </w:rPr>
        <w:t>Empowerment Council</w:t>
      </w:r>
      <w:r w:rsidR="00874D6F" w:rsidRPr="002D1316">
        <w:rPr>
          <w:i/>
        </w:rPr>
        <w:t xml:space="preserve">: </w:t>
      </w:r>
      <w:r w:rsidR="009221A9" w:rsidRPr="002D1316">
        <w:rPr>
          <w:i/>
          <w:lang w:val="en-US"/>
        </w:rPr>
        <w:t xml:space="preserve">Martell Defence, Toronto; </w:t>
      </w:r>
      <w:r w:rsidR="00874D6F" w:rsidRPr="002D1316">
        <w:rPr>
          <w:i/>
        </w:rPr>
        <w:t>Anita Szigeti Advocates, Toronto</w:t>
      </w:r>
      <w:r w:rsidR="009221A9" w:rsidRPr="002D1316">
        <w:rPr>
          <w:i/>
        </w:rPr>
        <w:t xml:space="preserve">; </w:t>
      </w:r>
      <w:r w:rsidR="009221A9" w:rsidRPr="002D1316">
        <w:rPr>
          <w:i/>
          <w:lang w:val="en-US"/>
        </w:rPr>
        <w:t xml:space="preserve">McKay </w:t>
      </w:r>
      <w:proofErr w:type="spellStart"/>
      <w:r w:rsidR="009221A9" w:rsidRPr="002D1316">
        <w:rPr>
          <w:i/>
          <w:lang w:val="en-US"/>
        </w:rPr>
        <w:t>Ferg</w:t>
      </w:r>
      <w:proofErr w:type="spellEnd"/>
      <w:r w:rsidR="009221A9" w:rsidRPr="002D1316">
        <w:rPr>
          <w:i/>
          <w:lang w:val="en-US"/>
        </w:rPr>
        <w:t>, Calgary</w:t>
      </w:r>
      <w:r w:rsidR="00874D6F" w:rsidRPr="002D1316">
        <w:rPr>
          <w:i/>
        </w:rPr>
        <w:t>.</w:t>
      </w:r>
    </w:p>
    <w:p w14:paraId="3BDCD4F5" w14:textId="276FCED1" w:rsidR="00674ACA" w:rsidRPr="002D1316" w:rsidRDefault="00874D6F" w:rsidP="002D1316">
      <w:pPr>
        <w:pStyle w:val="SCCNormalDoubleSpacing"/>
        <w:spacing w:after="480"/>
        <w:rPr>
          <w:i/>
        </w:rPr>
      </w:pPr>
      <w:r>
        <w:tab/>
      </w:r>
      <w:r w:rsidRPr="002D1316">
        <w:rPr>
          <w:i/>
        </w:rPr>
        <w:t xml:space="preserve">Solicitors for the intervener </w:t>
      </w:r>
      <w:r w:rsidR="00F85C28" w:rsidRPr="002D1316">
        <w:rPr>
          <w:i/>
        </w:rPr>
        <w:t xml:space="preserve">the </w:t>
      </w:r>
      <w:r w:rsidRPr="002D1316">
        <w:rPr>
          <w:i/>
        </w:rPr>
        <w:t>Criminal Lawyers</w:t>
      </w:r>
      <w:r w:rsidR="00E45CA7" w:rsidRPr="002D1316">
        <w:rPr>
          <w:i/>
        </w:rPr>
        <w:t>’</w:t>
      </w:r>
      <w:r w:rsidRPr="002D1316">
        <w:rPr>
          <w:i/>
        </w:rPr>
        <w:t xml:space="preserve"> Association: Rosen &amp; Company Barristers, Toronto</w:t>
      </w:r>
      <w:r w:rsidR="00977F9C" w:rsidRPr="002D1316">
        <w:rPr>
          <w:i/>
          <w:lang w:val="en-US"/>
        </w:rPr>
        <w:t xml:space="preserve">; </w:t>
      </w:r>
      <w:proofErr w:type="spellStart"/>
      <w:r w:rsidR="00977F9C" w:rsidRPr="002D1316">
        <w:rPr>
          <w:i/>
          <w:lang w:val="en-US"/>
        </w:rPr>
        <w:t>Neubauer</w:t>
      </w:r>
      <w:proofErr w:type="spellEnd"/>
      <w:r w:rsidR="00977F9C" w:rsidRPr="002D1316">
        <w:rPr>
          <w:i/>
          <w:lang w:val="en-US"/>
        </w:rPr>
        <w:t xml:space="preserve"> Law, Oshawa</w:t>
      </w:r>
      <w:r w:rsidRPr="002D1316">
        <w:rPr>
          <w:i/>
        </w:rPr>
        <w:t>.</w:t>
      </w:r>
    </w:p>
    <w:p w14:paraId="0A138F90" w14:textId="09683392" w:rsidR="00674ACA" w:rsidRPr="002D1316" w:rsidRDefault="00355A4C" w:rsidP="002D1316">
      <w:pPr>
        <w:pStyle w:val="SCCNormalDoubleSpacing"/>
        <w:spacing w:after="480"/>
        <w:rPr>
          <w:i/>
        </w:rPr>
      </w:pPr>
      <w:r>
        <w:tab/>
      </w:r>
      <w:r w:rsidRPr="002D1316">
        <w:rPr>
          <w:i/>
        </w:rPr>
        <w:t>Solicitors</w:t>
      </w:r>
      <w:r w:rsidR="00874D6F" w:rsidRPr="002D1316">
        <w:rPr>
          <w:i/>
        </w:rPr>
        <w:t xml:space="preserve"> for the intervener </w:t>
      </w:r>
      <w:r w:rsidR="00125AC6">
        <w:rPr>
          <w:i/>
        </w:rPr>
        <w:t xml:space="preserve">the </w:t>
      </w:r>
      <w:r w:rsidR="00874D6F" w:rsidRPr="002D1316">
        <w:rPr>
          <w:i/>
        </w:rPr>
        <w:t>Women</w:t>
      </w:r>
      <w:r w:rsidR="00E45CA7" w:rsidRPr="002D1316">
        <w:rPr>
          <w:i/>
        </w:rPr>
        <w:t>’</w:t>
      </w:r>
      <w:r w:rsidR="00874D6F" w:rsidRPr="002D1316">
        <w:rPr>
          <w:i/>
        </w:rPr>
        <w:t xml:space="preserve">s Legal Education and Action Fund Inc.: </w:t>
      </w:r>
      <w:r w:rsidRPr="002D1316">
        <w:rPr>
          <w:i/>
          <w:lang w:val="en-US"/>
        </w:rPr>
        <w:t xml:space="preserve">WeirFoulds, Toronto; </w:t>
      </w:r>
      <w:r w:rsidR="00874D6F" w:rsidRPr="002D1316">
        <w:rPr>
          <w:i/>
        </w:rPr>
        <w:t>Megan Stephens Law, Toronto.</w:t>
      </w:r>
    </w:p>
    <w:sectPr w:rsidR="00674ACA" w:rsidRPr="002D1316" w:rsidSect="000648CC">
      <w:headerReference w:type="even" r:id="rId13"/>
      <w:headerReference w:type="default" r:id="rId14"/>
      <w:footerReference w:type="even" r:id="rId15"/>
      <w:footerReference w:type="default" r:id="rId16"/>
      <w:headerReference w:type="first" r:id="rId17"/>
      <w:footerReference w:type="first" r:id="rId18"/>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882C1" w14:textId="77777777" w:rsidR="0053795E" w:rsidRDefault="0053795E">
      <w:r>
        <w:separator/>
      </w:r>
    </w:p>
  </w:endnote>
  <w:endnote w:type="continuationSeparator" w:id="0">
    <w:p w14:paraId="2DA75D50" w14:textId="77777777" w:rsidR="0053795E" w:rsidRDefault="0053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CA1C2" w14:textId="77777777" w:rsidR="003523E1" w:rsidRDefault="003523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2F2FD" w14:textId="77777777" w:rsidR="003523E1" w:rsidRDefault="003523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CA12E" w14:textId="77777777" w:rsidR="003523E1" w:rsidRDefault="00352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8D86A" w14:textId="77777777" w:rsidR="0053795E" w:rsidRDefault="0053795E">
      <w:r>
        <w:separator/>
      </w:r>
    </w:p>
  </w:footnote>
  <w:footnote w:type="continuationSeparator" w:id="0">
    <w:p w14:paraId="723904F2" w14:textId="77777777" w:rsidR="0053795E" w:rsidRDefault="00537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256E5" w14:textId="77777777" w:rsidR="003523E1" w:rsidRDefault="003523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CD342" w14:textId="77777777" w:rsidR="00450352" w:rsidRPr="009A666E" w:rsidRDefault="00450352" w:rsidP="009A66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505AF" w14:textId="77777777" w:rsidR="003523E1" w:rsidRDefault="003523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B3632"/>
    <w:multiLevelType w:val="hybridMultilevel"/>
    <w:tmpl w:val="986CE0DA"/>
    <w:lvl w:ilvl="0" w:tplc="8D905778">
      <w:start w:val="1"/>
      <w:numFmt w:val="bullet"/>
      <w:lvlText w:val=""/>
      <w:lvlJc w:val="left"/>
      <w:pPr>
        <w:ind w:left="720" w:hanging="360"/>
      </w:pPr>
      <w:rPr>
        <w:rFonts w:ascii="Symbol" w:hAnsi="Symbol" w:hint="default"/>
      </w:rPr>
    </w:lvl>
    <w:lvl w:ilvl="1" w:tplc="EDBABF5C">
      <w:start w:val="1"/>
      <w:numFmt w:val="bullet"/>
      <w:lvlText w:val="o"/>
      <w:lvlJc w:val="left"/>
      <w:pPr>
        <w:ind w:left="1440" w:hanging="360"/>
      </w:pPr>
      <w:rPr>
        <w:rFonts w:ascii="Courier New" w:hAnsi="Courier New" w:hint="default"/>
      </w:rPr>
    </w:lvl>
    <w:lvl w:ilvl="2" w:tplc="D3A8745E">
      <w:start w:val="1"/>
      <w:numFmt w:val="bullet"/>
      <w:lvlText w:val=""/>
      <w:lvlJc w:val="left"/>
      <w:pPr>
        <w:ind w:left="2160" w:hanging="360"/>
      </w:pPr>
      <w:rPr>
        <w:rFonts w:ascii="Wingdings" w:hAnsi="Wingdings" w:hint="default"/>
      </w:rPr>
    </w:lvl>
    <w:lvl w:ilvl="3" w:tplc="D6A628CA">
      <w:start w:val="1"/>
      <w:numFmt w:val="bullet"/>
      <w:lvlText w:val=""/>
      <w:lvlJc w:val="left"/>
      <w:pPr>
        <w:ind w:left="2880" w:hanging="360"/>
      </w:pPr>
      <w:rPr>
        <w:rFonts w:ascii="Symbol" w:hAnsi="Symbol" w:hint="default"/>
      </w:rPr>
    </w:lvl>
    <w:lvl w:ilvl="4" w:tplc="5768AA04">
      <w:start w:val="1"/>
      <w:numFmt w:val="bullet"/>
      <w:lvlText w:val="o"/>
      <w:lvlJc w:val="left"/>
      <w:pPr>
        <w:ind w:left="3600" w:hanging="360"/>
      </w:pPr>
      <w:rPr>
        <w:rFonts w:ascii="Courier New" w:hAnsi="Courier New" w:hint="default"/>
      </w:rPr>
    </w:lvl>
    <w:lvl w:ilvl="5" w:tplc="DB4470B0">
      <w:start w:val="1"/>
      <w:numFmt w:val="bullet"/>
      <w:lvlText w:val=""/>
      <w:lvlJc w:val="left"/>
      <w:pPr>
        <w:ind w:left="4320" w:hanging="360"/>
      </w:pPr>
      <w:rPr>
        <w:rFonts w:ascii="Wingdings" w:hAnsi="Wingdings" w:hint="default"/>
      </w:rPr>
    </w:lvl>
    <w:lvl w:ilvl="6" w:tplc="AC467CD6">
      <w:start w:val="1"/>
      <w:numFmt w:val="bullet"/>
      <w:lvlText w:val=""/>
      <w:lvlJc w:val="left"/>
      <w:pPr>
        <w:ind w:left="5040" w:hanging="360"/>
      </w:pPr>
      <w:rPr>
        <w:rFonts w:ascii="Symbol" w:hAnsi="Symbol" w:hint="default"/>
      </w:rPr>
    </w:lvl>
    <w:lvl w:ilvl="7" w:tplc="7A22D288">
      <w:start w:val="1"/>
      <w:numFmt w:val="bullet"/>
      <w:lvlText w:val="o"/>
      <w:lvlJc w:val="left"/>
      <w:pPr>
        <w:ind w:left="5760" w:hanging="360"/>
      </w:pPr>
      <w:rPr>
        <w:rFonts w:ascii="Courier New" w:hAnsi="Courier New" w:hint="default"/>
      </w:rPr>
    </w:lvl>
    <w:lvl w:ilvl="8" w:tplc="3872C25C">
      <w:start w:val="1"/>
      <w:numFmt w:val="bullet"/>
      <w:lvlText w:val=""/>
      <w:lvlJc w:val="left"/>
      <w:pPr>
        <w:ind w:left="648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682BF5"/>
    <w:multiLevelType w:val="hybridMultilevel"/>
    <w:tmpl w:val="284C6CFC"/>
    <w:lvl w:ilvl="0" w:tplc="6B8C448C">
      <w:start w:val="1"/>
      <w:numFmt w:val="bullet"/>
      <w:lvlText w:val=""/>
      <w:lvlJc w:val="left"/>
      <w:pPr>
        <w:ind w:left="720" w:hanging="360"/>
      </w:pPr>
      <w:rPr>
        <w:rFonts w:ascii="Symbol" w:hAnsi="Symbol" w:hint="default"/>
      </w:rPr>
    </w:lvl>
    <w:lvl w:ilvl="1" w:tplc="17D6DFBE">
      <w:start w:val="1"/>
      <w:numFmt w:val="bullet"/>
      <w:lvlText w:val="o"/>
      <w:lvlJc w:val="left"/>
      <w:pPr>
        <w:ind w:left="1440" w:hanging="360"/>
      </w:pPr>
      <w:rPr>
        <w:rFonts w:ascii="Courier New" w:hAnsi="Courier New" w:hint="default"/>
      </w:rPr>
    </w:lvl>
    <w:lvl w:ilvl="2" w:tplc="0D246222">
      <w:start w:val="1"/>
      <w:numFmt w:val="bullet"/>
      <w:lvlText w:val=""/>
      <w:lvlJc w:val="left"/>
      <w:pPr>
        <w:ind w:left="2160" w:hanging="360"/>
      </w:pPr>
      <w:rPr>
        <w:rFonts w:ascii="Wingdings" w:hAnsi="Wingdings" w:hint="default"/>
      </w:rPr>
    </w:lvl>
    <w:lvl w:ilvl="3" w:tplc="28025BCC">
      <w:start w:val="1"/>
      <w:numFmt w:val="bullet"/>
      <w:lvlText w:val=""/>
      <w:lvlJc w:val="left"/>
      <w:pPr>
        <w:ind w:left="2880" w:hanging="360"/>
      </w:pPr>
      <w:rPr>
        <w:rFonts w:ascii="Symbol" w:hAnsi="Symbol" w:hint="default"/>
      </w:rPr>
    </w:lvl>
    <w:lvl w:ilvl="4" w:tplc="1FAA40EA">
      <w:start w:val="1"/>
      <w:numFmt w:val="bullet"/>
      <w:lvlText w:val="o"/>
      <w:lvlJc w:val="left"/>
      <w:pPr>
        <w:ind w:left="3600" w:hanging="360"/>
      </w:pPr>
      <w:rPr>
        <w:rFonts w:ascii="Courier New" w:hAnsi="Courier New" w:hint="default"/>
      </w:rPr>
    </w:lvl>
    <w:lvl w:ilvl="5" w:tplc="C86A44E8">
      <w:start w:val="1"/>
      <w:numFmt w:val="bullet"/>
      <w:lvlText w:val=""/>
      <w:lvlJc w:val="left"/>
      <w:pPr>
        <w:ind w:left="4320" w:hanging="360"/>
      </w:pPr>
      <w:rPr>
        <w:rFonts w:ascii="Wingdings" w:hAnsi="Wingdings" w:hint="default"/>
      </w:rPr>
    </w:lvl>
    <w:lvl w:ilvl="6" w:tplc="E18AFDDA">
      <w:start w:val="1"/>
      <w:numFmt w:val="bullet"/>
      <w:lvlText w:val=""/>
      <w:lvlJc w:val="left"/>
      <w:pPr>
        <w:ind w:left="5040" w:hanging="360"/>
      </w:pPr>
      <w:rPr>
        <w:rFonts w:ascii="Symbol" w:hAnsi="Symbol" w:hint="default"/>
      </w:rPr>
    </w:lvl>
    <w:lvl w:ilvl="7" w:tplc="1DB04A36">
      <w:start w:val="1"/>
      <w:numFmt w:val="bullet"/>
      <w:lvlText w:val="o"/>
      <w:lvlJc w:val="left"/>
      <w:pPr>
        <w:ind w:left="5760" w:hanging="360"/>
      </w:pPr>
      <w:rPr>
        <w:rFonts w:ascii="Courier New" w:hAnsi="Courier New" w:hint="default"/>
      </w:rPr>
    </w:lvl>
    <w:lvl w:ilvl="8" w:tplc="4BF2E92A">
      <w:start w:val="1"/>
      <w:numFmt w:val="bullet"/>
      <w:lvlText w:val=""/>
      <w:lvlJc w:val="left"/>
      <w:pPr>
        <w:ind w:left="6480" w:hanging="360"/>
      </w:pPr>
      <w:rPr>
        <w:rFonts w:ascii="Wingdings" w:hAnsi="Wingdings" w:hint="default"/>
      </w:rPr>
    </w:lvl>
  </w:abstractNum>
  <w:abstractNum w:abstractNumId="4" w15:restartNumberingAfterBreak="0">
    <w:nsid w:val="45AB62A6"/>
    <w:multiLevelType w:val="multilevel"/>
    <w:tmpl w:val="8CEA6846"/>
    <w:lvl w:ilvl="0">
      <w:start w:val="1"/>
      <w:numFmt w:val="bullet"/>
      <w:lvlText w:val=""/>
      <w:lvlJc w:val="left"/>
      <w:pPr>
        <w:tabs>
          <w:tab w:val="num" w:pos="1152"/>
        </w:tabs>
        <w:ind w:left="0" w:firstLine="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C3E23D6"/>
    <w:multiLevelType w:val="multilevel"/>
    <w:tmpl w:val="8CEA6846"/>
    <w:lvl w:ilvl="0">
      <w:start w:val="1"/>
      <w:numFmt w:val="bullet"/>
      <w:lvlText w:val=""/>
      <w:lvlJc w:val="left"/>
      <w:pPr>
        <w:tabs>
          <w:tab w:val="num" w:pos="1152"/>
        </w:tabs>
        <w:ind w:left="0" w:firstLine="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9"/>
  </w:num>
  <w:num w:numId="3">
    <w:abstractNumId w:val="2"/>
  </w:num>
  <w:num w:numId="4">
    <w:abstractNumId w:val="1"/>
  </w:num>
  <w:num w:numId="5">
    <w:abstractNumId w:val="6"/>
  </w:num>
  <w:num w:numId="6">
    <w:abstractNumId w:val="7"/>
  </w:num>
  <w:num w:numId="7">
    <w:abstractNumId w:val="5"/>
  </w:num>
  <w:num w:numId="8">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0"/>
  </w:num>
  <w:num w:numId="10">
    <w:abstractNumId w:val="4"/>
  </w:num>
  <w:num w:numId="11">
    <w:abstractNumId w:val="3"/>
  </w:num>
  <w:num w:numId="12">
    <w:abstractNumId w:val="10"/>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B49"/>
    <w:rsid w:val="000248AA"/>
    <w:rsid w:val="00025198"/>
    <w:rsid w:val="00040390"/>
    <w:rsid w:val="00050CC4"/>
    <w:rsid w:val="00052FF2"/>
    <w:rsid w:val="000578A3"/>
    <w:rsid w:val="0006333A"/>
    <w:rsid w:val="000648CC"/>
    <w:rsid w:val="00066A6A"/>
    <w:rsid w:val="00080D33"/>
    <w:rsid w:val="00081E0D"/>
    <w:rsid w:val="00097473"/>
    <w:rsid w:val="000C59B8"/>
    <w:rsid w:val="000C6AF0"/>
    <w:rsid w:val="000E3422"/>
    <w:rsid w:val="00104F33"/>
    <w:rsid w:val="00104F9C"/>
    <w:rsid w:val="00106B05"/>
    <w:rsid w:val="00111DE2"/>
    <w:rsid w:val="00116B38"/>
    <w:rsid w:val="00125AC6"/>
    <w:rsid w:val="00135406"/>
    <w:rsid w:val="00135972"/>
    <w:rsid w:val="001426A9"/>
    <w:rsid w:val="00143366"/>
    <w:rsid w:val="00146070"/>
    <w:rsid w:val="00153B8B"/>
    <w:rsid w:val="00154D7C"/>
    <w:rsid w:val="001570B0"/>
    <w:rsid w:val="0015752C"/>
    <w:rsid w:val="00157737"/>
    <w:rsid w:val="00165277"/>
    <w:rsid w:val="00170592"/>
    <w:rsid w:val="00175CD0"/>
    <w:rsid w:val="001815AA"/>
    <w:rsid w:val="00186351"/>
    <w:rsid w:val="00190A16"/>
    <w:rsid w:val="00195D83"/>
    <w:rsid w:val="001A00C1"/>
    <w:rsid w:val="001B33E0"/>
    <w:rsid w:val="001B4573"/>
    <w:rsid w:val="001C6740"/>
    <w:rsid w:val="001C779F"/>
    <w:rsid w:val="001D2AC1"/>
    <w:rsid w:val="001D4E88"/>
    <w:rsid w:val="001D50AF"/>
    <w:rsid w:val="00202EBC"/>
    <w:rsid w:val="002162D0"/>
    <w:rsid w:val="00220FC2"/>
    <w:rsid w:val="002215C1"/>
    <w:rsid w:val="002222F4"/>
    <w:rsid w:val="00224FC0"/>
    <w:rsid w:val="00225EA4"/>
    <w:rsid w:val="00226EAF"/>
    <w:rsid w:val="00231F3A"/>
    <w:rsid w:val="00233D95"/>
    <w:rsid w:val="00234199"/>
    <w:rsid w:val="002367F3"/>
    <w:rsid w:val="002406EE"/>
    <w:rsid w:val="00243EC8"/>
    <w:rsid w:val="0024433E"/>
    <w:rsid w:val="002547F1"/>
    <w:rsid w:val="00256262"/>
    <w:rsid w:val="002625F0"/>
    <w:rsid w:val="00270D93"/>
    <w:rsid w:val="002745CC"/>
    <w:rsid w:val="00283D66"/>
    <w:rsid w:val="002A7F82"/>
    <w:rsid w:val="002B3564"/>
    <w:rsid w:val="002B7924"/>
    <w:rsid w:val="002D057C"/>
    <w:rsid w:val="002D1316"/>
    <w:rsid w:val="002D2690"/>
    <w:rsid w:val="002D28C3"/>
    <w:rsid w:val="002D33F6"/>
    <w:rsid w:val="002D39A4"/>
    <w:rsid w:val="002E1A62"/>
    <w:rsid w:val="002E1CEA"/>
    <w:rsid w:val="002E2BB7"/>
    <w:rsid w:val="002E6705"/>
    <w:rsid w:val="002F3E65"/>
    <w:rsid w:val="00301D08"/>
    <w:rsid w:val="0030329A"/>
    <w:rsid w:val="003046E4"/>
    <w:rsid w:val="003072ED"/>
    <w:rsid w:val="0031086F"/>
    <w:rsid w:val="003114EF"/>
    <w:rsid w:val="0031414C"/>
    <w:rsid w:val="00314E01"/>
    <w:rsid w:val="00315874"/>
    <w:rsid w:val="0032089D"/>
    <w:rsid w:val="00320941"/>
    <w:rsid w:val="003220D6"/>
    <w:rsid w:val="003231BD"/>
    <w:rsid w:val="003310DE"/>
    <w:rsid w:val="003323B0"/>
    <w:rsid w:val="003353FA"/>
    <w:rsid w:val="003358F2"/>
    <w:rsid w:val="00335D83"/>
    <w:rsid w:val="00337D96"/>
    <w:rsid w:val="0035169A"/>
    <w:rsid w:val="00351BF4"/>
    <w:rsid w:val="00352058"/>
    <w:rsid w:val="003523E1"/>
    <w:rsid w:val="0035259D"/>
    <w:rsid w:val="0035416D"/>
    <w:rsid w:val="00355A4C"/>
    <w:rsid w:val="00364B18"/>
    <w:rsid w:val="00364DBD"/>
    <w:rsid w:val="00366FDB"/>
    <w:rsid w:val="00377CD9"/>
    <w:rsid w:val="00377DDF"/>
    <w:rsid w:val="00382F3E"/>
    <w:rsid w:val="00383FE4"/>
    <w:rsid w:val="003A125D"/>
    <w:rsid w:val="003A4C70"/>
    <w:rsid w:val="003B215F"/>
    <w:rsid w:val="003C799C"/>
    <w:rsid w:val="003D0399"/>
    <w:rsid w:val="003D2FA6"/>
    <w:rsid w:val="003E0BBD"/>
    <w:rsid w:val="003E1C71"/>
    <w:rsid w:val="003F00B1"/>
    <w:rsid w:val="003F327B"/>
    <w:rsid w:val="00406166"/>
    <w:rsid w:val="0040704B"/>
    <w:rsid w:val="00410A55"/>
    <w:rsid w:val="00410EA4"/>
    <w:rsid w:val="00411300"/>
    <w:rsid w:val="00415417"/>
    <w:rsid w:val="004209E7"/>
    <w:rsid w:val="00422B65"/>
    <w:rsid w:val="00426659"/>
    <w:rsid w:val="00436060"/>
    <w:rsid w:val="00444431"/>
    <w:rsid w:val="00450352"/>
    <w:rsid w:val="00454BDB"/>
    <w:rsid w:val="00464800"/>
    <w:rsid w:val="00465132"/>
    <w:rsid w:val="00470E78"/>
    <w:rsid w:val="0047355B"/>
    <w:rsid w:val="00480C90"/>
    <w:rsid w:val="0048396F"/>
    <w:rsid w:val="00493C18"/>
    <w:rsid w:val="00495FC2"/>
    <w:rsid w:val="004A2133"/>
    <w:rsid w:val="004A600C"/>
    <w:rsid w:val="004A6118"/>
    <w:rsid w:val="004B1934"/>
    <w:rsid w:val="004B54C0"/>
    <w:rsid w:val="004B6F8E"/>
    <w:rsid w:val="004B7C47"/>
    <w:rsid w:val="004C478D"/>
    <w:rsid w:val="004E2C26"/>
    <w:rsid w:val="004F36FF"/>
    <w:rsid w:val="005125A8"/>
    <w:rsid w:val="00514255"/>
    <w:rsid w:val="00521AE8"/>
    <w:rsid w:val="00522B17"/>
    <w:rsid w:val="00527180"/>
    <w:rsid w:val="00533BD0"/>
    <w:rsid w:val="0053612C"/>
    <w:rsid w:val="0053795E"/>
    <w:rsid w:val="0054201E"/>
    <w:rsid w:val="0054392B"/>
    <w:rsid w:val="00555291"/>
    <w:rsid w:val="005652A6"/>
    <w:rsid w:val="00566AD1"/>
    <w:rsid w:val="00570133"/>
    <w:rsid w:val="0057146D"/>
    <w:rsid w:val="00583EDE"/>
    <w:rsid w:val="00592766"/>
    <w:rsid w:val="005A6079"/>
    <w:rsid w:val="005B406E"/>
    <w:rsid w:val="005C3667"/>
    <w:rsid w:val="005D1BE0"/>
    <w:rsid w:val="005E25C6"/>
    <w:rsid w:val="005E375F"/>
    <w:rsid w:val="005E4698"/>
    <w:rsid w:val="005E7D33"/>
    <w:rsid w:val="006070DC"/>
    <w:rsid w:val="00610539"/>
    <w:rsid w:val="00612DC7"/>
    <w:rsid w:val="0061393C"/>
    <w:rsid w:val="00613969"/>
    <w:rsid w:val="00625C35"/>
    <w:rsid w:val="00630391"/>
    <w:rsid w:val="006323C2"/>
    <w:rsid w:val="00633048"/>
    <w:rsid w:val="00647F85"/>
    <w:rsid w:val="00656313"/>
    <w:rsid w:val="006565F4"/>
    <w:rsid w:val="006730D9"/>
    <w:rsid w:val="00674ACA"/>
    <w:rsid w:val="00674CDB"/>
    <w:rsid w:val="00684EEA"/>
    <w:rsid w:val="006937E3"/>
    <w:rsid w:val="0069689B"/>
    <w:rsid w:val="006A1551"/>
    <w:rsid w:val="006A4483"/>
    <w:rsid w:val="006A545B"/>
    <w:rsid w:val="006B1025"/>
    <w:rsid w:val="006B5FF5"/>
    <w:rsid w:val="006D27D0"/>
    <w:rsid w:val="006D7C9B"/>
    <w:rsid w:val="006E3924"/>
    <w:rsid w:val="006F30AF"/>
    <w:rsid w:val="006F31AF"/>
    <w:rsid w:val="00701759"/>
    <w:rsid w:val="00701D20"/>
    <w:rsid w:val="00705C15"/>
    <w:rsid w:val="0071600E"/>
    <w:rsid w:val="00716897"/>
    <w:rsid w:val="007208D1"/>
    <w:rsid w:val="00735F8B"/>
    <w:rsid w:val="00747288"/>
    <w:rsid w:val="00747DD3"/>
    <w:rsid w:val="0075234F"/>
    <w:rsid w:val="007549C8"/>
    <w:rsid w:val="00754A0B"/>
    <w:rsid w:val="00766D14"/>
    <w:rsid w:val="00767A0F"/>
    <w:rsid w:val="00774781"/>
    <w:rsid w:val="007753E0"/>
    <w:rsid w:val="007815B6"/>
    <w:rsid w:val="00790080"/>
    <w:rsid w:val="007A05F6"/>
    <w:rsid w:val="007A7D44"/>
    <w:rsid w:val="007B4E8E"/>
    <w:rsid w:val="007B6F4A"/>
    <w:rsid w:val="007D1506"/>
    <w:rsid w:val="007E1C47"/>
    <w:rsid w:val="007E337A"/>
    <w:rsid w:val="007E5C70"/>
    <w:rsid w:val="007E7240"/>
    <w:rsid w:val="007F2FF5"/>
    <w:rsid w:val="007F3F08"/>
    <w:rsid w:val="0080315F"/>
    <w:rsid w:val="00804CC6"/>
    <w:rsid w:val="0081175D"/>
    <w:rsid w:val="00812CBF"/>
    <w:rsid w:val="008145E3"/>
    <w:rsid w:val="00817190"/>
    <w:rsid w:val="00820EE5"/>
    <w:rsid w:val="008260E2"/>
    <w:rsid w:val="008322BD"/>
    <w:rsid w:val="00833E0A"/>
    <w:rsid w:val="00834F73"/>
    <w:rsid w:val="0086203A"/>
    <w:rsid w:val="0086394C"/>
    <w:rsid w:val="00864CF8"/>
    <w:rsid w:val="00866953"/>
    <w:rsid w:val="0087057F"/>
    <w:rsid w:val="00872819"/>
    <w:rsid w:val="00874914"/>
    <w:rsid w:val="00874D6F"/>
    <w:rsid w:val="00886174"/>
    <w:rsid w:val="00891422"/>
    <w:rsid w:val="00892E1A"/>
    <w:rsid w:val="008A3F29"/>
    <w:rsid w:val="008B12EC"/>
    <w:rsid w:val="008B1837"/>
    <w:rsid w:val="008B660A"/>
    <w:rsid w:val="008C01DA"/>
    <w:rsid w:val="008C0308"/>
    <w:rsid w:val="008D37B3"/>
    <w:rsid w:val="008D79F7"/>
    <w:rsid w:val="008F2432"/>
    <w:rsid w:val="008F73DD"/>
    <w:rsid w:val="008F78E9"/>
    <w:rsid w:val="00902B8D"/>
    <w:rsid w:val="00903071"/>
    <w:rsid w:val="00911989"/>
    <w:rsid w:val="009179F9"/>
    <w:rsid w:val="009221A9"/>
    <w:rsid w:val="00923C73"/>
    <w:rsid w:val="00933E5E"/>
    <w:rsid w:val="00935218"/>
    <w:rsid w:val="009403F3"/>
    <w:rsid w:val="00947D6A"/>
    <w:rsid w:val="009555B7"/>
    <w:rsid w:val="009567AA"/>
    <w:rsid w:val="0096549E"/>
    <w:rsid w:val="00967374"/>
    <w:rsid w:val="00977F9C"/>
    <w:rsid w:val="00980DD7"/>
    <w:rsid w:val="009871D5"/>
    <w:rsid w:val="00990DD4"/>
    <w:rsid w:val="009918E6"/>
    <w:rsid w:val="009A32D0"/>
    <w:rsid w:val="009A343A"/>
    <w:rsid w:val="009A666E"/>
    <w:rsid w:val="009B2F23"/>
    <w:rsid w:val="009B57B3"/>
    <w:rsid w:val="009C5B92"/>
    <w:rsid w:val="009D2920"/>
    <w:rsid w:val="009D5AEB"/>
    <w:rsid w:val="009E21FB"/>
    <w:rsid w:val="009E3CEE"/>
    <w:rsid w:val="009E7FDE"/>
    <w:rsid w:val="009F0A4A"/>
    <w:rsid w:val="009F0E33"/>
    <w:rsid w:val="00A030CE"/>
    <w:rsid w:val="00A05278"/>
    <w:rsid w:val="00A05432"/>
    <w:rsid w:val="00A073DC"/>
    <w:rsid w:val="00A07C5E"/>
    <w:rsid w:val="00A149DF"/>
    <w:rsid w:val="00A1755C"/>
    <w:rsid w:val="00A21B90"/>
    <w:rsid w:val="00A248A1"/>
    <w:rsid w:val="00A41805"/>
    <w:rsid w:val="00A42DCD"/>
    <w:rsid w:val="00A52AFB"/>
    <w:rsid w:val="00A548CB"/>
    <w:rsid w:val="00A5521C"/>
    <w:rsid w:val="00A643E7"/>
    <w:rsid w:val="00A676C5"/>
    <w:rsid w:val="00A707AE"/>
    <w:rsid w:val="00A71638"/>
    <w:rsid w:val="00A73C38"/>
    <w:rsid w:val="00A771B7"/>
    <w:rsid w:val="00AB670D"/>
    <w:rsid w:val="00AC0C26"/>
    <w:rsid w:val="00AC6DDE"/>
    <w:rsid w:val="00AE43B4"/>
    <w:rsid w:val="00AE4535"/>
    <w:rsid w:val="00AE6124"/>
    <w:rsid w:val="00AF03C5"/>
    <w:rsid w:val="00B000D8"/>
    <w:rsid w:val="00B00F75"/>
    <w:rsid w:val="00B047C2"/>
    <w:rsid w:val="00B145B6"/>
    <w:rsid w:val="00B24BDE"/>
    <w:rsid w:val="00B279EB"/>
    <w:rsid w:val="00B33A03"/>
    <w:rsid w:val="00B37488"/>
    <w:rsid w:val="00B40339"/>
    <w:rsid w:val="00B42278"/>
    <w:rsid w:val="00B423BB"/>
    <w:rsid w:val="00B50C81"/>
    <w:rsid w:val="00B557F8"/>
    <w:rsid w:val="00B66B92"/>
    <w:rsid w:val="00B71A31"/>
    <w:rsid w:val="00B71DD7"/>
    <w:rsid w:val="00B73A07"/>
    <w:rsid w:val="00B815FC"/>
    <w:rsid w:val="00B93FBC"/>
    <w:rsid w:val="00BA4A2A"/>
    <w:rsid w:val="00BA7DA0"/>
    <w:rsid w:val="00BB2EE4"/>
    <w:rsid w:val="00BC2108"/>
    <w:rsid w:val="00BC2E21"/>
    <w:rsid w:val="00BD0E9E"/>
    <w:rsid w:val="00BD1BEC"/>
    <w:rsid w:val="00BD2693"/>
    <w:rsid w:val="00BD32FF"/>
    <w:rsid w:val="00BD5B6A"/>
    <w:rsid w:val="00BF03A0"/>
    <w:rsid w:val="00C02092"/>
    <w:rsid w:val="00C126DF"/>
    <w:rsid w:val="00C12C9C"/>
    <w:rsid w:val="00C17D9D"/>
    <w:rsid w:val="00C22A5C"/>
    <w:rsid w:val="00C24D91"/>
    <w:rsid w:val="00C263F1"/>
    <w:rsid w:val="00C30084"/>
    <w:rsid w:val="00C374D0"/>
    <w:rsid w:val="00C51C8C"/>
    <w:rsid w:val="00C53168"/>
    <w:rsid w:val="00C53F14"/>
    <w:rsid w:val="00C600CF"/>
    <w:rsid w:val="00C6084F"/>
    <w:rsid w:val="00C62A66"/>
    <w:rsid w:val="00C64FF0"/>
    <w:rsid w:val="00C71458"/>
    <w:rsid w:val="00C77313"/>
    <w:rsid w:val="00C77613"/>
    <w:rsid w:val="00C828E7"/>
    <w:rsid w:val="00C86719"/>
    <w:rsid w:val="00C86C2A"/>
    <w:rsid w:val="00C87181"/>
    <w:rsid w:val="00C921DD"/>
    <w:rsid w:val="00CA6391"/>
    <w:rsid w:val="00CB3829"/>
    <w:rsid w:val="00CB7E76"/>
    <w:rsid w:val="00CC284D"/>
    <w:rsid w:val="00CC34BD"/>
    <w:rsid w:val="00CD1C06"/>
    <w:rsid w:val="00CE161A"/>
    <w:rsid w:val="00CE3171"/>
    <w:rsid w:val="00CF1601"/>
    <w:rsid w:val="00D0172F"/>
    <w:rsid w:val="00D068A7"/>
    <w:rsid w:val="00D15421"/>
    <w:rsid w:val="00D17476"/>
    <w:rsid w:val="00D21140"/>
    <w:rsid w:val="00D31387"/>
    <w:rsid w:val="00D32086"/>
    <w:rsid w:val="00D37A3F"/>
    <w:rsid w:val="00D37AB0"/>
    <w:rsid w:val="00D416A4"/>
    <w:rsid w:val="00D4431D"/>
    <w:rsid w:val="00D4667A"/>
    <w:rsid w:val="00D527FD"/>
    <w:rsid w:val="00D63A1C"/>
    <w:rsid w:val="00D64313"/>
    <w:rsid w:val="00D7516F"/>
    <w:rsid w:val="00D8579F"/>
    <w:rsid w:val="00D9378C"/>
    <w:rsid w:val="00D95F8E"/>
    <w:rsid w:val="00DA0590"/>
    <w:rsid w:val="00DA2CC1"/>
    <w:rsid w:val="00DB7BEA"/>
    <w:rsid w:val="00DC171B"/>
    <w:rsid w:val="00DC1739"/>
    <w:rsid w:val="00DC1788"/>
    <w:rsid w:val="00DC7601"/>
    <w:rsid w:val="00DC7D0F"/>
    <w:rsid w:val="00DD18BB"/>
    <w:rsid w:val="00DD58B2"/>
    <w:rsid w:val="00DE1054"/>
    <w:rsid w:val="00DE319C"/>
    <w:rsid w:val="00DF0CA8"/>
    <w:rsid w:val="00DF29E8"/>
    <w:rsid w:val="00DF2B48"/>
    <w:rsid w:val="00DF49A7"/>
    <w:rsid w:val="00E02EFA"/>
    <w:rsid w:val="00E07EE2"/>
    <w:rsid w:val="00E07FD1"/>
    <w:rsid w:val="00E176D8"/>
    <w:rsid w:val="00E24573"/>
    <w:rsid w:val="00E25E1E"/>
    <w:rsid w:val="00E265A8"/>
    <w:rsid w:val="00E27EE7"/>
    <w:rsid w:val="00E34B92"/>
    <w:rsid w:val="00E35404"/>
    <w:rsid w:val="00E37AD2"/>
    <w:rsid w:val="00E45109"/>
    <w:rsid w:val="00E45CA7"/>
    <w:rsid w:val="00E47B7A"/>
    <w:rsid w:val="00E56A44"/>
    <w:rsid w:val="00E60269"/>
    <w:rsid w:val="00E63185"/>
    <w:rsid w:val="00E663EC"/>
    <w:rsid w:val="00E67A41"/>
    <w:rsid w:val="00E736C4"/>
    <w:rsid w:val="00E77932"/>
    <w:rsid w:val="00E847D3"/>
    <w:rsid w:val="00E87000"/>
    <w:rsid w:val="00E92A5F"/>
    <w:rsid w:val="00E96F11"/>
    <w:rsid w:val="00E97830"/>
    <w:rsid w:val="00EA5608"/>
    <w:rsid w:val="00EA5D93"/>
    <w:rsid w:val="00EA6D98"/>
    <w:rsid w:val="00ED108B"/>
    <w:rsid w:val="00EE643C"/>
    <w:rsid w:val="00EF0683"/>
    <w:rsid w:val="00EF0AF9"/>
    <w:rsid w:val="00EF69D2"/>
    <w:rsid w:val="00EF766E"/>
    <w:rsid w:val="00F0070C"/>
    <w:rsid w:val="00F00EB7"/>
    <w:rsid w:val="00F05A87"/>
    <w:rsid w:val="00F30EFD"/>
    <w:rsid w:val="00F35809"/>
    <w:rsid w:val="00F362A3"/>
    <w:rsid w:val="00F36AB6"/>
    <w:rsid w:val="00F37A09"/>
    <w:rsid w:val="00F409CE"/>
    <w:rsid w:val="00F42AC0"/>
    <w:rsid w:val="00F4379D"/>
    <w:rsid w:val="00F50D2D"/>
    <w:rsid w:val="00F56C8B"/>
    <w:rsid w:val="00F66810"/>
    <w:rsid w:val="00F73423"/>
    <w:rsid w:val="00F846D9"/>
    <w:rsid w:val="00F84DF4"/>
    <w:rsid w:val="00F85C28"/>
    <w:rsid w:val="00F85C97"/>
    <w:rsid w:val="00FA526E"/>
    <w:rsid w:val="00FA67D2"/>
    <w:rsid w:val="00FB25BE"/>
    <w:rsid w:val="00FB37D2"/>
    <w:rsid w:val="00FC4EFB"/>
    <w:rsid w:val="00FD068D"/>
    <w:rsid w:val="00FD4F28"/>
    <w:rsid w:val="00FD6953"/>
    <w:rsid w:val="00FE6784"/>
    <w:rsid w:val="00FE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ED0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BC2E21"/>
    <w:rPr>
      <w:sz w:val="16"/>
      <w:szCs w:val="16"/>
    </w:rPr>
  </w:style>
  <w:style w:type="paragraph" w:styleId="CommentText">
    <w:name w:val="annotation text"/>
    <w:basedOn w:val="Normal"/>
    <w:link w:val="CommentTextChar"/>
    <w:uiPriority w:val="99"/>
    <w:unhideWhenUsed/>
    <w:rsid w:val="00BC2E21"/>
    <w:rPr>
      <w:sz w:val="20"/>
    </w:rPr>
  </w:style>
  <w:style w:type="character" w:customStyle="1" w:styleId="CommentTextChar">
    <w:name w:val="Comment Text Char"/>
    <w:basedOn w:val="DefaultParagraphFont"/>
    <w:link w:val="CommentText"/>
    <w:uiPriority w:val="99"/>
    <w:rsid w:val="00BC2E21"/>
  </w:style>
  <w:style w:type="paragraph" w:styleId="CommentSubject">
    <w:name w:val="annotation subject"/>
    <w:basedOn w:val="CommentText"/>
    <w:next w:val="CommentText"/>
    <w:link w:val="CommentSubjectChar"/>
    <w:uiPriority w:val="99"/>
    <w:semiHidden/>
    <w:unhideWhenUsed/>
    <w:rsid w:val="00BC2E21"/>
    <w:rPr>
      <w:b/>
      <w:bCs/>
    </w:rPr>
  </w:style>
  <w:style w:type="character" w:customStyle="1" w:styleId="CommentSubjectChar">
    <w:name w:val="Comment Subject Char"/>
    <w:basedOn w:val="CommentTextChar"/>
    <w:link w:val="CommentSubject"/>
    <w:uiPriority w:val="99"/>
    <w:semiHidden/>
    <w:rsid w:val="00BC2E21"/>
    <w:rPr>
      <w:b/>
      <w:bCs/>
    </w:rPr>
  </w:style>
  <w:style w:type="character" w:customStyle="1" w:styleId="fontstyle01">
    <w:name w:val="fontstyle01"/>
    <w:basedOn w:val="DefaultParagraphFont"/>
    <w:rsid w:val="002547F1"/>
    <w:rPr>
      <w:rFonts w:ascii="MinionPro-Regular" w:hAnsi="MinionPro-Regular" w:hint="default"/>
      <w:b w:val="0"/>
      <w:bCs w:val="0"/>
      <w:i w:val="0"/>
      <w:iCs w:val="0"/>
      <w:color w:val="000000"/>
      <w:sz w:val="24"/>
      <w:szCs w:val="24"/>
    </w:rPr>
  </w:style>
  <w:style w:type="character" w:styleId="Hyperlink">
    <w:name w:val="Hyperlink"/>
    <w:basedOn w:val="DefaultParagraphFont"/>
    <w:uiPriority w:val="99"/>
    <w:unhideWhenUsed/>
    <w:rsid w:val="003F00B1"/>
    <w:rPr>
      <w:color w:val="660000"/>
      <w:u w:val="none"/>
    </w:rPr>
  </w:style>
  <w:style w:type="character" w:styleId="FollowedHyperlink">
    <w:name w:val="FollowedHyperlink"/>
    <w:basedOn w:val="DefaultParagraphFont"/>
    <w:uiPriority w:val="99"/>
    <w:semiHidden/>
    <w:unhideWhenUsed/>
    <w:rsid w:val="00F35809"/>
    <w:rPr>
      <w:color w:val="800080" w:themeColor="followedHyperlink"/>
      <w:u w:val="single"/>
    </w:rPr>
  </w:style>
  <w:style w:type="paragraph" w:customStyle="1" w:styleId="ParaNoNdepar-AltN">
    <w:name w:val="Para. No. / Nº de par. - Alt N"/>
    <w:link w:val="ParaNoNdepar-AltNChar"/>
    <w:qFormat/>
    <w:rsid w:val="00A05432"/>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A05432"/>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377DDF"/>
    <w:pPr>
      <w:spacing w:after="480"/>
    </w:pPr>
    <w:rPr>
      <w:rFonts w:eastAsiaTheme="minorHAnsi" w:cstheme="minorBidi"/>
      <w:szCs w:val="22"/>
      <w:lang w:eastAsia="en-US"/>
    </w:rPr>
  </w:style>
  <w:style w:type="paragraph" w:customStyle="1" w:styleId="SCCCoram">
    <w:name w:val="SCC.Coram"/>
    <w:basedOn w:val="Normal"/>
    <w:next w:val="Normal"/>
    <w:link w:val="SCCCoramChar"/>
    <w:rsid w:val="00377DDF"/>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377DDF"/>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377DDF"/>
    <w:rPr>
      <w:rFonts w:eastAsiaTheme="minorHAnsi" w:cstheme="minorBidi"/>
      <w:sz w:val="24"/>
      <w:szCs w:val="22"/>
      <w:lang w:eastAsia="en-US"/>
    </w:rPr>
  </w:style>
  <w:style w:type="character" w:customStyle="1" w:styleId="SCCBanSummaryChar">
    <w:name w:val="SCC.BanSummary Char"/>
    <w:basedOn w:val="DefaultParagraphFont"/>
    <w:link w:val="SCCBanSummary"/>
    <w:rsid w:val="00377DDF"/>
    <w:rPr>
      <w:b/>
      <w:sz w:val="24"/>
    </w:rPr>
  </w:style>
  <w:style w:type="table" w:styleId="TableGrid">
    <w:name w:val="Table Grid"/>
    <w:basedOn w:val="TableNormal"/>
    <w:uiPriority w:val="59"/>
    <w:rsid w:val="00377DDF"/>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377DDF"/>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377DDF"/>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377DDF"/>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377DDF"/>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377DDF"/>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377DDF"/>
    <w:pPr>
      <w:numPr>
        <w:ilvl w:val="2"/>
      </w:numPr>
      <w:outlineLvl w:val="2"/>
    </w:pPr>
  </w:style>
  <w:style w:type="paragraph" w:customStyle="1" w:styleId="Title4LevelTitre4Niveau">
    <w:name w:val="Title 4 Level / Titre 4 Niveau"/>
    <w:basedOn w:val="Title3LevelTitre3Niveau"/>
    <w:next w:val="ParaNoNdepar-AltN"/>
    <w:uiPriority w:val="4"/>
    <w:qFormat/>
    <w:rsid w:val="00377DDF"/>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377DDF"/>
    <w:pPr>
      <w:numPr>
        <w:ilvl w:val="4"/>
      </w:numPr>
      <w:outlineLvl w:val="4"/>
    </w:pPr>
  </w:style>
  <w:style w:type="paragraph" w:styleId="TOC1">
    <w:name w:val="toc 1"/>
    <w:basedOn w:val="Normal"/>
    <w:next w:val="Normal"/>
    <w:autoRedefine/>
    <w:uiPriority w:val="39"/>
    <w:unhideWhenUsed/>
    <w:rsid w:val="00377DDF"/>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377DDF"/>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377DDF"/>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377DDF"/>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377DDF"/>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377DDF"/>
    <w:pPr>
      <w:tabs>
        <w:tab w:val="left" w:pos="2160"/>
        <w:tab w:val="right" w:leader="dot" w:pos="8270"/>
      </w:tabs>
      <w:spacing w:after="100"/>
      <w:ind w:left="1800"/>
    </w:pPr>
    <w:rPr>
      <w:noProof/>
    </w:rPr>
  </w:style>
  <w:style w:type="table" w:customStyle="1" w:styleId="TableGrid1">
    <w:name w:val="Table Grid1"/>
    <w:basedOn w:val="TableNormal"/>
    <w:uiPriority w:val="59"/>
    <w:rsid w:val="00377DDF"/>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377DDF"/>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377DDF"/>
    <w:pPr>
      <w:numPr>
        <w:ilvl w:val="5"/>
      </w:numPr>
      <w:outlineLvl w:val="5"/>
    </w:pPr>
    <w:rPr>
      <w:i/>
      <w:u w:val="none"/>
    </w:rPr>
  </w:style>
  <w:style w:type="paragraph" w:styleId="FootnoteText">
    <w:name w:val="footnote text"/>
    <w:basedOn w:val="Normal"/>
    <w:link w:val="FootnoteTextChar"/>
    <w:uiPriority w:val="99"/>
    <w:unhideWhenUsed/>
    <w:rsid w:val="00377DDF"/>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377DDF"/>
  </w:style>
  <w:style w:type="character" w:styleId="FootnoteReference">
    <w:name w:val="footnote reference"/>
    <w:basedOn w:val="DefaultParagraphFont"/>
    <w:uiPriority w:val="99"/>
    <w:semiHidden/>
    <w:unhideWhenUsed/>
    <w:rsid w:val="00377DDF"/>
    <w:rPr>
      <w:vertAlign w:val="superscript"/>
    </w:rPr>
  </w:style>
  <w:style w:type="paragraph" w:styleId="Revision">
    <w:name w:val="Revision"/>
    <w:hidden/>
    <w:uiPriority w:val="99"/>
    <w:semiHidden/>
    <w:rsid w:val="00377DDF"/>
    <w:rPr>
      <w:sz w:val="24"/>
      <w:szCs w:val="24"/>
    </w:rPr>
  </w:style>
  <w:style w:type="table" w:customStyle="1" w:styleId="TableGrid2">
    <w:name w:val="Table Grid2"/>
    <w:basedOn w:val="TableNormal"/>
    <w:next w:val="TableGrid"/>
    <w:uiPriority w:val="59"/>
    <w:rsid w:val="00377DDF"/>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nlii.ca/t/jh782"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c-csc.ca/cso-dce/2022SCC-CSC18_2_eng.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c-csc.ca/cso-dce/2022SCC-CSC18_1_eng.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64E7D-455E-4E5B-AAEB-D2A50123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27421</Words>
  <Characters>141463</Characters>
  <Application>Microsoft Office Word</Application>
  <DocSecurity>0</DocSecurity>
  <Lines>1178</Lines>
  <Paragraphs>337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168547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2022-05-13T10:39:00Z</dcterms:created>
  <dcterms:modified xsi:type="dcterms:W3CDTF">2024-09-09T13:03:00Z</dcterms:modified>
</cp:coreProperties>
</file>