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6"/>
        <w:gridCol w:w="1381"/>
        <w:gridCol w:w="1575"/>
        <w:gridCol w:w="3189"/>
      </w:tblGrid>
      <w:tr w:rsidR="00567205" w:rsidRPr="00567205" w14:paraId="6128DBD2" w14:textId="77777777" w:rsidTr="005E1800">
        <w:trPr>
          <w:trHeight w:val="2103"/>
        </w:trPr>
        <w:tc>
          <w:tcPr>
            <w:tcW w:w="5000" w:type="pct"/>
            <w:gridSpan w:val="4"/>
          </w:tcPr>
          <w:p w14:paraId="56FAA852" w14:textId="77777777" w:rsidR="00567205" w:rsidRPr="00567205" w:rsidRDefault="00567205" w:rsidP="00567205">
            <w:pPr>
              <w:jc w:val="center"/>
              <w:rPr>
                <w:b/>
              </w:rPr>
            </w:pPr>
            <w:r w:rsidRPr="00567205">
              <w:rPr>
                <w:b/>
                <w:noProof/>
                <w:lang w:val="fr-CA" w:eastAsia="fr-CA"/>
              </w:rPr>
              <w:drawing>
                <wp:inline distT="0" distB="0" distL="0" distR="0" wp14:anchorId="05A36048" wp14:editId="67B1577C">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691837FD" w14:textId="77777777" w:rsidR="00567205" w:rsidRPr="00567205" w:rsidRDefault="00567205" w:rsidP="00567205">
            <w:pPr>
              <w:spacing w:before="120" w:after="100" w:afterAutospacing="1"/>
              <w:jc w:val="center"/>
            </w:pPr>
            <w:r w:rsidRPr="00567205">
              <w:rPr>
                <w:b/>
              </w:rPr>
              <w:t>SUPREME COURT OF CANADA</w:t>
            </w:r>
          </w:p>
        </w:tc>
      </w:tr>
      <w:tr w:rsidR="00567205" w:rsidRPr="00567205" w14:paraId="26BF00E9" w14:textId="77777777" w:rsidTr="00567205">
        <w:tblPrEx>
          <w:tblCellMar>
            <w:top w:w="58" w:type="dxa"/>
            <w:left w:w="58" w:type="dxa"/>
            <w:bottom w:w="58" w:type="dxa"/>
            <w:right w:w="58" w:type="dxa"/>
          </w:tblCellMar>
        </w:tblPrEx>
        <w:trPr>
          <w:cantSplit/>
        </w:trPr>
        <w:tc>
          <w:tcPr>
            <w:tcW w:w="2078" w:type="pct"/>
            <w:gridSpan w:val="2"/>
          </w:tcPr>
          <w:p w14:paraId="7785EB3E" w14:textId="77777777" w:rsidR="00567205" w:rsidRPr="00567205" w:rsidRDefault="00567205" w:rsidP="00567205">
            <w:pPr>
              <w:rPr>
                <w:b/>
                <w:smallCaps/>
                <w:lang w:val="fr-CA"/>
              </w:rPr>
            </w:pPr>
          </w:p>
          <w:p w14:paraId="679E8F33" w14:textId="77777777" w:rsidR="00567205" w:rsidRPr="00567205" w:rsidRDefault="00567205" w:rsidP="00567205">
            <w:pPr>
              <w:rPr>
                <w:b/>
                <w:smallCaps/>
                <w:lang w:val="fr-CA"/>
              </w:rPr>
            </w:pPr>
            <w:r w:rsidRPr="00567205">
              <w:rPr>
                <w:b/>
                <w:smallCaps/>
                <w:lang w:val="fr-CA"/>
              </w:rPr>
              <w:t>Citation:</w:t>
            </w:r>
            <w:r w:rsidRPr="00567205">
              <w:rPr>
                <w:lang w:val="fr-CA"/>
              </w:rPr>
              <w:t xml:space="preserve"> Barendregt </w:t>
            </w:r>
            <w:r w:rsidRPr="00567205">
              <w:rPr>
                <w:i/>
                <w:iCs/>
                <w:lang w:val="fr-CA"/>
              </w:rPr>
              <w:t>v.</w:t>
            </w:r>
            <w:r w:rsidRPr="00567205">
              <w:rPr>
                <w:lang w:val="fr-CA"/>
              </w:rPr>
              <w:t xml:space="preserve"> Grebliunas, 2022 SCC 22</w:t>
            </w:r>
          </w:p>
        </w:tc>
        <w:tc>
          <w:tcPr>
            <w:tcW w:w="966" w:type="pct"/>
          </w:tcPr>
          <w:p w14:paraId="48E88419" w14:textId="77777777" w:rsidR="00567205" w:rsidRPr="00567205" w:rsidRDefault="00567205" w:rsidP="00567205">
            <w:pPr>
              <w:rPr>
                <w:lang w:val="fr-CA"/>
              </w:rPr>
            </w:pPr>
          </w:p>
        </w:tc>
        <w:tc>
          <w:tcPr>
            <w:tcW w:w="1956" w:type="pct"/>
          </w:tcPr>
          <w:p w14:paraId="1B20947E" w14:textId="77777777" w:rsidR="00567205" w:rsidRPr="00567205" w:rsidRDefault="00567205" w:rsidP="00567205">
            <w:pPr>
              <w:rPr>
                <w:b/>
                <w:smallCaps/>
                <w:lang w:val="fr-CA"/>
              </w:rPr>
            </w:pPr>
          </w:p>
          <w:p w14:paraId="4BED5E58" w14:textId="77777777" w:rsidR="00567205" w:rsidRPr="00567205" w:rsidRDefault="00567205" w:rsidP="00567205">
            <w:pPr>
              <w:jc w:val="both"/>
            </w:pPr>
            <w:r w:rsidRPr="00567205">
              <w:rPr>
                <w:b/>
                <w:smallCaps/>
              </w:rPr>
              <w:t>Appeal Heard:</w:t>
            </w:r>
            <w:r w:rsidRPr="00567205">
              <w:t xml:space="preserve"> December 1 and 2, 2021</w:t>
            </w:r>
          </w:p>
          <w:p w14:paraId="6C493520" w14:textId="77777777" w:rsidR="00567205" w:rsidRPr="00567205" w:rsidRDefault="00567205" w:rsidP="00567205">
            <w:r w:rsidRPr="00567205">
              <w:rPr>
                <w:b/>
                <w:smallCaps/>
              </w:rPr>
              <w:t>Judgment Rendered:</w:t>
            </w:r>
            <w:r w:rsidRPr="00567205">
              <w:t xml:space="preserve"> December 2, 2021</w:t>
            </w:r>
          </w:p>
          <w:p w14:paraId="4F8800B0" w14:textId="77777777" w:rsidR="00567205" w:rsidRPr="00567205" w:rsidRDefault="00567205" w:rsidP="00567205">
            <w:pPr>
              <w:rPr>
                <w:smallCaps/>
              </w:rPr>
            </w:pPr>
            <w:r w:rsidRPr="00567205">
              <w:rPr>
                <w:b/>
                <w:smallCaps/>
              </w:rPr>
              <w:t xml:space="preserve">Reasons for Judgment: </w:t>
            </w:r>
            <w:r w:rsidRPr="00567205">
              <w:t>May 20, 2022</w:t>
            </w:r>
          </w:p>
          <w:p w14:paraId="2F8F47B7" w14:textId="77777777" w:rsidR="00567205" w:rsidRPr="00567205" w:rsidRDefault="00567205" w:rsidP="00567205">
            <w:r w:rsidRPr="00567205">
              <w:rPr>
                <w:b/>
                <w:smallCaps/>
              </w:rPr>
              <w:t>Docket:</w:t>
            </w:r>
            <w:r w:rsidRPr="00567205">
              <w:t xml:space="preserve"> 39533</w:t>
            </w:r>
          </w:p>
        </w:tc>
      </w:tr>
      <w:tr w:rsidR="00567205" w:rsidRPr="00567205" w14:paraId="7B7617B8" w14:textId="77777777" w:rsidTr="005E1800">
        <w:tblPrEx>
          <w:tblCellMar>
            <w:top w:w="58" w:type="dxa"/>
            <w:left w:w="58" w:type="dxa"/>
            <w:bottom w:w="58" w:type="dxa"/>
            <w:right w:w="58" w:type="dxa"/>
          </w:tblCellMar>
        </w:tblPrEx>
        <w:trPr>
          <w:cantSplit/>
        </w:trPr>
        <w:tc>
          <w:tcPr>
            <w:tcW w:w="5000" w:type="pct"/>
            <w:gridSpan w:val="4"/>
          </w:tcPr>
          <w:p w14:paraId="0892C4C9" w14:textId="77777777" w:rsidR="00567205" w:rsidRPr="00567205" w:rsidRDefault="00567205" w:rsidP="00567205"/>
          <w:p w14:paraId="01941A35" w14:textId="77777777" w:rsidR="00567205" w:rsidRPr="00567205" w:rsidRDefault="00567205" w:rsidP="00567205">
            <w:pPr>
              <w:rPr>
                <w:b/>
                <w:smallCaps/>
              </w:rPr>
            </w:pPr>
            <w:r w:rsidRPr="00567205">
              <w:rPr>
                <w:b/>
                <w:smallCaps/>
              </w:rPr>
              <w:t>Between:</w:t>
            </w:r>
          </w:p>
          <w:p w14:paraId="29BE05CC" w14:textId="77777777" w:rsidR="00567205" w:rsidRPr="00567205" w:rsidRDefault="00567205" w:rsidP="00567205"/>
          <w:p w14:paraId="79F132D5" w14:textId="77777777" w:rsidR="00567205" w:rsidRPr="00567205" w:rsidRDefault="00567205" w:rsidP="00567205">
            <w:pPr>
              <w:jc w:val="center"/>
              <w:rPr>
                <w:b/>
              </w:rPr>
            </w:pPr>
            <w:r w:rsidRPr="00567205">
              <w:rPr>
                <w:b/>
              </w:rPr>
              <w:t>Ashley Suzanne Barendregt</w:t>
            </w:r>
          </w:p>
          <w:p w14:paraId="353804E9" w14:textId="77777777" w:rsidR="00567205" w:rsidRPr="00567205" w:rsidRDefault="00567205" w:rsidP="00567205">
            <w:pPr>
              <w:jc w:val="center"/>
            </w:pPr>
            <w:r w:rsidRPr="00567205">
              <w:t>Appellant</w:t>
            </w:r>
          </w:p>
          <w:p w14:paraId="412133B0" w14:textId="77777777" w:rsidR="00567205" w:rsidRPr="00567205" w:rsidRDefault="00567205" w:rsidP="00567205"/>
          <w:p w14:paraId="31C8C6FF" w14:textId="77777777" w:rsidR="00567205" w:rsidRPr="00567205" w:rsidRDefault="00567205" w:rsidP="00567205">
            <w:pPr>
              <w:jc w:val="center"/>
            </w:pPr>
            <w:r w:rsidRPr="00567205">
              <w:t>and</w:t>
            </w:r>
          </w:p>
          <w:p w14:paraId="7E86F93A" w14:textId="77777777" w:rsidR="00567205" w:rsidRPr="00567205" w:rsidRDefault="00567205" w:rsidP="00567205"/>
          <w:p w14:paraId="1B14290C" w14:textId="77777777" w:rsidR="00567205" w:rsidRPr="00567205" w:rsidRDefault="00567205" w:rsidP="00567205">
            <w:pPr>
              <w:jc w:val="center"/>
              <w:rPr>
                <w:b/>
              </w:rPr>
            </w:pPr>
            <w:r w:rsidRPr="00567205">
              <w:rPr>
                <w:b/>
              </w:rPr>
              <w:t>Geoff Bradley Grebliunas</w:t>
            </w:r>
          </w:p>
          <w:p w14:paraId="6F777850" w14:textId="77777777" w:rsidR="00567205" w:rsidRPr="00567205" w:rsidRDefault="00567205" w:rsidP="00567205">
            <w:pPr>
              <w:jc w:val="center"/>
            </w:pPr>
            <w:r w:rsidRPr="00567205">
              <w:t>Respondent</w:t>
            </w:r>
          </w:p>
          <w:p w14:paraId="554F95CA" w14:textId="77777777" w:rsidR="00567205" w:rsidRPr="00567205" w:rsidRDefault="00567205" w:rsidP="00567205"/>
          <w:p w14:paraId="6932429E" w14:textId="77777777" w:rsidR="00567205" w:rsidRPr="00567205" w:rsidRDefault="00567205" w:rsidP="00567205">
            <w:pPr>
              <w:jc w:val="center"/>
            </w:pPr>
            <w:r w:rsidRPr="00567205">
              <w:t>- and -</w:t>
            </w:r>
          </w:p>
          <w:p w14:paraId="4832983E" w14:textId="77777777" w:rsidR="00567205" w:rsidRPr="00567205" w:rsidRDefault="00567205" w:rsidP="00567205"/>
          <w:p w14:paraId="58074B21" w14:textId="77777777" w:rsidR="00567205" w:rsidRPr="00567205" w:rsidRDefault="00567205" w:rsidP="00567205">
            <w:pPr>
              <w:jc w:val="center"/>
              <w:rPr>
                <w:b/>
              </w:rPr>
            </w:pPr>
            <w:r w:rsidRPr="00567205">
              <w:rPr>
                <w:b/>
              </w:rPr>
              <w:t>Office of the Children’s Lawyer, West Coast Legal Education and Action Fund Association and Rise Women’s Legal Centre</w:t>
            </w:r>
          </w:p>
          <w:p w14:paraId="2ADA0B34" w14:textId="77777777" w:rsidR="00567205" w:rsidRPr="00567205" w:rsidRDefault="00567205" w:rsidP="00567205">
            <w:pPr>
              <w:jc w:val="center"/>
            </w:pPr>
            <w:r w:rsidRPr="00567205">
              <w:t>Interveners</w:t>
            </w:r>
          </w:p>
          <w:p w14:paraId="09EC980B" w14:textId="77777777" w:rsidR="00567205" w:rsidRPr="00567205" w:rsidRDefault="00567205" w:rsidP="00567205"/>
          <w:p w14:paraId="5491A2C8" w14:textId="77777777" w:rsidR="00567205" w:rsidRPr="00567205" w:rsidRDefault="00567205" w:rsidP="00567205"/>
          <w:p w14:paraId="721EA2C0" w14:textId="77777777" w:rsidR="00567205" w:rsidRPr="00567205" w:rsidRDefault="00567205" w:rsidP="00567205"/>
          <w:p w14:paraId="1C56A6A0" w14:textId="77777777" w:rsidR="00567205" w:rsidRPr="00567205" w:rsidRDefault="00567205" w:rsidP="00567205">
            <w:r w:rsidRPr="00567205">
              <w:rPr>
                <w:b/>
                <w:smallCaps/>
              </w:rPr>
              <w:t>Coram:</w:t>
            </w:r>
            <w:r w:rsidRPr="00567205">
              <w:t xml:space="preserve"> Wagner C.J. and Moldaver, Karakatsanis, Côté, Brown, Rowe, Martin, Kasirer and Jamal JJ.</w:t>
            </w:r>
          </w:p>
          <w:p w14:paraId="4342F9CD" w14:textId="77777777" w:rsidR="00567205" w:rsidRPr="00567205" w:rsidRDefault="00567205" w:rsidP="00567205">
            <w:pPr>
              <w:rPr>
                <w:b/>
                <w:smallCaps/>
              </w:rPr>
            </w:pPr>
          </w:p>
        </w:tc>
      </w:tr>
      <w:tr w:rsidR="00567205" w:rsidRPr="00567205" w14:paraId="1482FE96" w14:textId="77777777" w:rsidTr="005E1800">
        <w:tblPrEx>
          <w:tblCellMar>
            <w:top w:w="58" w:type="dxa"/>
            <w:left w:w="58" w:type="dxa"/>
            <w:bottom w:w="58" w:type="dxa"/>
            <w:right w:w="58" w:type="dxa"/>
          </w:tblCellMar>
        </w:tblPrEx>
        <w:trPr>
          <w:cantSplit/>
        </w:trPr>
        <w:tc>
          <w:tcPr>
            <w:tcW w:w="1231" w:type="pct"/>
          </w:tcPr>
          <w:p w14:paraId="7C78DD69" w14:textId="77777777" w:rsidR="00567205" w:rsidRPr="00567205" w:rsidRDefault="00567205" w:rsidP="00567205">
            <w:pPr>
              <w:rPr>
                <w:smallCaps/>
              </w:rPr>
            </w:pPr>
            <w:r w:rsidRPr="00567205">
              <w:rPr>
                <w:b/>
                <w:smallCaps/>
              </w:rPr>
              <w:t>Reasons for Judgment:</w:t>
            </w:r>
          </w:p>
          <w:p w14:paraId="43D2F0D1" w14:textId="77777777" w:rsidR="00567205" w:rsidRPr="00567205" w:rsidRDefault="00567205" w:rsidP="00567205">
            <w:r w:rsidRPr="00567205">
              <w:t>(paras. 1 to 190)</w:t>
            </w:r>
          </w:p>
        </w:tc>
        <w:tc>
          <w:tcPr>
            <w:tcW w:w="3769" w:type="pct"/>
            <w:gridSpan w:val="3"/>
          </w:tcPr>
          <w:p w14:paraId="0E6D5C84" w14:textId="77777777" w:rsidR="00567205" w:rsidRPr="00567205" w:rsidRDefault="00567205" w:rsidP="00567205">
            <w:r w:rsidRPr="00567205">
              <w:t>Karakatsanis J. (Wagner C.J. and Moldaver, Brown, Rowe, Martin, Kasirer and Jamal JJ. concurring)</w:t>
            </w:r>
          </w:p>
        </w:tc>
      </w:tr>
      <w:tr w:rsidR="00567205" w:rsidRPr="00567205" w14:paraId="64507F67" w14:textId="77777777" w:rsidTr="005E1800">
        <w:tblPrEx>
          <w:tblCellMar>
            <w:top w:w="58" w:type="dxa"/>
            <w:left w:w="58" w:type="dxa"/>
            <w:bottom w:w="58" w:type="dxa"/>
            <w:right w:w="58" w:type="dxa"/>
          </w:tblCellMar>
        </w:tblPrEx>
        <w:trPr>
          <w:cantSplit/>
        </w:trPr>
        <w:tc>
          <w:tcPr>
            <w:tcW w:w="1231" w:type="pct"/>
          </w:tcPr>
          <w:p w14:paraId="006D70AD" w14:textId="77777777" w:rsidR="00567205" w:rsidRPr="00567205" w:rsidRDefault="00567205" w:rsidP="00567205"/>
        </w:tc>
        <w:tc>
          <w:tcPr>
            <w:tcW w:w="3769" w:type="pct"/>
            <w:gridSpan w:val="3"/>
          </w:tcPr>
          <w:p w14:paraId="01884876" w14:textId="77777777" w:rsidR="00567205" w:rsidRPr="00567205" w:rsidRDefault="00567205" w:rsidP="00567205"/>
        </w:tc>
      </w:tr>
      <w:tr w:rsidR="00567205" w:rsidRPr="00567205" w14:paraId="0FF8244F" w14:textId="77777777" w:rsidTr="005E1800">
        <w:tblPrEx>
          <w:tblCellMar>
            <w:top w:w="58" w:type="dxa"/>
            <w:left w:w="58" w:type="dxa"/>
            <w:bottom w:w="58" w:type="dxa"/>
            <w:right w:w="58" w:type="dxa"/>
          </w:tblCellMar>
        </w:tblPrEx>
        <w:trPr>
          <w:cantSplit/>
        </w:trPr>
        <w:tc>
          <w:tcPr>
            <w:tcW w:w="1231" w:type="pct"/>
          </w:tcPr>
          <w:p w14:paraId="7F348205" w14:textId="77777777" w:rsidR="00567205" w:rsidRPr="00567205" w:rsidRDefault="00567205" w:rsidP="00567205">
            <w:pPr>
              <w:rPr>
                <w:smallCaps/>
              </w:rPr>
            </w:pPr>
            <w:r w:rsidRPr="00567205">
              <w:rPr>
                <w:b/>
                <w:smallCaps/>
              </w:rPr>
              <w:t>Reasons Dissenting in Part:</w:t>
            </w:r>
          </w:p>
          <w:p w14:paraId="1C6CE51E" w14:textId="77777777" w:rsidR="00567205" w:rsidRPr="00567205" w:rsidRDefault="00567205" w:rsidP="00567205">
            <w:r w:rsidRPr="00567205">
              <w:t>(paras. 191 to 231)</w:t>
            </w:r>
          </w:p>
        </w:tc>
        <w:tc>
          <w:tcPr>
            <w:tcW w:w="3769" w:type="pct"/>
            <w:gridSpan w:val="3"/>
          </w:tcPr>
          <w:p w14:paraId="189E6793" w14:textId="77777777" w:rsidR="00567205" w:rsidRPr="00567205" w:rsidRDefault="00567205" w:rsidP="00567205">
            <w:r w:rsidRPr="00567205">
              <w:t>Côté J.</w:t>
            </w:r>
          </w:p>
        </w:tc>
      </w:tr>
    </w:tbl>
    <w:p w14:paraId="3D959D20" w14:textId="77777777" w:rsidR="00567205" w:rsidRPr="00567205" w:rsidRDefault="00567205" w:rsidP="00567205">
      <w:pPr>
        <w:rPr>
          <w:rFonts w:eastAsiaTheme="minorHAnsi" w:cstheme="minorBidi"/>
          <w:b/>
          <w:szCs w:val="24"/>
          <w:lang w:eastAsia="en-US"/>
        </w:rPr>
      </w:pPr>
    </w:p>
    <w:p w14:paraId="2FB9B7D5" w14:textId="77777777" w:rsidR="00567205" w:rsidRPr="00567205" w:rsidRDefault="00567205" w:rsidP="00567205">
      <w:pPr>
        <w:rPr>
          <w:rFonts w:eastAsiaTheme="minorHAnsi" w:cstheme="minorBidi"/>
          <w:b/>
          <w:szCs w:val="24"/>
          <w:lang w:eastAsia="en-US"/>
        </w:rPr>
      </w:pPr>
    </w:p>
    <w:p w14:paraId="02CE2CBE" w14:textId="77777777" w:rsidR="00567205" w:rsidRPr="00567205" w:rsidRDefault="00567205" w:rsidP="00567205">
      <w:pPr>
        <w:rPr>
          <w:rFonts w:eastAsiaTheme="minorHAnsi" w:cstheme="minorBidi"/>
          <w:szCs w:val="24"/>
          <w:lang w:eastAsia="en-US"/>
        </w:rPr>
      </w:pPr>
    </w:p>
    <w:p w14:paraId="3A9717A4" w14:textId="77777777" w:rsidR="00567205" w:rsidRPr="00567205" w:rsidRDefault="00567205" w:rsidP="00567205">
      <w:pPr>
        <w:rPr>
          <w:rFonts w:eastAsiaTheme="minorHAnsi" w:cstheme="minorBidi"/>
          <w:szCs w:val="24"/>
          <w:lang w:eastAsia="en-US"/>
        </w:rPr>
      </w:pPr>
      <w:r w:rsidRPr="00567205">
        <w:rPr>
          <w:rFonts w:eastAsiaTheme="minorHAnsi" w:cstheme="minorBidi"/>
          <w:b/>
          <w:smallCaps/>
          <w:szCs w:val="24"/>
          <w:lang w:eastAsia="en-US"/>
        </w:rPr>
        <w:t>Note:</w:t>
      </w:r>
      <w:r w:rsidRPr="00567205">
        <w:rPr>
          <w:rFonts w:eastAsiaTheme="minorHAnsi" w:cstheme="minorBidi"/>
          <w:b/>
          <w:szCs w:val="24"/>
          <w:lang w:eastAsia="en-US"/>
        </w:rPr>
        <w:t xml:space="preserve"> </w:t>
      </w:r>
      <w:r w:rsidRPr="00567205">
        <w:rPr>
          <w:rFonts w:eastAsiaTheme="minorHAnsi" w:cstheme="minorBidi"/>
          <w:szCs w:val="24"/>
          <w:lang w:eastAsia="en-US"/>
        </w:rPr>
        <w:t xml:space="preserve">This document is subject to editorial revision before its reproduction in final form in the </w:t>
      </w:r>
      <w:r w:rsidRPr="00567205">
        <w:rPr>
          <w:rFonts w:eastAsiaTheme="minorHAnsi" w:cstheme="minorBidi"/>
          <w:i/>
          <w:szCs w:val="24"/>
          <w:lang w:eastAsia="en-US"/>
        </w:rPr>
        <w:t>Canada Supreme Court Reports</w:t>
      </w:r>
      <w:r w:rsidRPr="00567205">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567205" w:rsidRPr="00567205" w14:paraId="021B919D" w14:textId="77777777" w:rsidTr="005E1800">
        <w:tc>
          <w:tcPr>
            <w:tcW w:w="1500" w:type="pct"/>
            <w:tcMar>
              <w:top w:w="284" w:type="dxa"/>
            </w:tcMar>
          </w:tcPr>
          <w:p w14:paraId="5172C546" w14:textId="77777777" w:rsidR="00567205" w:rsidRPr="00567205" w:rsidRDefault="00567205" w:rsidP="00567205"/>
        </w:tc>
        <w:tc>
          <w:tcPr>
            <w:tcW w:w="2000" w:type="pct"/>
            <w:tcBorders>
              <w:bottom w:val="single" w:sz="4" w:space="0" w:color="auto"/>
            </w:tcBorders>
            <w:tcMar>
              <w:top w:w="284" w:type="dxa"/>
            </w:tcMar>
          </w:tcPr>
          <w:p w14:paraId="3B06DEFA" w14:textId="77777777" w:rsidR="00567205" w:rsidRPr="00567205" w:rsidRDefault="00567205" w:rsidP="00567205"/>
        </w:tc>
        <w:tc>
          <w:tcPr>
            <w:tcW w:w="1500" w:type="pct"/>
            <w:tcMar>
              <w:top w:w="284" w:type="dxa"/>
            </w:tcMar>
          </w:tcPr>
          <w:p w14:paraId="11A500C7" w14:textId="77777777" w:rsidR="00567205" w:rsidRPr="00567205" w:rsidRDefault="00567205" w:rsidP="00567205"/>
        </w:tc>
      </w:tr>
    </w:tbl>
    <w:p w14:paraId="76ADD3CD" w14:textId="77777777" w:rsidR="00567205" w:rsidRPr="00567205" w:rsidRDefault="00567205" w:rsidP="00567205">
      <w:pPr>
        <w:rPr>
          <w:rFonts w:eastAsiaTheme="minorHAnsi" w:cstheme="minorBidi"/>
          <w:szCs w:val="24"/>
          <w:lang w:eastAsia="en-US"/>
        </w:rPr>
      </w:pPr>
    </w:p>
    <w:p w14:paraId="2D1F51A0" w14:textId="77777777" w:rsidR="00567205" w:rsidRPr="00567205" w:rsidRDefault="00567205">
      <w:pPr>
        <w:rPr>
          <w:b/>
          <w:lang w:val="en-US"/>
        </w:rPr>
      </w:pPr>
      <w:r w:rsidRPr="00567205">
        <w:rPr>
          <w:lang w:val="en-US"/>
        </w:rPr>
        <w:br w:type="page"/>
      </w:r>
    </w:p>
    <w:p w14:paraId="42B5A75B" w14:textId="201A5443" w:rsidR="006F53EA" w:rsidRPr="002076D0" w:rsidRDefault="009F5B8A" w:rsidP="009A504D">
      <w:pPr>
        <w:pStyle w:val="SCCLsocLastPartyInRole"/>
        <w:tabs>
          <w:tab w:val="clear" w:pos="8222"/>
          <w:tab w:val="right" w:pos="8280"/>
        </w:tabs>
        <w:rPr>
          <w:lang w:val="fr-CA"/>
        </w:rPr>
      </w:pPr>
      <w:r w:rsidRPr="002076D0">
        <w:rPr>
          <w:lang w:val="fr-CA"/>
        </w:rPr>
        <w:lastRenderedPageBreak/>
        <w:t>Ashley Suzanne Barendregt</w:t>
      </w:r>
      <w:r w:rsidRPr="002076D0">
        <w:rPr>
          <w:rStyle w:val="SCCLsocPartyRole"/>
          <w:lang w:val="fr-CA"/>
        </w:rPr>
        <w:tab/>
        <w:t>Appellant</w:t>
      </w:r>
    </w:p>
    <w:p w14:paraId="4DE2146A" w14:textId="77777777" w:rsidR="006F53EA" w:rsidRPr="002076D0" w:rsidRDefault="009F5B8A">
      <w:pPr>
        <w:pStyle w:val="SCCLsocVersus"/>
        <w:rPr>
          <w:lang w:val="fr-CA"/>
        </w:rPr>
      </w:pPr>
      <w:r w:rsidRPr="002076D0">
        <w:rPr>
          <w:lang w:val="fr-CA"/>
        </w:rPr>
        <w:t>v.</w:t>
      </w:r>
    </w:p>
    <w:p w14:paraId="753615D9" w14:textId="77777777" w:rsidR="006F53EA" w:rsidRPr="00C4447E" w:rsidRDefault="009F5B8A">
      <w:pPr>
        <w:pStyle w:val="SCCLsocLastPartyInRole"/>
      </w:pPr>
      <w:r w:rsidRPr="00C4447E">
        <w:t>Geoff Bradley Grebliunas</w:t>
      </w:r>
      <w:r w:rsidRPr="00C4447E">
        <w:rPr>
          <w:rStyle w:val="SCCLsocPartyRole"/>
        </w:rPr>
        <w:tab/>
        <w:t>Respondent</w:t>
      </w:r>
    </w:p>
    <w:p w14:paraId="36F122E3" w14:textId="77777777" w:rsidR="006F53EA" w:rsidRPr="00C4447E" w:rsidRDefault="009F5B8A">
      <w:pPr>
        <w:pStyle w:val="SCCLsocOtherPartySeparator"/>
      </w:pPr>
      <w:r w:rsidRPr="00C4447E">
        <w:t>and</w:t>
      </w:r>
    </w:p>
    <w:p w14:paraId="5BD43E72" w14:textId="77777777" w:rsidR="006F53EA" w:rsidRPr="00C4447E" w:rsidRDefault="009F5B8A">
      <w:pPr>
        <w:pStyle w:val="SCCLsocParty"/>
      </w:pPr>
      <w:r w:rsidRPr="00C4447E">
        <w:t>Office of the Children</w:t>
      </w:r>
      <w:r w:rsidR="00C11747" w:rsidRPr="00C4447E">
        <w:t>’</w:t>
      </w:r>
      <w:r w:rsidRPr="00C4447E">
        <w:t>s Lawyer,</w:t>
      </w:r>
    </w:p>
    <w:p w14:paraId="786C8F66" w14:textId="595C4745" w:rsidR="006F53EA" w:rsidRPr="00C4447E" w:rsidRDefault="004155C7">
      <w:pPr>
        <w:pStyle w:val="SCCLsocParty"/>
      </w:pPr>
      <w:r w:rsidRPr="004155C7">
        <w:t>West Coast Legal Education and Action Fund Association</w:t>
      </w:r>
      <w:r w:rsidR="00F5326E" w:rsidRPr="00C4447E">
        <w:t xml:space="preserve"> and</w:t>
      </w:r>
    </w:p>
    <w:p w14:paraId="77C64326" w14:textId="77777777" w:rsidR="006F53EA" w:rsidRPr="00C4447E" w:rsidRDefault="009F5B8A" w:rsidP="00CA0A07">
      <w:pPr>
        <w:pStyle w:val="SCCLsocLastPartyInRole"/>
      </w:pPr>
      <w:r w:rsidRPr="00C4447E">
        <w:t>Rise Women</w:t>
      </w:r>
      <w:r w:rsidR="00C11747" w:rsidRPr="00C4447E">
        <w:t>’</w:t>
      </w:r>
      <w:r w:rsidRPr="00C4447E">
        <w:t>s Legal Centre</w:t>
      </w:r>
      <w:r w:rsidRPr="00C4447E">
        <w:rPr>
          <w:rStyle w:val="SCCLsocPartyRole"/>
        </w:rPr>
        <w:tab/>
        <w:t>Interveners</w:t>
      </w:r>
    </w:p>
    <w:p w14:paraId="580A2E9F" w14:textId="77777777" w:rsidR="00426659" w:rsidRPr="00426659" w:rsidRDefault="00426659" w:rsidP="00CA0A07">
      <w:pPr>
        <w:spacing w:after="720"/>
        <w:jc w:val="both"/>
        <w:rPr>
          <w:b/>
        </w:rPr>
      </w:pPr>
      <w:r w:rsidRPr="00C4447E">
        <w:rPr>
          <w:b/>
        </w:rPr>
        <w:t>Indexed as:</w:t>
      </w:r>
      <w:r w:rsidR="003855B0" w:rsidRPr="00C4447E">
        <w:rPr>
          <w:b/>
        </w:rPr>
        <w:t xml:space="preserve"> </w:t>
      </w:r>
      <w:r w:rsidRPr="00C4447E">
        <w:rPr>
          <w:rStyle w:val="SCCAppellantForIndexChar"/>
        </w:rPr>
        <w:t>Barendregt</w:t>
      </w:r>
      <w:r w:rsidRPr="00C4447E">
        <w:rPr>
          <w:b/>
        </w:rPr>
        <w:t xml:space="preserve"> </w:t>
      </w:r>
      <w:r w:rsidRPr="00C4447E">
        <w:rPr>
          <w:b/>
          <w:i/>
        </w:rPr>
        <w:t>v.</w:t>
      </w:r>
      <w:r w:rsidRPr="00C4447E">
        <w:rPr>
          <w:b/>
        </w:rPr>
        <w:t xml:space="preserve"> </w:t>
      </w:r>
      <w:r w:rsidRPr="00C4447E">
        <w:rPr>
          <w:rStyle w:val="SCCRespondentForIndexChar"/>
        </w:rPr>
        <w:t>Grebliunas</w:t>
      </w:r>
    </w:p>
    <w:p w14:paraId="0053AC9E" w14:textId="2FDEE738" w:rsidR="00426659" w:rsidRPr="00C02092" w:rsidRDefault="00C4447E" w:rsidP="00CA0A07">
      <w:pPr>
        <w:pStyle w:val="SCCSystemYear"/>
        <w:spacing w:after="720"/>
        <w:jc w:val="both"/>
      </w:pPr>
      <w:r w:rsidRPr="00C4447E">
        <w:t>2022</w:t>
      </w:r>
      <w:r w:rsidR="003D0399" w:rsidRPr="00C4447E">
        <w:t xml:space="preserve"> </w:t>
      </w:r>
      <w:r w:rsidR="00CA0A07" w:rsidRPr="00C4447E">
        <w:t>SCC</w:t>
      </w:r>
      <w:r w:rsidR="00CA0A07">
        <w:t xml:space="preserve"> </w:t>
      </w:r>
      <w:r w:rsidR="00EE5644" w:rsidRPr="00EE5644">
        <w:t>22</w:t>
      </w:r>
    </w:p>
    <w:p w14:paraId="046BC286" w14:textId="77777777" w:rsidR="008322BD" w:rsidRDefault="009B57B3" w:rsidP="00CA0A07">
      <w:pPr>
        <w:spacing w:after="720"/>
        <w:jc w:val="both"/>
      </w:pPr>
      <w:r w:rsidRPr="00C4447E">
        <w:t>File No.:</w:t>
      </w:r>
      <w:r w:rsidR="003855B0" w:rsidRPr="00C4447E">
        <w:t xml:space="preserve"> </w:t>
      </w:r>
      <w:r w:rsidRPr="00C4447E">
        <w:t>39533.</w:t>
      </w:r>
    </w:p>
    <w:p w14:paraId="314235C7" w14:textId="3D2327D2" w:rsidR="00EF44EC" w:rsidRPr="00EF44EC" w:rsidRDefault="00EF44EC" w:rsidP="00EF44EC">
      <w:pPr>
        <w:jc w:val="both"/>
      </w:pPr>
      <w:r w:rsidRPr="00EF44EC">
        <w:t xml:space="preserve">Appeal heard: </w:t>
      </w:r>
      <w:r w:rsidR="00EB679C">
        <w:t>December 1,</w:t>
      </w:r>
      <w:r w:rsidRPr="00EF44EC">
        <w:t xml:space="preserve"> 2, 2021.</w:t>
      </w:r>
    </w:p>
    <w:p w14:paraId="4D4541AF" w14:textId="0D54CC25" w:rsidR="00EF44EC" w:rsidRPr="00EF44EC" w:rsidRDefault="00EF44EC" w:rsidP="00EF44EC">
      <w:pPr>
        <w:jc w:val="both"/>
      </w:pPr>
      <w:r w:rsidRPr="00EF44EC">
        <w:t>Judgment rendered: December 2, 2021.</w:t>
      </w:r>
    </w:p>
    <w:p w14:paraId="3143838C" w14:textId="1C09D9E4" w:rsidR="00EF44EC" w:rsidRDefault="00EF44EC" w:rsidP="004155C7">
      <w:pPr>
        <w:spacing w:after="720"/>
        <w:jc w:val="both"/>
      </w:pPr>
      <w:r w:rsidRPr="00EF44EC">
        <w:t xml:space="preserve">Reasons delivered: </w:t>
      </w:r>
      <w:r w:rsidR="00CF5AFD" w:rsidRPr="00EF44EC">
        <w:t>May 20</w:t>
      </w:r>
      <w:r w:rsidRPr="00EF44EC">
        <w:t>, 2022.</w:t>
      </w:r>
    </w:p>
    <w:p w14:paraId="1BE89793" w14:textId="77777777" w:rsidR="008322BD" w:rsidRPr="00C4447E" w:rsidRDefault="009B57B3" w:rsidP="00CA0A07">
      <w:pPr>
        <w:spacing w:after="720"/>
        <w:jc w:val="both"/>
      </w:pPr>
      <w:r w:rsidRPr="00C4447E">
        <w:t>Present:</w:t>
      </w:r>
      <w:r w:rsidR="003855B0" w:rsidRPr="00C4447E">
        <w:t xml:space="preserve"> </w:t>
      </w:r>
      <w:r w:rsidRPr="00C4447E">
        <w:t>Wagner C.J. and Moldaver, Karakatsanis, Côté, Brown, Rowe, Martin, Kasirer and Jamal JJ.</w:t>
      </w:r>
    </w:p>
    <w:p w14:paraId="42654D67" w14:textId="77777777" w:rsidR="008322BD" w:rsidRPr="001C779F" w:rsidRDefault="00656313" w:rsidP="00CA0A07">
      <w:pPr>
        <w:pStyle w:val="SCCLowerCourtNameLowercase"/>
        <w:spacing w:after="720" w:line="240" w:lineRule="auto"/>
      </w:pPr>
      <w:r w:rsidRPr="00C4447E">
        <w:t>o</w:t>
      </w:r>
      <w:r w:rsidR="00170592" w:rsidRPr="00C4447E">
        <w:t>n</w:t>
      </w:r>
      <w:r w:rsidR="00224FC0" w:rsidRPr="00C4447E">
        <w:t xml:space="preserve"> </w:t>
      </w:r>
      <w:r w:rsidRPr="00C4447E">
        <w:t>a</w:t>
      </w:r>
      <w:r w:rsidR="00170592" w:rsidRPr="00C4447E">
        <w:t>ppeal</w:t>
      </w:r>
      <w:r w:rsidR="00224FC0" w:rsidRPr="00C4447E">
        <w:t xml:space="preserve"> </w:t>
      </w:r>
      <w:r w:rsidR="00170592" w:rsidRPr="00C4447E">
        <w:t>from</w:t>
      </w:r>
      <w:r w:rsidR="009567AA" w:rsidRPr="00C4447E">
        <w:t xml:space="preserve"> the</w:t>
      </w:r>
      <w:r w:rsidR="00224FC0" w:rsidRPr="00C4447E">
        <w:t xml:space="preserve"> </w:t>
      </w:r>
      <w:r w:rsidR="009B57B3" w:rsidRPr="00C4447E">
        <w:t xml:space="preserve">court of appeal </w:t>
      </w:r>
      <w:r w:rsidR="00F5326E" w:rsidRPr="00C4447E">
        <w:t>for british columbia</w:t>
      </w:r>
    </w:p>
    <w:p w14:paraId="5BB7ED96" w14:textId="1B934B46" w:rsidR="00DF0B37" w:rsidRDefault="009B57B3" w:rsidP="009505D6">
      <w:pPr>
        <w:pStyle w:val="SCCNormalDoubleSpacing"/>
        <w:spacing w:after="480"/>
        <w:rPr>
          <w:rStyle w:val="reflex2-link"/>
          <w:rFonts w:eastAsiaTheme="majorEastAsia"/>
          <w:i/>
          <w:iCs/>
          <w:color w:val="000000"/>
          <w:lang w:val="en-US"/>
        </w:rPr>
      </w:pPr>
      <w:r w:rsidRPr="00583EDE">
        <w:lastRenderedPageBreak/>
        <w:tab/>
      </w:r>
      <w:r w:rsidR="00DF0B37" w:rsidRPr="00C120F3">
        <w:rPr>
          <w:rStyle w:val="reflex2-link"/>
          <w:rFonts w:eastAsiaTheme="majorEastAsia"/>
          <w:i/>
          <w:iCs/>
          <w:color w:val="000000"/>
          <w:lang w:val="en-US"/>
        </w:rPr>
        <w:t>Family law —</w:t>
      </w:r>
      <w:r w:rsidR="00DF0B37">
        <w:rPr>
          <w:rStyle w:val="reflex2-link"/>
          <w:rFonts w:eastAsiaTheme="majorEastAsia"/>
          <w:i/>
          <w:iCs/>
          <w:color w:val="000000"/>
          <w:lang w:val="en-US"/>
        </w:rPr>
        <w:t xml:space="preserve"> Custody </w:t>
      </w:r>
      <w:r w:rsidR="00DF0B37" w:rsidRPr="00C120F3">
        <w:rPr>
          <w:rStyle w:val="reflex2-link"/>
          <w:rFonts w:eastAsiaTheme="majorEastAsia"/>
          <w:i/>
          <w:iCs/>
          <w:color w:val="000000"/>
          <w:lang w:val="en-US"/>
        </w:rPr>
        <w:t>—</w:t>
      </w:r>
      <w:r w:rsidR="00DF0B37">
        <w:rPr>
          <w:rStyle w:val="reflex2-link"/>
          <w:rFonts w:eastAsiaTheme="majorEastAsia"/>
          <w:i/>
          <w:iCs/>
          <w:color w:val="000000"/>
          <w:lang w:val="en-US"/>
        </w:rPr>
        <w:t xml:space="preserve"> Change of residence</w:t>
      </w:r>
      <w:r w:rsidR="009505D6">
        <w:rPr>
          <w:rStyle w:val="reflex2-link"/>
          <w:rFonts w:eastAsiaTheme="majorEastAsia"/>
          <w:i/>
          <w:iCs/>
          <w:color w:val="000000"/>
          <w:lang w:val="en-US"/>
        </w:rPr>
        <w:t xml:space="preserve"> — Best interests of child —</w:t>
      </w:r>
      <w:r w:rsidR="00DF0B37">
        <w:rPr>
          <w:rStyle w:val="reflex2-link"/>
          <w:rFonts w:eastAsiaTheme="majorEastAsia"/>
          <w:i/>
          <w:iCs/>
          <w:color w:val="000000"/>
          <w:lang w:val="en-US"/>
        </w:rPr>
        <w:t xml:space="preserve"> Primary residence of children awarded to mother at trial, allowing children to relocate some ten hours away from father’s residence </w:t>
      </w:r>
      <w:r w:rsidR="00DF0B37" w:rsidRPr="00D71D25">
        <w:rPr>
          <w:rStyle w:val="reflex2-link"/>
          <w:rFonts w:eastAsiaTheme="majorEastAsia"/>
          <w:i/>
          <w:iCs/>
          <w:color w:val="000000"/>
          <w:lang w:val="en-US"/>
        </w:rPr>
        <w:t>—</w:t>
      </w:r>
      <w:r w:rsidR="00DF0B37">
        <w:rPr>
          <w:rStyle w:val="reflex2-link"/>
          <w:rFonts w:eastAsiaTheme="majorEastAsia"/>
          <w:i/>
          <w:iCs/>
          <w:color w:val="000000"/>
          <w:lang w:val="en-US"/>
        </w:rPr>
        <w:t xml:space="preserve"> Father successfully appealing relocation order </w:t>
      </w:r>
      <w:r w:rsidR="00DF0B37" w:rsidRPr="00D71D25">
        <w:rPr>
          <w:rStyle w:val="reflex2-link"/>
          <w:rFonts w:eastAsiaTheme="majorEastAsia"/>
          <w:i/>
          <w:iCs/>
          <w:color w:val="000000"/>
          <w:lang w:val="en-US"/>
        </w:rPr>
        <w:t>—</w:t>
      </w:r>
      <w:r w:rsidR="00DF0B37">
        <w:rPr>
          <w:rStyle w:val="reflex2-link"/>
          <w:rFonts w:eastAsiaTheme="majorEastAsia"/>
          <w:i/>
          <w:iCs/>
          <w:color w:val="000000"/>
          <w:lang w:val="en-US"/>
        </w:rPr>
        <w:t xml:space="preserve"> Whether trial judge erred in relocation analysis such that appellate intervention was warranted </w:t>
      </w:r>
      <w:r w:rsidR="00DF0B37" w:rsidRPr="00C120F3">
        <w:rPr>
          <w:rStyle w:val="reflex2-link"/>
          <w:rFonts w:eastAsiaTheme="majorEastAsia"/>
          <w:i/>
          <w:iCs/>
          <w:color w:val="000000"/>
          <w:lang w:val="en-US"/>
        </w:rPr>
        <w:t>—</w:t>
      </w:r>
      <w:r w:rsidR="00DF0B37">
        <w:rPr>
          <w:rStyle w:val="reflex2-link"/>
          <w:rFonts w:eastAsiaTheme="majorEastAsia"/>
          <w:i/>
          <w:iCs/>
          <w:color w:val="000000"/>
          <w:lang w:val="en-US"/>
        </w:rPr>
        <w:t xml:space="preserve"> Framework governing determination as to whether reloca</w:t>
      </w:r>
      <w:r w:rsidR="009505D6">
        <w:rPr>
          <w:rStyle w:val="reflex2-link"/>
          <w:rFonts w:eastAsiaTheme="majorEastAsia"/>
          <w:i/>
          <w:iCs/>
          <w:color w:val="000000"/>
          <w:lang w:val="en-US"/>
        </w:rPr>
        <w:t>tion in child’s best interests.</w:t>
      </w:r>
    </w:p>
    <w:p w14:paraId="573ED6BD" w14:textId="53A00D7A" w:rsidR="00DF0B37" w:rsidRDefault="00DF0B37" w:rsidP="009505D6">
      <w:pPr>
        <w:pStyle w:val="SCCNormalDoubleSpacing"/>
        <w:spacing w:after="480"/>
        <w:rPr>
          <w:rStyle w:val="reflex2-link"/>
          <w:rFonts w:eastAsiaTheme="majorEastAsia"/>
          <w:i/>
          <w:iCs/>
          <w:color w:val="000000"/>
          <w:lang w:val="en-US"/>
        </w:rPr>
      </w:pPr>
      <w:r>
        <w:rPr>
          <w:rStyle w:val="reflex2-link"/>
          <w:rFonts w:eastAsiaTheme="majorEastAsia"/>
          <w:i/>
          <w:iCs/>
          <w:color w:val="000000"/>
          <w:lang w:val="en-US"/>
        </w:rPr>
        <w:tab/>
        <w:t xml:space="preserve">Evidence </w:t>
      </w:r>
      <w:r w:rsidRPr="00C120F3">
        <w:rPr>
          <w:rStyle w:val="reflex2-link"/>
          <w:rFonts w:eastAsiaTheme="majorEastAsia"/>
          <w:i/>
          <w:iCs/>
          <w:color w:val="000000"/>
          <w:lang w:val="en-US"/>
        </w:rPr>
        <w:t>—</w:t>
      </w:r>
      <w:r>
        <w:rPr>
          <w:rStyle w:val="reflex2-link"/>
          <w:rFonts w:eastAsiaTheme="majorEastAsia"/>
          <w:i/>
          <w:iCs/>
          <w:color w:val="000000"/>
          <w:lang w:val="en-US"/>
        </w:rPr>
        <w:t xml:space="preserve"> Additional evidence on appeal </w:t>
      </w:r>
      <w:r w:rsidRPr="00C120F3">
        <w:rPr>
          <w:rStyle w:val="reflex2-link"/>
          <w:rFonts w:eastAsiaTheme="majorEastAsia"/>
          <w:i/>
          <w:iCs/>
          <w:color w:val="000000"/>
          <w:lang w:val="en-US"/>
        </w:rPr>
        <w:t>—</w:t>
      </w:r>
      <w:r>
        <w:rPr>
          <w:rStyle w:val="reflex2-link"/>
          <w:rFonts w:eastAsiaTheme="majorEastAsia"/>
          <w:i/>
          <w:iCs/>
          <w:color w:val="000000"/>
          <w:lang w:val="en-US"/>
        </w:rPr>
        <w:t xml:space="preserve"> Father appealing relocation order awarding primary residence of children to mother </w:t>
      </w:r>
      <w:r w:rsidRPr="00C120F3">
        <w:rPr>
          <w:rStyle w:val="reflex2-link"/>
          <w:rFonts w:eastAsiaTheme="majorEastAsia"/>
          <w:i/>
          <w:iCs/>
          <w:color w:val="000000"/>
          <w:lang w:val="en-US"/>
        </w:rPr>
        <w:t>—</w:t>
      </w:r>
      <w:r>
        <w:rPr>
          <w:rStyle w:val="reflex2-link"/>
          <w:rFonts w:eastAsiaTheme="majorEastAsia"/>
          <w:i/>
          <w:iCs/>
          <w:color w:val="000000"/>
          <w:lang w:val="en-US"/>
        </w:rPr>
        <w:t xml:space="preserve"> Court of Appeal admitting new evidence adduced by father about financial situation </w:t>
      </w:r>
      <w:r w:rsidRPr="00C120F3">
        <w:rPr>
          <w:rStyle w:val="reflex2-link"/>
          <w:rFonts w:eastAsiaTheme="majorEastAsia"/>
          <w:i/>
          <w:iCs/>
          <w:color w:val="000000"/>
          <w:lang w:val="en-US"/>
        </w:rPr>
        <w:t>—</w:t>
      </w:r>
      <w:r>
        <w:rPr>
          <w:rStyle w:val="reflex2-link"/>
          <w:rFonts w:eastAsiaTheme="majorEastAsia"/>
          <w:i/>
          <w:iCs/>
          <w:color w:val="000000"/>
          <w:lang w:val="en-US"/>
        </w:rPr>
        <w:t xml:space="preserve"> Whether Court of Appeal erred in admitting new evidence </w:t>
      </w:r>
      <w:r w:rsidRPr="00C120F3">
        <w:rPr>
          <w:rStyle w:val="reflex2-link"/>
          <w:rFonts w:eastAsiaTheme="majorEastAsia"/>
          <w:i/>
          <w:iCs/>
          <w:color w:val="000000"/>
          <w:lang w:val="en-US"/>
        </w:rPr>
        <w:t>—</w:t>
      </w:r>
      <w:r>
        <w:rPr>
          <w:rStyle w:val="reflex2-link"/>
          <w:rFonts w:eastAsiaTheme="majorEastAsia"/>
          <w:i/>
          <w:iCs/>
          <w:color w:val="000000"/>
          <w:lang w:val="en-US"/>
        </w:rPr>
        <w:t xml:space="preserve"> Test governing admission of additional evidence on appeal.</w:t>
      </w:r>
    </w:p>
    <w:p w14:paraId="2413809F" w14:textId="55A7101A" w:rsidR="00DF0B37" w:rsidRPr="0082095C" w:rsidRDefault="00DF0B37" w:rsidP="009505D6">
      <w:pPr>
        <w:pStyle w:val="SCCNormalDoubleSpacing"/>
        <w:spacing w:after="480"/>
        <w:rPr>
          <w:rFonts w:eastAsiaTheme="majorEastAsia"/>
          <w:i/>
          <w:iCs/>
          <w:color w:val="000000"/>
          <w:lang w:val="en-US"/>
        </w:rPr>
      </w:pPr>
      <w:r>
        <w:rPr>
          <w:lang w:val="en-US"/>
        </w:rPr>
        <w:tab/>
        <w:t>T</w:t>
      </w:r>
      <w:r w:rsidRPr="00104448">
        <w:t>he mot</w:t>
      </w:r>
      <w:r>
        <w:t>her met the father in northern British Columbia in 2011, and</w:t>
      </w:r>
      <w:r w:rsidRPr="00104448">
        <w:t xml:space="preserve"> followed him to Kelowna</w:t>
      </w:r>
      <w:r>
        <w:t xml:space="preserve"> in 2012</w:t>
      </w:r>
      <w:r w:rsidRPr="00104448">
        <w:t>. Soon after, they got married</w:t>
      </w:r>
      <w:r>
        <w:rPr>
          <w:lang w:val="en-US"/>
        </w:rPr>
        <w:t xml:space="preserve">, </w:t>
      </w:r>
      <w:r>
        <w:t xml:space="preserve">bought a house, and had </w:t>
      </w:r>
      <w:r w:rsidRPr="00104448">
        <w:t>two boys</w:t>
      </w:r>
      <w:r>
        <w:t xml:space="preserve">. </w:t>
      </w:r>
      <w:r w:rsidRPr="00104448">
        <w:t>The home</w:t>
      </w:r>
      <w:r>
        <w:t xml:space="preserve"> purch</w:t>
      </w:r>
      <w:r w:rsidR="002C31BE">
        <w:t>ase proved to be a project, as</w:t>
      </w:r>
      <w:r>
        <w:t xml:space="preserve"> s</w:t>
      </w:r>
      <w:r w:rsidRPr="00104448">
        <w:t>ignificant money was needed to b</w:t>
      </w:r>
      <w:r w:rsidR="002C31BE">
        <w:t>ring it into livable</w:t>
      </w:r>
      <w:r>
        <w:t xml:space="preserve"> condition.</w:t>
      </w:r>
      <w:r w:rsidR="002C31BE">
        <w:rPr>
          <w:lang w:val="en-US"/>
        </w:rPr>
        <w:t xml:space="preserve"> When</w:t>
      </w:r>
      <w:r>
        <w:rPr>
          <w:lang w:val="en-US"/>
        </w:rPr>
        <w:t xml:space="preserve"> t</w:t>
      </w:r>
      <w:r w:rsidRPr="00104448">
        <w:t>he relationship ended</w:t>
      </w:r>
      <w:r>
        <w:t xml:space="preserve"> in 2018</w:t>
      </w:r>
      <w:r w:rsidR="002C31BE">
        <w:rPr>
          <w:lang w:val="en-US"/>
        </w:rPr>
        <w:t xml:space="preserve">, </w:t>
      </w:r>
      <w:r>
        <w:rPr>
          <w:lang w:val="en-US"/>
        </w:rPr>
        <w:t xml:space="preserve">the house remained an ongoing construction project. </w:t>
      </w:r>
      <w:r w:rsidR="002C31BE">
        <w:rPr>
          <w:lang w:val="en-US"/>
        </w:rPr>
        <w:t>After the father</w:t>
      </w:r>
      <w:r>
        <w:rPr>
          <w:lang w:val="en-US"/>
        </w:rPr>
        <w:t xml:space="preserve"> assaulted the</w:t>
      </w:r>
      <w:r w:rsidR="002C31BE">
        <w:rPr>
          <w:lang w:val="en-US"/>
        </w:rPr>
        <w:t xml:space="preserve"> mother during an argument, </w:t>
      </w:r>
      <w:r w:rsidR="002C31BE">
        <w:t>the mother brought the</w:t>
      </w:r>
      <w:r>
        <w:t xml:space="preserve"> boys </w:t>
      </w:r>
      <w:r w:rsidRPr="00104448">
        <w:t>to her parents’ home in Telkwa</w:t>
      </w:r>
      <w:r>
        <w:t xml:space="preserve">, </w:t>
      </w:r>
      <w:r>
        <w:rPr>
          <w:lang w:val="en-US"/>
        </w:rPr>
        <w:t>some 10 hours away from Kelowna</w:t>
      </w:r>
      <w:r>
        <w:t>.</w:t>
      </w:r>
      <w:r w:rsidR="002C31BE">
        <w:rPr>
          <w:lang w:val="en-US"/>
        </w:rPr>
        <w:t xml:space="preserve"> </w:t>
      </w:r>
      <w:r w:rsidR="002C31BE">
        <w:t>A</w:t>
      </w:r>
      <w:r w:rsidRPr="00104448">
        <w:t xml:space="preserve"> parenting arrangement emerged, splitting parenting time alternately </w:t>
      </w:r>
      <w:r w:rsidR="002C31BE">
        <w:t>between</w:t>
      </w:r>
      <w:r w:rsidRPr="00104448">
        <w:t xml:space="preserve"> Telkwa and Kelowna, before </w:t>
      </w:r>
      <w:r w:rsidR="002C31BE">
        <w:t>it was</w:t>
      </w:r>
      <w:r w:rsidRPr="00104448">
        <w:t xml:space="preserve"> agreed </w:t>
      </w:r>
      <w:r w:rsidR="002C31BE">
        <w:t>that</w:t>
      </w:r>
      <w:r>
        <w:t xml:space="preserve"> </w:t>
      </w:r>
      <w:r w:rsidRPr="00104448">
        <w:t xml:space="preserve">the children </w:t>
      </w:r>
      <w:r w:rsidR="0016135B">
        <w:t>would remain</w:t>
      </w:r>
      <w:r>
        <w:t xml:space="preserve"> </w:t>
      </w:r>
      <w:r w:rsidRPr="00104448">
        <w:t xml:space="preserve">in Kelowna with the father. </w:t>
      </w:r>
      <w:r w:rsidR="002C31BE">
        <w:rPr>
          <w:lang w:val="en-US"/>
        </w:rPr>
        <w:t>The parents</w:t>
      </w:r>
      <w:r>
        <w:rPr>
          <w:lang w:val="en-US"/>
        </w:rPr>
        <w:t xml:space="preserve"> were to alternate </w:t>
      </w:r>
      <w:r>
        <w:t>weekly parenting time when</w:t>
      </w:r>
      <w:r w:rsidRPr="00E537EF">
        <w:t xml:space="preserve"> </w:t>
      </w:r>
      <w:r w:rsidRPr="00104448">
        <w:t xml:space="preserve">the mother returned to Kelowna, </w:t>
      </w:r>
      <w:r>
        <w:rPr>
          <w:lang w:val="en-US"/>
        </w:rPr>
        <w:t>which never occurred</w:t>
      </w:r>
      <w:r w:rsidRPr="00104448">
        <w:t xml:space="preserve">. </w:t>
      </w:r>
      <w:r>
        <w:t xml:space="preserve">Rather, </w:t>
      </w:r>
      <w:r>
        <w:lastRenderedPageBreak/>
        <w:t>the mother applied to the court to r</w:t>
      </w:r>
      <w:r w:rsidR="002C31BE">
        <w:t>elocate the children to Telkwa.</w:t>
      </w:r>
      <w:r w:rsidRPr="00104448">
        <w:t xml:space="preserve"> </w:t>
      </w:r>
      <w:r w:rsidR="002C31BE">
        <w:t>She indicated that she</w:t>
      </w:r>
      <w:r>
        <w:t xml:space="preserve"> </w:t>
      </w:r>
      <w:r w:rsidRPr="00104448">
        <w:t>was willing to move to</w:t>
      </w:r>
      <w:r w:rsidR="002C31BE">
        <w:t xml:space="preserve"> Kelowna if </w:t>
      </w:r>
      <w:r>
        <w:t>h</w:t>
      </w:r>
      <w:r w:rsidR="002C31BE">
        <w:t>er application was unsuccessful, but the father</w:t>
      </w:r>
      <w:r>
        <w:t xml:space="preserve"> </w:t>
      </w:r>
      <w:r w:rsidRPr="00104448">
        <w:t xml:space="preserve">was unwilling to move to </w:t>
      </w:r>
      <w:r>
        <w:t>Telkwa</w:t>
      </w:r>
      <w:r w:rsidR="009505D6">
        <w:t xml:space="preserve"> under any circumstances.</w:t>
      </w:r>
    </w:p>
    <w:p w14:paraId="20399289" w14:textId="34393903" w:rsidR="00DF0B37" w:rsidRPr="00E93F8B" w:rsidRDefault="00DF0B37" w:rsidP="009505D6">
      <w:pPr>
        <w:pStyle w:val="SCCNormalDoubleSpacing"/>
        <w:spacing w:after="480"/>
      </w:pPr>
      <w:r>
        <w:tab/>
        <w:t>T</w:t>
      </w:r>
      <w:r w:rsidRPr="00104448">
        <w:t xml:space="preserve">he </w:t>
      </w:r>
      <w:r w:rsidR="00442DE4">
        <w:t>trial</w:t>
      </w:r>
      <w:r>
        <w:t xml:space="preserve"> </w:t>
      </w:r>
      <w:r w:rsidRPr="00104448">
        <w:t>judge awarded primary residence of the children to the mother and allowed them to relocate to Telkwa</w:t>
      </w:r>
      <w:r>
        <w:t xml:space="preserve">. </w:t>
      </w:r>
      <w:r w:rsidR="00442DE4">
        <w:rPr>
          <w:iCs/>
          <w:color w:val="000000"/>
          <w:lang w:val="en-US"/>
        </w:rPr>
        <w:t>He found that</w:t>
      </w:r>
      <w:r>
        <w:rPr>
          <w:iCs/>
          <w:color w:val="000000"/>
          <w:lang w:val="en-US"/>
        </w:rPr>
        <w:t xml:space="preserve"> </w:t>
      </w:r>
      <w:r>
        <w:t>t</w:t>
      </w:r>
      <w:r w:rsidRPr="00104448">
        <w:t>wo key issues</w:t>
      </w:r>
      <w:r w:rsidR="00442DE4">
        <w:t xml:space="preserve"> favoured the move: </w:t>
      </w:r>
      <w:r w:rsidRPr="00104448">
        <w:t xml:space="preserve">the </w:t>
      </w:r>
      <w:r>
        <w:t xml:space="preserve">more significant issue was the </w:t>
      </w:r>
      <w:r w:rsidRPr="00104448">
        <w:t>pa</w:t>
      </w:r>
      <w:r>
        <w:t>rents</w:t>
      </w:r>
      <w:r w:rsidRPr="00104448">
        <w:t>’ acrimonious relationship and its implications for the children</w:t>
      </w:r>
      <w:r w:rsidR="00442DE4">
        <w:t>; and</w:t>
      </w:r>
      <w:r>
        <w:t xml:space="preserve"> the </w:t>
      </w:r>
      <w:r w:rsidR="00442DE4">
        <w:t xml:space="preserve">less significant issue was the father’s financial situation, </w:t>
      </w:r>
      <w:r>
        <w:t>particularly with resp</w:t>
      </w:r>
      <w:r w:rsidR="00442DE4">
        <w:t xml:space="preserve">ect to his ability to make the </w:t>
      </w:r>
      <w:r>
        <w:t>Kelowna home habita</w:t>
      </w:r>
      <w:r w:rsidR="00442DE4">
        <w:t>ble</w:t>
      </w:r>
      <w:r w:rsidRPr="00104448">
        <w:t xml:space="preserve">. The father appealed and sought to adduce </w:t>
      </w:r>
      <w:r>
        <w:t>additional</w:t>
      </w:r>
      <w:r w:rsidRPr="00104448">
        <w:t xml:space="preserve"> evidence</w:t>
      </w:r>
      <w:r w:rsidR="00442DE4">
        <w:t xml:space="preserve"> </w:t>
      </w:r>
      <w:r>
        <w:t>about his finances and the renovations he ha</w:t>
      </w:r>
      <w:r w:rsidR="00442DE4">
        <w:t>d made to the house since trial</w:t>
      </w:r>
      <w:r w:rsidRPr="00104448">
        <w:t>.</w:t>
      </w:r>
      <w:r w:rsidR="00442DE4">
        <w:t xml:space="preserve"> The Court of Appeal</w:t>
      </w:r>
      <w:r>
        <w:t xml:space="preserve"> characterized this as “new” evidence because it had not existed at the time of trial. </w:t>
      </w:r>
      <w:r w:rsidR="00C80A1D">
        <w:t>The c</w:t>
      </w:r>
      <w:r w:rsidRPr="00104448">
        <w:t xml:space="preserve">ourt </w:t>
      </w:r>
      <w:r w:rsidR="00442DE4">
        <w:t>appli</w:t>
      </w:r>
      <w:r w:rsidR="00274410">
        <w:t>ed</w:t>
      </w:r>
      <w:r w:rsidR="00442DE4">
        <w:t xml:space="preserve"> a different test than that set out in</w:t>
      </w:r>
      <w:r>
        <w:t xml:space="preserve"> </w:t>
      </w:r>
      <w:r>
        <w:rPr>
          <w:i/>
        </w:rPr>
        <w:t>Palmer v. The Queen</w:t>
      </w:r>
      <w:r>
        <w:t xml:space="preserve">, [1980] 1 S.C.R. 759. In its view, </w:t>
      </w:r>
      <w:r>
        <w:rPr>
          <w:i/>
        </w:rPr>
        <w:t>Palmer</w:t>
      </w:r>
      <w:r w:rsidRPr="009A504D">
        <w:t xml:space="preserve"> </w:t>
      </w:r>
      <w:r w:rsidR="00F139DB" w:rsidRPr="00104448">
        <w:t>—</w:t>
      </w:r>
      <w:r>
        <w:t xml:space="preserve"> and in particular, the due diligence criterion </w:t>
      </w:r>
      <w:r w:rsidR="00F139DB" w:rsidRPr="00104448">
        <w:t>—</w:t>
      </w:r>
      <w:r>
        <w:t xml:space="preserve"> did not strictly govern the admission of new evidence o</w:t>
      </w:r>
      <w:r w:rsidR="00442DE4">
        <w:t xml:space="preserve">n appeal. </w:t>
      </w:r>
      <w:r w:rsidR="00C80A1D">
        <w:t>The c</w:t>
      </w:r>
      <w:r>
        <w:t>ourt then admitted th</w:t>
      </w:r>
      <w:r w:rsidR="00442DE4">
        <w:t>e evidence on the basis that it</w:t>
      </w:r>
      <w:r w:rsidRPr="00104448">
        <w:t xml:space="preserve"> undermined a primary underpinning of the trial decision</w:t>
      </w:r>
      <w:r w:rsidR="00442DE4">
        <w:t xml:space="preserve"> and the assumptions that the father</w:t>
      </w:r>
      <w:r>
        <w:t xml:space="preserve"> migh</w:t>
      </w:r>
      <w:r w:rsidR="00442DE4">
        <w:t xml:space="preserve">t not be able to remain in the </w:t>
      </w:r>
      <w:r>
        <w:t>Kel</w:t>
      </w:r>
      <w:r w:rsidR="00442DE4">
        <w:t>owna home had been displaced. As</w:t>
      </w:r>
      <w:r>
        <w:t xml:space="preserve"> o</w:t>
      </w:r>
      <w:r w:rsidRPr="00104448">
        <w:t>ne of trial judge’s two main considerations no longer applied</w:t>
      </w:r>
      <w:r w:rsidR="00442DE4">
        <w:t xml:space="preserve">, </w:t>
      </w:r>
      <w:r w:rsidR="00C80A1D">
        <w:t>the c</w:t>
      </w:r>
      <w:r>
        <w:t>ourt held that relocati</w:t>
      </w:r>
      <w:r w:rsidR="00442DE4">
        <w:t>on could no longer be justified</w:t>
      </w:r>
      <w:r>
        <w:t>.</w:t>
      </w:r>
      <w:r w:rsidR="00442DE4">
        <w:rPr>
          <w:iCs/>
          <w:color w:val="000000"/>
          <w:lang w:val="en-US"/>
        </w:rPr>
        <w:t xml:space="preserve"> </w:t>
      </w:r>
      <w:r w:rsidR="00C80A1D">
        <w:rPr>
          <w:iCs/>
          <w:color w:val="000000"/>
          <w:lang w:val="en-US"/>
        </w:rPr>
        <w:t>The c</w:t>
      </w:r>
      <w:r>
        <w:rPr>
          <w:iCs/>
          <w:color w:val="000000"/>
          <w:lang w:val="en-US"/>
        </w:rPr>
        <w:t xml:space="preserve">ourt thus </w:t>
      </w:r>
      <w:r w:rsidRPr="00104448">
        <w:t>concluded that the children’s best interests were best served by staying in Kelowna with both parents</w:t>
      </w:r>
      <w:r>
        <w:t>.</w:t>
      </w:r>
    </w:p>
    <w:p w14:paraId="23F63062" w14:textId="684CE6BA" w:rsidR="00DF0B37" w:rsidRDefault="00DF0B37" w:rsidP="009505D6">
      <w:pPr>
        <w:pStyle w:val="SCCNormalDoubleSpacing"/>
        <w:spacing w:after="480"/>
      </w:pPr>
      <w:r>
        <w:rPr>
          <w:iCs/>
          <w:color w:val="000000"/>
        </w:rPr>
        <w:tab/>
      </w:r>
      <w:r w:rsidRPr="00B47FF7">
        <w:rPr>
          <w:rStyle w:val="QuoteChar"/>
          <w:color w:val="auto"/>
          <w:lang w:val="en-CA"/>
        </w:rPr>
        <w:t>Held</w:t>
      </w:r>
      <w:r>
        <w:rPr>
          <w:rStyle w:val="QuoteChar"/>
          <w:color w:val="auto"/>
          <w:lang w:val="en-CA"/>
        </w:rPr>
        <w:t xml:space="preserve"> </w:t>
      </w:r>
      <w:r>
        <w:rPr>
          <w:rStyle w:val="QuoteChar"/>
          <w:i w:val="0"/>
          <w:color w:val="auto"/>
          <w:lang w:val="en-CA"/>
        </w:rPr>
        <w:t>(C</w:t>
      </w:r>
      <w:r w:rsidRPr="00FD341F">
        <w:rPr>
          <w:rStyle w:val="QuoteChar"/>
          <w:i w:val="0"/>
          <w:color w:val="auto"/>
          <w:lang w:val="en-CA"/>
        </w:rPr>
        <w:t>ôté J.</w:t>
      </w:r>
      <w:r>
        <w:rPr>
          <w:rStyle w:val="QuoteChar"/>
          <w:i w:val="0"/>
          <w:color w:val="auto"/>
          <w:lang w:val="en-CA"/>
        </w:rPr>
        <w:t xml:space="preserve"> dissenting</w:t>
      </w:r>
      <w:r w:rsidR="00582788">
        <w:rPr>
          <w:rStyle w:val="QuoteChar"/>
          <w:i w:val="0"/>
          <w:color w:val="auto"/>
          <w:lang w:val="en-CA"/>
        </w:rPr>
        <w:t xml:space="preserve"> in part</w:t>
      </w:r>
      <w:r>
        <w:rPr>
          <w:rStyle w:val="QuoteChar"/>
          <w:i w:val="0"/>
          <w:color w:val="auto"/>
          <w:lang w:val="en-CA"/>
        </w:rPr>
        <w:t>)</w:t>
      </w:r>
      <w:r w:rsidRPr="001426A9">
        <w:rPr>
          <w:rStyle w:val="QuoteChar"/>
          <w:i w:val="0"/>
          <w:color w:val="auto"/>
          <w:lang w:val="en-CA"/>
        </w:rPr>
        <w:t>:</w:t>
      </w:r>
      <w:r>
        <w:t xml:space="preserve"> The appeal should be allowed.</w:t>
      </w:r>
    </w:p>
    <w:p w14:paraId="56DD04FB" w14:textId="3CE2112B" w:rsidR="00DF0B37" w:rsidRDefault="00DF0B37" w:rsidP="009505D6">
      <w:pPr>
        <w:pStyle w:val="SCCNormalDoubleSpacing"/>
        <w:spacing w:after="480"/>
      </w:pPr>
      <w:r>
        <w:lastRenderedPageBreak/>
        <w:tab/>
      </w:r>
      <w:r w:rsidRPr="00B47FF7">
        <w:rPr>
          <w:i/>
          <w:iCs/>
          <w:lang w:val="en-US"/>
        </w:rPr>
        <w:t xml:space="preserve">Per </w:t>
      </w:r>
      <w:r w:rsidRPr="00B47FF7">
        <w:rPr>
          <w:iCs/>
          <w:lang w:val="en-US"/>
        </w:rPr>
        <w:t>Wagner C.J.</w:t>
      </w:r>
      <w:r w:rsidRPr="00B47FF7">
        <w:rPr>
          <w:lang w:val="en-US"/>
        </w:rPr>
        <w:t xml:space="preserve"> and Moldaver, </w:t>
      </w:r>
      <w:r w:rsidRPr="00B47FF7">
        <w:rPr>
          <w:b/>
          <w:lang w:val="en-US"/>
        </w:rPr>
        <w:t>Karakatsanis</w:t>
      </w:r>
      <w:r>
        <w:rPr>
          <w:lang w:val="en-US"/>
        </w:rPr>
        <w:t xml:space="preserve">, Brown, Rowe, Martin, </w:t>
      </w:r>
      <w:r w:rsidRPr="00B47FF7">
        <w:rPr>
          <w:lang w:val="en-US"/>
        </w:rPr>
        <w:t>Kasirer</w:t>
      </w:r>
      <w:r w:rsidR="00442DE4">
        <w:rPr>
          <w:lang w:val="en-US"/>
        </w:rPr>
        <w:t xml:space="preserve"> and Jamal JJ.: </w:t>
      </w:r>
      <w:r w:rsidRPr="00104448">
        <w:t xml:space="preserve">Regardless of whether the evidence relates to facts that occurred before or after trial, the </w:t>
      </w:r>
      <w:r>
        <w:t xml:space="preserve">test laid out in </w:t>
      </w:r>
      <w:r w:rsidRPr="00B47FF7">
        <w:rPr>
          <w:i/>
        </w:rPr>
        <w:t xml:space="preserve">Palmer </w:t>
      </w:r>
      <w:r w:rsidRPr="00104448">
        <w:t xml:space="preserve">governs the admission of additional evidence on appeal when it is adduced for the purpose of reviewing the decision below. </w:t>
      </w:r>
      <w:r>
        <w:rPr>
          <w:lang w:val="en-US"/>
        </w:rPr>
        <w:t>T</w:t>
      </w:r>
      <w:r w:rsidRPr="00104448">
        <w:t xml:space="preserve">he </w:t>
      </w:r>
      <w:r w:rsidRPr="00104448">
        <w:rPr>
          <w:i/>
        </w:rPr>
        <w:t>Palmer</w:t>
      </w:r>
      <w:r w:rsidRPr="00104448">
        <w:t xml:space="preserve"> test is sufficiently flexible to respond to any unique concerns that arise </w:t>
      </w:r>
      <w:r>
        <w:t>with “new” eviden</w:t>
      </w:r>
      <w:r w:rsidR="00442DE4">
        <w:t>ce</w:t>
      </w:r>
      <w:r>
        <w:t>.</w:t>
      </w:r>
      <w:r w:rsidR="00442DE4">
        <w:rPr>
          <w:lang w:val="en-US"/>
        </w:rPr>
        <w:t xml:space="preserve"> </w:t>
      </w:r>
      <w:r w:rsidRPr="00104448">
        <w:t xml:space="preserve">The Court of Appeal erred by applying a different test and admitting the evidence on appeal. The evidence did not satisfy the </w:t>
      </w:r>
      <w:r w:rsidRPr="00104448">
        <w:rPr>
          <w:i/>
        </w:rPr>
        <w:t xml:space="preserve">Palmer </w:t>
      </w:r>
      <w:r w:rsidRPr="00104448">
        <w:t>test because it could have been available for trial with the exercise of due diligence. In any event, given the availability of a variation procedure designed to address any material change in circumstances, its admission was not in the interests of justice.</w:t>
      </w:r>
      <w:r>
        <w:t xml:space="preserve"> </w:t>
      </w:r>
      <w:r w:rsidRPr="00104448">
        <w:t xml:space="preserve">Moreover, the trial judge did not </w:t>
      </w:r>
      <w:r>
        <w:t xml:space="preserve">err in his relocation analysis, </w:t>
      </w:r>
      <w:r w:rsidR="00442DE4">
        <w:rPr>
          <w:lang w:val="en-US"/>
        </w:rPr>
        <w:t>which was</w:t>
      </w:r>
      <w:r>
        <w:rPr>
          <w:lang w:val="en-US"/>
        </w:rPr>
        <w:t xml:space="preserve"> </w:t>
      </w:r>
      <w:r w:rsidRPr="00104448">
        <w:t xml:space="preserve">consonant with the mobility framework set out in </w:t>
      </w:r>
      <w:r w:rsidRPr="00905F3E">
        <w:rPr>
          <w:i/>
        </w:rPr>
        <w:t>Gordon v. Goertz</w:t>
      </w:r>
      <w:r>
        <w:t xml:space="preserve">, [1996] 2 S.C.R. 27, </w:t>
      </w:r>
      <w:r w:rsidRPr="00905F3E">
        <w:t>as refined over the past two decades. His factual findings and the weight he ascribed to factors bearing on the children’s best interests</w:t>
      </w:r>
      <w:r w:rsidR="00442DE4">
        <w:t xml:space="preserve"> warranted deference on appeal. </w:t>
      </w:r>
      <w:r w:rsidRPr="00905F3E">
        <w:t>The Court of</w:t>
      </w:r>
      <w:r w:rsidR="009505D6">
        <w:t xml:space="preserve"> Appeal was wrong to intervene.</w:t>
      </w:r>
    </w:p>
    <w:p w14:paraId="595A6AE1" w14:textId="2B63EAE9" w:rsidR="00DF0B37" w:rsidRDefault="00DF0B37" w:rsidP="009505D6">
      <w:pPr>
        <w:pStyle w:val="SCCNormalDoubleSpacing"/>
        <w:spacing w:after="480"/>
      </w:pPr>
      <w:r>
        <w:tab/>
      </w:r>
      <w:r w:rsidRPr="00104448">
        <w:t>Appellate courts have the discretion to admit additional evidence to supplement the record on appeal</w:t>
      </w:r>
      <w:r>
        <w:t xml:space="preserve">. When parties </w:t>
      </w:r>
      <w:r w:rsidR="00442DE4">
        <w:t>s</w:t>
      </w:r>
      <w:r w:rsidR="0016135B">
        <w:t>eek to adduce such</w:t>
      </w:r>
      <w:r w:rsidR="00442DE4">
        <w:t xml:space="preserve"> evidence, </w:t>
      </w:r>
      <w:r>
        <w:rPr>
          <w:lang w:val="en-US"/>
        </w:rPr>
        <w:t xml:space="preserve">the </w:t>
      </w:r>
      <w:r>
        <w:t xml:space="preserve">four criteria </w:t>
      </w:r>
      <w:r w:rsidRPr="00104448">
        <w:t xml:space="preserve">in </w:t>
      </w:r>
      <w:r w:rsidRPr="00104448">
        <w:rPr>
          <w:i/>
        </w:rPr>
        <w:t xml:space="preserve">Palmer </w:t>
      </w:r>
      <w:r w:rsidRPr="00035E48">
        <w:t>typ</w:t>
      </w:r>
      <w:r w:rsidR="009A504D">
        <w:t>ically apply: (a) </w:t>
      </w:r>
      <w:r>
        <w:t>the evidence could not, by the exercise of due diligence, have be</w:t>
      </w:r>
      <w:r w:rsidR="009A504D">
        <w:t>en available for the trial; (b) </w:t>
      </w:r>
      <w:r>
        <w:t xml:space="preserve">the evidence is relevant in that it bears upon a decisive or </w:t>
      </w:r>
      <w:r w:rsidR="009A504D">
        <w:t>potentially decisive issue; (c) </w:t>
      </w:r>
      <w:r>
        <w:t>the evidence is credible in the sense that it is reason</w:t>
      </w:r>
      <w:r w:rsidR="009A504D">
        <w:t>ably capable of belief; and (d) </w:t>
      </w:r>
      <w:r>
        <w:t xml:space="preserve">the evidence is such that, if believed, it could have affected the result at trial. </w:t>
      </w:r>
      <w:r w:rsidR="00442DE4">
        <w:rPr>
          <w:rStyle w:val="ParaNoNdepar-AltNChar"/>
        </w:rPr>
        <w:t xml:space="preserve">This framework </w:t>
      </w:r>
      <w:r w:rsidRPr="00104448">
        <w:rPr>
          <w:rStyle w:val="ParaNoNdepar-AltNChar"/>
        </w:rPr>
        <w:t>applies when evid</w:t>
      </w:r>
      <w:r>
        <w:rPr>
          <w:rStyle w:val="ParaNoNdepar-AltNChar"/>
        </w:rPr>
        <w:t xml:space="preserve">ence is </w:t>
      </w:r>
      <w:r>
        <w:rPr>
          <w:rStyle w:val="ParaNoNdepar-AltNChar"/>
        </w:rPr>
        <w:lastRenderedPageBreak/>
        <w:t>adduced on appeal f</w:t>
      </w:r>
      <w:r w:rsidRPr="00104448">
        <w:rPr>
          <w:rStyle w:val="ParaNoNdepar-AltNChar"/>
        </w:rPr>
        <w:t>or the purpose of asking the court to review the p</w:t>
      </w:r>
      <w:r>
        <w:rPr>
          <w:rStyle w:val="ParaNoNdepar-AltNChar"/>
        </w:rPr>
        <w:t>roceedings in the court below</w:t>
      </w:r>
      <w:r w:rsidRPr="00104448">
        <w:rPr>
          <w:rStyle w:val="ParaNoNdepar-AltNChar"/>
        </w:rPr>
        <w:t xml:space="preserve">. </w:t>
      </w:r>
      <w:r w:rsidR="006F3C5E">
        <w:t>The test is purposive, fact</w:t>
      </w:r>
      <w:r w:rsidR="006F3C5E">
        <w:noBreakHyphen/>
      </w:r>
      <w:r w:rsidRPr="00104448">
        <w:t>specific, and driven by an overarching concern for the interests of justice. It ensures that the admission of additional evidence on appeal will be rare, such that the matters in is</w:t>
      </w:r>
      <w:r>
        <w:t xml:space="preserve">sue between the parties </w:t>
      </w:r>
      <w:r w:rsidRPr="00104448">
        <w:t xml:space="preserve">narrow rather than expand as </w:t>
      </w:r>
      <w:r>
        <w:t>a</w:t>
      </w:r>
      <w:r w:rsidRPr="00104448">
        <w:t xml:space="preserve"> case proceeds up the appellate ladder</w:t>
      </w:r>
      <w:r>
        <w:t xml:space="preserve">. </w:t>
      </w:r>
      <w:r w:rsidRPr="00104448">
        <w:t xml:space="preserve">The test strikes a balance between two foundational principles: finality and order in the justice system, and reaching a just result in </w:t>
      </w:r>
      <w:r>
        <w:t>the context of the proceedings.</w:t>
      </w:r>
    </w:p>
    <w:p w14:paraId="6584C766" w14:textId="3758509B" w:rsidR="00DF0B37" w:rsidRPr="009505D6" w:rsidRDefault="00DF0B37" w:rsidP="009505D6">
      <w:pPr>
        <w:pStyle w:val="SCCNormalDoubleSpacing"/>
        <w:spacing w:after="480"/>
      </w:pPr>
      <w:r>
        <w:rPr>
          <w:lang w:val="en-US"/>
        </w:rPr>
        <w:tab/>
      </w:r>
      <w:r>
        <w:t>T</w:t>
      </w:r>
      <w:r w:rsidRPr="00104448">
        <w:t xml:space="preserve">he first </w:t>
      </w:r>
      <w:r w:rsidRPr="00104448">
        <w:rPr>
          <w:i/>
        </w:rPr>
        <w:t>Palmer</w:t>
      </w:r>
      <w:r w:rsidRPr="00104448">
        <w:t xml:space="preserve"> criterion</w:t>
      </w:r>
      <w:r>
        <w:t xml:space="preserve"> </w:t>
      </w:r>
      <w:r w:rsidRPr="00104448">
        <w:t xml:space="preserve">— that the evidence could not, by the exercise of due diligence, have been </w:t>
      </w:r>
      <w:r>
        <w:t>available</w:t>
      </w:r>
      <w:r w:rsidRPr="00104448">
        <w:t xml:space="preserve"> for the trial — focuses on the conduct of the party seeking to adduce the evidence</w:t>
      </w:r>
      <w:r>
        <w:t>.</w:t>
      </w:r>
      <w:r w:rsidR="00442DE4">
        <w:rPr>
          <w:lang w:val="en-US"/>
        </w:rPr>
        <w:t xml:space="preserve"> </w:t>
      </w:r>
      <w:r w:rsidRPr="00104448">
        <w:t>It requires litigants to take all reasonable steps to present their best case at trial</w:t>
      </w:r>
      <w:r w:rsidR="00442DE4">
        <w:t>, which</w:t>
      </w:r>
      <w:r w:rsidRPr="00104448">
        <w:t xml:space="preserve"> ensures finality and order </w:t>
      </w:r>
      <w:r>
        <w:t xml:space="preserve">for the parties and </w:t>
      </w:r>
      <w:r w:rsidRPr="00104448">
        <w:t xml:space="preserve">the integrity of the judicial system. On an individual level, </w:t>
      </w:r>
      <w:r>
        <w:t xml:space="preserve">the principle of finality </w:t>
      </w:r>
      <w:r w:rsidRPr="00104448">
        <w:t>speaks to the pr</w:t>
      </w:r>
      <w:r>
        <w:t xml:space="preserve">ofound unfairness in providing </w:t>
      </w:r>
      <w:r w:rsidRPr="00104448">
        <w:t>a party the opportunity to make up for deficiencies in his or her case at trial</w:t>
      </w:r>
      <w:r>
        <w:t xml:space="preserve">. </w:t>
      </w:r>
      <w:r w:rsidRPr="00144FE4">
        <w:rPr>
          <w:lang w:val="en-US"/>
        </w:rPr>
        <w:t>On a s</w:t>
      </w:r>
      <w:r w:rsidRPr="00104448">
        <w:t xml:space="preserve">ystemic level, </w:t>
      </w:r>
      <w:r>
        <w:t>it</w:t>
      </w:r>
      <w:r w:rsidRPr="00104448">
        <w:t xml:space="preserve"> preserves the distinction between the role</w:t>
      </w:r>
      <w:r>
        <w:t xml:space="preserve">s of trial and appellate courts: </w:t>
      </w:r>
      <w:r w:rsidRPr="00144FE4">
        <w:rPr>
          <w:lang w:val="en-US"/>
        </w:rPr>
        <w:t>e</w:t>
      </w:r>
      <w:r w:rsidRPr="00104448">
        <w:t>valuating evidence and making factual findings are the responsibilities of trial judges</w:t>
      </w:r>
      <w:r w:rsidR="00442DE4">
        <w:t>, while</w:t>
      </w:r>
      <w:r>
        <w:t xml:space="preserve"> a</w:t>
      </w:r>
      <w:r w:rsidRPr="00104448">
        <w:t>ppellate courts</w:t>
      </w:r>
      <w:r>
        <w:t xml:space="preserve"> </w:t>
      </w:r>
      <w:r w:rsidRPr="00104448">
        <w:t>are designed to review trial decisions for errors.</w:t>
      </w:r>
      <w:r>
        <w:t xml:space="preserve"> </w:t>
      </w:r>
      <w:r w:rsidRPr="00104448">
        <w:t>The admission of additional evidence on appeal blurs this critical distinction</w:t>
      </w:r>
      <w:r w:rsidR="00442DE4">
        <w:t xml:space="preserve">. Accordingly, </w:t>
      </w:r>
      <w:r>
        <w:t>e</w:t>
      </w:r>
      <w:r w:rsidRPr="00104448">
        <w:t>vidence that could, by the exercise of due diligence, have been available for trial should gener</w:t>
      </w:r>
      <w:r w:rsidR="00627E99">
        <w:t xml:space="preserve">ally not be admitted on appeal. </w:t>
      </w:r>
      <w:r>
        <w:t>With r</w:t>
      </w:r>
      <w:r w:rsidR="006F3C5E">
        <w:t>espect to post</w:t>
      </w:r>
      <w:r w:rsidR="006F3C5E">
        <w:noBreakHyphen/>
      </w:r>
      <w:r w:rsidR="00627E99">
        <w:t>trial evidence, the reason why the</w:t>
      </w:r>
      <w:r w:rsidRPr="00104448">
        <w:t xml:space="preserve"> evidence was unavailable for trial may </w:t>
      </w:r>
      <w:r w:rsidR="00627E99">
        <w:t xml:space="preserve">very well </w:t>
      </w:r>
      <w:r w:rsidRPr="00104448">
        <w:t>hav</w:t>
      </w:r>
      <w:r w:rsidR="006F3C5E">
        <w:t>e its roots in the parties’ pre</w:t>
      </w:r>
      <w:r w:rsidR="006F3C5E">
        <w:noBreakHyphen/>
      </w:r>
      <w:r w:rsidRPr="00104448">
        <w:t xml:space="preserve">trial conduct. </w:t>
      </w:r>
      <w:r>
        <w:rPr>
          <w:lang w:val="en-GB"/>
        </w:rPr>
        <w:t>C</w:t>
      </w:r>
      <w:r w:rsidRPr="00104448">
        <w:rPr>
          <w:lang w:val="en-GB"/>
        </w:rPr>
        <w:t xml:space="preserve">ourts should </w:t>
      </w:r>
      <w:r w:rsidR="00627E99">
        <w:lastRenderedPageBreak/>
        <w:t>accordingly</w:t>
      </w:r>
      <w:r>
        <w:t xml:space="preserve"> </w:t>
      </w:r>
      <w:r w:rsidRPr="00104448">
        <w:rPr>
          <w:lang w:val="en-GB"/>
        </w:rPr>
        <w:t xml:space="preserve">consider whether </w:t>
      </w:r>
      <w:r w:rsidRPr="00104448">
        <w:t>the party’s conduct could have influenced the timing of the fact they seek to prove.</w:t>
      </w:r>
    </w:p>
    <w:p w14:paraId="57D52DE5" w14:textId="4A3C84A6" w:rsidR="00DF0B37" w:rsidRDefault="00DF0B37" w:rsidP="009505D6">
      <w:pPr>
        <w:pStyle w:val="SCCNormalDoubleSpacing"/>
        <w:spacing w:after="480"/>
      </w:pPr>
      <w:r>
        <w:tab/>
      </w:r>
      <w:r w:rsidRPr="00104448">
        <w:t xml:space="preserve">The last three </w:t>
      </w:r>
      <w:r w:rsidRPr="00104448">
        <w:rPr>
          <w:i/>
        </w:rPr>
        <w:t xml:space="preserve">Palmer </w:t>
      </w:r>
      <w:r w:rsidRPr="00104448">
        <w:t>criteria require courts to only admit evidence on appeal when it is relevant, credible, and could hav</w:t>
      </w:r>
      <w:r w:rsidR="00627E99">
        <w:t xml:space="preserve">e affected the result at trial. </w:t>
      </w:r>
      <w:r w:rsidRPr="00104448">
        <w:t xml:space="preserve">Unlike the </w:t>
      </w:r>
      <w:r w:rsidR="00627E99">
        <w:t>due diligence</w:t>
      </w:r>
      <w:r>
        <w:t xml:space="preserve"> </w:t>
      </w:r>
      <w:r w:rsidRPr="00104448">
        <w:t xml:space="preserve">criterion, </w:t>
      </w:r>
      <w:r w:rsidRPr="00CD79BD">
        <w:t>which focuses on the conduct of the party, these three criteria focus on the evidence adduced</w:t>
      </w:r>
      <w:r w:rsidR="00627E99">
        <w:t xml:space="preserve"> and</w:t>
      </w:r>
      <w:r w:rsidRPr="00104448">
        <w:t xml:space="preserve"> </w:t>
      </w:r>
      <w:r w:rsidR="00627E99">
        <w:t xml:space="preserve">are conditions precedent </w:t>
      </w:r>
      <w:r>
        <w:t xml:space="preserve">to the evidence </w:t>
      </w:r>
      <w:r w:rsidR="00627E99">
        <w:t>being adduced</w:t>
      </w:r>
      <w:r>
        <w:t xml:space="preserve">. </w:t>
      </w:r>
      <w:r>
        <w:rPr>
          <w:lang w:val="en-US"/>
        </w:rPr>
        <w:t>E</w:t>
      </w:r>
      <w:r w:rsidRPr="00104448">
        <w:t xml:space="preserve">vidence that falls short of </w:t>
      </w:r>
      <w:r w:rsidR="00627E99">
        <w:t>any of</w:t>
      </w:r>
      <w:r>
        <w:t xml:space="preserve"> </w:t>
      </w:r>
      <w:r w:rsidRPr="00104448">
        <w:t>them cannot</w:t>
      </w:r>
      <w:r w:rsidRPr="00104448">
        <w:rPr>
          <w:i/>
        </w:rPr>
        <w:t xml:space="preserve"> </w:t>
      </w:r>
      <w:r w:rsidRPr="00104448">
        <w:t>be admitted on appeal</w:t>
      </w:r>
      <w:r>
        <w:t xml:space="preserve">. These criteria reflect </w:t>
      </w:r>
      <w:r w:rsidRPr="00104448">
        <w:t>the importance of reaching a just result in the context of the proceedings</w:t>
      </w:r>
      <w:r w:rsidR="00627E99">
        <w:t>, a</w:t>
      </w:r>
      <w:r w:rsidRPr="00104448">
        <w:t xml:space="preserve"> principle</w:t>
      </w:r>
      <w:r w:rsidRPr="00104448">
        <w:rPr>
          <w:lang w:val="en-GB"/>
        </w:rPr>
        <w:t xml:space="preserve"> </w:t>
      </w:r>
      <w:r w:rsidR="00627E99">
        <w:rPr>
          <w:lang w:val="en-GB"/>
        </w:rPr>
        <w:t>that</w:t>
      </w:r>
      <w:r>
        <w:rPr>
          <w:lang w:val="en-GB"/>
        </w:rPr>
        <w:t xml:space="preserve"> </w:t>
      </w:r>
      <w:r w:rsidRPr="00104448">
        <w:rPr>
          <w:lang w:val="en-GB"/>
        </w:rPr>
        <w:t xml:space="preserve">is directly linked to the correctness of the trial decision and </w:t>
      </w:r>
      <w:r w:rsidR="009505D6">
        <w:t>the truth</w:t>
      </w:r>
      <w:r w:rsidR="009505D6">
        <w:noBreakHyphen/>
      </w:r>
      <w:r w:rsidRPr="00104448">
        <w:t xml:space="preserve">seeking function of </w:t>
      </w:r>
      <w:r w:rsidR="00627E99">
        <w:t>the</w:t>
      </w:r>
      <w:r w:rsidRPr="00104448">
        <w:t xml:space="preserve"> trial process</w:t>
      </w:r>
      <w:r>
        <w:t>.</w:t>
      </w:r>
    </w:p>
    <w:p w14:paraId="69651EF8" w14:textId="6906D85E" w:rsidR="00DF0B37" w:rsidRDefault="00DF0B37" w:rsidP="009505D6">
      <w:pPr>
        <w:pStyle w:val="SCCNormalDoubleSpacing"/>
        <w:spacing w:after="480"/>
      </w:pPr>
      <w:r>
        <w:tab/>
      </w:r>
      <w:r w:rsidR="00627E99">
        <w:t xml:space="preserve">In the family law context, </w:t>
      </w:r>
      <w:r>
        <w:rPr>
          <w:lang w:val="en-GB"/>
        </w:rPr>
        <w:t>e</w:t>
      </w:r>
      <w:r w:rsidRPr="00104448">
        <w:rPr>
          <w:lang w:val="en-GB"/>
        </w:rPr>
        <w:t>vidence that does not satisfy the due diligence criterion</w:t>
      </w:r>
      <w:r w:rsidRPr="00104448">
        <w:rPr>
          <w:i/>
          <w:lang w:val="en-GB"/>
        </w:rPr>
        <w:t xml:space="preserve"> </w:t>
      </w:r>
      <w:r>
        <w:rPr>
          <w:lang w:val="en-GB"/>
        </w:rPr>
        <w:t xml:space="preserve">should </w:t>
      </w:r>
      <w:r w:rsidRPr="00104448">
        <w:rPr>
          <w:lang w:val="en-GB"/>
        </w:rPr>
        <w:t>generally not</w:t>
      </w:r>
      <w:r>
        <w:rPr>
          <w:lang w:val="en-GB"/>
        </w:rPr>
        <w:t xml:space="preserve"> be admitted </w:t>
      </w:r>
      <w:r w:rsidRPr="00104448">
        <w:rPr>
          <w:lang w:val="en-GB"/>
        </w:rPr>
        <w:t>on an appeal of a best interests of the child determination</w:t>
      </w:r>
      <w:r>
        <w:rPr>
          <w:lang w:val="en-GB"/>
        </w:rPr>
        <w:t xml:space="preserve">. </w:t>
      </w:r>
      <w:r w:rsidRPr="00104448">
        <w:t>F</w:t>
      </w:r>
      <w:r>
        <w:rPr>
          <w:lang w:val="en-GB"/>
        </w:rPr>
        <w:t xml:space="preserve">inality and order </w:t>
      </w:r>
      <w:r w:rsidRPr="00104448">
        <w:rPr>
          <w:lang w:val="en-GB"/>
        </w:rPr>
        <w:t xml:space="preserve">are </w:t>
      </w:r>
      <w:r w:rsidRPr="00E742D1">
        <w:rPr>
          <w:lang w:val="en-GB"/>
        </w:rPr>
        <w:t>particularly</w:t>
      </w:r>
      <w:r w:rsidRPr="00104448">
        <w:rPr>
          <w:lang w:val="en-GB"/>
        </w:rPr>
        <w:t xml:space="preserve"> important in </w:t>
      </w:r>
      <w:r w:rsidR="00627E99">
        <w:rPr>
          <w:lang w:val="en-GB"/>
        </w:rPr>
        <w:t>such</w:t>
      </w:r>
      <w:r>
        <w:rPr>
          <w:lang w:val="en-GB"/>
        </w:rPr>
        <w:t xml:space="preserve"> cases. </w:t>
      </w:r>
      <w:r w:rsidRPr="00104448">
        <w:rPr>
          <w:lang w:val="en-GB"/>
        </w:rPr>
        <w:t>Children should be afforded the comfort of knowing, with some degree of certainty, where they will live and with whom. Certainty in a trial outcome can ensure an end to a period of immense turmoil, strife, and costs; parties should do what they can to promote it</w:t>
      </w:r>
      <w:r>
        <w:rPr>
          <w:lang w:val="en-GB"/>
        </w:rPr>
        <w:t>.</w:t>
      </w:r>
      <w:r w:rsidR="00627E99">
        <w:t xml:space="preserve"> </w:t>
      </w:r>
      <w:r w:rsidR="00627E99">
        <w:rPr>
          <w:lang w:val="en-GB"/>
        </w:rPr>
        <w:t>Only in rare instances should</w:t>
      </w:r>
      <w:r>
        <w:rPr>
          <w:lang w:val="en-GB"/>
        </w:rPr>
        <w:t xml:space="preserve"> </w:t>
      </w:r>
      <w:r w:rsidRPr="00104448">
        <w:rPr>
          <w:lang w:val="en-GB"/>
        </w:rPr>
        <w:t>an absence of due diligence be superseded by the interests of justice</w:t>
      </w:r>
      <w:r>
        <w:rPr>
          <w:lang w:val="en-GB"/>
        </w:rPr>
        <w:t xml:space="preserve">, </w:t>
      </w:r>
      <w:r w:rsidR="00627E99">
        <w:t>such as</w:t>
      </w:r>
      <w:r>
        <w:t xml:space="preserve"> </w:t>
      </w:r>
      <w:r w:rsidRPr="00104448">
        <w:rPr>
          <w:lang w:val="en-GB"/>
        </w:rPr>
        <w:t>in</w:t>
      </w:r>
      <w:r w:rsidRPr="00104448">
        <w:t xml:space="preserve"> urgent matters requiring an immediate decision</w:t>
      </w:r>
      <w:r w:rsidR="00627E99">
        <w:t xml:space="preserve">. </w:t>
      </w:r>
      <w:r>
        <w:t>Th</w:t>
      </w:r>
      <w:r w:rsidR="00627E99">
        <w:t xml:space="preserve">is could also be the case where </w:t>
      </w:r>
      <w:r w:rsidRPr="00104448">
        <w:t xml:space="preserve">admitting the additional evidence </w:t>
      </w:r>
      <w:r w:rsidR="00627E99">
        <w:t>does</w:t>
      </w:r>
      <w:r w:rsidRPr="00104448">
        <w:t xml:space="preserve"> not offend the principle of finality</w:t>
      </w:r>
      <w:r>
        <w:t xml:space="preserve"> </w:t>
      </w:r>
      <w:r w:rsidRPr="00104448">
        <w:t>despite the failure to meet the due diligence criterion</w:t>
      </w:r>
      <w:r w:rsidR="00627E99">
        <w:t xml:space="preserve">, such as </w:t>
      </w:r>
      <w:r w:rsidRPr="00104448">
        <w:t>where the appellate court has already identified a material err</w:t>
      </w:r>
      <w:r w:rsidR="00627E99">
        <w:t xml:space="preserve">or in the trial judgment below and </w:t>
      </w:r>
      <w:r w:rsidR="00627E99">
        <w:lastRenderedPageBreak/>
        <w:t>further</w:t>
      </w:r>
      <w:r>
        <w:t xml:space="preserve"> </w:t>
      </w:r>
      <w:r w:rsidRPr="00104448">
        <w:t>evidence may help determine an appropriate order</w:t>
      </w:r>
      <w:r w:rsidR="00627E99">
        <w:t xml:space="preserve">. </w:t>
      </w:r>
      <w:r>
        <w:t>S</w:t>
      </w:r>
      <w:r w:rsidRPr="00104448">
        <w:t>uch exceptional circumstances do not</w:t>
      </w:r>
      <w:r>
        <w:t xml:space="preserve"> </w:t>
      </w:r>
      <w:r w:rsidRPr="00104448">
        <w:t xml:space="preserve">dispense with the other </w:t>
      </w:r>
      <w:r w:rsidRPr="00104448">
        <w:rPr>
          <w:i/>
        </w:rPr>
        <w:t xml:space="preserve">Palmer </w:t>
      </w:r>
      <w:r w:rsidRPr="00104448">
        <w:t>criteria</w:t>
      </w:r>
      <w:r w:rsidR="00627E99">
        <w:t xml:space="preserve">. </w:t>
      </w:r>
      <w:r w:rsidRPr="00104448">
        <w:t>Similarly, the best interests of the child cannot be routinely leveraged to ignore the due diligence criterion and admit additional evidenc</w:t>
      </w:r>
      <w:r w:rsidR="009505D6">
        <w:t>e on appeal.</w:t>
      </w:r>
    </w:p>
    <w:p w14:paraId="67620581" w14:textId="0F04DFE8" w:rsidR="00DF0B37" w:rsidRDefault="009505D6" w:rsidP="009505D6">
      <w:pPr>
        <w:pStyle w:val="SCCNormalDoubleSpacing"/>
        <w:spacing w:after="480"/>
        <w:rPr>
          <w:i/>
        </w:rPr>
      </w:pPr>
      <w:r>
        <w:tab/>
      </w:r>
      <w:r w:rsidR="00DF0B37">
        <w:t>I</w:t>
      </w:r>
      <w:r w:rsidR="00DF0B37" w:rsidRPr="00104448">
        <w:t xml:space="preserve">n family law </w:t>
      </w:r>
      <w:r w:rsidR="00DF0B37">
        <w:t>cases</w:t>
      </w:r>
      <w:r w:rsidR="00DF0B37" w:rsidRPr="00104448">
        <w:t>,</w:t>
      </w:r>
      <w:r w:rsidR="00627E99">
        <w:t xml:space="preserve"> </w:t>
      </w:r>
      <w:r>
        <w:t>the admission of post</w:t>
      </w:r>
      <w:r>
        <w:noBreakHyphen/>
      </w:r>
      <w:r w:rsidR="00DF0B37" w:rsidRPr="00104448">
        <w:t>trial evidence on app</w:t>
      </w:r>
      <w:r w:rsidR="00C80A1D">
        <w:t>eal may be unnecessary because l</w:t>
      </w:r>
      <w:r w:rsidR="00DF0B37">
        <w:t>egislative v</w:t>
      </w:r>
      <w:r w:rsidR="00DF0B37" w:rsidRPr="00104448">
        <w:t>ariation schemes permit a judge of first instance to vary a parenting order where a change of circumstances justifies a review of a child’s best interests.</w:t>
      </w:r>
      <w:r w:rsidR="00627E99">
        <w:t xml:space="preserve"> </w:t>
      </w:r>
      <w:r w:rsidR="00DF0B37">
        <w:t>T</w:t>
      </w:r>
      <w:r w:rsidR="00DF0B37" w:rsidRPr="00104448">
        <w:t xml:space="preserve">he interest in reaching a just result can </w:t>
      </w:r>
      <w:r w:rsidR="00627E99">
        <w:t>therefore</w:t>
      </w:r>
      <w:r w:rsidR="00DF0B37">
        <w:t xml:space="preserve"> </w:t>
      </w:r>
      <w:r w:rsidR="00DF0B37" w:rsidRPr="00104448">
        <w:t>be fostered through means</w:t>
      </w:r>
      <w:r w:rsidR="00627E99">
        <w:t xml:space="preserve"> </w:t>
      </w:r>
      <w:r w:rsidR="00DF0B37" w:rsidRPr="00104448">
        <w:t xml:space="preserve">other </w:t>
      </w:r>
      <w:r w:rsidR="00627E99">
        <w:t xml:space="preserve">than an appeal and </w:t>
      </w:r>
      <w:r w:rsidR="00DF0B37" w:rsidRPr="00104448">
        <w:t>admission of pos</w:t>
      </w:r>
      <w:r>
        <w:t>t</w:t>
      </w:r>
      <w:r>
        <w:noBreakHyphen/>
      </w:r>
      <w:r w:rsidR="00627E99">
        <w:t xml:space="preserve">trial evidence on appeal can therefore </w:t>
      </w:r>
      <w:r w:rsidR="00DF0B37">
        <w:t>unnecessarily undermine</w:t>
      </w:r>
      <w:r w:rsidR="00DF0B37" w:rsidRPr="00104448">
        <w:t xml:space="preserve"> finality and order in family law decisions</w:t>
      </w:r>
      <w:r w:rsidR="00627E99">
        <w:t xml:space="preserve">. </w:t>
      </w:r>
      <w:r w:rsidR="00DF0B37">
        <w:t>Co</w:t>
      </w:r>
      <w:r w:rsidR="00DF0B37" w:rsidRPr="00104448">
        <w:t xml:space="preserve">urts must be wary of </w:t>
      </w:r>
      <w:r w:rsidR="00627E99">
        <w:t>litigants</w:t>
      </w:r>
      <w:r w:rsidR="00DF0B37">
        <w:t xml:space="preserve"> using</w:t>
      </w:r>
      <w:r w:rsidR="00DF0B37" w:rsidRPr="00104448">
        <w:t xml:space="preserve"> the </w:t>
      </w:r>
      <w:r w:rsidR="00DF0B37" w:rsidRPr="00104448">
        <w:rPr>
          <w:i/>
        </w:rPr>
        <w:t xml:space="preserve">Palmer </w:t>
      </w:r>
      <w:r w:rsidR="00DF0B37" w:rsidRPr="00104448">
        <w:t xml:space="preserve">framework to circumvent legislative schemes that provide </w:t>
      </w:r>
      <w:r w:rsidR="00DF0B37">
        <w:t>speci</w:t>
      </w:r>
      <w:r w:rsidR="00627E99">
        <w:t xml:space="preserve">fic procedures for review. </w:t>
      </w:r>
      <w:r w:rsidR="00DF0B37">
        <w:t>A</w:t>
      </w:r>
      <w:r w:rsidR="00DF0B37" w:rsidRPr="00104448">
        <w:t>n appeal is not an opportunity to avoid the evidentiary bu</w:t>
      </w:r>
      <w:r w:rsidR="00DF0B37">
        <w:t>rden</w:t>
      </w:r>
      <w:r w:rsidR="00627E99">
        <w:t xml:space="preserve"> in a variation proceeding nor to</w:t>
      </w:r>
      <w:r w:rsidR="00DF0B37">
        <w:t xml:space="preserve"> seek a fresh determination </w:t>
      </w:r>
      <w:r w:rsidR="00DF0B37" w:rsidRPr="00104448">
        <w:t>after remedying gaps in a trial strategy with the assistance of</w:t>
      </w:r>
      <w:r w:rsidR="00DF0B37">
        <w:t xml:space="preserve"> the trial judge’s </w:t>
      </w:r>
      <w:r w:rsidR="00627E99">
        <w:t xml:space="preserve">reasons. </w:t>
      </w:r>
      <w:r w:rsidR="00DF0B37" w:rsidRPr="00104448">
        <w:t>Consequently, in an appeal of a parenting order, courts should consider whether a variation application would be more ap</w:t>
      </w:r>
      <w:r w:rsidR="00627E99">
        <w:t xml:space="preserve">propriate in the circumstances. </w:t>
      </w:r>
      <w:r w:rsidR="00DF0B37" w:rsidRPr="00104448">
        <w:t xml:space="preserve">Where an application for additional evidence amounts to </w:t>
      </w:r>
      <w:r w:rsidR="00DF0B37">
        <w:t xml:space="preserve">what is </w:t>
      </w:r>
      <w:r w:rsidR="00DF0B37" w:rsidRPr="00104448">
        <w:t>in substance a disguised application to</w:t>
      </w:r>
      <w:r w:rsidR="00DF0B37">
        <w:t xml:space="preserve"> vary</w:t>
      </w:r>
      <w:r w:rsidR="00DF0B37" w:rsidRPr="00104448">
        <w:t xml:space="preserve">, a court may refuse to admit additional evidence without considering the </w:t>
      </w:r>
      <w:r w:rsidR="00DF0B37" w:rsidRPr="00104448">
        <w:rPr>
          <w:i/>
        </w:rPr>
        <w:t xml:space="preserve">Palmer </w:t>
      </w:r>
      <w:r w:rsidR="00DF0B37" w:rsidRPr="00104448">
        <w:t>criteria</w:t>
      </w:r>
      <w:r w:rsidR="00DF0B37" w:rsidRPr="00104448">
        <w:rPr>
          <w:i/>
        </w:rPr>
        <w:t>.</w:t>
      </w:r>
    </w:p>
    <w:p w14:paraId="367A17E8" w14:textId="5E75BCC3" w:rsidR="00DF0B37" w:rsidRDefault="009505D6" w:rsidP="009505D6">
      <w:pPr>
        <w:pStyle w:val="SCCNormalDoubleSpacing"/>
        <w:spacing w:after="480"/>
      </w:pPr>
      <w:r>
        <w:tab/>
      </w:r>
      <w:r w:rsidR="00DF0B37">
        <w:t xml:space="preserve">The Court’s decision in </w:t>
      </w:r>
      <w:r w:rsidR="00DF0B37" w:rsidRPr="00693FEB">
        <w:rPr>
          <w:i/>
        </w:rPr>
        <w:t>Gordon</w:t>
      </w:r>
      <w:r w:rsidR="00DF0B37">
        <w:t xml:space="preserve"> </w:t>
      </w:r>
      <w:r w:rsidR="00DF0B37" w:rsidRPr="00104448">
        <w:t>set</w:t>
      </w:r>
      <w:r w:rsidR="00DF0B37">
        <w:t>s</w:t>
      </w:r>
      <w:r w:rsidR="00DF0B37" w:rsidRPr="00104448">
        <w:t xml:space="preserve"> out a two</w:t>
      </w:r>
      <w:r w:rsidR="00DF0B37" w:rsidRPr="00104448">
        <w:noBreakHyphen/>
        <w:t xml:space="preserve">stage inquiry for determining whether to vary a parenting order and permit a custodial parent to relocate </w:t>
      </w:r>
      <w:r w:rsidR="00DF0B37" w:rsidRPr="00104448">
        <w:lastRenderedPageBreak/>
        <w:t>with the child: first, the party seeking a variation must show a material change in the child’s circumstances; second, the judge must determine what order reflects the child’s best interests in the new circumstances.</w:t>
      </w:r>
      <w:r w:rsidR="00627E99">
        <w:t xml:space="preserve"> </w:t>
      </w:r>
      <w:r w:rsidR="00DF0B37">
        <w:t xml:space="preserve">Although </w:t>
      </w:r>
      <w:r w:rsidR="00DF0B37">
        <w:rPr>
          <w:i/>
        </w:rPr>
        <w:t>Gordon</w:t>
      </w:r>
      <w:r w:rsidR="00DF0B37">
        <w:t xml:space="preserve"> concerned a variation order, courts have also applied the framework when determining a parenting arrangement at first instance, with ap</w:t>
      </w:r>
      <w:r w:rsidR="00627E99">
        <w:t>propriate modifications. As</w:t>
      </w:r>
      <w:r w:rsidR="00DF0B37">
        <w:t xml:space="preserve"> </w:t>
      </w:r>
      <w:r w:rsidR="00DF0B37" w:rsidRPr="00104448">
        <w:t xml:space="preserve">the first stage of the </w:t>
      </w:r>
      <w:r w:rsidR="00DF0B37" w:rsidRPr="00693FEB">
        <w:rPr>
          <w:i/>
        </w:rPr>
        <w:t>Gordon</w:t>
      </w:r>
      <w:r w:rsidR="00DF0B37" w:rsidRPr="00104448">
        <w:t xml:space="preserve"> inquiry will likely not raise a contentious issue</w:t>
      </w:r>
      <w:r w:rsidR="00627E99">
        <w:t xml:space="preserve"> in relocation cases, </w:t>
      </w:r>
      <w:r w:rsidR="00DF0B37">
        <w:t>determining the child’s best i</w:t>
      </w:r>
      <w:r w:rsidR="00DF0B37" w:rsidRPr="00104448">
        <w:t>nterests</w:t>
      </w:r>
      <w:r w:rsidR="00627E99">
        <w:t xml:space="preserve"> will often constitute the</w:t>
      </w:r>
      <w:r w:rsidR="00DF0B37">
        <w:t xml:space="preserve"> crucial question.</w:t>
      </w:r>
    </w:p>
    <w:p w14:paraId="04F3E44B" w14:textId="64342B47" w:rsidR="00DF0B37" w:rsidRDefault="009505D6" w:rsidP="009505D6">
      <w:pPr>
        <w:pStyle w:val="SCCNormalDoubleSpacing"/>
        <w:spacing w:after="480"/>
      </w:pPr>
      <w:r>
        <w:tab/>
      </w:r>
      <w:r w:rsidR="00DF0B37">
        <w:t>F</w:t>
      </w:r>
      <w:r w:rsidR="00627E99">
        <w:t>or the past 25 years, case law</w:t>
      </w:r>
      <w:r w:rsidR="00DF0B37">
        <w:t xml:space="preserve"> </w:t>
      </w:r>
      <w:r w:rsidR="00DF0B37" w:rsidRPr="00104448">
        <w:t xml:space="preserve">has refined the </w:t>
      </w:r>
      <w:r w:rsidR="00DF0B37" w:rsidRPr="00104448">
        <w:rPr>
          <w:i/>
        </w:rPr>
        <w:t>Gordon</w:t>
      </w:r>
      <w:r w:rsidR="00DF0B37" w:rsidRPr="00104448">
        <w:t xml:space="preserve"> f</w:t>
      </w:r>
      <w:r w:rsidR="00627E99">
        <w:t xml:space="preserve">ramework. </w:t>
      </w:r>
      <w:r w:rsidR="00DF0B37">
        <w:t>The 20</w:t>
      </w:r>
      <w:r w:rsidR="003F6FBE">
        <w:t>19</w:t>
      </w:r>
      <w:r w:rsidR="00627E99">
        <w:t xml:space="preserve"> amendments to the</w:t>
      </w:r>
      <w:r w:rsidR="00DF0B37">
        <w:t xml:space="preserve"> </w:t>
      </w:r>
      <w:r w:rsidR="00DF0B37" w:rsidRPr="00104448">
        <w:rPr>
          <w:i/>
        </w:rPr>
        <w:t>Divorce Act</w:t>
      </w:r>
      <w:r w:rsidR="00DF0B37" w:rsidRPr="00104448">
        <w:t xml:space="preserve"> largely codified </w:t>
      </w:r>
      <w:r w:rsidR="00627E99">
        <w:t xml:space="preserve">these refinements. </w:t>
      </w:r>
      <w:r w:rsidR="00DF0B37" w:rsidRPr="00104448">
        <w:t xml:space="preserve">Where the </w:t>
      </w:r>
      <w:r w:rsidR="00DF0B37" w:rsidRPr="00104448">
        <w:rPr>
          <w:i/>
        </w:rPr>
        <w:t xml:space="preserve">Divorce Act </w:t>
      </w:r>
      <w:r w:rsidR="00DF0B37" w:rsidRPr="00104448">
        <w:t xml:space="preserve">departs from </w:t>
      </w:r>
      <w:r w:rsidR="00DF0B37" w:rsidRPr="00104448">
        <w:rPr>
          <w:i/>
        </w:rPr>
        <w:t>Gordon</w:t>
      </w:r>
      <w:r w:rsidR="00DF0B37" w:rsidRPr="00104448">
        <w:t xml:space="preserve">, the changes reflect the collective judicial experience of applying the </w:t>
      </w:r>
      <w:r w:rsidR="00DF0B37" w:rsidRPr="00104448">
        <w:rPr>
          <w:i/>
        </w:rPr>
        <w:t xml:space="preserve">Gordon </w:t>
      </w:r>
      <w:r w:rsidR="00627E99">
        <w:t xml:space="preserve">factors. </w:t>
      </w:r>
      <w:r w:rsidR="00DF0B37" w:rsidRPr="00104448">
        <w:t xml:space="preserve">While </w:t>
      </w:r>
      <w:r w:rsidR="00DF0B37" w:rsidRPr="00104448">
        <w:rPr>
          <w:i/>
        </w:rPr>
        <w:t xml:space="preserve">Gordon </w:t>
      </w:r>
      <w:r w:rsidR="00DF0B37" w:rsidRPr="00104448">
        <w:t xml:space="preserve">rejected a legal presumption in favour of either party, the </w:t>
      </w:r>
      <w:r w:rsidR="00DF0B37" w:rsidRPr="00104448">
        <w:rPr>
          <w:i/>
        </w:rPr>
        <w:t>Divorce Act</w:t>
      </w:r>
      <w:r w:rsidR="00DF0B37" w:rsidRPr="00104448">
        <w:t xml:space="preserve"> now contains a burde</w:t>
      </w:r>
      <w:r>
        <w:t>n of proof where there is a pre</w:t>
      </w:r>
      <w:r>
        <w:noBreakHyphen/>
      </w:r>
      <w:r w:rsidR="00DF0B37" w:rsidRPr="00104448">
        <w:t>existing paren</w:t>
      </w:r>
      <w:r w:rsidR="00DF0B37">
        <w:t>ting order, award or agreement (</w:t>
      </w:r>
      <w:r w:rsidR="00DF0B37" w:rsidRPr="00104448">
        <w:t>s. 16.93</w:t>
      </w:r>
      <w:r w:rsidR="00DF0B37">
        <w:t>)</w:t>
      </w:r>
      <w:r w:rsidR="00627E99">
        <w:t xml:space="preserve">. </w:t>
      </w:r>
      <w:r w:rsidR="00DF0B37" w:rsidRPr="00104448">
        <w:t xml:space="preserve">And although </w:t>
      </w:r>
      <w:r w:rsidR="00DF0B37" w:rsidRPr="00104448">
        <w:rPr>
          <w:i/>
        </w:rPr>
        <w:t xml:space="preserve">Gordon </w:t>
      </w:r>
      <w:r w:rsidR="00DF0B37" w:rsidRPr="00104448">
        <w:t>restricted whether courts could consider a moving party’s reasons for relocating, this is now an express consideration in the best i</w:t>
      </w:r>
      <w:r w:rsidR="00DF0B37">
        <w:t>nterests of the child analysis (</w:t>
      </w:r>
      <w:r w:rsidR="00DF0B37" w:rsidRPr="00104448">
        <w:t>s. 16.92(1)(a)</w:t>
      </w:r>
      <w:r w:rsidR="00DF0B37">
        <w:t>)</w:t>
      </w:r>
      <w:r w:rsidR="00DF0B37" w:rsidRPr="00104448">
        <w:t>.</w:t>
      </w:r>
    </w:p>
    <w:p w14:paraId="1B89CFE4" w14:textId="269E593C" w:rsidR="00DF0B37" w:rsidRPr="0082095C" w:rsidRDefault="009505D6" w:rsidP="009505D6">
      <w:pPr>
        <w:pStyle w:val="SCCNormalDoubleSpacing"/>
        <w:spacing w:after="480"/>
        <w:rPr>
          <w:i/>
        </w:rPr>
      </w:pPr>
      <w:r>
        <w:tab/>
      </w:r>
      <w:r w:rsidR="00DF0B37" w:rsidRPr="00104448">
        <w:t xml:space="preserve">The new </w:t>
      </w:r>
      <w:r w:rsidR="00DF0B37" w:rsidRPr="00104448">
        <w:rPr>
          <w:i/>
        </w:rPr>
        <w:t xml:space="preserve">Divorce Act </w:t>
      </w:r>
      <w:r w:rsidR="00DF0B37" w:rsidRPr="00104448">
        <w:t>amendments also respond t</w:t>
      </w:r>
      <w:r w:rsidR="00DF0B37">
        <w:t>o issues identified in the case law over the past few decades</w:t>
      </w:r>
      <w:r w:rsidR="00DF0B37" w:rsidRPr="00104448">
        <w:t>.</w:t>
      </w:r>
      <w:r w:rsidR="00627E99">
        <w:t xml:space="preserve"> </w:t>
      </w:r>
      <w:r w:rsidR="006F3C5E">
        <w:t>The language in s. </w:t>
      </w:r>
      <w:r w:rsidR="00DF0B37">
        <w:t>16(6</w:t>
      </w:r>
      <w:r w:rsidR="00627E99">
        <w:t>) now expressly recognizes that</w:t>
      </w:r>
      <w:r w:rsidR="00DF0B37">
        <w:t xml:space="preserve"> </w:t>
      </w:r>
      <w:r w:rsidR="00DF0B37" w:rsidRPr="00104448">
        <w:t>the</w:t>
      </w:r>
      <w:r w:rsidR="00627E99">
        <w:t xml:space="preserve"> </w:t>
      </w:r>
      <w:r>
        <w:t>so</w:t>
      </w:r>
      <w:r>
        <w:noBreakHyphen/>
      </w:r>
      <w:r w:rsidR="00627E99">
        <w:t>called</w:t>
      </w:r>
      <w:r w:rsidR="00DF0B37" w:rsidRPr="00104448">
        <w:t xml:space="preserve"> maximum contact principle is </w:t>
      </w:r>
      <w:r w:rsidR="00DF0B37" w:rsidRPr="00767BE2">
        <w:t>only</w:t>
      </w:r>
      <w:r w:rsidR="00DF0B37" w:rsidRPr="00104448">
        <w:t xml:space="preserve"> significant to the extent that it is in the child’s best interests</w:t>
      </w:r>
      <w:r w:rsidR="00627E99">
        <w:t xml:space="preserve">. </w:t>
      </w:r>
      <w:r w:rsidR="00DF0B37">
        <w:t>This principle</w:t>
      </w:r>
      <w:r w:rsidR="00627E99">
        <w:t xml:space="preserve"> </w:t>
      </w:r>
      <w:r w:rsidR="00DF0B37">
        <w:t>is better referred to</w:t>
      </w:r>
      <w:r w:rsidR="00627E99">
        <w:t xml:space="preserve"> as the parenting time factor, and</w:t>
      </w:r>
      <w:r w:rsidR="00DF0B37">
        <w:t xml:space="preserve"> must not be</w:t>
      </w:r>
      <w:r>
        <w:t xml:space="preserve"> used to detract from the child</w:t>
      </w:r>
      <w:r>
        <w:noBreakHyphen/>
      </w:r>
      <w:r w:rsidR="00DF0B37">
        <w:t>centric nature of the inquiry.</w:t>
      </w:r>
      <w:r w:rsidR="00DF0B37" w:rsidRPr="00104448">
        <w:t xml:space="preserve"> </w:t>
      </w:r>
      <w:r>
        <w:t xml:space="preserve">Section </w:t>
      </w:r>
      <w:r w:rsidR="00DF0B37" w:rsidRPr="00104448">
        <w:t xml:space="preserve">16.92(2) provides that trial judges shall not consider a parent’s testimony that </w:t>
      </w:r>
      <w:r w:rsidR="00DF0B37" w:rsidRPr="00104448">
        <w:lastRenderedPageBreak/>
        <w:t>they would move with or without the child</w:t>
      </w:r>
      <w:r w:rsidR="00627E99">
        <w:t>, and</w:t>
      </w:r>
      <w:r w:rsidR="00DF0B37">
        <w:t xml:space="preserve"> </w:t>
      </w:r>
      <w:r>
        <w:t>ss. </w:t>
      </w:r>
      <w:r w:rsidR="00DF0B37" w:rsidRPr="00104448">
        <w:t>16(3)(j) and 16(4) instruct courts to consider any form of family violence and its impact on the perpetrator’s ability to care for the child.</w:t>
      </w:r>
      <w:r w:rsidR="00627E99">
        <w:t xml:space="preserve"> </w:t>
      </w:r>
      <w:r w:rsidR="00DF0B37" w:rsidRPr="00104448">
        <w:t>Courts must consider family violence and its impact on the ability and willingness of any person who engaged in the family violence to care for and meet the needs of the child.</w:t>
      </w:r>
      <w:r w:rsidR="00627E99">
        <w:t xml:space="preserve"> </w:t>
      </w:r>
      <w:r w:rsidR="00DF0B37">
        <w:t>This consideration is especially important in mobility cases.</w:t>
      </w:r>
    </w:p>
    <w:p w14:paraId="10F90B9D" w14:textId="305B2F84" w:rsidR="00DF0B37" w:rsidRDefault="009505D6" w:rsidP="009505D6">
      <w:pPr>
        <w:pStyle w:val="SCCNormalDoubleSpacing"/>
        <w:spacing w:after="480"/>
      </w:pPr>
      <w:r>
        <w:tab/>
      </w:r>
      <w:r w:rsidR="00DF0B37" w:rsidRPr="00104448">
        <w:t xml:space="preserve">In light of </w:t>
      </w:r>
      <w:r w:rsidR="00627E99">
        <w:t>these</w:t>
      </w:r>
      <w:r w:rsidR="00DF0B37">
        <w:t xml:space="preserve"> </w:t>
      </w:r>
      <w:r w:rsidR="00DF0B37" w:rsidRPr="00104448">
        <w:t xml:space="preserve">refinements, </w:t>
      </w:r>
      <w:r w:rsidR="00DF0B37">
        <w:t xml:space="preserve">the common law relocation </w:t>
      </w:r>
      <w:r w:rsidR="00274410">
        <w:t>framework</w:t>
      </w:r>
      <w:r w:rsidR="00DF0B37">
        <w:t xml:space="preserve"> can be restated </w:t>
      </w:r>
      <w:r w:rsidR="00627E99">
        <w:t xml:space="preserve">as follows: courts must determine </w:t>
      </w:r>
      <w:r w:rsidR="00DF0B37" w:rsidRPr="00104448">
        <w:t>whether relocation is in the best interests of the child, having regard to the child’s physical, emotional and psycholo</w:t>
      </w:r>
      <w:r>
        <w:t>gical safety, security and well</w:t>
      </w:r>
      <w:r>
        <w:noBreakHyphen/>
      </w:r>
      <w:r w:rsidR="00DF0B37" w:rsidRPr="00104448">
        <w:t xml:space="preserve">being. This inquiry is highly </w:t>
      </w:r>
      <w:r>
        <w:t>fact</w:t>
      </w:r>
      <w:r>
        <w:noBreakHyphen/>
      </w:r>
      <w:r w:rsidR="00DF0B37">
        <w:t>specific and discretio</w:t>
      </w:r>
      <w:r w:rsidR="00627E99">
        <w:t xml:space="preserve">nary, and </w:t>
      </w:r>
      <w:r w:rsidR="00DF0B37">
        <w:t>t</w:t>
      </w:r>
      <w:r w:rsidR="00DF0B37" w:rsidRPr="00104448">
        <w:t xml:space="preserve">he scope of appellate review </w:t>
      </w:r>
      <w:r w:rsidR="00DF0B37">
        <w:t xml:space="preserve">is </w:t>
      </w:r>
      <w:r w:rsidR="00DF0B37" w:rsidRPr="00104448">
        <w:t>narrow. A court shall consider all factors related to the circumstances o</w:t>
      </w:r>
      <w:r w:rsidR="00DF0B37">
        <w:t xml:space="preserve">f the child, which may include </w:t>
      </w:r>
      <w:r w:rsidR="00DF0B37" w:rsidRPr="00104448">
        <w:t xml:space="preserve">the child’s views and preferences, the history of caregiving, any incidents of family violence, or a child’s cultural, linguistic, religious and spiritual upbringing and heritage. A court shall also consider each </w:t>
      </w:r>
      <w:r w:rsidR="00627E99">
        <w:t>parent</w:t>
      </w:r>
      <w:r w:rsidR="00DF0B37" w:rsidRPr="00104448">
        <w:t xml:space="preserve">’s willingness to support the development and maintenance of the child’s relationship with the other </w:t>
      </w:r>
      <w:r w:rsidR="00627E99">
        <w:t>parent</w:t>
      </w:r>
      <w:r w:rsidR="00DF0B37">
        <w:t xml:space="preserve">, </w:t>
      </w:r>
      <w:r w:rsidR="00DF0B37" w:rsidRPr="00104448">
        <w:t xml:space="preserve">and give effect to the principle that a child should have as much time with each </w:t>
      </w:r>
      <w:r w:rsidR="00627E99">
        <w:t>parent</w:t>
      </w:r>
      <w:r w:rsidR="00DF0B37">
        <w:t>,</w:t>
      </w:r>
      <w:r w:rsidR="00DF0B37" w:rsidRPr="00104448">
        <w:t xml:space="preserve"> as is consistent with the best interests of the child. </w:t>
      </w:r>
      <w:r w:rsidR="00DF0B37">
        <w:t xml:space="preserve">How the </w:t>
      </w:r>
      <w:r w:rsidR="00DF0B37" w:rsidRPr="00104448">
        <w:t>outcome of an application would affect either parties’ relocation plans</w:t>
      </w:r>
      <w:r>
        <w:t xml:space="preserve"> should not be considered.</w:t>
      </w:r>
    </w:p>
    <w:p w14:paraId="3D3F38D6" w14:textId="7330E26B" w:rsidR="00DF0B37" w:rsidRDefault="009505D6" w:rsidP="009505D6">
      <w:pPr>
        <w:pStyle w:val="SCCNormalDoubleSpacing"/>
        <w:spacing w:after="480"/>
      </w:pPr>
      <w:r>
        <w:tab/>
      </w:r>
      <w:r w:rsidR="00DF0B37">
        <w:t>In the in</w:t>
      </w:r>
      <w:r w:rsidR="00627E99">
        <w:t xml:space="preserve">stant case, </w:t>
      </w:r>
      <w:r w:rsidR="00DF0B37">
        <w:t>t</w:t>
      </w:r>
      <w:r w:rsidR="00DF0B37" w:rsidRPr="00104448">
        <w:t>here was a</w:t>
      </w:r>
      <w:r>
        <w:t xml:space="preserve"> significant risk that the high</w:t>
      </w:r>
      <w:r>
        <w:noBreakHyphen/>
      </w:r>
      <w:r w:rsidR="00DF0B37" w:rsidRPr="00104448">
        <w:t>conflict nature of the parents’ relationship would impact the chil</w:t>
      </w:r>
      <w:r w:rsidR="00DF0B37">
        <w:t>d</w:t>
      </w:r>
      <w:r w:rsidR="00627E99">
        <w:t xml:space="preserve">ren if they stayed in Kelowna, and </w:t>
      </w:r>
      <w:r w:rsidR="00DF0B37">
        <w:t>t</w:t>
      </w:r>
      <w:r w:rsidR="00DF0B37" w:rsidRPr="00104448">
        <w:t xml:space="preserve">he mother needed her family’s support to care for the children, which was only </w:t>
      </w:r>
      <w:r w:rsidR="00DF0B37" w:rsidRPr="00104448">
        <w:lastRenderedPageBreak/>
        <w:t xml:space="preserve">available in </w:t>
      </w:r>
      <w:r w:rsidR="001772FE">
        <w:t>Telkwa. Moreover, the mother</w:t>
      </w:r>
      <w:r w:rsidR="00DF0B37" w:rsidRPr="00104448">
        <w:t xml:space="preserve"> was more willing to facilitate a positive relationship between the children and the father tha</w:t>
      </w:r>
      <w:r w:rsidR="001772FE">
        <w:t xml:space="preserve">n the converse, </w:t>
      </w:r>
      <w:r w:rsidR="00DF0B37" w:rsidRPr="00104448">
        <w:t>and there were findings of family violence.</w:t>
      </w:r>
      <w:r w:rsidR="001772FE">
        <w:t xml:space="preserve"> Accordingly, there was </w:t>
      </w:r>
      <w:r w:rsidR="00DF0B37">
        <w:t xml:space="preserve">no reason </w:t>
      </w:r>
      <w:r w:rsidR="00DF0B37" w:rsidRPr="00104448">
        <w:t>to set aside the trial judge’s decision</w:t>
      </w:r>
      <w:r w:rsidR="001772FE">
        <w:t xml:space="preserve"> </w:t>
      </w:r>
      <w:r w:rsidR="00DF0B37">
        <w:t>that relocation was i</w:t>
      </w:r>
      <w:r w:rsidR="001772FE">
        <w:t>n the children’s best interests</w:t>
      </w:r>
      <w:r w:rsidR="00DF0B37">
        <w:t>.</w:t>
      </w:r>
    </w:p>
    <w:p w14:paraId="3D74496D" w14:textId="3887ABD7" w:rsidR="00DF0B37" w:rsidRDefault="009505D6" w:rsidP="009505D6">
      <w:pPr>
        <w:pStyle w:val="SCCNormalDoubleSpacing"/>
        <w:spacing w:after="480"/>
        <w:rPr>
          <w:lang w:val="en-US"/>
        </w:rPr>
      </w:pPr>
      <w:r>
        <w:rPr>
          <w:i/>
        </w:rPr>
        <w:tab/>
      </w:r>
      <w:r w:rsidR="00DF0B37" w:rsidRPr="004572A1">
        <w:rPr>
          <w:i/>
        </w:rPr>
        <w:t>Per</w:t>
      </w:r>
      <w:r w:rsidR="00DF0B37">
        <w:t xml:space="preserve"> </w:t>
      </w:r>
      <w:r w:rsidR="00DF0B37" w:rsidRPr="00933A79">
        <w:rPr>
          <w:b/>
        </w:rPr>
        <w:t>C</w:t>
      </w:r>
      <w:r w:rsidR="00DF0B37" w:rsidRPr="00933A79">
        <w:rPr>
          <w:b/>
          <w:lang w:val="en-US"/>
        </w:rPr>
        <w:t>ôté</w:t>
      </w:r>
      <w:r w:rsidR="00DF0B37" w:rsidRPr="004572A1">
        <w:rPr>
          <w:lang w:val="en-US"/>
        </w:rPr>
        <w:t xml:space="preserve"> J. (dissenting</w:t>
      </w:r>
      <w:r w:rsidR="00582788">
        <w:rPr>
          <w:lang w:val="en-US"/>
        </w:rPr>
        <w:t xml:space="preserve"> in part</w:t>
      </w:r>
      <w:r w:rsidR="00DF0B37" w:rsidRPr="004572A1">
        <w:rPr>
          <w:lang w:val="en-US"/>
        </w:rPr>
        <w:t xml:space="preserve">): The appeal </w:t>
      </w:r>
      <w:r w:rsidR="00DF0B37">
        <w:rPr>
          <w:lang w:val="en-US"/>
        </w:rPr>
        <w:t xml:space="preserve">should be allowed in part. The new evidence should be admitted, </w:t>
      </w:r>
      <w:r w:rsidR="00DF0B37">
        <w:t>and the appeal</w:t>
      </w:r>
      <w:r w:rsidR="00DF0B37" w:rsidRPr="00F05824">
        <w:t xml:space="preserve"> </w:t>
      </w:r>
      <w:r w:rsidR="00DF0B37">
        <w:t xml:space="preserve">should be remanded </w:t>
      </w:r>
      <w:r w:rsidR="00DF0B37" w:rsidRPr="00F05824">
        <w:t>to the trial court for reconsideration of the children’s best interests in light of the new evidence</w:t>
      </w:r>
      <w:r>
        <w:rPr>
          <w:lang w:val="en-US"/>
        </w:rPr>
        <w:t>.</w:t>
      </w:r>
    </w:p>
    <w:p w14:paraId="3131B2B7" w14:textId="6D74775D" w:rsidR="00DF0B37" w:rsidRDefault="009505D6" w:rsidP="009505D6">
      <w:pPr>
        <w:pStyle w:val="SCCNormalDoubleSpacing"/>
        <w:spacing w:after="480"/>
      </w:pPr>
      <w:r>
        <w:rPr>
          <w:lang w:val="en-US"/>
        </w:rPr>
        <w:tab/>
      </w:r>
      <w:r w:rsidR="00DF0B37">
        <w:rPr>
          <w:lang w:val="en-US"/>
        </w:rPr>
        <w:t>There</w:t>
      </w:r>
      <w:r w:rsidR="001772FE">
        <w:rPr>
          <w:lang w:val="en-US"/>
        </w:rPr>
        <w:t xml:space="preserve"> is agreement with the majority</w:t>
      </w:r>
      <w:r w:rsidR="00DF0B37">
        <w:rPr>
          <w:lang w:val="en-US"/>
        </w:rPr>
        <w:t xml:space="preserve"> </w:t>
      </w:r>
      <w:r w:rsidR="00DF0B37" w:rsidRPr="00F05824">
        <w:t xml:space="preserve">that the </w:t>
      </w:r>
      <w:r w:rsidR="0045564F">
        <w:t>test laid out</w:t>
      </w:r>
      <w:bookmarkStart w:id="0" w:name="_GoBack"/>
      <w:bookmarkEnd w:id="0"/>
      <w:r w:rsidR="00DF0B37">
        <w:t xml:space="preserve"> in </w:t>
      </w:r>
      <w:r w:rsidR="00DF0B37" w:rsidRPr="00F05824">
        <w:rPr>
          <w:i/>
        </w:rPr>
        <w:t xml:space="preserve">Palmer </w:t>
      </w:r>
      <w:r w:rsidR="00DF0B37" w:rsidRPr="00F05824">
        <w:t xml:space="preserve">governs, as it applies to </w:t>
      </w:r>
      <w:r w:rsidR="00DF0B37">
        <w:t>both fresh and new</w:t>
      </w:r>
      <w:r w:rsidR="00DF0B37" w:rsidRPr="00F05824">
        <w:t xml:space="preserve"> evidence, </w:t>
      </w:r>
      <w:r w:rsidR="00DF0B37">
        <w:t>yet there is disagreement with the majority’</w:t>
      </w:r>
      <w:r w:rsidR="001772FE">
        <w:t>s</w:t>
      </w:r>
      <w:r w:rsidR="00DF0B37">
        <w:t xml:space="preserve"> </w:t>
      </w:r>
      <w:r w:rsidR="00DF0B37" w:rsidRPr="00F05824">
        <w:t xml:space="preserve">application of </w:t>
      </w:r>
      <w:r w:rsidR="00DF0B37" w:rsidRPr="00F05824">
        <w:rPr>
          <w:i/>
        </w:rPr>
        <w:t>Palmer</w:t>
      </w:r>
      <w:r w:rsidR="00DF0B37" w:rsidRPr="00F05824">
        <w:t xml:space="preserve"> </w:t>
      </w:r>
      <w:r w:rsidR="00DF0B37">
        <w:t>to</w:t>
      </w:r>
      <w:r w:rsidR="00DF0B37" w:rsidRPr="00F05824">
        <w:t xml:space="preserve"> the facts of th</w:t>
      </w:r>
      <w:r w:rsidR="00DF0B37">
        <w:t>e</w:t>
      </w:r>
      <w:r w:rsidR="00DF0B37" w:rsidRPr="00F05824">
        <w:t xml:space="preserve"> appeal</w:t>
      </w:r>
      <w:r w:rsidR="001772FE">
        <w:t xml:space="preserve">. </w:t>
      </w:r>
      <w:r w:rsidR="00DF0B37">
        <w:t>T</w:t>
      </w:r>
      <w:r w:rsidR="00DF0B37" w:rsidRPr="00F05824">
        <w:t>he Court of Appeal’s ultimate conclusion that the evidence is admissible</w:t>
      </w:r>
      <w:r w:rsidR="001772FE">
        <w:t xml:space="preserve"> should be upheld,</w:t>
      </w:r>
      <w:r w:rsidR="00DF0B37">
        <w:t xml:space="preserve"> </w:t>
      </w:r>
      <w:r w:rsidR="00DF0B37" w:rsidRPr="00F05824">
        <w:t xml:space="preserve">but its treatment of </w:t>
      </w:r>
      <w:r w:rsidR="00DF0B37" w:rsidRPr="00F05824">
        <w:rPr>
          <w:i/>
        </w:rPr>
        <w:t>Palmer</w:t>
      </w:r>
      <w:r w:rsidR="00DF0B37" w:rsidRPr="00F05824">
        <w:t xml:space="preserve"> and its decision to reassess the best interests of the children</w:t>
      </w:r>
      <w:r w:rsidR="001772FE">
        <w:t xml:space="preserve"> </w:t>
      </w:r>
      <w:r w:rsidR="00DF0B37">
        <w:t>should be re</w:t>
      </w:r>
      <w:r w:rsidR="001772FE">
        <w:t>jected</w:t>
      </w:r>
      <w:r w:rsidR="00DF0B37" w:rsidRPr="00F05824">
        <w:t>.</w:t>
      </w:r>
      <w:r w:rsidR="001772FE">
        <w:t xml:space="preserve"> </w:t>
      </w:r>
      <w:r w:rsidR="00DF0B37">
        <w:t>T</w:t>
      </w:r>
      <w:r w:rsidR="00DF0B37" w:rsidRPr="00F05824">
        <w:t xml:space="preserve">he </w:t>
      </w:r>
      <w:r w:rsidR="00DF0B37" w:rsidRPr="00F05824">
        <w:rPr>
          <w:i/>
        </w:rPr>
        <w:t xml:space="preserve">Gordon </w:t>
      </w:r>
      <w:r w:rsidR="001772FE">
        <w:t xml:space="preserve">framework </w:t>
      </w:r>
      <w:r w:rsidR="00DF0B37">
        <w:t xml:space="preserve">is </w:t>
      </w:r>
      <w:r w:rsidR="00DF0B37" w:rsidRPr="00F05824">
        <w:t>not properly b</w:t>
      </w:r>
      <w:r w:rsidR="00DF0B37">
        <w:t>efore the</w:t>
      </w:r>
      <w:r w:rsidR="00DF0B37" w:rsidRPr="00F05824">
        <w:t xml:space="preserve"> Court</w:t>
      </w:r>
      <w:r w:rsidR="001772FE">
        <w:t xml:space="preserve">, </w:t>
      </w:r>
      <w:r w:rsidR="00DF0B37">
        <w:t xml:space="preserve">as the </w:t>
      </w:r>
      <w:r w:rsidR="001772FE">
        <w:t>parties did not raise the issue</w:t>
      </w:r>
      <w:r w:rsidR="00DF0B37" w:rsidRPr="00F05824">
        <w:t xml:space="preserve">. </w:t>
      </w:r>
      <w:r w:rsidR="001772FE">
        <w:t>It should</w:t>
      </w:r>
      <w:r w:rsidR="00DF0B37">
        <w:t xml:space="preserve"> be left for another day.</w:t>
      </w:r>
    </w:p>
    <w:p w14:paraId="5AA1E155" w14:textId="39143DC4" w:rsidR="00DF0B37" w:rsidRDefault="009505D6" w:rsidP="009505D6">
      <w:pPr>
        <w:pStyle w:val="SCCNormalDoubleSpacing"/>
        <w:spacing w:after="480"/>
        <w:rPr>
          <w:lang w:val="en-US"/>
        </w:rPr>
      </w:pPr>
      <w:r>
        <w:tab/>
      </w:r>
      <w:r w:rsidR="00DF0B37" w:rsidRPr="00F05824">
        <w:t xml:space="preserve">The </w:t>
      </w:r>
      <w:r w:rsidR="00DF0B37" w:rsidRPr="00F05824">
        <w:rPr>
          <w:i/>
        </w:rPr>
        <w:t xml:space="preserve">Palmer </w:t>
      </w:r>
      <w:r w:rsidR="00DF0B37" w:rsidRPr="00F05824">
        <w:t xml:space="preserve">test </w:t>
      </w:r>
      <w:r w:rsidR="00DF0B37">
        <w:t>must</w:t>
      </w:r>
      <w:r w:rsidR="00DF0B37" w:rsidRPr="00F05824">
        <w:t xml:space="preserve"> be applied flexibly in </w:t>
      </w:r>
      <w:r w:rsidR="00DF0B37" w:rsidRPr="00E6254E">
        <w:t>all</w:t>
      </w:r>
      <w:r w:rsidR="00DF0B37" w:rsidRPr="00F05824">
        <w:t xml:space="preserve"> cases involving the welfare of children.</w:t>
      </w:r>
      <w:r w:rsidR="001772FE">
        <w:t xml:space="preserve"> </w:t>
      </w:r>
      <w:r w:rsidR="00DF0B37">
        <w:t>A</w:t>
      </w:r>
      <w:r w:rsidR="00DF0B37" w:rsidRPr="00F05824">
        <w:t xml:space="preserve"> child’s welf</w:t>
      </w:r>
      <w:r w:rsidR="00DF0B37">
        <w:t xml:space="preserve">are is </w:t>
      </w:r>
      <w:r w:rsidR="00DF0B37" w:rsidRPr="00F05824">
        <w:t>ongoing and fluid</w:t>
      </w:r>
      <w:r w:rsidR="001772FE">
        <w:t>, and</w:t>
      </w:r>
      <w:r w:rsidR="00DF0B37">
        <w:t xml:space="preserve"> a</w:t>
      </w:r>
      <w:r w:rsidR="00DF0B37" w:rsidRPr="00F05824">
        <w:t xml:space="preserve">n accurate assessment of </w:t>
      </w:r>
      <w:r w:rsidR="00DF0B37">
        <w:t xml:space="preserve">their </w:t>
      </w:r>
      <w:r w:rsidR="00DF0B37" w:rsidRPr="00F05824">
        <w:t xml:space="preserve">current situation </w:t>
      </w:r>
      <w:r w:rsidR="00DF0B37">
        <w:t xml:space="preserve">is of crucial importance </w:t>
      </w:r>
      <w:r w:rsidR="001772FE">
        <w:t>on appeal</w:t>
      </w:r>
      <w:r w:rsidR="00DF0B37" w:rsidRPr="00767BE2">
        <w:t xml:space="preserve">. </w:t>
      </w:r>
      <w:r w:rsidR="00DF0B37" w:rsidRPr="00F05824">
        <w:rPr>
          <w:lang w:val="en-US"/>
        </w:rPr>
        <w:t xml:space="preserve">Although the rules </w:t>
      </w:r>
      <w:r w:rsidR="00DF0B37">
        <w:rPr>
          <w:lang w:val="en-US"/>
        </w:rPr>
        <w:t>for admitting</w:t>
      </w:r>
      <w:r w:rsidR="00DF0B37" w:rsidRPr="00F05824">
        <w:rPr>
          <w:lang w:val="en-US"/>
        </w:rPr>
        <w:t xml:space="preserve"> new evidence are not designed to permit lit</w:t>
      </w:r>
      <w:r w:rsidR="00DF0B37">
        <w:rPr>
          <w:lang w:val="en-US"/>
        </w:rPr>
        <w:t>igants to re</w:t>
      </w:r>
      <w:r w:rsidR="00DF0B37" w:rsidRPr="00F05824">
        <w:rPr>
          <w:lang w:val="en-US"/>
        </w:rPr>
        <w:t>try their case</w:t>
      </w:r>
      <w:r w:rsidR="00DF0B37">
        <w:rPr>
          <w:lang w:val="en-US"/>
        </w:rPr>
        <w:t>s</w:t>
      </w:r>
      <w:r w:rsidR="00DF0B37" w:rsidRPr="00F05824">
        <w:rPr>
          <w:lang w:val="en-US"/>
        </w:rPr>
        <w:t xml:space="preserve">, </w:t>
      </w:r>
      <w:r w:rsidR="00DF0B37">
        <w:rPr>
          <w:lang w:val="en-US"/>
        </w:rPr>
        <w:t xml:space="preserve">the best interests of a child </w:t>
      </w:r>
      <w:r w:rsidR="00DF0B37" w:rsidRPr="00F05824">
        <w:rPr>
          <w:lang w:val="en-US"/>
        </w:rPr>
        <w:t>may provide a compelling rea</w:t>
      </w:r>
      <w:r w:rsidR="00DF0B37">
        <w:rPr>
          <w:lang w:val="en-US"/>
        </w:rPr>
        <w:t xml:space="preserve">son to admit evidence on appeal. </w:t>
      </w:r>
      <w:r w:rsidR="00DF0B37" w:rsidRPr="00767BE2">
        <w:t>An application to vary may in some circumstances</w:t>
      </w:r>
      <w:r w:rsidR="001772FE">
        <w:t xml:space="preserve"> be the appropriate procedure, but it remains </w:t>
      </w:r>
      <w:r w:rsidR="001772FE">
        <w:lastRenderedPageBreak/>
        <w:t>adversarial in nature; as such, it would also cause</w:t>
      </w:r>
      <w:r w:rsidR="00DF0B37" w:rsidRPr="00767BE2">
        <w:t xml:space="preserve"> strains on the parties’ resources and delays.</w:t>
      </w:r>
    </w:p>
    <w:p w14:paraId="0F4E6554" w14:textId="643EB58E" w:rsidR="00DF0B37" w:rsidRPr="00A167D1" w:rsidRDefault="009505D6" w:rsidP="009505D6">
      <w:pPr>
        <w:pStyle w:val="SCCNormalDoubleSpacing"/>
        <w:spacing w:after="480"/>
        <w:rPr>
          <w:lang w:val="en-US"/>
        </w:rPr>
      </w:pPr>
      <w:r>
        <w:tab/>
      </w:r>
      <w:r w:rsidR="00DF0B37">
        <w:rPr>
          <w:lang w:val="en-US"/>
        </w:rPr>
        <w:t>N</w:t>
      </w:r>
      <w:r w:rsidR="00DF0B37" w:rsidRPr="00F05824">
        <w:rPr>
          <w:lang w:val="en-US"/>
        </w:rPr>
        <w:t xml:space="preserve">arrowing </w:t>
      </w:r>
      <w:r w:rsidR="00DF0B37" w:rsidRPr="00F05824">
        <w:rPr>
          <w:i/>
          <w:lang w:val="en-US"/>
        </w:rPr>
        <w:t>Palmer</w:t>
      </w:r>
      <w:r w:rsidR="00DF0B37">
        <w:rPr>
          <w:lang w:val="en-US"/>
        </w:rPr>
        <w:t xml:space="preserve">’s flexibility to exceptional cases </w:t>
      </w:r>
      <w:r w:rsidR="00DF0B37" w:rsidRPr="00F05824">
        <w:rPr>
          <w:lang w:val="en-US"/>
        </w:rPr>
        <w:t>is unduly rigid and undermines the specificity needed in cases involving</w:t>
      </w:r>
      <w:r w:rsidR="00DF0B37">
        <w:rPr>
          <w:lang w:val="en-US"/>
        </w:rPr>
        <w:t xml:space="preserve"> </w:t>
      </w:r>
      <w:r w:rsidR="00DF0B37" w:rsidRPr="00F05824">
        <w:rPr>
          <w:lang w:val="en-US"/>
        </w:rPr>
        <w:t xml:space="preserve">children’s welfare. Indeed, it would often deny judges the full context they need </w:t>
      </w:r>
      <w:r w:rsidR="00DF0B37">
        <w:rPr>
          <w:lang w:val="en-US"/>
        </w:rPr>
        <w:t xml:space="preserve">in order </w:t>
      </w:r>
      <w:r w:rsidR="00DF0B37" w:rsidRPr="00F05824">
        <w:rPr>
          <w:lang w:val="en-US"/>
        </w:rPr>
        <w:t>to make a sound determination of the best interests of the child in a particular case.</w:t>
      </w:r>
      <w:r w:rsidR="00DF0B37">
        <w:rPr>
          <w:lang w:val="en-US"/>
        </w:rPr>
        <w:t xml:space="preserve"> </w:t>
      </w:r>
      <w:r w:rsidR="001772FE">
        <w:t xml:space="preserve">Additionally, </w:t>
      </w:r>
      <w:r w:rsidR="00DF0B37">
        <w:t>a rigid</w:t>
      </w:r>
      <w:r w:rsidR="00DF0B37" w:rsidRPr="00F05824">
        <w:t xml:space="preserve"> view of </w:t>
      </w:r>
      <w:r w:rsidR="00DF0B37">
        <w:t xml:space="preserve">the </w:t>
      </w:r>
      <w:r w:rsidR="00DF0B37" w:rsidRPr="00A167D1">
        <w:rPr>
          <w:i/>
        </w:rPr>
        <w:t>Palmer</w:t>
      </w:r>
      <w:r w:rsidR="001772FE">
        <w:t xml:space="preserve"> criterion of</w:t>
      </w:r>
      <w:r w:rsidR="00DF0B37">
        <w:t xml:space="preserve"> </w:t>
      </w:r>
      <w:r w:rsidR="00DF0B37" w:rsidRPr="00F05824">
        <w:t>due diligence</w:t>
      </w:r>
      <w:r w:rsidR="001772FE">
        <w:t xml:space="preserve"> </w:t>
      </w:r>
      <w:r w:rsidR="00DF0B37">
        <w:t>focuses inordinately</w:t>
      </w:r>
      <w:r w:rsidR="00DF0B37" w:rsidRPr="00F05824">
        <w:t xml:space="preserve"> and </w:t>
      </w:r>
      <w:r w:rsidR="00DF0B37">
        <w:t xml:space="preserve">narrowly </w:t>
      </w:r>
      <w:r w:rsidR="00DF0B37" w:rsidRPr="00F05824">
        <w:t>on the litigant’s conduct</w:t>
      </w:r>
      <w:r w:rsidR="001772FE">
        <w:t xml:space="preserve">. </w:t>
      </w:r>
      <w:r w:rsidR="00DF0B37">
        <w:t>T</w:t>
      </w:r>
      <w:r w:rsidR="00DF0B37" w:rsidRPr="00F05824">
        <w:t xml:space="preserve">he mere fact </w:t>
      </w:r>
      <w:r w:rsidR="00DF0B37">
        <w:t xml:space="preserve">that </w:t>
      </w:r>
      <w:r w:rsidR="00DF0B37" w:rsidRPr="00F05824">
        <w:t xml:space="preserve">new evidence could </w:t>
      </w:r>
      <w:r w:rsidR="00DF0B37">
        <w:t xml:space="preserve">potentially </w:t>
      </w:r>
      <w:r w:rsidR="00DF0B37" w:rsidRPr="00F05824">
        <w:t xml:space="preserve">have been obtained for </w:t>
      </w:r>
      <w:r w:rsidR="00DF0B37">
        <w:t xml:space="preserve">the </w:t>
      </w:r>
      <w:r w:rsidR="00DF0B37" w:rsidRPr="00F05824">
        <w:t xml:space="preserve">trial should not, </w:t>
      </w:r>
      <w:r w:rsidR="00DF0B37">
        <w:t>on its own</w:t>
      </w:r>
      <w:r w:rsidR="00DF0B37" w:rsidRPr="00F05824">
        <w:t xml:space="preserve">, preclude an appellate court from reviewing information </w:t>
      </w:r>
      <w:r w:rsidR="00DF0B37">
        <w:t>that bears</w:t>
      </w:r>
      <w:r w:rsidR="00DF0B37" w:rsidRPr="00F05824">
        <w:t xml:space="preserve"> directly upon the welfare of a child</w:t>
      </w:r>
      <w:r w:rsidR="001772FE">
        <w:t xml:space="preserve">. To be sure, </w:t>
      </w:r>
      <w:r w:rsidR="00DF0B37" w:rsidRPr="00F05824">
        <w:t>a failure to meet the due diligenc</w:t>
      </w:r>
      <w:r w:rsidR="00DF0B37">
        <w:t>e crite</w:t>
      </w:r>
      <w:r w:rsidR="001772FE">
        <w:t>rion is not always fatal, as it</w:t>
      </w:r>
      <w:r w:rsidR="00DF0B37">
        <w:t xml:space="preserve"> </w:t>
      </w:r>
      <w:r w:rsidR="00DF0B37" w:rsidRPr="00F05824">
        <w:t xml:space="preserve">is </w:t>
      </w:r>
      <w:r w:rsidR="00DF0B37" w:rsidRPr="006A0055">
        <w:t xml:space="preserve">not </w:t>
      </w:r>
      <w:r w:rsidR="00DF0B37" w:rsidRPr="00F05824">
        <w:t>a condition precedent to admissi</w:t>
      </w:r>
      <w:r w:rsidR="001772FE">
        <w:t xml:space="preserve">on. When this occurs, </w:t>
      </w:r>
      <w:r w:rsidR="00DF0B37" w:rsidRPr="00F05824">
        <w:t xml:space="preserve">it must be determined </w:t>
      </w:r>
      <w:r w:rsidR="00DF0B37">
        <w:t>whether</w:t>
      </w:r>
      <w:r w:rsidR="00DF0B37" w:rsidRPr="00F05824">
        <w:t xml:space="preserve"> the strength of the other </w:t>
      </w:r>
      <w:r w:rsidR="00DF0B37" w:rsidRPr="00F05824">
        <w:rPr>
          <w:i/>
        </w:rPr>
        <w:t xml:space="preserve">Palmer </w:t>
      </w:r>
      <w:r w:rsidR="00DF0B37" w:rsidRPr="00F05824">
        <w:t>criteria is such that failure to satisfy the due dil</w:t>
      </w:r>
      <w:r w:rsidR="00DF0B37">
        <w:t>i</w:t>
      </w:r>
      <w:r>
        <w:t>gence requirement is overborne.</w:t>
      </w:r>
    </w:p>
    <w:p w14:paraId="4D920D20" w14:textId="1B3A3E5E" w:rsidR="00DF0B37" w:rsidRDefault="009505D6" w:rsidP="009505D6">
      <w:pPr>
        <w:pStyle w:val="SCCNormalDoubleSpacing"/>
        <w:spacing w:after="480"/>
      </w:pPr>
      <w:r>
        <w:tab/>
      </w:r>
      <w:r w:rsidR="00DF0B37">
        <w:rPr>
          <w:lang w:val="en-US"/>
        </w:rPr>
        <w:t>A</w:t>
      </w:r>
      <w:r w:rsidR="00DF0B37" w:rsidRPr="00F05824">
        <w:rPr>
          <w:lang w:val="en-US"/>
        </w:rPr>
        <w:t xml:space="preserve">ppellate courts are not entitled to overturn trial </w:t>
      </w:r>
      <w:r w:rsidR="00DF0B37">
        <w:rPr>
          <w:lang w:val="en-US"/>
        </w:rPr>
        <w:t xml:space="preserve">court </w:t>
      </w:r>
      <w:r w:rsidR="00DF0B37" w:rsidRPr="00F05824">
        <w:rPr>
          <w:lang w:val="en-US"/>
        </w:rPr>
        <w:t xml:space="preserve">decisions </w:t>
      </w:r>
      <w:r w:rsidR="00DF0B37">
        <w:rPr>
          <w:lang w:val="en-US"/>
        </w:rPr>
        <w:t>simply because they</w:t>
      </w:r>
      <w:r w:rsidR="00DF0B37" w:rsidRPr="00F05824">
        <w:rPr>
          <w:lang w:val="en-US"/>
        </w:rPr>
        <w:t xml:space="preserve"> would have made a different decision or balanced the factors</w:t>
      </w:r>
      <w:r w:rsidR="00DF0B37">
        <w:rPr>
          <w:lang w:val="en-US"/>
        </w:rPr>
        <w:t xml:space="preserve"> differently. </w:t>
      </w:r>
      <w:r w:rsidR="00DF0B37">
        <w:t xml:space="preserve">While </w:t>
      </w:r>
      <w:r w:rsidR="00DF0B37" w:rsidRPr="00F05824">
        <w:t>the Court of Appeal was correct to admit th</w:t>
      </w:r>
      <w:r w:rsidR="0016135B">
        <w:t>e new</w:t>
      </w:r>
      <w:r w:rsidR="00DF0B37">
        <w:t xml:space="preserve"> </w:t>
      </w:r>
      <w:r w:rsidR="00DF0B37" w:rsidRPr="00F05824">
        <w:t xml:space="preserve">evidence, it should not have used </w:t>
      </w:r>
      <w:r w:rsidR="0016135B">
        <w:t>it</w:t>
      </w:r>
      <w:r w:rsidR="00DF0B37">
        <w:t xml:space="preserve"> </w:t>
      </w:r>
      <w:r w:rsidR="00DF0B37" w:rsidRPr="00F05824">
        <w:t>as a pretext to</w:t>
      </w:r>
      <w:r w:rsidR="00DF0B37">
        <w:t xml:space="preserve"> re</w:t>
      </w:r>
      <w:r w:rsidR="00DF0B37" w:rsidRPr="00F05824">
        <w:t>weigh the trial judge</w:t>
      </w:r>
      <w:r w:rsidR="00DF0B37">
        <w:t>’s findings</w:t>
      </w:r>
      <w:r w:rsidR="00DF0B37" w:rsidRPr="00F05824">
        <w:t xml:space="preserve"> regarding the re</w:t>
      </w:r>
      <w:r w:rsidR="0016135B">
        <w:t xml:space="preserve">lationship between the parties. </w:t>
      </w:r>
      <w:r w:rsidR="00DF0B37" w:rsidRPr="00F05824">
        <w:t>Th</w:t>
      </w:r>
      <w:r w:rsidR="00DF0B37">
        <w:t>o</w:t>
      </w:r>
      <w:r w:rsidR="00DF0B37" w:rsidRPr="00F05824">
        <w:t xml:space="preserve">se findings were </w:t>
      </w:r>
      <w:r w:rsidR="00DF0B37">
        <w:t xml:space="preserve">not </w:t>
      </w:r>
      <w:r w:rsidR="00DF0B37" w:rsidRPr="00F05824">
        <w:t xml:space="preserve">affected by the new evidence and </w:t>
      </w:r>
      <w:r w:rsidR="00DF0B37">
        <w:t>were entitled to</w:t>
      </w:r>
      <w:r w:rsidR="00DF0B37" w:rsidRPr="00F05824">
        <w:t xml:space="preserve"> appellate deference.</w:t>
      </w:r>
    </w:p>
    <w:p w14:paraId="770E54A5" w14:textId="4178B5AB" w:rsidR="00DF0B37" w:rsidRPr="00E17CF5" w:rsidRDefault="009505D6" w:rsidP="009505D6">
      <w:pPr>
        <w:pStyle w:val="SCCNormalDoubleSpacing"/>
        <w:spacing w:after="480"/>
      </w:pPr>
      <w:r>
        <w:tab/>
      </w:r>
      <w:r w:rsidR="00DF0B37">
        <w:rPr>
          <w:lang w:val="en-US"/>
        </w:rPr>
        <w:t>In this cas</w:t>
      </w:r>
      <w:r w:rsidR="0016135B">
        <w:rPr>
          <w:lang w:val="en-US"/>
        </w:rPr>
        <w:t>e</w:t>
      </w:r>
      <w:r w:rsidR="00DF0B37">
        <w:rPr>
          <w:lang w:val="en-US"/>
        </w:rPr>
        <w:t xml:space="preserve">, </w:t>
      </w:r>
      <w:r w:rsidR="00DF0B37" w:rsidRPr="00F05824">
        <w:rPr>
          <w:lang w:val="en-US"/>
        </w:rPr>
        <w:t>the new evidence could have affected the result</w:t>
      </w:r>
      <w:r w:rsidR="0016135B">
        <w:rPr>
          <w:lang w:val="en-US"/>
        </w:rPr>
        <w:t xml:space="preserve"> at trial</w:t>
      </w:r>
      <w:r w:rsidR="00DF0B37">
        <w:rPr>
          <w:lang w:val="en-US"/>
        </w:rPr>
        <w:t xml:space="preserve">, </w:t>
      </w:r>
      <w:r w:rsidR="0016135B">
        <w:t>as it bore</w:t>
      </w:r>
      <w:r w:rsidR="00DF0B37" w:rsidRPr="00F05824">
        <w:t xml:space="preserve"> on a critical aspect</w:t>
      </w:r>
      <w:r w:rsidR="00DF0B37">
        <w:t xml:space="preserve"> of the trial judge’s reasoning. F</w:t>
      </w:r>
      <w:r w:rsidR="00DF0B37" w:rsidRPr="00F05824">
        <w:t xml:space="preserve">inality, </w:t>
      </w:r>
      <w:r w:rsidR="00DF0B37">
        <w:t>although</w:t>
      </w:r>
      <w:r w:rsidR="00DF0B37" w:rsidRPr="00F05824">
        <w:t xml:space="preserve"> important, </w:t>
      </w:r>
      <w:r w:rsidR="00DF0B37" w:rsidRPr="00F05824">
        <w:lastRenderedPageBreak/>
        <w:t xml:space="preserve">should not tie the hands of a reviewing court </w:t>
      </w:r>
      <w:r w:rsidR="00DF0B37">
        <w:t>so as to prevent it from crafting</w:t>
      </w:r>
      <w:r w:rsidR="00DF0B37" w:rsidRPr="00F05824">
        <w:t xml:space="preserve"> a remedy t</w:t>
      </w:r>
      <w:r w:rsidR="00DF0B37">
        <w:t>hat would</w:t>
      </w:r>
      <w:r w:rsidR="00DF0B37" w:rsidRPr="00F05824">
        <w:t xml:space="preserve"> advance the best interests of the child</w:t>
      </w:r>
      <w:r w:rsidR="0016135B">
        <w:t xml:space="preserve">. </w:t>
      </w:r>
      <w:r w:rsidR="00DF0B37">
        <w:t>Th</w:t>
      </w:r>
      <w:r w:rsidR="00DF0B37" w:rsidRPr="00F05824">
        <w:t xml:space="preserve">e matter should </w:t>
      </w:r>
      <w:r w:rsidR="00DF0B37">
        <w:t xml:space="preserve">be </w:t>
      </w:r>
      <w:r w:rsidR="00DF0B37" w:rsidRPr="00F05824">
        <w:t xml:space="preserve">remitted to the trial judge because </w:t>
      </w:r>
      <w:r w:rsidR="0016135B">
        <w:t>of his</w:t>
      </w:r>
      <w:r w:rsidR="00DF0B37">
        <w:t xml:space="preserve"> extensive knowledge of the</w:t>
      </w:r>
      <w:r w:rsidR="00DF0B37" w:rsidRPr="00F05824">
        <w:t xml:space="preserve"> </w:t>
      </w:r>
      <w:r w:rsidR="0016135B">
        <w:t xml:space="preserve">family and the children. </w:t>
      </w:r>
      <w:r w:rsidR="00DF0B37" w:rsidRPr="00F05824">
        <w:t xml:space="preserve">Any additional delay and expense </w:t>
      </w:r>
      <w:r w:rsidR="00DF0B37">
        <w:t>resulting from</w:t>
      </w:r>
      <w:r w:rsidR="00DF0B37" w:rsidRPr="00F05824">
        <w:t xml:space="preserve"> the reconsideration of this matter </w:t>
      </w:r>
      <w:r w:rsidR="00DF0B37">
        <w:t>is</w:t>
      </w:r>
      <w:r w:rsidR="00DF0B37" w:rsidRPr="00F05824">
        <w:t xml:space="preserve"> justified by the need to assess the </w:t>
      </w:r>
      <w:r w:rsidR="00DF0B37">
        <w:t xml:space="preserve">best interests of the children in light of their </w:t>
      </w:r>
      <w:r w:rsidR="00DF0B37" w:rsidRPr="00F05824">
        <w:t>father</w:t>
      </w:r>
      <w:r w:rsidR="0016135B">
        <w:t>’s</w:t>
      </w:r>
      <w:r w:rsidR="00DF0B37" w:rsidRPr="00F05824">
        <w:t xml:space="preserve"> </w:t>
      </w:r>
      <w:r w:rsidR="00DF0B37" w:rsidRPr="00F01365">
        <w:t>current</w:t>
      </w:r>
      <w:r w:rsidR="00DF0B37" w:rsidRPr="00F05824">
        <w:t xml:space="preserve"> circumstances</w:t>
      </w:r>
      <w:r>
        <w:t>.</w:t>
      </w:r>
    </w:p>
    <w:p w14:paraId="0C6EA4E4" w14:textId="2FCCB7E7" w:rsidR="007E1C47" w:rsidRDefault="002E6705" w:rsidP="00DF0B37">
      <w:pPr>
        <w:pStyle w:val="SCCNormalDoubleSpacing"/>
        <w:spacing w:after="720" w:line="240" w:lineRule="auto"/>
        <w:rPr>
          <w:b/>
        </w:rPr>
      </w:pPr>
      <w:r w:rsidRPr="00314E01">
        <w:rPr>
          <w:b/>
        </w:rPr>
        <w:t>Cases Cited</w:t>
      </w:r>
    </w:p>
    <w:p w14:paraId="0BB86B1D" w14:textId="77777777" w:rsidR="00F82753" w:rsidRPr="00613969" w:rsidRDefault="00F82753" w:rsidP="00CA0A07">
      <w:pPr>
        <w:pStyle w:val="SCCNormalDoubleSpacing"/>
        <w:widowControl w:val="0"/>
        <w:spacing w:after="720" w:line="240" w:lineRule="auto"/>
      </w:pPr>
      <w:r>
        <w:t>By Karakatsanis J.</w:t>
      </w:r>
    </w:p>
    <w:p w14:paraId="3CF1F86C" w14:textId="50EA3518" w:rsidR="00F82753" w:rsidRPr="00F82753" w:rsidRDefault="002E6705" w:rsidP="00CA0A07">
      <w:pPr>
        <w:pStyle w:val="SCCNormalDoubleSpacing"/>
        <w:widowControl w:val="0"/>
        <w:spacing w:after="480"/>
        <w:rPr>
          <w:lang w:bidi="en-US"/>
        </w:rPr>
      </w:pPr>
      <w:r>
        <w:tab/>
      </w:r>
      <w:r w:rsidR="00D97A46" w:rsidRPr="00D97A46">
        <w:rPr>
          <w:b/>
        </w:rPr>
        <w:t>Applied:</w:t>
      </w:r>
      <w:r w:rsidR="00D97A46">
        <w:t xml:space="preserve"> </w:t>
      </w:r>
      <w:r w:rsidR="00D97A46" w:rsidRPr="00F82753">
        <w:rPr>
          <w:i/>
          <w:lang w:bidi="en-US"/>
        </w:rPr>
        <w:t>Palmer v. The Queen</w:t>
      </w:r>
      <w:r w:rsidR="00D97A46" w:rsidRPr="00F82753">
        <w:rPr>
          <w:lang w:bidi="en-US"/>
        </w:rPr>
        <w:t xml:space="preserve">, [1980] 1 S.C.R. 759; </w:t>
      </w:r>
      <w:r w:rsidR="00D97A46" w:rsidRPr="00F82753">
        <w:rPr>
          <w:i/>
          <w:lang w:bidi="en-US"/>
        </w:rPr>
        <w:t>Gordon v. Goertz</w:t>
      </w:r>
      <w:r w:rsidR="00D97A46" w:rsidRPr="00F82753">
        <w:rPr>
          <w:lang w:bidi="en-US"/>
        </w:rPr>
        <w:t>, [1996] 2 S.C.R. 27</w:t>
      </w:r>
      <w:r w:rsidR="00D97A46">
        <w:rPr>
          <w:lang w:bidi="en-US"/>
        </w:rPr>
        <w:t xml:space="preserve">; </w:t>
      </w:r>
      <w:r w:rsidR="00D97A46" w:rsidRPr="00D97A46">
        <w:rPr>
          <w:b/>
          <w:lang w:bidi="en-US"/>
        </w:rPr>
        <w:t>r</w:t>
      </w:r>
      <w:r w:rsidRPr="00D97A46">
        <w:rPr>
          <w:b/>
        </w:rPr>
        <w:t>e</w:t>
      </w:r>
      <w:r w:rsidRPr="00314E01">
        <w:rPr>
          <w:b/>
        </w:rPr>
        <w:t>ferred to:</w:t>
      </w:r>
      <w:r w:rsidR="00BD0E9E" w:rsidRPr="00BD0E9E">
        <w:t xml:space="preserve"> </w:t>
      </w:r>
      <w:r w:rsidR="00F82753" w:rsidRPr="00F82753">
        <w:rPr>
          <w:i/>
          <w:lang w:bidi="en-US"/>
        </w:rPr>
        <w:t>Catholic Children’s Aid Society of Metropolitan Toronto v. M. (C.)</w:t>
      </w:r>
      <w:r w:rsidR="00F82753" w:rsidRPr="00F82753">
        <w:rPr>
          <w:lang w:bidi="en-US"/>
        </w:rPr>
        <w:t>,</w:t>
      </w:r>
      <w:r w:rsidR="00F82753" w:rsidRPr="00F82753">
        <w:rPr>
          <w:i/>
          <w:lang w:bidi="en-US"/>
        </w:rPr>
        <w:t xml:space="preserve"> </w:t>
      </w:r>
      <w:r w:rsidR="00F82753" w:rsidRPr="00F82753">
        <w:rPr>
          <w:lang w:bidi="en-US"/>
        </w:rPr>
        <w:t xml:space="preserve">[1994] 2 S.C.R. 165; </w:t>
      </w:r>
      <w:r w:rsidR="00F82753" w:rsidRPr="00F82753">
        <w:rPr>
          <w:i/>
          <w:lang w:bidi="en-US"/>
        </w:rPr>
        <w:t>United States of America v. Shulman</w:t>
      </w:r>
      <w:r w:rsidR="00F82753" w:rsidRPr="00F82753">
        <w:rPr>
          <w:lang w:bidi="en-US"/>
        </w:rPr>
        <w:t>,</w:t>
      </w:r>
      <w:r w:rsidR="00F82753" w:rsidRPr="00F82753">
        <w:rPr>
          <w:i/>
          <w:lang w:bidi="en-US"/>
        </w:rPr>
        <w:t xml:space="preserve"> </w:t>
      </w:r>
      <w:r w:rsidR="00F82753" w:rsidRPr="00F82753">
        <w:rPr>
          <w:lang w:bidi="en-US"/>
        </w:rPr>
        <w:t xml:space="preserve">2001 SCC 21, [2001] 1 S.C.R. 616; </w:t>
      </w:r>
      <w:r w:rsidR="00F82753" w:rsidRPr="00F82753">
        <w:rPr>
          <w:i/>
          <w:lang w:bidi="en-US"/>
        </w:rPr>
        <w:t>May v. Ferndale Institution</w:t>
      </w:r>
      <w:r w:rsidR="00F82753" w:rsidRPr="00F82753">
        <w:rPr>
          <w:lang w:bidi="en-US"/>
        </w:rPr>
        <w:t xml:space="preserve">, 2005 SCC 82, [2005] 3 S.C.R. 809; </w:t>
      </w:r>
      <w:r w:rsidR="00F82753" w:rsidRPr="00F82753">
        <w:rPr>
          <w:i/>
          <w:lang w:bidi="en-US"/>
        </w:rPr>
        <w:t>R. v. Taillefer</w:t>
      </w:r>
      <w:r w:rsidR="00F82753" w:rsidRPr="00F82753">
        <w:rPr>
          <w:lang w:bidi="en-US"/>
        </w:rPr>
        <w:t xml:space="preserve">, 2003 SCC 70, [2003] 3 S.C.R. 307; </w:t>
      </w:r>
      <w:r w:rsidR="00F82753" w:rsidRPr="00F82753">
        <w:rPr>
          <w:i/>
          <w:lang w:bidi="en-US"/>
        </w:rPr>
        <w:t>Public School Boards’ Assn. of Alberta v. Alberta (Attorney General)</w:t>
      </w:r>
      <w:r w:rsidR="00F82753" w:rsidRPr="00F82753">
        <w:rPr>
          <w:lang w:bidi="en-US"/>
        </w:rPr>
        <w:t xml:space="preserve">, 2000 SCC 2, [2000] 1 S.C.R. 44; </w:t>
      </w:r>
      <w:r w:rsidR="00CA0A07">
        <w:rPr>
          <w:i/>
          <w:lang w:bidi="en-US"/>
        </w:rPr>
        <w:t>R. v. St</w:t>
      </w:r>
      <w:r w:rsidR="00CA0A07">
        <w:rPr>
          <w:i/>
          <w:lang w:bidi="en-US"/>
        </w:rPr>
        <w:noBreakHyphen/>
      </w:r>
      <w:r w:rsidR="00F82753" w:rsidRPr="00F82753">
        <w:rPr>
          <w:i/>
          <w:lang w:bidi="en-US"/>
        </w:rPr>
        <w:t>Cloud</w:t>
      </w:r>
      <w:r w:rsidR="00F82753" w:rsidRPr="00F82753">
        <w:rPr>
          <w:lang w:bidi="en-US"/>
        </w:rPr>
        <w:t xml:space="preserve">, 2015 SCC 27, [2015] 2 S.C.R. 328; </w:t>
      </w:r>
      <w:r w:rsidR="00F82753" w:rsidRPr="00F82753">
        <w:rPr>
          <w:i/>
          <w:lang w:bidi="en-US"/>
        </w:rPr>
        <w:t>R. v. G.D.B.</w:t>
      </w:r>
      <w:r w:rsidR="00F82753" w:rsidRPr="00F82753">
        <w:rPr>
          <w:lang w:bidi="en-US"/>
        </w:rPr>
        <w:t xml:space="preserve">, 2000 SCC 22, [2000] 1 S.C.R. 520; </w:t>
      </w:r>
      <w:r w:rsidR="00F82753" w:rsidRPr="00F82753">
        <w:rPr>
          <w:i/>
          <w:lang w:bidi="en-US"/>
        </w:rPr>
        <w:t>R. v. Angelillo</w:t>
      </w:r>
      <w:r w:rsidR="00F82753" w:rsidRPr="00F82753">
        <w:rPr>
          <w:lang w:bidi="en-US"/>
        </w:rPr>
        <w:t xml:space="preserve">, 2006 SCC 55, [2006] 2 S.C.R. 728; </w:t>
      </w:r>
      <w:r w:rsidR="00F82753" w:rsidRPr="00F82753">
        <w:rPr>
          <w:i/>
          <w:lang w:bidi="en-US"/>
        </w:rPr>
        <w:t>Danyluk v. Ainsworth Technologies Inc.</w:t>
      </w:r>
      <w:r w:rsidR="00F82753" w:rsidRPr="00F82753">
        <w:rPr>
          <w:lang w:bidi="en-US"/>
        </w:rPr>
        <w:t xml:space="preserve">, 2001 SCC 44, [2001] 2 S.C.R. 460; </w:t>
      </w:r>
      <w:r w:rsidR="00F82753" w:rsidRPr="00F82753">
        <w:rPr>
          <w:i/>
          <w:lang w:bidi="en-US"/>
        </w:rPr>
        <w:t>Grandview (Town of) v. Doering</w:t>
      </w:r>
      <w:r w:rsidR="00F82753" w:rsidRPr="00F82753">
        <w:rPr>
          <w:lang w:bidi="en-US"/>
        </w:rPr>
        <w:t xml:space="preserve">, [1976] 2 S.C.R. 621; </w:t>
      </w:r>
      <w:r w:rsidR="00F82753" w:rsidRPr="00F82753">
        <w:rPr>
          <w:i/>
          <w:lang w:bidi="en-US"/>
        </w:rPr>
        <w:t>Henderson v. Henderson</w:t>
      </w:r>
      <w:r w:rsidR="00F82753" w:rsidRPr="00F82753">
        <w:rPr>
          <w:lang w:bidi="en-US"/>
        </w:rPr>
        <w:t xml:space="preserve"> (1843), 3 Hare 100; </w:t>
      </w:r>
      <w:r w:rsidR="00F82753" w:rsidRPr="00F82753">
        <w:rPr>
          <w:i/>
          <w:lang w:bidi="en-US"/>
        </w:rPr>
        <w:t>Stav v. Stav</w:t>
      </w:r>
      <w:r w:rsidR="00F82753" w:rsidRPr="00F82753">
        <w:rPr>
          <w:lang w:bidi="en-US"/>
        </w:rPr>
        <w:t>, 2012 BCCA 154,</w:t>
      </w:r>
      <w:r w:rsidR="00F82753" w:rsidRPr="00F82753">
        <w:rPr>
          <w:i/>
          <w:lang w:bidi="en-US"/>
        </w:rPr>
        <w:t xml:space="preserve"> </w:t>
      </w:r>
      <w:r w:rsidR="00F82753" w:rsidRPr="00F82753">
        <w:rPr>
          <w:lang w:bidi="en-US"/>
        </w:rPr>
        <w:t xml:space="preserve">31 B.C.L.R. (5th) 302; </w:t>
      </w:r>
      <w:r w:rsidR="00F82753" w:rsidRPr="00F82753">
        <w:rPr>
          <w:i/>
          <w:lang w:bidi="en-US"/>
        </w:rPr>
        <w:t>S.F.D. v. M.T.</w:t>
      </w:r>
      <w:r w:rsidR="00F82753" w:rsidRPr="00F82753">
        <w:rPr>
          <w:lang w:bidi="en-US"/>
        </w:rPr>
        <w:t xml:space="preserve">, 2019 NBCA 62, 49 C.C.P.B. (2nd) 177; </w:t>
      </w:r>
      <w:r w:rsidR="00F82753" w:rsidRPr="00F82753">
        <w:rPr>
          <w:i/>
          <w:lang w:bidi="en-US"/>
        </w:rPr>
        <w:t>R. v. Sipos</w:t>
      </w:r>
      <w:r w:rsidR="00F82753" w:rsidRPr="00F82753">
        <w:rPr>
          <w:lang w:bidi="en-US"/>
        </w:rPr>
        <w:t>,</w:t>
      </w:r>
      <w:r w:rsidR="00F82753" w:rsidRPr="00F82753">
        <w:rPr>
          <w:i/>
          <w:lang w:bidi="en-US"/>
        </w:rPr>
        <w:t xml:space="preserve"> </w:t>
      </w:r>
      <w:r w:rsidR="00F82753" w:rsidRPr="00F82753">
        <w:rPr>
          <w:lang w:bidi="en-US"/>
        </w:rPr>
        <w:t>2014 SCC 47,</w:t>
      </w:r>
      <w:r w:rsidR="00F82753" w:rsidRPr="00F82753">
        <w:rPr>
          <w:i/>
          <w:lang w:bidi="en-US"/>
        </w:rPr>
        <w:t xml:space="preserve"> </w:t>
      </w:r>
      <w:r w:rsidR="00F82753" w:rsidRPr="00F82753">
        <w:rPr>
          <w:lang w:bidi="en-US"/>
        </w:rPr>
        <w:t xml:space="preserve">[2014] 2 S.C.R. 423; </w:t>
      </w:r>
      <w:r w:rsidR="00F82753" w:rsidRPr="00F82753">
        <w:rPr>
          <w:i/>
          <w:lang w:bidi="en-US"/>
        </w:rPr>
        <w:t xml:space="preserve">Housen </w:t>
      </w:r>
      <w:r w:rsidR="00F82753" w:rsidRPr="00F82753">
        <w:rPr>
          <w:i/>
          <w:iCs/>
          <w:lang w:bidi="en-US"/>
        </w:rPr>
        <w:t>v</w:t>
      </w:r>
      <w:r w:rsidR="00F82753" w:rsidRPr="00F82753">
        <w:rPr>
          <w:i/>
          <w:lang w:bidi="en-US"/>
        </w:rPr>
        <w:t>.</w:t>
      </w:r>
      <w:r w:rsidR="00F82753" w:rsidRPr="00F82753" w:rsidDel="00731E68">
        <w:rPr>
          <w:i/>
          <w:lang w:bidi="en-US"/>
        </w:rPr>
        <w:t xml:space="preserve"> </w:t>
      </w:r>
      <w:r w:rsidR="00F82753" w:rsidRPr="00F82753">
        <w:rPr>
          <w:i/>
          <w:lang w:bidi="en-US"/>
        </w:rPr>
        <w:t>Nikolaisen</w:t>
      </w:r>
      <w:r w:rsidR="00F82753" w:rsidRPr="00F82753">
        <w:rPr>
          <w:lang w:bidi="en-US"/>
        </w:rPr>
        <w:t xml:space="preserve">, 2002 SCC 33, [2002] 2 S.C.R. 235; </w:t>
      </w:r>
      <w:r w:rsidR="00F82753" w:rsidRPr="00F82753">
        <w:rPr>
          <w:i/>
          <w:lang w:bidi="en-US"/>
        </w:rPr>
        <w:t>R. v. Lévesque</w:t>
      </w:r>
      <w:r w:rsidR="00F82753" w:rsidRPr="00F82753">
        <w:rPr>
          <w:lang w:bidi="en-US"/>
        </w:rPr>
        <w:t xml:space="preserve">, 2000 SCC 47, [2000] </w:t>
      </w:r>
      <w:r w:rsidR="00F82753" w:rsidRPr="00F82753">
        <w:rPr>
          <w:lang w:bidi="en-US"/>
        </w:rPr>
        <w:lastRenderedPageBreak/>
        <w:t xml:space="preserve">2 S.C.R. 487; </w:t>
      </w:r>
      <w:r w:rsidR="00F82753" w:rsidRPr="00F82753">
        <w:rPr>
          <w:i/>
          <w:lang w:bidi="en-US"/>
        </w:rPr>
        <w:t>R. v. Warsing</w:t>
      </w:r>
      <w:r w:rsidR="00F82753" w:rsidRPr="00F82753">
        <w:rPr>
          <w:lang w:bidi="en-US"/>
        </w:rPr>
        <w:t xml:space="preserve">, [1998] 3 S.C.R. 579; </w:t>
      </w:r>
      <w:r w:rsidR="00F82753" w:rsidRPr="00F82753">
        <w:rPr>
          <w:i/>
          <w:lang w:bidi="en-US"/>
        </w:rPr>
        <w:t>R. v. Nikolovski</w:t>
      </w:r>
      <w:r w:rsidR="00F82753" w:rsidRPr="00F82753">
        <w:rPr>
          <w:lang w:bidi="en-US"/>
        </w:rPr>
        <w:t xml:space="preserve">, [1996] 3 S.C.R. 1197; </w:t>
      </w:r>
      <w:r w:rsidR="00F82753" w:rsidRPr="00F82753">
        <w:rPr>
          <w:i/>
          <w:lang w:bidi="en-US"/>
        </w:rPr>
        <w:t>Child and Family Services of</w:t>
      </w:r>
      <w:r w:rsidR="00F82753" w:rsidRPr="00F82753">
        <w:rPr>
          <w:lang w:bidi="en-US"/>
        </w:rPr>
        <w:t xml:space="preserve"> </w:t>
      </w:r>
      <w:r w:rsidR="00F82753" w:rsidRPr="00F82753">
        <w:rPr>
          <w:i/>
          <w:lang w:bidi="en-US"/>
        </w:rPr>
        <w:t>Winnipeg v. J.M.F.</w:t>
      </w:r>
      <w:r w:rsidR="00F82753" w:rsidRPr="00F82753">
        <w:rPr>
          <w:lang w:bidi="en-US"/>
        </w:rPr>
        <w:t xml:space="preserve">, 2000 MBCA 145, 153 Man. R. (2d) 90; </w:t>
      </w:r>
      <w:r w:rsidR="00F82753" w:rsidRPr="00F82753">
        <w:rPr>
          <w:i/>
          <w:lang w:bidi="en-US"/>
        </w:rPr>
        <w:t>Ch</w:t>
      </w:r>
      <w:r w:rsidR="00CA0A07">
        <w:rPr>
          <w:i/>
          <w:lang w:bidi="en-US"/>
        </w:rPr>
        <w:t>ildren’s Aid Society of Windsor</w:t>
      </w:r>
      <w:r w:rsidR="00CA0A07">
        <w:rPr>
          <w:i/>
          <w:lang w:bidi="en-US"/>
        </w:rPr>
        <w:noBreakHyphen/>
      </w:r>
      <w:r w:rsidR="00F82753" w:rsidRPr="00F82753">
        <w:rPr>
          <w:i/>
          <w:lang w:bidi="en-US"/>
        </w:rPr>
        <w:t xml:space="preserve">Essex (County) v. B. (Y.) </w:t>
      </w:r>
      <w:r w:rsidR="00F82753" w:rsidRPr="00F82753">
        <w:rPr>
          <w:lang w:bidi="en-US"/>
        </w:rPr>
        <w:t xml:space="preserve">(2004), 5 R.F.L. (6th) 269; </w:t>
      </w:r>
      <w:r w:rsidR="00F82753" w:rsidRPr="00F82753">
        <w:rPr>
          <w:i/>
          <w:lang w:bidi="en-US"/>
        </w:rPr>
        <w:t>J.W.S. v. C.J.S.</w:t>
      </w:r>
      <w:r w:rsidR="00F82753" w:rsidRPr="00F82753">
        <w:rPr>
          <w:lang w:bidi="en-US"/>
        </w:rPr>
        <w:t xml:space="preserve">, 2019 ABCA 153; </w:t>
      </w:r>
      <w:r w:rsidR="00F82753" w:rsidRPr="00F82753">
        <w:rPr>
          <w:i/>
          <w:lang w:bidi="en-US"/>
        </w:rPr>
        <w:t>Sheikh (Re)</w:t>
      </w:r>
      <w:r w:rsidR="00F82753" w:rsidRPr="00F82753">
        <w:rPr>
          <w:lang w:bidi="en-US"/>
        </w:rPr>
        <w:t xml:space="preserve">, 2019 ONCA 692; </w:t>
      </w:r>
      <w:r w:rsidR="00F82753" w:rsidRPr="00F82753">
        <w:rPr>
          <w:i/>
          <w:lang w:bidi="en-US"/>
        </w:rPr>
        <w:t>Riel v. Riel</w:t>
      </w:r>
      <w:r w:rsidR="00F82753" w:rsidRPr="00F82753">
        <w:rPr>
          <w:lang w:bidi="en-US"/>
        </w:rPr>
        <w:t xml:space="preserve">, 2017 SKCA 74, 99 R.F.L. (7th) 367; </w:t>
      </w:r>
      <w:r w:rsidR="00F82753" w:rsidRPr="00F82753">
        <w:rPr>
          <w:i/>
          <w:lang w:bidi="en-US"/>
        </w:rPr>
        <w:t>Hellberg v. Netherclift</w:t>
      </w:r>
      <w:r w:rsidR="00F82753" w:rsidRPr="00F82753">
        <w:rPr>
          <w:lang w:bidi="en-US"/>
        </w:rPr>
        <w:t>,</w:t>
      </w:r>
      <w:r w:rsidR="00F82753" w:rsidRPr="00F82753">
        <w:rPr>
          <w:i/>
          <w:lang w:bidi="en-US"/>
        </w:rPr>
        <w:t xml:space="preserve"> </w:t>
      </w:r>
      <w:r w:rsidR="00F82753" w:rsidRPr="00F82753">
        <w:rPr>
          <w:lang w:bidi="en-US"/>
        </w:rPr>
        <w:t xml:space="preserve">2017 BCCA 363, 2 B.C.L.R. (6th) 126; </w:t>
      </w:r>
      <w:r w:rsidR="00F82753" w:rsidRPr="00F82753">
        <w:rPr>
          <w:i/>
          <w:lang w:bidi="en-US"/>
        </w:rPr>
        <w:t xml:space="preserve">North Vancouver (District) v. Lunde </w:t>
      </w:r>
      <w:r w:rsidR="00F82753" w:rsidRPr="00F82753">
        <w:rPr>
          <w:lang w:bidi="en-US"/>
        </w:rPr>
        <w:t xml:space="preserve">(1998), 60 B.C.L.R. (3d) 201; </w:t>
      </w:r>
      <w:r w:rsidR="00F82753" w:rsidRPr="00F82753">
        <w:rPr>
          <w:i/>
          <w:lang w:bidi="en-US"/>
        </w:rPr>
        <w:t>Jens v. Jens</w:t>
      </w:r>
      <w:r w:rsidR="00F82753" w:rsidRPr="00F82753">
        <w:rPr>
          <w:lang w:bidi="en-US"/>
        </w:rPr>
        <w:t>,</w:t>
      </w:r>
      <w:r w:rsidR="00F82753" w:rsidRPr="00F82753">
        <w:rPr>
          <w:i/>
          <w:lang w:bidi="en-US"/>
        </w:rPr>
        <w:t xml:space="preserve"> </w:t>
      </w:r>
      <w:r w:rsidR="00F82753" w:rsidRPr="00F82753">
        <w:rPr>
          <w:lang w:bidi="en-US"/>
        </w:rPr>
        <w:t xml:space="preserve">2008 BCCA 392, 300 D.L.R. (4th) 136; </w:t>
      </w:r>
      <w:r w:rsidR="00F82753" w:rsidRPr="00F82753">
        <w:rPr>
          <w:i/>
          <w:lang w:bidi="en-US"/>
        </w:rPr>
        <w:t>Dickson v. Vuntut Gwitchin First Nation</w:t>
      </w:r>
      <w:r w:rsidR="00F82753" w:rsidRPr="00F82753">
        <w:rPr>
          <w:lang w:bidi="en-US"/>
        </w:rPr>
        <w:t xml:space="preserve">, 2021 YKCA 5; </w:t>
      </w:r>
      <w:r w:rsidR="00F82753" w:rsidRPr="00F82753">
        <w:rPr>
          <w:i/>
          <w:lang w:bidi="en-US"/>
        </w:rPr>
        <w:t>Miller v. White</w:t>
      </w:r>
      <w:r w:rsidR="00F82753" w:rsidRPr="00F82753">
        <w:rPr>
          <w:lang w:bidi="en-US"/>
        </w:rPr>
        <w:t xml:space="preserve">, 2018 PECA 11, 10 R.F.L. (8th) 251; </w:t>
      </w:r>
      <w:r w:rsidR="00F82753" w:rsidRPr="00F82753">
        <w:rPr>
          <w:i/>
          <w:lang w:bidi="en-US"/>
        </w:rPr>
        <w:t>Beauchamp v. Beauchamp</w:t>
      </w:r>
      <w:r w:rsidR="00F82753" w:rsidRPr="00F82753">
        <w:rPr>
          <w:lang w:bidi="en-US"/>
        </w:rPr>
        <w:t xml:space="preserve">, 2021 SKCA 148; </w:t>
      </w:r>
      <w:r w:rsidR="00F82753" w:rsidRPr="00F82753">
        <w:rPr>
          <w:i/>
          <w:lang w:bidi="en-US"/>
        </w:rPr>
        <w:t xml:space="preserve">Cory v. Marsh </w:t>
      </w:r>
      <w:r w:rsidR="00F82753" w:rsidRPr="00F82753">
        <w:rPr>
          <w:lang w:bidi="en-US"/>
        </w:rPr>
        <w:t xml:space="preserve">(1993), 77 B.C.L.R. (2d) 248; </w:t>
      </w:r>
      <w:r w:rsidR="00F82753" w:rsidRPr="00F82753">
        <w:rPr>
          <w:i/>
          <w:lang w:bidi="en-US"/>
        </w:rPr>
        <w:t xml:space="preserve">Radcliff v. Radcliff </w:t>
      </w:r>
      <w:r w:rsidR="00F82753" w:rsidRPr="00F82753">
        <w:rPr>
          <w:lang w:bidi="en-US"/>
        </w:rPr>
        <w:t xml:space="preserve">(2000), 7 R.F.L. (5th) 425; </w:t>
      </w:r>
      <w:r w:rsidR="00F82753" w:rsidRPr="00F82753">
        <w:rPr>
          <w:i/>
          <w:lang w:bidi="en-US"/>
        </w:rPr>
        <w:t xml:space="preserve">Sengmueller v. Sengmueller </w:t>
      </w:r>
      <w:r w:rsidR="00F82753" w:rsidRPr="00F82753">
        <w:rPr>
          <w:lang w:bidi="en-US"/>
        </w:rPr>
        <w:t xml:space="preserve">(1994), 17 O.R. (3d) 208; </w:t>
      </w:r>
      <w:r w:rsidR="00F82753" w:rsidRPr="00F82753">
        <w:rPr>
          <w:i/>
          <w:lang w:bidi="en-US"/>
        </w:rPr>
        <w:t>R. v. Owen</w:t>
      </w:r>
      <w:r w:rsidR="00F82753" w:rsidRPr="00F82753">
        <w:rPr>
          <w:lang w:bidi="en-US"/>
        </w:rPr>
        <w:t xml:space="preserve">, 2003 SCC 33, [2003] 1 S.C.R. 779; </w:t>
      </w:r>
      <w:r w:rsidR="00F82753" w:rsidRPr="00F82753">
        <w:rPr>
          <w:i/>
          <w:lang w:bidi="en-US"/>
        </w:rPr>
        <w:t>Bent v. Platnick</w:t>
      </w:r>
      <w:r w:rsidR="00F82753" w:rsidRPr="00F82753">
        <w:rPr>
          <w:lang w:bidi="en-US"/>
        </w:rPr>
        <w:t>, 2020 SCC 23;</w:t>
      </w:r>
      <w:r w:rsidR="007C6E86">
        <w:rPr>
          <w:lang w:bidi="en-US"/>
        </w:rPr>
        <w:t xml:space="preserve"> </w:t>
      </w:r>
      <w:r w:rsidR="007C6E86" w:rsidRPr="007C6E86">
        <w:rPr>
          <w:i/>
          <w:lang w:val="en-US" w:bidi="en-US"/>
        </w:rPr>
        <w:t>Van de Perre v. Edwards</w:t>
      </w:r>
      <w:r w:rsidR="007C6E86" w:rsidRPr="007C6E86">
        <w:rPr>
          <w:lang w:val="en-US" w:bidi="en-US"/>
        </w:rPr>
        <w:t>,</w:t>
      </w:r>
      <w:r w:rsidR="007C6E86" w:rsidRPr="007C6E86">
        <w:rPr>
          <w:i/>
          <w:lang w:val="en-US" w:bidi="en-US"/>
        </w:rPr>
        <w:t xml:space="preserve"> </w:t>
      </w:r>
      <w:r w:rsidR="007C6E86" w:rsidRPr="007C6E86">
        <w:rPr>
          <w:lang w:val="en-US" w:bidi="en-US"/>
        </w:rPr>
        <w:t xml:space="preserve">2001 SCC 60, [2001] 2 S.C.R. 1014; </w:t>
      </w:r>
      <w:r w:rsidR="007C6E86" w:rsidRPr="007C6E86">
        <w:rPr>
          <w:i/>
          <w:lang w:val="en-US" w:bidi="en-US"/>
        </w:rPr>
        <w:t>Moge v. Moge</w:t>
      </w:r>
      <w:r w:rsidR="007C6E86" w:rsidRPr="007C6E86">
        <w:rPr>
          <w:lang w:val="en-US" w:bidi="en-US"/>
        </w:rPr>
        <w:t xml:space="preserve">, [1992] 3 S.C.R. 813; </w:t>
      </w:r>
      <w:r w:rsidR="007C6E86" w:rsidRPr="007C6E86">
        <w:rPr>
          <w:i/>
          <w:lang w:val="en-US" w:bidi="en-US"/>
        </w:rPr>
        <w:t>Children’s Aid Society of Halto</w:t>
      </w:r>
      <w:r w:rsidR="00CA0A07">
        <w:rPr>
          <w:i/>
          <w:lang w:val="en-US" w:bidi="en-US"/>
        </w:rPr>
        <w:t xml:space="preserve">n (Region) v. A. </w:t>
      </w:r>
      <w:r w:rsidR="007C6E86" w:rsidRPr="007C6E86">
        <w:rPr>
          <w:i/>
          <w:lang w:val="en-US" w:bidi="en-US"/>
        </w:rPr>
        <w:t xml:space="preserve">(K.L.) </w:t>
      </w:r>
      <w:r w:rsidR="007C6E86" w:rsidRPr="007C6E86">
        <w:rPr>
          <w:lang w:val="en-US" w:bidi="en-US"/>
        </w:rPr>
        <w:t>(2006),</w:t>
      </w:r>
      <w:r w:rsidR="007C6E86" w:rsidRPr="007C6E86">
        <w:rPr>
          <w:i/>
          <w:lang w:val="en-US" w:bidi="en-US"/>
        </w:rPr>
        <w:t xml:space="preserve"> </w:t>
      </w:r>
      <w:r w:rsidR="007C6E86" w:rsidRPr="007C6E86">
        <w:rPr>
          <w:lang w:val="en-US" w:bidi="en-US"/>
        </w:rPr>
        <w:t xml:space="preserve">32 R.F.L. (6th) 7; </w:t>
      </w:r>
      <w:r w:rsidR="007C6E86" w:rsidRPr="007C6E86">
        <w:rPr>
          <w:i/>
          <w:lang w:val="en-US" w:bidi="en-US"/>
        </w:rPr>
        <w:t>Children</w:t>
      </w:r>
      <w:r w:rsidR="00CA0A07">
        <w:rPr>
          <w:i/>
          <w:lang w:val="en-US" w:bidi="en-US"/>
        </w:rPr>
        <w:t xml:space="preserve">’s Aid Society of Toronto v. P. </w:t>
      </w:r>
      <w:r w:rsidR="007C6E86" w:rsidRPr="007C6E86">
        <w:rPr>
          <w:i/>
          <w:lang w:val="en-US" w:bidi="en-US"/>
        </w:rPr>
        <w:t xml:space="preserve">(D.) </w:t>
      </w:r>
      <w:r w:rsidR="007C6E86" w:rsidRPr="007C6E86">
        <w:rPr>
          <w:lang w:val="en-US" w:bidi="en-US"/>
        </w:rPr>
        <w:t xml:space="preserve">(2005), 19 R.F.L. (6th) 267; </w:t>
      </w:r>
      <w:r w:rsidR="007C6E86" w:rsidRPr="007C6E86">
        <w:rPr>
          <w:i/>
          <w:lang w:val="en-US" w:bidi="en-US"/>
        </w:rPr>
        <w:t>Willick v. Willick</w:t>
      </w:r>
      <w:r w:rsidR="007C6E86" w:rsidRPr="007C6E86">
        <w:rPr>
          <w:lang w:val="en-US" w:bidi="en-US"/>
        </w:rPr>
        <w:t>,</w:t>
      </w:r>
      <w:r w:rsidR="007C6E86" w:rsidRPr="007C6E86">
        <w:rPr>
          <w:i/>
          <w:lang w:val="en-US" w:bidi="en-US"/>
        </w:rPr>
        <w:t xml:space="preserve"> </w:t>
      </w:r>
      <w:r w:rsidR="007C6E86" w:rsidRPr="007C6E86">
        <w:rPr>
          <w:lang w:val="en-US" w:bidi="en-US"/>
        </w:rPr>
        <w:t xml:space="preserve">[1994] 3 S.C.R. 670; </w:t>
      </w:r>
      <w:r w:rsidR="007C6E86" w:rsidRPr="007C6E86">
        <w:rPr>
          <w:i/>
          <w:lang w:val="en-US" w:bidi="en-US"/>
        </w:rPr>
        <w:t>Canadian Foundation for Children, Youth and the Law v. Canada (Attorney General)</w:t>
      </w:r>
      <w:r w:rsidR="007C6E86" w:rsidRPr="007C6E86">
        <w:rPr>
          <w:lang w:val="en-US" w:bidi="en-US"/>
        </w:rPr>
        <w:t xml:space="preserve">, 2004 SCC 4, [2004] 1 S.C.R. 76; </w:t>
      </w:r>
      <w:r w:rsidR="007C6E86" w:rsidRPr="007C6E86">
        <w:rPr>
          <w:i/>
          <w:lang w:val="en-US" w:bidi="en-US"/>
        </w:rPr>
        <w:t>Baker v. Canada</w:t>
      </w:r>
      <w:r w:rsidR="007C6E86" w:rsidRPr="00DE373C">
        <w:rPr>
          <w:i/>
          <w:lang w:val="en-US" w:bidi="en-US"/>
        </w:rPr>
        <w:t xml:space="preserve"> (</w:t>
      </w:r>
      <w:r w:rsidR="007C6E86" w:rsidRPr="007C6E86">
        <w:rPr>
          <w:i/>
          <w:lang w:val="en-US" w:bidi="en-US"/>
        </w:rPr>
        <w:t>Minister of Citizenship and Immigration</w:t>
      </w:r>
      <w:r w:rsidR="007C6E86" w:rsidRPr="00DE373C">
        <w:rPr>
          <w:i/>
          <w:lang w:val="en-US" w:bidi="en-US"/>
        </w:rPr>
        <w:t>)</w:t>
      </w:r>
      <w:r w:rsidR="007C6E86" w:rsidRPr="007C6E86">
        <w:rPr>
          <w:lang w:val="en-US" w:bidi="en-US"/>
        </w:rPr>
        <w:t xml:space="preserve">, [1999] 2 S.C.R. 817; </w:t>
      </w:r>
      <w:r w:rsidR="007C6E86" w:rsidRPr="007C6E86">
        <w:rPr>
          <w:i/>
          <w:lang w:val="en-US" w:bidi="en-US"/>
        </w:rPr>
        <w:t>A.C. v. Manitoba (Director of Child and Family Services)</w:t>
      </w:r>
      <w:r w:rsidR="007C6E86" w:rsidRPr="007C6E86">
        <w:rPr>
          <w:lang w:val="en-US" w:bidi="en-US"/>
        </w:rPr>
        <w:t xml:space="preserve">, 2009 SCC 30, [2009] 2 S.C.R. 181; </w:t>
      </w:r>
      <w:r w:rsidR="007C6E86" w:rsidRPr="007C6E86">
        <w:rPr>
          <w:i/>
          <w:lang w:val="en-US" w:bidi="en-US"/>
        </w:rPr>
        <w:t>Kanthasamy v. Canada (Citizenship and Immigration)</w:t>
      </w:r>
      <w:r w:rsidR="007C6E86" w:rsidRPr="007C6E86">
        <w:rPr>
          <w:lang w:val="en-US" w:bidi="en-US"/>
        </w:rPr>
        <w:t xml:space="preserve">, 2015 SCC 61, [2015] 3 S.C.R. 909; </w:t>
      </w:r>
      <w:r w:rsidR="00CA0A07">
        <w:rPr>
          <w:i/>
          <w:lang w:val="en-US" w:bidi="en-US"/>
        </w:rPr>
        <w:t>Hejzlar v. Mitchell</w:t>
      </w:r>
      <w:r w:rsidR="00CA0A07">
        <w:rPr>
          <w:i/>
          <w:lang w:val="en-US" w:bidi="en-US"/>
        </w:rPr>
        <w:noBreakHyphen/>
      </w:r>
      <w:r w:rsidR="007C6E86" w:rsidRPr="007C6E86">
        <w:rPr>
          <w:i/>
          <w:lang w:val="en-US" w:bidi="en-US"/>
        </w:rPr>
        <w:t>Hejzlar</w:t>
      </w:r>
      <w:r w:rsidR="007C6E86" w:rsidRPr="007C6E86">
        <w:rPr>
          <w:lang w:val="en-US" w:bidi="en-US"/>
        </w:rPr>
        <w:t xml:space="preserve">, 2011 BCCA 230, 334 D.L.R. (4th) 49; </w:t>
      </w:r>
      <w:r w:rsidR="007C6E86" w:rsidRPr="007C6E86">
        <w:rPr>
          <w:i/>
          <w:lang w:val="en-US" w:bidi="en-US"/>
        </w:rPr>
        <w:t xml:space="preserve">MacGyver v. Richards </w:t>
      </w:r>
      <w:r w:rsidR="007C6E86" w:rsidRPr="007C6E86">
        <w:rPr>
          <w:lang w:val="en-US" w:bidi="en-US"/>
        </w:rPr>
        <w:t xml:space="preserve">(1995), 22 O.R. (3d) 481; </w:t>
      </w:r>
      <w:r w:rsidR="007C6E86" w:rsidRPr="007C6E86">
        <w:rPr>
          <w:i/>
          <w:lang w:val="en-US" w:bidi="en-US"/>
        </w:rPr>
        <w:t>Elsom v. Elsom</w:t>
      </w:r>
      <w:r w:rsidR="007C6E86" w:rsidRPr="007C6E86">
        <w:rPr>
          <w:lang w:val="en-US" w:bidi="en-US"/>
        </w:rPr>
        <w:t xml:space="preserve">, [1989] 1 S.C.R. 1367; </w:t>
      </w:r>
      <w:r w:rsidR="007C6E86" w:rsidRPr="007C6E86">
        <w:rPr>
          <w:i/>
          <w:lang w:val="en-US" w:bidi="en-US"/>
        </w:rPr>
        <w:t>R. v. G.F.</w:t>
      </w:r>
      <w:r w:rsidR="007C6E86" w:rsidRPr="007C6E86">
        <w:rPr>
          <w:lang w:val="en-US" w:bidi="en-US"/>
        </w:rPr>
        <w:t xml:space="preserve">, 2021 SCC 20; </w:t>
      </w:r>
      <w:r w:rsidR="007C6E86" w:rsidRPr="007C6E86">
        <w:rPr>
          <w:i/>
          <w:lang w:val="en-US" w:bidi="en-US"/>
        </w:rPr>
        <w:t>Hickey v. Hickey</w:t>
      </w:r>
      <w:r w:rsidR="007C6E86" w:rsidRPr="007C6E86">
        <w:rPr>
          <w:lang w:val="en-US" w:bidi="en-US"/>
        </w:rPr>
        <w:t xml:space="preserve">, [1999] 2 S.C.R. 518; </w:t>
      </w:r>
      <w:r w:rsidR="007C6E86" w:rsidRPr="007C6E86">
        <w:rPr>
          <w:i/>
          <w:lang w:val="en-US" w:bidi="en-US"/>
        </w:rPr>
        <w:t>Nunweiler v. Nunweiler</w:t>
      </w:r>
      <w:r w:rsidR="007C6E86" w:rsidRPr="007C6E86">
        <w:rPr>
          <w:lang w:val="en-US" w:bidi="en-US"/>
        </w:rPr>
        <w:t xml:space="preserve">, 2000 BCCA 300, 186 D.L.R. (4th) 323; </w:t>
      </w:r>
      <w:r w:rsidR="007C6E86" w:rsidRPr="007C6E86">
        <w:rPr>
          <w:i/>
          <w:lang w:val="en-US" w:bidi="en-US"/>
        </w:rPr>
        <w:t>L.D.D. v. J.A.D.</w:t>
      </w:r>
      <w:r w:rsidR="007C6E86" w:rsidRPr="007C6E86">
        <w:rPr>
          <w:lang w:val="en-US" w:bidi="en-US"/>
        </w:rPr>
        <w:t xml:space="preserve">, 2010 NBCA 69, </w:t>
      </w:r>
      <w:r w:rsidR="007C6E86" w:rsidRPr="007C6E86">
        <w:rPr>
          <w:lang w:val="en-US" w:bidi="en-US"/>
        </w:rPr>
        <w:lastRenderedPageBreak/>
        <w:t xml:space="preserve">364 N.B.R. (2d) 200; </w:t>
      </w:r>
      <w:r w:rsidR="007C6E86" w:rsidRPr="007C6E86">
        <w:rPr>
          <w:i/>
          <w:lang w:val="en-US" w:bidi="en-US"/>
        </w:rPr>
        <w:t>Bjornson v. Creighton</w:t>
      </w:r>
      <w:r w:rsidR="007C6E86" w:rsidRPr="007C6E86">
        <w:rPr>
          <w:lang w:val="en-US" w:bidi="en-US"/>
        </w:rPr>
        <w:t xml:space="preserve"> (2002), 62 O.R. (3d) 236; </w:t>
      </w:r>
      <w:r w:rsidR="007C6E86" w:rsidRPr="007C6E86">
        <w:rPr>
          <w:i/>
          <w:lang w:val="en-US" w:bidi="en-US"/>
        </w:rPr>
        <w:t>G.J. v. C.M.</w:t>
      </w:r>
      <w:r w:rsidR="007C6E86" w:rsidRPr="007C6E86">
        <w:rPr>
          <w:lang w:val="en-US" w:bidi="en-US"/>
        </w:rPr>
        <w:t>,</w:t>
      </w:r>
      <w:r w:rsidR="007C6E86" w:rsidRPr="007C6E86">
        <w:rPr>
          <w:i/>
          <w:lang w:val="en-US" w:bidi="en-US"/>
        </w:rPr>
        <w:t xml:space="preserve"> </w:t>
      </w:r>
      <w:r w:rsidR="007C6E86" w:rsidRPr="007C6E86">
        <w:rPr>
          <w:lang w:val="en-US" w:bidi="en-US"/>
        </w:rPr>
        <w:t xml:space="preserve">2021 YKSC 20; </w:t>
      </w:r>
      <w:r w:rsidR="007C6E86" w:rsidRPr="007C6E86">
        <w:rPr>
          <w:i/>
          <w:lang w:val="en-US" w:bidi="en-US"/>
        </w:rPr>
        <w:t>Droit de la famille</w:t>
      </w:r>
      <w:r w:rsidR="00CA0A07" w:rsidRPr="00DE373C">
        <w:rPr>
          <w:i/>
          <w:lang w:val="en-US" w:bidi="en-US"/>
        </w:rPr>
        <w:t xml:space="preserve"> </w:t>
      </w:r>
      <w:r w:rsidR="007C6E86" w:rsidRPr="00DE373C">
        <w:rPr>
          <w:i/>
          <w:lang w:val="en-US" w:bidi="en-US"/>
        </w:rPr>
        <w:t xml:space="preserve">— </w:t>
      </w:r>
      <w:r w:rsidR="007C6E86" w:rsidRPr="007C6E86">
        <w:rPr>
          <w:i/>
          <w:lang w:val="en-US" w:bidi="en-US"/>
        </w:rPr>
        <w:t>2294</w:t>
      </w:r>
      <w:r w:rsidR="007C6E86" w:rsidRPr="007C6E86">
        <w:rPr>
          <w:lang w:val="en-US" w:bidi="en-US"/>
        </w:rPr>
        <w:t>, 2022 QCCA 125;</w:t>
      </w:r>
      <w:r w:rsidR="00E63CA4">
        <w:rPr>
          <w:lang w:val="en-US" w:bidi="en-US"/>
        </w:rPr>
        <w:t xml:space="preserve"> </w:t>
      </w:r>
      <w:r w:rsidR="00F5019C">
        <w:rPr>
          <w:i/>
          <w:lang w:val="en-GB" w:bidi="en-US"/>
        </w:rPr>
        <w:t xml:space="preserve">Q. </w:t>
      </w:r>
      <w:r w:rsidR="00CA0A07">
        <w:rPr>
          <w:i/>
          <w:lang w:val="en-GB" w:bidi="en-US"/>
        </w:rPr>
        <w:t xml:space="preserve">(R.E.) v. K. </w:t>
      </w:r>
      <w:r w:rsidR="00E63CA4" w:rsidRPr="00E63CA4">
        <w:rPr>
          <w:i/>
          <w:lang w:val="en-GB" w:bidi="en-US"/>
        </w:rPr>
        <w:t>(G.J.)</w:t>
      </w:r>
      <w:r w:rsidR="00E63CA4" w:rsidRPr="00E63CA4">
        <w:rPr>
          <w:lang w:val="en-US" w:bidi="en-US"/>
        </w:rPr>
        <w:t xml:space="preserve">, 2012 BCCA 146, 348 D.L.R. (4th) 622; </w:t>
      </w:r>
      <w:r w:rsidR="00E63CA4" w:rsidRPr="00E63CA4">
        <w:rPr>
          <w:i/>
          <w:lang w:val="en-GB" w:bidi="en-US"/>
        </w:rPr>
        <w:t xml:space="preserve">Ligate v. Richardson </w:t>
      </w:r>
      <w:r w:rsidR="00E63CA4" w:rsidRPr="00E63CA4">
        <w:rPr>
          <w:lang w:val="en-GB" w:bidi="en-US"/>
        </w:rPr>
        <w:t>(1997),</w:t>
      </w:r>
      <w:r w:rsidR="00E63CA4" w:rsidRPr="00E63CA4">
        <w:rPr>
          <w:i/>
          <w:lang w:val="en-GB" w:bidi="en-US"/>
        </w:rPr>
        <w:t xml:space="preserve"> </w:t>
      </w:r>
      <w:r w:rsidR="00E63CA4" w:rsidRPr="00E63CA4">
        <w:rPr>
          <w:lang w:val="en-GB" w:bidi="en-US"/>
        </w:rPr>
        <w:t xml:space="preserve">34 O.R. (3d) 423; </w:t>
      </w:r>
      <w:r w:rsidR="00E63CA4" w:rsidRPr="00E63CA4">
        <w:rPr>
          <w:i/>
          <w:lang w:val="en-US" w:bidi="en-US"/>
        </w:rPr>
        <w:t>Young v. Young</w:t>
      </w:r>
      <w:r w:rsidR="00E63CA4" w:rsidRPr="00E63CA4">
        <w:rPr>
          <w:lang w:val="en-US" w:bidi="en-US"/>
        </w:rPr>
        <w:t xml:space="preserve">, [1993] 4 S.C.R. 3; </w:t>
      </w:r>
      <w:r w:rsidR="00E63CA4" w:rsidRPr="00E63CA4">
        <w:rPr>
          <w:i/>
          <w:lang w:val="en-US" w:bidi="en-US"/>
        </w:rPr>
        <w:t>Folahan v. Folahan</w:t>
      </w:r>
      <w:r w:rsidR="00E63CA4" w:rsidRPr="00E63CA4">
        <w:rPr>
          <w:lang w:val="en-US" w:bidi="en-US"/>
        </w:rPr>
        <w:t xml:space="preserve">, 2013 ONSC 2966; </w:t>
      </w:r>
      <w:r w:rsidR="00E63CA4" w:rsidRPr="00E63CA4">
        <w:rPr>
          <w:i/>
          <w:lang w:val="en-US" w:bidi="en-US"/>
        </w:rPr>
        <w:t>Slade v. Slade</w:t>
      </w:r>
      <w:r w:rsidR="00E63CA4" w:rsidRPr="00E63CA4">
        <w:rPr>
          <w:lang w:val="en-US" w:bidi="en-US"/>
        </w:rPr>
        <w:t>,</w:t>
      </w:r>
      <w:r w:rsidR="00E63CA4" w:rsidRPr="00E63CA4">
        <w:rPr>
          <w:i/>
          <w:lang w:val="en-US" w:bidi="en-US"/>
        </w:rPr>
        <w:t xml:space="preserve"> </w:t>
      </w:r>
      <w:r w:rsidR="00E63CA4" w:rsidRPr="00E63CA4">
        <w:rPr>
          <w:lang w:val="en-US" w:bidi="en-US"/>
        </w:rPr>
        <w:t xml:space="preserve">2002 YKSC 40; </w:t>
      </w:r>
      <w:r w:rsidR="00E63CA4" w:rsidRPr="00E63CA4">
        <w:rPr>
          <w:i/>
          <w:lang w:val="en-GB" w:bidi="en-US"/>
        </w:rPr>
        <w:t>Spencer v. Spencer</w:t>
      </w:r>
      <w:r w:rsidR="00E63CA4" w:rsidRPr="00E63CA4">
        <w:rPr>
          <w:lang w:val="en-GB" w:bidi="en-US"/>
        </w:rPr>
        <w:t>,</w:t>
      </w:r>
      <w:r w:rsidR="00E63CA4" w:rsidRPr="00E63CA4">
        <w:rPr>
          <w:i/>
          <w:lang w:val="en-GB" w:bidi="en-US"/>
        </w:rPr>
        <w:t xml:space="preserve"> </w:t>
      </w:r>
      <w:r w:rsidR="00E63CA4" w:rsidRPr="00E63CA4">
        <w:rPr>
          <w:lang w:val="en-GB" w:bidi="en-US"/>
        </w:rPr>
        <w:t>2005</w:t>
      </w:r>
      <w:r w:rsidR="00E63CA4" w:rsidRPr="00E63CA4">
        <w:rPr>
          <w:i/>
          <w:lang w:val="en-GB" w:bidi="en-US"/>
        </w:rPr>
        <w:t xml:space="preserve"> </w:t>
      </w:r>
      <w:r w:rsidR="00E63CA4" w:rsidRPr="00E63CA4">
        <w:rPr>
          <w:lang w:val="en-GB" w:bidi="en-US"/>
        </w:rPr>
        <w:t>ABCA 262, 257 D.L.R. (4th) 115;</w:t>
      </w:r>
      <w:r w:rsidR="000004FE">
        <w:rPr>
          <w:lang w:val="en-GB" w:bidi="en-US"/>
        </w:rPr>
        <w:t xml:space="preserve"> </w:t>
      </w:r>
      <w:r w:rsidR="000004FE" w:rsidRPr="000004FE">
        <w:rPr>
          <w:i/>
          <w:lang w:val="en-US" w:bidi="en-US"/>
        </w:rPr>
        <w:t>D.P. v. R.B.</w:t>
      </w:r>
      <w:r w:rsidR="000004FE" w:rsidRPr="000004FE">
        <w:rPr>
          <w:lang w:val="en-US" w:bidi="en-US"/>
        </w:rPr>
        <w:t xml:space="preserve">, 2009 PECA 12, 285 Nfld. &amp; P.E.I.R. 61; </w:t>
      </w:r>
      <w:r w:rsidR="000004FE" w:rsidRPr="000004FE">
        <w:rPr>
          <w:i/>
          <w:lang w:val="en-US" w:bidi="en-US"/>
        </w:rPr>
        <w:t>Hopkins v. Hopkins</w:t>
      </w:r>
      <w:r w:rsidR="000004FE" w:rsidRPr="000004FE">
        <w:rPr>
          <w:lang w:val="en-US" w:bidi="en-US"/>
        </w:rPr>
        <w:t xml:space="preserve">, 2011 ABCA 372; </w:t>
      </w:r>
      <w:r w:rsidR="000004FE" w:rsidRPr="000004FE">
        <w:rPr>
          <w:i/>
          <w:lang w:val="en-US" w:bidi="en-US"/>
        </w:rPr>
        <w:t>N.T. v. W.P.</w:t>
      </w:r>
      <w:r w:rsidR="000004FE" w:rsidRPr="000004FE">
        <w:rPr>
          <w:lang w:val="en-US" w:bidi="en-US"/>
        </w:rPr>
        <w:t>,</w:t>
      </w:r>
      <w:r w:rsidR="000004FE" w:rsidRPr="000004FE">
        <w:rPr>
          <w:i/>
          <w:lang w:val="en-US" w:bidi="en-US"/>
        </w:rPr>
        <w:t xml:space="preserve"> </w:t>
      </w:r>
      <w:r w:rsidR="000004FE" w:rsidRPr="000004FE">
        <w:rPr>
          <w:lang w:val="en-US" w:bidi="en-US"/>
        </w:rPr>
        <w:t xml:space="preserve">2011 NLCA 47, 309 Nfld. &amp; P.E.I.R. 350; </w:t>
      </w:r>
      <w:r w:rsidR="00384002" w:rsidRPr="00384002">
        <w:rPr>
          <w:i/>
          <w:lang w:val="en-US" w:bidi="en-US"/>
        </w:rPr>
        <w:t>Morrill v. Morrill</w:t>
      </w:r>
      <w:r w:rsidR="00384002" w:rsidRPr="00384002">
        <w:rPr>
          <w:lang w:val="en-US" w:bidi="en-US"/>
        </w:rPr>
        <w:t>, 2016 MBCA 66, 330 Man. R. (2d) 165;</w:t>
      </w:r>
      <w:r w:rsidR="00384002">
        <w:rPr>
          <w:lang w:val="en-US" w:bidi="en-US"/>
        </w:rPr>
        <w:t xml:space="preserve"> </w:t>
      </w:r>
      <w:r w:rsidR="000004FE" w:rsidRPr="000004FE">
        <w:rPr>
          <w:i/>
          <w:lang w:val="en-GB" w:bidi="en-US"/>
        </w:rPr>
        <w:t>Joseph v. Washington</w:t>
      </w:r>
      <w:r w:rsidR="000004FE" w:rsidRPr="000004FE">
        <w:rPr>
          <w:lang w:val="en-GB" w:bidi="en-US"/>
        </w:rPr>
        <w:t>,</w:t>
      </w:r>
      <w:r w:rsidR="000004FE" w:rsidRPr="000004FE">
        <w:rPr>
          <w:i/>
          <w:lang w:val="en-GB" w:bidi="en-US"/>
        </w:rPr>
        <w:t xml:space="preserve"> </w:t>
      </w:r>
      <w:r w:rsidR="000004FE" w:rsidRPr="000004FE">
        <w:rPr>
          <w:lang w:val="en-GB" w:bidi="en-US"/>
        </w:rPr>
        <w:t xml:space="preserve">2021 BCSC 2014; </w:t>
      </w:r>
      <w:r w:rsidR="000004FE" w:rsidRPr="000004FE">
        <w:rPr>
          <w:i/>
          <w:lang w:val="en-US" w:bidi="en-US"/>
        </w:rPr>
        <w:t>Prokopchuk v. Borowski</w:t>
      </w:r>
      <w:r w:rsidR="000004FE" w:rsidRPr="000004FE">
        <w:rPr>
          <w:lang w:val="en-US" w:bidi="en-US"/>
        </w:rPr>
        <w:t xml:space="preserve">, 2010 ONSC 3833, 88 R.F.L. (6th) 140; </w:t>
      </w:r>
      <w:r w:rsidR="000004FE" w:rsidRPr="000004FE">
        <w:rPr>
          <w:i/>
          <w:lang w:val="en-US" w:bidi="en-US"/>
        </w:rPr>
        <w:t>Lawless v. Lawless</w:t>
      </w:r>
      <w:r w:rsidR="000004FE" w:rsidRPr="000004FE">
        <w:rPr>
          <w:lang w:val="en-US" w:bidi="en-US"/>
        </w:rPr>
        <w:t xml:space="preserve">, 2003 ABQB 800; </w:t>
      </w:r>
      <w:r w:rsidR="000004FE" w:rsidRPr="000004FE">
        <w:rPr>
          <w:i/>
          <w:lang w:val="en-US" w:bidi="en-US"/>
        </w:rPr>
        <w:t>Cameron v. Cameron</w:t>
      </w:r>
      <w:r w:rsidR="000004FE" w:rsidRPr="000004FE">
        <w:rPr>
          <w:lang w:val="en-US" w:bidi="en-US"/>
        </w:rPr>
        <w:t xml:space="preserve">, 2003 MBQB 149, 41 R.F.L. (5th) 30; </w:t>
      </w:r>
      <w:r w:rsidR="00CA0A07">
        <w:rPr>
          <w:i/>
          <w:lang w:val="en-US" w:bidi="en-US"/>
        </w:rPr>
        <w:t>Abbott</w:t>
      </w:r>
      <w:r w:rsidR="00CA0A07">
        <w:rPr>
          <w:i/>
          <w:lang w:val="en-US" w:bidi="en-US"/>
        </w:rPr>
        <w:noBreakHyphen/>
      </w:r>
      <w:r w:rsidR="000004FE" w:rsidRPr="000004FE">
        <w:rPr>
          <w:i/>
          <w:lang w:val="en-US" w:bidi="en-US"/>
        </w:rPr>
        <w:t>Ewen v. Ewen</w:t>
      </w:r>
      <w:r w:rsidR="000004FE" w:rsidRPr="000004FE">
        <w:rPr>
          <w:lang w:val="en-US" w:bidi="en-US"/>
        </w:rPr>
        <w:t xml:space="preserve">, 2010 ONSC 2121, 86 R.F.L. (6th) 428; </w:t>
      </w:r>
      <w:r w:rsidR="000004FE" w:rsidRPr="000004FE">
        <w:rPr>
          <w:i/>
          <w:lang w:val="en-US" w:bidi="en-US"/>
        </w:rPr>
        <w:t>N.D.L. v. M.S.L.</w:t>
      </w:r>
      <w:r w:rsidR="000004FE" w:rsidRPr="000004FE">
        <w:rPr>
          <w:lang w:val="en-US" w:bidi="en-US"/>
        </w:rPr>
        <w:t xml:space="preserve">, 2010 NSSC 68, 289 N.S.R. (2d) 8; </w:t>
      </w:r>
      <w:r w:rsidR="000004FE" w:rsidRPr="000004FE">
        <w:rPr>
          <w:i/>
          <w:lang w:val="en-US" w:bidi="en-US"/>
        </w:rPr>
        <w:t>E.S.M. v. J.B.B.</w:t>
      </w:r>
      <w:r w:rsidR="000004FE" w:rsidRPr="000004FE">
        <w:rPr>
          <w:lang w:val="en-US" w:bidi="en-US"/>
        </w:rPr>
        <w:t>, 2012 NSCA 80, 319 N.S.R. (2d) 232;</w:t>
      </w:r>
      <w:r w:rsidR="004C7D51">
        <w:rPr>
          <w:lang w:val="en-US" w:bidi="en-US"/>
        </w:rPr>
        <w:t xml:space="preserve"> </w:t>
      </w:r>
      <w:r w:rsidR="004C7D51" w:rsidRPr="004C7D51">
        <w:rPr>
          <w:i/>
          <w:lang w:val="en-US" w:bidi="en-US"/>
        </w:rPr>
        <w:t>Burns v. Burns</w:t>
      </w:r>
      <w:r w:rsidR="004C7D51" w:rsidRPr="004C7D51">
        <w:rPr>
          <w:lang w:val="en-US" w:bidi="en-US"/>
        </w:rPr>
        <w:t xml:space="preserve">, 2000 NSCA 1, 183 D.L.R. (4th) 66; </w:t>
      </w:r>
      <w:r w:rsidR="00CA0A07">
        <w:rPr>
          <w:i/>
          <w:lang w:val="en-US" w:bidi="en-US"/>
        </w:rPr>
        <w:t xml:space="preserve">L. (S.S.) v. W. </w:t>
      </w:r>
      <w:r w:rsidR="004C7D51" w:rsidRPr="004C7D51">
        <w:rPr>
          <w:i/>
          <w:lang w:val="en-US" w:bidi="en-US"/>
        </w:rPr>
        <w:t>(J.W.)</w:t>
      </w:r>
      <w:r w:rsidR="004C7D51" w:rsidRPr="004C7D51">
        <w:rPr>
          <w:lang w:val="en-US" w:bidi="en-US"/>
        </w:rPr>
        <w:t xml:space="preserve">, 2010 BCCA 55, 316 D.L.R. (4th) 464; </w:t>
      </w:r>
      <w:r w:rsidR="004C7D51" w:rsidRPr="004C7D51">
        <w:rPr>
          <w:i/>
          <w:lang w:val="en-US" w:bidi="en-US"/>
        </w:rPr>
        <w:t>Orring v. Orring</w:t>
      </w:r>
      <w:r w:rsidR="004C7D51" w:rsidRPr="004C7D51">
        <w:rPr>
          <w:lang w:val="en-US" w:bidi="en-US"/>
        </w:rPr>
        <w:t xml:space="preserve">, 2006 BCCA 523, 276 D.L.R. (4th) 211; </w:t>
      </w:r>
      <w:r w:rsidR="004C7D51" w:rsidRPr="004C7D51">
        <w:rPr>
          <w:i/>
          <w:lang w:val="en-US" w:bidi="en-US"/>
        </w:rPr>
        <w:t>Larose v. Larose</w:t>
      </w:r>
      <w:r w:rsidR="004C7D51" w:rsidRPr="004C7D51">
        <w:rPr>
          <w:lang w:val="en-US" w:bidi="en-US"/>
        </w:rPr>
        <w:t xml:space="preserve">, 2002 BCCA 366, 1 B.C.L.R. (4th) 262; </w:t>
      </w:r>
      <w:r w:rsidR="004C7D51" w:rsidRPr="004C7D51">
        <w:rPr>
          <w:i/>
          <w:lang w:val="en-US" w:bidi="en-US"/>
        </w:rPr>
        <w:t>H.S. v. C.S.</w:t>
      </w:r>
      <w:r w:rsidR="00CA0A07">
        <w:rPr>
          <w:lang w:val="en-US" w:bidi="en-US"/>
        </w:rPr>
        <w:t xml:space="preserve">, 2006 SKCA 45, 279 Sask. </w:t>
      </w:r>
      <w:r w:rsidR="004C7D51" w:rsidRPr="004C7D51">
        <w:rPr>
          <w:lang w:val="en-US" w:bidi="en-US"/>
        </w:rPr>
        <w:t xml:space="preserve">R. 55; </w:t>
      </w:r>
      <w:r w:rsidR="004C7D51" w:rsidRPr="004C7D51">
        <w:rPr>
          <w:i/>
          <w:lang w:val="en-US" w:bidi="en-US"/>
        </w:rPr>
        <w:t>D.A.F. v. S.M.O.</w:t>
      </w:r>
      <w:r w:rsidR="004C7D51" w:rsidRPr="004C7D51">
        <w:rPr>
          <w:lang w:val="en-US" w:bidi="en-US"/>
        </w:rPr>
        <w:t xml:space="preserve">, 2004 ABCA 261, 354 A.R. 387; </w:t>
      </w:r>
      <w:r w:rsidR="004C7D51" w:rsidRPr="004C7D51">
        <w:rPr>
          <w:i/>
          <w:lang w:val="en-US" w:bidi="en-US"/>
        </w:rPr>
        <w:t>Harnett v. Clements</w:t>
      </w:r>
      <w:r w:rsidR="004C7D51" w:rsidRPr="004C7D51">
        <w:rPr>
          <w:lang w:val="en-US" w:bidi="en-US"/>
        </w:rPr>
        <w:t xml:space="preserve">, 2019 NLCA 53, 30 R.F.L. (8th) 49; </w:t>
      </w:r>
      <w:r w:rsidR="004C7D51" w:rsidRPr="004C7D51">
        <w:rPr>
          <w:i/>
          <w:lang w:val="en-US" w:bidi="en-US"/>
        </w:rPr>
        <w:t>C.M. v. R.L.</w:t>
      </w:r>
      <w:r w:rsidR="004C7D51" w:rsidRPr="004C7D51">
        <w:rPr>
          <w:lang w:val="en-US" w:bidi="en-US"/>
        </w:rPr>
        <w:t xml:space="preserve">, 2013 NSFC 29; </w:t>
      </w:r>
      <w:r w:rsidR="004C7D51" w:rsidRPr="004C7D51">
        <w:rPr>
          <w:i/>
          <w:lang w:val="en-US" w:bidi="en-US"/>
        </w:rPr>
        <w:t>Pelech v. Pelech</w:t>
      </w:r>
      <w:r w:rsidR="004C7D51" w:rsidRPr="004C7D51">
        <w:rPr>
          <w:lang w:val="en-US" w:bidi="en-US"/>
        </w:rPr>
        <w:t>, [1987] 1 S.C.R. 801.</w:t>
      </w:r>
    </w:p>
    <w:p w14:paraId="1CA24D92" w14:textId="0951D5BC" w:rsidR="00754B93" w:rsidRDefault="000578DF" w:rsidP="00CA0A07">
      <w:pPr>
        <w:pStyle w:val="SCCNormalDoubleSpacing"/>
        <w:spacing w:after="720" w:line="240" w:lineRule="auto"/>
      </w:pPr>
      <w:r>
        <w:t>By Côté </w:t>
      </w:r>
      <w:r w:rsidR="00754B93" w:rsidRPr="00754B93">
        <w:t>J. (</w:t>
      </w:r>
      <w:r w:rsidR="00754B93" w:rsidRPr="00BE3756">
        <w:t>dissenting</w:t>
      </w:r>
      <w:r w:rsidR="00582788">
        <w:t xml:space="preserve"> in part</w:t>
      </w:r>
      <w:r w:rsidR="00754B93" w:rsidRPr="00754B93">
        <w:t>)</w:t>
      </w:r>
    </w:p>
    <w:p w14:paraId="4F6624E5" w14:textId="295535DB" w:rsidR="00754B93" w:rsidRPr="00CD5255" w:rsidRDefault="00754B93" w:rsidP="00CA0A07">
      <w:pPr>
        <w:pStyle w:val="SCCNormalDoubleSpacing"/>
        <w:spacing w:after="480"/>
      </w:pPr>
      <w:r>
        <w:tab/>
      </w:r>
      <w:r w:rsidRPr="00754B93">
        <w:rPr>
          <w:i/>
        </w:rPr>
        <w:t>Palmer v. The Queen</w:t>
      </w:r>
      <w:r w:rsidRPr="00754B93">
        <w:t xml:space="preserve">, [1980] 1 S.C.R. 759; </w:t>
      </w:r>
      <w:r w:rsidRPr="00754B93">
        <w:rPr>
          <w:i/>
        </w:rPr>
        <w:t>Gordon v. Goertz</w:t>
      </w:r>
      <w:r w:rsidRPr="00754B93">
        <w:t xml:space="preserve">, [1996] 2 S.C.R. 27; </w:t>
      </w:r>
      <w:r w:rsidRPr="00754B93">
        <w:rPr>
          <w:i/>
        </w:rPr>
        <w:t>Catholic Children’s Aid Societ</w:t>
      </w:r>
      <w:r w:rsidR="00CA0A07">
        <w:rPr>
          <w:i/>
        </w:rPr>
        <w:t xml:space="preserve">y of Metropolitan Toronto v. M. </w:t>
      </w:r>
      <w:r w:rsidRPr="00754B93">
        <w:rPr>
          <w:i/>
        </w:rPr>
        <w:t>(C.)</w:t>
      </w:r>
      <w:r w:rsidRPr="00754B93">
        <w:t xml:space="preserve">, [1994] </w:t>
      </w:r>
      <w:r w:rsidRPr="00754B93">
        <w:lastRenderedPageBreak/>
        <w:t xml:space="preserve">2 S.C.R. 165; </w:t>
      </w:r>
      <w:r w:rsidRPr="00754B93">
        <w:rPr>
          <w:i/>
        </w:rPr>
        <w:t>T.G. v. Nova Scotia (Minister of Community Services)</w:t>
      </w:r>
      <w:r w:rsidRPr="00754B93">
        <w:t xml:space="preserve">, 2012 NSCA 43, 316 N.S.R. (2d) 202; </w:t>
      </w:r>
      <w:r w:rsidRPr="00754B93">
        <w:rPr>
          <w:i/>
        </w:rPr>
        <w:t>C.K.S. v. O.S.S.</w:t>
      </w:r>
      <w:r w:rsidRPr="00754B93">
        <w:t xml:space="preserve">, 2014 ABCA 416; </w:t>
      </w:r>
      <w:r w:rsidRPr="00754B93">
        <w:rPr>
          <w:i/>
        </w:rPr>
        <w:t>Bacic v. Ivakic</w:t>
      </w:r>
      <w:r w:rsidRPr="00754B93">
        <w:t xml:space="preserve">, 2017 SKCA 23, 409 D.L.R. (4th) 571; </w:t>
      </w:r>
      <w:r w:rsidR="00CA0A07">
        <w:rPr>
          <w:i/>
        </w:rPr>
        <w:t xml:space="preserve">P. (J.) v. P. </w:t>
      </w:r>
      <w:r w:rsidRPr="00754B93">
        <w:rPr>
          <w:i/>
        </w:rPr>
        <w:t>(J.)</w:t>
      </w:r>
      <w:r w:rsidRPr="00754B93">
        <w:t xml:space="preserve">, 2016 SKCA 168, 89 R.F.L. (7th) 92; </w:t>
      </w:r>
      <w:r w:rsidR="00CA0A07">
        <w:rPr>
          <w:i/>
        </w:rPr>
        <w:t xml:space="preserve">O. (A.) v. E. </w:t>
      </w:r>
      <w:r w:rsidRPr="00754B93">
        <w:rPr>
          <w:i/>
        </w:rPr>
        <w:t>(T.)</w:t>
      </w:r>
      <w:r w:rsidRPr="00754B93">
        <w:t xml:space="preserve">, 2016 SKCA 148, 88 R.F.L. (7th) 34; </w:t>
      </w:r>
      <w:r w:rsidRPr="00754B93">
        <w:rPr>
          <w:i/>
        </w:rPr>
        <w:t>C.L.B. v. J.A.B.</w:t>
      </w:r>
      <w:r w:rsidR="00CA0A07">
        <w:t xml:space="preserve">, 2016 SKCA 101, 484 Sask. </w:t>
      </w:r>
      <w:r w:rsidRPr="00754B93">
        <w:t xml:space="preserve">R. 228; </w:t>
      </w:r>
      <w:r w:rsidR="00CA0A07">
        <w:rPr>
          <w:i/>
        </w:rPr>
        <w:t>Shortridge</w:t>
      </w:r>
      <w:r w:rsidR="00CA0A07">
        <w:rPr>
          <w:i/>
        </w:rPr>
        <w:noBreakHyphen/>
      </w:r>
      <w:r w:rsidRPr="00754B93">
        <w:rPr>
          <w:i/>
        </w:rPr>
        <w:t>Tsuchiya v. Tsuchiya</w:t>
      </w:r>
      <w:r w:rsidRPr="00754B93">
        <w:t xml:space="preserve">, 2010 BCCA 61, 315 D.L.R. (4th) 498; </w:t>
      </w:r>
      <w:r w:rsidRPr="00754B93">
        <w:rPr>
          <w:i/>
        </w:rPr>
        <w:t>Jiang v. Shi</w:t>
      </w:r>
      <w:r w:rsidRPr="00754B93">
        <w:t xml:space="preserve">, 2017 BCCA 232; </w:t>
      </w:r>
      <w:r w:rsidR="00E72C6F">
        <w:rPr>
          <w:i/>
        </w:rPr>
        <w:t>PT</w:t>
      </w:r>
      <w:r w:rsidRPr="00754B93">
        <w:rPr>
          <w:i/>
        </w:rPr>
        <w:t xml:space="preserve"> v. Alberta</w:t>
      </w:r>
      <w:r w:rsidR="00CA0A07">
        <w:t xml:space="preserve">, 2019 ABCA 158, 88 Alta. </w:t>
      </w:r>
      <w:r w:rsidRPr="00754B93">
        <w:t xml:space="preserve">L.R. (6th) 235; </w:t>
      </w:r>
      <w:r w:rsidR="00F5019C">
        <w:rPr>
          <w:i/>
        </w:rPr>
        <w:t xml:space="preserve">G (JD) v. G </w:t>
      </w:r>
      <w:r w:rsidR="00E72C6F">
        <w:rPr>
          <w:i/>
        </w:rPr>
        <w:t>(SL</w:t>
      </w:r>
      <w:r w:rsidRPr="00754B93">
        <w:rPr>
          <w:i/>
        </w:rPr>
        <w:t>)</w:t>
      </w:r>
      <w:r w:rsidRPr="00754B93">
        <w:t xml:space="preserve">, 2017 MBCA 117, [2018] 4 W.W.R. 543; </w:t>
      </w:r>
      <w:r w:rsidRPr="00754B93">
        <w:rPr>
          <w:i/>
        </w:rPr>
        <w:t>Babich v. Babich</w:t>
      </w:r>
      <w:r w:rsidRPr="00754B93">
        <w:t xml:space="preserve">, 2020 SKCA 25; </w:t>
      </w:r>
      <w:r w:rsidRPr="00754B93">
        <w:rPr>
          <w:i/>
        </w:rPr>
        <w:t>R. v. Lévesque</w:t>
      </w:r>
      <w:r w:rsidRPr="00754B93">
        <w:t>, 2000 SCC 47, [2000] 2 S.C.R. 487;</w:t>
      </w:r>
      <w:r w:rsidR="00872FD1">
        <w:t xml:space="preserve"> </w:t>
      </w:r>
      <w:r w:rsidR="00872FD1" w:rsidRPr="00872FD1">
        <w:rPr>
          <w:i/>
          <w:lang w:val="en-US"/>
        </w:rPr>
        <w:t>K.K. v. M.M.</w:t>
      </w:r>
      <w:r w:rsidR="00872FD1" w:rsidRPr="00872FD1">
        <w:rPr>
          <w:lang w:val="en-US"/>
        </w:rPr>
        <w:t>, 2022 ONCA 72</w:t>
      </w:r>
      <w:r w:rsidR="00872FD1">
        <w:rPr>
          <w:lang w:val="en-US"/>
        </w:rPr>
        <w:t xml:space="preserve">; </w:t>
      </w:r>
      <w:r w:rsidR="00872FD1" w:rsidRPr="00872FD1">
        <w:rPr>
          <w:i/>
        </w:rPr>
        <w:t>Van de Perre</w:t>
      </w:r>
      <w:r w:rsidR="00872FD1" w:rsidRPr="00872FD1">
        <w:t xml:space="preserve"> </w:t>
      </w:r>
      <w:r w:rsidR="00872FD1" w:rsidRPr="00872FD1">
        <w:rPr>
          <w:i/>
        </w:rPr>
        <w:t>v. Edwards</w:t>
      </w:r>
      <w:r w:rsidR="00872FD1" w:rsidRPr="00872FD1">
        <w:t>, 2001 SCC 60, [2001] 2 S.C.R. 1014</w:t>
      </w:r>
      <w:r w:rsidR="00872FD1">
        <w:t>;</w:t>
      </w:r>
      <w:r w:rsidR="00CD5255">
        <w:t xml:space="preserve"> </w:t>
      </w:r>
      <w:r w:rsidR="00CD5255" w:rsidRPr="00CD5255">
        <w:rPr>
          <w:i/>
          <w:lang w:bidi="en-US"/>
        </w:rPr>
        <w:t>Hickey v. Hickey</w:t>
      </w:r>
      <w:r w:rsidR="00CD5255" w:rsidRPr="00CD5255">
        <w:rPr>
          <w:lang w:bidi="en-US"/>
        </w:rPr>
        <w:t>, [1999] 2 S.C.R. 518</w:t>
      </w:r>
      <w:r w:rsidR="00CD5255">
        <w:t>.</w:t>
      </w:r>
    </w:p>
    <w:p w14:paraId="4BC053A8" w14:textId="77777777" w:rsidR="003B215F" w:rsidRDefault="002E6705" w:rsidP="00CA0A07">
      <w:pPr>
        <w:pStyle w:val="SCCNormalDoubleSpacing"/>
        <w:spacing w:after="720" w:line="240" w:lineRule="auto"/>
      </w:pPr>
      <w:r w:rsidRPr="00314E01">
        <w:rPr>
          <w:b/>
        </w:rPr>
        <w:t>Statutes and Regulations Cite</w:t>
      </w:r>
      <w:r w:rsidR="00A41805">
        <w:rPr>
          <w:b/>
        </w:rPr>
        <w:t>d</w:t>
      </w:r>
    </w:p>
    <w:p w14:paraId="03B9F834" w14:textId="7E65EB39" w:rsidR="00E63CA4" w:rsidRPr="00E63CA4" w:rsidRDefault="00E63CA4" w:rsidP="000F46FD">
      <w:pPr>
        <w:pStyle w:val="SCCNormalDoubleSpacing"/>
        <w:spacing w:after="240" w:line="240" w:lineRule="auto"/>
        <w:ind w:left="547" w:hanging="547"/>
        <w:rPr>
          <w:iCs/>
          <w:lang w:val="en-US" w:bidi="en-US"/>
        </w:rPr>
      </w:pPr>
      <w:r w:rsidRPr="00E63CA4">
        <w:rPr>
          <w:i/>
          <w:iCs/>
          <w:lang w:val="en-US" w:bidi="en-US"/>
        </w:rPr>
        <w:t>Children’s Law Act</w:t>
      </w:r>
      <w:r w:rsidR="000F46FD">
        <w:rPr>
          <w:iCs/>
          <w:lang w:val="en-US" w:bidi="en-US"/>
        </w:rPr>
        <w:t xml:space="preserve">, S.P.E.I. </w:t>
      </w:r>
      <w:r w:rsidRPr="00E63CA4">
        <w:rPr>
          <w:iCs/>
          <w:lang w:val="en-US" w:bidi="en-US"/>
        </w:rPr>
        <w:t>2020, c. 59, ss. 46 to 52.</w:t>
      </w:r>
    </w:p>
    <w:p w14:paraId="3A76C730" w14:textId="76B2B96D" w:rsidR="004C7D51" w:rsidRDefault="00E63CA4" w:rsidP="000F46FD">
      <w:pPr>
        <w:pStyle w:val="SCCNormalDoubleSpacing"/>
        <w:spacing w:after="240" w:line="240" w:lineRule="auto"/>
        <w:ind w:left="547" w:hanging="547"/>
        <w:rPr>
          <w:i/>
          <w:lang w:bidi="en-US"/>
        </w:rPr>
      </w:pPr>
      <w:r w:rsidRPr="00E63CA4">
        <w:rPr>
          <w:i/>
          <w:iCs/>
          <w:lang w:val="en-US" w:bidi="en-US"/>
        </w:rPr>
        <w:t>Children’s Law Reform Act</w:t>
      </w:r>
      <w:r w:rsidR="000F46FD">
        <w:rPr>
          <w:iCs/>
          <w:lang w:val="en-US" w:bidi="en-US"/>
        </w:rPr>
        <w:t xml:space="preserve">, R.S.O. </w:t>
      </w:r>
      <w:r w:rsidRPr="00E63CA4">
        <w:rPr>
          <w:iCs/>
          <w:lang w:val="en-US" w:bidi="en-US"/>
        </w:rPr>
        <w:t>1990, c. C.12, s. 39.4</w:t>
      </w:r>
      <w:r>
        <w:rPr>
          <w:iCs/>
          <w:lang w:val="en-US" w:bidi="en-US"/>
        </w:rPr>
        <w:t>.</w:t>
      </w:r>
    </w:p>
    <w:p w14:paraId="7A79C71E" w14:textId="47AE9702" w:rsidR="004C7D51" w:rsidRPr="004C7D51" w:rsidRDefault="007C6E86" w:rsidP="000F46FD">
      <w:pPr>
        <w:pStyle w:val="SCCNormalDoubleSpacing"/>
        <w:spacing w:after="240" w:line="240" w:lineRule="auto"/>
        <w:ind w:left="547" w:hanging="547"/>
        <w:rPr>
          <w:i/>
          <w:lang w:bidi="en-US"/>
        </w:rPr>
      </w:pPr>
      <w:r w:rsidRPr="007C6E86">
        <w:rPr>
          <w:i/>
          <w:lang w:bidi="en-US"/>
        </w:rPr>
        <w:t>Divorce Act</w:t>
      </w:r>
      <w:r w:rsidRPr="007C6E86">
        <w:rPr>
          <w:lang w:val="en-GB"/>
        </w:rPr>
        <w:t>,</w:t>
      </w:r>
      <w:r w:rsidRPr="007C6E86">
        <w:rPr>
          <w:i/>
          <w:lang w:val="en-GB"/>
        </w:rPr>
        <w:t xml:space="preserve"> </w:t>
      </w:r>
      <w:r w:rsidRPr="007C6E86">
        <w:rPr>
          <w:lang w:val="en-GB"/>
        </w:rPr>
        <w:t>R.S.</w:t>
      </w:r>
      <w:r w:rsidR="000F46FD">
        <w:rPr>
          <w:lang w:val="en-GB"/>
        </w:rPr>
        <w:t xml:space="preserve">C. </w:t>
      </w:r>
      <w:r w:rsidR="009A504D">
        <w:rPr>
          <w:lang w:val="en-GB"/>
        </w:rPr>
        <w:t>1985, c. 3 (2</w:t>
      </w:r>
      <w:r w:rsidR="009A504D" w:rsidRPr="009A504D">
        <w:rPr>
          <w:vertAlign w:val="superscript"/>
          <w:lang w:val="en-GB"/>
        </w:rPr>
        <w:t>nd</w:t>
      </w:r>
      <w:r w:rsidR="009A504D">
        <w:rPr>
          <w:lang w:val="en-GB"/>
        </w:rPr>
        <w:t xml:space="preserve"> </w:t>
      </w:r>
      <w:r w:rsidR="004C7D51">
        <w:rPr>
          <w:lang w:val="en-GB"/>
        </w:rPr>
        <w:t>Supp.), ss. </w:t>
      </w:r>
      <w:r w:rsidR="004C7D51" w:rsidRPr="004C7D51">
        <w:rPr>
          <w:lang w:val="en-GB"/>
        </w:rPr>
        <w:t>2(1)</w:t>
      </w:r>
      <w:r w:rsidR="004072D3">
        <w:rPr>
          <w:lang w:val="en-GB"/>
        </w:rPr>
        <w:t xml:space="preserve"> “</w:t>
      </w:r>
      <w:r w:rsidR="004072D3" w:rsidRPr="004072D3">
        <w:rPr>
          <w:lang w:val="en-GB"/>
        </w:rPr>
        <w:t>family violence</w:t>
      </w:r>
      <w:r w:rsidR="004072D3">
        <w:rPr>
          <w:lang w:val="en-GB"/>
        </w:rPr>
        <w:t>”</w:t>
      </w:r>
      <w:r w:rsidR="005A2BDF">
        <w:rPr>
          <w:lang w:val="en-GB"/>
        </w:rPr>
        <w:t xml:space="preserve"> [am. 2019, c. 16, s. </w:t>
      </w:r>
      <w:r w:rsidR="005A2BDF" w:rsidRPr="005A2BDF">
        <w:rPr>
          <w:lang w:val="en-GB"/>
        </w:rPr>
        <w:t>1(7)]</w:t>
      </w:r>
      <w:r w:rsidR="004C7D51" w:rsidRPr="004C7D51">
        <w:rPr>
          <w:lang w:val="en-GB"/>
        </w:rPr>
        <w:t>, 16</w:t>
      </w:r>
      <w:r w:rsidR="005A2BDF">
        <w:rPr>
          <w:lang w:val="en-GB"/>
        </w:rPr>
        <w:t xml:space="preserve"> [</w:t>
      </w:r>
      <w:r w:rsidR="002C395C" w:rsidRPr="002C395C">
        <w:rPr>
          <w:i/>
          <w:lang w:val="en-GB"/>
        </w:rPr>
        <w:t>idem</w:t>
      </w:r>
      <w:r w:rsidR="005A2BDF">
        <w:rPr>
          <w:lang w:val="en-GB"/>
        </w:rPr>
        <w:t>, s. </w:t>
      </w:r>
      <w:r w:rsidR="005A2BDF" w:rsidRPr="005A2BDF">
        <w:rPr>
          <w:lang w:val="en-GB"/>
        </w:rPr>
        <w:t>12]</w:t>
      </w:r>
      <w:r w:rsidR="004C7D51" w:rsidRPr="004C7D51">
        <w:rPr>
          <w:lang w:val="en-GB"/>
        </w:rPr>
        <w:t>, 16.92(1)</w:t>
      </w:r>
      <w:r w:rsidR="005A2BDF">
        <w:rPr>
          <w:lang w:val="en-GB"/>
        </w:rPr>
        <w:t xml:space="preserve"> [ad.</w:t>
      </w:r>
      <w:r w:rsidR="002C395C">
        <w:rPr>
          <w:lang w:val="en-GB"/>
        </w:rPr>
        <w:t xml:space="preserve"> </w:t>
      </w:r>
      <w:r w:rsidR="002C395C" w:rsidRPr="002C395C">
        <w:rPr>
          <w:i/>
          <w:lang w:val="en-GB"/>
        </w:rPr>
        <w:t>idem</w:t>
      </w:r>
      <w:r w:rsidR="005A2BDF">
        <w:rPr>
          <w:lang w:val="en-GB"/>
        </w:rPr>
        <w:t>, s. </w:t>
      </w:r>
      <w:r w:rsidR="005A2BDF" w:rsidRPr="005A2BDF">
        <w:rPr>
          <w:lang w:val="en-GB"/>
        </w:rPr>
        <w:t>12]</w:t>
      </w:r>
      <w:r w:rsidR="004C7D51" w:rsidRPr="004C7D51">
        <w:rPr>
          <w:lang w:val="en-GB"/>
        </w:rPr>
        <w:t>, (2)</w:t>
      </w:r>
      <w:r w:rsidR="005A2BDF">
        <w:rPr>
          <w:lang w:val="en-GB"/>
        </w:rPr>
        <w:t xml:space="preserve"> </w:t>
      </w:r>
      <w:r w:rsidR="005A2BDF" w:rsidRPr="005A2BDF">
        <w:rPr>
          <w:lang w:val="en-GB"/>
        </w:rPr>
        <w:t>[</w:t>
      </w:r>
      <w:r w:rsidR="005A2BDF" w:rsidRPr="005A2BDF">
        <w:rPr>
          <w:i/>
          <w:lang w:val="en-GB"/>
        </w:rPr>
        <w:t>idem</w:t>
      </w:r>
      <w:r w:rsidR="005A2BDF" w:rsidRPr="005A2BDF">
        <w:rPr>
          <w:lang w:val="en-GB"/>
        </w:rPr>
        <w:t>]</w:t>
      </w:r>
      <w:r w:rsidR="004C7D51" w:rsidRPr="004C7D51">
        <w:rPr>
          <w:lang w:val="en-GB"/>
        </w:rPr>
        <w:t>, 16.93</w:t>
      </w:r>
      <w:r w:rsidR="002C395C">
        <w:rPr>
          <w:lang w:val="en-GB"/>
        </w:rPr>
        <w:t xml:space="preserve"> </w:t>
      </w:r>
      <w:r w:rsidR="002C395C" w:rsidRPr="002C395C">
        <w:rPr>
          <w:lang w:val="en-GB"/>
        </w:rPr>
        <w:t>[</w:t>
      </w:r>
      <w:r w:rsidR="002C395C" w:rsidRPr="002C395C">
        <w:rPr>
          <w:i/>
          <w:lang w:val="en-GB"/>
        </w:rPr>
        <w:t>idem</w:t>
      </w:r>
      <w:r w:rsidR="002C395C" w:rsidRPr="002C395C">
        <w:rPr>
          <w:lang w:val="en-GB"/>
        </w:rPr>
        <w:t>]</w:t>
      </w:r>
      <w:r w:rsidR="004C7D51" w:rsidRPr="004C7D51">
        <w:rPr>
          <w:lang w:val="en-GB"/>
        </w:rPr>
        <w:t xml:space="preserve">, </w:t>
      </w:r>
      <w:r w:rsidR="005942EA">
        <w:rPr>
          <w:lang w:val="en-GB"/>
        </w:rPr>
        <w:t>17(5)</w:t>
      </w:r>
      <w:r w:rsidR="005A2BDF">
        <w:rPr>
          <w:lang w:val="en-GB"/>
        </w:rPr>
        <w:t xml:space="preserve"> [am. </w:t>
      </w:r>
      <w:r w:rsidR="002C395C" w:rsidRPr="002C395C">
        <w:rPr>
          <w:i/>
          <w:lang w:val="en-GB"/>
        </w:rPr>
        <w:t>idem</w:t>
      </w:r>
      <w:r w:rsidR="005A2BDF">
        <w:rPr>
          <w:lang w:val="en-GB"/>
        </w:rPr>
        <w:t>, s. </w:t>
      </w:r>
      <w:r w:rsidR="005A2BDF" w:rsidRPr="005A2BDF">
        <w:rPr>
          <w:lang w:val="en-GB"/>
        </w:rPr>
        <w:t>13</w:t>
      </w:r>
      <w:r w:rsidR="005A2BDF">
        <w:rPr>
          <w:lang w:val="en-GB"/>
        </w:rPr>
        <w:t>(2)</w:t>
      </w:r>
      <w:r w:rsidR="005A2BDF" w:rsidRPr="005A2BDF">
        <w:rPr>
          <w:lang w:val="en-GB"/>
        </w:rPr>
        <w:t>]</w:t>
      </w:r>
      <w:r w:rsidR="005942EA">
        <w:rPr>
          <w:lang w:val="en-GB"/>
        </w:rPr>
        <w:t xml:space="preserve">, </w:t>
      </w:r>
      <w:r w:rsidR="004C7D51" w:rsidRPr="004C7D51">
        <w:rPr>
          <w:lang w:val="en-GB"/>
        </w:rPr>
        <w:t>(5.2)</w:t>
      </w:r>
      <w:r w:rsidR="005A2BDF">
        <w:rPr>
          <w:lang w:val="en-GB"/>
        </w:rPr>
        <w:t xml:space="preserve"> </w:t>
      </w:r>
      <w:r w:rsidR="005A2BDF" w:rsidRPr="005A2BDF">
        <w:rPr>
          <w:lang w:val="en-GB"/>
        </w:rPr>
        <w:t>[</w:t>
      </w:r>
      <w:r w:rsidR="00AB6C04">
        <w:rPr>
          <w:lang w:val="en-GB"/>
        </w:rPr>
        <w:t xml:space="preserve">ad. </w:t>
      </w:r>
      <w:r w:rsidR="005A2BDF" w:rsidRPr="005A2BDF">
        <w:rPr>
          <w:i/>
          <w:lang w:val="en-GB"/>
        </w:rPr>
        <w:t>idem</w:t>
      </w:r>
      <w:r w:rsidR="005A2BDF" w:rsidRPr="005A2BDF">
        <w:rPr>
          <w:lang w:val="en-GB"/>
        </w:rPr>
        <w:t>]</w:t>
      </w:r>
      <w:r w:rsidR="004C7D51" w:rsidRPr="004C7D51">
        <w:rPr>
          <w:lang w:val="en-GB"/>
        </w:rPr>
        <w:t xml:space="preserve">, </w:t>
      </w:r>
      <w:r w:rsidR="00B67A8C">
        <w:rPr>
          <w:lang w:val="en-GB"/>
        </w:rPr>
        <w:t>(9)</w:t>
      </w:r>
      <w:r w:rsidR="005A2BDF">
        <w:rPr>
          <w:lang w:val="en-GB"/>
        </w:rPr>
        <w:t xml:space="preserve"> [rep. </w:t>
      </w:r>
      <w:r w:rsidR="002C395C" w:rsidRPr="002C395C">
        <w:rPr>
          <w:i/>
          <w:lang w:val="en-GB"/>
        </w:rPr>
        <w:t>idem</w:t>
      </w:r>
      <w:r w:rsidR="005A2BDF">
        <w:rPr>
          <w:lang w:val="en-GB"/>
        </w:rPr>
        <w:t>, s. </w:t>
      </w:r>
      <w:r w:rsidR="005A2BDF" w:rsidRPr="005A2BDF">
        <w:rPr>
          <w:lang w:val="en-GB"/>
        </w:rPr>
        <w:t>13</w:t>
      </w:r>
      <w:r w:rsidR="00625320">
        <w:rPr>
          <w:lang w:val="en-GB"/>
        </w:rPr>
        <w:t>(4)</w:t>
      </w:r>
      <w:r w:rsidR="005A2BDF" w:rsidRPr="005A2BDF">
        <w:rPr>
          <w:lang w:val="en-GB"/>
        </w:rPr>
        <w:t>]</w:t>
      </w:r>
      <w:r w:rsidR="00B67A8C">
        <w:rPr>
          <w:lang w:val="en-GB"/>
        </w:rPr>
        <w:t xml:space="preserve">, </w:t>
      </w:r>
      <w:r w:rsidR="004C7D51" w:rsidRPr="004C7D51">
        <w:rPr>
          <w:lang w:val="en-GB"/>
        </w:rPr>
        <w:t>35.3</w:t>
      </w:r>
      <w:r w:rsidR="005A2BDF">
        <w:rPr>
          <w:lang w:val="en-GB"/>
        </w:rPr>
        <w:t xml:space="preserve"> [ad. </w:t>
      </w:r>
      <w:r w:rsidR="002C395C" w:rsidRPr="002C395C">
        <w:rPr>
          <w:i/>
          <w:lang w:val="en-GB"/>
        </w:rPr>
        <w:t>idem</w:t>
      </w:r>
      <w:r w:rsidR="005A2BDF">
        <w:rPr>
          <w:lang w:val="en-GB"/>
        </w:rPr>
        <w:t>, s. </w:t>
      </w:r>
      <w:r w:rsidR="005A2BDF" w:rsidRPr="005A2BDF">
        <w:rPr>
          <w:lang w:val="en-GB"/>
        </w:rPr>
        <w:t>34]</w:t>
      </w:r>
      <w:r w:rsidR="004C7D51" w:rsidRPr="004C7D51">
        <w:rPr>
          <w:lang w:val="en-GB"/>
        </w:rPr>
        <w:t>.</w:t>
      </w:r>
    </w:p>
    <w:p w14:paraId="15A583FC" w14:textId="307D62F0" w:rsidR="00E63CA4" w:rsidRDefault="00E63CA4" w:rsidP="000F46FD">
      <w:pPr>
        <w:pStyle w:val="SCCNormalDoubleSpacing"/>
        <w:spacing w:after="240" w:line="240" w:lineRule="auto"/>
        <w:ind w:left="547" w:hanging="547"/>
        <w:rPr>
          <w:lang w:val="en-GB" w:bidi="en-US"/>
        </w:rPr>
      </w:pPr>
      <w:r w:rsidRPr="00E63CA4">
        <w:rPr>
          <w:i/>
          <w:lang w:val="en-GB" w:bidi="en-US"/>
        </w:rPr>
        <w:t>Family Law Act</w:t>
      </w:r>
      <w:r w:rsidRPr="00E63CA4">
        <w:rPr>
          <w:lang w:val="en-GB" w:bidi="en-US"/>
        </w:rPr>
        <w:t xml:space="preserve">, </w:t>
      </w:r>
      <w:r w:rsidR="000F46FD">
        <w:rPr>
          <w:lang w:val="en-GB" w:bidi="en-US"/>
        </w:rPr>
        <w:t xml:space="preserve">S.B.C. </w:t>
      </w:r>
      <w:r w:rsidRPr="00E63CA4">
        <w:rPr>
          <w:lang w:val="en-GB" w:bidi="en-US"/>
        </w:rPr>
        <w:t>2011, c. 25, ss. 65 to 71</w:t>
      </w:r>
      <w:r>
        <w:rPr>
          <w:lang w:val="en-GB" w:bidi="en-US"/>
        </w:rPr>
        <w:t>.</w:t>
      </w:r>
    </w:p>
    <w:p w14:paraId="6AE54940" w14:textId="79FDFB58" w:rsidR="00E63CA4" w:rsidRDefault="00E63CA4" w:rsidP="000F46FD">
      <w:pPr>
        <w:pStyle w:val="SCCNormalDoubleSpacing"/>
        <w:spacing w:after="240" w:line="240" w:lineRule="auto"/>
        <w:ind w:left="547" w:hanging="547"/>
        <w:rPr>
          <w:lang w:val="en-GB" w:bidi="en-US"/>
        </w:rPr>
      </w:pPr>
      <w:r w:rsidRPr="00E63CA4">
        <w:rPr>
          <w:i/>
          <w:lang w:val="en-GB" w:bidi="en-US"/>
        </w:rPr>
        <w:t>Family Law Act</w:t>
      </w:r>
      <w:r w:rsidR="000F46FD">
        <w:rPr>
          <w:lang w:val="en-GB" w:bidi="en-US"/>
        </w:rPr>
        <w:t xml:space="preserve">, S.N.B. </w:t>
      </w:r>
      <w:r w:rsidRPr="00E63CA4">
        <w:rPr>
          <w:lang w:val="en-GB" w:bidi="en-US"/>
        </w:rPr>
        <w:t>2020, c. 23, ss. 60 to 66</w:t>
      </w:r>
      <w:r>
        <w:rPr>
          <w:lang w:val="en-GB" w:bidi="en-US"/>
        </w:rPr>
        <w:t>.</w:t>
      </w:r>
    </w:p>
    <w:p w14:paraId="7649DB19" w14:textId="6689CB7E" w:rsidR="00E63CA4" w:rsidRDefault="00E63CA4" w:rsidP="000F46FD">
      <w:pPr>
        <w:pStyle w:val="SCCNormalDoubleSpacing"/>
        <w:spacing w:after="240" w:line="240" w:lineRule="auto"/>
        <w:ind w:left="547" w:hanging="547"/>
        <w:rPr>
          <w:lang w:val="en-GB" w:bidi="en-US"/>
        </w:rPr>
      </w:pPr>
      <w:r w:rsidRPr="00E63CA4">
        <w:rPr>
          <w:i/>
          <w:lang w:val="en-GB" w:bidi="en-US"/>
        </w:rPr>
        <w:t>Parenting and Support Act</w:t>
      </w:r>
      <w:r w:rsidR="000F46FD">
        <w:rPr>
          <w:lang w:val="en-GB" w:bidi="en-US"/>
        </w:rPr>
        <w:t xml:space="preserve">, R.S.N.S. </w:t>
      </w:r>
      <w:r w:rsidRPr="00E63CA4">
        <w:rPr>
          <w:lang w:val="en-GB" w:bidi="en-US"/>
        </w:rPr>
        <w:t xml:space="preserve">1989, c. 160, ss. 18E to </w:t>
      </w:r>
      <w:r w:rsidRPr="000B004E">
        <w:rPr>
          <w:lang w:val="en-GB" w:bidi="en-US"/>
        </w:rPr>
        <w:t>18</w:t>
      </w:r>
      <w:r w:rsidRPr="00E63CA4">
        <w:rPr>
          <w:lang w:val="en-GB" w:bidi="en-US"/>
        </w:rPr>
        <w:t>H</w:t>
      </w:r>
      <w:r>
        <w:rPr>
          <w:lang w:val="en-GB" w:bidi="en-US"/>
        </w:rPr>
        <w:t>.</w:t>
      </w:r>
    </w:p>
    <w:p w14:paraId="36392F07" w14:textId="5D9C4948" w:rsidR="00E63CA4" w:rsidRDefault="00E63CA4" w:rsidP="000F46FD">
      <w:pPr>
        <w:pStyle w:val="SCCNormalDoubleSpacing"/>
        <w:spacing w:after="720" w:line="240" w:lineRule="auto"/>
        <w:ind w:left="547" w:hanging="547"/>
        <w:rPr>
          <w:lang w:val="en-GB"/>
        </w:rPr>
      </w:pPr>
      <w:r w:rsidRPr="00E63CA4">
        <w:rPr>
          <w:i/>
          <w:iCs/>
          <w:lang w:val="en-GB" w:bidi="en-US"/>
        </w:rPr>
        <w:t>The Children’s Law Act, 2020</w:t>
      </w:r>
      <w:r w:rsidR="000F46FD">
        <w:rPr>
          <w:iCs/>
          <w:lang w:val="en-GB" w:bidi="en-US"/>
        </w:rPr>
        <w:t xml:space="preserve">, S.S. </w:t>
      </w:r>
      <w:r w:rsidRPr="00E63CA4">
        <w:rPr>
          <w:iCs/>
          <w:lang w:val="en-GB" w:bidi="en-US"/>
        </w:rPr>
        <w:t>2020, c. 2, ss. 13 to 17</w:t>
      </w:r>
      <w:r>
        <w:rPr>
          <w:iCs/>
          <w:lang w:val="en-GB" w:bidi="en-US"/>
        </w:rPr>
        <w:t>.</w:t>
      </w:r>
    </w:p>
    <w:p w14:paraId="6982D68E" w14:textId="77777777" w:rsidR="007C6E86" w:rsidRDefault="007C6E86" w:rsidP="000F46FD">
      <w:pPr>
        <w:pStyle w:val="SCCNormalDoubleSpacing"/>
        <w:spacing w:after="720" w:line="240" w:lineRule="auto"/>
        <w:ind w:left="547" w:hanging="547"/>
      </w:pPr>
      <w:r w:rsidRPr="007C6E86">
        <w:rPr>
          <w:b/>
          <w:bCs/>
        </w:rPr>
        <w:t>Treaties and Other International Instruments</w:t>
      </w:r>
    </w:p>
    <w:p w14:paraId="21942519" w14:textId="6CC16B96" w:rsidR="007C6E86" w:rsidRDefault="007C6E86" w:rsidP="000F46FD">
      <w:pPr>
        <w:pStyle w:val="SCCNormalDoubleSpacing"/>
        <w:spacing w:after="720" w:line="240" w:lineRule="auto"/>
        <w:ind w:left="547" w:hanging="547"/>
        <w:rPr>
          <w:lang w:bidi="en-US"/>
        </w:rPr>
      </w:pPr>
      <w:r w:rsidRPr="007C6E86">
        <w:rPr>
          <w:i/>
          <w:lang w:bidi="en-US"/>
        </w:rPr>
        <w:lastRenderedPageBreak/>
        <w:t>Convention on the Rights of the Child</w:t>
      </w:r>
      <w:r w:rsidR="000578DF">
        <w:rPr>
          <w:lang w:bidi="en-US"/>
        </w:rPr>
        <w:t xml:space="preserve">, Can. </w:t>
      </w:r>
      <w:r w:rsidR="000F46FD">
        <w:rPr>
          <w:lang w:bidi="en-US"/>
        </w:rPr>
        <w:t xml:space="preserve">T.S. </w:t>
      </w:r>
      <w:r w:rsidRPr="007C6E86">
        <w:rPr>
          <w:lang w:bidi="en-US"/>
        </w:rPr>
        <w:t>1992 No. 3, art. 3(1)</w:t>
      </w:r>
      <w:r>
        <w:rPr>
          <w:lang w:bidi="en-US"/>
        </w:rPr>
        <w:t>.</w:t>
      </w:r>
    </w:p>
    <w:p w14:paraId="5F2E3872" w14:textId="77777777" w:rsidR="002E6705" w:rsidRDefault="002E6705" w:rsidP="000F46FD">
      <w:pPr>
        <w:pStyle w:val="SCCNormalDoubleSpacing"/>
        <w:spacing w:after="720" w:line="240" w:lineRule="auto"/>
        <w:rPr>
          <w:b/>
        </w:rPr>
      </w:pPr>
      <w:r w:rsidRPr="00314E01">
        <w:rPr>
          <w:b/>
        </w:rPr>
        <w:t>Authors Cited</w:t>
      </w:r>
    </w:p>
    <w:p w14:paraId="09F57012" w14:textId="77777777" w:rsidR="000004FE" w:rsidRDefault="000004FE" w:rsidP="000F46FD">
      <w:pPr>
        <w:pStyle w:val="SCCNormalDoubleSpacing"/>
        <w:spacing w:after="240" w:line="240" w:lineRule="auto"/>
        <w:ind w:left="547" w:hanging="547"/>
        <w:rPr>
          <w:bCs/>
          <w:lang w:val="en-US" w:bidi="en-US"/>
        </w:rPr>
      </w:pPr>
      <w:r w:rsidRPr="000004FE">
        <w:rPr>
          <w:bCs/>
          <w:lang w:val="en-US" w:bidi="en-US"/>
        </w:rPr>
        <w:t xml:space="preserve">Artz, Sibylle, et al. “A Comprehensive Review of the Literature on the Impact of Exposure to Intimate Partner Violence for Children and Youth” (2014), 5 </w:t>
      </w:r>
      <w:r w:rsidRPr="000004FE">
        <w:rPr>
          <w:bCs/>
          <w:i/>
          <w:lang w:val="en-US" w:bidi="en-US"/>
        </w:rPr>
        <w:t xml:space="preserve">I.J.C.Y.F.S. </w:t>
      </w:r>
      <w:r w:rsidRPr="000004FE">
        <w:rPr>
          <w:bCs/>
          <w:lang w:val="en-US" w:bidi="en-US"/>
        </w:rPr>
        <w:t>493.</w:t>
      </w:r>
    </w:p>
    <w:p w14:paraId="511127E3" w14:textId="538B2912" w:rsidR="000004FE" w:rsidRDefault="00293124" w:rsidP="000F46FD">
      <w:pPr>
        <w:pStyle w:val="SCCNormalDoubleSpacing"/>
        <w:spacing w:after="240" w:line="240" w:lineRule="auto"/>
        <w:ind w:left="547" w:hanging="547"/>
        <w:rPr>
          <w:lang w:val="en-GB" w:bidi="en-US"/>
        </w:rPr>
      </w:pPr>
      <w:r>
        <w:rPr>
          <w:bCs/>
          <w:lang w:val="en-US" w:bidi="en-US"/>
        </w:rPr>
        <w:t xml:space="preserve">Bailey, Allen </w:t>
      </w:r>
      <w:r w:rsidR="000004FE" w:rsidRPr="000004FE">
        <w:rPr>
          <w:bCs/>
          <w:lang w:val="en-US" w:bidi="en-US"/>
        </w:rPr>
        <w:t>M. “Prioritizing</w:t>
      </w:r>
      <w:r w:rsidR="000F46FD">
        <w:rPr>
          <w:bCs/>
          <w:lang w:val="en-US" w:bidi="en-US"/>
        </w:rPr>
        <w:t xml:space="preserve"> Child Safety as the Prime Best</w:t>
      </w:r>
      <w:r w:rsidR="000F46FD">
        <w:rPr>
          <w:bCs/>
          <w:lang w:val="en-US" w:bidi="en-US"/>
        </w:rPr>
        <w:noBreakHyphen/>
      </w:r>
      <w:r w:rsidR="000004FE" w:rsidRPr="000004FE">
        <w:rPr>
          <w:bCs/>
          <w:lang w:val="en-US" w:bidi="en-US"/>
        </w:rPr>
        <w:t xml:space="preserve">Interest Factor” (2013), 47 </w:t>
      </w:r>
      <w:r w:rsidR="000004FE" w:rsidRPr="000004FE">
        <w:rPr>
          <w:bCs/>
          <w:i/>
          <w:lang w:val="en-US" w:bidi="en-US"/>
        </w:rPr>
        <w:t xml:space="preserve">Fam. L.Q. </w:t>
      </w:r>
      <w:r w:rsidR="000004FE" w:rsidRPr="000004FE">
        <w:rPr>
          <w:bCs/>
          <w:lang w:val="en-US" w:bidi="en-US"/>
        </w:rPr>
        <w:t>35.</w:t>
      </w:r>
    </w:p>
    <w:p w14:paraId="5B864DCA" w14:textId="640A294F" w:rsidR="000004FE" w:rsidRDefault="000F46FD" w:rsidP="000F46FD">
      <w:pPr>
        <w:pStyle w:val="SCCNormalDoubleSpacing"/>
        <w:spacing w:after="240" w:line="240" w:lineRule="auto"/>
        <w:ind w:left="547" w:hanging="547"/>
        <w:rPr>
          <w:lang w:val="en-GB" w:bidi="en-US"/>
        </w:rPr>
      </w:pPr>
      <w:r>
        <w:rPr>
          <w:lang w:val="en-GB" w:bidi="en-US"/>
        </w:rPr>
        <w:t>Bala, Nicholas. “Bill C</w:t>
      </w:r>
      <w:r>
        <w:rPr>
          <w:lang w:val="en-GB" w:bidi="en-US"/>
        </w:rPr>
        <w:noBreakHyphen/>
      </w:r>
      <w:r w:rsidR="00E63CA4" w:rsidRPr="00E63CA4">
        <w:rPr>
          <w:lang w:val="en-GB" w:bidi="en-US"/>
        </w:rPr>
        <w:t xml:space="preserve">78: The 2020 Reforms to the Parenting Provisions of Canada’s </w:t>
      </w:r>
      <w:r w:rsidR="00E63CA4" w:rsidRPr="00E63CA4">
        <w:rPr>
          <w:i/>
          <w:lang w:val="en-GB" w:bidi="en-US"/>
        </w:rPr>
        <w:t>Divorce Act</w:t>
      </w:r>
      <w:r w:rsidR="00E63CA4" w:rsidRPr="00E63CA4">
        <w:rPr>
          <w:lang w:val="en-GB" w:bidi="en-US"/>
        </w:rPr>
        <w:t xml:space="preserve">” (2020), 39 </w:t>
      </w:r>
      <w:r w:rsidR="00E63CA4" w:rsidRPr="00E63CA4">
        <w:rPr>
          <w:i/>
          <w:lang w:val="en-GB" w:bidi="en-US"/>
        </w:rPr>
        <w:t xml:space="preserve">C.F.L.Q. </w:t>
      </w:r>
      <w:r w:rsidR="00E63CA4" w:rsidRPr="00E63CA4">
        <w:rPr>
          <w:lang w:val="en-GB" w:bidi="en-US"/>
        </w:rPr>
        <w:t>45.</w:t>
      </w:r>
    </w:p>
    <w:p w14:paraId="56E171A9" w14:textId="2B8A227B" w:rsidR="000004FE" w:rsidRPr="000004FE" w:rsidRDefault="00293124" w:rsidP="000F46FD">
      <w:pPr>
        <w:pStyle w:val="SCCNormalDoubleSpacing"/>
        <w:spacing w:after="240" w:line="240" w:lineRule="auto"/>
        <w:ind w:left="547" w:hanging="547"/>
        <w:rPr>
          <w:lang w:val="en-GB" w:bidi="en-US"/>
        </w:rPr>
      </w:pPr>
      <w:r>
        <w:rPr>
          <w:bCs/>
          <w:lang w:val="en-US" w:bidi="en-US"/>
        </w:rPr>
        <w:t xml:space="preserve">Boyd, Susan </w:t>
      </w:r>
      <w:r w:rsidR="000F46FD">
        <w:rPr>
          <w:bCs/>
          <w:lang w:val="en-US" w:bidi="en-US"/>
        </w:rPr>
        <w:t xml:space="preserve">B., and Ruben </w:t>
      </w:r>
      <w:r w:rsidR="000004FE" w:rsidRPr="000004FE">
        <w:rPr>
          <w:bCs/>
          <w:lang w:val="en-US" w:bidi="en-US"/>
        </w:rPr>
        <w:t xml:space="preserve">Lindy. “Violence Against Women and the B.C. </w:t>
      </w:r>
      <w:r w:rsidR="000004FE" w:rsidRPr="000004FE">
        <w:rPr>
          <w:bCs/>
          <w:i/>
          <w:lang w:val="en-US" w:bidi="en-US"/>
        </w:rPr>
        <w:t>Family Law Act</w:t>
      </w:r>
      <w:r w:rsidR="000004FE" w:rsidRPr="000004FE">
        <w:rPr>
          <w:bCs/>
          <w:lang w:val="en-US" w:bidi="en-US"/>
        </w:rPr>
        <w:t xml:space="preserve">: Early Jurisprudence” (2016), 35 </w:t>
      </w:r>
      <w:r w:rsidR="000004FE" w:rsidRPr="000004FE">
        <w:rPr>
          <w:bCs/>
          <w:i/>
          <w:lang w:val="en-US" w:bidi="en-US"/>
        </w:rPr>
        <w:t xml:space="preserve">C.F.L.Q. </w:t>
      </w:r>
      <w:r w:rsidR="000004FE" w:rsidRPr="000004FE">
        <w:rPr>
          <w:bCs/>
          <w:lang w:val="en-US" w:bidi="en-US"/>
        </w:rPr>
        <w:t>101.</w:t>
      </w:r>
    </w:p>
    <w:p w14:paraId="1D46D0F9" w14:textId="26D5DCA8" w:rsidR="000004FE" w:rsidRDefault="000004FE" w:rsidP="000F46FD">
      <w:pPr>
        <w:pStyle w:val="SCCNormalDoubleSpacing"/>
        <w:spacing w:after="240" w:line="240" w:lineRule="auto"/>
        <w:ind w:left="547" w:hanging="547"/>
        <w:rPr>
          <w:lang w:val="en-GB" w:bidi="en-US"/>
        </w:rPr>
      </w:pPr>
      <w:r w:rsidRPr="000004FE">
        <w:rPr>
          <w:lang w:val="en-US" w:bidi="en-US"/>
        </w:rPr>
        <w:t xml:space="preserve">Canada. Department of Justice. </w:t>
      </w:r>
      <w:r w:rsidR="000F46FD">
        <w:rPr>
          <w:i/>
          <w:lang w:val="en-US" w:bidi="en-US"/>
        </w:rPr>
        <w:t>A Study of Post</w:t>
      </w:r>
      <w:r w:rsidR="000F46FD">
        <w:rPr>
          <w:i/>
          <w:lang w:val="en-US" w:bidi="en-US"/>
        </w:rPr>
        <w:noBreakHyphen/>
      </w:r>
      <w:r w:rsidRPr="000004FE">
        <w:rPr>
          <w:i/>
          <w:lang w:val="en-US" w:bidi="en-US"/>
        </w:rPr>
        <w:t>Separation/Divorce Parental Relocation</w:t>
      </w:r>
      <w:r w:rsidRPr="000004FE">
        <w:rPr>
          <w:lang w:val="en-US" w:bidi="en-US"/>
        </w:rPr>
        <w:t>, by Nicholas Bala et al. Ottawa: Department of Justice, 2014.</w:t>
      </w:r>
    </w:p>
    <w:p w14:paraId="6104BACF" w14:textId="77777777" w:rsidR="000004FE" w:rsidRDefault="000004FE" w:rsidP="000F46FD">
      <w:pPr>
        <w:pStyle w:val="SCCNormalDoubleSpacing"/>
        <w:spacing w:after="240" w:line="240" w:lineRule="auto"/>
        <w:ind w:left="547" w:hanging="547"/>
        <w:rPr>
          <w:bCs/>
          <w:lang w:val="en-US" w:bidi="en-US"/>
        </w:rPr>
      </w:pPr>
      <w:r w:rsidRPr="000004FE">
        <w:rPr>
          <w:lang w:val="en-US" w:bidi="en-US"/>
        </w:rPr>
        <w:t xml:space="preserve">Canada. Department of Justice. </w:t>
      </w:r>
      <w:r w:rsidRPr="000004FE">
        <w:rPr>
          <w:bCs/>
          <w:i/>
          <w:lang w:val="en-US" w:bidi="en-US"/>
        </w:rPr>
        <w:t>Risk Factors for Children in Situations of Family Violence in</w:t>
      </w:r>
      <w:r>
        <w:rPr>
          <w:bCs/>
          <w:i/>
          <w:lang w:val="en-US" w:bidi="en-US"/>
        </w:rPr>
        <w:t xml:space="preserve"> </w:t>
      </w:r>
      <w:r w:rsidRPr="000004FE">
        <w:rPr>
          <w:bCs/>
          <w:i/>
          <w:lang w:val="en-US" w:bidi="en-US"/>
        </w:rPr>
        <w:t>the Context of Separation and Divorce</w:t>
      </w:r>
      <w:r w:rsidRPr="000004FE">
        <w:rPr>
          <w:bCs/>
          <w:lang w:val="en-US" w:bidi="en-US"/>
        </w:rPr>
        <w:t>, by Peter Jaffe et al. Ottawa: Department of Justice, February 2014.</w:t>
      </w:r>
    </w:p>
    <w:p w14:paraId="6E53F077" w14:textId="77777777" w:rsidR="004C7D51" w:rsidRDefault="004C7D51" w:rsidP="000F46FD">
      <w:pPr>
        <w:pStyle w:val="SCCNormalDoubleSpacing"/>
        <w:spacing w:after="240" w:line="240" w:lineRule="auto"/>
        <w:ind w:left="547" w:hanging="547"/>
        <w:rPr>
          <w:bCs/>
          <w:lang w:val="en-US" w:bidi="en-US"/>
        </w:rPr>
      </w:pPr>
      <w:r w:rsidRPr="004C7D51">
        <w:rPr>
          <w:bCs/>
          <w:lang w:val="en-US" w:bidi="en-US"/>
        </w:rPr>
        <w:t xml:space="preserve">El Fateh, Eiad. “A Presumption for the Best?” (2009), 25 </w:t>
      </w:r>
      <w:r w:rsidRPr="004C7D51">
        <w:rPr>
          <w:bCs/>
          <w:i/>
          <w:lang w:val="en-US" w:bidi="en-US"/>
        </w:rPr>
        <w:t>Can. J. Fam. L.</w:t>
      </w:r>
      <w:r w:rsidRPr="004C7D51">
        <w:rPr>
          <w:bCs/>
          <w:lang w:val="en-US" w:bidi="en-US"/>
        </w:rPr>
        <w:t xml:space="preserve"> 73.</w:t>
      </w:r>
    </w:p>
    <w:p w14:paraId="2E1DC67E" w14:textId="77777777" w:rsidR="000004FE" w:rsidRPr="000004FE" w:rsidRDefault="000004FE" w:rsidP="000F46FD">
      <w:pPr>
        <w:pStyle w:val="SCCNormalDoubleSpacing"/>
        <w:spacing w:after="240" w:line="240" w:lineRule="auto"/>
        <w:ind w:left="547" w:hanging="547"/>
        <w:rPr>
          <w:lang w:val="en-GB" w:bidi="en-US"/>
        </w:rPr>
      </w:pPr>
      <w:r>
        <w:rPr>
          <w:bCs/>
          <w:lang w:val="en-US" w:bidi="en-US"/>
        </w:rPr>
        <w:t xml:space="preserve">Handley, K. R. </w:t>
      </w:r>
      <w:r w:rsidRPr="000004FE">
        <w:rPr>
          <w:bCs/>
          <w:i/>
          <w:lang w:val="en-US" w:bidi="en-US"/>
        </w:rPr>
        <w:t>Spencer Bower and Handley: Res Judicata</w:t>
      </w:r>
      <w:r w:rsidRPr="000004FE">
        <w:rPr>
          <w:bCs/>
          <w:lang w:val="en-US" w:bidi="en-US"/>
        </w:rPr>
        <w:t>, 4th ed. London: LexisNexis, 2009.</w:t>
      </w:r>
    </w:p>
    <w:p w14:paraId="14E4EA41" w14:textId="4879E19E" w:rsidR="000004FE" w:rsidRDefault="000004FE" w:rsidP="000F46FD">
      <w:pPr>
        <w:pStyle w:val="SCCNormalDoubleSpacing"/>
        <w:spacing w:after="240" w:line="240" w:lineRule="auto"/>
        <w:ind w:left="547" w:hanging="547"/>
        <w:rPr>
          <w:lang w:bidi="en-US"/>
        </w:rPr>
      </w:pPr>
      <w:r w:rsidRPr="000004FE">
        <w:rPr>
          <w:bCs/>
          <w:lang w:val="en-US" w:bidi="en-US"/>
        </w:rPr>
        <w:t>Jaffe, Pet</w:t>
      </w:r>
      <w:r w:rsidR="00293124">
        <w:rPr>
          <w:bCs/>
          <w:lang w:val="en-US" w:bidi="en-US"/>
        </w:rPr>
        <w:t xml:space="preserve">er </w:t>
      </w:r>
      <w:r w:rsidRPr="000004FE">
        <w:rPr>
          <w:bCs/>
          <w:lang w:val="en-US" w:bidi="en-US"/>
        </w:rPr>
        <w:t>G.</w:t>
      </w:r>
      <w:r w:rsidR="00293124">
        <w:rPr>
          <w:bCs/>
          <w:lang w:val="en-US" w:bidi="en-US"/>
        </w:rPr>
        <w:t xml:space="preserve">, Claire </w:t>
      </w:r>
      <w:r>
        <w:rPr>
          <w:bCs/>
          <w:lang w:val="en-US" w:bidi="en-US"/>
        </w:rPr>
        <w:t xml:space="preserve">V. Crooks and Nicholas </w:t>
      </w:r>
      <w:r w:rsidRPr="000004FE">
        <w:rPr>
          <w:bCs/>
          <w:lang w:val="en-US" w:bidi="en-US"/>
        </w:rPr>
        <w:t xml:space="preserve">Bala. “A Framework for Addressing Allegations of Domestic Violence in Child Custody Disputes” (2009), 6 </w:t>
      </w:r>
      <w:r w:rsidRPr="000004FE">
        <w:rPr>
          <w:bCs/>
          <w:i/>
          <w:lang w:val="en-US" w:bidi="en-US"/>
        </w:rPr>
        <w:t>J. Child Custody</w:t>
      </w:r>
      <w:r w:rsidRPr="000004FE">
        <w:rPr>
          <w:bCs/>
          <w:lang w:val="en-US" w:bidi="en-US"/>
        </w:rPr>
        <w:t xml:space="preserve"> 169.</w:t>
      </w:r>
    </w:p>
    <w:p w14:paraId="47D3D000" w14:textId="77777777" w:rsidR="00E63CA4" w:rsidRDefault="00E63CA4" w:rsidP="000F46FD">
      <w:pPr>
        <w:pStyle w:val="SCCNormalDoubleSpacing"/>
        <w:spacing w:after="240" w:line="240" w:lineRule="auto"/>
        <w:ind w:left="547" w:hanging="547"/>
        <w:rPr>
          <w:lang w:bidi="en-US"/>
        </w:rPr>
      </w:pPr>
      <w:r w:rsidRPr="00E63CA4">
        <w:rPr>
          <w:lang w:val="en-GB" w:bidi="en-US"/>
        </w:rPr>
        <w:t xml:space="preserve">Jollimore, Elizabeth, and Ramona Sladic. “Mobility — Are We There Yet?” (2008), 27 </w:t>
      </w:r>
      <w:r w:rsidRPr="00E63CA4">
        <w:rPr>
          <w:i/>
          <w:lang w:val="en-GB" w:bidi="en-US"/>
        </w:rPr>
        <w:t>C.F.L.Q.</w:t>
      </w:r>
      <w:r w:rsidRPr="00E63CA4">
        <w:rPr>
          <w:lang w:val="en-GB" w:bidi="en-US"/>
        </w:rPr>
        <w:t xml:space="preserve"> 341.</w:t>
      </w:r>
    </w:p>
    <w:p w14:paraId="4A42ED6D" w14:textId="77777777" w:rsidR="00E63CA4" w:rsidRDefault="00E63CA4" w:rsidP="000F46FD">
      <w:pPr>
        <w:pStyle w:val="SCCNormalDoubleSpacing"/>
        <w:spacing w:after="240" w:line="240" w:lineRule="auto"/>
        <w:ind w:left="547" w:hanging="547"/>
        <w:rPr>
          <w:lang w:val="en-GB" w:bidi="en-US"/>
        </w:rPr>
      </w:pPr>
      <w:r w:rsidRPr="00E63CA4">
        <w:rPr>
          <w:lang w:val="en-GB" w:bidi="en-US"/>
        </w:rPr>
        <w:t xml:space="preserve">Kelly, Fiona. “Enforcing a Parent/Child Relationship At All Cost? Supervised Access Orders in the Canadian Courts” (2011), 49 </w:t>
      </w:r>
      <w:r w:rsidRPr="00E63CA4">
        <w:rPr>
          <w:i/>
          <w:lang w:val="en-GB" w:bidi="en-US"/>
        </w:rPr>
        <w:t>Osgoode Hall</w:t>
      </w:r>
      <w:r w:rsidRPr="00E63CA4">
        <w:rPr>
          <w:lang w:val="en-GB" w:bidi="en-US"/>
        </w:rPr>
        <w:t xml:space="preserve"> </w:t>
      </w:r>
      <w:r w:rsidRPr="00E63CA4">
        <w:rPr>
          <w:i/>
          <w:lang w:val="en-GB" w:bidi="en-US"/>
        </w:rPr>
        <w:t>L.J.</w:t>
      </w:r>
      <w:r w:rsidRPr="00E63CA4">
        <w:rPr>
          <w:lang w:val="en-GB" w:bidi="en-US"/>
        </w:rPr>
        <w:t xml:space="preserve"> 277.</w:t>
      </w:r>
    </w:p>
    <w:p w14:paraId="56C904BE" w14:textId="77777777" w:rsidR="00E63CA4" w:rsidRDefault="00E63CA4" w:rsidP="000F46FD">
      <w:pPr>
        <w:pStyle w:val="SCCNormalDoubleSpacing"/>
        <w:spacing w:after="240" w:line="240" w:lineRule="auto"/>
        <w:ind w:left="547" w:hanging="547"/>
        <w:rPr>
          <w:lang w:bidi="en-US"/>
        </w:rPr>
      </w:pPr>
      <w:r w:rsidRPr="00E63CA4">
        <w:rPr>
          <w:lang w:bidi="en-US"/>
        </w:rPr>
        <w:t xml:space="preserve">Leach, Carolyn, Elizabeth McCarty and Michelle Cheung. “Further Evidence in Child Protection Appeals in Ontario” (2012), 31 </w:t>
      </w:r>
      <w:r w:rsidRPr="00E63CA4">
        <w:rPr>
          <w:i/>
          <w:lang w:bidi="en-US"/>
        </w:rPr>
        <w:t xml:space="preserve">C.F.L.Q. </w:t>
      </w:r>
      <w:r w:rsidRPr="00E63CA4">
        <w:rPr>
          <w:lang w:bidi="en-US"/>
        </w:rPr>
        <w:t>177.</w:t>
      </w:r>
    </w:p>
    <w:p w14:paraId="2560E439" w14:textId="77777777" w:rsidR="004C7D51" w:rsidRDefault="004C7D51" w:rsidP="000F46FD">
      <w:pPr>
        <w:pStyle w:val="SCCNormalDoubleSpacing"/>
        <w:spacing w:after="240" w:line="240" w:lineRule="auto"/>
        <w:ind w:left="547" w:hanging="547"/>
        <w:rPr>
          <w:lang w:val="en-US" w:bidi="en-US"/>
        </w:rPr>
      </w:pPr>
      <w:r w:rsidRPr="004C7D51">
        <w:rPr>
          <w:lang w:val="en-US" w:bidi="en-US"/>
        </w:rPr>
        <w:lastRenderedPageBreak/>
        <w:t xml:space="preserve">Martinson, Donna, and Margaret Jackson. “Family Violence and Evolving Judicial Roles: Judges as Equality Guardians in Family Law Cases” (2017), 30 </w:t>
      </w:r>
      <w:r w:rsidRPr="004C7D51">
        <w:rPr>
          <w:i/>
          <w:lang w:val="en-US" w:bidi="en-US"/>
        </w:rPr>
        <w:t xml:space="preserve">Can. J. Fam. L. </w:t>
      </w:r>
      <w:r w:rsidRPr="004C7D51">
        <w:rPr>
          <w:lang w:val="en-US" w:bidi="en-US"/>
        </w:rPr>
        <w:t>11.</w:t>
      </w:r>
    </w:p>
    <w:p w14:paraId="19ECFE24" w14:textId="67CA0F58" w:rsidR="000004FE" w:rsidRDefault="00293124" w:rsidP="000F46FD">
      <w:pPr>
        <w:pStyle w:val="SCCNormalDoubleSpacing"/>
        <w:spacing w:after="240" w:line="240" w:lineRule="auto"/>
        <w:ind w:left="547" w:hanging="547"/>
        <w:rPr>
          <w:lang w:val="en-GB" w:bidi="en-US"/>
        </w:rPr>
      </w:pPr>
      <w:r>
        <w:rPr>
          <w:lang w:val="en-US" w:bidi="en-US"/>
        </w:rPr>
        <w:t xml:space="preserve">Neilson, Linda </w:t>
      </w:r>
      <w:r w:rsidR="000004FE" w:rsidRPr="000004FE">
        <w:rPr>
          <w:lang w:val="en-US" w:bidi="en-US"/>
        </w:rPr>
        <w:t xml:space="preserve">C. </w:t>
      </w:r>
      <w:r w:rsidR="000004FE" w:rsidRPr="000004FE">
        <w:rPr>
          <w:bCs/>
          <w:i/>
          <w:lang w:val="en-US" w:bidi="en-US"/>
        </w:rPr>
        <w:t>Responding to Domestic Violence in Family Law, Civil Protection &amp; Child Protection Cases</w:t>
      </w:r>
      <w:r w:rsidR="000004FE" w:rsidRPr="000004FE">
        <w:rPr>
          <w:bCs/>
          <w:lang w:val="en-US" w:bidi="en-US"/>
        </w:rPr>
        <w:t>,</w:t>
      </w:r>
      <w:r w:rsidR="000004FE" w:rsidRPr="000004FE">
        <w:rPr>
          <w:bCs/>
          <w:i/>
          <w:lang w:val="en-US" w:bidi="en-US"/>
        </w:rPr>
        <w:t xml:space="preserve"> </w:t>
      </w:r>
      <w:r w:rsidR="000004FE" w:rsidRPr="000004FE">
        <w:rPr>
          <w:bCs/>
          <w:lang w:val="en-US" w:bidi="en-US"/>
        </w:rPr>
        <w:t>2nd ed. Ottawa: Canadian Legal Information Institute, 2020</w:t>
      </w:r>
      <w:r w:rsidR="005942EA">
        <w:rPr>
          <w:bCs/>
          <w:lang w:val="en-US" w:bidi="en-US"/>
        </w:rPr>
        <w:t xml:space="preserve">, </w:t>
      </w:r>
      <w:r w:rsidR="005942EA" w:rsidRPr="000F06C0">
        <w:rPr>
          <w:bCs/>
          <w:lang w:val="en-US" w:bidi="en-US"/>
        </w:rPr>
        <w:t>2017 CanLIIDocs 2</w:t>
      </w:r>
      <w:r w:rsidR="005942EA">
        <w:rPr>
          <w:bCs/>
          <w:lang w:val="en-US" w:bidi="en-US"/>
        </w:rPr>
        <w:t xml:space="preserve"> (online: </w:t>
      </w:r>
      <w:r w:rsidR="005942EA" w:rsidRPr="005942EA">
        <w:rPr>
          <w:bCs/>
          <w:lang w:val="en-US" w:bidi="en-US"/>
        </w:rPr>
        <w:t>https://canlii.ca/t/ng</w:t>
      </w:r>
      <w:r w:rsidR="005942EA">
        <w:rPr>
          <w:bCs/>
          <w:lang w:val="en-US" w:bidi="en-US"/>
        </w:rPr>
        <w:t xml:space="preserve">; </w:t>
      </w:r>
      <w:r w:rsidR="005942EA" w:rsidRPr="005942EA">
        <w:rPr>
          <w:bCs/>
          <w:lang w:val="en-US" w:bidi="en-US"/>
        </w:rPr>
        <w:t xml:space="preserve">archived version: </w:t>
      </w:r>
      <w:hyperlink r:id="rId9" w:history="1">
        <w:r w:rsidR="005942EA" w:rsidRPr="005E1800">
          <w:rPr>
            <w:rStyle w:val="Hyperlink"/>
            <w:bCs/>
            <w:lang w:val="en-US" w:bidi="en-US"/>
          </w:rPr>
          <w:t>https://www.scc-csc.ca/cso-dce/2022SCC-CSC</w:t>
        </w:r>
        <w:r w:rsidR="00EE5644" w:rsidRPr="005E1800">
          <w:rPr>
            <w:rStyle w:val="Hyperlink"/>
            <w:bCs/>
            <w:lang w:val="en-US" w:bidi="en-US"/>
          </w:rPr>
          <w:t>22</w:t>
        </w:r>
        <w:r w:rsidR="005942EA" w:rsidRPr="005E1800">
          <w:rPr>
            <w:rStyle w:val="Hyperlink"/>
            <w:bCs/>
            <w:lang w:val="en-US" w:bidi="en-US"/>
          </w:rPr>
          <w:t>_1_eng.pdf</w:t>
        </w:r>
      </w:hyperlink>
      <w:r w:rsidR="005942EA">
        <w:rPr>
          <w:bCs/>
          <w:lang w:val="en-US" w:bidi="en-US"/>
        </w:rPr>
        <w:t>).</w:t>
      </w:r>
    </w:p>
    <w:p w14:paraId="7659AE2F" w14:textId="147F6047" w:rsidR="00E63CA4" w:rsidRDefault="00851998" w:rsidP="000F46FD">
      <w:pPr>
        <w:pStyle w:val="SCCNormalDoubleSpacing"/>
        <w:spacing w:after="240" w:line="240" w:lineRule="auto"/>
        <w:ind w:left="547" w:hanging="547"/>
        <w:rPr>
          <w:lang w:val="en-US" w:bidi="en-US"/>
        </w:rPr>
      </w:pPr>
      <w:r>
        <w:rPr>
          <w:lang w:val="en-US" w:bidi="en-US"/>
        </w:rPr>
        <w:t>Thompson, D. A. </w:t>
      </w:r>
      <w:r w:rsidR="00E63CA4" w:rsidRPr="00E63CA4">
        <w:rPr>
          <w:lang w:val="en-US" w:bidi="en-US"/>
        </w:rPr>
        <w:t xml:space="preserve">Rollie. “Ten Years After </w:t>
      </w:r>
      <w:r w:rsidR="00E63CA4" w:rsidRPr="00E63CA4">
        <w:rPr>
          <w:i/>
          <w:lang w:val="en-US" w:bidi="en-US"/>
        </w:rPr>
        <w:t>Gordon</w:t>
      </w:r>
      <w:r w:rsidR="00E63CA4" w:rsidRPr="00E63CA4">
        <w:rPr>
          <w:lang w:val="en-US" w:bidi="en-US"/>
        </w:rPr>
        <w:t xml:space="preserve">: No Law, Nowhere” (2007), 35 </w:t>
      </w:r>
      <w:r w:rsidR="00E63CA4" w:rsidRPr="00E63CA4">
        <w:rPr>
          <w:i/>
          <w:lang w:val="en-US" w:bidi="en-US"/>
        </w:rPr>
        <w:t xml:space="preserve">R.F.L. </w:t>
      </w:r>
      <w:r w:rsidR="00E63CA4" w:rsidRPr="00E63CA4">
        <w:rPr>
          <w:lang w:val="en-US" w:bidi="en-US"/>
        </w:rPr>
        <w:t>(6th) 307.</w:t>
      </w:r>
    </w:p>
    <w:p w14:paraId="5DC75F36" w14:textId="36E5EA0E" w:rsidR="00E63CA4" w:rsidRPr="00E63CA4" w:rsidRDefault="00E63CA4" w:rsidP="000F46FD">
      <w:pPr>
        <w:pStyle w:val="SCCNormalDoubleSpacing"/>
        <w:spacing w:after="720" w:line="240" w:lineRule="auto"/>
        <w:ind w:left="547" w:hanging="547"/>
        <w:rPr>
          <w:lang w:bidi="en-US"/>
        </w:rPr>
      </w:pPr>
      <w:r w:rsidRPr="00E63CA4">
        <w:rPr>
          <w:lang w:val="en-US" w:bidi="en-US"/>
        </w:rPr>
        <w:t>Thompson, Rollie. “Where Is B.C. Law</w:t>
      </w:r>
      <w:r w:rsidR="00103455">
        <w:rPr>
          <w:lang w:val="en-US" w:bidi="en-US"/>
        </w:rPr>
        <w:t xml:space="preserve"> Going? The New Mobility” (</w:t>
      </w:r>
      <w:r w:rsidRPr="00E63CA4">
        <w:rPr>
          <w:lang w:val="en-US" w:bidi="en-US"/>
        </w:rPr>
        <w:t xml:space="preserve">2012), 30 </w:t>
      </w:r>
      <w:r w:rsidRPr="00E63CA4">
        <w:rPr>
          <w:i/>
          <w:lang w:val="en-US" w:bidi="en-US"/>
        </w:rPr>
        <w:t xml:space="preserve">C.F.L.Q. </w:t>
      </w:r>
      <w:r w:rsidRPr="00E63CA4">
        <w:rPr>
          <w:lang w:val="en-US" w:bidi="en-US"/>
        </w:rPr>
        <w:t>235.</w:t>
      </w:r>
    </w:p>
    <w:p w14:paraId="7A11C245" w14:textId="23813503" w:rsidR="00656313" w:rsidRDefault="009B57B3" w:rsidP="000F46FD">
      <w:pPr>
        <w:pStyle w:val="SCCNormalDoubleSpacing"/>
        <w:spacing w:after="480"/>
      </w:pPr>
      <w:r w:rsidRPr="001426A9">
        <w:tab/>
      </w:r>
      <w:r w:rsidRPr="00C4447E">
        <w:t xml:space="preserve">APPEAL from a judgment of the </w:t>
      </w:r>
      <w:r w:rsidR="00AA6540" w:rsidRPr="00C4447E">
        <w:t>British Columbia Court of Appeal (</w:t>
      </w:r>
      <w:r w:rsidR="00F5019C">
        <w:t>Newbury, DeWitt</w:t>
      </w:r>
      <w:r w:rsidR="00F5019C">
        <w:noBreakHyphen/>
        <w:t xml:space="preserve">Van </w:t>
      </w:r>
      <w:r w:rsidR="00F20F18" w:rsidRPr="00C4447E">
        <w:t>Oosten and</w:t>
      </w:r>
      <w:r w:rsidR="00F5019C">
        <w:t xml:space="preserve"> Voith </w:t>
      </w:r>
      <w:r w:rsidR="00DA517F" w:rsidRPr="00C4447E">
        <w:t xml:space="preserve">JJ.A.), </w:t>
      </w:r>
      <w:hyperlink r:id="rId10" w:history="1">
        <w:r w:rsidR="00660EBD" w:rsidRPr="00EE5644">
          <w:rPr>
            <w:rStyle w:val="Hyperlink"/>
          </w:rPr>
          <w:t>2021 BCCA 11</w:t>
        </w:r>
      </w:hyperlink>
      <w:r w:rsidR="00660EBD" w:rsidRPr="00C4447E">
        <w:t>, 45 B.C.L.R. (6th) 14, 50 R.</w:t>
      </w:r>
      <w:r w:rsidR="00F5019C">
        <w:t>F.L. (8th) 1, [2021] B.C.J. No. </w:t>
      </w:r>
      <w:r w:rsidR="00660EBD" w:rsidRPr="00C4447E">
        <w:t>38 (</w:t>
      </w:r>
      <w:r w:rsidR="00545413">
        <w:t>QL), 2021 CarswellBC 46 (WL</w:t>
      </w:r>
      <w:r w:rsidR="00660EBD" w:rsidRPr="00C4447E">
        <w:t>),</w:t>
      </w:r>
      <w:r w:rsidR="00660EBD">
        <w:t xml:space="preserve"> </w:t>
      </w:r>
      <w:r w:rsidR="00DA517F" w:rsidRPr="006A6E9C">
        <w:t xml:space="preserve">setting aside </w:t>
      </w:r>
      <w:r w:rsidR="006A6E9C" w:rsidRPr="006A6E9C">
        <w:t xml:space="preserve">in part </w:t>
      </w:r>
      <w:r w:rsidR="00DA517F" w:rsidRPr="006A6E9C">
        <w:t>a decision of</w:t>
      </w:r>
      <w:r w:rsidR="00DA517F">
        <w:t xml:space="preserve"> </w:t>
      </w:r>
      <w:r w:rsidR="00DA517F" w:rsidRPr="00C4447E">
        <w:t xml:space="preserve">Saunders J., </w:t>
      </w:r>
      <w:r w:rsidR="00684CA8" w:rsidRPr="00C4447E">
        <w:t xml:space="preserve">2019 BCSC 2192, </w:t>
      </w:r>
      <w:r w:rsidR="00684CA8" w:rsidRPr="009A504D">
        <w:t xml:space="preserve">34 R.F.L. (8th) 331, [2019] </w:t>
      </w:r>
      <w:r w:rsidR="00F5019C" w:rsidRPr="009A504D">
        <w:t>B.C.J. No. </w:t>
      </w:r>
      <w:r w:rsidR="00684CA8" w:rsidRPr="009A504D">
        <w:t>2460 (QL</w:t>
      </w:r>
      <w:r w:rsidR="00C4035E" w:rsidRPr="009A504D">
        <w:t>), 2019 CarswellBC 3770 (WL</w:t>
      </w:r>
      <w:r w:rsidR="00684CA8" w:rsidRPr="009A504D">
        <w:t>).</w:t>
      </w:r>
      <w:r w:rsidR="006E2085" w:rsidRPr="009A504D">
        <w:t xml:space="preserve"> </w:t>
      </w:r>
      <w:r w:rsidR="00621254" w:rsidRPr="009A504D">
        <w:t>Appeal allowed</w:t>
      </w:r>
      <w:r w:rsidR="00C06278" w:rsidRPr="009A504D">
        <w:t>, Côté </w:t>
      </w:r>
      <w:r w:rsidR="00631659" w:rsidRPr="009A504D">
        <w:t>J. dissenting</w:t>
      </w:r>
      <w:r w:rsidR="00582788" w:rsidRPr="009A504D">
        <w:t xml:space="preserve"> in part</w:t>
      </w:r>
      <w:r w:rsidR="000F46FD" w:rsidRPr="009A504D">
        <w:t>.</w:t>
      </w:r>
    </w:p>
    <w:p w14:paraId="1ADAFEEC" w14:textId="77777777" w:rsidR="006F53EA" w:rsidRPr="00C4447E" w:rsidRDefault="00214A4B" w:rsidP="000F46FD">
      <w:pPr>
        <w:pStyle w:val="SCCNormalDoubleSpacing"/>
        <w:spacing w:after="480"/>
      </w:pPr>
      <w:r>
        <w:rPr>
          <w:rStyle w:val="SCCCounselNameChar"/>
        </w:rPr>
        <w:tab/>
      </w:r>
      <w:r w:rsidRPr="00C4447E">
        <w:rPr>
          <w:rStyle w:val="SCCCounselNameChar"/>
        </w:rPr>
        <w:t>Darius Bossé</w:t>
      </w:r>
      <w:r w:rsidRPr="00C4447E">
        <w:rPr>
          <w:rStyle w:val="SCCCounselNameChar"/>
          <w:i w:val="0"/>
        </w:rPr>
        <w:t>,</w:t>
      </w:r>
      <w:r w:rsidRPr="00C4447E">
        <w:rPr>
          <w:rStyle w:val="SCCCounselNameChar"/>
        </w:rPr>
        <w:t xml:space="preserve"> Mark Power</w:t>
      </w:r>
      <w:r w:rsidR="009F5B8A" w:rsidRPr="00C4447E">
        <w:rPr>
          <w:rStyle w:val="SCCCounselNameChar"/>
        </w:rPr>
        <w:t xml:space="preserve"> </w:t>
      </w:r>
      <w:r w:rsidR="009F5B8A" w:rsidRPr="00C4447E">
        <w:rPr>
          <w:rStyle w:val="SCCCounselSeparatorChar"/>
        </w:rPr>
        <w:t>and</w:t>
      </w:r>
      <w:r w:rsidRPr="00C4447E">
        <w:rPr>
          <w:rStyle w:val="SCCCounselSeparatorChar"/>
        </w:rPr>
        <w:t xml:space="preserve"> </w:t>
      </w:r>
      <w:r w:rsidRPr="00C4447E">
        <w:rPr>
          <w:rStyle w:val="SCCCounselNameChar"/>
        </w:rPr>
        <w:t>Ryan Beaton</w:t>
      </w:r>
      <w:r w:rsidR="009F5B8A" w:rsidRPr="00C4447E">
        <w:rPr>
          <w:rStyle w:val="SCCCounselPartyRoleChar"/>
        </w:rPr>
        <w:t>, for the appellant.</w:t>
      </w:r>
    </w:p>
    <w:p w14:paraId="6711FB8D" w14:textId="30D55AD2" w:rsidR="006F53EA" w:rsidRPr="00C4447E" w:rsidRDefault="000F46FD" w:rsidP="000F46FD">
      <w:pPr>
        <w:pStyle w:val="SCCNormalDoubleSpacing"/>
        <w:spacing w:after="480"/>
      </w:pPr>
      <w:r w:rsidRPr="00C4447E">
        <w:rPr>
          <w:rStyle w:val="SCCCounselNameChar"/>
        </w:rPr>
        <w:tab/>
      </w:r>
      <w:r w:rsidR="00293124">
        <w:rPr>
          <w:rStyle w:val="SCCCounselNameChar"/>
        </w:rPr>
        <w:t xml:space="preserve">Georgialee </w:t>
      </w:r>
      <w:r w:rsidR="008C6A02" w:rsidRPr="00C4447E">
        <w:rPr>
          <w:rStyle w:val="SCCCounselNameChar"/>
        </w:rPr>
        <w:t xml:space="preserve">A. </w:t>
      </w:r>
      <w:r w:rsidR="009F5B8A" w:rsidRPr="00C4447E">
        <w:rPr>
          <w:rStyle w:val="SCCCounselNameChar"/>
        </w:rPr>
        <w:t>Lang</w:t>
      </w:r>
      <w:r w:rsidR="009F5B8A" w:rsidRPr="00C4447E">
        <w:rPr>
          <w:rStyle w:val="SCCCounselPartyRoleChar"/>
        </w:rPr>
        <w:t>, for the respondent.</w:t>
      </w:r>
    </w:p>
    <w:p w14:paraId="7AF3CF86" w14:textId="0DA98A8C" w:rsidR="006F53EA" w:rsidRPr="00C4447E" w:rsidRDefault="00214A4B" w:rsidP="000F46FD">
      <w:pPr>
        <w:pStyle w:val="SCCNormalDoubleSpacing"/>
        <w:spacing w:after="480"/>
      </w:pPr>
      <w:r w:rsidRPr="00C4447E">
        <w:rPr>
          <w:rStyle w:val="SCCCounselNameChar"/>
        </w:rPr>
        <w:tab/>
        <w:t>Ian Ross</w:t>
      </w:r>
      <w:r w:rsidRPr="00C4447E">
        <w:rPr>
          <w:rStyle w:val="SCCCounselNameChar"/>
          <w:i w:val="0"/>
        </w:rPr>
        <w:t>,</w:t>
      </w:r>
      <w:r w:rsidR="000F46FD" w:rsidRPr="00C4447E">
        <w:rPr>
          <w:rStyle w:val="SCCCounselNameChar"/>
        </w:rPr>
        <w:t xml:space="preserve"> </w:t>
      </w:r>
      <w:r w:rsidR="00293124">
        <w:rPr>
          <w:rStyle w:val="SCCCounselNameChar"/>
        </w:rPr>
        <w:t xml:space="preserve">Caterina </w:t>
      </w:r>
      <w:r w:rsidR="008C6A02" w:rsidRPr="00C4447E">
        <w:rPr>
          <w:rStyle w:val="SCCCounselNameChar"/>
        </w:rPr>
        <w:t xml:space="preserve">E. </w:t>
      </w:r>
      <w:r w:rsidR="009F5B8A" w:rsidRPr="00C4447E">
        <w:rPr>
          <w:rStyle w:val="SCCCounselNameChar"/>
        </w:rPr>
        <w:t>Tempesta</w:t>
      </w:r>
      <w:r w:rsidR="009F5B8A" w:rsidRPr="00C4447E">
        <w:rPr>
          <w:rStyle w:val="SCCCounselSeparatorChar"/>
        </w:rPr>
        <w:t xml:space="preserve"> and </w:t>
      </w:r>
      <w:r w:rsidR="009F5B8A" w:rsidRPr="00C4447E">
        <w:rPr>
          <w:rStyle w:val="SCCCounselNameChar"/>
        </w:rPr>
        <w:t>Samantha Wisnicki</w:t>
      </w:r>
      <w:r w:rsidR="009F5B8A" w:rsidRPr="00C4447E">
        <w:rPr>
          <w:rStyle w:val="SCCCounselPartyRoleChar"/>
        </w:rPr>
        <w:t xml:space="preserve">, for the intervener </w:t>
      </w:r>
      <w:r w:rsidR="00361E03" w:rsidRPr="00C4447E">
        <w:rPr>
          <w:rStyle w:val="SCCCounselPartyRoleChar"/>
        </w:rPr>
        <w:t xml:space="preserve">the </w:t>
      </w:r>
      <w:r w:rsidR="009F5B8A" w:rsidRPr="00C4447E">
        <w:rPr>
          <w:rStyle w:val="SCCCounselPartyRoleChar"/>
        </w:rPr>
        <w:t>Office of the Children</w:t>
      </w:r>
      <w:r w:rsidR="00C11747" w:rsidRPr="00C4447E">
        <w:rPr>
          <w:rStyle w:val="SCCCounselPartyRoleChar"/>
        </w:rPr>
        <w:t>’</w:t>
      </w:r>
      <w:r w:rsidR="009F5B8A" w:rsidRPr="00C4447E">
        <w:rPr>
          <w:rStyle w:val="SCCCounselPartyRoleChar"/>
        </w:rPr>
        <w:t>s Lawyer.</w:t>
      </w:r>
    </w:p>
    <w:p w14:paraId="57CAADAD" w14:textId="4F465AA4" w:rsidR="006F53EA" w:rsidRDefault="00293124" w:rsidP="000F46FD">
      <w:pPr>
        <w:pStyle w:val="SCCNormalDoubleSpacing"/>
        <w:spacing w:after="480"/>
      </w:pPr>
      <w:r>
        <w:rPr>
          <w:rStyle w:val="SCCCounselNameChar"/>
        </w:rPr>
        <w:lastRenderedPageBreak/>
        <w:tab/>
        <w:t xml:space="preserve">Claire </w:t>
      </w:r>
      <w:r w:rsidR="009F5B8A" w:rsidRPr="00C4447E">
        <w:rPr>
          <w:rStyle w:val="SCCCounselNameChar"/>
        </w:rPr>
        <w:t>E. Hunter</w:t>
      </w:r>
      <w:r w:rsidR="009F5B8A" w:rsidRPr="00C4447E">
        <w:rPr>
          <w:rStyle w:val="SCCCounselNameChar"/>
          <w:i w:val="0"/>
        </w:rPr>
        <w:t>,</w:t>
      </w:r>
      <w:r w:rsidR="00214A4B" w:rsidRPr="00C4447E">
        <w:rPr>
          <w:rStyle w:val="SCCCounselNameChar"/>
        </w:rPr>
        <w:t xml:space="preserve"> Q.C.</w:t>
      </w:r>
      <w:r w:rsidR="00214A4B" w:rsidRPr="00C4447E">
        <w:rPr>
          <w:rStyle w:val="SCCCounselNameChar"/>
          <w:i w:val="0"/>
        </w:rPr>
        <w:t>,</w:t>
      </w:r>
      <w:r w:rsidR="009F5B8A" w:rsidRPr="00C4447E">
        <w:rPr>
          <w:rStyle w:val="SCCCounselNameChar"/>
        </w:rPr>
        <w:t xml:space="preserve"> Kate Feeney</w:t>
      </w:r>
      <w:r w:rsidR="009F5B8A" w:rsidRPr="00C4447E">
        <w:rPr>
          <w:rStyle w:val="SCCCounselNameChar"/>
          <w:i w:val="0"/>
        </w:rPr>
        <w:t>,</w:t>
      </w:r>
      <w:r w:rsidR="009F5B8A" w:rsidRPr="00C4447E">
        <w:rPr>
          <w:rStyle w:val="SCCCounselNameChar"/>
        </w:rPr>
        <w:t xml:space="preserve"> Kimberley Hawkins</w:t>
      </w:r>
      <w:r w:rsidR="009F5B8A" w:rsidRPr="00C4447E">
        <w:rPr>
          <w:rStyle w:val="SCCCounselSeparatorChar"/>
        </w:rPr>
        <w:t xml:space="preserve"> and </w:t>
      </w:r>
      <w:r w:rsidR="00214A4B" w:rsidRPr="00C4447E">
        <w:rPr>
          <w:rStyle w:val="SCCCounselNameChar"/>
        </w:rPr>
        <w:t>Diana </w:t>
      </w:r>
      <w:r w:rsidR="009F5B8A" w:rsidRPr="00C4447E">
        <w:rPr>
          <w:rStyle w:val="SCCCounselNameChar"/>
        </w:rPr>
        <w:t xml:space="preserve">C. </w:t>
      </w:r>
      <w:r w:rsidR="00214A4B" w:rsidRPr="00C4447E">
        <w:rPr>
          <w:rStyle w:val="SCCCounselNameChar"/>
        </w:rPr>
        <w:t>Sepúlveda</w:t>
      </w:r>
      <w:r w:rsidR="009F5B8A" w:rsidRPr="00C4447E">
        <w:rPr>
          <w:rStyle w:val="SCCCounselPartyRoleChar"/>
        </w:rPr>
        <w:t>, for the intervener</w:t>
      </w:r>
      <w:r w:rsidR="003732AE" w:rsidRPr="00C4447E">
        <w:rPr>
          <w:rStyle w:val="SCCCounselPartyRoleChar"/>
        </w:rPr>
        <w:t>s</w:t>
      </w:r>
      <w:r w:rsidR="009F5B8A" w:rsidRPr="00C4447E">
        <w:rPr>
          <w:rStyle w:val="SCCCounselPartyRoleChar"/>
        </w:rPr>
        <w:t xml:space="preserve"> </w:t>
      </w:r>
      <w:r w:rsidR="00361E03" w:rsidRPr="00C4447E">
        <w:rPr>
          <w:rStyle w:val="SCCCounselPartyRoleChar"/>
        </w:rPr>
        <w:t xml:space="preserve">the </w:t>
      </w:r>
      <w:r w:rsidR="004155C7" w:rsidRPr="004155C7">
        <w:rPr>
          <w:rStyle w:val="SCCCounselPartyRoleChar"/>
        </w:rPr>
        <w:t>West Coast Legal Education and Action Fund Association</w:t>
      </w:r>
      <w:r w:rsidR="00361E03" w:rsidRPr="00C4447E">
        <w:rPr>
          <w:rStyle w:val="SCCCounselPartyRoleChar"/>
        </w:rPr>
        <w:t xml:space="preserve"> and the Rise Women’s Legal Centre</w:t>
      </w:r>
      <w:r w:rsidR="009F5B8A" w:rsidRPr="00C4447E">
        <w:rPr>
          <w:rStyle w:val="SCCCounselPartyRoleChar"/>
        </w:rPr>
        <w:t>.</w:t>
      </w:r>
    </w:p>
    <w:p w14:paraId="187CFA00" w14:textId="77777777" w:rsidR="00E24573" w:rsidRDefault="00E24573" w:rsidP="000F46FD">
      <w:pPr>
        <w:pStyle w:val="SCCNormalDoubleSpacing"/>
        <w:spacing w:after="480"/>
      </w:pPr>
    </w:p>
    <w:p w14:paraId="783B6BDC" w14:textId="77777777" w:rsidR="00567205" w:rsidRDefault="00567205" w:rsidP="005E1800">
      <w:pPr>
        <w:ind w:firstLine="1134"/>
        <w:rPr>
          <w:szCs w:val="24"/>
        </w:rPr>
      </w:pPr>
      <w:r>
        <w:rPr>
          <w:szCs w:val="24"/>
        </w:rPr>
        <w:t>The reasons for judgment</w:t>
      </w:r>
      <w:r w:rsidRPr="00CD355D">
        <w:rPr>
          <w:szCs w:val="24"/>
        </w:rPr>
        <w:t xml:space="preserve"> of Wagner C.J. and Moldaver, Karakatsanis, Brown, Rowe, Martin, Kasirer and Jamal JJ.</w:t>
      </w:r>
      <w:r>
        <w:rPr>
          <w:szCs w:val="24"/>
        </w:rPr>
        <w:t xml:space="preserve"> were</w:t>
      </w:r>
      <w:r w:rsidRPr="00CD355D">
        <w:rPr>
          <w:szCs w:val="24"/>
        </w:rPr>
        <w:t xml:space="preserve"> delivered by</w:t>
      </w:r>
    </w:p>
    <w:p w14:paraId="1AA5D2DB" w14:textId="77777777" w:rsidR="00567205" w:rsidRDefault="00567205" w:rsidP="00567205">
      <w:pPr>
        <w:ind w:firstLine="720"/>
        <w:rPr>
          <w:szCs w:val="24"/>
        </w:rPr>
      </w:pPr>
    </w:p>
    <w:p w14:paraId="762BD95A" w14:textId="77777777" w:rsidR="00567205" w:rsidRPr="00BE11F5" w:rsidRDefault="00567205" w:rsidP="00567205">
      <w:pPr>
        <w:pStyle w:val="JudgeJuge"/>
        <w:tabs>
          <w:tab w:val="left" w:pos="1170"/>
        </w:tabs>
      </w:pPr>
      <w:r w:rsidRPr="00BE11F5">
        <w:tab/>
        <w:t xml:space="preserve">Karakatsanis J. — </w:t>
      </w:r>
    </w:p>
    <w:p w14:paraId="0B3E36A1" w14:textId="77777777" w:rsidR="00567205" w:rsidRPr="00BE11F5" w:rsidRDefault="00567205" w:rsidP="00567205">
      <w:pPr>
        <w:pStyle w:val="Title1LevelTitre1Niveau-AltL"/>
        <w:tabs>
          <w:tab w:val="left" w:pos="1170"/>
        </w:tabs>
        <w:jc w:val="both"/>
        <w:rPr>
          <w:rFonts w:cs="Times New Roman"/>
        </w:rPr>
      </w:pPr>
      <w:r w:rsidRPr="00BE11F5">
        <w:rPr>
          <w:rFonts w:cs="Times New Roman"/>
        </w:rPr>
        <w:t>Overview</w:t>
      </w:r>
    </w:p>
    <w:p w14:paraId="6CC26560" w14:textId="77777777" w:rsidR="00567205" w:rsidRPr="00BE11F5" w:rsidRDefault="00567205" w:rsidP="00567205">
      <w:pPr>
        <w:pStyle w:val="ParaNoNdepar-AltN"/>
        <w:tabs>
          <w:tab w:val="clear" w:pos="1152"/>
          <w:tab w:val="left" w:pos="1170"/>
        </w:tabs>
        <w:rPr>
          <w:rFonts w:cs="Times New Roman"/>
        </w:rPr>
      </w:pPr>
      <w:r w:rsidRPr="00BE11F5">
        <w:rPr>
          <w:rFonts w:cs="Times New Roman"/>
        </w:rPr>
        <w:t>An appeal is not a retrial. Nor is it licence for an appellate court to review the evidence afresh. When appellate courts stray beyond the proper bounds of review, finality and order in our system of justice is compromised. But not every trial decision can weather a dynamic and unpredictable future. Once it is rendered, lives go on and circumstances may change. When additional evidence is put forward, how should appellate courts reconcile the need for finality and order in our legal system with the need for decisions that reflect the just result in the proceedings before the court? And conversely, what framework should guide trial judges when they determine whether relocation is in a child’s best interests, to ensure a just result that can navigate what lies ahead? This appeal raises both questions.</w:t>
      </w:r>
    </w:p>
    <w:p w14:paraId="78B7F820" w14:textId="77777777" w:rsidR="00567205" w:rsidRPr="00BE11F5" w:rsidRDefault="00567205" w:rsidP="00567205">
      <w:pPr>
        <w:pStyle w:val="ParaNoNdepar-AltN"/>
        <w:tabs>
          <w:tab w:val="clear" w:pos="1152"/>
          <w:tab w:val="left" w:pos="1170"/>
        </w:tabs>
        <w:rPr>
          <w:rFonts w:cs="Times New Roman"/>
        </w:rPr>
      </w:pPr>
      <w:r w:rsidRPr="00BE11F5">
        <w:rPr>
          <w:rFonts w:cs="Times New Roman"/>
        </w:rPr>
        <w:lastRenderedPageBreak/>
        <w:t>The Court must first determine the test that applies to the admission of additional evidence on appeal. The Court is asked to decide whether a legal distinction should be drawn between admitting “fresh evidence” (concerning events that occurred before trial) and “new evidence” (concerning events that occurred after trial).</w:t>
      </w:r>
    </w:p>
    <w:p w14:paraId="44B6E553" w14:textId="77777777" w:rsidR="00567205" w:rsidRPr="00BE11F5" w:rsidRDefault="00567205" w:rsidP="00567205">
      <w:pPr>
        <w:pStyle w:val="ParaNoNdepar-AltN"/>
        <w:tabs>
          <w:tab w:val="clear" w:pos="1152"/>
          <w:tab w:val="left" w:pos="1170"/>
        </w:tabs>
        <w:rPr>
          <w:rFonts w:cs="Times New Roman"/>
        </w:rPr>
      </w:pPr>
      <w:r w:rsidRPr="00BE11F5">
        <w:rPr>
          <w:rFonts w:cs="Times New Roman"/>
        </w:rPr>
        <w:t xml:space="preserve">In my view, the test in </w:t>
      </w:r>
      <w:r w:rsidRPr="00BE11F5">
        <w:rPr>
          <w:rFonts w:cs="Times New Roman"/>
          <w:i/>
        </w:rPr>
        <w:t>Palmer v. The Queen</w:t>
      </w:r>
      <w:r w:rsidRPr="00BE11F5">
        <w:rPr>
          <w:rFonts w:cs="Times New Roman"/>
        </w:rPr>
        <w:t xml:space="preserve">, [1980] 1 S.C.R. 759, applies whenever a party seeks to adduce additional evidence on appeal for the purpose of reviewing the decision below, regardless of whether the evidence relates to facts that occurred before or after trial. Appellate courts must apply the </w:t>
      </w:r>
      <w:r w:rsidRPr="00BE11F5">
        <w:rPr>
          <w:rFonts w:cs="Times New Roman"/>
          <w:i/>
        </w:rPr>
        <w:t>Palmer</w:t>
      </w:r>
      <w:r w:rsidRPr="00BE11F5">
        <w:rPr>
          <w:rFonts w:cs="Times New Roman"/>
        </w:rPr>
        <w:t xml:space="preserve"> criteria to determine whether finality and order in the administration of justice must yield in service of a just outcome. The overarching consideration is the interests of justice, regardless of when the evidence, or fact, came into existence.</w:t>
      </w:r>
    </w:p>
    <w:p w14:paraId="37888B2D" w14:textId="77777777" w:rsidR="00567205" w:rsidRPr="00BE11F5" w:rsidRDefault="00567205" w:rsidP="00567205">
      <w:pPr>
        <w:pStyle w:val="ParaNoNdepar-AltN"/>
        <w:tabs>
          <w:tab w:val="clear" w:pos="1152"/>
          <w:tab w:val="left" w:pos="1170"/>
        </w:tabs>
        <w:rPr>
          <w:rFonts w:cs="Times New Roman"/>
        </w:rPr>
      </w:pPr>
      <w:r w:rsidRPr="00BE11F5">
        <w:rPr>
          <w:rFonts w:cs="Times New Roman"/>
        </w:rPr>
        <w:t xml:space="preserve">In cases where the best interests of the child are the primary concern, the </w:t>
      </w:r>
      <w:r w:rsidRPr="00BE11F5">
        <w:rPr>
          <w:rFonts w:cs="Times New Roman"/>
          <w:i/>
        </w:rPr>
        <w:t>Palmer</w:t>
      </w:r>
      <w:r w:rsidRPr="00BE11F5">
        <w:rPr>
          <w:rFonts w:cs="Times New Roman"/>
        </w:rPr>
        <w:t xml:space="preserve"> test is sufficiently flexible to recognize that it may be in the interests of justice for a court to have more context before rendering decisions that could profoundly alter the course of a child’s life. At the same time, finality and order are critically important in family proceedings, and factual developments that occur subsequent to trial are usually better addressed through variation procedures.</w:t>
      </w:r>
    </w:p>
    <w:p w14:paraId="0C501804" w14:textId="77777777" w:rsidR="00567205" w:rsidRPr="00BE11F5" w:rsidRDefault="00567205" w:rsidP="00567205">
      <w:pPr>
        <w:pStyle w:val="ParaNoNdepar-AltN"/>
        <w:tabs>
          <w:tab w:val="clear" w:pos="1152"/>
          <w:tab w:val="left" w:pos="1170"/>
        </w:tabs>
        <w:rPr>
          <w:rFonts w:cs="Times New Roman"/>
        </w:rPr>
      </w:pPr>
      <w:r w:rsidRPr="00BE11F5">
        <w:rPr>
          <w:rFonts w:cs="Times New Roman"/>
        </w:rPr>
        <w:t xml:space="preserve">In this case, the Court of Appeal for British Columbia held that </w:t>
      </w:r>
      <w:r w:rsidRPr="00BE11F5">
        <w:rPr>
          <w:rFonts w:cs="Times New Roman"/>
          <w:i/>
        </w:rPr>
        <w:t>Palmer</w:t>
      </w:r>
      <w:r w:rsidRPr="00BE11F5">
        <w:rPr>
          <w:rFonts w:cs="Times New Roman"/>
        </w:rPr>
        <w:t xml:space="preserve"> did not strictly govern the admission of new evidence on appeal. Instead, it applied a different test and admitted the evidence. It erred in doing so.</w:t>
      </w:r>
    </w:p>
    <w:p w14:paraId="77B5FCAF" w14:textId="77777777" w:rsidR="00567205" w:rsidRPr="00BE11F5" w:rsidRDefault="00567205" w:rsidP="00567205">
      <w:pPr>
        <w:pStyle w:val="ParaNoNdepar-AltN"/>
        <w:tabs>
          <w:tab w:val="clear" w:pos="1152"/>
          <w:tab w:val="left" w:pos="1170"/>
        </w:tabs>
        <w:rPr>
          <w:rFonts w:cs="Times New Roman"/>
        </w:rPr>
      </w:pPr>
      <w:r w:rsidRPr="00BE11F5">
        <w:rPr>
          <w:rFonts w:cs="Times New Roman"/>
        </w:rPr>
        <w:lastRenderedPageBreak/>
        <w:t xml:space="preserve">In my view, the evidence did not satisfy the </w:t>
      </w:r>
      <w:r w:rsidRPr="00BE11F5">
        <w:rPr>
          <w:rFonts w:cs="Times New Roman"/>
          <w:i/>
        </w:rPr>
        <w:t>Palmer</w:t>
      </w:r>
      <w:r w:rsidRPr="00BE11F5">
        <w:rPr>
          <w:rFonts w:cs="Times New Roman"/>
        </w:rPr>
        <w:t xml:space="preserve"> criteria. The respondent sought to overturn an unfavourable trial outcome by adducing evidence on appeal that could have been available at first instance, had he acted with due diligence. Effectively, he was allowed to remedy the deficiencies in his trial evidence on appeal — with the benefit, and guidance, of the trial reasons. This gave rise to considerable unfairness. And in any event, evidence in family law appeals that is tendered for the purpose of showing a material change of circumstances is more appropriately raised at a variation hearing. </w:t>
      </w:r>
      <w:r w:rsidRPr="00BE11F5">
        <w:rPr>
          <w:rFonts w:cs="Times New Roman"/>
          <w:i/>
        </w:rPr>
        <w:t xml:space="preserve">Palmer </w:t>
      </w:r>
      <w:r w:rsidRPr="00BE11F5">
        <w:rPr>
          <w:rFonts w:cs="Times New Roman"/>
        </w:rPr>
        <w:t>should not be used to circumvent a variation scheme that Parliament specifically designed to address such developments. Admission of this evidence on appeal was not in the interests of justice.</w:t>
      </w:r>
    </w:p>
    <w:p w14:paraId="1BABBE5C" w14:textId="77777777" w:rsidR="00567205" w:rsidRPr="00BE11F5" w:rsidRDefault="00567205" w:rsidP="00567205">
      <w:pPr>
        <w:pStyle w:val="ParaNoNdepar-AltN"/>
        <w:tabs>
          <w:tab w:val="clear" w:pos="1152"/>
          <w:tab w:val="left" w:pos="1170"/>
        </w:tabs>
        <w:rPr>
          <w:rFonts w:cs="Times New Roman"/>
        </w:rPr>
      </w:pPr>
      <w:r w:rsidRPr="00BE11F5">
        <w:rPr>
          <w:rFonts w:cs="Times New Roman"/>
        </w:rPr>
        <w:t xml:space="preserve">The second broad issue in this case relates to the legal framework for determining whether it is in a child’s best interests to allow a parent to relocate with the child, away from the other parent. It concerns the application of </w:t>
      </w:r>
      <w:r w:rsidRPr="00BE11F5">
        <w:rPr>
          <w:rFonts w:cs="Times New Roman"/>
          <w:i/>
        </w:rPr>
        <w:t>Gordon v. Goertz</w:t>
      </w:r>
      <w:r w:rsidRPr="00BE11F5">
        <w:rPr>
          <w:rFonts w:cs="Times New Roman"/>
        </w:rPr>
        <w:t xml:space="preserve">, [1996] 2 S.C.R. 27, as refined by the case law over the past two decades and viewed in light of the recent amendments of the </w:t>
      </w:r>
      <w:r w:rsidRPr="00BE11F5">
        <w:rPr>
          <w:rFonts w:cs="Times New Roman"/>
          <w:i/>
        </w:rPr>
        <w:t>Divorce Act</w:t>
      </w:r>
      <w:r w:rsidRPr="00BE11F5">
        <w:rPr>
          <w:rFonts w:cs="Times New Roman"/>
          <w:lang w:val="en-GB"/>
        </w:rPr>
        <w:t>,</w:t>
      </w:r>
      <w:r w:rsidRPr="00BE11F5">
        <w:rPr>
          <w:rFonts w:cs="Times New Roman"/>
          <w:i/>
          <w:lang w:val="en-GB"/>
        </w:rPr>
        <w:t xml:space="preserve"> </w:t>
      </w:r>
      <w:r w:rsidRPr="00BE11F5">
        <w:rPr>
          <w:rFonts w:cs="Times New Roman"/>
          <w:lang w:val="en-GB"/>
        </w:rPr>
        <w:t>R.S.C. 1985, c. 3 (2nd Supp.).</w:t>
      </w:r>
    </w:p>
    <w:p w14:paraId="26B2A1C5"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Determining the best interests of the child is a heavy responsibility, with profound impacts on children, families and society. In many cases, the answer is difficult — the court must choose between competing and often compelling visions of how to best advance the needs and interests of the child. The challenge is even greater in mobility cases. Geographic distance reduces flexibility, disrupts established patterns, and inevitably impacts the relationship between a parent and a child. The forward-</w:t>
      </w:r>
      <w:r w:rsidRPr="00BE11F5">
        <w:rPr>
          <w:rFonts w:cs="Times New Roman"/>
        </w:rPr>
        <w:lastRenderedPageBreak/>
        <w:t xml:space="preserve">looking nature of relocation cases requires judges to craft a disposition at a fixed point in time that is both sensitive to that child’s present circumstances and can withstand the test of time and adversity. </w:t>
      </w:r>
    </w:p>
    <w:p w14:paraId="2DF4CDF2"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The law relating to the best interests of the child has long emphasized the need for individualized and discretionary decision making. But children also need predictability and certainty. To balance these competing interests, the law provides a framework and factors to structure a judge’s discretion. This case calls on the Court to examine how some of those considerations apply in mobility cases. In particular, I clarify that a moving parent’s reasons for relocation and the “maximum contact factor” are relevant only to the extent they bear upon the best interests of the child; a parent’s testimony about whether they will move regardless of the outcome of the relocation application should not be considered; and family violence is a significant factor impacting the best interests of the child.</w:t>
      </w:r>
    </w:p>
    <w:p w14:paraId="238D8C6A"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Here, the trial judge did not err in his conclusion that relocation was in the best interests of the children.</w:t>
      </w:r>
      <w:r w:rsidRPr="00BE11F5">
        <w:rPr>
          <w:rFonts w:cs="Times New Roman"/>
          <w:i/>
        </w:rPr>
        <w:t xml:space="preserve"> </w:t>
      </w:r>
      <w:r w:rsidRPr="00BE11F5">
        <w:rPr>
          <w:rFonts w:cs="Times New Roman"/>
        </w:rPr>
        <w:t>His factual findings and the weight he ascribed to factors bearing on the children’s best interests warranted deference on appeal. In the absence of any reviewable error, the Court of Appeal was wrong to intervene.</w:t>
      </w:r>
    </w:p>
    <w:p w14:paraId="08508DA3"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At the conclusion of the hearing, the Court (Côté J. dissenting</w:t>
      </w:r>
      <w:r>
        <w:rPr>
          <w:rFonts w:cs="Times New Roman"/>
        </w:rPr>
        <w:t xml:space="preserve"> in part</w:t>
      </w:r>
      <w:r w:rsidRPr="00BE11F5">
        <w:rPr>
          <w:rFonts w:cs="Times New Roman"/>
        </w:rPr>
        <w:t>) allowed the appeal and restored the trial judge’s order, for reasons to follow. These are the reasons.</w:t>
      </w:r>
    </w:p>
    <w:p w14:paraId="15565280" w14:textId="77777777" w:rsidR="00567205" w:rsidRPr="00BE11F5" w:rsidRDefault="00567205" w:rsidP="00567205">
      <w:pPr>
        <w:pStyle w:val="Title1LevelTitre1Niveau-AltL"/>
        <w:tabs>
          <w:tab w:val="left" w:pos="1170"/>
        </w:tabs>
        <w:jc w:val="both"/>
        <w:rPr>
          <w:rFonts w:cs="Times New Roman"/>
        </w:rPr>
      </w:pPr>
      <w:r w:rsidRPr="00BE11F5">
        <w:rPr>
          <w:rFonts w:cs="Times New Roman"/>
        </w:rPr>
        <w:lastRenderedPageBreak/>
        <w:t>Background</w:t>
      </w:r>
    </w:p>
    <w:p w14:paraId="2BA7B964"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Ashley Barendregt, the mother, met Geoff Grebliunas, the father, in 2011 in </w:t>
      </w:r>
      <w:r w:rsidRPr="00BE11F5">
        <w:rPr>
          <w:rFonts w:cs="Times New Roman"/>
          <w:lang w:val="en-US"/>
        </w:rPr>
        <w:t>the Bulkley Valley,</w:t>
      </w:r>
      <w:r w:rsidRPr="00BE11F5">
        <w:rPr>
          <w:rFonts w:cs="Times New Roman"/>
        </w:rPr>
        <w:t xml:space="preserve"> in northern British Columbia. She followed him to Kelowna in 2012, where he had moved for a change of scenery. Soon after, they got married. They bought a house and had two boys, who were aged three and five at the time of trial in 2019. They shared parenting duties throughout the marriage.</w:t>
      </w:r>
    </w:p>
    <w:p w14:paraId="5C7FF057" w14:textId="77777777" w:rsidR="00567205" w:rsidRPr="00BE11F5" w:rsidRDefault="00567205" w:rsidP="00567205">
      <w:pPr>
        <w:pStyle w:val="ParaNoNdepar-AltN"/>
        <w:rPr>
          <w:rFonts w:cs="Times New Roman"/>
        </w:rPr>
      </w:pPr>
      <w:r w:rsidRPr="00BE11F5">
        <w:rPr>
          <w:rFonts w:cs="Times New Roman"/>
        </w:rPr>
        <w:t>The home purchase, already a burden on their modest finances, proved to be a project. An electrical fire shortly after they moved in exposed underlying problems — “rodents, water ingress, mould, and compromise of a structural floor joist” (2019 BCSC 2192, 34 R.F.L. (8th) 331, at para. 6) — that the father, with his background in carpentry, pledged to repair. He tore out drywall, planning to proceed room by room. But progress was slow. By trial, six years later, the house remained an “ongoing construction project” (trial reasons, at para. 5), with a makeshift kitchen and an only recently completed upstairs bathroom. The father’s own expert witness described it as “a working environment, not a living environment”: para. 33. Significant money was needed to bring it to marketable condition — funds the couple lacked, being well into six figures of debt by trial.</w:t>
      </w:r>
    </w:p>
    <w:p w14:paraId="33343098"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Their relationship ended in November 2018, when the father “likely” assaulted the mother during an argument. That night, she drove the 2 boys some 10 hours to her parents’ home in Telkwa, a village in the Bulkley Valley. The parenting arrangement that emerged in the aftermath was formalized in an interim order, splitting </w:t>
      </w:r>
      <w:r w:rsidRPr="00BE11F5">
        <w:rPr>
          <w:rFonts w:cs="Times New Roman"/>
        </w:rPr>
        <w:lastRenderedPageBreak/>
        <w:t>parenting time between the parents, alternately in Telkwa and Kelowna, before they agreed to keep the children in Kelowna with the father. When the mother returned to Kelowna, they were to alternate weekly parenting time. But she did not return. A court order gave her parenting time with the boys in Telkwa in August 2019, but she had no further parenting time before the trial, which was held later that year.</w:t>
      </w:r>
    </w:p>
    <w:p w14:paraId="7438FBC6"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The central issue at trial was whether the children should be relocated to Telkwa with the mother or remain in Kelowna. She was willing to move to Kelowna if the father prevailed; he was unwilling to move to the Bulkley Valley under any circumstances.</w:t>
      </w:r>
    </w:p>
    <w:p w14:paraId="491FE2D9"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After a nine-day trial, the judge awarded primary residence of the children to the mother and allowed them to relocate to Telkwa. The father appealed and sought to adduce additional evidence. The Court of Appeal admitted the evidence, set aside the trial decision, and ordered the children to be returned to Kelowna. That decision was stayed pending appeal to this Court.</w:t>
      </w:r>
    </w:p>
    <w:p w14:paraId="674E8BDA" w14:textId="77777777" w:rsidR="00567205" w:rsidRPr="00BE11F5" w:rsidRDefault="00567205" w:rsidP="00567205">
      <w:pPr>
        <w:pStyle w:val="Title1LevelTitre1Niveau-AltL"/>
        <w:tabs>
          <w:tab w:val="left" w:pos="1170"/>
        </w:tabs>
        <w:jc w:val="both"/>
        <w:rPr>
          <w:rFonts w:cs="Times New Roman"/>
        </w:rPr>
      </w:pPr>
      <w:r w:rsidRPr="00BE11F5">
        <w:rPr>
          <w:rFonts w:cs="Times New Roman"/>
        </w:rPr>
        <w:t>Decisions Below</w:t>
      </w:r>
    </w:p>
    <w:p w14:paraId="4B580F0C" w14:textId="77777777" w:rsidR="00567205" w:rsidRPr="00BE11F5" w:rsidRDefault="00567205" w:rsidP="00567205">
      <w:pPr>
        <w:pStyle w:val="Title2LevelTitre2Niveau"/>
        <w:numPr>
          <w:ilvl w:val="1"/>
          <w:numId w:val="8"/>
        </w:numPr>
        <w:jc w:val="both"/>
        <w:rPr>
          <w:rFonts w:cs="Times New Roman"/>
        </w:rPr>
      </w:pPr>
      <w:r w:rsidRPr="00BE11F5">
        <w:rPr>
          <w:rFonts w:cs="Times New Roman"/>
        </w:rPr>
        <w:t>Supreme Court of British Columbia, 2019 BCSC 2192, 34 R.F.L. (8th) 331 (Saunders J.)</w:t>
      </w:r>
    </w:p>
    <w:p w14:paraId="0C462BEF"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lastRenderedPageBreak/>
        <w:t>The trial judge found that both parents played active parts in raising the children, and relocation to Telkwa would have a significant impact on the children’s relationship with their father. Two key issues, however, favoured the move.</w:t>
      </w:r>
    </w:p>
    <w:p w14:paraId="7B102ADD"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The more significant issue was the parties’ acrimonious relationship and its implications for the children. He doubted they could collaborate to promote the children’s best interests. Their marriage had involved “possibly some degree of emotional abuse”; the father had assaulted and emotionally traumatized the mother; and his conduct at trial was “abus</w:t>
      </w:r>
      <w:r>
        <w:rPr>
          <w:rFonts w:cs="Times New Roman"/>
        </w:rPr>
        <w:t xml:space="preserve">ive, and profoundly offensive”: </w:t>
      </w:r>
      <w:r w:rsidRPr="00BE11F5">
        <w:rPr>
          <w:rFonts w:cs="Times New Roman"/>
        </w:rPr>
        <w:t>para. 41. There was, he found, “compelling evidence of [the father’s] continuing animosity towards [the mother]”: para. 42.</w:t>
      </w:r>
    </w:p>
    <w:p w14:paraId="36496595"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He concluded that granting the mother primary care of the children would be in their best interests. She was more likely than the father to promote a positive attitude in the boys toward the other parent, and distancing the parents would help isolate the children from their discord. It was also unlikely that the parents could work cooperatively to promote the children’s best interests in a shared parenting structure in the near future. The children would furthermore benefit indirectly from the mother living in Telkwa, where she had a stronger support network.</w:t>
      </w:r>
    </w:p>
    <w:p w14:paraId="38CAE45D"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The “less significant” issue was the parties’ financial situation: para. 31. The house needed an influx of money to make it habitable. The father said he would accelerate the renovations but had not prepared a budget for the ongoing work. His plan to live in the house with the boys depended on his parents paying off the mortgage and </w:t>
      </w:r>
      <w:r w:rsidRPr="00BE11F5">
        <w:rPr>
          <w:rFonts w:cs="Times New Roman"/>
        </w:rPr>
        <w:lastRenderedPageBreak/>
        <w:t>line of credit, an arrangement they had yet to confirm by trial. The judge concluded that the father’s ability to remain in the house, or even in West Kelowna, was less than certain.</w:t>
      </w:r>
    </w:p>
    <w:p w14:paraId="5AA79874"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The trial judge concluded that relocation would best promote the children’s interests. He awarded the mother primary residence and granted her application.</w:t>
      </w:r>
    </w:p>
    <w:p w14:paraId="6A907DB8" w14:textId="77777777" w:rsidR="00567205" w:rsidRPr="00BE11F5" w:rsidRDefault="00567205" w:rsidP="00567205">
      <w:pPr>
        <w:pStyle w:val="Title2LevelTitre2Niveau"/>
        <w:numPr>
          <w:ilvl w:val="1"/>
          <w:numId w:val="8"/>
        </w:numPr>
        <w:jc w:val="both"/>
        <w:rPr>
          <w:rFonts w:cs="Times New Roman"/>
        </w:rPr>
      </w:pPr>
      <w:r w:rsidRPr="00BE11F5">
        <w:rPr>
          <w:rFonts w:cs="Times New Roman"/>
        </w:rPr>
        <w:t>Court of Appeal for British Columbia, 2021 BCCA 11, 45 B.C.L.R. (6th) 14 (Newbury, DeWitt-Van Oosten and Voith JJ.A.)</w:t>
      </w:r>
    </w:p>
    <w:p w14:paraId="4433E50B"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The appeal proceeded, and the hearing had nearly ended, when the father’s counsel informed the court that her client’s financial situation had suddenly changed. The father later elaborated in an affidavit: he had taken steps to purchase the mother’s interest in the property; his parents had purchased a half interest in the home and had increased their personal line of credit to finance renovations; the three of them had refinanced the home, nearly halving the monthly mortgage payments; he had completed the bathroom and master bedroom; and a contractor had been hired to finish the kitchen. He sought to admit evidence of all of these developments in the appeal.</w:t>
      </w:r>
    </w:p>
    <w:p w14:paraId="15E6B1BD"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Voith J.A., for the court, characterized this as “new” evidence because it had not existed at the time of trial. As such, it was not subject to the </w:t>
      </w:r>
      <w:r w:rsidRPr="00BE11F5">
        <w:rPr>
          <w:rFonts w:cs="Times New Roman"/>
          <w:i/>
        </w:rPr>
        <w:t>Palmer</w:t>
      </w:r>
      <w:r w:rsidRPr="00BE11F5">
        <w:rPr>
          <w:rFonts w:cs="Times New Roman"/>
        </w:rPr>
        <w:t xml:space="preserve"> test, and the due diligence criterion did not strictly govern its admission. Instead, “new evidence” could be admitted if it established “that a premise or underpinning or </w:t>
      </w:r>
      <w:r w:rsidRPr="00BE11F5">
        <w:rPr>
          <w:rFonts w:cs="Times New Roman"/>
        </w:rPr>
        <w:lastRenderedPageBreak/>
        <w:t>understanding of the trial judge that was significant or fundamental or pivotal has been undermined or altered”: para. 43.</w:t>
      </w:r>
    </w:p>
    <w:p w14:paraId="4E3D51DD"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The court admitted the evidence, finding that it undermined a primary underpinning of the trial decision, namely, the judge’s findings on the parties’ finances. Specifically, the father had done almost exactly what he had said he would; and the “assumption[s]” that he might not be able to remain in the family home and might not “possibly even [be] able to remain in West Kelowna” had been displaced: para. 57. One of trial judge’s two main considerations no longer applied.</w:t>
      </w:r>
    </w:p>
    <w:p w14:paraId="217A5996"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And given this, the other consideration — the parties’ acrimonious relationship — could “no longer support the ultimate result arrived at by the trial judge”: para. 69. The mother’s need for emotional support could not justify relocation, even at the cost of “some friction between the parties”: paras. 74-75. And the trial judge should have considered whether the children could have stayed with their father in Kelowna. The court concluded that the children’s best interests were best served by staying in Kelowna with both parents and ordered accordingly.</w:t>
      </w:r>
    </w:p>
    <w:p w14:paraId="6DCBA236" w14:textId="77777777" w:rsidR="00567205" w:rsidRPr="00BE11F5" w:rsidRDefault="00567205" w:rsidP="00567205">
      <w:pPr>
        <w:pStyle w:val="Title1LevelTitre1Niveau-AltL"/>
        <w:tabs>
          <w:tab w:val="left" w:pos="1170"/>
        </w:tabs>
        <w:jc w:val="both"/>
        <w:rPr>
          <w:rFonts w:cs="Times New Roman"/>
        </w:rPr>
      </w:pPr>
      <w:r w:rsidRPr="00BE11F5">
        <w:rPr>
          <w:rFonts w:cs="Times New Roman"/>
        </w:rPr>
        <w:t>Issues</w:t>
      </w:r>
    </w:p>
    <w:p w14:paraId="381ADFD6" w14:textId="77777777" w:rsidR="00567205" w:rsidRPr="00BE11F5" w:rsidRDefault="00567205" w:rsidP="00567205">
      <w:pPr>
        <w:pStyle w:val="ParaNoNdepar-AltN"/>
        <w:tabs>
          <w:tab w:val="clear" w:pos="1152"/>
          <w:tab w:val="left" w:pos="1170"/>
          <w:tab w:val="num" w:pos="1332"/>
        </w:tabs>
        <w:ind w:left="180"/>
        <w:rPr>
          <w:rFonts w:cs="Times New Roman"/>
        </w:rPr>
      </w:pPr>
      <w:r w:rsidRPr="00BE11F5">
        <w:rPr>
          <w:rFonts w:cs="Times New Roman"/>
        </w:rPr>
        <w:t>This appeal raises two broad issues:</w:t>
      </w:r>
    </w:p>
    <w:p w14:paraId="7A09F612" w14:textId="50A32E9B" w:rsidR="00567205" w:rsidRPr="00BE11F5" w:rsidRDefault="00567205" w:rsidP="005E1800">
      <w:pPr>
        <w:pStyle w:val="ParaNoNdepar-AltN"/>
        <w:numPr>
          <w:ilvl w:val="1"/>
          <w:numId w:val="1"/>
        </w:numPr>
        <w:tabs>
          <w:tab w:val="left" w:pos="1170"/>
        </w:tabs>
        <w:ind w:left="1985" w:hanging="851"/>
        <w:rPr>
          <w:rFonts w:cs="Times New Roman"/>
        </w:rPr>
      </w:pPr>
      <w:r w:rsidRPr="00BE11F5">
        <w:rPr>
          <w:rFonts w:cs="Times New Roman"/>
        </w:rPr>
        <w:lastRenderedPageBreak/>
        <w:t>What test governs the admission of additional evidence on appeal, and did the Court of Appeal err in admitting the evidence in this case?</w:t>
      </w:r>
    </w:p>
    <w:p w14:paraId="6B320EDE" w14:textId="77777777" w:rsidR="00567205" w:rsidRPr="00BE11F5" w:rsidRDefault="00567205" w:rsidP="005E1800">
      <w:pPr>
        <w:pStyle w:val="ParaNoNdepar-AltN"/>
        <w:numPr>
          <w:ilvl w:val="1"/>
          <w:numId w:val="1"/>
        </w:numPr>
        <w:tabs>
          <w:tab w:val="left" w:pos="1170"/>
        </w:tabs>
        <w:ind w:left="1985" w:hanging="815"/>
        <w:rPr>
          <w:rFonts w:cs="Times New Roman"/>
        </w:rPr>
      </w:pPr>
      <w:r w:rsidRPr="00BE11F5">
        <w:rPr>
          <w:rFonts w:cs="Times New Roman"/>
        </w:rPr>
        <w:t>Did the trial judge err in his relocation analysis, warranting appellate intervention?</w:t>
      </w:r>
    </w:p>
    <w:p w14:paraId="7A713E13" w14:textId="77777777" w:rsidR="00567205" w:rsidRPr="00BE11F5" w:rsidRDefault="00567205" w:rsidP="00567205">
      <w:pPr>
        <w:pStyle w:val="ParaNoNdepar-AltN"/>
        <w:tabs>
          <w:tab w:val="clear" w:pos="1152"/>
          <w:tab w:val="left" w:pos="1170"/>
        </w:tabs>
        <w:rPr>
          <w:rFonts w:cs="Times New Roman"/>
        </w:rPr>
      </w:pPr>
      <w:r w:rsidRPr="00BE11F5">
        <w:rPr>
          <w:rFonts w:cs="Times New Roman"/>
        </w:rPr>
        <w:t xml:space="preserve">In brief, I answer as follows. Regardless of whether the evidence relates to facts that occurred before or after trial, the </w:t>
      </w:r>
      <w:r w:rsidRPr="00BE11F5">
        <w:rPr>
          <w:rFonts w:cs="Times New Roman"/>
          <w:i/>
        </w:rPr>
        <w:t xml:space="preserve">Palmer </w:t>
      </w:r>
      <w:r w:rsidRPr="00BE11F5">
        <w:rPr>
          <w:rFonts w:cs="Times New Roman"/>
        </w:rPr>
        <w:t xml:space="preserve">test governs the admission of additional evidence on appeal when it is adduced for the purpose of reviewing the decision below. The Court of Appeal erred by applying a different test and admitting the evidence on appeal. The evidence did not satisfy the </w:t>
      </w:r>
      <w:r w:rsidRPr="00BE11F5">
        <w:rPr>
          <w:rFonts w:cs="Times New Roman"/>
          <w:i/>
        </w:rPr>
        <w:t xml:space="preserve">Palmer </w:t>
      </w:r>
      <w:r w:rsidRPr="00BE11F5">
        <w:rPr>
          <w:rFonts w:cs="Times New Roman"/>
        </w:rPr>
        <w:t>test because it could have been available for trial with the exercise of due diligence. In any event, given the availability of a variation procedure designed to address any material change in circumstances, its admission was not in the interests of justice.</w:t>
      </w:r>
    </w:p>
    <w:p w14:paraId="6567609A" w14:textId="77777777" w:rsidR="00567205" w:rsidRPr="00BE11F5" w:rsidRDefault="00567205" w:rsidP="00567205">
      <w:pPr>
        <w:pStyle w:val="ParaNoNdepar-AltN"/>
        <w:tabs>
          <w:tab w:val="clear" w:pos="1152"/>
          <w:tab w:val="left" w:pos="1170"/>
        </w:tabs>
        <w:rPr>
          <w:rFonts w:cs="Times New Roman"/>
        </w:rPr>
      </w:pPr>
      <w:r w:rsidRPr="00BE11F5">
        <w:rPr>
          <w:rFonts w:cs="Times New Roman"/>
        </w:rPr>
        <w:t xml:space="preserve">Moreover, the trial judge did not err in his relocation analysis. His analysis of the best interests of the children is consonant with the mobility framework set out in </w:t>
      </w:r>
      <w:r w:rsidRPr="00BE11F5">
        <w:rPr>
          <w:rFonts w:cs="Times New Roman"/>
          <w:i/>
        </w:rPr>
        <w:t>Gordon</w:t>
      </w:r>
      <w:r w:rsidRPr="00BE11F5">
        <w:rPr>
          <w:rFonts w:cs="Times New Roman"/>
        </w:rPr>
        <w:t xml:space="preserve"> as refined over the past two decades. His factual findings and the weight he ascribed to factors bearing on the children’s best interests warranted deference on appeal. The Court of Appeal was wrong to intervene.</w:t>
      </w:r>
    </w:p>
    <w:p w14:paraId="49F1DDF8" w14:textId="77777777" w:rsidR="00567205" w:rsidRPr="00BE11F5" w:rsidRDefault="00567205" w:rsidP="00567205">
      <w:pPr>
        <w:pStyle w:val="Title1LevelTitre1Niveau-AltL"/>
        <w:numPr>
          <w:ilvl w:val="0"/>
          <w:numId w:val="8"/>
        </w:numPr>
        <w:tabs>
          <w:tab w:val="left" w:pos="1170"/>
        </w:tabs>
        <w:jc w:val="both"/>
        <w:rPr>
          <w:rFonts w:cs="Times New Roman"/>
        </w:rPr>
      </w:pPr>
      <w:r w:rsidRPr="00BE11F5">
        <w:rPr>
          <w:rFonts w:cs="Times New Roman"/>
        </w:rPr>
        <w:t>Analysis</w:t>
      </w:r>
    </w:p>
    <w:p w14:paraId="5EDD4DC1" w14:textId="77777777" w:rsidR="00567205" w:rsidRPr="00BE11F5" w:rsidRDefault="00567205" w:rsidP="00567205">
      <w:pPr>
        <w:pStyle w:val="Title2LevelTitre2Niveau"/>
        <w:numPr>
          <w:ilvl w:val="1"/>
          <w:numId w:val="8"/>
        </w:numPr>
        <w:tabs>
          <w:tab w:val="left" w:pos="1170"/>
        </w:tabs>
        <w:jc w:val="both"/>
        <w:rPr>
          <w:rFonts w:cs="Times New Roman"/>
        </w:rPr>
      </w:pPr>
      <w:r w:rsidRPr="00BE11F5">
        <w:rPr>
          <w:rFonts w:cs="Times New Roman"/>
        </w:rPr>
        <w:lastRenderedPageBreak/>
        <w:t>The Test for Admitting Additional Evidence on Appeal</w:t>
      </w:r>
    </w:p>
    <w:p w14:paraId="6AFCDD12" w14:textId="77777777" w:rsidR="00567205" w:rsidRPr="00BE11F5" w:rsidRDefault="00567205" w:rsidP="00567205">
      <w:pPr>
        <w:pStyle w:val="ParaNoNdepar-AltN"/>
        <w:rPr>
          <w:rFonts w:cs="Times New Roman"/>
        </w:rPr>
      </w:pPr>
      <w:r w:rsidRPr="00BE11F5">
        <w:rPr>
          <w:rFonts w:cs="Times New Roman"/>
        </w:rPr>
        <w:t xml:space="preserve">Appellate courts have the discretion to admit additional evidence to supplement the record on appeal: </w:t>
      </w:r>
      <w:r w:rsidRPr="00BE11F5">
        <w:rPr>
          <w:rFonts w:cs="Times New Roman"/>
          <w:i/>
        </w:rPr>
        <w:t>Catholic Children’s Aid Society of Metropolitan Toronto v. M. (C.)</w:t>
      </w:r>
      <w:r w:rsidRPr="00BE11F5">
        <w:rPr>
          <w:rFonts w:cs="Times New Roman"/>
        </w:rPr>
        <w:t>,</w:t>
      </w:r>
      <w:r w:rsidRPr="00BE11F5">
        <w:rPr>
          <w:rFonts w:cs="Times New Roman"/>
          <w:i/>
        </w:rPr>
        <w:t xml:space="preserve"> </w:t>
      </w:r>
      <w:r w:rsidRPr="00BE11F5">
        <w:rPr>
          <w:rFonts w:cs="Times New Roman"/>
        </w:rPr>
        <w:t>[1994] 2 S.C.R. 165,</w:t>
      </w:r>
      <w:r w:rsidRPr="00BE11F5">
        <w:rPr>
          <w:rFonts w:cs="Times New Roman"/>
          <w:i/>
        </w:rPr>
        <w:t xml:space="preserve"> </w:t>
      </w:r>
      <w:r w:rsidRPr="00BE11F5">
        <w:rPr>
          <w:rFonts w:cs="Times New Roman"/>
        </w:rPr>
        <w:t xml:space="preserve">at p. 188; </w:t>
      </w:r>
      <w:r w:rsidRPr="00BE11F5">
        <w:rPr>
          <w:rStyle w:val="ParaNoNdepar-AltNChar"/>
          <w:rFonts w:cs="Times New Roman"/>
          <w:i/>
        </w:rPr>
        <w:t>United States of America v. Shulman</w:t>
      </w:r>
      <w:r w:rsidRPr="00BE11F5">
        <w:rPr>
          <w:rStyle w:val="ParaNoNdepar-AltNChar"/>
          <w:rFonts w:cs="Times New Roman"/>
        </w:rPr>
        <w:t>,</w:t>
      </w:r>
      <w:r w:rsidRPr="00BE11F5">
        <w:rPr>
          <w:rStyle w:val="ParaNoNdepar-AltNChar"/>
          <w:rFonts w:cs="Times New Roman"/>
          <w:i/>
        </w:rPr>
        <w:t xml:space="preserve"> </w:t>
      </w:r>
      <w:r w:rsidRPr="00BE11F5">
        <w:rPr>
          <w:rStyle w:val="ParaNoNdepar-AltNChar"/>
          <w:rFonts w:cs="Times New Roman"/>
        </w:rPr>
        <w:t>2001 SCC 21, [2001] 1 S.C.R. 616</w:t>
      </w:r>
      <w:r w:rsidRPr="00BE11F5">
        <w:rPr>
          <w:rFonts w:cs="Times New Roman"/>
        </w:rPr>
        <w:t>, at para. 43. Whether in criminal or non-criminal matters</w:t>
      </w:r>
      <w:r w:rsidRPr="00BE11F5">
        <w:rPr>
          <w:rFonts w:cs="Times New Roman"/>
          <w:i/>
        </w:rPr>
        <w:t xml:space="preserve"> </w:t>
      </w:r>
      <w:r w:rsidRPr="00BE11F5">
        <w:rPr>
          <w:rFonts w:cs="Times New Roman"/>
        </w:rPr>
        <w:t>(</w:t>
      </w:r>
      <w:r w:rsidRPr="00BE11F5">
        <w:rPr>
          <w:rFonts w:cs="Times New Roman"/>
          <w:i/>
        </w:rPr>
        <w:t>May v. Ferndale Institution</w:t>
      </w:r>
      <w:r w:rsidRPr="00BE11F5">
        <w:rPr>
          <w:rFonts w:cs="Times New Roman"/>
        </w:rPr>
        <w:t xml:space="preserve">, 2005 SCC 82, [2005] 3 S.C.R. 809, at para. 107), courts have typically applied the four criteria set out by this Court in </w:t>
      </w:r>
      <w:r w:rsidRPr="00BE11F5">
        <w:rPr>
          <w:rFonts w:cs="Times New Roman"/>
          <w:i/>
        </w:rPr>
        <w:t xml:space="preserve">Palmer </w:t>
      </w:r>
      <w:r w:rsidRPr="00BE11F5">
        <w:rPr>
          <w:rFonts w:cs="Times New Roman"/>
        </w:rPr>
        <w:t>when parties seek to adduce evidence on appeal:</w:t>
      </w:r>
    </w:p>
    <w:p w14:paraId="01B9F454" w14:textId="77777777" w:rsidR="00567205" w:rsidRPr="00BE11F5" w:rsidRDefault="00567205" w:rsidP="00567205">
      <w:pPr>
        <w:pStyle w:val="Citation0"/>
        <w:numPr>
          <w:ilvl w:val="0"/>
          <w:numId w:val="30"/>
        </w:numPr>
        <w:tabs>
          <w:tab w:val="left" w:pos="1170"/>
        </w:tabs>
        <w:spacing w:before="480" w:after="480" w:line="480" w:lineRule="auto"/>
        <w:ind w:left="2160" w:right="0" w:hanging="990"/>
        <w:rPr>
          <w:rFonts w:cs="Times New Roman"/>
          <w:sz w:val="24"/>
          <w:szCs w:val="24"/>
          <w:lang w:val="en-CA"/>
        </w:rPr>
      </w:pPr>
      <w:r w:rsidRPr="00BE11F5">
        <w:rPr>
          <w:rFonts w:cs="Times New Roman"/>
          <w:sz w:val="24"/>
          <w:szCs w:val="24"/>
          <w:lang w:val="en-CA"/>
        </w:rPr>
        <w:t>the evidence could not, by the exercise of due diligence, have been obtained for the trial (</w:t>
      </w:r>
      <w:r w:rsidRPr="00BE11F5">
        <w:rPr>
          <w:rFonts w:cs="Times New Roman"/>
          <w:sz w:val="24"/>
          <w:szCs w:val="24"/>
        </w:rPr>
        <w:t>provided that this general principle will not be applied as strictly in a criminal case as in civil cases)</w:t>
      </w:r>
      <w:r w:rsidRPr="00BE11F5">
        <w:rPr>
          <w:rFonts w:cs="Times New Roman"/>
          <w:sz w:val="24"/>
          <w:szCs w:val="24"/>
          <w:lang w:val="en-CA"/>
        </w:rPr>
        <w:t>;</w:t>
      </w:r>
    </w:p>
    <w:p w14:paraId="55DEE67F" w14:textId="77777777" w:rsidR="00567205" w:rsidRPr="00BE11F5" w:rsidRDefault="00567205" w:rsidP="00567205">
      <w:pPr>
        <w:pStyle w:val="Citation0"/>
        <w:numPr>
          <w:ilvl w:val="0"/>
          <w:numId w:val="30"/>
        </w:numPr>
        <w:tabs>
          <w:tab w:val="left" w:pos="1170"/>
        </w:tabs>
        <w:spacing w:before="480" w:after="480" w:line="480" w:lineRule="auto"/>
        <w:ind w:left="2160" w:right="0" w:hanging="990"/>
        <w:rPr>
          <w:rFonts w:cs="Times New Roman"/>
          <w:sz w:val="24"/>
          <w:szCs w:val="24"/>
          <w:lang w:val="en-CA"/>
        </w:rPr>
      </w:pPr>
      <w:r w:rsidRPr="00BE11F5">
        <w:rPr>
          <w:rFonts w:cs="Times New Roman"/>
          <w:sz w:val="24"/>
          <w:szCs w:val="24"/>
          <w:lang w:val="en-CA"/>
        </w:rPr>
        <w:t>the evidence is relevant in that it bears upon a decisive or potentially decisive issue;</w:t>
      </w:r>
    </w:p>
    <w:p w14:paraId="633D87E1" w14:textId="77777777" w:rsidR="00567205" w:rsidRPr="00BE11F5" w:rsidRDefault="00567205" w:rsidP="00567205">
      <w:pPr>
        <w:pStyle w:val="Citation0"/>
        <w:numPr>
          <w:ilvl w:val="0"/>
          <w:numId w:val="30"/>
        </w:numPr>
        <w:tabs>
          <w:tab w:val="left" w:pos="1170"/>
        </w:tabs>
        <w:spacing w:before="480" w:after="480" w:line="480" w:lineRule="auto"/>
        <w:ind w:left="2160" w:right="0" w:hanging="990"/>
        <w:rPr>
          <w:rFonts w:cs="Times New Roman"/>
          <w:sz w:val="24"/>
          <w:szCs w:val="24"/>
          <w:lang w:val="en-CA"/>
        </w:rPr>
      </w:pPr>
      <w:r w:rsidRPr="00BE11F5">
        <w:rPr>
          <w:rFonts w:cs="Times New Roman"/>
          <w:sz w:val="24"/>
          <w:szCs w:val="24"/>
          <w:lang w:val="en-CA"/>
        </w:rPr>
        <w:t>the evidence is credible in the sense that it is reasonably capable of belief; and</w:t>
      </w:r>
    </w:p>
    <w:p w14:paraId="4A92A93D" w14:textId="77777777" w:rsidR="00567205" w:rsidRPr="00BE11F5" w:rsidRDefault="00567205" w:rsidP="00567205">
      <w:pPr>
        <w:pStyle w:val="Citation0"/>
        <w:numPr>
          <w:ilvl w:val="0"/>
          <w:numId w:val="30"/>
        </w:numPr>
        <w:tabs>
          <w:tab w:val="left" w:pos="1170"/>
        </w:tabs>
        <w:spacing w:before="480" w:after="480" w:line="480" w:lineRule="auto"/>
        <w:ind w:left="2160" w:right="0" w:hanging="990"/>
        <w:rPr>
          <w:rFonts w:cs="Times New Roman"/>
        </w:rPr>
      </w:pPr>
      <w:r w:rsidRPr="00BE11F5">
        <w:rPr>
          <w:rFonts w:cs="Times New Roman"/>
          <w:sz w:val="24"/>
          <w:szCs w:val="24"/>
          <w:lang w:val="en-CA"/>
        </w:rPr>
        <w:t>the evidence is such that, if believed, it could have affected the result at trial.</w:t>
      </w:r>
    </w:p>
    <w:p w14:paraId="77737594" w14:textId="77777777" w:rsidR="00567205" w:rsidRPr="00BE11F5" w:rsidRDefault="00567205" w:rsidP="00567205">
      <w:pPr>
        <w:pStyle w:val="ParaNoNdepar-AltN"/>
        <w:tabs>
          <w:tab w:val="clear" w:pos="1152"/>
          <w:tab w:val="left" w:pos="1170"/>
          <w:tab w:val="num" w:pos="1332"/>
        </w:tabs>
        <w:rPr>
          <w:rStyle w:val="ParaNoNdepar-AltNChar"/>
          <w:rFonts w:cs="Times New Roman"/>
        </w:rPr>
      </w:pPr>
      <w:r w:rsidRPr="00BE11F5">
        <w:rPr>
          <w:rStyle w:val="ParaNoNdepar-AltNChar"/>
          <w:rFonts w:cs="Times New Roman"/>
          <w:i/>
        </w:rPr>
        <w:lastRenderedPageBreak/>
        <w:t>Palmer</w:t>
      </w:r>
      <w:r w:rsidRPr="00BE11F5">
        <w:rPr>
          <w:rStyle w:val="ParaNoNdepar-AltNChar"/>
          <w:rFonts w:cs="Times New Roman"/>
        </w:rPr>
        <w:t xml:space="preserve"> applies when evidence is adduced on appeal “for the purpose of asking the court to review the proceedings in the court below”: </w:t>
      </w:r>
      <w:r w:rsidRPr="00BE11F5">
        <w:rPr>
          <w:rStyle w:val="ParaNoNdepar-AltNChar"/>
          <w:rFonts w:cs="Times New Roman"/>
          <w:i/>
        </w:rPr>
        <w:t>Shulman</w:t>
      </w:r>
      <w:r w:rsidRPr="00BE11F5">
        <w:rPr>
          <w:rStyle w:val="ParaNoNdepar-AltNChar"/>
          <w:rFonts w:cs="Times New Roman"/>
        </w:rPr>
        <w:t>,</w:t>
      </w:r>
      <w:r w:rsidRPr="00BE11F5">
        <w:rPr>
          <w:rStyle w:val="ParaNoNdepar-AltNChar"/>
          <w:rFonts w:cs="Times New Roman"/>
          <w:i/>
        </w:rPr>
        <w:t xml:space="preserve"> </w:t>
      </w:r>
      <w:r w:rsidRPr="00BE11F5">
        <w:rPr>
          <w:rStyle w:val="ParaNoNdepar-AltNChar"/>
          <w:rFonts w:cs="Times New Roman"/>
        </w:rPr>
        <w:t xml:space="preserve">at para. 44. </w:t>
      </w:r>
      <w:r w:rsidRPr="00BE11F5">
        <w:rPr>
          <w:rStyle w:val="ParaNoNdepar-AltNChar"/>
          <w:rFonts w:cs="Times New Roman"/>
          <w:i/>
        </w:rPr>
        <w:t>Palmer</w:t>
      </w:r>
      <w:r w:rsidRPr="00BE11F5">
        <w:rPr>
          <w:rStyle w:val="ParaNoNdepar-AltNChar"/>
          <w:rFonts w:cs="Times New Roman"/>
        </w:rPr>
        <w:t xml:space="preserve"> does not, however, apply to evidence going to the validity of the trial process itself (</w:t>
      </w:r>
      <w:r w:rsidRPr="00BE11F5">
        <w:rPr>
          <w:rStyle w:val="ParaNoNdepar-AltNChar"/>
          <w:rFonts w:cs="Times New Roman"/>
          <w:i/>
        </w:rPr>
        <w:t>R. v. Taillefer</w:t>
      </w:r>
      <w:r w:rsidRPr="00BE11F5">
        <w:rPr>
          <w:rStyle w:val="ParaNoNdepar-AltNChar"/>
          <w:rFonts w:cs="Times New Roman"/>
        </w:rPr>
        <w:t>, 2003 SCC 70, [2003] 3 S.C.R. 307, at paras. 76</w:t>
      </w:r>
      <w:r w:rsidRPr="00BE11F5">
        <w:rPr>
          <w:rStyle w:val="ParaNoNdepar-AltNChar"/>
          <w:rFonts w:cs="Times New Roman"/>
        </w:rPr>
        <w:noBreakHyphen/>
        <w:t>77), nor to evidence adduced “as a basis for requesting an original remedy in the Court of Appeal”, such as a stay of proceedings for an abuse of process (</w:t>
      </w:r>
      <w:r w:rsidRPr="00BE11F5">
        <w:rPr>
          <w:rStyle w:val="ParaNoNdepar-AltNChar"/>
          <w:rFonts w:cs="Times New Roman"/>
          <w:i/>
        </w:rPr>
        <w:t>Shulman</w:t>
      </w:r>
      <w:r w:rsidRPr="00BE11F5">
        <w:rPr>
          <w:rStyle w:val="ParaNoNdepar-AltNChar"/>
          <w:rFonts w:cs="Times New Roman"/>
        </w:rPr>
        <w:t>,</w:t>
      </w:r>
      <w:r w:rsidRPr="00BE11F5">
        <w:rPr>
          <w:rStyle w:val="ParaNoNdepar-AltNChar"/>
          <w:rFonts w:cs="Times New Roman"/>
          <w:i/>
        </w:rPr>
        <w:t xml:space="preserve"> </w:t>
      </w:r>
      <w:r w:rsidRPr="00BE11F5">
        <w:rPr>
          <w:rStyle w:val="ParaNoNdepar-AltNChar"/>
          <w:rFonts w:cs="Times New Roman"/>
        </w:rPr>
        <w:t>at paras. 44</w:t>
      </w:r>
      <w:r w:rsidRPr="00BE11F5">
        <w:rPr>
          <w:rStyle w:val="ParaNoNdepar-AltNChar"/>
          <w:rFonts w:cs="Times New Roman"/>
        </w:rPr>
        <w:noBreakHyphen/>
        <w:t>46).</w:t>
      </w:r>
    </w:p>
    <w:p w14:paraId="2372A89A" w14:textId="77777777" w:rsidR="00567205" w:rsidRPr="00BE11F5" w:rsidRDefault="00567205" w:rsidP="00567205">
      <w:pPr>
        <w:pStyle w:val="ParaNoNdepar-AltN"/>
        <w:rPr>
          <w:rFonts w:cs="Times New Roman"/>
          <w:lang w:eastAsia="en-CA"/>
        </w:rPr>
      </w:pPr>
      <w:r w:rsidRPr="00BE11F5">
        <w:rPr>
          <w:rFonts w:cs="Times New Roman"/>
        </w:rPr>
        <w:t xml:space="preserve">The </w:t>
      </w:r>
      <w:r w:rsidRPr="00BE11F5">
        <w:rPr>
          <w:rFonts w:cs="Times New Roman"/>
          <w:i/>
        </w:rPr>
        <w:t xml:space="preserve">Palmer </w:t>
      </w:r>
      <w:r w:rsidRPr="00BE11F5">
        <w:rPr>
          <w:rFonts w:cs="Times New Roman"/>
        </w:rPr>
        <w:t>test is purposive, fact-specific, and driven by an</w:t>
      </w:r>
      <w:r w:rsidRPr="00BE11F5">
        <w:rPr>
          <w:rFonts w:cs="Times New Roman"/>
          <w:lang w:eastAsia="en-CA"/>
        </w:rPr>
        <w:t xml:space="preserve"> overarching concern for the interests of justice. </w:t>
      </w:r>
      <w:r w:rsidRPr="00BE11F5">
        <w:rPr>
          <w:rFonts w:cs="Times New Roman"/>
        </w:rPr>
        <w:t xml:space="preserve">It ensures that the admission of additional evidence on appeal will be rare, such that the matters in issue between the parties should “narrow rather than expand as [a] case proceeds up the appellate ladder”: </w:t>
      </w:r>
      <w:r w:rsidRPr="00BE11F5">
        <w:rPr>
          <w:rFonts w:cs="Times New Roman"/>
          <w:i/>
        </w:rPr>
        <w:t>Public School Boards’ Assn. of Alberta v. Alberta (Attorney General)</w:t>
      </w:r>
      <w:r w:rsidRPr="00BE11F5">
        <w:rPr>
          <w:rFonts w:cs="Times New Roman"/>
        </w:rPr>
        <w:t>, 2000 SCC 2, [2000] 1 S.C.R. 44, at para. 10.</w:t>
      </w:r>
    </w:p>
    <w:p w14:paraId="00BADCEA"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The test strikes a balance between two foundational principles: (i) finality and order in the justice system, and (ii) reaching a just result in the context of the proceedings. The first criterion seeks to preserve finality and order by excluding evidence that could have been considered by the court at first instance, had the party exercised due diligence. This protects certainty in the judicial process and fairness to the other party. The remaining criteria — that the evidence be relevant, credible and could have affected the outcome — are concerned with reaching a just result.</w:t>
      </w:r>
    </w:p>
    <w:p w14:paraId="1BB99CA1"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While the interest in the finality of a trial decision and order in the justice system must sometimes give way to reach a just result, as I will explain, a proper </w:t>
      </w:r>
      <w:r w:rsidRPr="00BE11F5">
        <w:rPr>
          <w:rFonts w:cs="Times New Roman"/>
        </w:rPr>
        <w:lastRenderedPageBreak/>
        <w:t xml:space="preserve">application of </w:t>
      </w:r>
      <w:r w:rsidRPr="00BE11F5">
        <w:rPr>
          <w:rFonts w:cs="Times New Roman"/>
          <w:i/>
        </w:rPr>
        <w:t xml:space="preserve">Palmer </w:t>
      </w:r>
      <w:r w:rsidRPr="00BE11F5">
        <w:rPr>
          <w:rFonts w:cs="Times New Roman"/>
        </w:rPr>
        <w:t>reflects and safeguards both principles, as well as fairness to the parties.</w:t>
      </w:r>
    </w:p>
    <w:p w14:paraId="3ABA98FE"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For the reasons that follow, I conclude that the </w:t>
      </w:r>
      <w:r w:rsidRPr="00BE11F5">
        <w:rPr>
          <w:rFonts w:cs="Times New Roman"/>
          <w:i/>
        </w:rPr>
        <w:t xml:space="preserve">Palmer </w:t>
      </w:r>
      <w:r w:rsidRPr="00BE11F5">
        <w:rPr>
          <w:rFonts w:cs="Times New Roman"/>
        </w:rPr>
        <w:t xml:space="preserve">test applies to all evidence tendered on appeal for the purpose of reviewing the decision below. In my view, the </w:t>
      </w:r>
      <w:r w:rsidRPr="00BE11F5">
        <w:rPr>
          <w:rFonts w:cs="Times New Roman"/>
          <w:i/>
        </w:rPr>
        <w:t>Palmer</w:t>
      </w:r>
      <w:r w:rsidRPr="00BE11F5">
        <w:rPr>
          <w:rFonts w:cs="Times New Roman"/>
        </w:rPr>
        <w:t xml:space="preserve"> test ensures the proper balance and is sufficiently flexible to respond to any unique concerns that arise when considering whether to admit evidence regarding facts or events that occurred after the trial.</w:t>
      </w:r>
    </w:p>
    <w:p w14:paraId="238C18B6" w14:textId="77777777" w:rsidR="00567205" w:rsidRPr="00BE11F5" w:rsidRDefault="00567205" w:rsidP="00567205">
      <w:pPr>
        <w:pStyle w:val="ParaNoNdepar-AltN"/>
        <w:tabs>
          <w:tab w:val="clear" w:pos="1152"/>
          <w:tab w:val="left" w:pos="1170"/>
        </w:tabs>
        <w:rPr>
          <w:rFonts w:cs="Times New Roman"/>
        </w:rPr>
      </w:pPr>
      <w:r w:rsidRPr="00BE11F5">
        <w:rPr>
          <w:rFonts w:cs="Times New Roman"/>
        </w:rPr>
        <w:t xml:space="preserve">My analysis proceeds as follows. First, I discuss the four </w:t>
      </w:r>
      <w:r w:rsidRPr="00BE11F5">
        <w:rPr>
          <w:rFonts w:cs="Times New Roman"/>
          <w:i/>
        </w:rPr>
        <w:t xml:space="preserve">Palmer </w:t>
      </w:r>
      <w:r w:rsidRPr="00BE11F5">
        <w:rPr>
          <w:rFonts w:cs="Times New Roman"/>
        </w:rPr>
        <w:t xml:space="preserve">criteria. Second, I address the unique challenges that arise when litigants seek to adduce “new” evidence. Third, I consider how </w:t>
      </w:r>
      <w:r w:rsidRPr="00BE11F5">
        <w:rPr>
          <w:rFonts w:cs="Times New Roman"/>
          <w:i/>
        </w:rPr>
        <w:t xml:space="preserve">Palmer </w:t>
      </w:r>
      <w:r w:rsidRPr="00BE11F5">
        <w:rPr>
          <w:rFonts w:cs="Times New Roman"/>
        </w:rPr>
        <w:t>applies in the family law context. Finally, I address the use of properly admitted evidence, before turning to the merits of the fresh evidence motion in this case.</w:t>
      </w:r>
    </w:p>
    <w:p w14:paraId="509CC466" w14:textId="77777777" w:rsidR="00567205" w:rsidRPr="00BE11F5" w:rsidRDefault="00567205" w:rsidP="00567205">
      <w:pPr>
        <w:pStyle w:val="Title3LevelTitre3Niveau"/>
        <w:numPr>
          <w:ilvl w:val="2"/>
          <w:numId w:val="8"/>
        </w:numPr>
        <w:tabs>
          <w:tab w:val="clear" w:pos="1152"/>
          <w:tab w:val="left" w:pos="1170"/>
        </w:tabs>
        <w:jc w:val="both"/>
        <w:rPr>
          <w:rFonts w:cs="Times New Roman"/>
        </w:rPr>
      </w:pPr>
      <w:r w:rsidRPr="00BE11F5">
        <w:rPr>
          <w:rFonts w:cs="Times New Roman"/>
        </w:rPr>
        <w:t xml:space="preserve">The </w:t>
      </w:r>
      <w:r w:rsidRPr="00BE11F5">
        <w:rPr>
          <w:rFonts w:cs="Times New Roman"/>
          <w:i/>
        </w:rPr>
        <w:t xml:space="preserve">Palmer </w:t>
      </w:r>
      <w:r w:rsidRPr="00BE11F5">
        <w:rPr>
          <w:rFonts w:cs="Times New Roman"/>
        </w:rPr>
        <w:t>Criteria</w:t>
      </w:r>
    </w:p>
    <w:p w14:paraId="2927656E" w14:textId="77777777" w:rsidR="00567205" w:rsidRPr="00BE11F5" w:rsidRDefault="00567205" w:rsidP="00567205">
      <w:pPr>
        <w:pStyle w:val="Title4LevelTitre4Niveau"/>
        <w:tabs>
          <w:tab w:val="clear" w:pos="900"/>
          <w:tab w:val="clear" w:pos="1152"/>
          <w:tab w:val="left" w:pos="1170"/>
        </w:tabs>
        <w:jc w:val="both"/>
        <w:rPr>
          <w:rFonts w:cs="Times New Roman"/>
        </w:rPr>
      </w:pPr>
      <w:r w:rsidRPr="00BE11F5">
        <w:rPr>
          <w:rFonts w:cs="Times New Roman"/>
        </w:rPr>
        <w:t>Due Diligence</w:t>
      </w:r>
    </w:p>
    <w:p w14:paraId="676B07C6" w14:textId="77777777" w:rsidR="00567205" w:rsidRPr="00BE11F5" w:rsidRDefault="00567205" w:rsidP="00567205">
      <w:pPr>
        <w:pStyle w:val="ParaNoNdepar-AltN"/>
        <w:rPr>
          <w:rFonts w:cs="Times New Roman"/>
        </w:rPr>
      </w:pPr>
      <w:r w:rsidRPr="00BE11F5">
        <w:rPr>
          <w:rFonts w:cs="Times New Roman"/>
        </w:rPr>
        <w:t xml:space="preserve">Functionally, the first </w:t>
      </w:r>
      <w:r w:rsidRPr="00BE11F5">
        <w:rPr>
          <w:rFonts w:cs="Times New Roman"/>
          <w:i/>
        </w:rPr>
        <w:t>Palmer</w:t>
      </w:r>
      <w:r w:rsidRPr="00BE11F5">
        <w:rPr>
          <w:rFonts w:cs="Times New Roman"/>
        </w:rPr>
        <w:t xml:space="preserve"> criterion — that the evidence could not, by the exercise of due diligence, have been obtained for the trial — focuses on the conduct of the party seeking to adduce the evidence. It requires litigants to take all reasonable steps to present their best case at trial. This ensures finality and order in the judicial process: </w:t>
      </w:r>
      <w:r w:rsidRPr="00BE11F5">
        <w:rPr>
          <w:rFonts w:cs="Times New Roman"/>
          <w:i/>
        </w:rPr>
        <w:t>R. v. St-Cloud</w:t>
      </w:r>
      <w:r w:rsidRPr="00BE11F5">
        <w:rPr>
          <w:rFonts w:cs="Times New Roman"/>
        </w:rPr>
        <w:t xml:space="preserve">, 2015 SCC 27, </w:t>
      </w:r>
      <w:r w:rsidRPr="00BE11F5">
        <w:rPr>
          <w:rFonts w:cs="Times New Roman"/>
          <w:lang w:bidi="en-US"/>
        </w:rPr>
        <w:t xml:space="preserve">[2015] 2 S.C.R. 328, </w:t>
      </w:r>
      <w:r w:rsidRPr="00BE11F5">
        <w:rPr>
          <w:rFonts w:cs="Times New Roman"/>
        </w:rPr>
        <w:t xml:space="preserve">at para. 130; </w:t>
      </w:r>
      <w:r w:rsidRPr="00BE11F5">
        <w:rPr>
          <w:rFonts w:cs="Times New Roman"/>
          <w:i/>
        </w:rPr>
        <w:t>R. v. G.D.B.</w:t>
      </w:r>
      <w:r w:rsidRPr="00BE11F5">
        <w:rPr>
          <w:rFonts w:cs="Times New Roman"/>
        </w:rPr>
        <w:t xml:space="preserve">, </w:t>
      </w:r>
      <w:r w:rsidRPr="00BE11F5">
        <w:rPr>
          <w:rFonts w:cs="Times New Roman"/>
          <w:lang w:bidi="en-US"/>
        </w:rPr>
        <w:lastRenderedPageBreak/>
        <w:t xml:space="preserve">2000 SCC 22, </w:t>
      </w:r>
      <w:r w:rsidRPr="00BE11F5">
        <w:rPr>
          <w:rFonts w:cs="Times New Roman"/>
        </w:rPr>
        <w:t xml:space="preserve">[2000] 1 S.C.R. 520, at para. 19; </w:t>
      </w:r>
      <w:r w:rsidRPr="00BE11F5">
        <w:rPr>
          <w:rFonts w:cs="Times New Roman"/>
          <w:i/>
        </w:rPr>
        <w:t>R. v. Angelillo</w:t>
      </w:r>
      <w:r w:rsidRPr="00BE11F5">
        <w:rPr>
          <w:rFonts w:cs="Times New Roman"/>
        </w:rPr>
        <w:t>, 2006 SCC 55, [2006] 2 S.C.R. 728, at para. 15.</w:t>
      </w:r>
    </w:p>
    <w:p w14:paraId="10161677" w14:textId="77777777" w:rsidR="00567205" w:rsidRPr="00BE11F5" w:rsidRDefault="00567205" w:rsidP="00567205">
      <w:pPr>
        <w:pStyle w:val="ParaNoNdepar-AltN"/>
        <w:rPr>
          <w:rFonts w:cs="Times New Roman"/>
        </w:rPr>
      </w:pPr>
      <w:r w:rsidRPr="00BE11F5">
        <w:rPr>
          <w:rFonts w:cs="Times New Roman"/>
        </w:rPr>
        <w:t xml:space="preserve">The relationship between due diligence, and finality and order are deeply rooted in our common law. The law generally “requires litigants to put their best foot forward to establish the truth of their allegations when first called upon to do so”: </w:t>
      </w:r>
      <w:r w:rsidRPr="00BE11F5">
        <w:rPr>
          <w:rFonts w:cs="Times New Roman"/>
          <w:i/>
        </w:rPr>
        <w:t>Danyluk v. Ainsworth Technologies Inc.</w:t>
      </w:r>
      <w:r w:rsidRPr="00BE11F5">
        <w:rPr>
          <w:rFonts w:cs="Times New Roman"/>
        </w:rPr>
        <w:t xml:space="preserve">, 2001 SCC 44, [2001] 2 S.C.R. 460, at para. 18. This animates, for example, the cause of action estoppel doctrine, which safeguards “the interest of an individual in being protected from repeated suits and prosecutions for the same cause” and “the finality and conclusiveness of judicial decisions”: </w:t>
      </w:r>
      <w:r w:rsidRPr="00BE11F5">
        <w:rPr>
          <w:rFonts w:cs="Times New Roman"/>
          <w:lang w:bidi="en-US"/>
        </w:rPr>
        <w:t>K. R. Handley</w:t>
      </w:r>
      <w:r w:rsidRPr="00BE11F5">
        <w:rPr>
          <w:rFonts w:cs="Times New Roman"/>
        </w:rPr>
        <w:t xml:space="preserve">, </w:t>
      </w:r>
      <w:r w:rsidRPr="00BE11F5">
        <w:rPr>
          <w:rFonts w:cs="Times New Roman"/>
          <w:i/>
          <w:lang w:bidi="en-US"/>
        </w:rPr>
        <w:t>Spencer Bower and Handley:</w:t>
      </w:r>
      <w:r w:rsidRPr="00BE11F5">
        <w:rPr>
          <w:rFonts w:cs="Times New Roman"/>
          <w:lang w:bidi="en-US"/>
        </w:rPr>
        <w:t xml:space="preserve"> </w:t>
      </w:r>
      <w:r w:rsidRPr="00BE11F5">
        <w:rPr>
          <w:rFonts w:cs="Times New Roman"/>
          <w:i/>
        </w:rPr>
        <w:t>Res Judicata</w:t>
      </w:r>
      <w:r w:rsidRPr="00BE11F5">
        <w:rPr>
          <w:rFonts w:cs="Times New Roman"/>
        </w:rPr>
        <w:t xml:space="preserve"> (4th ed. 2009), at pp. 3-4. This doctrine achieves these ends through a due diligence component: it precludes a party from bringing an action against another party where the basis of the cause of action was argued or could have been argued in the prior action if the party in question had exercised reasonable diligence (</w:t>
      </w:r>
      <w:r w:rsidRPr="00BE11F5">
        <w:rPr>
          <w:rFonts w:cs="Times New Roman"/>
          <w:i/>
        </w:rPr>
        <w:t>Grandview (Town of) v. Doering</w:t>
      </w:r>
      <w:r w:rsidRPr="00BE11F5">
        <w:rPr>
          <w:rFonts w:cs="Times New Roman"/>
        </w:rPr>
        <w:t xml:space="preserve">, [1976] 2 S.C.R. 621, at pp. 634-38, citing </w:t>
      </w:r>
      <w:r w:rsidRPr="00BE11F5">
        <w:rPr>
          <w:rFonts w:cs="Times New Roman"/>
          <w:i/>
        </w:rPr>
        <w:t>Henderson v. Henderson</w:t>
      </w:r>
      <w:r w:rsidRPr="00BE11F5">
        <w:rPr>
          <w:rFonts w:cs="Times New Roman"/>
        </w:rPr>
        <w:t xml:space="preserve"> (1843), 3 Hare 100).</w:t>
      </w:r>
    </w:p>
    <w:p w14:paraId="3A689D69" w14:textId="77777777" w:rsidR="00567205" w:rsidRPr="00BE11F5" w:rsidRDefault="00567205" w:rsidP="00567205">
      <w:pPr>
        <w:pStyle w:val="ParaNoNdepar-AltN"/>
        <w:tabs>
          <w:tab w:val="clear" w:pos="1152"/>
          <w:tab w:val="left" w:pos="1170"/>
        </w:tabs>
        <w:rPr>
          <w:rFonts w:cs="Times New Roman"/>
        </w:rPr>
      </w:pPr>
      <w:r w:rsidRPr="00BE11F5">
        <w:rPr>
          <w:rFonts w:cs="Times New Roman"/>
        </w:rPr>
        <w:t xml:space="preserve">The </w:t>
      </w:r>
      <w:r w:rsidRPr="00BE11F5">
        <w:rPr>
          <w:rFonts w:cs="Times New Roman"/>
          <w:i/>
        </w:rPr>
        <w:t>Palmer</w:t>
      </w:r>
      <w:r w:rsidRPr="00BE11F5">
        <w:rPr>
          <w:rFonts w:cs="Times New Roman"/>
        </w:rPr>
        <w:t xml:space="preserve"> test’s due diligence criterion plays a similar role: it ensures that litigants put their best foot forward when first called upon to do so.</w:t>
      </w:r>
    </w:p>
    <w:p w14:paraId="5A6B983D" w14:textId="77777777" w:rsidR="00567205" w:rsidRPr="00BE11F5" w:rsidRDefault="00567205" w:rsidP="00567205">
      <w:pPr>
        <w:pStyle w:val="ParaNoNdepar-AltN"/>
        <w:rPr>
          <w:rFonts w:cs="Times New Roman"/>
        </w:rPr>
      </w:pPr>
      <w:r w:rsidRPr="00BE11F5">
        <w:rPr>
          <w:rFonts w:cs="Times New Roman"/>
        </w:rPr>
        <w:t xml:space="preserve">The principle of finality and order has both individual and systemic dimensions in this setting. On an individual level, it speaks to the profound unfairness in providing “a party the opportunity to make up for deficiencies in [their] case at trial”: </w:t>
      </w:r>
      <w:r w:rsidRPr="00BE11F5">
        <w:rPr>
          <w:rFonts w:cs="Times New Roman"/>
          <w:i/>
        </w:rPr>
        <w:t>Stav v. Stav</w:t>
      </w:r>
      <w:r w:rsidRPr="00BE11F5">
        <w:rPr>
          <w:rFonts w:cs="Times New Roman"/>
        </w:rPr>
        <w:t>,</w:t>
      </w:r>
      <w:r w:rsidRPr="00BE11F5">
        <w:rPr>
          <w:rFonts w:cs="Times New Roman"/>
          <w:i/>
        </w:rPr>
        <w:t xml:space="preserve"> </w:t>
      </w:r>
      <w:r w:rsidRPr="00BE11F5">
        <w:rPr>
          <w:rFonts w:cs="Times New Roman"/>
        </w:rPr>
        <w:t>2012 BCCA 154,</w:t>
      </w:r>
      <w:r w:rsidRPr="00BE11F5">
        <w:rPr>
          <w:rFonts w:cs="Times New Roman"/>
          <w:i/>
        </w:rPr>
        <w:t xml:space="preserve"> </w:t>
      </w:r>
      <w:r w:rsidRPr="00BE11F5">
        <w:rPr>
          <w:rFonts w:cs="Times New Roman"/>
        </w:rPr>
        <w:t>31 B.C.L.R. (5th) 302,</w:t>
      </w:r>
      <w:r w:rsidRPr="00BE11F5">
        <w:rPr>
          <w:rFonts w:cs="Times New Roman"/>
          <w:i/>
        </w:rPr>
        <w:t xml:space="preserve"> </w:t>
      </w:r>
      <w:r w:rsidRPr="00BE11F5">
        <w:rPr>
          <w:rFonts w:cs="Times New Roman"/>
        </w:rPr>
        <w:t>at para. 32. A</w:t>
      </w:r>
      <w:r w:rsidRPr="00BE11F5">
        <w:rPr>
          <w:rFonts w:cs="Times New Roman"/>
          <w:lang w:val="en-GB"/>
        </w:rPr>
        <w:t xml:space="preserve"> party who has not </w:t>
      </w:r>
      <w:r w:rsidRPr="00BE11F5">
        <w:rPr>
          <w:rFonts w:cs="Times New Roman"/>
          <w:lang w:val="en-GB"/>
        </w:rPr>
        <w:lastRenderedPageBreak/>
        <w:t xml:space="preserve">acted with due diligence should not be afforded a </w:t>
      </w:r>
      <w:r w:rsidRPr="00BE11F5">
        <w:rPr>
          <w:rFonts w:cs="Times New Roman"/>
        </w:rPr>
        <w:t xml:space="preserve">“second kick at the can”: </w:t>
      </w:r>
      <w:r w:rsidRPr="00BE11F5">
        <w:rPr>
          <w:rFonts w:cs="Times New Roman"/>
          <w:i/>
        </w:rPr>
        <w:t>S.F.D. v. M.T.</w:t>
      </w:r>
      <w:r w:rsidRPr="00BE11F5">
        <w:rPr>
          <w:rFonts w:cs="Times New Roman"/>
        </w:rPr>
        <w:t>, 2019 NBCA 62, 49 C.C.P.B. (2nd) 177, at para. 24</w:t>
      </w:r>
      <w:r w:rsidRPr="00BE11F5">
        <w:rPr>
          <w:rFonts w:cs="Times New Roman"/>
          <w:lang w:val="en-GB"/>
        </w:rPr>
        <w:t xml:space="preserve">. And </w:t>
      </w:r>
      <w:r w:rsidRPr="00BE11F5">
        <w:rPr>
          <w:rFonts w:cs="Times New Roman"/>
        </w:rPr>
        <w:t>the opposing party is entitled to certainty and generally should not have to relitigate an issue decided at first instance, absent a reviewable error. Otherwise, the opposing party must endure additional delay and expense to answer a new case on appeal. Permitting a party in an appeal to fill the gaps in their trial evidence based on the failings identified by the trial judge is fundamentally unfair to the other litigant in an adversarial proceeding.</w:t>
      </w:r>
    </w:p>
    <w:p w14:paraId="6CBC46DB" w14:textId="77777777" w:rsidR="00567205" w:rsidRPr="00BE11F5" w:rsidRDefault="00567205" w:rsidP="00567205">
      <w:pPr>
        <w:pStyle w:val="ParaNoNdepar-AltN"/>
        <w:tabs>
          <w:tab w:val="clear" w:pos="1152"/>
          <w:tab w:val="left" w:pos="1170"/>
        </w:tabs>
        <w:rPr>
          <w:rFonts w:cs="Times New Roman"/>
        </w:rPr>
      </w:pPr>
      <w:r w:rsidRPr="00BE11F5">
        <w:rPr>
          <w:rFonts w:cs="Times New Roman"/>
          <w:lang w:eastAsia="en-CA"/>
        </w:rPr>
        <w:t xml:space="preserve">On a systemic level, this principle preserves </w:t>
      </w:r>
      <w:r w:rsidRPr="00BE11F5">
        <w:rPr>
          <w:rFonts w:cs="Times New Roman"/>
        </w:rPr>
        <w:t>the distinction between the roles of trial and appellate courts.</w:t>
      </w:r>
      <w:r w:rsidRPr="00BE11F5">
        <w:rPr>
          <w:rFonts w:cs="Times New Roman"/>
          <w:lang w:eastAsia="en-CA"/>
        </w:rPr>
        <w:t xml:space="preserve"> Evaluating evidence and making factual findings are the responsibilities of trial </w:t>
      </w:r>
      <w:r w:rsidRPr="00BE11F5">
        <w:rPr>
          <w:rFonts w:cs="Times New Roman"/>
        </w:rPr>
        <w:t>judges</w:t>
      </w:r>
      <w:r w:rsidRPr="00BE11F5">
        <w:rPr>
          <w:rFonts w:cs="Times New Roman"/>
          <w:lang w:eastAsia="en-CA"/>
        </w:rPr>
        <w:t>. Appellate courts, by contrast, are designed to review trial decisions for errors. The admission of additional evidence on appeal blurs this critical distinction by permitting litigants to effectively extend trial proceedings into the appellate arena.</w:t>
      </w:r>
    </w:p>
    <w:p w14:paraId="0DF73294" w14:textId="77777777" w:rsidR="00567205" w:rsidRPr="00BE11F5" w:rsidRDefault="00567205" w:rsidP="00567205">
      <w:pPr>
        <w:pStyle w:val="ParaNoNdepar-AltN"/>
        <w:rPr>
          <w:rFonts w:cs="Times New Roman"/>
        </w:rPr>
      </w:pPr>
      <w:r w:rsidRPr="00BE11F5">
        <w:rPr>
          <w:rFonts w:cs="Times New Roman"/>
          <w:lang w:eastAsia="en-CA"/>
        </w:rPr>
        <w:t>By requiring litigants to call all evidence necessary to present their best case at first instance, the due diligence criterion protects this distinction. This, in turn, sustains the proper functioning of our judicial architecture (</w:t>
      </w:r>
      <w:r w:rsidRPr="00BE11F5">
        <w:rPr>
          <w:rFonts w:cs="Times New Roman"/>
          <w:i/>
        </w:rPr>
        <w:t>R. v. Sipos</w:t>
      </w:r>
      <w:r w:rsidRPr="00BE11F5">
        <w:rPr>
          <w:rFonts w:cs="Times New Roman"/>
        </w:rPr>
        <w:t>,</w:t>
      </w:r>
      <w:r w:rsidRPr="00BE11F5">
        <w:rPr>
          <w:rFonts w:cs="Times New Roman"/>
          <w:i/>
        </w:rPr>
        <w:t xml:space="preserve"> </w:t>
      </w:r>
      <w:r w:rsidRPr="00BE11F5">
        <w:rPr>
          <w:rFonts w:cs="Times New Roman"/>
        </w:rPr>
        <w:t>2014 SCC 47,</w:t>
      </w:r>
      <w:r w:rsidRPr="00BE11F5">
        <w:rPr>
          <w:rFonts w:cs="Times New Roman"/>
          <w:i/>
        </w:rPr>
        <w:t xml:space="preserve"> </w:t>
      </w:r>
      <w:r w:rsidRPr="00BE11F5">
        <w:rPr>
          <w:rFonts w:cs="Times New Roman"/>
        </w:rPr>
        <w:t>[2014] 2 S.C.R. 423,</w:t>
      </w:r>
      <w:r w:rsidRPr="00BE11F5">
        <w:rPr>
          <w:rFonts w:cs="Times New Roman"/>
          <w:i/>
        </w:rPr>
        <w:t xml:space="preserve"> </w:t>
      </w:r>
      <w:r w:rsidRPr="00BE11F5">
        <w:rPr>
          <w:rFonts w:cs="Times New Roman"/>
        </w:rPr>
        <w:t>at para. 30)</w:t>
      </w:r>
      <w:r>
        <w:rPr>
          <w:rFonts w:cs="Times New Roman"/>
        </w:rPr>
        <w:t>,</w:t>
      </w:r>
      <w:r w:rsidRPr="00BE11F5">
        <w:rPr>
          <w:rFonts w:cs="Times New Roman"/>
        </w:rPr>
        <w:t xml:space="preserve"> </w:t>
      </w:r>
      <w:r w:rsidRPr="00BE11F5">
        <w:rPr>
          <w:rFonts w:cs="Times New Roman"/>
          <w:lang w:eastAsia="en-CA"/>
        </w:rPr>
        <w:t>and ensures the efficient and effective use of judicial resources (</w:t>
      </w:r>
      <w:r w:rsidRPr="00BE11F5">
        <w:rPr>
          <w:rFonts w:cs="Times New Roman"/>
        </w:rPr>
        <w:t xml:space="preserve">see </w:t>
      </w:r>
      <w:r w:rsidRPr="00BE11F5">
        <w:rPr>
          <w:rFonts w:cs="Times New Roman"/>
          <w:i/>
        </w:rPr>
        <w:t xml:space="preserve">Housen </w:t>
      </w:r>
      <w:r w:rsidRPr="00BE11F5">
        <w:rPr>
          <w:rFonts w:cs="Times New Roman"/>
          <w:i/>
          <w:iCs/>
        </w:rPr>
        <w:t>v</w:t>
      </w:r>
      <w:r w:rsidRPr="00BE11F5">
        <w:rPr>
          <w:rFonts w:cs="Times New Roman"/>
          <w:i/>
        </w:rPr>
        <w:t>. Nikolaisen</w:t>
      </w:r>
      <w:r w:rsidRPr="00BE11F5">
        <w:rPr>
          <w:rFonts w:cs="Times New Roman"/>
        </w:rPr>
        <w:t>, 2002 SCC 33, [2002] 2 S.C.R. 235, at para. 16).</w:t>
      </w:r>
    </w:p>
    <w:p w14:paraId="5F5C0459" w14:textId="77777777" w:rsidR="00567205" w:rsidRPr="00BE11F5" w:rsidRDefault="00567205" w:rsidP="00567205">
      <w:pPr>
        <w:pStyle w:val="ParaNoNdepar-AltN"/>
        <w:tabs>
          <w:tab w:val="clear" w:pos="1152"/>
          <w:tab w:val="left" w:pos="1170"/>
        </w:tabs>
        <w:rPr>
          <w:rFonts w:cs="Times New Roman"/>
        </w:rPr>
      </w:pPr>
      <w:r w:rsidRPr="00BE11F5">
        <w:rPr>
          <w:rFonts w:cs="Times New Roman"/>
        </w:rPr>
        <w:t xml:space="preserve">The importance of the due diligence criterion may vary, however, depending on the proposed use of the evidence. Evidence sought to be adduced as a basis for intervention — to demonstrate the first instance decision was wrong — raises </w:t>
      </w:r>
      <w:r w:rsidRPr="00BE11F5">
        <w:rPr>
          <w:rFonts w:cs="Times New Roman"/>
        </w:rPr>
        <w:lastRenderedPageBreak/>
        <w:t xml:space="preserve">greater concerns for finality and order than evidence that may help determine an appropriate order </w:t>
      </w:r>
      <w:r w:rsidRPr="00BE11F5">
        <w:rPr>
          <w:rFonts w:cs="Times New Roman"/>
          <w:i/>
        </w:rPr>
        <w:t>after</w:t>
      </w:r>
      <w:r w:rsidRPr="00BE11F5">
        <w:rPr>
          <w:rFonts w:cs="Times New Roman"/>
        </w:rPr>
        <w:t xml:space="preserve"> the court has found a material error. Since appellate intervention is justified on the basis of a reviewable error in the decision below, there is less concern for finality and order. Accordingly, in such cases, the due diligence </w:t>
      </w:r>
      <w:r w:rsidRPr="00BE11F5">
        <w:rPr>
          <w:rFonts w:cs="Times New Roman"/>
          <w:lang w:eastAsia="en-CA"/>
        </w:rPr>
        <w:t xml:space="preserve">criterion </w:t>
      </w:r>
      <w:r w:rsidRPr="00BE11F5">
        <w:rPr>
          <w:rFonts w:cs="Times New Roman"/>
        </w:rPr>
        <w:t>has less bearing on the interests of justice.</w:t>
      </w:r>
    </w:p>
    <w:p w14:paraId="681FA717"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In sum, the due diligence criterion safeguards the importance of </w:t>
      </w:r>
      <w:r w:rsidRPr="00BE11F5">
        <w:rPr>
          <w:rFonts w:cs="Times New Roman"/>
          <w:lang w:eastAsia="en-CA"/>
        </w:rPr>
        <w:t>finality and order for the parties and the integrity of the judicial system.</w:t>
      </w:r>
      <w:r w:rsidRPr="00BE11F5">
        <w:rPr>
          <w:rFonts w:cs="Times New Roman"/>
        </w:rPr>
        <w:t xml:space="preserve"> The focus at this stage of </w:t>
      </w:r>
      <w:r w:rsidRPr="00BE11F5">
        <w:rPr>
          <w:rFonts w:cs="Times New Roman"/>
          <w:i/>
        </w:rPr>
        <w:t xml:space="preserve">Palmer </w:t>
      </w:r>
      <w:r w:rsidRPr="00BE11F5">
        <w:rPr>
          <w:rFonts w:cs="Times New Roman"/>
        </w:rPr>
        <w:t xml:space="preserve">is on the </w:t>
      </w:r>
      <w:r w:rsidRPr="00BE11F5">
        <w:rPr>
          <w:rFonts w:cs="Times New Roman"/>
          <w:i/>
        </w:rPr>
        <w:t>conduct</w:t>
      </w:r>
      <w:r w:rsidRPr="00BE11F5">
        <w:rPr>
          <w:rFonts w:cs="Times New Roman"/>
        </w:rPr>
        <w:t xml:space="preserve"> of the party. This is why evidence that could, by the exercise of due diligence, have been available for trial should generally not be admitted on appeal.</w:t>
      </w:r>
    </w:p>
    <w:p w14:paraId="215A189D" w14:textId="77777777" w:rsidR="00567205" w:rsidRPr="00BE11F5" w:rsidRDefault="00567205" w:rsidP="00567205">
      <w:pPr>
        <w:pStyle w:val="Title4LevelTitre4Niveau"/>
        <w:tabs>
          <w:tab w:val="clear" w:pos="900"/>
          <w:tab w:val="clear" w:pos="1152"/>
          <w:tab w:val="left" w:pos="1170"/>
        </w:tabs>
        <w:jc w:val="both"/>
        <w:rPr>
          <w:rFonts w:cs="Times New Roman"/>
        </w:rPr>
      </w:pPr>
      <w:r w:rsidRPr="00BE11F5">
        <w:rPr>
          <w:rFonts w:cs="Times New Roman"/>
        </w:rPr>
        <w:t>The Criteria That the Evidence Be Relevant, Credible and Could Have Affected the Result</w:t>
      </w:r>
    </w:p>
    <w:p w14:paraId="186F1129" w14:textId="77777777" w:rsidR="00567205" w:rsidRPr="00BE11F5" w:rsidRDefault="00567205" w:rsidP="00567205">
      <w:pPr>
        <w:pStyle w:val="ParaNoNdepar-AltN"/>
        <w:rPr>
          <w:rFonts w:cs="Times New Roman"/>
          <w:lang w:val="en-US"/>
        </w:rPr>
      </w:pPr>
      <w:r w:rsidRPr="00BE11F5">
        <w:rPr>
          <w:rFonts w:cs="Times New Roman"/>
        </w:rPr>
        <w:t xml:space="preserve">The last three </w:t>
      </w:r>
      <w:r w:rsidRPr="00BE11F5">
        <w:rPr>
          <w:rFonts w:cs="Times New Roman"/>
          <w:i/>
        </w:rPr>
        <w:t xml:space="preserve">Palmer </w:t>
      </w:r>
      <w:r w:rsidRPr="00BE11F5">
        <w:rPr>
          <w:rFonts w:cs="Times New Roman"/>
        </w:rPr>
        <w:t xml:space="preserve">criteria require courts to only admit evidence on appeal when it is relevant, credible, and could have affected the result at trial. Unlike the first criterion, which focuses on the </w:t>
      </w:r>
      <w:r w:rsidRPr="00BE11F5">
        <w:rPr>
          <w:rFonts w:cs="Times New Roman"/>
          <w:i/>
        </w:rPr>
        <w:t>conduct</w:t>
      </w:r>
      <w:r w:rsidRPr="00BE11F5">
        <w:rPr>
          <w:rFonts w:cs="Times New Roman"/>
        </w:rPr>
        <w:t xml:space="preserve"> of the party, these three criteria focus on the </w:t>
      </w:r>
      <w:r w:rsidRPr="00BE11F5">
        <w:rPr>
          <w:rFonts w:cs="Times New Roman"/>
          <w:i/>
        </w:rPr>
        <w:t>evidence</w:t>
      </w:r>
      <w:r w:rsidRPr="00BE11F5">
        <w:rPr>
          <w:rFonts w:cs="Times New Roman"/>
        </w:rPr>
        <w:t xml:space="preserve"> adduced. And unlike due diligence, the latter three criteria are “conditions precedent” — evidence that falls short of them cannot</w:t>
      </w:r>
      <w:r w:rsidRPr="00BE11F5">
        <w:rPr>
          <w:rFonts w:cs="Times New Roman"/>
          <w:i/>
        </w:rPr>
        <w:t xml:space="preserve"> </w:t>
      </w:r>
      <w:r w:rsidRPr="00BE11F5">
        <w:rPr>
          <w:rFonts w:cs="Times New Roman"/>
        </w:rPr>
        <w:t>be admitted on appeal:</w:t>
      </w:r>
      <w:r w:rsidRPr="00BE11F5">
        <w:rPr>
          <w:rFonts w:cs="Times New Roman"/>
          <w:i/>
        </w:rPr>
        <w:t xml:space="preserve"> R. v. Lévesque</w:t>
      </w:r>
      <w:r w:rsidRPr="00BE11F5">
        <w:rPr>
          <w:rFonts w:cs="Times New Roman"/>
        </w:rPr>
        <w:t>, 2000 SCC 47</w:t>
      </w:r>
      <w:r w:rsidRPr="00BE11F5">
        <w:rPr>
          <w:rFonts w:cs="Times New Roman"/>
          <w:lang w:val="en-US"/>
        </w:rPr>
        <w:t>,</w:t>
      </w:r>
      <w:r w:rsidRPr="00BE11F5">
        <w:rPr>
          <w:rFonts w:cs="Times New Roman"/>
          <w:i/>
          <w:lang w:val="en-US"/>
        </w:rPr>
        <w:t xml:space="preserve"> </w:t>
      </w:r>
      <w:r w:rsidRPr="00BE11F5">
        <w:rPr>
          <w:rFonts w:cs="Times New Roman"/>
          <w:lang w:val="en-US"/>
        </w:rPr>
        <w:t>[2000] 2 S.C.R. 487,</w:t>
      </w:r>
      <w:r w:rsidRPr="00BE11F5">
        <w:rPr>
          <w:rFonts w:cs="Times New Roman"/>
          <w:i/>
          <w:lang w:val="en-US"/>
        </w:rPr>
        <w:t xml:space="preserve"> </w:t>
      </w:r>
      <w:r w:rsidRPr="00BE11F5">
        <w:rPr>
          <w:rFonts w:cs="Times New Roman"/>
          <w:lang w:val="en-US"/>
        </w:rPr>
        <w:t>at para. 14.</w:t>
      </w:r>
    </w:p>
    <w:p w14:paraId="77F2085D"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These criteria reflect the other principle that animates the </w:t>
      </w:r>
      <w:r w:rsidRPr="00BE11F5">
        <w:rPr>
          <w:rFonts w:cs="Times New Roman"/>
          <w:i/>
        </w:rPr>
        <w:t xml:space="preserve">Palmer </w:t>
      </w:r>
      <w:r w:rsidRPr="00BE11F5">
        <w:rPr>
          <w:rFonts w:cs="Times New Roman"/>
        </w:rPr>
        <w:t>test: the importance of reaching a just result in the context of the proceedings (</w:t>
      </w:r>
      <w:r w:rsidRPr="00BE11F5">
        <w:rPr>
          <w:rFonts w:cs="Times New Roman"/>
          <w:i/>
        </w:rPr>
        <w:t>Sipos</w:t>
      </w:r>
      <w:r w:rsidRPr="00BE11F5">
        <w:rPr>
          <w:rFonts w:cs="Times New Roman"/>
        </w:rPr>
        <w:t xml:space="preserve">, at </w:t>
      </w:r>
      <w:r w:rsidRPr="00BE11F5">
        <w:rPr>
          <w:rFonts w:cs="Times New Roman"/>
        </w:rPr>
        <w:lastRenderedPageBreak/>
        <w:t>paras. 30</w:t>
      </w:r>
      <w:r w:rsidRPr="00BE11F5">
        <w:rPr>
          <w:rFonts w:cs="Times New Roman"/>
        </w:rPr>
        <w:noBreakHyphen/>
        <w:t xml:space="preserve">31; </w:t>
      </w:r>
      <w:r w:rsidRPr="00BE11F5">
        <w:rPr>
          <w:rFonts w:cs="Times New Roman"/>
          <w:i/>
        </w:rPr>
        <w:t>R. v. Warsing</w:t>
      </w:r>
      <w:r w:rsidRPr="00BE11F5">
        <w:rPr>
          <w:rFonts w:cs="Times New Roman"/>
        </w:rPr>
        <w:t>, [1998] 3 S.C.R. 579, at para. 56). This principle</w:t>
      </w:r>
      <w:r w:rsidRPr="00BE11F5">
        <w:rPr>
          <w:rFonts w:cs="Times New Roman"/>
          <w:lang w:val="en-GB"/>
        </w:rPr>
        <w:t xml:space="preserve"> is directly linked to the correctness of the trial decision and </w:t>
      </w:r>
      <w:r w:rsidRPr="00BE11F5">
        <w:rPr>
          <w:rFonts w:cs="Times New Roman"/>
        </w:rPr>
        <w:t xml:space="preserve">the truth-seeking function of our trial process. Evidence that is unreliable, not credible, or not probative of the issues in dispute may hinder, rather than facilitate, the search for the truth. And as Cory J. observed in </w:t>
      </w:r>
      <w:r w:rsidRPr="00BE11F5">
        <w:rPr>
          <w:rFonts w:cs="Times New Roman"/>
          <w:i/>
        </w:rPr>
        <w:t>R. v. Nikolovski</w:t>
      </w:r>
      <w:r w:rsidRPr="00BE11F5">
        <w:rPr>
          <w:rFonts w:cs="Times New Roman"/>
        </w:rPr>
        <w:t>, [1996] 3 S.C.R. 1197, at para. 13, “[t]he ultimate aim of any trial, criminal or civil, must be to seek and to ascertain the truth.”</w:t>
      </w:r>
    </w:p>
    <w:p w14:paraId="1B37DA03" w14:textId="77777777" w:rsidR="00567205" w:rsidRPr="00BE11F5" w:rsidRDefault="00567205" w:rsidP="00567205">
      <w:pPr>
        <w:pStyle w:val="ParaNoNdepar-AltN"/>
        <w:rPr>
          <w:rFonts w:cs="Times New Roman"/>
        </w:rPr>
      </w:pPr>
      <w:r w:rsidRPr="00BE11F5">
        <w:rPr>
          <w:rFonts w:cs="Times New Roman"/>
        </w:rPr>
        <w:t xml:space="preserve">After a court has decided to admit evidence on appeal, it should remain mindful that the evidence has not been put to the test of cross-examination or rebuttal at trial, and the adverse party may not have had the ability to verify its accuracy: </w:t>
      </w:r>
      <w:r w:rsidRPr="00BE11F5">
        <w:rPr>
          <w:rFonts w:cs="Times New Roman"/>
          <w:i/>
        </w:rPr>
        <w:t>Lévesque</w:t>
      </w:r>
      <w:r w:rsidRPr="00BE11F5">
        <w:rPr>
          <w:rFonts w:cs="Times New Roman"/>
        </w:rPr>
        <w:t xml:space="preserve">, at para. 25. If the evidence is challenged or its probative value is in dispute, appellate courts may, among other things, provide the opposing party an opportunity to respond, allow cross‑examination of a witness, permit the submission of expert evidence in response to additional expert evidence, or remit the matter to the court of first instance: </w:t>
      </w:r>
      <w:r w:rsidRPr="00BE11F5">
        <w:rPr>
          <w:rFonts w:cs="Times New Roman"/>
          <w:i/>
        </w:rPr>
        <w:t>Lévesque</w:t>
      </w:r>
      <w:r w:rsidRPr="00BE11F5">
        <w:rPr>
          <w:rFonts w:cs="Times New Roman"/>
        </w:rPr>
        <w:t xml:space="preserve">, at para. 25; see also </w:t>
      </w:r>
      <w:r w:rsidRPr="00BE11F5">
        <w:rPr>
          <w:rFonts w:cs="Times New Roman"/>
          <w:i/>
        </w:rPr>
        <w:t>Child and Family Services of</w:t>
      </w:r>
      <w:r w:rsidRPr="00BE11F5">
        <w:rPr>
          <w:rFonts w:cs="Times New Roman"/>
        </w:rPr>
        <w:t xml:space="preserve"> </w:t>
      </w:r>
      <w:r w:rsidRPr="00BE11F5">
        <w:rPr>
          <w:rFonts w:cs="Times New Roman"/>
          <w:i/>
        </w:rPr>
        <w:t>Winnipeg v. J.M.F.</w:t>
      </w:r>
      <w:r w:rsidRPr="00BE11F5">
        <w:rPr>
          <w:rFonts w:cs="Times New Roman"/>
        </w:rPr>
        <w:t xml:space="preserve">, 2000 MBCA 145, 153 Man. R. (2d) 90, at para. 27; </w:t>
      </w:r>
      <w:r w:rsidRPr="00BE11F5">
        <w:rPr>
          <w:rFonts w:cs="Times New Roman"/>
          <w:i/>
        </w:rPr>
        <w:t xml:space="preserve">Children’s Aid Society of Windsor-Essex (County) v. B. (Y.) </w:t>
      </w:r>
      <w:r w:rsidRPr="00BE11F5">
        <w:rPr>
          <w:rFonts w:cs="Times New Roman"/>
        </w:rPr>
        <w:t>(2004), 5 R.F.L. (6th) 269 (Ont. C.A.), at paras. 12 and 19.</w:t>
      </w:r>
    </w:p>
    <w:p w14:paraId="48B3733D" w14:textId="77777777" w:rsidR="00567205" w:rsidRPr="00BE11F5" w:rsidRDefault="00567205" w:rsidP="00567205">
      <w:pPr>
        <w:pStyle w:val="Title4LevelTitre4Niveau"/>
        <w:tabs>
          <w:tab w:val="clear" w:pos="900"/>
          <w:tab w:val="clear" w:pos="1152"/>
          <w:tab w:val="left" w:pos="1170"/>
        </w:tabs>
        <w:jc w:val="both"/>
        <w:rPr>
          <w:rFonts w:cs="Times New Roman"/>
        </w:rPr>
      </w:pPr>
      <w:r w:rsidRPr="00BE11F5">
        <w:rPr>
          <w:rFonts w:cs="Times New Roman"/>
        </w:rPr>
        <w:t>Palmer Resolves the Tension Between the Need for Finality and Order, and the Interest in Reaching a Just Result</w:t>
      </w:r>
    </w:p>
    <w:p w14:paraId="2758D64F"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The </w:t>
      </w:r>
      <w:r w:rsidRPr="00BE11F5">
        <w:rPr>
          <w:rFonts w:cs="Times New Roman"/>
          <w:i/>
        </w:rPr>
        <w:t>Palmer</w:t>
      </w:r>
      <w:r w:rsidRPr="00BE11F5">
        <w:rPr>
          <w:rFonts w:cs="Times New Roman"/>
        </w:rPr>
        <w:t xml:space="preserve"> test reconciles the tension between these two foundational principles — the need for finality and order, and the interest in reaching a just result — </w:t>
      </w:r>
      <w:r w:rsidRPr="00BE11F5">
        <w:rPr>
          <w:rFonts w:cs="Times New Roman"/>
        </w:rPr>
        <w:lastRenderedPageBreak/>
        <w:t xml:space="preserve">to determine the interests of justice in the circumstances of each case: </w:t>
      </w:r>
      <w:r w:rsidRPr="00BE11F5">
        <w:rPr>
          <w:rFonts w:cs="Times New Roman"/>
          <w:i/>
        </w:rPr>
        <w:t>Sipos</w:t>
      </w:r>
      <w:r w:rsidRPr="00BE11F5">
        <w:rPr>
          <w:rFonts w:cs="Times New Roman"/>
        </w:rPr>
        <w:t>,</w:t>
      </w:r>
      <w:r w:rsidRPr="00BE11F5">
        <w:rPr>
          <w:rFonts w:cs="Times New Roman"/>
          <w:i/>
        </w:rPr>
        <w:t xml:space="preserve"> </w:t>
      </w:r>
      <w:r w:rsidRPr="00BE11F5">
        <w:rPr>
          <w:rFonts w:cs="Times New Roman"/>
        </w:rPr>
        <w:t xml:space="preserve">at para. 31. It is against this backdrop that I address whether the </w:t>
      </w:r>
      <w:r w:rsidRPr="00BE11F5">
        <w:rPr>
          <w:rFonts w:cs="Times New Roman"/>
          <w:i/>
        </w:rPr>
        <w:t>Palmer</w:t>
      </w:r>
      <w:r w:rsidRPr="00BE11F5">
        <w:rPr>
          <w:rFonts w:cs="Times New Roman"/>
        </w:rPr>
        <w:t xml:space="preserve"> test applies to what has been called “new” evidence (more accurately referred to as evidence of facts or events that occurred after trial).</w:t>
      </w:r>
    </w:p>
    <w:p w14:paraId="162264CD" w14:textId="77777777" w:rsidR="00567205" w:rsidRPr="00BE11F5" w:rsidRDefault="00567205" w:rsidP="00567205">
      <w:pPr>
        <w:pStyle w:val="Title3LevelTitre3Niveau"/>
        <w:tabs>
          <w:tab w:val="clear" w:pos="1152"/>
          <w:tab w:val="left" w:pos="1170"/>
        </w:tabs>
        <w:jc w:val="both"/>
        <w:rPr>
          <w:rFonts w:cs="Times New Roman"/>
        </w:rPr>
      </w:pPr>
      <w:r w:rsidRPr="00BE11F5">
        <w:rPr>
          <w:rFonts w:cs="Times New Roman"/>
        </w:rPr>
        <w:t xml:space="preserve">The </w:t>
      </w:r>
      <w:r w:rsidRPr="00BE11F5">
        <w:rPr>
          <w:rFonts w:cs="Times New Roman"/>
          <w:i/>
        </w:rPr>
        <w:t>Palmer</w:t>
      </w:r>
      <w:r w:rsidRPr="00BE11F5">
        <w:rPr>
          <w:rFonts w:cs="Times New Roman"/>
        </w:rPr>
        <w:t xml:space="preserve"> Test Applies to Evidence of Facts that Arise After Trial</w:t>
      </w:r>
    </w:p>
    <w:p w14:paraId="4081C69E"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The primary issue in this appeal is whether and how the </w:t>
      </w:r>
      <w:r w:rsidRPr="00BE11F5">
        <w:rPr>
          <w:rFonts w:cs="Times New Roman"/>
          <w:i/>
        </w:rPr>
        <w:t xml:space="preserve">Palmer </w:t>
      </w:r>
      <w:r w:rsidRPr="00BE11F5">
        <w:rPr>
          <w:rFonts w:cs="Times New Roman"/>
        </w:rPr>
        <w:t>test applies to “new” evidence. According to the Court of Appeal, evidence is “new” if it pertains to facts that occurred after trial; “fresh” evidence pertains to facts that occurred before trial, but which, for one reason or another, could not be put before the court.</w:t>
      </w:r>
    </w:p>
    <w:p w14:paraId="4DAD7370" w14:textId="77777777" w:rsidR="00567205" w:rsidRPr="00BE11F5" w:rsidRDefault="00567205" w:rsidP="00567205">
      <w:pPr>
        <w:pStyle w:val="ParaNoNdepar-AltN"/>
        <w:tabs>
          <w:tab w:val="clear" w:pos="1152"/>
          <w:tab w:val="left" w:pos="1170"/>
          <w:tab w:val="num" w:pos="1332"/>
        </w:tabs>
        <w:rPr>
          <w:rFonts w:cs="Times New Roman"/>
          <w:lang w:val="en-US"/>
        </w:rPr>
      </w:pPr>
      <w:r w:rsidRPr="00BE11F5">
        <w:rPr>
          <w:rFonts w:cs="Times New Roman"/>
          <w:lang w:val="en-US"/>
        </w:rPr>
        <w:t xml:space="preserve">Appellate courts across the country have differed in their approaches to “new” evidence. Some have applied the </w:t>
      </w:r>
      <w:r w:rsidRPr="00BE11F5">
        <w:rPr>
          <w:rFonts w:cs="Times New Roman"/>
          <w:i/>
          <w:lang w:val="en-US"/>
        </w:rPr>
        <w:t xml:space="preserve">Palmer </w:t>
      </w:r>
      <w:r w:rsidRPr="00BE11F5">
        <w:rPr>
          <w:rFonts w:cs="Times New Roman"/>
          <w:lang w:val="en-US"/>
        </w:rPr>
        <w:t>criteria (</w:t>
      </w:r>
      <w:r w:rsidRPr="00BE11F5">
        <w:rPr>
          <w:rFonts w:cs="Times New Roman"/>
          <w:i/>
          <w:lang w:val="en-US"/>
        </w:rPr>
        <w:t>J.W.S. v. C.J.S.</w:t>
      </w:r>
      <w:r w:rsidRPr="00BE11F5">
        <w:rPr>
          <w:rFonts w:cs="Times New Roman"/>
          <w:lang w:val="en-US"/>
        </w:rPr>
        <w:t>, 2019 ABCA 153, at para. 37</w:t>
      </w:r>
      <w:r w:rsidRPr="00BE11F5">
        <w:rPr>
          <w:rFonts w:cs="Times New Roman"/>
          <w:lang w:val="en-US" w:bidi="en-US"/>
        </w:rPr>
        <w:t xml:space="preserve"> (CanLII)</w:t>
      </w:r>
      <w:r w:rsidRPr="00BE11F5">
        <w:rPr>
          <w:rFonts w:cs="Times New Roman"/>
          <w:lang w:val="en-US"/>
        </w:rPr>
        <w:t xml:space="preserve">; </w:t>
      </w:r>
      <w:r w:rsidRPr="00BE11F5">
        <w:rPr>
          <w:rFonts w:cs="Times New Roman"/>
          <w:i/>
          <w:lang w:val="en-US"/>
        </w:rPr>
        <w:t>Sheikh (Re)</w:t>
      </w:r>
      <w:r w:rsidRPr="00BE11F5">
        <w:rPr>
          <w:rFonts w:cs="Times New Roman"/>
          <w:lang w:val="en-US"/>
        </w:rPr>
        <w:t>, 2019 ONCA 692, at para. 7</w:t>
      </w:r>
      <w:r w:rsidRPr="00BE11F5">
        <w:rPr>
          <w:rFonts w:cs="Times New Roman"/>
          <w:lang w:val="en-US" w:bidi="en-US"/>
        </w:rPr>
        <w:t xml:space="preserve"> (CanLII)</w:t>
      </w:r>
      <w:r w:rsidRPr="00BE11F5">
        <w:rPr>
          <w:rFonts w:cs="Times New Roman"/>
          <w:lang w:val="en-US"/>
        </w:rPr>
        <w:t xml:space="preserve">; </w:t>
      </w:r>
      <w:r w:rsidRPr="00BE11F5">
        <w:rPr>
          <w:rFonts w:cs="Times New Roman"/>
          <w:i/>
          <w:lang w:val="en-US"/>
        </w:rPr>
        <w:t>Riel v. Riel</w:t>
      </w:r>
      <w:r w:rsidRPr="00BE11F5">
        <w:rPr>
          <w:rFonts w:cs="Times New Roman"/>
          <w:lang w:val="en-US"/>
        </w:rPr>
        <w:t xml:space="preserve">, 2017 SKCA 74, </w:t>
      </w:r>
      <w:r w:rsidRPr="00BE11F5">
        <w:rPr>
          <w:rFonts w:cs="Times New Roman"/>
          <w:lang w:val="en-US" w:bidi="en-US"/>
        </w:rPr>
        <w:t xml:space="preserve">99 R.F.L. (7th) 367, </w:t>
      </w:r>
      <w:r w:rsidRPr="00BE11F5">
        <w:rPr>
          <w:rFonts w:cs="Times New Roman"/>
          <w:lang w:val="en-US"/>
        </w:rPr>
        <w:t xml:space="preserve">at para. 16; </w:t>
      </w:r>
      <w:r w:rsidRPr="00BE11F5">
        <w:rPr>
          <w:rFonts w:cs="Times New Roman"/>
          <w:i/>
          <w:lang w:val="en-US"/>
        </w:rPr>
        <w:t>Hellberg v. Netherclift</w:t>
      </w:r>
      <w:r w:rsidRPr="00BE11F5">
        <w:rPr>
          <w:rFonts w:cs="Times New Roman"/>
          <w:lang w:val="en-US"/>
        </w:rPr>
        <w:t>,</w:t>
      </w:r>
      <w:r w:rsidRPr="00BE11F5">
        <w:rPr>
          <w:rFonts w:cs="Times New Roman"/>
          <w:i/>
          <w:lang w:val="en-US"/>
        </w:rPr>
        <w:t xml:space="preserve"> </w:t>
      </w:r>
      <w:r w:rsidRPr="00BE11F5">
        <w:rPr>
          <w:rFonts w:cs="Times New Roman"/>
          <w:lang w:val="en-US"/>
        </w:rPr>
        <w:t xml:space="preserve">2017 BCCA 363, </w:t>
      </w:r>
      <w:r w:rsidRPr="00BE11F5">
        <w:rPr>
          <w:rFonts w:cs="Times New Roman"/>
          <w:lang w:val="en-US" w:bidi="en-US"/>
        </w:rPr>
        <w:t xml:space="preserve">2 B.C.L.R. (6th) 126, </w:t>
      </w:r>
      <w:r w:rsidRPr="00BE11F5">
        <w:rPr>
          <w:rFonts w:cs="Times New Roman"/>
          <w:lang w:val="en-US"/>
        </w:rPr>
        <w:t>at paras. 53</w:t>
      </w:r>
      <w:r w:rsidRPr="00BE11F5">
        <w:rPr>
          <w:rFonts w:cs="Times New Roman"/>
          <w:lang w:val="en-US"/>
        </w:rPr>
        <w:noBreakHyphen/>
        <w:t>54), while others have applied a different or modified test (</w:t>
      </w:r>
      <w:r w:rsidRPr="00BE11F5">
        <w:rPr>
          <w:rFonts w:cs="Times New Roman"/>
          <w:i/>
        </w:rPr>
        <w:t xml:space="preserve">North Vancouver (District) v. Lunde </w:t>
      </w:r>
      <w:r w:rsidRPr="00BE11F5">
        <w:rPr>
          <w:rFonts w:cs="Times New Roman"/>
        </w:rPr>
        <w:t>(1998), 60 B.C.L.R. (3d) 201 (C.A.), at paras. 25</w:t>
      </w:r>
      <w:r w:rsidRPr="00BE11F5">
        <w:rPr>
          <w:rFonts w:cs="Times New Roman"/>
        </w:rPr>
        <w:noBreakHyphen/>
        <w:t xml:space="preserve">26; </w:t>
      </w:r>
      <w:r w:rsidRPr="00BE11F5">
        <w:rPr>
          <w:rFonts w:cs="Times New Roman"/>
          <w:i/>
        </w:rPr>
        <w:t>Jens v. Jens</w:t>
      </w:r>
      <w:r w:rsidRPr="00BE11F5">
        <w:rPr>
          <w:rFonts w:cs="Times New Roman"/>
        </w:rPr>
        <w:t>,</w:t>
      </w:r>
      <w:r w:rsidRPr="00BE11F5">
        <w:rPr>
          <w:rFonts w:cs="Times New Roman"/>
          <w:i/>
        </w:rPr>
        <w:t xml:space="preserve"> </w:t>
      </w:r>
      <w:r w:rsidRPr="00BE11F5">
        <w:rPr>
          <w:rFonts w:cs="Times New Roman"/>
        </w:rPr>
        <w:t xml:space="preserve">2008 BCCA 392, </w:t>
      </w:r>
      <w:r w:rsidRPr="00BE11F5">
        <w:rPr>
          <w:rFonts w:cs="Times New Roman"/>
          <w:lang w:bidi="en-US"/>
        </w:rPr>
        <w:t xml:space="preserve">300 D.L.R. (4th) 136, </w:t>
      </w:r>
      <w:r w:rsidRPr="00BE11F5">
        <w:rPr>
          <w:rFonts w:cs="Times New Roman"/>
        </w:rPr>
        <w:t>at paras. 24</w:t>
      </w:r>
      <w:r w:rsidRPr="00BE11F5">
        <w:rPr>
          <w:rFonts w:cs="Times New Roman"/>
        </w:rPr>
        <w:noBreakHyphen/>
        <w:t xml:space="preserve">29; </w:t>
      </w:r>
      <w:r w:rsidRPr="00BE11F5">
        <w:rPr>
          <w:rFonts w:cs="Times New Roman"/>
          <w:i/>
          <w:lang w:val="en-US"/>
        </w:rPr>
        <w:t>Dickson v. Vuntut Gwitchin First Nation</w:t>
      </w:r>
      <w:r w:rsidRPr="00BE11F5">
        <w:rPr>
          <w:rFonts w:cs="Times New Roman"/>
          <w:lang w:val="en-US"/>
        </w:rPr>
        <w:t>, 2021 YKCA 5, at paras. 159</w:t>
      </w:r>
      <w:r w:rsidRPr="00BE11F5">
        <w:rPr>
          <w:rFonts w:cs="Times New Roman"/>
          <w:lang w:val="en-US"/>
        </w:rPr>
        <w:noBreakHyphen/>
        <w:t>61 and 166</w:t>
      </w:r>
      <w:r w:rsidRPr="00BE11F5">
        <w:rPr>
          <w:rFonts w:cs="Times New Roman"/>
          <w:lang w:val="en-US" w:bidi="en-US"/>
        </w:rPr>
        <w:t xml:space="preserve"> (CanLII)</w:t>
      </w:r>
      <w:r w:rsidRPr="00BE11F5">
        <w:rPr>
          <w:rFonts w:cs="Times New Roman"/>
          <w:lang w:val="en-US"/>
        </w:rPr>
        <w:t xml:space="preserve">; </w:t>
      </w:r>
      <w:r w:rsidRPr="00BE11F5">
        <w:rPr>
          <w:rFonts w:cs="Times New Roman"/>
          <w:i/>
          <w:lang w:val="en-US"/>
        </w:rPr>
        <w:t>Miller v. White</w:t>
      </w:r>
      <w:r w:rsidRPr="00BE11F5">
        <w:rPr>
          <w:rFonts w:cs="Times New Roman"/>
          <w:lang w:val="en-US"/>
        </w:rPr>
        <w:t xml:space="preserve">, 2018 PECA 11, </w:t>
      </w:r>
      <w:r w:rsidRPr="00BE11F5">
        <w:rPr>
          <w:rFonts w:cs="Times New Roman"/>
          <w:lang w:val="en-US" w:bidi="en-US"/>
        </w:rPr>
        <w:t xml:space="preserve">10 R.F.L. (8th) 251, </w:t>
      </w:r>
      <w:r w:rsidRPr="00BE11F5">
        <w:rPr>
          <w:rFonts w:cs="Times New Roman"/>
          <w:lang w:val="en-US"/>
        </w:rPr>
        <w:t xml:space="preserve">at para. 19; </w:t>
      </w:r>
      <w:r w:rsidRPr="00BE11F5">
        <w:rPr>
          <w:rFonts w:cs="Times New Roman"/>
          <w:i/>
          <w:lang w:val="en-US"/>
        </w:rPr>
        <w:t>Beauchamp v. Beauchamp</w:t>
      </w:r>
      <w:r w:rsidRPr="00BE11F5">
        <w:rPr>
          <w:rFonts w:cs="Times New Roman"/>
          <w:lang w:val="en-US"/>
        </w:rPr>
        <w:t>, 2021 SKCA 148, at para. 36</w:t>
      </w:r>
      <w:r w:rsidRPr="00BE11F5">
        <w:rPr>
          <w:rFonts w:cs="Times New Roman"/>
          <w:lang w:val="en-US" w:bidi="en-US"/>
        </w:rPr>
        <w:t xml:space="preserve"> (CanLII)</w:t>
      </w:r>
      <w:r w:rsidRPr="00BE11F5">
        <w:rPr>
          <w:rFonts w:cs="Times New Roman"/>
          <w:lang w:val="en-US"/>
        </w:rPr>
        <w:t>).</w:t>
      </w:r>
    </w:p>
    <w:p w14:paraId="123279F0" w14:textId="77777777" w:rsidR="00567205" w:rsidRPr="00BE11F5" w:rsidRDefault="00567205" w:rsidP="00567205">
      <w:pPr>
        <w:pStyle w:val="ParaNoNdepar-AltN"/>
        <w:tabs>
          <w:tab w:val="clear" w:pos="1152"/>
          <w:tab w:val="left" w:pos="1170"/>
          <w:tab w:val="num" w:pos="1332"/>
        </w:tabs>
        <w:rPr>
          <w:rFonts w:cs="Times New Roman"/>
          <w:lang w:val="fr-CA"/>
        </w:rPr>
      </w:pPr>
      <w:r w:rsidRPr="00BE11F5">
        <w:rPr>
          <w:rFonts w:cs="Times New Roman"/>
          <w:lang w:val="en-US"/>
        </w:rPr>
        <w:lastRenderedPageBreak/>
        <w:t xml:space="preserve">This dissonance in the jurisprudence reflects two apparent paradoxes that arise in applying the first and fourth </w:t>
      </w:r>
      <w:r w:rsidRPr="00BE11F5">
        <w:rPr>
          <w:rFonts w:cs="Times New Roman"/>
          <w:i/>
          <w:lang w:val="en-US"/>
        </w:rPr>
        <w:t xml:space="preserve">Palmer </w:t>
      </w:r>
      <w:r w:rsidRPr="00BE11F5">
        <w:rPr>
          <w:rFonts w:cs="Times New Roman"/>
          <w:lang w:val="en-US"/>
        </w:rPr>
        <w:t xml:space="preserve">criteria to “new” evidence. Courts have queried whether new evidence could ever fail the due diligence </w:t>
      </w:r>
      <w:r w:rsidRPr="00BE11F5">
        <w:rPr>
          <w:rFonts w:cs="Times New Roman"/>
          <w:lang w:eastAsia="en-CA"/>
        </w:rPr>
        <w:t>criterion</w:t>
      </w:r>
      <w:r w:rsidRPr="00BE11F5">
        <w:rPr>
          <w:rFonts w:cs="Times New Roman"/>
          <w:lang w:val="en-US"/>
        </w:rPr>
        <w:t xml:space="preserve">, since it relates to facts not yet in existence at the time of trial: see </w:t>
      </w:r>
      <w:r w:rsidRPr="00BE11F5">
        <w:rPr>
          <w:rFonts w:cs="Times New Roman"/>
          <w:i/>
          <w:lang w:val="en-US"/>
        </w:rPr>
        <w:t xml:space="preserve">Cory v. Marsh </w:t>
      </w:r>
      <w:r w:rsidRPr="00BE11F5">
        <w:rPr>
          <w:rFonts w:cs="Times New Roman"/>
          <w:lang w:val="en-US"/>
        </w:rPr>
        <w:t>(1993), 77 B.C.L.R. (2d) 248</w:t>
      </w:r>
      <w:r w:rsidRPr="00BE11F5" w:rsidDel="001D3CFF">
        <w:rPr>
          <w:rFonts w:cs="Times New Roman"/>
          <w:lang w:val="en-US"/>
        </w:rPr>
        <w:t xml:space="preserve"> </w:t>
      </w:r>
      <w:r w:rsidRPr="00BE11F5">
        <w:rPr>
          <w:rFonts w:cs="Times New Roman"/>
          <w:lang w:val="en-US"/>
        </w:rPr>
        <w:t>(C.A.), at paras. 21 and 28</w:t>
      </w:r>
      <w:r w:rsidRPr="00BE11F5">
        <w:rPr>
          <w:rFonts w:cs="Times New Roman"/>
          <w:lang w:val="en-US"/>
        </w:rPr>
        <w:noBreakHyphen/>
        <w:t xml:space="preserve">29; </w:t>
      </w:r>
      <w:r w:rsidRPr="00BE11F5">
        <w:rPr>
          <w:rFonts w:cs="Times New Roman"/>
          <w:i/>
        </w:rPr>
        <w:t>J.M.F.</w:t>
      </w:r>
      <w:r w:rsidRPr="00BE11F5">
        <w:rPr>
          <w:rFonts w:cs="Times New Roman"/>
        </w:rPr>
        <w:t>, at para. 21</w:t>
      </w:r>
      <w:r w:rsidRPr="00BE11F5">
        <w:rPr>
          <w:rFonts w:cs="Times New Roman"/>
          <w:lang w:val="en-US"/>
        </w:rPr>
        <w:t xml:space="preserve">. Others have asked how such evidence could possibly have affected a trial outcome that it postdated: </w:t>
      </w:r>
      <w:r w:rsidRPr="00BE11F5">
        <w:rPr>
          <w:rFonts w:cs="Times New Roman"/>
          <w:i/>
        </w:rPr>
        <w:t>North Vancouver (District)</w:t>
      </w:r>
      <w:r w:rsidRPr="00BE11F5">
        <w:rPr>
          <w:rFonts w:cs="Times New Roman"/>
        </w:rPr>
        <w:t xml:space="preserve">, at para. 25; </w:t>
      </w:r>
      <w:r w:rsidRPr="00BE11F5">
        <w:rPr>
          <w:rFonts w:cs="Times New Roman"/>
          <w:i/>
        </w:rPr>
        <w:t xml:space="preserve">Radcliff v. Radcliff </w:t>
      </w:r>
      <w:r w:rsidRPr="00BE11F5">
        <w:rPr>
          <w:rFonts w:cs="Times New Roman"/>
        </w:rPr>
        <w:t>(2000),</w:t>
      </w:r>
      <w:r w:rsidRPr="00BE11F5">
        <w:rPr>
          <w:rFonts w:cs="Times New Roman"/>
          <w:i/>
        </w:rPr>
        <w:t xml:space="preserve"> </w:t>
      </w:r>
      <w:r w:rsidRPr="00BE11F5">
        <w:rPr>
          <w:rFonts w:cs="Times New Roman"/>
          <w:lang w:bidi="en-US"/>
        </w:rPr>
        <w:t xml:space="preserve">7 R.F.L. (5th) 425 </w:t>
      </w:r>
      <w:r w:rsidRPr="00BE11F5">
        <w:rPr>
          <w:rFonts w:cs="Times New Roman"/>
        </w:rPr>
        <w:t>(Ont. C.A.), at para. </w:t>
      </w:r>
      <w:r w:rsidRPr="00BE11F5">
        <w:rPr>
          <w:rFonts w:cs="Times New Roman"/>
          <w:lang w:val="fr-CA"/>
        </w:rPr>
        <w:t>10;</w:t>
      </w:r>
      <w:r w:rsidRPr="00BE11F5">
        <w:rPr>
          <w:rFonts w:cs="Times New Roman"/>
          <w:i/>
          <w:lang w:val="fr-CA"/>
        </w:rPr>
        <w:t xml:space="preserve"> Sengmueller v. Sengmueller </w:t>
      </w:r>
      <w:r w:rsidRPr="00BE11F5">
        <w:rPr>
          <w:rFonts w:cs="Times New Roman"/>
          <w:lang w:val="fr-CA"/>
        </w:rPr>
        <w:t>(1994), 17 O.R. (3d) 208 (C.A.), at p. 211.</w:t>
      </w:r>
    </w:p>
    <w:p w14:paraId="357CB565"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In the face of conflicting British Columbia case law, the Court of Appeal concluded that the </w:t>
      </w:r>
      <w:r w:rsidRPr="00BE11F5">
        <w:rPr>
          <w:rFonts w:cs="Times New Roman"/>
          <w:i/>
        </w:rPr>
        <w:t xml:space="preserve">Palmer </w:t>
      </w:r>
      <w:r w:rsidRPr="00BE11F5">
        <w:rPr>
          <w:rFonts w:cs="Times New Roman"/>
        </w:rPr>
        <w:t>test only applies to fresh evidence, and the due diligence criterion did not strictly govern the admission of new evidence. It outlined the following test:</w:t>
      </w:r>
    </w:p>
    <w:p w14:paraId="0C47A8EE" w14:textId="77777777" w:rsidR="00567205" w:rsidRPr="00BE11F5" w:rsidRDefault="00567205" w:rsidP="00567205">
      <w:pPr>
        <w:pStyle w:val="Citation-AltC"/>
        <w:tabs>
          <w:tab w:val="left" w:pos="1170"/>
        </w:tabs>
      </w:pPr>
      <w:r w:rsidRPr="00BE11F5">
        <w:tab/>
      </w:r>
      <w:r w:rsidRPr="00BE11F5">
        <w:tab/>
        <w:t>. . . depending on the circumstances, new evidence may be admitted if it establishes that a premise or underpinning or understanding of the trial judge that was significant or fundamental or pivotal has been undermined or altered. [para. 43]</w:t>
      </w:r>
    </w:p>
    <w:p w14:paraId="34285FA5" w14:textId="77777777" w:rsidR="00567205" w:rsidRPr="00BE11F5" w:rsidRDefault="00567205" w:rsidP="00567205">
      <w:pPr>
        <w:pStyle w:val="ParaNoNdepar-AltN"/>
        <w:tabs>
          <w:tab w:val="clear" w:pos="1152"/>
          <w:tab w:val="left" w:pos="1170"/>
          <w:tab w:val="num" w:pos="1332"/>
        </w:tabs>
        <w:rPr>
          <w:rFonts w:cs="Times New Roman"/>
          <w:lang w:eastAsia="en-CA"/>
        </w:rPr>
      </w:pPr>
      <w:r w:rsidRPr="00BE11F5">
        <w:rPr>
          <w:rFonts w:cs="Times New Roman"/>
        </w:rPr>
        <w:t xml:space="preserve">The mother takes issue with the Court of Appeal’s approach: she submits that </w:t>
      </w:r>
      <w:r w:rsidRPr="00BE11F5">
        <w:rPr>
          <w:rFonts w:cs="Times New Roman"/>
          <w:lang w:eastAsia="en-CA"/>
        </w:rPr>
        <w:t xml:space="preserve">the </w:t>
      </w:r>
      <w:r w:rsidRPr="00BE11F5">
        <w:rPr>
          <w:rFonts w:cs="Times New Roman"/>
          <w:i/>
          <w:lang w:eastAsia="en-CA"/>
        </w:rPr>
        <w:t>Palmer</w:t>
      </w:r>
      <w:r w:rsidRPr="00BE11F5">
        <w:rPr>
          <w:rFonts w:cs="Times New Roman"/>
          <w:lang w:eastAsia="en-CA"/>
        </w:rPr>
        <w:t xml:space="preserve"> criteria apply to both fresh and new evidence</w:t>
      </w:r>
      <w:r w:rsidRPr="00BE11F5">
        <w:rPr>
          <w:rFonts w:cs="Times New Roman"/>
        </w:rPr>
        <w:t>. The father argues that the test applied below was appropriate because the new evidence “falsified” the trial decision.</w:t>
      </w:r>
    </w:p>
    <w:p w14:paraId="0BEA04BA" w14:textId="77777777" w:rsidR="00567205" w:rsidRPr="00BE11F5" w:rsidRDefault="00567205" w:rsidP="00567205">
      <w:pPr>
        <w:pStyle w:val="ParaNoNdepar-AltN"/>
        <w:tabs>
          <w:tab w:val="clear" w:pos="1152"/>
          <w:tab w:val="left" w:pos="1170"/>
          <w:tab w:val="num" w:pos="1332"/>
        </w:tabs>
        <w:rPr>
          <w:rFonts w:cs="Times New Roman"/>
          <w:lang w:eastAsia="en-CA"/>
        </w:rPr>
      </w:pPr>
      <w:r w:rsidRPr="00BE11F5">
        <w:rPr>
          <w:rFonts w:cs="Times New Roman"/>
          <w:lang w:eastAsia="en-CA"/>
        </w:rPr>
        <w:lastRenderedPageBreak/>
        <w:t>I conclude that the Court of Appeal erred by applying a different test to “new” evidence.</w:t>
      </w:r>
    </w:p>
    <w:p w14:paraId="2BC4077F"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Applying a different test for admitting new evidence — which dispensed with the due diligence </w:t>
      </w:r>
      <w:r w:rsidRPr="00BE11F5">
        <w:rPr>
          <w:rFonts w:cs="Times New Roman"/>
          <w:lang w:eastAsia="en-CA"/>
        </w:rPr>
        <w:t xml:space="preserve">criterion </w:t>
      </w:r>
      <w:r w:rsidRPr="00BE11F5">
        <w:rPr>
          <w:rFonts w:cs="Times New Roman"/>
        </w:rPr>
        <w:t xml:space="preserve">— failed to safeguard the delicate balance between finality and order, and the interest in a just result. It is also inconsistent with this Court’s </w:t>
      </w:r>
      <w:r w:rsidRPr="00BE11F5">
        <w:rPr>
          <w:rFonts w:cs="Times New Roman"/>
          <w:i/>
        </w:rPr>
        <w:t xml:space="preserve">Palmer </w:t>
      </w:r>
      <w:r w:rsidRPr="00BE11F5">
        <w:rPr>
          <w:rFonts w:cs="Times New Roman"/>
        </w:rPr>
        <w:t xml:space="preserve">jurisprudence. Indeed, this Court </w:t>
      </w:r>
      <w:r w:rsidRPr="00BE11F5">
        <w:rPr>
          <w:rFonts w:cs="Times New Roman"/>
          <w:lang w:val="en-US" w:eastAsia="en-CA"/>
        </w:rPr>
        <w:t xml:space="preserve">has consistently applied </w:t>
      </w:r>
      <w:r w:rsidRPr="00BE11F5">
        <w:rPr>
          <w:rFonts w:cs="Times New Roman"/>
          <w:i/>
        </w:rPr>
        <w:t>Palmer</w:t>
      </w:r>
      <w:r w:rsidRPr="00BE11F5">
        <w:rPr>
          <w:rFonts w:cs="Times New Roman"/>
        </w:rPr>
        <w:t xml:space="preserve"> to evidence pertaining to</w:t>
      </w:r>
      <w:r w:rsidRPr="00BE11F5">
        <w:rPr>
          <w:rFonts w:cs="Times New Roman"/>
          <w:lang w:eastAsia="en-CA"/>
        </w:rPr>
        <w:t xml:space="preserve"> events that occurred between the trial and appeal: see, for example, </w:t>
      </w:r>
      <w:r w:rsidRPr="00BE11F5">
        <w:rPr>
          <w:rFonts w:cs="Times New Roman"/>
          <w:i/>
          <w:spacing w:val="-3"/>
        </w:rPr>
        <w:t>Catholic Children’s Aid Society</w:t>
      </w:r>
      <w:r w:rsidRPr="00BE11F5">
        <w:rPr>
          <w:rFonts w:cs="Times New Roman"/>
          <w:lang w:val="en-US"/>
        </w:rPr>
        <w:t>, at p. 188</w:t>
      </w:r>
      <w:r w:rsidRPr="00BE11F5">
        <w:rPr>
          <w:rFonts w:cs="Times New Roman"/>
        </w:rPr>
        <w:t xml:space="preserve">; </w:t>
      </w:r>
      <w:r w:rsidRPr="00BE11F5">
        <w:rPr>
          <w:rFonts w:cs="Times New Roman"/>
          <w:i/>
        </w:rPr>
        <w:t>R. v. Owen</w:t>
      </w:r>
      <w:r w:rsidRPr="00BE11F5">
        <w:rPr>
          <w:rFonts w:cs="Times New Roman"/>
        </w:rPr>
        <w:t xml:space="preserve">, 2003 SCC 33, </w:t>
      </w:r>
      <w:r w:rsidRPr="00BE11F5">
        <w:rPr>
          <w:rFonts w:cs="Times New Roman"/>
          <w:lang w:bidi="en-US"/>
        </w:rPr>
        <w:t xml:space="preserve">[2003] 1 S.C.R. 779, </w:t>
      </w:r>
      <w:r w:rsidRPr="00BE11F5">
        <w:rPr>
          <w:rFonts w:cs="Times New Roman"/>
        </w:rPr>
        <w:t>at paras. 50-51;</w:t>
      </w:r>
      <w:r w:rsidRPr="00BE11F5">
        <w:rPr>
          <w:rFonts w:cs="Times New Roman"/>
          <w:i/>
        </w:rPr>
        <w:t xml:space="preserve"> Sipos</w:t>
      </w:r>
      <w:r w:rsidRPr="00BE11F5">
        <w:rPr>
          <w:rFonts w:cs="Times New Roman"/>
        </w:rPr>
        <w:t>,</w:t>
      </w:r>
      <w:r w:rsidRPr="00BE11F5">
        <w:rPr>
          <w:rFonts w:cs="Times New Roman"/>
          <w:i/>
        </w:rPr>
        <w:t xml:space="preserve"> </w:t>
      </w:r>
      <w:r w:rsidRPr="00BE11F5">
        <w:rPr>
          <w:rFonts w:cs="Times New Roman"/>
        </w:rPr>
        <w:t xml:space="preserve">at paras. 29-30. The evidence in </w:t>
      </w:r>
      <w:r w:rsidRPr="00BE11F5">
        <w:rPr>
          <w:rFonts w:cs="Times New Roman"/>
          <w:i/>
        </w:rPr>
        <w:t>Palmer</w:t>
      </w:r>
      <w:r w:rsidRPr="00BE11F5">
        <w:rPr>
          <w:rFonts w:cs="Times New Roman"/>
        </w:rPr>
        <w:t xml:space="preserve"> concerned facts that occurred both before and after trial and thus included both “fresh” and “new” evidence. The additional evidence included sworn declarations made by one of the key trial witnesses who recanted his testimony after trial, declaring that the RCMP promised him money before trial and made the payment after trial.</w:t>
      </w:r>
    </w:p>
    <w:p w14:paraId="1A606842" w14:textId="77777777" w:rsidR="00567205" w:rsidRPr="00BE11F5" w:rsidRDefault="00567205" w:rsidP="00567205">
      <w:pPr>
        <w:pStyle w:val="ParaNoNdepar-AltN"/>
        <w:tabs>
          <w:tab w:val="clear" w:pos="1152"/>
          <w:tab w:val="left" w:pos="1170"/>
          <w:tab w:val="num" w:pos="1332"/>
        </w:tabs>
        <w:rPr>
          <w:rFonts w:cs="Times New Roman"/>
          <w:lang w:eastAsia="en-CA"/>
        </w:rPr>
      </w:pPr>
      <w:r w:rsidRPr="00BE11F5">
        <w:rPr>
          <w:rFonts w:cs="Times New Roman"/>
          <w:lang w:eastAsia="en-CA"/>
        </w:rPr>
        <w:t xml:space="preserve">The </w:t>
      </w:r>
      <w:r w:rsidRPr="00BE11F5">
        <w:rPr>
          <w:rFonts w:cs="Times New Roman"/>
          <w:i/>
          <w:lang w:eastAsia="en-CA"/>
        </w:rPr>
        <w:t xml:space="preserve">Palmer </w:t>
      </w:r>
      <w:r w:rsidRPr="00BE11F5">
        <w:rPr>
          <w:rFonts w:cs="Times New Roman"/>
          <w:lang w:eastAsia="en-CA"/>
        </w:rPr>
        <w:t xml:space="preserve">test is sufficiently flexible to deal with both types of evidence. As I will explain, the core inquiries under all four criteria remain the same regardless of when the evidence, or the specific fact, came into existence. </w:t>
      </w:r>
      <w:r w:rsidRPr="00BE11F5">
        <w:rPr>
          <w:rFonts w:cs="Times New Roman"/>
        </w:rPr>
        <w:t xml:space="preserve">Because the same test applies, it is unnecessary to distinguish between “fresh” and “new” evidence. </w:t>
      </w:r>
      <w:r w:rsidRPr="00BE11F5">
        <w:rPr>
          <w:rFonts w:cs="Times New Roman"/>
          <w:i/>
        </w:rPr>
        <w:t>Palmer</w:t>
      </w:r>
      <w:r w:rsidRPr="00BE11F5">
        <w:rPr>
          <w:rFonts w:cs="Times New Roman"/>
        </w:rPr>
        <w:t xml:space="preserve"> applies to the admission of all additional evidence tendered on appeal for the purpose of reviewing the decision below.</w:t>
      </w:r>
    </w:p>
    <w:p w14:paraId="7F8C6CA3" w14:textId="77777777" w:rsidR="00567205" w:rsidRPr="00BE11F5" w:rsidRDefault="00567205" w:rsidP="00567205">
      <w:pPr>
        <w:pStyle w:val="Title4LevelTitre4Niveau"/>
        <w:tabs>
          <w:tab w:val="clear" w:pos="900"/>
          <w:tab w:val="clear" w:pos="1152"/>
          <w:tab w:val="left" w:pos="1170"/>
        </w:tabs>
        <w:jc w:val="both"/>
        <w:rPr>
          <w:rFonts w:cs="Times New Roman"/>
        </w:rPr>
      </w:pPr>
      <w:r w:rsidRPr="00BE11F5">
        <w:rPr>
          <w:rFonts w:cs="Times New Roman"/>
        </w:rPr>
        <w:t>The Due Diligence Criterion</w:t>
      </w:r>
    </w:p>
    <w:p w14:paraId="4930A00D"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lastRenderedPageBreak/>
        <w:t>A common thread running through the parties’ submissions and the Court of Appeal’s decision is that conceptual difficulties arise when applying the due diligence</w:t>
      </w:r>
      <w:r w:rsidRPr="00BE11F5">
        <w:rPr>
          <w:rFonts w:cs="Times New Roman"/>
          <w:i/>
        </w:rPr>
        <w:t xml:space="preserve"> </w:t>
      </w:r>
      <w:r w:rsidRPr="00BE11F5">
        <w:rPr>
          <w:rFonts w:cs="Times New Roman"/>
        </w:rPr>
        <w:t>criterion to evidence about facts arising after trial. The mother accepts that due diligence should be eased in instances where it was impossible to adduce the evidence at trial. For the father, it is “by definition . . . not an appropriate consideration” in such cases: R.F., at para. 75. Similarly, the Court of Appeal decided that the due diligence criterion does not strictly govern the admission of new evidence.</w:t>
      </w:r>
    </w:p>
    <w:p w14:paraId="6978EFDB" w14:textId="77777777" w:rsidR="00567205" w:rsidRPr="00BE11F5" w:rsidRDefault="00567205" w:rsidP="00567205">
      <w:pPr>
        <w:pStyle w:val="ParaNoNdepar-AltN"/>
        <w:tabs>
          <w:tab w:val="clear" w:pos="1152"/>
          <w:tab w:val="left" w:pos="1170"/>
          <w:tab w:val="num" w:pos="1332"/>
        </w:tabs>
        <w:rPr>
          <w:rFonts w:cs="Times New Roman"/>
          <w:lang w:eastAsia="en-CA"/>
        </w:rPr>
      </w:pPr>
      <w:r w:rsidRPr="00BE11F5">
        <w:rPr>
          <w:rFonts w:cs="Times New Roman"/>
        </w:rPr>
        <w:t xml:space="preserve">But under such a formalistic approach, the timing of events — and not the litigant’s conduct — would dictate the application of the due diligence criterion. For events occurring subsequently, the criterion would effectively be eliminated. This would run counter to our jurisprudence, ignore the litigant’s conduct and would fail to safeguard finality and order within the </w:t>
      </w:r>
      <w:r w:rsidRPr="00BE11F5">
        <w:rPr>
          <w:rFonts w:cs="Times New Roman"/>
          <w:i/>
        </w:rPr>
        <w:t xml:space="preserve">Palmer </w:t>
      </w:r>
      <w:r w:rsidRPr="00BE11F5">
        <w:rPr>
          <w:rFonts w:cs="Times New Roman"/>
        </w:rPr>
        <w:t xml:space="preserve">test. </w:t>
      </w:r>
      <w:r w:rsidRPr="00BE11F5">
        <w:rPr>
          <w:rFonts w:cs="Times New Roman"/>
          <w:lang w:eastAsia="en-CA"/>
        </w:rPr>
        <w:t xml:space="preserve">That is precisely what happened in this case. Focusing exclusively on whether the decision would be different gives undue weight to the interest in reaching a just result </w:t>
      </w:r>
      <w:r w:rsidRPr="00BE11F5">
        <w:rPr>
          <w:rFonts w:cs="Times New Roman"/>
        </w:rPr>
        <w:t>—</w:t>
      </w:r>
      <w:r w:rsidRPr="00BE11F5">
        <w:rPr>
          <w:rFonts w:cs="Times New Roman"/>
          <w:lang w:eastAsia="en-CA"/>
        </w:rPr>
        <w:t xml:space="preserve"> and distorts the delicate balance that the </w:t>
      </w:r>
      <w:r w:rsidRPr="00BE11F5">
        <w:rPr>
          <w:rFonts w:cs="Times New Roman"/>
          <w:i/>
          <w:lang w:eastAsia="en-CA"/>
        </w:rPr>
        <w:t xml:space="preserve">Palmer </w:t>
      </w:r>
      <w:r w:rsidRPr="00BE11F5">
        <w:rPr>
          <w:rFonts w:cs="Times New Roman"/>
          <w:lang w:eastAsia="en-CA"/>
        </w:rPr>
        <w:t>test seeks to maintain.</w:t>
      </w:r>
    </w:p>
    <w:p w14:paraId="5F969C4B"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The due diligence </w:t>
      </w:r>
      <w:r w:rsidRPr="00BE11F5">
        <w:rPr>
          <w:rFonts w:cs="Times New Roman"/>
          <w:lang w:eastAsia="en-CA"/>
        </w:rPr>
        <w:t xml:space="preserve">criterion </w:t>
      </w:r>
      <w:r w:rsidRPr="00BE11F5">
        <w:rPr>
          <w:rFonts w:cs="Times New Roman"/>
        </w:rPr>
        <w:t xml:space="preserve">is sufficiently flexible to adapt to any unique concerns raised by evidence of facts that occurred subsequent to trial. </w:t>
      </w:r>
      <w:r w:rsidRPr="00BE11F5">
        <w:rPr>
          <w:rFonts w:cs="Times New Roman"/>
          <w:lang w:val="en-GB"/>
        </w:rPr>
        <w:t>As</w:t>
      </w:r>
      <w:r w:rsidRPr="00BE11F5">
        <w:rPr>
          <w:rFonts w:cs="Times New Roman"/>
        </w:rPr>
        <w:t xml:space="preserve"> this Court held in </w:t>
      </w:r>
      <w:r w:rsidRPr="00BE11F5">
        <w:rPr>
          <w:rFonts w:cs="Times New Roman"/>
          <w:i/>
        </w:rPr>
        <w:t>Bent v. Platnick</w:t>
      </w:r>
      <w:r w:rsidRPr="00BE11F5">
        <w:rPr>
          <w:rFonts w:cs="Times New Roman"/>
        </w:rPr>
        <w:t>, 2020 SCC 23, at para. 60, the due diligence criterion is not a rigid one and has been held to be a practical concept that is context-sensitive.</w:t>
      </w:r>
    </w:p>
    <w:p w14:paraId="2FF6CD20"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lang w:val="en-GB"/>
        </w:rPr>
        <w:t xml:space="preserve">Ultimately, this criterion seeks to determine whether </w:t>
      </w:r>
      <w:r w:rsidRPr="00BE11F5">
        <w:rPr>
          <w:rFonts w:cs="Times New Roman"/>
        </w:rPr>
        <w:t xml:space="preserve">the party could — with due diligence — have acted in a way that would have rendered the evidence </w:t>
      </w:r>
      <w:r w:rsidRPr="00BE11F5">
        <w:rPr>
          <w:rFonts w:cs="Times New Roman"/>
        </w:rPr>
        <w:lastRenderedPageBreak/>
        <w:t xml:space="preserve">available for trial. The due diligence inquiry should focus on the </w:t>
      </w:r>
      <w:r w:rsidRPr="00BE11F5">
        <w:rPr>
          <w:rFonts w:cs="Times New Roman"/>
          <w:i/>
        </w:rPr>
        <w:t>conduct</w:t>
      </w:r>
      <w:r w:rsidRPr="00BE11F5">
        <w:rPr>
          <w:rFonts w:cs="Times New Roman"/>
        </w:rPr>
        <w:t xml:space="preserve"> of the party seeking to adduce such evidence rather than on the evidence itself. And in doing so, a court should</w:t>
      </w:r>
      <w:r w:rsidRPr="00BE11F5">
        <w:rPr>
          <w:rFonts w:cs="Times New Roman"/>
          <w:lang w:val="en-GB"/>
        </w:rPr>
        <w:t xml:space="preserve"> </w:t>
      </w:r>
      <w:r w:rsidRPr="00BE11F5">
        <w:rPr>
          <w:rFonts w:cs="Times New Roman"/>
        </w:rPr>
        <w:t xml:space="preserve">determine, quite simply, why the evidence was not available at the trial: </w:t>
      </w:r>
      <w:r w:rsidRPr="00BE11F5">
        <w:rPr>
          <w:rFonts w:cs="Times New Roman"/>
          <w:i/>
        </w:rPr>
        <w:t>G.D.B.</w:t>
      </w:r>
      <w:r w:rsidRPr="00BE11F5">
        <w:rPr>
          <w:rFonts w:cs="Times New Roman"/>
        </w:rPr>
        <w:t>, at para. 20.</w:t>
      </w:r>
    </w:p>
    <w:p w14:paraId="2A282356" w14:textId="77777777" w:rsidR="00567205" w:rsidRPr="00BE11F5" w:rsidRDefault="00567205" w:rsidP="00567205">
      <w:pPr>
        <w:pStyle w:val="ParaNoNdepar-AltN"/>
        <w:tabs>
          <w:tab w:val="clear" w:pos="1152"/>
          <w:tab w:val="left" w:pos="1170"/>
          <w:tab w:val="num" w:pos="1332"/>
        </w:tabs>
        <w:rPr>
          <w:rFonts w:cs="Times New Roman"/>
          <w:lang w:val="en-GB"/>
        </w:rPr>
      </w:pPr>
      <w:r w:rsidRPr="00BE11F5">
        <w:rPr>
          <w:rFonts w:cs="Times New Roman"/>
        </w:rPr>
        <w:t xml:space="preserve">The reason why “new” evidence was unavailable for trial may have its roots in the parties’ pre-trial conduct. </w:t>
      </w:r>
      <w:r w:rsidRPr="00BE11F5">
        <w:rPr>
          <w:rFonts w:cs="Times New Roman"/>
          <w:lang w:val="en-GB"/>
        </w:rPr>
        <w:t xml:space="preserve">For facts arising after trial, courts should consider whether </w:t>
      </w:r>
      <w:r w:rsidRPr="00BE11F5">
        <w:rPr>
          <w:rFonts w:cs="Times New Roman"/>
        </w:rPr>
        <w:t xml:space="preserve">the party’s conduct could have influenced the timing of the fact </w:t>
      </w:r>
      <w:r w:rsidRPr="00BE11F5">
        <w:rPr>
          <w:rFonts w:cs="Times New Roman"/>
          <w:lang w:eastAsia="en-CA"/>
        </w:rPr>
        <w:t>they seek to prove. Consider this case. If finances are at issue and a party does not take steps to obtain a financing commitment until after trial, the court may ask why the evidence could not have been obtained for trial. Parties cannot benefit from</w:t>
      </w:r>
      <w:r w:rsidRPr="00BE11F5">
        <w:rPr>
          <w:rFonts w:cs="Times New Roman"/>
          <w:lang w:val="en-GB"/>
        </w:rPr>
        <w:t xml:space="preserve"> their own inaction when the existence of those facts was partially or entirely within their control.</w:t>
      </w:r>
      <w:r w:rsidRPr="00BE11F5">
        <w:rPr>
          <w:rFonts w:cs="Times New Roman"/>
          <w:lang w:eastAsia="en-CA"/>
        </w:rPr>
        <w:t xml:space="preserve"> </w:t>
      </w:r>
      <w:r w:rsidRPr="00BE11F5" w:rsidDel="00C45D72">
        <w:rPr>
          <w:rFonts w:cs="Times New Roman"/>
          <w:lang w:eastAsia="en-CA"/>
        </w:rPr>
        <w:t xml:space="preserve">Again, litigants must put their </w:t>
      </w:r>
      <w:r w:rsidRPr="00BE11F5" w:rsidDel="00C45D72">
        <w:rPr>
          <w:rFonts w:cs="Times New Roman"/>
        </w:rPr>
        <w:t>best foot forward at trial.</w:t>
      </w:r>
      <w:r w:rsidRPr="00BE11F5">
        <w:rPr>
          <w:rFonts w:cs="Times New Roman"/>
        </w:rPr>
        <w:t xml:space="preserve"> </w:t>
      </w:r>
      <w:r w:rsidRPr="00BE11F5" w:rsidDel="00BB322B">
        <w:rPr>
          <w:rFonts w:cs="Times New Roman"/>
        </w:rPr>
        <w:t xml:space="preserve">In the end, what matters is that this criterion properly </w:t>
      </w:r>
      <w:r w:rsidRPr="00BE11F5" w:rsidDel="00BB322B">
        <w:rPr>
          <w:rFonts w:cs="Times New Roman"/>
          <w:lang w:eastAsia="en-CA"/>
        </w:rPr>
        <w:t>safeguards finality and order in our judicial process</w:t>
      </w:r>
      <w:r w:rsidRPr="00BE11F5">
        <w:rPr>
          <w:rFonts w:cs="Times New Roman"/>
          <w:lang w:eastAsia="en-CA"/>
        </w:rPr>
        <w:t>.</w:t>
      </w:r>
    </w:p>
    <w:p w14:paraId="60E0647F" w14:textId="77777777" w:rsidR="00567205" w:rsidRPr="00BE11F5" w:rsidRDefault="00567205" w:rsidP="00567205">
      <w:pPr>
        <w:pStyle w:val="ParaNoNdepar-AltN"/>
        <w:tabs>
          <w:tab w:val="clear" w:pos="1152"/>
          <w:tab w:val="left" w:pos="1170"/>
          <w:tab w:val="num" w:pos="1332"/>
        </w:tabs>
        <w:rPr>
          <w:rFonts w:cs="Times New Roman"/>
          <w:lang w:val="en-GB"/>
        </w:rPr>
      </w:pPr>
      <w:r w:rsidRPr="00BE11F5">
        <w:rPr>
          <w:rFonts w:cs="Times New Roman"/>
        </w:rPr>
        <w:t xml:space="preserve">In sum, the focus of the due diligence criterion is on the litigant’s conduct in the particular context of the case. Considering whether the evidence could have been </w:t>
      </w:r>
      <w:r w:rsidRPr="00BE11F5">
        <w:rPr>
          <w:rFonts w:cs="Times New Roman"/>
          <w:i/>
        </w:rPr>
        <w:t>available</w:t>
      </w:r>
      <w:r w:rsidRPr="00BE11F5">
        <w:rPr>
          <w:rFonts w:cs="Times New Roman"/>
        </w:rPr>
        <w:t xml:space="preserve"> for trial with the exercise of due diligence is tantamount to the requirement that the evidence could not, with the exercise of due diligence, have been </w:t>
      </w:r>
      <w:r w:rsidRPr="00BE11F5">
        <w:rPr>
          <w:rFonts w:cs="Times New Roman"/>
          <w:i/>
        </w:rPr>
        <w:t>obtained</w:t>
      </w:r>
      <w:r w:rsidRPr="00BE11F5">
        <w:rPr>
          <w:rFonts w:cs="Times New Roman"/>
        </w:rPr>
        <w:t xml:space="preserve"> for trial. Where a party seeks to adduce </w:t>
      </w:r>
      <w:r w:rsidRPr="00BE11F5">
        <w:rPr>
          <w:rFonts w:cs="Times New Roman"/>
          <w:lang w:val="en-GB"/>
        </w:rPr>
        <w:t xml:space="preserve">additional evidence on appeal, yet failed to act with due diligence, the </w:t>
      </w:r>
      <w:r w:rsidRPr="00BE11F5">
        <w:rPr>
          <w:rFonts w:cs="Times New Roman"/>
          <w:i/>
          <w:lang w:val="en-GB"/>
        </w:rPr>
        <w:t>Palmer</w:t>
      </w:r>
      <w:r w:rsidRPr="00BE11F5">
        <w:rPr>
          <w:rFonts w:cs="Times New Roman"/>
          <w:lang w:val="en-GB"/>
        </w:rPr>
        <w:t xml:space="preserve"> test will generally foreclose admission.</w:t>
      </w:r>
    </w:p>
    <w:p w14:paraId="1B7C3634" w14:textId="77777777" w:rsidR="00567205" w:rsidRPr="00BE11F5" w:rsidRDefault="00567205" w:rsidP="00567205">
      <w:pPr>
        <w:pStyle w:val="Title4LevelTitre4Niveau"/>
        <w:tabs>
          <w:tab w:val="clear" w:pos="900"/>
          <w:tab w:val="clear" w:pos="1152"/>
          <w:tab w:val="left" w:pos="1170"/>
        </w:tabs>
        <w:jc w:val="both"/>
        <w:rPr>
          <w:rFonts w:cs="Times New Roman"/>
        </w:rPr>
      </w:pPr>
      <w:r w:rsidRPr="00BE11F5">
        <w:rPr>
          <w:rFonts w:cs="Times New Roman"/>
        </w:rPr>
        <w:t>The Other Palmer Criteria</w:t>
      </w:r>
    </w:p>
    <w:p w14:paraId="0738291C"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lastRenderedPageBreak/>
        <w:t xml:space="preserve">There is no suggestion by the parties that the remaining </w:t>
      </w:r>
      <w:r w:rsidRPr="00BE11F5">
        <w:rPr>
          <w:rFonts w:cs="Times New Roman"/>
          <w:i/>
        </w:rPr>
        <w:t xml:space="preserve">Palmer </w:t>
      </w:r>
      <w:r w:rsidRPr="00BE11F5">
        <w:rPr>
          <w:rFonts w:cs="Times New Roman"/>
        </w:rPr>
        <w:t>criteria should operate differently depending on when the fact the evidence seeks to prove occurred. Needless to say, the evidence must be relevant and credible regardless of when it arose. The interest in reaching a just</w:t>
      </w:r>
      <w:r w:rsidRPr="00BE11F5">
        <w:rPr>
          <w:rFonts w:cs="Times New Roman"/>
          <w:i/>
        </w:rPr>
        <w:t xml:space="preserve"> </w:t>
      </w:r>
      <w:r w:rsidRPr="00BE11F5">
        <w:rPr>
          <w:rFonts w:cs="Times New Roman"/>
        </w:rPr>
        <w:t>result requires nothing less.</w:t>
      </w:r>
    </w:p>
    <w:p w14:paraId="108DBDD7"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As for the fourth factor — whether the evidence, if believed, could have affected the result at trial — the logic remains the same: a court must approach this criterion purposively. While it is tempting to conclude that evidence of facts arising </w:t>
      </w:r>
      <w:r w:rsidRPr="00BE11F5">
        <w:rPr>
          <w:rFonts w:cs="Times New Roman"/>
          <w:i/>
        </w:rPr>
        <w:t>after</w:t>
      </w:r>
      <w:r w:rsidRPr="00BE11F5">
        <w:rPr>
          <w:rFonts w:cs="Times New Roman"/>
        </w:rPr>
        <w:t xml:space="preserve"> trial could never have affected the result </w:t>
      </w:r>
      <w:r w:rsidRPr="00BE11F5">
        <w:rPr>
          <w:rFonts w:cs="Times New Roman"/>
          <w:i/>
        </w:rPr>
        <w:t>at</w:t>
      </w:r>
      <w:r w:rsidRPr="00BE11F5">
        <w:rPr>
          <w:rFonts w:cs="Times New Roman"/>
        </w:rPr>
        <w:t xml:space="preserve"> trial, the inquiry is not so narrow. The question is not the evidence’s timing but whether the evidence is sufficiently probative of the trial issues, had it been available. An overly formalistic approach at this stage ignores the underlying rationale of the </w:t>
      </w:r>
      <w:r w:rsidRPr="00BE11F5">
        <w:rPr>
          <w:rFonts w:cs="Times New Roman"/>
          <w:i/>
        </w:rPr>
        <w:t xml:space="preserve">Palmer </w:t>
      </w:r>
      <w:r w:rsidRPr="00BE11F5">
        <w:rPr>
          <w:rFonts w:cs="Times New Roman"/>
        </w:rPr>
        <w:t>criteria — here, the interest in reaching a just result in the context of the proceedings.</w:t>
      </w:r>
    </w:p>
    <w:p w14:paraId="28B88A18"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As noted in </w:t>
      </w:r>
      <w:r w:rsidRPr="00BE11F5">
        <w:rPr>
          <w:rFonts w:cs="Times New Roman"/>
          <w:i/>
        </w:rPr>
        <w:t>Palmer</w:t>
      </w:r>
      <w:r w:rsidRPr="00BE11F5">
        <w:rPr>
          <w:rFonts w:cs="Times New Roman"/>
        </w:rPr>
        <w:t>,</w:t>
      </w:r>
      <w:r w:rsidRPr="00BE11F5">
        <w:rPr>
          <w:rFonts w:cs="Times New Roman"/>
          <w:i/>
        </w:rPr>
        <w:t xml:space="preserve"> </w:t>
      </w:r>
      <w:r w:rsidRPr="00BE11F5">
        <w:rPr>
          <w:rFonts w:cs="Times New Roman"/>
        </w:rPr>
        <w:t>at p. 776, the fourth criterion will be satisfied if the evidence, assuming it was presented to the trier of fact and believed, possesses such strength or probative force that it might, taken with the other evidence adduced, have affected the result.</w:t>
      </w:r>
    </w:p>
    <w:p w14:paraId="4A967BE8" w14:textId="77777777" w:rsidR="00567205" w:rsidRPr="00BE11F5" w:rsidRDefault="00567205" w:rsidP="00567205">
      <w:pPr>
        <w:pStyle w:val="Title3LevelTitre3Niveau"/>
        <w:numPr>
          <w:ilvl w:val="2"/>
          <w:numId w:val="8"/>
        </w:numPr>
        <w:tabs>
          <w:tab w:val="clear" w:pos="1152"/>
          <w:tab w:val="left" w:pos="1170"/>
        </w:tabs>
        <w:jc w:val="both"/>
        <w:rPr>
          <w:rFonts w:cs="Times New Roman"/>
        </w:rPr>
      </w:pPr>
      <w:r w:rsidRPr="00BE11F5">
        <w:rPr>
          <w:rFonts w:cs="Times New Roman"/>
        </w:rPr>
        <w:t xml:space="preserve">The </w:t>
      </w:r>
      <w:r w:rsidRPr="00BE11F5">
        <w:rPr>
          <w:rFonts w:cs="Times New Roman"/>
          <w:i/>
        </w:rPr>
        <w:t>Palmer</w:t>
      </w:r>
      <w:r w:rsidRPr="00BE11F5">
        <w:rPr>
          <w:rFonts w:cs="Times New Roman"/>
        </w:rPr>
        <w:t xml:space="preserve"> Test in Family Law Cases Involving the Best Interests of the Child</w:t>
      </w:r>
    </w:p>
    <w:p w14:paraId="0A1C4E2C" w14:textId="77777777" w:rsidR="00567205" w:rsidRPr="00BE11F5" w:rsidRDefault="00567205" w:rsidP="00567205">
      <w:pPr>
        <w:pStyle w:val="ParaNoNdepar-AltN"/>
        <w:tabs>
          <w:tab w:val="clear" w:pos="1152"/>
          <w:tab w:val="left" w:pos="1170"/>
        </w:tabs>
        <w:rPr>
          <w:rFonts w:cs="Times New Roman"/>
          <w:lang w:val="en-GB"/>
        </w:rPr>
      </w:pPr>
      <w:r w:rsidRPr="00BE11F5">
        <w:rPr>
          <w:rFonts w:cs="Times New Roman"/>
          <w:lang w:val="en-GB"/>
        </w:rPr>
        <w:t xml:space="preserve">I turn now to an underlying question raised by this appeal: the flexible application of </w:t>
      </w:r>
      <w:r w:rsidRPr="00BE11F5">
        <w:rPr>
          <w:rFonts w:cs="Times New Roman"/>
          <w:i/>
          <w:lang w:val="en-GB"/>
        </w:rPr>
        <w:t xml:space="preserve">Palmer </w:t>
      </w:r>
      <w:r w:rsidRPr="00BE11F5">
        <w:rPr>
          <w:rFonts w:cs="Times New Roman"/>
          <w:lang w:val="en-GB"/>
        </w:rPr>
        <w:t>in cases involving the best interests of the child.</w:t>
      </w:r>
    </w:p>
    <w:p w14:paraId="7AEFAE1F" w14:textId="77777777" w:rsidR="00567205" w:rsidRPr="00BE11F5" w:rsidRDefault="00567205" w:rsidP="00567205">
      <w:pPr>
        <w:pStyle w:val="ParaNoNdepar-AltN"/>
        <w:tabs>
          <w:tab w:val="clear" w:pos="1152"/>
          <w:tab w:val="left" w:pos="1170"/>
        </w:tabs>
        <w:rPr>
          <w:rFonts w:cs="Times New Roman"/>
          <w:lang w:val="en-GB"/>
        </w:rPr>
      </w:pPr>
      <w:r w:rsidRPr="00BE11F5">
        <w:rPr>
          <w:rFonts w:cs="Times New Roman"/>
        </w:rPr>
        <w:lastRenderedPageBreak/>
        <w:t xml:space="preserve">This Court has explained that these cases may require a more flexible application of the fourth </w:t>
      </w:r>
      <w:r w:rsidRPr="00BE11F5">
        <w:rPr>
          <w:rFonts w:cs="Times New Roman"/>
          <w:i/>
        </w:rPr>
        <w:t>Palmer</w:t>
      </w:r>
      <w:r w:rsidRPr="00BE11F5">
        <w:rPr>
          <w:rFonts w:cs="Times New Roman"/>
        </w:rPr>
        <w:t xml:space="preserve"> criterion: </w:t>
      </w:r>
      <w:r w:rsidRPr="00BE11F5">
        <w:rPr>
          <w:rFonts w:cs="Times New Roman"/>
          <w:i/>
        </w:rPr>
        <w:t>Catholic Children’s Aid Society</w:t>
      </w:r>
      <w:r w:rsidRPr="00BE11F5">
        <w:rPr>
          <w:rFonts w:cs="Times New Roman"/>
        </w:rPr>
        <w:t>,</w:t>
      </w:r>
      <w:r w:rsidRPr="00BE11F5">
        <w:rPr>
          <w:rFonts w:cs="Times New Roman"/>
          <w:i/>
        </w:rPr>
        <w:t xml:space="preserve"> </w:t>
      </w:r>
      <w:r w:rsidRPr="00BE11F5">
        <w:rPr>
          <w:rFonts w:cs="Times New Roman"/>
        </w:rPr>
        <w:t>at p. 188. The Court recognized that the best interests analysis —</w:t>
      </w:r>
      <w:r w:rsidRPr="00BE11F5">
        <w:rPr>
          <w:rFonts w:cs="Times New Roman"/>
          <w:lang w:val="en-GB"/>
        </w:rPr>
        <w:t xml:space="preserve"> </w:t>
      </w:r>
      <w:r w:rsidRPr="00BE11F5">
        <w:rPr>
          <w:rFonts w:cs="Times New Roman"/>
        </w:rPr>
        <w:t xml:space="preserve">which takes into account a broad range of considerations, including </w:t>
      </w:r>
      <w:r w:rsidRPr="00BE11F5">
        <w:rPr>
          <w:rFonts w:cs="Times New Roman"/>
          <w:spacing w:val="-3"/>
        </w:rPr>
        <w:t>the needs, means, condition and other circumstances unique to the child before the court</w:t>
      </w:r>
      <w:r w:rsidRPr="00BE11F5">
        <w:rPr>
          <w:rFonts w:cs="Times New Roman"/>
        </w:rPr>
        <w:t xml:space="preserve"> —</w:t>
      </w:r>
      <w:r w:rsidRPr="00BE11F5">
        <w:rPr>
          <w:rFonts w:cs="Times New Roman"/>
          <w:lang w:val="en-GB"/>
        </w:rPr>
        <w:t xml:space="preserve"> </w:t>
      </w:r>
      <w:r w:rsidRPr="00BE11F5">
        <w:rPr>
          <w:rFonts w:cs="Times New Roman"/>
          <w:spacing w:val="-3"/>
        </w:rPr>
        <w:t xml:space="preserve">widens the scope of </w:t>
      </w:r>
      <w:r w:rsidRPr="00BE11F5">
        <w:rPr>
          <w:rFonts w:cs="Times New Roman"/>
        </w:rPr>
        <w:t>evidence that could affect the result</w:t>
      </w:r>
      <w:r w:rsidRPr="00BE11F5">
        <w:rPr>
          <w:rFonts w:cs="Times New Roman"/>
          <w:spacing w:val="-3"/>
        </w:rPr>
        <w:t xml:space="preserve">. This criterion, however, </w:t>
      </w:r>
      <w:r w:rsidRPr="00BE11F5">
        <w:rPr>
          <w:rFonts w:cs="Times New Roman"/>
        </w:rPr>
        <w:t xml:space="preserve">remains a condition precedent for the admission of evidence in family appeals. </w:t>
      </w:r>
      <w:r w:rsidRPr="00BE11F5">
        <w:rPr>
          <w:rFonts w:cs="Times New Roman"/>
          <w:lang w:val="en-GB"/>
        </w:rPr>
        <w:t xml:space="preserve">But the flexible approach to the fourth criterion is not the only aspect of </w:t>
      </w:r>
      <w:r w:rsidRPr="00BE11F5">
        <w:rPr>
          <w:rFonts w:cs="Times New Roman"/>
          <w:i/>
          <w:lang w:val="en-GB"/>
        </w:rPr>
        <w:t xml:space="preserve">Palmer </w:t>
      </w:r>
      <w:r w:rsidRPr="00BE11F5">
        <w:rPr>
          <w:rFonts w:cs="Times New Roman"/>
          <w:lang w:val="en-GB"/>
        </w:rPr>
        <w:t>that warrants further discussion in the family law context. Two other aspects include (i) the exceptional circumstances where a failure to meet due diligence is not fatal; and (ii) the existence of variation schemes that address factual developments that postdate trial. I address each in turn.</w:t>
      </w:r>
    </w:p>
    <w:p w14:paraId="57F7C7AF" w14:textId="77777777" w:rsidR="00567205" w:rsidRPr="00BE11F5" w:rsidRDefault="00567205" w:rsidP="00567205">
      <w:pPr>
        <w:pStyle w:val="Title4LevelTitre4Niveau"/>
        <w:numPr>
          <w:ilvl w:val="3"/>
          <w:numId w:val="8"/>
        </w:numPr>
        <w:tabs>
          <w:tab w:val="clear" w:pos="1152"/>
          <w:tab w:val="left" w:pos="1170"/>
        </w:tabs>
        <w:jc w:val="both"/>
        <w:rPr>
          <w:rFonts w:cs="Times New Roman"/>
        </w:rPr>
      </w:pPr>
      <w:r w:rsidRPr="00BE11F5">
        <w:rPr>
          <w:rFonts w:cs="Times New Roman"/>
        </w:rPr>
        <w:t>A Failure to Meet Due Diligence Is Not Fatal in Exceptional Circumstances</w:t>
      </w:r>
    </w:p>
    <w:p w14:paraId="57B4581E" w14:textId="77777777" w:rsidR="00567205" w:rsidRPr="00BE11F5" w:rsidRDefault="00567205" w:rsidP="00567205">
      <w:pPr>
        <w:pStyle w:val="ParaNoNdepar-AltN"/>
        <w:tabs>
          <w:tab w:val="clear" w:pos="1152"/>
          <w:tab w:val="left" w:pos="1170"/>
        </w:tabs>
        <w:rPr>
          <w:rFonts w:cs="Times New Roman"/>
          <w:lang w:val="en-GB"/>
        </w:rPr>
      </w:pPr>
      <w:r w:rsidRPr="00BE11F5">
        <w:rPr>
          <w:rFonts w:cs="Times New Roman"/>
        </w:rPr>
        <w:t>First, given both the premium placed on certainty in cases involving children and the importance of having accurate and up-to-date information when a child’s future hangs in the balance (</w:t>
      </w:r>
      <w:r w:rsidRPr="00BE11F5">
        <w:rPr>
          <w:rFonts w:cs="Times New Roman"/>
          <w:i/>
        </w:rPr>
        <w:t>Catholic Children’s Aid Society</w:t>
      </w:r>
      <w:r w:rsidRPr="00BE11F5">
        <w:rPr>
          <w:rFonts w:cs="Times New Roman"/>
        </w:rPr>
        <w:t>,</w:t>
      </w:r>
      <w:r w:rsidRPr="00BE11F5">
        <w:rPr>
          <w:rFonts w:cs="Times New Roman"/>
          <w:i/>
        </w:rPr>
        <w:t xml:space="preserve"> </w:t>
      </w:r>
      <w:r w:rsidRPr="00BE11F5">
        <w:rPr>
          <w:rFonts w:cs="Times New Roman"/>
        </w:rPr>
        <w:t>at p. 188), evidence that does not meet the due diligence criterion may nonetheless be admitted in exceptional circumstances. Let me explain. F</w:t>
      </w:r>
      <w:r w:rsidRPr="00BE11F5">
        <w:rPr>
          <w:rFonts w:cs="Times New Roman"/>
          <w:lang w:val="en-GB"/>
        </w:rPr>
        <w:t xml:space="preserve">inality and order </w:t>
      </w:r>
      <w:r w:rsidRPr="00BE11F5">
        <w:rPr>
          <w:rFonts w:cs="Times New Roman"/>
        </w:rPr>
        <w:t>—</w:t>
      </w:r>
      <w:r w:rsidRPr="00BE11F5">
        <w:rPr>
          <w:rFonts w:cs="Times New Roman"/>
          <w:lang w:val="en-GB"/>
        </w:rPr>
        <w:t xml:space="preserve"> in both their individual and systemic dimensions </w:t>
      </w:r>
      <w:r w:rsidRPr="00BE11F5">
        <w:rPr>
          <w:rFonts w:cs="Times New Roman"/>
        </w:rPr>
        <w:t>—</w:t>
      </w:r>
      <w:r w:rsidRPr="00BE11F5">
        <w:rPr>
          <w:rFonts w:cs="Times New Roman"/>
          <w:lang w:val="en-GB"/>
        </w:rPr>
        <w:t xml:space="preserve"> are </w:t>
      </w:r>
      <w:r w:rsidRPr="00BE11F5">
        <w:rPr>
          <w:rFonts w:cs="Times New Roman"/>
          <w:i/>
          <w:lang w:val="en-GB"/>
        </w:rPr>
        <w:t>particularly</w:t>
      </w:r>
      <w:r w:rsidRPr="00BE11F5">
        <w:rPr>
          <w:rFonts w:cs="Times New Roman"/>
          <w:lang w:val="en-GB"/>
        </w:rPr>
        <w:t xml:space="preserve"> important in cases involving the best interests of the child</w:t>
      </w:r>
      <w:r w:rsidRPr="00BE11F5">
        <w:rPr>
          <w:rFonts w:cs="Times New Roman"/>
        </w:rPr>
        <w:t xml:space="preserve">: </w:t>
      </w:r>
      <w:r w:rsidRPr="00BE11F5">
        <w:rPr>
          <w:rFonts w:cs="Times New Roman"/>
          <w:i/>
        </w:rPr>
        <w:t>Van de Perre v. Edwards</w:t>
      </w:r>
      <w:r w:rsidRPr="00BE11F5">
        <w:rPr>
          <w:rFonts w:cs="Times New Roman"/>
        </w:rPr>
        <w:t>,</w:t>
      </w:r>
      <w:r w:rsidRPr="00BE11F5">
        <w:rPr>
          <w:rFonts w:cs="Times New Roman"/>
          <w:i/>
        </w:rPr>
        <w:t xml:space="preserve"> </w:t>
      </w:r>
      <w:r w:rsidRPr="00BE11F5">
        <w:rPr>
          <w:rFonts w:cs="Times New Roman"/>
        </w:rPr>
        <w:t xml:space="preserve">2001 SCC 60, </w:t>
      </w:r>
      <w:r w:rsidRPr="00BE11F5">
        <w:rPr>
          <w:rFonts w:cs="Times New Roman"/>
          <w:lang w:bidi="en-US"/>
        </w:rPr>
        <w:t xml:space="preserve">[2001] 2 S.C.R. 1014, </w:t>
      </w:r>
      <w:r w:rsidRPr="00BE11F5">
        <w:rPr>
          <w:rFonts w:cs="Times New Roman"/>
        </w:rPr>
        <w:t>at para. 13.</w:t>
      </w:r>
      <w:r w:rsidRPr="00BE11F5">
        <w:rPr>
          <w:rFonts w:cs="Times New Roman"/>
          <w:lang w:val="en-GB"/>
        </w:rPr>
        <w:t xml:space="preserve"> Children should be afforded the comfort of knowing, with some </w:t>
      </w:r>
      <w:r w:rsidRPr="00BE11F5">
        <w:rPr>
          <w:rFonts w:cs="Times New Roman"/>
          <w:lang w:val="en-GB"/>
        </w:rPr>
        <w:lastRenderedPageBreak/>
        <w:t>degree of certainty, where they will live and with whom. And unfortunately, an appeal only prolongs the cloud of uncertainty and the hardship and stress a child must endure.</w:t>
      </w:r>
    </w:p>
    <w:p w14:paraId="3CA5650B" w14:textId="77777777" w:rsidR="00567205" w:rsidRPr="00BE11F5" w:rsidRDefault="00567205" w:rsidP="00567205">
      <w:pPr>
        <w:pStyle w:val="ParaNoNdepar-AltN"/>
        <w:tabs>
          <w:tab w:val="clear" w:pos="1152"/>
          <w:tab w:val="left" w:pos="1170"/>
        </w:tabs>
        <w:rPr>
          <w:rFonts w:cs="Times New Roman"/>
          <w:lang w:val="en-GB"/>
        </w:rPr>
      </w:pPr>
      <w:r w:rsidRPr="00BE11F5">
        <w:rPr>
          <w:rFonts w:cs="Times New Roman"/>
          <w:lang w:val="en-GB"/>
        </w:rPr>
        <w:t xml:space="preserve">Protracted litigation also places additional strain on the parties’ resources. In the context of a spousal separation, families who resort to the adversarial process are often in crisis, with two households now in need of support. As this Court recognized in </w:t>
      </w:r>
      <w:r w:rsidRPr="00BE11F5">
        <w:rPr>
          <w:rFonts w:cs="Times New Roman"/>
          <w:i/>
          <w:lang w:val="en-GB"/>
        </w:rPr>
        <w:t>Moge v. Moge</w:t>
      </w:r>
      <w:r w:rsidRPr="00BE11F5">
        <w:rPr>
          <w:rFonts w:cs="Times New Roman"/>
          <w:lang w:val="en-GB"/>
        </w:rPr>
        <w:t>,</w:t>
      </w:r>
      <w:r w:rsidRPr="00BE11F5">
        <w:rPr>
          <w:rFonts w:cs="Times New Roman"/>
        </w:rPr>
        <w:t xml:space="preserve"> </w:t>
      </w:r>
      <w:r w:rsidRPr="00BE11F5">
        <w:rPr>
          <w:rFonts w:cs="Times New Roman"/>
          <w:lang w:val="en-GB"/>
        </w:rPr>
        <w:t>[1992] 3 S.C.R. 813, family litigants, particularly women, are often already shouldering the economic consequences of a marital breakdown. Some will be unable to afford the financial and emotional cost of court proceedings at first instance, let alone the strain of relitigating the facts on appeal. Needlessly prolonging this adversarial process does little to assist parties who must find a way to restructure their relationships and cooperate for the sake of their children.</w:t>
      </w:r>
    </w:p>
    <w:p w14:paraId="30223149" w14:textId="77777777" w:rsidR="00567205" w:rsidRPr="00BE11F5" w:rsidRDefault="00567205" w:rsidP="00567205">
      <w:pPr>
        <w:pStyle w:val="ParaNoNdepar-AltN"/>
        <w:tabs>
          <w:tab w:val="clear" w:pos="1152"/>
          <w:tab w:val="left" w:pos="1170"/>
        </w:tabs>
        <w:rPr>
          <w:rFonts w:cs="Times New Roman"/>
          <w:lang w:val="en-GB"/>
        </w:rPr>
      </w:pPr>
      <w:r w:rsidRPr="00BE11F5">
        <w:rPr>
          <w:rFonts w:cs="Times New Roman"/>
          <w:lang w:val="en-GB"/>
        </w:rPr>
        <w:t>Certainty in a trial outcome can ensure an end to a period of immense turmoil, strife, and costs; parties should do what they can to promote it. Evidence that does not satisfy the due diligence criterion</w:t>
      </w:r>
      <w:r w:rsidRPr="00BE11F5">
        <w:rPr>
          <w:rFonts w:cs="Times New Roman"/>
          <w:i/>
          <w:lang w:val="en-GB"/>
        </w:rPr>
        <w:t xml:space="preserve"> </w:t>
      </w:r>
      <w:r w:rsidRPr="00BE11F5">
        <w:rPr>
          <w:rFonts w:cs="Times New Roman"/>
          <w:lang w:val="en-GB"/>
        </w:rPr>
        <w:t xml:space="preserve">should therefore generally not be admitted, even on an appeal of a best-interests-of-the-child determination. </w:t>
      </w:r>
    </w:p>
    <w:p w14:paraId="2AC992A4" w14:textId="77777777" w:rsidR="00567205" w:rsidRPr="00BE11F5" w:rsidRDefault="00567205" w:rsidP="00567205">
      <w:pPr>
        <w:pStyle w:val="ParaNoNdepar-AltN"/>
        <w:tabs>
          <w:tab w:val="clear" w:pos="1152"/>
          <w:tab w:val="left" w:pos="1170"/>
        </w:tabs>
        <w:rPr>
          <w:rFonts w:cs="Times New Roman"/>
        </w:rPr>
      </w:pPr>
      <w:r w:rsidRPr="00BE11F5">
        <w:rPr>
          <w:rFonts w:cs="Times New Roman"/>
          <w:lang w:val="en-GB"/>
        </w:rPr>
        <w:t xml:space="preserve">That said, an absence of due diligence may in rare instances be superseded by the interests of justice: see </w:t>
      </w:r>
      <w:r w:rsidRPr="00BE11F5">
        <w:rPr>
          <w:rFonts w:cs="Times New Roman"/>
          <w:i/>
        </w:rPr>
        <w:t xml:space="preserve">Children’s Aid Society of Halton (Region) v. A. (K.L.) </w:t>
      </w:r>
      <w:r w:rsidRPr="00BE11F5">
        <w:rPr>
          <w:rFonts w:cs="Times New Roman"/>
        </w:rPr>
        <w:t>(2006),</w:t>
      </w:r>
      <w:r w:rsidRPr="00BE11F5">
        <w:rPr>
          <w:rFonts w:eastAsiaTheme="minorHAnsi" w:cs="Times New Roman"/>
          <w:lang w:val="en-US" w:bidi="en-US"/>
        </w:rPr>
        <w:t xml:space="preserve"> </w:t>
      </w:r>
      <w:r w:rsidRPr="00BE11F5">
        <w:rPr>
          <w:rFonts w:cs="Times New Roman"/>
          <w:lang w:bidi="en-US"/>
        </w:rPr>
        <w:t>32 R.F.L. (6th) 7</w:t>
      </w:r>
      <w:r w:rsidRPr="00BE11F5">
        <w:rPr>
          <w:rFonts w:cs="Times New Roman"/>
          <w:i/>
        </w:rPr>
        <w:t xml:space="preserve"> </w:t>
      </w:r>
      <w:r w:rsidRPr="00BE11F5">
        <w:rPr>
          <w:rFonts w:cs="Times New Roman"/>
        </w:rPr>
        <w:t xml:space="preserve">(Ont. C.A.), </w:t>
      </w:r>
      <w:r w:rsidRPr="00BE11F5">
        <w:rPr>
          <w:rFonts w:cs="Times New Roman"/>
          <w:lang w:val="en-GB"/>
        </w:rPr>
        <w:t xml:space="preserve">at para. 56. There may be exceptional cases involving a child’s best interests where the need for finality and order may need to yield in the interests of justice. </w:t>
      </w:r>
      <w:r w:rsidRPr="00BE11F5">
        <w:rPr>
          <w:rFonts w:cs="Times New Roman"/>
        </w:rPr>
        <w:t xml:space="preserve">The intervener the Office of the Children’s Lawyer provides one such example: </w:t>
      </w:r>
      <w:r w:rsidRPr="00BE11F5">
        <w:rPr>
          <w:rFonts w:cs="Times New Roman"/>
          <w:lang w:val="en-GB"/>
        </w:rPr>
        <w:t>in</w:t>
      </w:r>
      <w:r w:rsidRPr="00BE11F5">
        <w:rPr>
          <w:rFonts w:cs="Times New Roman"/>
        </w:rPr>
        <w:t xml:space="preserve"> urgent matters requiring an immediate decision — a pressing </w:t>
      </w:r>
      <w:r w:rsidRPr="00BE11F5">
        <w:rPr>
          <w:rFonts w:cs="Times New Roman"/>
        </w:rPr>
        <w:lastRenderedPageBreak/>
        <w:t>medical or other issue bearing on the child’s best interests — it may not serve the interests of justice to require a party to show due diligence and further prolong or delay proceedings.</w:t>
      </w:r>
    </w:p>
    <w:p w14:paraId="120B5E3F" w14:textId="77777777" w:rsidR="00567205" w:rsidRPr="00BE11F5" w:rsidRDefault="00567205" w:rsidP="00567205">
      <w:pPr>
        <w:pStyle w:val="ParaNoNdepar-AltN"/>
        <w:tabs>
          <w:tab w:val="clear" w:pos="1152"/>
          <w:tab w:val="left" w:pos="1170"/>
        </w:tabs>
        <w:rPr>
          <w:rFonts w:cs="Times New Roman"/>
        </w:rPr>
      </w:pPr>
      <w:r w:rsidRPr="00BE11F5">
        <w:rPr>
          <w:rFonts w:cs="Times New Roman"/>
        </w:rPr>
        <w:t>In other cases, admitting the additional evidence may not offend the principle of finality at all, despite the failure to meet the due diligence criterion. For instance, where the appellate court has already identified a material error in the trial judgment below, evidence that may help determine an appropriate order — whether to show the need for a new trial, support a substitute order, or otherwise — may exceptionally warrant admission:</w:t>
      </w:r>
      <w:r w:rsidRPr="00BE11F5">
        <w:rPr>
          <w:rFonts w:cs="Times New Roman"/>
          <w:i/>
        </w:rPr>
        <w:t xml:space="preserve"> Children’s Aid Society of Halton (Region)</w:t>
      </w:r>
      <w:r w:rsidRPr="00BE11F5">
        <w:rPr>
          <w:rFonts w:cs="Times New Roman"/>
        </w:rPr>
        <w:t>, at paras. 27 and 52</w:t>
      </w:r>
      <w:r w:rsidRPr="00BE11F5">
        <w:rPr>
          <w:rFonts w:cs="Times New Roman"/>
        </w:rPr>
        <w:noBreakHyphen/>
        <w:t xml:space="preserve">56; </w:t>
      </w:r>
      <w:r w:rsidRPr="00BE11F5">
        <w:rPr>
          <w:rFonts w:cs="Times New Roman"/>
          <w:i/>
        </w:rPr>
        <w:t xml:space="preserve">Children’s Aid Society of Toronto v. P. (D.) </w:t>
      </w:r>
      <w:r w:rsidRPr="00BE11F5">
        <w:rPr>
          <w:rFonts w:cs="Times New Roman"/>
        </w:rPr>
        <w:t xml:space="preserve">(2005), </w:t>
      </w:r>
      <w:r w:rsidRPr="00BE11F5">
        <w:rPr>
          <w:rFonts w:cs="Times New Roman"/>
          <w:lang w:bidi="en-US"/>
        </w:rPr>
        <w:t xml:space="preserve">19 R.F.L. (6th) 267 </w:t>
      </w:r>
      <w:r w:rsidRPr="00BE11F5">
        <w:rPr>
          <w:rFonts w:cs="Times New Roman"/>
        </w:rPr>
        <w:t>(Ont. C.A.), at paras. 8</w:t>
      </w:r>
      <w:r w:rsidRPr="00BE11F5">
        <w:rPr>
          <w:rFonts w:cs="Times New Roman"/>
        </w:rPr>
        <w:noBreakHyphen/>
        <w:t xml:space="preserve">9. This may promote timely justice, consistent with a child’s need to have their future determined with due dispatch: C. Leach, E. McCarty and M. Cheung, “Further Evidence in Child Protection Appeals in Ontario” (2012), 31 </w:t>
      </w:r>
      <w:r w:rsidRPr="00BE11F5">
        <w:rPr>
          <w:rFonts w:cs="Times New Roman"/>
          <w:i/>
        </w:rPr>
        <w:t>C.F.L.Q.</w:t>
      </w:r>
      <w:r w:rsidRPr="00BE11F5">
        <w:rPr>
          <w:rFonts w:cs="Times New Roman"/>
        </w:rPr>
        <w:t xml:space="preserve"> 177.</w:t>
      </w:r>
    </w:p>
    <w:p w14:paraId="592B40FF" w14:textId="77777777" w:rsidR="00567205" w:rsidRPr="00BE11F5" w:rsidRDefault="00567205" w:rsidP="00567205">
      <w:pPr>
        <w:pStyle w:val="ParaNoNdepar-AltN"/>
        <w:tabs>
          <w:tab w:val="clear" w:pos="1152"/>
          <w:tab w:val="left" w:pos="1170"/>
        </w:tabs>
        <w:rPr>
          <w:rFonts w:cs="Times New Roman"/>
        </w:rPr>
      </w:pPr>
      <w:r w:rsidRPr="00BE11F5">
        <w:rPr>
          <w:rFonts w:cs="Times New Roman"/>
        </w:rPr>
        <w:t xml:space="preserve">To be clear, such exceptional circumstances do not dispense with the other </w:t>
      </w:r>
      <w:r w:rsidRPr="00BE11F5">
        <w:rPr>
          <w:rFonts w:cs="Times New Roman"/>
          <w:i/>
        </w:rPr>
        <w:t xml:space="preserve">Palmer </w:t>
      </w:r>
      <w:r w:rsidRPr="00BE11F5">
        <w:rPr>
          <w:rFonts w:cs="Times New Roman"/>
        </w:rPr>
        <w:t xml:space="preserve">criteria — the evidence still must be relevant, credible, and have some material bearing on the outcome. Similarly, the best interests of the child cannot be routinely leveraged to ignore the due diligence criterion and admit additional evidence on appeal. An appeal is not the continuation of a trial. Rather, the party must satisfy the judge that the interest of finality and order is clearly outweighed by the need to reach a just result </w:t>
      </w:r>
      <w:r w:rsidRPr="00BE11F5">
        <w:rPr>
          <w:rFonts w:cs="Times New Roman"/>
        </w:rPr>
        <w:lastRenderedPageBreak/>
        <w:t>in the context of the proceedings. In such circumstances, the interests of justice may demand additional evidence to be admitted on appeal.</w:t>
      </w:r>
    </w:p>
    <w:p w14:paraId="6B69539F" w14:textId="77777777" w:rsidR="00567205" w:rsidRPr="00BE11F5" w:rsidRDefault="00567205" w:rsidP="00567205">
      <w:pPr>
        <w:pStyle w:val="Title4LevelTitre4Niveau"/>
        <w:numPr>
          <w:ilvl w:val="3"/>
          <w:numId w:val="8"/>
        </w:numPr>
        <w:tabs>
          <w:tab w:val="clear" w:pos="1152"/>
          <w:tab w:val="left" w:pos="1170"/>
        </w:tabs>
        <w:jc w:val="both"/>
        <w:rPr>
          <w:rFonts w:cs="Times New Roman"/>
        </w:rPr>
      </w:pPr>
      <w:r w:rsidRPr="00BE11F5">
        <w:rPr>
          <w:rFonts w:cs="Times New Roman"/>
        </w:rPr>
        <w:t>The Existence of Variation Schemes That Address Factual Developments That Postdate Trial in Parenting Cases</w:t>
      </w:r>
    </w:p>
    <w:p w14:paraId="42B9E490" w14:textId="77777777" w:rsidR="00567205" w:rsidRPr="00BE11F5" w:rsidRDefault="00567205" w:rsidP="00567205">
      <w:pPr>
        <w:pStyle w:val="ParaNoNdepar-AltN"/>
        <w:tabs>
          <w:tab w:val="clear" w:pos="1152"/>
          <w:tab w:val="left" w:pos="1170"/>
        </w:tabs>
        <w:rPr>
          <w:rFonts w:cs="Times New Roman"/>
        </w:rPr>
      </w:pPr>
      <w:r w:rsidRPr="00BE11F5">
        <w:rPr>
          <w:rFonts w:cs="Times New Roman"/>
        </w:rPr>
        <w:t>Turning to the second feature that arises in the family law context, the admission of post-trial evidence on appeal may be unnecessary because, unlike decisions that award damages in one final order, litigation about ongoing parenting arrangements remains subject to court oversight. Specifically, variation schemes permit a judge of first instance to vary a parenting order where a change of circumstances justifies a review of a child’s best interests. As I will explain, the admission of post</w:t>
      </w:r>
      <w:r w:rsidRPr="00BE11F5">
        <w:rPr>
          <w:rFonts w:cs="Times New Roman"/>
        </w:rPr>
        <w:noBreakHyphen/>
        <w:t>trial evidence on appeal unnecessarily undercuts both finality and order in family law judgments, as well as Parliament’s statutory design.</w:t>
      </w:r>
    </w:p>
    <w:p w14:paraId="70822E11" w14:textId="77777777" w:rsidR="00567205" w:rsidRPr="00BE11F5" w:rsidRDefault="00567205" w:rsidP="00567205">
      <w:pPr>
        <w:pStyle w:val="ParaNoNdepar-AltN"/>
        <w:tabs>
          <w:tab w:val="clear" w:pos="1152"/>
          <w:tab w:val="left" w:pos="1170"/>
        </w:tabs>
        <w:rPr>
          <w:rFonts w:cs="Times New Roman"/>
        </w:rPr>
      </w:pPr>
      <w:r w:rsidRPr="00BE11F5">
        <w:rPr>
          <w:rFonts w:cs="Times New Roman"/>
        </w:rPr>
        <w:t>Because variation procedures are available in parenting cases to address changes arising post-trial, the interest in reaching a just result can be fostered through other means. The admission of post-trial evidence on appeal therefore unnecessarily undermines finality and order in family law decisions.</w:t>
      </w:r>
    </w:p>
    <w:p w14:paraId="4D2E4680" w14:textId="77777777" w:rsidR="00567205" w:rsidRPr="00BE11F5" w:rsidRDefault="00567205" w:rsidP="00567205">
      <w:pPr>
        <w:pStyle w:val="ParaNoNdepar-AltN"/>
        <w:tabs>
          <w:tab w:val="clear" w:pos="1152"/>
          <w:tab w:val="left" w:pos="1170"/>
        </w:tabs>
        <w:rPr>
          <w:rFonts w:cs="Times New Roman"/>
        </w:rPr>
      </w:pPr>
      <w:r w:rsidRPr="00BE11F5">
        <w:rPr>
          <w:rFonts w:cs="Times New Roman"/>
        </w:rPr>
        <w:t xml:space="preserve">Moreover, courts must be wary of permitting parties to use the </w:t>
      </w:r>
      <w:r w:rsidRPr="00BE11F5">
        <w:rPr>
          <w:rFonts w:cs="Times New Roman"/>
          <w:i/>
        </w:rPr>
        <w:t xml:space="preserve">Palmer </w:t>
      </w:r>
      <w:r w:rsidRPr="00BE11F5">
        <w:rPr>
          <w:rFonts w:cs="Times New Roman"/>
        </w:rPr>
        <w:t xml:space="preserve">framework to circumvent legislative schemes that provide specific procedures for review. An appeal cannot serve as an indirect route of varying the original parenting </w:t>
      </w:r>
      <w:r w:rsidRPr="00BE11F5">
        <w:rPr>
          <w:rFonts w:cs="Times New Roman"/>
        </w:rPr>
        <w:lastRenderedPageBreak/>
        <w:t>order. A variation application and an appeal are distinct proceedings based on fundamentally different premises.</w:t>
      </w:r>
    </w:p>
    <w:p w14:paraId="03536DF3" w14:textId="77777777" w:rsidR="00567205" w:rsidRPr="00BE11F5" w:rsidRDefault="00567205" w:rsidP="00567205">
      <w:pPr>
        <w:pStyle w:val="ParaNoNdepar-AltN"/>
        <w:tabs>
          <w:tab w:val="clear" w:pos="1152"/>
          <w:tab w:val="left" w:pos="1170"/>
        </w:tabs>
        <w:rPr>
          <w:rFonts w:cs="Times New Roman"/>
        </w:rPr>
      </w:pPr>
      <w:r w:rsidRPr="00BE11F5">
        <w:rPr>
          <w:rFonts w:cs="Times New Roman"/>
        </w:rPr>
        <w:t>In a variation proceeding,</w:t>
      </w:r>
      <w:r w:rsidRPr="00BE11F5">
        <w:rPr>
          <w:rFonts w:cs="Times New Roman"/>
          <w:i/>
        </w:rPr>
        <w:t xml:space="preserve"> </w:t>
      </w:r>
      <w:r w:rsidRPr="00BE11F5">
        <w:rPr>
          <w:rFonts w:cs="Times New Roman"/>
        </w:rPr>
        <w:t xml:space="preserve">“[t]he court cannot retry the case, substituting its discretion for that of the original judge; it must assume the correctness of the decision”: </w:t>
      </w:r>
      <w:r w:rsidRPr="00BE11F5">
        <w:rPr>
          <w:rFonts w:cs="Times New Roman"/>
          <w:i/>
        </w:rPr>
        <w:t>Gordon</w:t>
      </w:r>
      <w:r w:rsidRPr="00BE11F5">
        <w:rPr>
          <w:rFonts w:cs="Times New Roman"/>
        </w:rPr>
        <w:t>,</w:t>
      </w:r>
      <w:r w:rsidRPr="00BE11F5">
        <w:rPr>
          <w:rFonts w:cs="Times New Roman"/>
          <w:i/>
        </w:rPr>
        <w:t xml:space="preserve"> </w:t>
      </w:r>
      <w:r w:rsidRPr="00BE11F5">
        <w:rPr>
          <w:rFonts w:cs="Times New Roman"/>
        </w:rPr>
        <w:t>at para. 11. The applicant bears the burden of proving that a child’s best interests differ from those determined in the original decision because the circumstances on which that decision was based have materially changed since trial. Once an applicant discharges this burden, the assessment is prospective: a variation judge must enter into a fresh inquiry to determine where the best interests of the child lie, considering the findings of fact of the judge who made the previous order, together with the evidence of new circumstances (</w:t>
      </w:r>
      <w:r w:rsidRPr="00BE11F5">
        <w:rPr>
          <w:rFonts w:cs="Times New Roman"/>
          <w:i/>
        </w:rPr>
        <w:t>Gordon</w:t>
      </w:r>
      <w:r w:rsidRPr="00BE11F5">
        <w:rPr>
          <w:rFonts w:cs="Times New Roman"/>
        </w:rPr>
        <w:t>,</w:t>
      </w:r>
      <w:r w:rsidRPr="00BE11F5">
        <w:rPr>
          <w:rFonts w:cs="Times New Roman"/>
          <w:i/>
        </w:rPr>
        <w:t xml:space="preserve"> </w:t>
      </w:r>
      <w:r w:rsidRPr="00BE11F5">
        <w:rPr>
          <w:rFonts w:cs="Times New Roman"/>
        </w:rPr>
        <w:t xml:space="preserve">at para. 17). Finality in this context respects the trial judge’s original determination of the child’s best interests: </w:t>
      </w:r>
      <w:r w:rsidRPr="00BE11F5">
        <w:rPr>
          <w:rFonts w:cs="Times New Roman"/>
          <w:i/>
        </w:rPr>
        <w:t>Gordon</w:t>
      </w:r>
      <w:r w:rsidRPr="00BE11F5">
        <w:rPr>
          <w:rFonts w:cs="Times New Roman"/>
        </w:rPr>
        <w:t>,</w:t>
      </w:r>
      <w:r w:rsidRPr="00BE11F5">
        <w:rPr>
          <w:rFonts w:cs="Times New Roman"/>
          <w:i/>
        </w:rPr>
        <w:t xml:space="preserve"> </w:t>
      </w:r>
      <w:r w:rsidRPr="00BE11F5">
        <w:rPr>
          <w:rFonts w:cs="Times New Roman"/>
        </w:rPr>
        <w:t xml:space="preserve">at para. 17; </w:t>
      </w:r>
      <w:r w:rsidRPr="00BE11F5">
        <w:rPr>
          <w:rFonts w:cs="Times New Roman"/>
          <w:i/>
        </w:rPr>
        <w:t>Willick v. Willick</w:t>
      </w:r>
      <w:r w:rsidRPr="00BE11F5">
        <w:rPr>
          <w:rFonts w:cs="Times New Roman"/>
        </w:rPr>
        <w:t>,</w:t>
      </w:r>
      <w:r w:rsidRPr="00BE11F5">
        <w:rPr>
          <w:rFonts w:cs="Times New Roman"/>
          <w:i/>
        </w:rPr>
        <w:t xml:space="preserve"> </w:t>
      </w:r>
      <w:r w:rsidRPr="00BE11F5">
        <w:rPr>
          <w:rFonts w:cs="Times New Roman"/>
        </w:rPr>
        <w:t>[1994] 3 S.C.R. 670,</w:t>
      </w:r>
      <w:r w:rsidRPr="00BE11F5">
        <w:rPr>
          <w:rFonts w:cs="Times New Roman"/>
          <w:i/>
        </w:rPr>
        <w:t xml:space="preserve"> </w:t>
      </w:r>
      <w:r w:rsidRPr="00BE11F5">
        <w:rPr>
          <w:rFonts w:cs="Times New Roman"/>
        </w:rPr>
        <w:t>at p. 688, per</w:t>
      </w:r>
      <w:r w:rsidRPr="00BE11F5">
        <w:rPr>
          <w:rFonts w:cs="Times New Roman"/>
          <w:i/>
        </w:rPr>
        <w:t xml:space="preserve"> </w:t>
      </w:r>
      <w:r w:rsidRPr="00BE11F5">
        <w:rPr>
          <w:rFonts w:cs="Times New Roman"/>
        </w:rPr>
        <w:t>Sopinka J.</w:t>
      </w:r>
    </w:p>
    <w:p w14:paraId="32ADC7C3" w14:textId="77777777" w:rsidR="00567205" w:rsidRPr="00BE11F5" w:rsidRDefault="00567205" w:rsidP="00567205">
      <w:pPr>
        <w:pStyle w:val="ParaNoNdepar-AltN"/>
        <w:tabs>
          <w:tab w:val="clear" w:pos="1152"/>
          <w:tab w:val="left" w:pos="1170"/>
        </w:tabs>
        <w:rPr>
          <w:rFonts w:cs="Times New Roman"/>
        </w:rPr>
      </w:pPr>
      <w:r w:rsidRPr="00BE11F5" w:rsidDel="009D5549">
        <w:rPr>
          <w:rFonts w:cs="Times New Roman"/>
        </w:rPr>
        <w:t xml:space="preserve">An appeal, in contrast, is designed to determine whether there is an error in the trial decision. In other words, the correctness of the previous decision </w:t>
      </w:r>
      <w:r w:rsidRPr="00BE11F5">
        <w:rPr>
          <w:rFonts w:cs="Times New Roman"/>
        </w:rPr>
        <w:t>—</w:t>
      </w:r>
      <w:r w:rsidRPr="00BE11F5" w:rsidDel="009D5549">
        <w:rPr>
          <w:rFonts w:cs="Times New Roman"/>
        </w:rPr>
        <w:t xml:space="preserve"> and not the implications of subsequent events </w:t>
      </w:r>
      <w:r w:rsidRPr="00BE11F5">
        <w:rPr>
          <w:rFonts w:cs="Times New Roman"/>
        </w:rPr>
        <w:t>—</w:t>
      </w:r>
      <w:r w:rsidRPr="00BE11F5" w:rsidDel="009D5549">
        <w:rPr>
          <w:rFonts w:cs="Times New Roman"/>
        </w:rPr>
        <w:t xml:space="preserve"> is the focal point in an appeal. This assessment is inherently retrospective, with the review typically circumscribed within the four corners of the judgment below.</w:t>
      </w:r>
      <w:r w:rsidRPr="00BE11F5">
        <w:rPr>
          <w:rFonts w:cs="Times New Roman"/>
        </w:rPr>
        <w:t xml:space="preserve"> Here, finality in the original decision is preserved unless the court identifies a material error.</w:t>
      </w:r>
    </w:p>
    <w:p w14:paraId="4FD55E6E" w14:textId="77777777" w:rsidR="00567205" w:rsidRPr="00BE11F5" w:rsidRDefault="00567205" w:rsidP="00567205">
      <w:pPr>
        <w:pStyle w:val="ParaNoNdepar-AltN"/>
        <w:tabs>
          <w:tab w:val="clear" w:pos="1152"/>
          <w:tab w:val="left" w:pos="1170"/>
        </w:tabs>
        <w:rPr>
          <w:rFonts w:cs="Times New Roman"/>
        </w:rPr>
      </w:pPr>
      <w:r w:rsidRPr="00BE11F5">
        <w:rPr>
          <w:rFonts w:cs="Times New Roman"/>
        </w:rPr>
        <w:t xml:space="preserve">It is essential that variation procedures and appeals remain distinct in the family law context: holding otherwise would unfairly require the opposing party to </w:t>
      </w:r>
      <w:r w:rsidRPr="00BE11F5">
        <w:rPr>
          <w:rFonts w:cs="Times New Roman"/>
        </w:rPr>
        <w:lastRenderedPageBreak/>
        <w:t>defend the original order — absent a material error — in the wrong forum, with appellate judges effectively performing the work assigned to first instance judges in variation procedures. This would displace the corrective function of appellate courts and allow litigants to circumvent Parliament’s variation scheme.</w:t>
      </w:r>
    </w:p>
    <w:p w14:paraId="47948398" w14:textId="77777777" w:rsidR="00567205" w:rsidRPr="00BE11F5" w:rsidRDefault="00567205" w:rsidP="00567205">
      <w:pPr>
        <w:pStyle w:val="ParaNoNdepar-AltN"/>
        <w:tabs>
          <w:tab w:val="clear" w:pos="1152"/>
          <w:tab w:val="left" w:pos="1170"/>
        </w:tabs>
        <w:rPr>
          <w:rFonts w:cs="Times New Roman"/>
        </w:rPr>
      </w:pPr>
      <w:r w:rsidRPr="00BE11F5">
        <w:rPr>
          <w:rFonts w:cs="Times New Roman"/>
        </w:rPr>
        <w:t>Litigants must not be permitted to game the system in this way: an appeal is not an opportunity to avoid the evidentiary burden in a variation proceeding; nor is it an opportunity to seek a fresh determination, after remedying gaps in a trial strategy with the assistance of the trial judge’s “preliminary” reasons. Such a tactical approach in family cases will often be at the expense of the children.</w:t>
      </w:r>
    </w:p>
    <w:p w14:paraId="27892BB2" w14:textId="77777777" w:rsidR="00567205" w:rsidRPr="00BE11F5" w:rsidRDefault="00567205" w:rsidP="00567205">
      <w:pPr>
        <w:pStyle w:val="ParaNoNdepar-AltN"/>
        <w:tabs>
          <w:tab w:val="clear" w:pos="1152"/>
          <w:tab w:val="left" w:pos="1170"/>
        </w:tabs>
        <w:rPr>
          <w:rFonts w:cs="Times New Roman"/>
        </w:rPr>
      </w:pPr>
      <w:r w:rsidRPr="00BE11F5">
        <w:rPr>
          <w:rFonts w:cs="Times New Roman"/>
        </w:rPr>
        <w:t>Consequently, in an appeal of a parenting order, courts should consider whether a variation application would be more appropriate in the circumstances. Where an application for additional evidence amounts to what is “in substance a disguised application to vary” (</w:t>
      </w:r>
      <w:r w:rsidRPr="00BE11F5">
        <w:rPr>
          <w:rFonts w:cs="Times New Roman"/>
          <w:i/>
        </w:rPr>
        <w:t>Riel</w:t>
      </w:r>
      <w:r w:rsidRPr="00BE11F5">
        <w:rPr>
          <w:rFonts w:cs="Times New Roman"/>
        </w:rPr>
        <w:t>,</w:t>
      </w:r>
      <w:r w:rsidRPr="00BE11F5">
        <w:rPr>
          <w:rFonts w:cs="Times New Roman"/>
          <w:i/>
        </w:rPr>
        <w:t xml:space="preserve"> </w:t>
      </w:r>
      <w:r w:rsidRPr="00BE11F5">
        <w:rPr>
          <w:rFonts w:cs="Times New Roman"/>
        </w:rPr>
        <w:t xml:space="preserve">at para. 20), a court may refuse to admit additional evidence without considering the </w:t>
      </w:r>
      <w:r w:rsidRPr="00BE11F5">
        <w:rPr>
          <w:rFonts w:cs="Times New Roman"/>
          <w:i/>
        </w:rPr>
        <w:t xml:space="preserve">Palmer </w:t>
      </w:r>
      <w:r w:rsidRPr="00BE11F5">
        <w:rPr>
          <w:rFonts w:cs="Times New Roman"/>
        </w:rPr>
        <w:t>criteria.</w:t>
      </w:r>
    </w:p>
    <w:p w14:paraId="545E1E75" w14:textId="77777777" w:rsidR="00567205" w:rsidRPr="00BE11F5" w:rsidRDefault="00567205" w:rsidP="00567205">
      <w:pPr>
        <w:pStyle w:val="Title3LevelTitre3Niveau"/>
        <w:numPr>
          <w:ilvl w:val="2"/>
          <w:numId w:val="8"/>
        </w:numPr>
        <w:tabs>
          <w:tab w:val="clear" w:pos="1152"/>
          <w:tab w:val="left" w:pos="1170"/>
        </w:tabs>
        <w:jc w:val="both"/>
        <w:rPr>
          <w:rFonts w:cs="Times New Roman"/>
        </w:rPr>
      </w:pPr>
      <w:r w:rsidRPr="00BE11F5">
        <w:rPr>
          <w:rFonts w:cs="Times New Roman"/>
        </w:rPr>
        <w:t>The Use of Properly Admitted Evidence on Appeal</w:t>
      </w:r>
    </w:p>
    <w:p w14:paraId="39C363B1" w14:textId="77777777" w:rsidR="00567205" w:rsidRPr="00BE11F5" w:rsidRDefault="00567205" w:rsidP="00567205">
      <w:pPr>
        <w:pStyle w:val="ParaNoNdepar-AltN"/>
        <w:tabs>
          <w:tab w:val="clear" w:pos="1152"/>
          <w:tab w:val="left" w:pos="1170"/>
        </w:tabs>
        <w:rPr>
          <w:rFonts w:cs="Times New Roman"/>
        </w:rPr>
      </w:pPr>
      <w:r w:rsidRPr="00BE11F5">
        <w:rPr>
          <w:rFonts w:cs="Times New Roman"/>
        </w:rPr>
        <w:t>As a final observation, even when evidence is properly admitted on appeal, appellate courts must defer to the trial judge’s factual findings that are unaffected by the additional evidence. While assessing the proper outcome in light of additional evidence may require a global consideration of the case (</w:t>
      </w:r>
      <w:r w:rsidRPr="00BE11F5">
        <w:rPr>
          <w:rFonts w:cs="Times New Roman"/>
          <w:i/>
        </w:rPr>
        <w:t>St-Cloud</w:t>
      </w:r>
      <w:r w:rsidRPr="00BE11F5">
        <w:rPr>
          <w:rFonts w:cs="Times New Roman"/>
        </w:rPr>
        <w:t xml:space="preserve">; </w:t>
      </w:r>
      <w:r w:rsidRPr="00BE11F5">
        <w:rPr>
          <w:rFonts w:cs="Times New Roman"/>
          <w:i/>
        </w:rPr>
        <w:t>Gordon</w:t>
      </w:r>
      <w:r w:rsidRPr="00BE11F5">
        <w:rPr>
          <w:rFonts w:cs="Times New Roman"/>
        </w:rPr>
        <w:t xml:space="preserve">), appellate </w:t>
      </w:r>
      <w:r w:rsidRPr="00BE11F5">
        <w:rPr>
          <w:rFonts w:cs="Times New Roman"/>
        </w:rPr>
        <w:lastRenderedPageBreak/>
        <w:t>courts are not entitled to reweigh or disregard the trial judge’s underlying factual findings absent palpable and overriding error.</w:t>
      </w:r>
    </w:p>
    <w:p w14:paraId="17D45A70" w14:textId="77777777" w:rsidR="00567205" w:rsidRPr="00BE11F5" w:rsidRDefault="00567205" w:rsidP="00567205">
      <w:pPr>
        <w:pStyle w:val="Title3LevelTitre3Niveau"/>
        <w:tabs>
          <w:tab w:val="clear" w:pos="1152"/>
          <w:tab w:val="left" w:pos="1170"/>
        </w:tabs>
        <w:jc w:val="both"/>
        <w:rPr>
          <w:rFonts w:cs="Times New Roman"/>
        </w:rPr>
      </w:pPr>
      <w:r w:rsidRPr="00BE11F5">
        <w:rPr>
          <w:rFonts w:cs="Times New Roman"/>
        </w:rPr>
        <w:t>Did the Court of Appeal Err in Admitting the Additional Evidence?</w:t>
      </w:r>
    </w:p>
    <w:p w14:paraId="489E4C0F"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In this case, the Court of Appeal erred in admitting the father’s evidence on appeal. It applied the wrong test and failed to consider whether the father exercised due diligence. The evidence could have been available for trial with due diligence. And in any event, this matter could have been dealt with solely on the basis that a fresh evidence motion was not in the interests of justice given the availability of a variation procedure.</w:t>
      </w:r>
    </w:p>
    <w:p w14:paraId="7BD8BF53"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The father sought to adduce an affidavit at the conclusion of the appeal hearing. He deposed that he had taken steps to pay the mother her interest in the family property “to comply with the order of the trial judge”: C.A. reasons, at para. 27. He also deposed that he refinanced the home and his parents increased their personal line of credit, which went towards renovations that had been partially completed.</w:t>
      </w:r>
    </w:p>
    <w:p w14:paraId="4530D83A"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The father argues that the evidence addressed the trial judge’s concerns that because of their financial position, his ability to remain in the family home, or even in West Kelowna, was “less than certain”: see R.F., at para. 5; see also trial reasons, at para. 40. These preoccupations, he says, are now “demonstrably incorrect”: R.F., at para. 31.</w:t>
      </w:r>
    </w:p>
    <w:p w14:paraId="7DE3F352"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lastRenderedPageBreak/>
        <w:t>In a similar vein, the Court of Appeal admitted the evidence because it was “cogent and material”, and it “directly addresse[d] one of the two primary underpinnings of the trial decision” (para. 51)</w:t>
      </w:r>
      <w:r>
        <w:rPr>
          <w:rFonts w:cs="Times New Roman"/>
        </w:rPr>
        <w:t>,</w:t>
      </w:r>
      <w:r w:rsidRPr="00BE11F5">
        <w:rPr>
          <w:rFonts w:cs="Times New Roman"/>
        </w:rPr>
        <w:t xml:space="preserve"> since the trial judge’s “concern, or expectation, or ‘assumption’” regarding the father’s ability to remain in the family home “ha[d] been displaced” (para. 57).</w:t>
      </w:r>
    </w:p>
    <w:p w14:paraId="2CFA9138"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The trial judge’s predictions about the state of the father’s finances and his ability to remain at his residence, however, should not be mischaracterized. It was open to the trial judge to make an assessment about the future and make a finding of fact based on the evidence before him. Here, the fact that the father later moved to cure evidentiary deficiencies regarding his ability to finance and renovate the home does not mean that the trial judge erred in his findings or conclusions.</w:t>
      </w:r>
      <w:r w:rsidRPr="00BE11F5" w:rsidDel="00DA5F06">
        <w:rPr>
          <w:rStyle w:val="FootnoteReference"/>
          <w:rFonts w:cs="Times New Roman"/>
        </w:rPr>
        <w:t xml:space="preserve"> </w:t>
      </w:r>
    </w:p>
    <w:p w14:paraId="23A1D1B6"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More to the point, the father failed to act with due diligence. </w:t>
      </w:r>
      <w:r w:rsidRPr="00BE11F5">
        <w:rPr>
          <w:rFonts w:cs="Times New Roman"/>
          <w:lang w:val="en-GB"/>
        </w:rPr>
        <w:t xml:space="preserve">Most obviously, the facts he now seeks to prove and rely upon on appeal </w:t>
      </w:r>
      <w:r w:rsidRPr="00BE11F5">
        <w:rPr>
          <w:rFonts w:cs="Times New Roman"/>
        </w:rPr>
        <w:t>—</w:t>
      </w:r>
      <w:r w:rsidRPr="00BE11F5">
        <w:rPr>
          <w:rFonts w:cs="Times New Roman"/>
          <w:lang w:val="en-GB"/>
        </w:rPr>
        <w:t xml:space="preserve"> that he had the necessary financing to keep his home and make it habitable for the children </w:t>
      </w:r>
      <w:r w:rsidRPr="00BE11F5">
        <w:rPr>
          <w:rFonts w:cs="Times New Roman"/>
        </w:rPr>
        <w:t>—</w:t>
      </w:r>
      <w:r w:rsidRPr="00BE11F5">
        <w:rPr>
          <w:rFonts w:cs="Times New Roman"/>
          <w:lang w:val="en-GB"/>
        </w:rPr>
        <w:t xml:space="preserve"> were squarely at issue before the trial judge.</w:t>
      </w:r>
      <w:r w:rsidRPr="00BE11F5">
        <w:rPr>
          <w:rFonts w:cs="Times New Roman"/>
        </w:rPr>
        <w:t xml:space="preserve"> </w:t>
      </w:r>
      <w:r w:rsidRPr="00BE11F5">
        <w:rPr>
          <w:rFonts w:cs="Times New Roman"/>
          <w:lang w:val="en-GB"/>
        </w:rPr>
        <w:t xml:space="preserve">He </w:t>
      </w:r>
      <w:r w:rsidRPr="00BE11F5">
        <w:rPr>
          <w:rFonts w:cs="Times New Roman"/>
        </w:rPr>
        <w:t>could have taken reasonable steps to obtain financing before trial, since he was aware that he needed to refinance to stay in the house: trial reasons, at para. 35. His plan was contingent on obtaining financing from his father, whose testimony was “less definite” (para. 36):</w:t>
      </w:r>
    </w:p>
    <w:p w14:paraId="11F6E7B8" w14:textId="77777777" w:rsidR="00567205" w:rsidRPr="00BE11F5" w:rsidRDefault="00567205" w:rsidP="00567205">
      <w:pPr>
        <w:pStyle w:val="CITATION"/>
        <w:tabs>
          <w:tab w:val="left" w:pos="1170"/>
        </w:tabs>
        <w:ind w:left="1170" w:right="0"/>
        <w:rPr>
          <w:rFonts w:cs="Times New Roman"/>
        </w:rPr>
      </w:pPr>
      <w:r w:rsidRPr="00BE11F5">
        <w:rPr>
          <w:rFonts w:cs="Times New Roman"/>
        </w:rPr>
        <w:t xml:space="preserve">Mr. Grebliunas Sr. has no commitment letters regarding financing. </w:t>
      </w:r>
      <w:r w:rsidRPr="00BE11F5">
        <w:rPr>
          <w:rFonts w:cs="Times New Roman"/>
          <w:u w:val="single"/>
        </w:rPr>
        <w:t>Asked whether he was prepared to offer any more than the amount of the debt, he hedged, saying “We’ll see what the final number is”, and offered his opinion that the property would be “a good investment”.</w:t>
      </w:r>
      <w:r w:rsidRPr="00BE11F5">
        <w:rPr>
          <w:rFonts w:cs="Times New Roman"/>
        </w:rPr>
        <w:t xml:space="preserve"> [Emphasis added; para. 38.]</w:t>
      </w:r>
    </w:p>
    <w:p w14:paraId="482444F3" w14:textId="77777777" w:rsidR="00567205" w:rsidRPr="00BE11F5" w:rsidRDefault="00567205" w:rsidP="00567205">
      <w:pPr>
        <w:pStyle w:val="ContinueParaSuitedupar-AltP"/>
        <w:tabs>
          <w:tab w:val="left" w:pos="1170"/>
        </w:tabs>
        <w:rPr>
          <w:rFonts w:cs="Times New Roman"/>
        </w:rPr>
      </w:pPr>
      <w:r w:rsidRPr="00BE11F5">
        <w:rPr>
          <w:rFonts w:cs="Times New Roman"/>
        </w:rPr>
        <w:lastRenderedPageBreak/>
        <w:t>As the trial judge concluded, the practicability of that arrangement remained “an open question”: para. 39.</w:t>
      </w:r>
    </w:p>
    <w:p w14:paraId="32760694" w14:textId="77777777" w:rsidR="00567205" w:rsidRPr="00BE11F5" w:rsidRDefault="00567205" w:rsidP="00567205">
      <w:pPr>
        <w:pStyle w:val="ParaNoNdepar-AltN"/>
        <w:tabs>
          <w:tab w:val="clear" w:pos="1152"/>
          <w:tab w:val="left" w:pos="1170"/>
        </w:tabs>
        <w:rPr>
          <w:rFonts w:cs="Times New Roman"/>
        </w:rPr>
      </w:pPr>
      <w:r w:rsidRPr="00BE11F5">
        <w:rPr>
          <w:rFonts w:cs="Times New Roman"/>
          <w:lang w:val="en-GB"/>
        </w:rPr>
        <w:t>Allowing</w:t>
      </w:r>
      <w:r w:rsidRPr="00BE11F5">
        <w:rPr>
          <w:rFonts w:cs="Times New Roman"/>
        </w:rPr>
        <w:t xml:space="preserve"> the father to resolve these concerns and redraw the factual landscape at the eleventh hour of the appeal occasioned considerable unfairness. In effect, he was allowed to relitigate the same issues on the basis of more favourable facts, displacing the corrective function of the appellate court. Nothing on the record indicates that he was prevented from obtaining the financing commitments before trial. This ran firmly against the interest in finality and order that due diligence is meant to safeguard.</w:t>
      </w:r>
    </w:p>
    <w:p w14:paraId="74E72F9C" w14:textId="77777777" w:rsidR="00567205" w:rsidRPr="00BE11F5" w:rsidRDefault="00567205" w:rsidP="00567205">
      <w:pPr>
        <w:pStyle w:val="ParaNoNdepar-AltN"/>
        <w:tabs>
          <w:tab w:val="clear" w:pos="1152"/>
          <w:tab w:val="left" w:pos="1170"/>
        </w:tabs>
        <w:rPr>
          <w:rFonts w:cs="Times New Roman"/>
        </w:rPr>
      </w:pPr>
      <w:r w:rsidRPr="00BE11F5">
        <w:rPr>
          <w:rFonts w:cs="Times New Roman"/>
          <w:lang w:val="en-GB"/>
        </w:rPr>
        <w:t xml:space="preserve">Further, as noted above, an alternative legislative mechanism for varying the trial order was available to deal with any material changes of circumstances arising after trial: </w:t>
      </w:r>
      <w:r w:rsidRPr="00BE11F5">
        <w:rPr>
          <w:rFonts w:cs="Times New Roman"/>
          <w:i/>
          <w:lang w:val="en-GB"/>
        </w:rPr>
        <w:t>Divorce Act</w:t>
      </w:r>
      <w:r w:rsidRPr="00BE11F5">
        <w:rPr>
          <w:rFonts w:cs="Times New Roman"/>
          <w:lang w:val="en-GB"/>
        </w:rPr>
        <w:t>,</w:t>
      </w:r>
      <w:r w:rsidRPr="00BE11F5">
        <w:rPr>
          <w:rFonts w:cs="Times New Roman"/>
          <w:i/>
          <w:lang w:val="en-GB"/>
        </w:rPr>
        <w:t xml:space="preserve"> </w:t>
      </w:r>
      <w:r w:rsidRPr="00BE11F5">
        <w:rPr>
          <w:rFonts w:cs="Times New Roman"/>
          <w:lang w:val="en-GB"/>
        </w:rPr>
        <w:t xml:space="preserve">s. 17(5); </w:t>
      </w:r>
      <w:r w:rsidRPr="00BE11F5">
        <w:rPr>
          <w:rFonts w:cs="Times New Roman"/>
          <w:i/>
          <w:lang w:val="en-GB"/>
        </w:rPr>
        <w:t>Gordon</w:t>
      </w:r>
      <w:r w:rsidRPr="00BE11F5">
        <w:rPr>
          <w:rFonts w:cs="Times New Roman"/>
          <w:lang w:val="en-GB"/>
        </w:rPr>
        <w:t>,</w:t>
      </w:r>
      <w:r w:rsidRPr="00BE11F5">
        <w:rPr>
          <w:rFonts w:cs="Times New Roman"/>
          <w:i/>
          <w:lang w:val="en-GB"/>
        </w:rPr>
        <w:t xml:space="preserve"> </w:t>
      </w:r>
      <w:r w:rsidRPr="00BE11F5">
        <w:rPr>
          <w:rFonts w:cs="Times New Roman"/>
          <w:lang w:val="en-GB"/>
        </w:rPr>
        <w:t xml:space="preserve">at para. 10. By successfully adducing the additional evidence, the father was able to circumvent the burden he would have faced in a variation application </w:t>
      </w:r>
      <w:r w:rsidRPr="00BE11F5">
        <w:rPr>
          <w:rFonts w:cs="Times New Roman"/>
        </w:rPr>
        <w:t>—</w:t>
      </w:r>
      <w:r w:rsidRPr="00BE11F5">
        <w:rPr>
          <w:rFonts w:cs="Times New Roman"/>
          <w:lang w:val="en-GB"/>
        </w:rPr>
        <w:t xml:space="preserve"> that is, proving a change of circumstances from those that justified the children’s relocation to Telkwa. Instead, he received what amounted to a near fresh evaluation of the children’s best interests.</w:t>
      </w:r>
    </w:p>
    <w:p w14:paraId="641A5753" w14:textId="77777777" w:rsidR="00567205" w:rsidRPr="00BE11F5" w:rsidRDefault="00567205" w:rsidP="00567205">
      <w:pPr>
        <w:pStyle w:val="ParaNoNdepar-AltN"/>
        <w:tabs>
          <w:tab w:val="clear" w:pos="1152"/>
          <w:tab w:val="left" w:pos="1170"/>
          <w:tab w:val="num" w:pos="1332"/>
        </w:tabs>
        <w:ind w:left="-90"/>
        <w:rPr>
          <w:rFonts w:cs="Times New Roman"/>
        </w:rPr>
      </w:pPr>
      <w:r w:rsidRPr="00BE11F5">
        <w:rPr>
          <w:rFonts w:cs="Times New Roman"/>
        </w:rPr>
        <w:t xml:space="preserve">A flexible approach to </w:t>
      </w:r>
      <w:r w:rsidRPr="00BE11F5">
        <w:rPr>
          <w:rFonts w:cs="Times New Roman"/>
          <w:i/>
        </w:rPr>
        <w:t xml:space="preserve">Palmer </w:t>
      </w:r>
      <w:r w:rsidRPr="00BE11F5">
        <w:rPr>
          <w:rFonts w:cs="Times New Roman"/>
        </w:rPr>
        <w:t xml:space="preserve">in cases involving the welfare of children must not permit what is “in substance a disguised application to vary”: </w:t>
      </w:r>
      <w:r w:rsidRPr="00BE11F5">
        <w:rPr>
          <w:rFonts w:cs="Times New Roman"/>
          <w:i/>
        </w:rPr>
        <w:t>Riel</w:t>
      </w:r>
      <w:r w:rsidRPr="00BE11F5">
        <w:rPr>
          <w:rFonts w:cs="Times New Roman"/>
        </w:rPr>
        <w:t>,</w:t>
      </w:r>
      <w:r w:rsidRPr="00BE11F5">
        <w:rPr>
          <w:rFonts w:cs="Times New Roman"/>
          <w:i/>
        </w:rPr>
        <w:t xml:space="preserve"> </w:t>
      </w:r>
      <w:r w:rsidRPr="00BE11F5">
        <w:rPr>
          <w:rFonts w:cs="Times New Roman"/>
        </w:rPr>
        <w:t xml:space="preserve">at para. 20. </w:t>
      </w:r>
      <w:r w:rsidRPr="00BE11F5">
        <w:rPr>
          <w:rFonts w:cs="Times New Roman"/>
          <w:lang w:val="en-GB"/>
        </w:rPr>
        <w:t xml:space="preserve">And as stated above, courts should be mindful </w:t>
      </w:r>
      <w:r w:rsidRPr="00BE11F5">
        <w:rPr>
          <w:rFonts w:cs="Times New Roman"/>
        </w:rPr>
        <w:t xml:space="preserve">of not permitting parties to use the </w:t>
      </w:r>
      <w:r w:rsidRPr="00BE11F5">
        <w:rPr>
          <w:rFonts w:cs="Times New Roman"/>
          <w:i/>
        </w:rPr>
        <w:t xml:space="preserve">Palmer </w:t>
      </w:r>
      <w:r w:rsidRPr="00BE11F5">
        <w:rPr>
          <w:rFonts w:cs="Times New Roman"/>
        </w:rPr>
        <w:t>framework to circumvent and undermine parliamentary schemes that provide specific procedures for review or variation upon shifts in the factual landscape.</w:t>
      </w:r>
    </w:p>
    <w:p w14:paraId="6194FB78" w14:textId="77777777" w:rsidR="00567205" w:rsidRPr="00BE11F5" w:rsidRDefault="00567205" w:rsidP="00567205">
      <w:pPr>
        <w:pStyle w:val="ParaNoNdepar-AltN"/>
        <w:tabs>
          <w:tab w:val="clear" w:pos="1152"/>
          <w:tab w:val="left" w:pos="1170"/>
          <w:tab w:val="num" w:pos="1332"/>
        </w:tabs>
        <w:ind w:left="-90"/>
        <w:rPr>
          <w:rFonts w:cs="Times New Roman"/>
        </w:rPr>
      </w:pPr>
      <w:r w:rsidRPr="00BE11F5">
        <w:rPr>
          <w:rFonts w:cs="Times New Roman"/>
        </w:rPr>
        <w:lastRenderedPageBreak/>
        <w:t>There are no circumstances here that render the admission of this evidence necessary in the interests of justice.</w:t>
      </w:r>
      <w:r w:rsidRPr="00BE11F5">
        <w:rPr>
          <w:rFonts w:cs="Times New Roman"/>
          <w:lang w:val="en-GB"/>
        </w:rPr>
        <w:t xml:space="preserve"> The Court of Appeal erred in admitting the additional evidence on appeal.</w:t>
      </w:r>
    </w:p>
    <w:p w14:paraId="2B800F26" w14:textId="77777777" w:rsidR="00567205" w:rsidRPr="00BE11F5" w:rsidRDefault="00567205" w:rsidP="00567205">
      <w:pPr>
        <w:pStyle w:val="Title2LevelTitre2Niveau"/>
        <w:numPr>
          <w:ilvl w:val="1"/>
          <w:numId w:val="8"/>
        </w:numPr>
        <w:tabs>
          <w:tab w:val="left" w:pos="1170"/>
        </w:tabs>
        <w:jc w:val="both"/>
        <w:rPr>
          <w:rFonts w:cs="Times New Roman"/>
        </w:rPr>
      </w:pPr>
      <w:r w:rsidRPr="00BE11F5">
        <w:rPr>
          <w:rFonts w:cs="Times New Roman"/>
        </w:rPr>
        <w:t>The Framework Governing Relocation Cases</w:t>
      </w:r>
    </w:p>
    <w:p w14:paraId="6AD1F580" w14:textId="77777777" w:rsidR="00567205" w:rsidRPr="00BE11F5" w:rsidRDefault="00567205" w:rsidP="00567205">
      <w:pPr>
        <w:pStyle w:val="ParaNoNdepar-AltN"/>
        <w:tabs>
          <w:tab w:val="clear" w:pos="1152"/>
          <w:tab w:val="left" w:pos="1170"/>
          <w:tab w:val="num" w:pos="1332"/>
        </w:tabs>
        <w:ind w:left="-90"/>
        <w:rPr>
          <w:rFonts w:cs="Times New Roman"/>
        </w:rPr>
      </w:pPr>
      <w:r w:rsidRPr="00BE11F5">
        <w:rPr>
          <w:rFonts w:cs="Times New Roman"/>
        </w:rPr>
        <w:t>I turn now to the second question in this appeal: whether the trial judge erred in his analysis of the mother’s application to relocate to Telkwa with the children.</w:t>
      </w:r>
    </w:p>
    <w:p w14:paraId="13C42165" w14:textId="77777777" w:rsidR="00567205" w:rsidRPr="00BE11F5" w:rsidRDefault="00567205" w:rsidP="00567205">
      <w:pPr>
        <w:pStyle w:val="ParaNoNdepar-AltN"/>
        <w:tabs>
          <w:tab w:val="clear" w:pos="1152"/>
          <w:tab w:val="left" w:pos="1170"/>
        </w:tabs>
        <w:rPr>
          <w:rFonts w:cs="Times New Roman"/>
        </w:rPr>
      </w:pPr>
      <w:r w:rsidRPr="00BE11F5">
        <w:rPr>
          <w:rFonts w:cs="Times New Roman"/>
          <w:szCs w:val="24"/>
        </w:rPr>
        <w:t>The father argues</w:t>
      </w:r>
      <w:r w:rsidRPr="00BE11F5">
        <w:rPr>
          <w:rFonts w:cs="Times New Roman"/>
        </w:rPr>
        <w:t xml:space="preserve"> that the trial judge erred in his application of the common law framework that governs relocation applications, and that this framework should be updated. He raises concerns regarding the trial judge’s application of </w:t>
      </w:r>
      <w:r w:rsidRPr="00BE11F5">
        <w:rPr>
          <w:rFonts w:cs="Times New Roman"/>
          <w:i/>
        </w:rPr>
        <w:t xml:space="preserve">Gordon </w:t>
      </w:r>
      <w:r w:rsidRPr="00BE11F5">
        <w:rPr>
          <w:rFonts w:cs="Times New Roman"/>
        </w:rPr>
        <w:t>to the parties’ shared parenting arrangement; his treatment of the “maximum contact principle”; the weight he afforded to the mother’s reasons for moving; his neglect of the mother’s testimony that she would stay in Kelowna and co-parent if her application failed; and the impact of family violence and discord between the parties on his analysis: R.F., at paras. 24-29, 33-37, 67 and 84-88.</w:t>
      </w:r>
    </w:p>
    <w:p w14:paraId="6641D6C3" w14:textId="77777777" w:rsidR="00567205" w:rsidRPr="00BE11F5" w:rsidRDefault="00567205" w:rsidP="00567205">
      <w:pPr>
        <w:pStyle w:val="ParaNoNdepar-AltN"/>
        <w:tabs>
          <w:tab w:val="clear" w:pos="1152"/>
          <w:tab w:val="left" w:pos="1170"/>
        </w:tabs>
        <w:rPr>
          <w:rFonts w:cs="Times New Roman"/>
        </w:rPr>
      </w:pPr>
      <w:r w:rsidRPr="00BE11F5">
        <w:rPr>
          <w:rFonts w:cs="Times New Roman"/>
        </w:rPr>
        <w:t xml:space="preserve">These submissions all bring into focus how case law across the country has refined and supplemented the </w:t>
      </w:r>
      <w:r w:rsidRPr="00BE11F5">
        <w:rPr>
          <w:rFonts w:cs="Times New Roman"/>
          <w:i/>
        </w:rPr>
        <w:t xml:space="preserve">Gordon </w:t>
      </w:r>
      <w:r w:rsidRPr="00BE11F5">
        <w:rPr>
          <w:rFonts w:cs="Times New Roman"/>
        </w:rPr>
        <w:t xml:space="preserve">framework for over 25 years. Indeed, the </w:t>
      </w:r>
      <w:r w:rsidRPr="00BE11F5">
        <w:rPr>
          <w:rFonts w:cs="Times New Roman"/>
          <w:i/>
        </w:rPr>
        <w:t>Gordon</w:t>
      </w:r>
      <w:r w:rsidRPr="00BE11F5">
        <w:rPr>
          <w:rFonts w:cs="Times New Roman"/>
        </w:rPr>
        <w:t xml:space="preserve"> framework is flexible by design; it is not an unyielding set of rules. And with decades of </w:t>
      </w:r>
      <w:r w:rsidRPr="00BE11F5">
        <w:rPr>
          <w:rFonts w:cs="Times New Roman"/>
          <w:i/>
        </w:rPr>
        <w:t>Gordon</w:t>
      </w:r>
      <w:r w:rsidRPr="00BE11F5">
        <w:rPr>
          <w:rFonts w:cs="Times New Roman"/>
        </w:rPr>
        <w:t xml:space="preserve"> jurisprudence as a guide, the federal government and many provinces have now enacted statutory relocation regimes that largely reflect the judicial experience evinced in the case law. As I will explain, this jurisprudential and legislative lineage </w:t>
      </w:r>
      <w:r w:rsidRPr="00BE11F5">
        <w:rPr>
          <w:rFonts w:cs="Times New Roman"/>
        </w:rPr>
        <w:lastRenderedPageBreak/>
        <w:t>provides a clear framework for all family arrangements going forward. The trial judge’s assessment of the best interests of the child is consistent with this refined framework. It was free from material error and entitled to deference on appeal.</w:t>
      </w:r>
    </w:p>
    <w:p w14:paraId="06D8E417" w14:textId="77777777" w:rsidR="00567205" w:rsidRPr="00BE11F5" w:rsidRDefault="00567205" w:rsidP="00567205">
      <w:pPr>
        <w:pStyle w:val="ParaNoNdepar-AltN"/>
        <w:tabs>
          <w:tab w:val="clear" w:pos="1152"/>
          <w:tab w:val="left" w:pos="1170"/>
        </w:tabs>
        <w:rPr>
          <w:rFonts w:cs="Times New Roman"/>
        </w:rPr>
      </w:pPr>
      <w:r w:rsidRPr="00BE11F5">
        <w:rPr>
          <w:rFonts w:cs="Times New Roman"/>
        </w:rPr>
        <w:t xml:space="preserve">My reasons proceed as follows. First, I touch on the best interests of the child and the unique nature of mobility cases. Second, I underline the importance of deference in cases involving parenting issues. Third, I set out the refined </w:t>
      </w:r>
      <w:r w:rsidRPr="00BE11F5">
        <w:rPr>
          <w:rFonts w:cs="Times New Roman"/>
          <w:i/>
        </w:rPr>
        <w:t>Gordon</w:t>
      </w:r>
      <w:r w:rsidRPr="00BE11F5">
        <w:rPr>
          <w:rFonts w:cs="Times New Roman"/>
        </w:rPr>
        <w:t xml:space="preserve"> framework in light of jurisprudential and legislative refinements that have occurred over the past two decades. Finally, I turn to the specific issues raised in this case: whether the trial judge erred in his application of the </w:t>
      </w:r>
      <w:r w:rsidRPr="00BE11F5">
        <w:rPr>
          <w:rFonts w:cs="Times New Roman"/>
          <w:i/>
        </w:rPr>
        <w:t>Gordon</w:t>
      </w:r>
      <w:r w:rsidRPr="00BE11F5">
        <w:rPr>
          <w:rFonts w:cs="Times New Roman"/>
        </w:rPr>
        <w:t xml:space="preserve"> framework.</w:t>
      </w:r>
    </w:p>
    <w:p w14:paraId="49B2F363" w14:textId="77777777" w:rsidR="00567205" w:rsidRPr="00BE11F5" w:rsidRDefault="00567205" w:rsidP="00567205">
      <w:pPr>
        <w:pStyle w:val="Title3LevelTitre3Niveau"/>
        <w:tabs>
          <w:tab w:val="clear" w:pos="1152"/>
          <w:tab w:val="left" w:pos="1170"/>
        </w:tabs>
        <w:jc w:val="both"/>
        <w:rPr>
          <w:rFonts w:cs="Times New Roman"/>
        </w:rPr>
      </w:pPr>
      <w:r w:rsidRPr="00BE11F5">
        <w:rPr>
          <w:rFonts w:cs="Times New Roman"/>
        </w:rPr>
        <w:t>The Best Interests of the Child</w:t>
      </w:r>
    </w:p>
    <w:p w14:paraId="712FFD2C"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The best interests of the child are an important legal principle in our justice system: </w:t>
      </w:r>
      <w:r w:rsidRPr="00BE11F5">
        <w:rPr>
          <w:rFonts w:cs="Times New Roman"/>
          <w:i/>
        </w:rPr>
        <w:t>Canadian Foundation for Children, Youth and the Law v. Canada (Attorney General)</w:t>
      </w:r>
      <w:r w:rsidRPr="00BE11F5">
        <w:rPr>
          <w:rFonts w:cs="Times New Roman"/>
        </w:rPr>
        <w:t xml:space="preserve">, 2004 SCC 4, [2004] 1 S.C.R. 76, at para. 9. It is a staple in domestic statutes, international law, and the common law: see, for example, </w:t>
      </w:r>
      <w:r w:rsidRPr="00BE11F5">
        <w:rPr>
          <w:rFonts w:cs="Times New Roman"/>
          <w:i/>
        </w:rPr>
        <w:t>Divorce Act</w:t>
      </w:r>
      <w:r w:rsidRPr="00BE11F5">
        <w:rPr>
          <w:rFonts w:cs="Times New Roman"/>
        </w:rPr>
        <w:t xml:space="preserve">, s. 16; </w:t>
      </w:r>
      <w:r w:rsidRPr="00BE11F5">
        <w:rPr>
          <w:rFonts w:cs="Times New Roman"/>
          <w:i/>
        </w:rPr>
        <w:t>Convention on the Rights of the Child</w:t>
      </w:r>
      <w:r w:rsidRPr="00BE11F5">
        <w:rPr>
          <w:rFonts w:cs="Times New Roman"/>
        </w:rPr>
        <w:t xml:space="preserve">, Can. T.S. 1992 No. 3, art. 3(1); </w:t>
      </w:r>
      <w:r w:rsidRPr="00BE11F5">
        <w:rPr>
          <w:rFonts w:cs="Times New Roman"/>
          <w:i/>
        </w:rPr>
        <w:t>Gordon</w:t>
      </w:r>
      <w:r w:rsidRPr="00BE11F5">
        <w:rPr>
          <w:rFonts w:cs="Times New Roman"/>
        </w:rPr>
        <w:t xml:space="preserve">; </w:t>
      </w:r>
      <w:r w:rsidRPr="00BE11F5">
        <w:rPr>
          <w:rFonts w:cs="Times New Roman"/>
          <w:i/>
        </w:rPr>
        <w:t>Baker v. Canada</w:t>
      </w:r>
      <w:r w:rsidRPr="00BE11F5">
        <w:rPr>
          <w:rFonts w:cs="Times New Roman"/>
        </w:rPr>
        <w:t xml:space="preserve"> </w:t>
      </w:r>
      <w:r w:rsidRPr="00BE11F5">
        <w:rPr>
          <w:rFonts w:cs="Times New Roman"/>
          <w:i/>
        </w:rPr>
        <w:t>(Minister of Citizenship and Immigration)</w:t>
      </w:r>
      <w:r w:rsidRPr="00BE11F5">
        <w:rPr>
          <w:rFonts w:cs="Times New Roman"/>
        </w:rPr>
        <w:t xml:space="preserve">, [1999] 2 S.C.R. 817; </w:t>
      </w:r>
      <w:r w:rsidRPr="00BE11F5">
        <w:rPr>
          <w:rFonts w:cs="Times New Roman"/>
          <w:i/>
        </w:rPr>
        <w:t>A.C. v. Manitoba (Director of Child and Family Services)</w:t>
      </w:r>
      <w:r w:rsidRPr="00BE11F5">
        <w:rPr>
          <w:rFonts w:cs="Times New Roman"/>
        </w:rPr>
        <w:t xml:space="preserve">, </w:t>
      </w:r>
      <w:r w:rsidRPr="00BE11F5">
        <w:rPr>
          <w:rFonts w:cs="Times New Roman"/>
          <w:lang w:bidi="en-US"/>
        </w:rPr>
        <w:t xml:space="preserve">2009 SCC 30, </w:t>
      </w:r>
      <w:r w:rsidRPr="00BE11F5">
        <w:rPr>
          <w:rFonts w:cs="Times New Roman"/>
        </w:rPr>
        <w:t xml:space="preserve">[2009] 2 S.C.R. 181; </w:t>
      </w:r>
      <w:r w:rsidRPr="00BE11F5">
        <w:rPr>
          <w:rFonts w:cs="Times New Roman"/>
          <w:i/>
        </w:rPr>
        <w:t>Kanthasamy v. Canada (Citizenship and Immigration)</w:t>
      </w:r>
      <w:r w:rsidRPr="00BE11F5">
        <w:rPr>
          <w:rFonts w:cs="Times New Roman"/>
        </w:rPr>
        <w:t>, 2015 SCC 61</w:t>
      </w:r>
      <w:r w:rsidRPr="00BE11F5">
        <w:rPr>
          <w:rFonts w:cs="Times New Roman"/>
          <w:lang w:bidi="en-US"/>
        </w:rPr>
        <w:t>, [2015] 3 S.C.R. 909</w:t>
      </w:r>
      <w:r w:rsidRPr="00BE11F5">
        <w:rPr>
          <w:rFonts w:cs="Times New Roman"/>
        </w:rPr>
        <w:t>.</w:t>
      </w:r>
    </w:p>
    <w:p w14:paraId="59106384"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lastRenderedPageBreak/>
        <w:t xml:space="preserve">But, even with a wealth of jurisprudence as guidance, determining what is “best” for a child is never an easy task. The inquiry is “highly contextual” because of the “multitude of factors that may impinge on the child’s best interest”: </w:t>
      </w:r>
      <w:r w:rsidRPr="00BE11F5">
        <w:rPr>
          <w:rFonts w:cs="Times New Roman"/>
          <w:i/>
        </w:rPr>
        <w:t>Canadian Foundation for Children, Youth and the Law</w:t>
      </w:r>
      <w:r w:rsidRPr="00BE11F5">
        <w:rPr>
          <w:rFonts w:cs="Times New Roman"/>
        </w:rPr>
        <w:t xml:space="preserve">, at para. 11; </w:t>
      </w:r>
      <w:r w:rsidRPr="00BE11F5">
        <w:rPr>
          <w:rFonts w:cs="Times New Roman"/>
          <w:i/>
        </w:rPr>
        <w:t>Gordon</w:t>
      </w:r>
      <w:r w:rsidRPr="00BE11F5">
        <w:rPr>
          <w:rFonts w:cs="Times New Roman"/>
        </w:rPr>
        <w:t>, at para. 20.</w:t>
      </w:r>
    </w:p>
    <w:p w14:paraId="64C69365"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The difficulties inherent to the best interests principle are amplified in the relocation context. Untangling family relationships may have profound consequences, especially when children are involved. A child’s welfare remains at the heart of the relocation inquiry, but many traditional considerations do not readily apply in the same way.</w:t>
      </w:r>
    </w:p>
    <w:p w14:paraId="31117EBB" w14:textId="77777777" w:rsidR="00567205" w:rsidRPr="00BE11F5" w:rsidRDefault="00567205" w:rsidP="00567205">
      <w:pPr>
        <w:pStyle w:val="ParaNoNdepar-AltN"/>
        <w:tabs>
          <w:tab w:val="clear" w:pos="1152"/>
          <w:tab w:val="left" w:pos="1170"/>
        </w:tabs>
        <w:rPr>
          <w:rFonts w:cs="Times New Roman"/>
        </w:rPr>
      </w:pPr>
      <w:r w:rsidRPr="00BE11F5">
        <w:rPr>
          <w:rFonts w:cs="Times New Roman"/>
        </w:rPr>
        <w:t xml:space="preserve">In </w:t>
      </w:r>
      <w:r w:rsidRPr="00BE11F5">
        <w:rPr>
          <w:rFonts w:cs="Times New Roman"/>
          <w:i/>
        </w:rPr>
        <w:t>Gordon</w:t>
      </w:r>
      <w:r w:rsidRPr="00BE11F5">
        <w:rPr>
          <w:rFonts w:cs="Times New Roman"/>
        </w:rPr>
        <w:t>,</w:t>
      </w:r>
      <w:r w:rsidRPr="00BE11F5">
        <w:rPr>
          <w:rFonts w:cs="Times New Roman"/>
          <w:i/>
        </w:rPr>
        <w:t xml:space="preserve"> </w:t>
      </w:r>
      <w:r w:rsidRPr="00BE11F5">
        <w:rPr>
          <w:rFonts w:cs="Times New Roman"/>
        </w:rPr>
        <w:t xml:space="preserve">this Court set out a framework for deciding whether relocation is in the best interests of the child. Under this framework, a judge has the onerous task of determining a child’s best interests in the tangle of competing benefits and detriments posed by either outcome: </w:t>
      </w:r>
      <w:r w:rsidRPr="00BE11F5">
        <w:rPr>
          <w:rFonts w:cs="Times New Roman"/>
          <w:i/>
        </w:rPr>
        <w:t>Hejzlar v. Mitchell-Hejzlar</w:t>
      </w:r>
      <w:r w:rsidRPr="00BE11F5">
        <w:rPr>
          <w:rFonts w:cs="Times New Roman"/>
        </w:rPr>
        <w:t xml:space="preserve">, 2011 BCCA 230, </w:t>
      </w:r>
      <w:r w:rsidRPr="00BE11F5">
        <w:rPr>
          <w:rFonts w:cs="Times New Roman"/>
          <w:lang w:bidi="en-US"/>
        </w:rPr>
        <w:t xml:space="preserve">334 D.L.R. (4th) 49, </w:t>
      </w:r>
      <w:r w:rsidRPr="00BE11F5">
        <w:rPr>
          <w:rFonts w:cs="Times New Roman"/>
        </w:rPr>
        <w:t xml:space="preserve">at para. 23. And as Abella J.A. (as she then was) once observed, “[i]t can be no more than an informed opinion made at a moment in the life of a child about what seems likely to prove to be in that child’s best interests”: </w:t>
      </w:r>
      <w:r w:rsidRPr="00BE11F5">
        <w:rPr>
          <w:rFonts w:cs="Times New Roman"/>
          <w:i/>
        </w:rPr>
        <w:t>MacGyver v. Richards</w:t>
      </w:r>
      <w:r w:rsidRPr="00BE11F5">
        <w:rPr>
          <w:rFonts w:cs="Times New Roman"/>
        </w:rPr>
        <w:t xml:space="preserve"> (1995), </w:t>
      </w:r>
      <w:r w:rsidRPr="00BE11F5">
        <w:rPr>
          <w:rFonts w:cs="Times New Roman"/>
          <w:lang w:bidi="en-US"/>
        </w:rPr>
        <w:t xml:space="preserve">22 O.R. (3d) 481 </w:t>
      </w:r>
      <w:r w:rsidRPr="00BE11F5">
        <w:rPr>
          <w:rFonts w:cs="Times New Roman"/>
        </w:rPr>
        <w:t>(C.A.), at p. 489.</w:t>
      </w:r>
    </w:p>
    <w:p w14:paraId="07379B23" w14:textId="77777777" w:rsidR="00567205" w:rsidRPr="00BE11F5" w:rsidRDefault="00567205" w:rsidP="00567205">
      <w:pPr>
        <w:pStyle w:val="Title3LevelTitre3Niveau"/>
        <w:numPr>
          <w:ilvl w:val="2"/>
          <w:numId w:val="8"/>
        </w:numPr>
        <w:tabs>
          <w:tab w:val="clear" w:pos="1152"/>
          <w:tab w:val="left" w:pos="1170"/>
        </w:tabs>
        <w:jc w:val="both"/>
        <w:rPr>
          <w:rFonts w:cs="Times New Roman"/>
        </w:rPr>
      </w:pPr>
      <w:r w:rsidRPr="00BE11F5">
        <w:rPr>
          <w:rFonts w:cs="Times New Roman"/>
        </w:rPr>
        <w:t>The Importance of Deference in Parenting Cases Affecting the Best Interests of the Child</w:t>
      </w:r>
    </w:p>
    <w:p w14:paraId="7B4740F6"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lastRenderedPageBreak/>
        <w:t xml:space="preserve">The scope of appellate review in family law cases is narrow: </w:t>
      </w:r>
      <w:r w:rsidRPr="00BE11F5">
        <w:rPr>
          <w:rFonts w:cs="Times New Roman"/>
          <w:i/>
        </w:rPr>
        <w:t>Van de Perre</w:t>
      </w:r>
      <w:r w:rsidRPr="00BE11F5">
        <w:rPr>
          <w:rFonts w:cs="Times New Roman"/>
        </w:rPr>
        <w:t xml:space="preserve">, at para. 11. </w:t>
      </w:r>
      <w:r w:rsidRPr="00BE11F5" w:rsidDel="004E554C">
        <w:rPr>
          <w:rFonts w:cs="Times New Roman"/>
        </w:rPr>
        <w:t xml:space="preserve">Determining a child’s best interests is always a fact-specific and highly </w:t>
      </w:r>
      <w:r w:rsidRPr="00BE11F5">
        <w:rPr>
          <w:rFonts w:cs="Times New Roman"/>
        </w:rPr>
        <w:t>discretionary</w:t>
      </w:r>
      <w:r w:rsidRPr="00BE11F5" w:rsidDel="004E554C">
        <w:rPr>
          <w:rFonts w:cs="Times New Roman"/>
        </w:rPr>
        <w:t xml:space="preserve"> determination</w:t>
      </w:r>
      <w:r w:rsidRPr="00BE11F5">
        <w:rPr>
          <w:rFonts w:cs="Times New Roman"/>
        </w:rPr>
        <w:t xml:space="preserve">: </w:t>
      </w:r>
      <w:r w:rsidRPr="00BE11F5">
        <w:rPr>
          <w:rFonts w:cs="Times New Roman"/>
          <w:i/>
        </w:rPr>
        <w:t>Van de Perre</w:t>
      </w:r>
      <w:r w:rsidRPr="00BE11F5">
        <w:rPr>
          <w:rFonts w:cs="Times New Roman"/>
        </w:rPr>
        <w:t>, at para. 9</w:t>
      </w:r>
      <w:r w:rsidRPr="00BE11F5" w:rsidDel="004E554C">
        <w:rPr>
          <w:rFonts w:cs="Times New Roman"/>
        </w:rPr>
        <w:t xml:space="preserve">. </w:t>
      </w:r>
      <w:r w:rsidRPr="00BE11F5">
        <w:rPr>
          <w:rFonts w:cs="Times New Roman"/>
        </w:rPr>
        <w:t xml:space="preserve">And as Gonthier J. observed, “Courts of Appeal should be highly reluctant to interfere with the exercise of a trial judge’s discretion”: </w:t>
      </w:r>
      <w:r w:rsidRPr="00BE11F5">
        <w:rPr>
          <w:rFonts w:cs="Times New Roman"/>
          <w:i/>
        </w:rPr>
        <w:t>Elsom v. Elsom</w:t>
      </w:r>
      <w:r w:rsidRPr="00BE11F5">
        <w:rPr>
          <w:rFonts w:cs="Times New Roman"/>
        </w:rPr>
        <w:t>, [1989] 1 S.C.R. 1367, at p. 1374.</w:t>
      </w:r>
    </w:p>
    <w:p w14:paraId="779426DC"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The trial judge is the fact finder and has the benefit of the intangible impact of conducting the trial: </w:t>
      </w:r>
      <w:r w:rsidRPr="00BE11F5">
        <w:rPr>
          <w:rFonts w:cs="Times New Roman"/>
          <w:i/>
        </w:rPr>
        <w:t>R. v. G.F.</w:t>
      </w:r>
      <w:r w:rsidRPr="00BE11F5">
        <w:rPr>
          <w:rFonts w:cs="Times New Roman"/>
        </w:rPr>
        <w:t>, 2021 SCC 20, at para. 81. After hearing from the parties directly, weighing the evidence, and making factual determinations, the trial court is best positioned to determine the best parenting arrangement.</w:t>
      </w:r>
    </w:p>
    <w:p w14:paraId="09A3ABC1"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An appellate court’s role, as noted, is instead generally one of error correction; it is not to retry a case. Permitting appellate courts to become venues for dissatisfied parties to relitigate issues already resolved at trial erodes the public’s confidence in the judicial process and the rule of law. The proper functioning of our judicial system requires each level of court to remain moored to its respective role in the administration of justice.</w:t>
      </w:r>
    </w:p>
    <w:p w14:paraId="6700B8E4"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Therefore, an appellate court may only intervene where there is a material error, a serious misapprehension of the evidence, or an error in law: </w:t>
      </w:r>
      <w:r w:rsidRPr="00BE11F5">
        <w:rPr>
          <w:rFonts w:cs="Times New Roman"/>
          <w:i/>
        </w:rPr>
        <w:t xml:space="preserve">Hickey </w:t>
      </w:r>
      <w:r w:rsidRPr="00BE11F5">
        <w:rPr>
          <w:rFonts w:cs="Times New Roman"/>
          <w:i/>
          <w:lang w:bidi="en-US"/>
        </w:rPr>
        <w:t>v. Hickey</w:t>
      </w:r>
      <w:r w:rsidRPr="00BE11F5">
        <w:rPr>
          <w:rFonts w:cs="Times New Roman"/>
        </w:rPr>
        <w:t xml:space="preserve">, </w:t>
      </w:r>
      <w:r w:rsidRPr="00BE11F5">
        <w:rPr>
          <w:rFonts w:cs="Times New Roman"/>
          <w:lang w:bidi="en-US"/>
        </w:rPr>
        <w:t xml:space="preserve">[1999] 2 S.C.R. 518, </w:t>
      </w:r>
      <w:r w:rsidRPr="00BE11F5">
        <w:rPr>
          <w:rFonts w:cs="Times New Roman"/>
        </w:rPr>
        <w:t xml:space="preserve">at para. 12; </w:t>
      </w:r>
      <w:r w:rsidRPr="00BE11F5">
        <w:rPr>
          <w:rFonts w:cs="Times New Roman"/>
          <w:i/>
        </w:rPr>
        <w:t>Van de Perre</w:t>
      </w:r>
      <w:r w:rsidRPr="00BE11F5">
        <w:rPr>
          <w:rFonts w:cs="Times New Roman"/>
        </w:rPr>
        <w:t>, at para. 11.</w:t>
      </w:r>
    </w:p>
    <w:p w14:paraId="21C2025C"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Absent an error of law or a palpable and overriding error of fact, deference is vital: </w:t>
      </w:r>
      <w:r w:rsidRPr="00BE11F5">
        <w:rPr>
          <w:rFonts w:cs="Times New Roman"/>
          <w:i/>
        </w:rPr>
        <w:t>Housen</w:t>
      </w:r>
      <w:r w:rsidRPr="00BE11F5">
        <w:rPr>
          <w:rFonts w:cs="Times New Roman"/>
        </w:rPr>
        <w:t xml:space="preserve">, at paras. 8, 10, 36 and 39. Appellate courts must review a trial judge’s </w:t>
      </w:r>
      <w:r w:rsidRPr="00BE11F5">
        <w:rPr>
          <w:rFonts w:cs="Times New Roman"/>
        </w:rPr>
        <w:lastRenderedPageBreak/>
        <w:t xml:space="preserve">reasons generously and as a whole, bearing in mind the presumption that trial judges know the law: </w:t>
      </w:r>
      <w:r w:rsidRPr="00BE11F5">
        <w:rPr>
          <w:rFonts w:cs="Times New Roman"/>
          <w:i/>
        </w:rPr>
        <w:t>G.F.</w:t>
      </w:r>
      <w:r w:rsidRPr="00BE11F5">
        <w:rPr>
          <w:rFonts w:cs="Times New Roman"/>
        </w:rPr>
        <w:t xml:space="preserve">, at para. 79. As I have explained, an appeal is not a litigant’s opportunity for a “second kick at the can”, especially in parenting cases where finality is of paramount importance: </w:t>
      </w:r>
      <w:r w:rsidRPr="00BE11F5">
        <w:rPr>
          <w:rFonts w:cs="Times New Roman"/>
          <w:i/>
        </w:rPr>
        <w:t>Van de Perre</w:t>
      </w:r>
      <w:r w:rsidRPr="00BE11F5">
        <w:rPr>
          <w:rFonts w:cs="Times New Roman"/>
        </w:rPr>
        <w:t>, at para. 13.</w:t>
      </w:r>
    </w:p>
    <w:p w14:paraId="2AE13CBE" w14:textId="77777777" w:rsidR="00567205" w:rsidRPr="00BE11F5" w:rsidRDefault="00567205" w:rsidP="00567205">
      <w:pPr>
        <w:pStyle w:val="Title3LevelTitre3Niveau"/>
        <w:tabs>
          <w:tab w:val="clear" w:pos="1152"/>
          <w:tab w:val="left" w:pos="1170"/>
        </w:tabs>
        <w:jc w:val="both"/>
        <w:rPr>
          <w:rFonts w:cs="Times New Roman"/>
        </w:rPr>
      </w:pPr>
      <w:r w:rsidRPr="00BE11F5">
        <w:rPr>
          <w:rFonts w:cs="Times New Roman"/>
        </w:rPr>
        <w:t>The Legal Principles Governing Relocation Applications</w:t>
      </w:r>
    </w:p>
    <w:p w14:paraId="1DE41D24"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For over 25 years, </w:t>
      </w:r>
      <w:r w:rsidRPr="00BE11F5">
        <w:rPr>
          <w:rFonts w:cs="Times New Roman"/>
          <w:i/>
        </w:rPr>
        <w:t>Gordon</w:t>
      </w:r>
      <w:r w:rsidRPr="00BE11F5">
        <w:rPr>
          <w:rFonts w:cs="Times New Roman"/>
        </w:rPr>
        <w:t xml:space="preserve"> has been the governing authority for mobility applications. McLachlin J. (as she then was) set out a two</w:t>
      </w:r>
      <w:r w:rsidRPr="00BE11F5">
        <w:rPr>
          <w:rFonts w:cs="Times New Roman"/>
        </w:rPr>
        <w:noBreakHyphen/>
        <w:t xml:space="preserve">stage inquiry for determining whether to vary a parenting order under the </w:t>
      </w:r>
      <w:r w:rsidRPr="00BE11F5">
        <w:rPr>
          <w:rFonts w:cs="Times New Roman"/>
          <w:i/>
        </w:rPr>
        <w:t>Divorce Act</w:t>
      </w:r>
      <w:r w:rsidRPr="00BE11F5">
        <w:rPr>
          <w:rFonts w:cs="Times New Roman"/>
        </w:rPr>
        <w:t xml:space="preserve"> and permit a custodial parent to relocate with the child: first, the party seeking a variation must show a material change in the child’s circumstances; second, the judge must determine what order reflects the child’s best interests in the new circumstances. </w:t>
      </w:r>
      <w:r w:rsidRPr="00BE11F5">
        <w:rPr>
          <w:rFonts w:cs="Times New Roman"/>
          <w:i/>
        </w:rPr>
        <w:t>Gordon</w:t>
      </w:r>
      <w:r w:rsidRPr="00BE11F5">
        <w:rPr>
          <w:rFonts w:cs="Times New Roman"/>
        </w:rPr>
        <w:t xml:space="preserve"> then provided factors to be considered in relocation cases.</w:t>
      </w:r>
    </w:p>
    <w:p w14:paraId="533EB8EE" w14:textId="77777777" w:rsidR="00567205" w:rsidRPr="00BE11F5" w:rsidRDefault="00567205" w:rsidP="00567205">
      <w:pPr>
        <w:pStyle w:val="ParaNoNdepar-AltN"/>
        <w:tabs>
          <w:tab w:val="clear" w:pos="1152"/>
          <w:tab w:val="left" w:pos="1170"/>
        </w:tabs>
        <w:rPr>
          <w:rFonts w:cs="Times New Roman"/>
          <w:lang w:val="fr-CA"/>
        </w:rPr>
      </w:pPr>
      <w:r w:rsidRPr="00BE11F5">
        <w:rPr>
          <w:rFonts w:cs="Times New Roman"/>
        </w:rPr>
        <w:t xml:space="preserve">Although </w:t>
      </w:r>
      <w:r w:rsidRPr="00BE11F5">
        <w:rPr>
          <w:rFonts w:cs="Times New Roman"/>
          <w:i/>
        </w:rPr>
        <w:t>Gordon</w:t>
      </w:r>
      <w:r w:rsidRPr="00BE11F5">
        <w:rPr>
          <w:rFonts w:cs="Times New Roman"/>
        </w:rPr>
        <w:t xml:space="preserve"> concerned a variation order, courts have also applied the framework when determining a parenting arrangement at first instance, with appropriate modifications: see </w:t>
      </w:r>
      <w:r w:rsidRPr="00BE11F5">
        <w:rPr>
          <w:rFonts w:cs="Times New Roman"/>
          <w:i/>
        </w:rPr>
        <w:t>Nunweiler v. Nunweiler</w:t>
      </w:r>
      <w:r w:rsidRPr="00BE11F5">
        <w:rPr>
          <w:rFonts w:cs="Times New Roman"/>
        </w:rPr>
        <w:t xml:space="preserve">, 2000 BCCA 300, </w:t>
      </w:r>
      <w:r w:rsidRPr="00BE11F5">
        <w:rPr>
          <w:rFonts w:cs="Times New Roman"/>
          <w:lang w:bidi="en-US"/>
        </w:rPr>
        <w:t xml:space="preserve">186 D.L.R. (4th) 323, </w:t>
      </w:r>
      <w:r w:rsidRPr="00BE11F5">
        <w:rPr>
          <w:rFonts w:cs="Times New Roman"/>
        </w:rPr>
        <w:t>at paras. 27</w:t>
      </w:r>
      <w:r w:rsidRPr="00BE11F5">
        <w:rPr>
          <w:rFonts w:cs="Times New Roman"/>
        </w:rPr>
        <w:noBreakHyphen/>
        <w:t xml:space="preserve">28; </w:t>
      </w:r>
      <w:r w:rsidRPr="00BE11F5">
        <w:rPr>
          <w:rFonts w:cs="Times New Roman"/>
          <w:i/>
        </w:rPr>
        <w:t>L.</w:t>
      </w:r>
      <w:r w:rsidRPr="00BE11F5">
        <w:rPr>
          <w:rFonts w:cs="Times New Roman"/>
          <w:i/>
          <w:lang w:bidi="en-US"/>
        </w:rPr>
        <w:t>D.D. v. J.A.D.</w:t>
      </w:r>
      <w:r w:rsidRPr="00BE11F5">
        <w:rPr>
          <w:rFonts w:cs="Times New Roman"/>
        </w:rPr>
        <w:t xml:space="preserve">, 2010 NBCA 69, </w:t>
      </w:r>
      <w:r w:rsidRPr="00BE11F5">
        <w:rPr>
          <w:rFonts w:cs="Times New Roman"/>
          <w:lang w:bidi="en-US"/>
        </w:rPr>
        <w:t xml:space="preserve">364 N.B.R. (2d) 200, at </w:t>
      </w:r>
      <w:r w:rsidRPr="00BE11F5">
        <w:rPr>
          <w:rFonts w:cs="Times New Roman"/>
        </w:rPr>
        <w:t xml:space="preserve">paras. 10, 24-25, 27 and 29; </w:t>
      </w:r>
      <w:r w:rsidRPr="00BE11F5">
        <w:rPr>
          <w:rFonts w:cs="Times New Roman"/>
          <w:i/>
        </w:rPr>
        <w:t>Bjornson v. Creighton</w:t>
      </w:r>
      <w:r w:rsidRPr="00BE11F5">
        <w:rPr>
          <w:rFonts w:cs="Times New Roman"/>
        </w:rPr>
        <w:t xml:space="preserve"> (2002), 62 O.R. (3d) 236 (C.A.), at para. 18. As well, courts have applied the framework in cases governed by provincial family law acts, even though </w:t>
      </w:r>
      <w:r w:rsidRPr="00BE11F5">
        <w:rPr>
          <w:rFonts w:cs="Times New Roman"/>
          <w:i/>
        </w:rPr>
        <w:t>Gordon</w:t>
      </w:r>
      <w:r w:rsidRPr="00BE11F5">
        <w:rPr>
          <w:rFonts w:cs="Times New Roman"/>
        </w:rPr>
        <w:t xml:space="preserve"> concerned an application under the </w:t>
      </w:r>
      <w:r w:rsidRPr="00BE11F5">
        <w:rPr>
          <w:rFonts w:cs="Times New Roman"/>
          <w:i/>
        </w:rPr>
        <w:t>Divorce Act</w:t>
      </w:r>
      <w:r w:rsidRPr="00BE11F5">
        <w:rPr>
          <w:rFonts w:cs="Times New Roman"/>
        </w:rPr>
        <w:t xml:space="preserve">: </w:t>
      </w:r>
      <w:r w:rsidRPr="00BE11F5">
        <w:rPr>
          <w:rFonts w:cs="Times New Roman"/>
          <w:i/>
        </w:rPr>
        <w:t>Bjornson</w:t>
      </w:r>
      <w:r w:rsidRPr="00BE11F5">
        <w:rPr>
          <w:rFonts w:cs="Times New Roman"/>
        </w:rPr>
        <w:t>,</w:t>
      </w:r>
      <w:r w:rsidRPr="00BE11F5">
        <w:rPr>
          <w:rFonts w:cs="Times New Roman"/>
          <w:i/>
        </w:rPr>
        <w:t xml:space="preserve"> </w:t>
      </w:r>
      <w:r w:rsidRPr="00BE11F5">
        <w:rPr>
          <w:rFonts w:cs="Times New Roman"/>
        </w:rPr>
        <w:t>at paras. </w:t>
      </w:r>
      <w:r w:rsidRPr="00BE11F5">
        <w:rPr>
          <w:rFonts w:cs="Times New Roman"/>
          <w:lang w:val="fr-CA"/>
        </w:rPr>
        <w:t xml:space="preserve">8 and 17; </w:t>
      </w:r>
      <w:r w:rsidRPr="00BE11F5">
        <w:rPr>
          <w:rFonts w:cs="Times New Roman"/>
          <w:i/>
          <w:lang w:val="fr-CA"/>
        </w:rPr>
        <w:t>G.J. v. C.M.</w:t>
      </w:r>
      <w:r w:rsidRPr="00BE11F5">
        <w:rPr>
          <w:rFonts w:cs="Times New Roman"/>
          <w:lang w:val="fr-CA"/>
        </w:rPr>
        <w:t>,</w:t>
      </w:r>
      <w:r w:rsidRPr="00BE11F5">
        <w:rPr>
          <w:rFonts w:cs="Times New Roman"/>
          <w:i/>
          <w:lang w:val="fr-CA"/>
        </w:rPr>
        <w:t xml:space="preserve"> </w:t>
      </w:r>
      <w:r w:rsidRPr="00BE11F5">
        <w:rPr>
          <w:rFonts w:cs="Times New Roman"/>
          <w:lang w:val="fr-CA"/>
        </w:rPr>
        <w:t xml:space="preserve">2021 YKSC 20, at para. 26 (CanLII); </w:t>
      </w:r>
      <w:r w:rsidRPr="00BE11F5">
        <w:rPr>
          <w:rFonts w:cs="Times New Roman"/>
          <w:i/>
          <w:lang w:val="fr-CA"/>
        </w:rPr>
        <w:t>Droit de la famille</w:t>
      </w:r>
      <w:r w:rsidRPr="00BE11F5">
        <w:rPr>
          <w:rFonts w:cs="Times New Roman"/>
          <w:lang w:val="fr-CA"/>
        </w:rPr>
        <w:t xml:space="preserve"> — </w:t>
      </w:r>
      <w:r w:rsidRPr="00BE11F5">
        <w:rPr>
          <w:rFonts w:cs="Times New Roman"/>
          <w:i/>
          <w:lang w:val="fr-CA"/>
        </w:rPr>
        <w:t>2294</w:t>
      </w:r>
      <w:r w:rsidRPr="00BE11F5">
        <w:rPr>
          <w:rFonts w:cs="Times New Roman"/>
          <w:lang w:val="fr-CA"/>
        </w:rPr>
        <w:t>, 2022 QCCA 125, at paras. 11-12 (CanLII).</w:t>
      </w:r>
    </w:p>
    <w:p w14:paraId="28496DE9"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lastRenderedPageBreak/>
        <w:t xml:space="preserve">At the time </w:t>
      </w:r>
      <w:r w:rsidRPr="00BE11F5">
        <w:rPr>
          <w:rFonts w:cs="Times New Roman"/>
          <w:i/>
        </w:rPr>
        <w:t>Gordon</w:t>
      </w:r>
      <w:r w:rsidRPr="00BE11F5">
        <w:rPr>
          <w:rFonts w:cs="Times New Roman"/>
        </w:rPr>
        <w:t xml:space="preserve"> was rendered, the </w:t>
      </w:r>
      <w:r w:rsidRPr="00BE11F5">
        <w:rPr>
          <w:rFonts w:cs="Times New Roman"/>
          <w:i/>
        </w:rPr>
        <w:t>Divorce Act</w:t>
      </w:r>
      <w:r w:rsidRPr="00BE11F5">
        <w:rPr>
          <w:rFonts w:cs="Times New Roman"/>
        </w:rPr>
        <w:t xml:space="preserve"> and provincial family legislations did not contain any provisions pertaining to relocation. In 2019, Parliament amended the </w:t>
      </w:r>
      <w:r w:rsidRPr="00BE11F5">
        <w:rPr>
          <w:rFonts w:cs="Times New Roman"/>
          <w:i/>
        </w:rPr>
        <w:t>Divorce Act</w:t>
      </w:r>
      <w:r w:rsidRPr="00BE11F5">
        <w:rPr>
          <w:rFonts w:cs="Times New Roman"/>
        </w:rPr>
        <w:t xml:space="preserve"> to provide a statutory regime that governs relocation applications. Several provinces have enacted similar statutory relocation regimes in recent years: see </w:t>
      </w:r>
      <w:r w:rsidRPr="00BE11F5">
        <w:rPr>
          <w:rFonts w:cs="Times New Roman"/>
          <w:i/>
        </w:rPr>
        <w:t>Family Law Act</w:t>
      </w:r>
      <w:r w:rsidRPr="00BE11F5">
        <w:rPr>
          <w:rFonts w:cs="Times New Roman"/>
        </w:rPr>
        <w:t xml:space="preserve">, S.B.C. 2011, c. 25, ss. 65 to 71; </w:t>
      </w:r>
      <w:r w:rsidRPr="00BE11F5">
        <w:rPr>
          <w:rFonts w:cs="Times New Roman"/>
          <w:i/>
        </w:rPr>
        <w:t>The Children’s Law Act, 2020</w:t>
      </w:r>
      <w:r w:rsidRPr="00BE11F5">
        <w:rPr>
          <w:rFonts w:cs="Times New Roman"/>
        </w:rPr>
        <w:t xml:space="preserve">, S.S. 2020, c. 2, ss. 13 to 17; </w:t>
      </w:r>
      <w:r w:rsidRPr="00BE11F5">
        <w:rPr>
          <w:rFonts w:cs="Times New Roman"/>
          <w:i/>
        </w:rPr>
        <w:t>Children’s Law Reform Act</w:t>
      </w:r>
      <w:r w:rsidRPr="00BE11F5">
        <w:rPr>
          <w:rFonts w:cs="Times New Roman"/>
        </w:rPr>
        <w:t xml:space="preserve">, R.S.O. 1990, c. C.12, s. 39.4; </w:t>
      </w:r>
      <w:r w:rsidRPr="00BE11F5">
        <w:rPr>
          <w:rFonts w:cs="Times New Roman"/>
          <w:i/>
        </w:rPr>
        <w:t>Family Law Act</w:t>
      </w:r>
      <w:r w:rsidRPr="00BE11F5">
        <w:rPr>
          <w:rFonts w:cs="Times New Roman"/>
        </w:rPr>
        <w:t xml:space="preserve">, S.N.B. 2020, c. 23, ss. 60 to 66; </w:t>
      </w:r>
      <w:r w:rsidRPr="00BE11F5">
        <w:rPr>
          <w:rFonts w:cs="Times New Roman"/>
          <w:i/>
        </w:rPr>
        <w:t>Parenting and Support Act</w:t>
      </w:r>
      <w:r w:rsidRPr="00BE11F5">
        <w:rPr>
          <w:rFonts w:cs="Times New Roman"/>
        </w:rPr>
        <w:t xml:space="preserve">, R.S.N.S. 1989, c. 160, ss. 18E to 18H; </w:t>
      </w:r>
      <w:r w:rsidRPr="00BE11F5">
        <w:rPr>
          <w:rFonts w:cs="Times New Roman"/>
          <w:i/>
        </w:rPr>
        <w:t>Children’s Law Act</w:t>
      </w:r>
      <w:r w:rsidRPr="00BE11F5">
        <w:rPr>
          <w:rFonts w:cs="Times New Roman"/>
        </w:rPr>
        <w:t>, S.P.E.I. 2020, c. 59, ss. 46 to 52.</w:t>
      </w:r>
    </w:p>
    <w:p w14:paraId="240A4941" w14:textId="77777777" w:rsidR="00567205" w:rsidRPr="00BE11F5" w:rsidRDefault="00567205" w:rsidP="00567205">
      <w:pPr>
        <w:pStyle w:val="ParaNoNdepar-AltN"/>
        <w:tabs>
          <w:tab w:val="clear" w:pos="1152"/>
          <w:tab w:val="left" w:pos="1170"/>
        </w:tabs>
        <w:rPr>
          <w:rFonts w:cs="Times New Roman"/>
        </w:rPr>
      </w:pPr>
      <w:r w:rsidRPr="00BE11F5">
        <w:rPr>
          <w:rFonts w:cs="Times New Roman"/>
        </w:rPr>
        <w:t xml:space="preserve">Subject to some notable exceptions, the </w:t>
      </w:r>
      <w:r w:rsidRPr="00BE11F5">
        <w:rPr>
          <w:rFonts w:cs="Times New Roman"/>
          <w:i/>
        </w:rPr>
        <w:t xml:space="preserve">Divorce Act </w:t>
      </w:r>
      <w:r w:rsidRPr="00BE11F5">
        <w:rPr>
          <w:rFonts w:cs="Times New Roman"/>
        </w:rPr>
        <w:t xml:space="preserve">and these provincial statutes largely codified this Court’s framework in </w:t>
      </w:r>
      <w:r w:rsidRPr="00BE11F5">
        <w:rPr>
          <w:rFonts w:cs="Times New Roman"/>
          <w:i/>
        </w:rPr>
        <w:t>Gordon</w:t>
      </w:r>
      <w:r w:rsidRPr="00BE11F5">
        <w:rPr>
          <w:rFonts w:cs="Times New Roman"/>
        </w:rPr>
        <w:t xml:space="preserve">. As I will explain, where they depart from </w:t>
      </w:r>
      <w:r w:rsidRPr="00BE11F5">
        <w:rPr>
          <w:rFonts w:cs="Times New Roman"/>
          <w:i/>
        </w:rPr>
        <w:t>Gordon</w:t>
      </w:r>
      <w:r w:rsidRPr="00BE11F5">
        <w:rPr>
          <w:rFonts w:cs="Times New Roman"/>
        </w:rPr>
        <w:t>, the changes reflect the collective judicial experience of applying the framework for over 25 years.</w:t>
      </w:r>
    </w:p>
    <w:p w14:paraId="39A912A3"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The </w:t>
      </w:r>
      <w:r w:rsidRPr="00BE11F5">
        <w:rPr>
          <w:rFonts w:cs="Times New Roman"/>
          <w:i/>
        </w:rPr>
        <w:t>Divorce</w:t>
      </w:r>
      <w:r w:rsidRPr="00BE11F5">
        <w:rPr>
          <w:rFonts w:cs="Times New Roman"/>
        </w:rPr>
        <w:t xml:space="preserve"> </w:t>
      </w:r>
      <w:r w:rsidRPr="00BE11F5">
        <w:rPr>
          <w:rFonts w:cs="Times New Roman"/>
          <w:i/>
        </w:rPr>
        <w:t>Act</w:t>
      </w:r>
      <w:r w:rsidRPr="00BE11F5">
        <w:rPr>
          <w:rFonts w:cs="Times New Roman"/>
        </w:rPr>
        <w:t xml:space="preserve"> amendments came into force on March 1, 2021, after the courts below decided this case. Therefore, the mobility application under appeal proceeded under the </w:t>
      </w:r>
      <w:r w:rsidRPr="00BE11F5">
        <w:rPr>
          <w:rFonts w:cs="Times New Roman"/>
          <w:i/>
        </w:rPr>
        <w:t>Gordon</w:t>
      </w:r>
      <w:r w:rsidRPr="00BE11F5">
        <w:rPr>
          <w:rFonts w:cs="Times New Roman"/>
        </w:rPr>
        <w:t xml:space="preserve"> framework. That said, the transitional provision in s. 35.3 of the amended </w:t>
      </w:r>
      <w:r w:rsidRPr="00BE11F5">
        <w:rPr>
          <w:rFonts w:cs="Times New Roman"/>
          <w:i/>
        </w:rPr>
        <w:t xml:space="preserve">Divorce Act </w:t>
      </w:r>
      <w:r w:rsidRPr="00BE11F5">
        <w:rPr>
          <w:rFonts w:cs="Times New Roman"/>
        </w:rPr>
        <w:t>provides:</w:t>
      </w:r>
    </w:p>
    <w:p w14:paraId="263CD0C2" w14:textId="77777777" w:rsidR="00567205" w:rsidRPr="00BE11F5" w:rsidRDefault="00567205" w:rsidP="00567205">
      <w:pPr>
        <w:pStyle w:val="Citation0"/>
        <w:tabs>
          <w:tab w:val="left" w:pos="1170"/>
        </w:tabs>
        <w:ind w:left="1170" w:right="0"/>
        <w:rPr>
          <w:rFonts w:cs="Times New Roman"/>
          <w:sz w:val="24"/>
          <w:szCs w:val="24"/>
          <w:lang w:val="en-US"/>
        </w:rPr>
      </w:pPr>
      <w:r w:rsidRPr="00BE11F5">
        <w:rPr>
          <w:rFonts w:cs="Times New Roman"/>
          <w:b/>
          <w:bCs/>
          <w:sz w:val="24"/>
          <w:szCs w:val="24"/>
        </w:rPr>
        <w:t>35.3</w:t>
      </w:r>
      <w:r w:rsidRPr="00BE11F5">
        <w:rPr>
          <w:rFonts w:cs="Times New Roman"/>
          <w:sz w:val="24"/>
          <w:szCs w:val="24"/>
        </w:rPr>
        <w:t> A proceeding commenced under this Act before the day on which this section comes into force and not finally disposed of before that day shall be dealt with and disposed of in accordance with this Act as it reads as of that day.</w:t>
      </w:r>
    </w:p>
    <w:p w14:paraId="06215847" w14:textId="77777777" w:rsidR="00567205" w:rsidRPr="00BE11F5" w:rsidRDefault="00567205" w:rsidP="00567205">
      <w:pPr>
        <w:pStyle w:val="ParaNoNdepar-AltN"/>
        <w:tabs>
          <w:tab w:val="clear" w:pos="1152"/>
          <w:tab w:val="left" w:pos="1170"/>
        </w:tabs>
        <w:rPr>
          <w:rFonts w:cs="Times New Roman"/>
        </w:rPr>
      </w:pPr>
      <w:r w:rsidRPr="00BE11F5">
        <w:rPr>
          <w:rFonts w:cs="Times New Roman"/>
        </w:rPr>
        <w:lastRenderedPageBreak/>
        <w:t>This Court did not receive any submissions on the application of s. 35.3. As I will explain, however, the outcome would be the same regardless of whether this case were decided under the amended</w:t>
      </w:r>
      <w:r w:rsidRPr="00BE11F5">
        <w:rPr>
          <w:rFonts w:cs="Times New Roman"/>
          <w:i/>
        </w:rPr>
        <w:t xml:space="preserve"> Divorce Act </w:t>
      </w:r>
      <w:r w:rsidRPr="00BE11F5">
        <w:rPr>
          <w:rFonts w:cs="Times New Roman"/>
        </w:rPr>
        <w:t xml:space="preserve">or the refined </w:t>
      </w:r>
      <w:r w:rsidRPr="00BE11F5">
        <w:rPr>
          <w:rFonts w:cs="Times New Roman"/>
          <w:i/>
        </w:rPr>
        <w:t xml:space="preserve">Gordon </w:t>
      </w:r>
      <w:r w:rsidRPr="00BE11F5">
        <w:rPr>
          <w:rFonts w:cs="Times New Roman"/>
        </w:rPr>
        <w:t xml:space="preserve">framework. The new relocation provisions in the </w:t>
      </w:r>
      <w:r w:rsidRPr="00BE11F5">
        <w:rPr>
          <w:rFonts w:cs="Times New Roman"/>
          <w:i/>
        </w:rPr>
        <w:t xml:space="preserve">Divorce Act </w:t>
      </w:r>
      <w:r w:rsidRPr="00BE11F5">
        <w:rPr>
          <w:rFonts w:cs="Times New Roman"/>
        </w:rPr>
        <w:t xml:space="preserve">largely mirror developments in the common law since </w:t>
      </w:r>
      <w:r w:rsidRPr="00BE11F5">
        <w:rPr>
          <w:rFonts w:cs="Times New Roman"/>
          <w:i/>
        </w:rPr>
        <w:t>Gordon</w:t>
      </w:r>
      <w:r w:rsidRPr="00BE11F5">
        <w:rPr>
          <w:rFonts w:cs="Times New Roman"/>
        </w:rPr>
        <w:t>.</w:t>
      </w:r>
      <w:r w:rsidRPr="00BE11F5">
        <w:rPr>
          <w:rFonts w:cs="Times New Roman"/>
          <w:i/>
        </w:rPr>
        <w:t xml:space="preserve"> </w:t>
      </w:r>
      <w:r w:rsidRPr="00BE11F5">
        <w:rPr>
          <w:rFonts w:cs="Times New Roman"/>
        </w:rPr>
        <w:t xml:space="preserve">As a result, I leave the discussion of the transitional provision for another day. This case, however, provides an opportunity to bring the common law framework in line with the amended </w:t>
      </w:r>
      <w:r w:rsidRPr="00BE11F5">
        <w:rPr>
          <w:rFonts w:cs="Times New Roman"/>
          <w:i/>
        </w:rPr>
        <w:t xml:space="preserve">Divorce Act </w:t>
      </w:r>
      <w:r w:rsidRPr="00BE11F5">
        <w:rPr>
          <w:rFonts w:cs="Times New Roman"/>
        </w:rPr>
        <w:t>to assist judges in dealing with future mobility cases.</w:t>
      </w:r>
    </w:p>
    <w:p w14:paraId="48445F4E" w14:textId="77777777" w:rsidR="00567205" w:rsidRPr="00BE11F5" w:rsidRDefault="00567205" w:rsidP="00567205">
      <w:pPr>
        <w:pStyle w:val="ParaNoNdepar-AltN"/>
        <w:tabs>
          <w:tab w:val="clear" w:pos="1152"/>
          <w:tab w:val="left" w:pos="1170"/>
        </w:tabs>
        <w:rPr>
          <w:rFonts w:cs="Times New Roman"/>
        </w:rPr>
      </w:pPr>
      <w:r w:rsidRPr="00BE11F5">
        <w:rPr>
          <w:rFonts w:cs="Times New Roman"/>
        </w:rPr>
        <w:t xml:space="preserve">In the sections that follow, I clarify how certain aspects of the framework for determining parental relocation issues have evolved since this Court decided </w:t>
      </w:r>
      <w:r w:rsidRPr="00BE11F5">
        <w:rPr>
          <w:rFonts w:cs="Times New Roman"/>
          <w:i/>
        </w:rPr>
        <w:t>Gordon</w:t>
      </w:r>
      <w:r w:rsidRPr="00BE11F5">
        <w:rPr>
          <w:rFonts w:cs="Times New Roman"/>
        </w:rPr>
        <w:t>.</w:t>
      </w:r>
    </w:p>
    <w:p w14:paraId="02090011" w14:textId="77777777" w:rsidR="00567205" w:rsidRPr="00BE11F5" w:rsidRDefault="00567205" w:rsidP="00567205">
      <w:pPr>
        <w:pStyle w:val="Title4LevelTitre4Niveau"/>
        <w:tabs>
          <w:tab w:val="clear" w:pos="900"/>
          <w:tab w:val="clear" w:pos="1152"/>
          <w:tab w:val="left" w:pos="1170"/>
        </w:tabs>
        <w:jc w:val="both"/>
        <w:rPr>
          <w:rFonts w:cs="Times New Roman"/>
        </w:rPr>
      </w:pPr>
      <w:r w:rsidRPr="00BE11F5">
        <w:rPr>
          <w:rFonts w:cs="Times New Roman"/>
        </w:rPr>
        <w:t>Determining Relocation Issues at First Instance and by Way of Variation Applications</w:t>
      </w:r>
    </w:p>
    <w:p w14:paraId="2E543FA7" w14:textId="77777777" w:rsidR="00567205" w:rsidRPr="00BE11F5" w:rsidRDefault="00567205" w:rsidP="00567205">
      <w:pPr>
        <w:pStyle w:val="ParaNoNdepar-AltN"/>
        <w:tabs>
          <w:tab w:val="clear" w:pos="1152"/>
          <w:tab w:val="left" w:pos="1170"/>
        </w:tabs>
        <w:rPr>
          <w:rFonts w:cs="Times New Roman"/>
        </w:rPr>
      </w:pPr>
      <w:r w:rsidRPr="00BE11F5">
        <w:rPr>
          <w:rFonts w:cs="Times New Roman"/>
        </w:rPr>
        <w:t xml:space="preserve">The approach to mobility issues when they are raised at first instance, as in this case, differs from the approach to such issues when they are raised by way of a variation application, as in </w:t>
      </w:r>
      <w:r w:rsidRPr="00BE11F5">
        <w:rPr>
          <w:rFonts w:cs="Times New Roman"/>
          <w:i/>
        </w:rPr>
        <w:t>Gordon</w:t>
      </w:r>
      <w:r w:rsidRPr="00BE11F5">
        <w:rPr>
          <w:rFonts w:cs="Times New Roman"/>
        </w:rPr>
        <w:t xml:space="preserve">. Without a pre-existing judicial determination, a parent’s desire to relocate is simply part of the factual matrix in the assessment of what parenting arrangement is in the best interests of the child. Therefore, the first stage of </w:t>
      </w:r>
      <w:r w:rsidRPr="00BE11F5">
        <w:rPr>
          <w:rFonts w:cs="Times New Roman"/>
          <w:i/>
        </w:rPr>
        <w:t xml:space="preserve">Gordon </w:t>
      </w:r>
      <w:r w:rsidRPr="00BE11F5">
        <w:rPr>
          <w:rFonts w:cs="Times New Roman"/>
        </w:rPr>
        <w:t>— which sets out the usual requirement for a variation order — has no application.</w:t>
      </w:r>
    </w:p>
    <w:p w14:paraId="711ABB57" w14:textId="77777777" w:rsidR="00567205" w:rsidRPr="00BE11F5" w:rsidRDefault="00567205" w:rsidP="00567205">
      <w:pPr>
        <w:pStyle w:val="ParaNoNdepar-AltN"/>
        <w:tabs>
          <w:tab w:val="clear" w:pos="1152"/>
          <w:tab w:val="left" w:pos="1170"/>
        </w:tabs>
        <w:rPr>
          <w:rFonts w:cs="Times New Roman"/>
        </w:rPr>
      </w:pPr>
      <w:r w:rsidRPr="00BE11F5">
        <w:rPr>
          <w:rFonts w:cs="Times New Roman"/>
        </w:rPr>
        <w:lastRenderedPageBreak/>
        <w:t xml:space="preserve">Even where there is an existing parenting order, relocation will typically constitute a material change in circumstances and therefore satisfy the first stage of the </w:t>
      </w:r>
      <w:r w:rsidRPr="00BE11F5">
        <w:rPr>
          <w:rFonts w:cs="Times New Roman"/>
          <w:i/>
        </w:rPr>
        <w:t xml:space="preserve">Gordon </w:t>
      </w:r>
      <w:r w:rsidRPr="00BE11F5">
        <w:rPr>
          <w:rFonts w:cs="Times New Roman"/>
        </w:rPr>
        <w:t xml:space="preserve">framework: </w:t>
      </w:r>
      <w:r w:rsidRPr="00BE11F5">
        <w:rPr>
          <w:rFonts w:cs="Times New Roman"/>
          <w:i/>
        </w:rPr>
        <w:t>Gordon</w:t>
      </w:r>
      <w:r w:rsidRPr="00BE11F5">
        <w:rPr>
          <w:rFonts w:cs="Times New Roman"/>
        </w:rPr>
        <w:t>,</w:t>
      </w:r>
      <w:r w:rsidRPr="00BE11F5">
        <w:rPr>
          <w:rFonts w:cs="Times New Roman"/>
          <w:i/>
        </w:rPr>
        <w:t xml:space="preserve"> </w:t>
      </w:r>
      <w:r w:rsidRPr="00BE11F5">
        <w:rPr>
          <w:rFonts w:cs="Times New Roman"/>
        </w:rPr>
        <w:t xml:space="preserve">at para. 14; see also </w:t>
      </w:r>
      <w:r w:rsidRPr="00BE11F5">
        <w:rPr>
          <w:rFonts w:cs="Times New Roman"/>
          <w:i/>
        </w:rPr>
        <w:t>Divorce Act</w:t>
      </w:r>
      <w:r w:rsidRPr="00BE11F5">
        <w:rPr>
          <w:rFonts w:cs="Times New Roman"/>
        </w:rPr>
        <w:t>, s. </w:t>
      </w:r>
      <w:r w:rsidRPr="00BE11F5">
        <w:rPr>
          <w:rFonts w:cs="Times New Roman"/>
          <w:lang w:bidi="en-US"/>
        </w:rPr>
        <w:t>17(5.2)</w:t>
      </w:r>
      <w:r w:rsidRPr="00BE11F5">
        <w:rPr>
          <w:rFonts w:cs="Times New Roman"/>
          <w:szCs w:val="20"/>
        </w:rPr>
        <w:t>.</w:t>
      </w:r>
    </w:p>
    <w:p w14:paraId="2991E900" w14:textId="77777777" w:rsidR="00567205" w:rsidRPr="00BE11F5" w:rsidRDefault="00567205" w:rsidP="00567205">
      <w:pPr>
        <w:pStyle w:val="ParaNoNdepar-AltN"/>
        <w:tabs>
          <w:tab w:val="clear" w:pos="1152"/>
          <w:tab w:val="left" w:pos="1170"/>
        </w:tabs>
        <w:rPr>
          <w:rFonts w:cs="Times New Roman"/>
          <w:lang w:val="en-GB"/>
        </w:rPr>
      </w:pPr>
      <w:r w:rsidRPr="00BE11F5">
        <w:rPr>
          <w:rFonts w:cs="Times New Roman"/>
        </w:rPr>
        <w:t xml:space="preserve">Therefore, regardless of how the relocation issue is brought before the court, the first stage of the </w:t>
      </w:r>
      <w:r w:rsidRPr="00BE11F5">
        <w:rPr>
          <w:rFonts w:cs="Times New Roman"/>
          <w:i/>
        </w:rPr>
        <w:t>Gordon</w:t>
      </w:r>
      <w:r w:rsidRPr="00BE11F5">
        <w:rPr>
          <w:rFonts w:cs="Times New Roman"/>
        </w:rPr>
        <w:t xml:space="preserve"> inquiry will likely not raise a contentious issue. That said, when the relocation issue arises by way of a variation application, a court must consider the findings of fact of the judge who made the previous order, together with the evidence of new circumstances:</w:t>
      </w:r>
      <w:r w:rsidRPr="00BE11F5">
        <w:rPr>
          <w:rFonts w:cs="Times New Roman"/>
          <w:lang w:val="en-GB"/>
        </w:rPr>
        <w:t xml:space="preserve"> </w:t>
      </w:r>
      <w:r w:rsidRPr="00BE11F5">
        <w:rPr>
          <w:rFonts w:cs="Times New Roman"/>
          <w:i/>
          <w:lang w:val="en-GB"/>
        </w:rPr>
        <w:t>Gordon</w:t>
      </w:r>
      <w:r w:rsidRPr="00BE11F5">
        <w:rPr>
          <w:rFonts w:cs="Times New Roman"/>
          <w:lang w:val="en-GB"/>
        </w:rPr>
        <w:t>, at para. 17. T</w:t>
      </w:r>
      <w:r w:rsidRPr="00BE11F5">
        <w:rPr>
          <w:rFonts w:cs="Times New Roman"/>
        </w:rPr>
        <w:t>he history of parenting arrangements is always relevant to understanding a child’s best interests.</w:t>
      </w:r>
    </w:p>
    <w:p w14:paraId="5DA46A28" w14:textId="77777777" w:rsidR="00567205" w:rsidRPr="00BE11F5" w:rsidRDefault="00567205" w:rsidP="00567205">
      <w:pPr>
        <w:pStyle w:val="Title4LevelTitre4Niveau"/>
        <w:numPr>
          <w:ilvl w:val="3"/>
          <w:numId w:val="8"/>
        </w:numPr>
        <w:jc w:val="both"/>
        <w:rPr>
          <w:rFonts w:cs="Times New Roman"/>
          <w:lang w:val="en-GB"/>
        </w:rPr>
      </w:pPr>
      <w:r w:rsidRPr="00BE11F5">
        <w:rPr>
          <w:rFonts w:cs="Times New Roman"/>
        </w:rPr>
        <w:t>Determining a Child’s Best Interests in Mobility Cases</w:t>
      </w:r>
    </w:p>
    <w:p w14:paraId="0789737A" w14:textId="77777777" w:rsidR="00567205" w:rsidRPr="00BE11F5" w:rsidDel="002E5352" w:rsidRDefault="00567205" w:rsidP="00567205">
      <w:pPr>
        <w:pStyle w:val="ParaNoNdepar-AltN"/>
        <w:tabs>
          <w:tab w:val="clear" w:pos="1152"/>
          <w:tab w:val="left" w:pos="1170"/>
        </w:tabs>
        <w:rPr>
          <w:rFonts w:cs="Times New Roman"/>
        </w:rPr>
      </w:pPr>
      <w:r w:rsidRPr="00BE11F5" w:rsidDel="002E5352">
        <w:rPr>
          <w:rFonts w:cs="Times New Roman"/>
        </w:rPr>
        <w:t xml:space="preserve">Accordingly, the so-called second stage of the </w:t>
      </w:r>
      <w:r w:rsidRPr="00BE11F5" w:rsidDel="002E5352">
        <w:rPr>
          <w:rFonts w:cs="Times New Roman"/>
          <w:i/>
        </w:rPr>
        <w:t xml:space="preserve">Gordon </w:t>
      </w:r>
      <w:r w:rsidRPr="00BE11F5" w:rsidDel="002E5352">
        <w:rPr>
          <w:rFonts w:cs="Times New Roman"/>
        </w:rPr>
        <w:t>framework is often the sole issue when determining a relocation issue. The crucial question is whether relocation is in the best interests of the child.</w:t>
      </w:r>
    </w:p>
    <w:p w14:paraId="3F1FB4DC"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Five considerations that bear upon the best-interests-of-the-child analysis arise in this case: (i) the application of </w:t>
      </w:r>
      <w:r w:rsidRPr="00BE11F5">
        <w:rPr>
          <w:rFonts w:cs="Times New Roman"/>
          <w:i/>
        </w:rPr>
        <w:t xml:space="preserve">Gordon </w:t>
      </w:r>
      <w:r w:rsidRPr="00BE11F5">
        <w:rPr>
          <w:rFonts w:cs="Times New Roman"/>
        </w:rPr>
        <w:t xml:space="preserve">to shared parenting arrangements and the so-called “great respect principle”; (ii) a moving parent’s reasons for relocation; (iii) the “maximum contact principle”; (iv) a moving parent’s testimony about how the outcome of the application will influence their decision to relocate; and (v) the impact of family violence. I address each in turn, looking at their evolution in the case law since </w:t>
      </w:r>
      <w:r w:rsidRPr="00BE11F5">
        <w:rPr>
          <w:rFonts w:cs="Times New Roman"/>
          <w:i/>
        </w:rPr>
        <w:t xml:space="preserve">Gordon </w:t>
      </w:r>
      <w:r w:rsidRPr="00BE11F5">
        <w:rPr>
          <w:rFonts w:cs="Times New Roman"/>
        </w:rPr>
        <w:t>and their reflection</w:t>
      </w:r>
      <w:r w:rsidRPr="00BE11F5">
        <w:rPr>
          <w:rFonts w:cs="Times New Roman"/>
          <w:i/>
        </w:rPr>
        <w:t xml:space="preserve"> </w:t>
      </w:r>
      <w:r w:rsidRPr="00BE11F5">
        <w:rPr>
          <w:rFonts w:cs="Times New Roman"/>
        </w:rPr>
        <w:t xml:space="preserve">in amendments to the </w:t>
      </w:r>
      <w:r w:rsidRPr="00BE11F5">
        <w:rPr>
          <w:rFonts w:cs="Times New Roman"/>
          <w:i/>
        </w:rPr>
        <w:t>Divorce Act</w:t>
      </w:r>
      <w:r w:rsidRPr="00BE11F5">
        <w:rPr>
          <w:rFonts w:cs="Times New Roman"/>
        </w:rPr>
        <w:t>.</w:t>
      </w:r>
    </w:p>
    <w:p w14:paraId="3E6A35D6" w14:textId="77777777" w:rsidR="00567205" w:rsidRPr="00BE11F5" w:rsidRDefault="00567205" w:rsidP="00567205">
      <w:pPr>
        <w:pStyle w:val="Title5LevelTitre5Niveau"/>
        <w:tabs>
          <w:tab w:val="clear" w:pos="1440"/>
          <w:tab w:val="num" w:pos="1170"/>
        </w:tabs>
        <w:ind w:left="1170" w:hanging="540"/>
        <w:jc w:val="both"/>
        <w:rPr>
          <w:rFonts w:cs="Times New Roman"/>
        </w:rPr>
      </w:pPr>
      <w:r w:rsidRPr="00BE11F5">
        <w:rPr>
          <w:rFonts w:cs="Times New Roman"/>
        </w:rPr>
        <w:lastRenderedPageBreak/>
        <w:t xml:space="preserve">The Application of </w:t>
      </w:r>
      <w:r w:rsidRPr="00BE11F5">
        <w:rPr>
          <w:rFonts w:cs="Times New Roman"/>
          <w:i/>
        </w:rPr>
        <w:t xml:space="preserve">Gordon </w:t>
      </w:r>
      <w:r w:rsidRPr="00BE11F5">
        <w:rPr>
          <w:rFonts w:cs="Times New Roman"/>
        </w:rPr>
        <w:t>to Shared Parenting Arrangements and the So-Called “Great Respect Principle”</w:t>
      </w:r>
    </w:p>
    <w:p w14:paraId="0BA02B63"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In determining the best interests of the child, </w:t>
      </w:r>
      <w:r w:rsidRPr="00BE11F5">
        <w:rPr>
          <w:rFonts w:cs="Times New Roman"/>
          <w:i/>
        </w:rPr>
        <w:t xml:space="preserve">Gordon </w:t>
      </w:r>
      <w:r w:rsidRPr="00BE11F5">
        <w:rPr>
          <w:rFonts w:cs="Times New Roman"/>
        </w:rPr>
        <w:t>first instructs that “[t]he inquiry does not begin with a legal presumption in favour of the custodial parent, although the custodial parent’s views are entitled to great respect”: para. 49.</w:t>
      </w:r>
    </w:p>
    <w:p w14:paraId="1AAD23DF" w14:textId="77777777" w:rsidR="00567205" w:rsidRPr="00BE11F5" w:rsidRDefault="00567205" w:rsidP="00567205">
      <w:pPr>
        <w:pStyle w:val="ParaNoNdepar-AltN"/>
        <w:tabs>
          <w:tab w:val="clear" w:pos="1152"/>
          <w:tab w:val="left" w:pos="1170"/>
          <w:tab w:val="num" w:pos="1332"/>
        </w:tabs>
        <w:rPr>
          <w:rFonts w:cs="Times New Roman"/>
          <w:lang w:val="en-GB"/>
        </w:rPr>
      </w:pPr>
      <w:r w:rsidRPr="00BE11F5">
        <w:rPr>
          <w:rFonts w:cs="Times New Roman"/>
          <w:lang w:val="en-GB"/>
        </w:rPr>
        <w:t xml:space="preserve">In this case, the father contends that this aspect of </w:t>
      </w:r>
      <w:r w:rsidRPr="00BE11F5">
        <w:rPr>
          <w:rFonts w:cs="Times New Roman"/>
          <w:i/>
          <w:lang w:val="en-GB"/>
        </w:rPr>
        <w:t>Gordon</w:t>
      </w:r>
      <w:r w:rsidRPr="00BE11F5">
        <w:rPr>
          <w:rFonts w:cs="Times New Roman"/>
          <w:lang w:val="en-GB"/>
        </w:rPr>
        <w:t xml:space="preserve"> is of limited value where there is a shared parenting arrangement: R.F., at para. 28. He says the trial judge should not have paid special “respect” to the mother’s decision to move given their history of shared parenting roles. He relies on Newbury J.A.’s observation in </w:t>
      </w:r>
      <w:r w:rsidRPr="00BE11F5">
        <w:rPr>
          <w:rFonts w:cs="Times New Roman"/>
          <w:i/>
          <w:lang w:val="en-GB"/>
        </w:rPr>
        <w:t>Q. (R.E.) v. K. (G.J.)</w:t>
      </w:r>
      <w:r w:rsidRPr="00BE11F5">
        <w:rPr>
          <w:rFonts w:cs="Times New Roman"/>
          <w:lang w:val="en-GB"/>
        </w:rPr>
        <w:t xml:space="preserve">, 2012 BCCA 146, </w:t>
      </w:r>
      <w:r w:rsidRPr="00BE11F5">
        <w:rPr>
          <w:rFonts w:cs="Times New Roman"/>
          <w:lang w:val="en-GB" w:bidi="en-US"/>
        </w:rPr>
        <w:t xml:space="preserve">348 D.L.R. (4th) 622, </w:t>
      </w:r>
      <w:r w:rsidRPr="00BE11F5">
        <w:rPr>
          <w:rFonts w:cs="Times New Roman"/>
          <w:lang w:val="en-GB"/>
        </w:rPr>
        <w:t>at para. 58, that “[i]t is not clear how the ‘great respect’ principle should work where both parents are custodial parents</w:t>
      </w:r>
      <w:r>
        <w:rPr>
          <w:rFonts w:cs="Times New Roman"/>
          <w:lang w:val="en-GB"/>
        </w:rPr>
        <w:t>.</w:t>
      </w:r>
      <w:r w:rsidRPr="00BE11F5">
        <w:rPr>
          <w:rFonts w:cs="Times New Roman"/>
          <w:lang w:val="en-GB"/>
        </w:rPr>
        <w:t>”</w:t>
      </w:r>
    </w:p>
    <w:p w14:paraId="7F45F09C"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The parent who cares for the child on a daily basis is in a unique position to assess what is in their best interest</w:t>
      </w:r>
      <w:r>
        <w:rPr>
          <w:rFonts w:cs="Times New Roman"/>
        </w:rPr>
        <w:t>s</w:t>
      </w:r>
      <w:r w:rsidRPr="00BE11F5">
        <w:rPr>
          <w:rFonts w:cs="Times New Roman"/>
        </w:rPr>
        <w:t xml:space="preserve">: </w:t>
      </w:r>
      <w:r w:rsidRPr="00BE11F5">
        <w:rPr>
          <w:rFonts w:cs="Times New Roman"/>
          <w:i/>
        </w:rPr>
        <w:t>Gordon</w:t>
      </w:r>
      <w:r w:rsidRPr="00BE11F5">
        <w:rPr>
          <w:rFonts w:cs="Times New Roman"/>
        </w:rPr>
        <w:t>,</w:t>
      </w:r>
      <w:r w:rsidRPr="00BE11F5">
        <w:rPr>
          <w:rFonts w:cs="Times New Roman"/>
          <w:i/>
        </w:rPr>
        <w:t xml:space="preserve"> </w:t>
      </w:r>
      <w:r w:rsidRPr="00BE11F5">
        <w:rPr>
          <w:rFonts w:cs="Times New Roman"/>
        </w:rPr>
        <w:t>at para. 48. This logic applies to both parents in a shared parenting arrangement, and accordingly, both of their views are entitled to great respect in an assessment of the child’s best interests. This makes sense: a court always pays careful attention to the views of the parents. In my view, it adds little value to this analysis to label it a separate principle of “great respect”.</w:t>
      </w:r>
    </w:p>
    <w:p w14:paraId="392C7F44"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As for any legal presumption in relocation cases, the Court in </w:t>
      </w:r>
      <w:r w:rsidRPr="00BE11F5">
        <w:rPr>
          <w:rFonts w:cs="Times New Roman"/>
          <w:i/>
        </w:rPr>
        <w:t>Gordon</w:t>
      </w:r>
      <w:r w:rsidRPr="00BE11F5">
        <w:rPr>
          <w:rFonts w:cs="Times New Roman"/>
        </w:rPr>
        <w:t xml:space="preserve"> noted that the wording of the </w:t>
      </w:r>
      <w:r w:rsidRPr="00BE11F5">
        <w:rPr>
          <w:rFonts w:cs="Times New Roman"/>
          <w:i/>
        </w:rPr>
        <w:t xml:space="preserve">Divorce Act </w:t>
      </w:r>
      <w:r w:rsidRPr="00BE11F5">
        <w:rPr>
          <w:rFonts w:cs="Times New Roman"/>
        </w:rPr>
        <w:t xml:space="preserve">belied the need to defer to the custodial </w:t>
      </w:r>
      <w:r w:rsidRPr="00BE11F5">
        <w:rPr>
          <w:rFonts w:cs="Times New Roman"/>
        </w:rPr>
        <w:lastRenderedPageBreak/>
        <w:t>parent. Rather, the Act expressly stipulated that the judge hearing the application should be concerned only with the best interests of the child, and the variation provisions did not place a burden on any parent at the merits stage of the analysis: paras. 37 and 39.</w:t>
      </w:r>
    </w:p>
    <w:p w14:paraId="7B1B316F"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But over time, certain patterns have emerged. In practice, a move is more likely to be approved where the clear primary caregiver for a child seeks to relocate and more likely to be denied if there is a shared parenting arrangement. Professor Thompson refers to this as the unspoken “primary caregiver presumption”: see </w:t>
      </w:r>
      <w:r w:rsidRPr="00BE11F5">
        <w:rPr>
          <w:rFonts w:cs="Times New Roman"/>
          <w:lang w:bidi="en-US"/>
        </w:rPr>
        <w:t xml:space="preserve">D. A. R. Thompson, </w:t>
      </w:r>
      <w:r w:rsidRPr="00BE11F5">
        <w:rPr>
          <w:rFonts w:cs="Times New Roman"/>
        </w:rPr>
        <w:t xml:space="preserve">“Ten Years After </w:t>
      </w:r>
      <w:r w:rsidRPr="00BE11F5">
        <w:rPr>
          <w:rFonts w:cs="Times New Roman"/>
          <w:i/>
        </w:rPr>
        <w:t>Gordon</w:t>
      </w:r>
      <w:r w:rsidRPr="00BE11F5">
        <w:rPr>
          <w:rFonts w:cs="Times New Roman"/>
        </w:rPr>
        <w:t xml:space="preserve">: No Law, Nowhere” (2007), 35 </w:t>
      </w:r>
      <w:r w:rsidRPr="00BE11F5">
        <w:rPr>
          <w:rFonts w:cs="Times New Roman"/>
          <w:i/>
        </w:rPr>
        <w:t xml:space="preserve">R.F.L. </w:t>
      </w:r>
      <w:r w:rsidRPr="00BE11F5">
        <w:rPr>
          <w:rFonts w:cs="Times New Roman"/>
        </w:rPr>
        <w:t xml:space="preserve">(6th) 307, at p. 317; </w:t>
      </w:r>
      <w:r w:rsidRPr="00BE11F5">
        <w:rPr>
          <w:rFonts w:cs="Times New Roman"/>
          <w:lang w:bidi="en-US"/>
        </w:rPr>
        <w:t xml:space="preserve">R. Thompson, </w:t>
      </w:r>
      <w:r w:rsidRPr="00BE11F5">
        <w:rPr>
          <w:rFonts w:cs="Times New Roman"/>
        </w:rPr>
        <w:t xml:space="preserve">“Where Is B.C. Law Going? The New Mobility” (2012), 30 </w:t>
      </w:r>
      <w:r w:rsidRPr="00BE11F5">
        <w:rPr>
          <w:rFonts w:cs="Times New Roman"/>
          <w:i/>
        </w:rPr>
        <w:t xml:space="preserve">C.F.L.Q. </w:t>
      </w:r>
      <w:r w:rsidRPr="00BE11F5">
        <w:rPr>
          <w:rFonts w:cs="Times New Roman"/>
        </w:rPr>
        <w:t>235.</w:t>
      </w:r>
    </w:p>
    <w:p w14:paraId="5D447871" w14:textId="77777777" w:rsidR="00567205" w:rsidRPr="00BE11F5" w:rsidRDefault="00567205" w:rsidP="00567205">
      <w:pPr>
        <w:pStyle w:val="ParaNoNdepar-AltN"/>
        <w:tabs>
          <w:tab w:val="clear" w:pos="1152"/>
          <w:tab w:val="left" w:pos="450"/>
          <w:tab w:val="left" w:pos="1170"/>
          <w:tab w:val="num" w:pos="1332"/>
        </w:tabs>
        <w:rPr>
          <w:rFonts w:cs="Times New Roman"/>
          <w:lang w:val="en-US"/>
        </w:rPr>
      </w:pPr>
      <w:r w:rsidRPr="00BE11F5">
        <w:rPr>
          <w:rFonts w:cs="Times New Roman"/>
          <w:lang w:val="en-US"/>
        </w:rPr>
        <w:t xml:space="preserve">In discussing presumptions, </w:t>
      </w:r>
      <w:r w:rsidRPr="00BE11F5">
        <w:rPr>
          <w:rFonts w:cs="Times New Roman"/>
          <w:i/>
          <w:lang w:val="en-US"/>
        </w:rPr>
        <w:t>Gordon</w:t>
      </w:r>
      <w:r w:rsidRPr="00BE11F5">
        <w:rPr>
          <w:rFonts w:cs="Times New Roman"/>
          <w:lang w:val="en-US"/>
        </w:rPr>
        <w:t xml:space="preserve"> relied on the fact that Parliament had not set out any general rules. It has since done so. In 2019, Parliament enacted a burden of proof, set out in s. 16.93 of the </w:t>
      </w:r>
      <w:r w:rsidRPr="00BE11F5">
        <w:rPr>
          <w:rFonts w:cs="Times New Roman"/>
          <w:i/>
          <w:lang w:val="en-US"/>
        </w:rPr>
        <w:t>Divorce Act</w:t>
      </w:r>
      <w:r w:rsidRPr="00BE11F5">
        <w:rPr>
          <w:rFonts w:cs="Times New Roman"/>
          <w:lang w:val="en-US"/>
        </w:rPr>
        <w:t>,</w:t>
      </w:r>
      <w:r w:rsidRPr="00BE11F5">
        <w:rPr>
          <w:rFonts w:cs="Times New Roman"/>
          <w:i/>
          <w:lang w:val="en-US"/>
        </w:rPr>
        <w:t xml:space="preserve"> </w:t>
      </w:r>
      <w:r w:rsidRPr="00BE11F5">
        <w:rPr>
          <w:rFonts w:cs="Times New Roman"/>
          <w:lang w:val="en-US"/>
        </w:rPr>
        <w:t>which corresponds to the broad trends in the jurisprudence.</w:t>
      </w:r>
    </w:p>
    <w:p w14:paraId="26CD707A" w14:textId="77777777" w:rsidR="00567205" w:rsidRPr="00BE11F5" w:rsidRDefault="00567205" w:rsidP="00567205">
      <w:pPr>
        <w:pStyle w:val="ParaNoNdepar-AltN"/>
        <w:tabs>
          <w:tab w:val="clear" w:pos="1152"/>
          <w:tab w:val="left" w:pos="1170"/>
          <w:tab w:val="num" w:pos="1332"/>
        </w:tabs>
        <w:rPr>
          <w:rFonts w:cs="Times New Roman"/>
          <w:lang w:val="en-US"/>
        </w:rPr>
      </w:pPr>
      <w:r w:rsidRPr="00BE11F5">
        <w:rPr>
          <w:rFonts w:cs="Times New Roman"/>
          <w:lang w:val="en-US"/>
        </w:rPr>
        <w:t xml:space="preserve">Therefore, in all cases, the history of caregiving will be relevant. And while it may not be useful to label the attention courts pay to the views of the parent as a separate “great respect” principle, the history of caregiving will sometimes warrant a burden of proof in favour of one parent. Indeed, federal and provincial legislatures have increasingly enacted presumptions, bringing clarity to the law. In all cases, however, the inquiry remains an individual one. The judge must consider the best interests of the </w:t>
      </w:r>
      <w:r w:rsidRPr="00BE11F5">
        <w:rPr>
          <w:rFonts w:cs="Times New Roman"/>
          <w:lang w:val="en-US"/>
        </w:rPr>
        <w:lastRenderedPageBreak/>
        <w:t>particular child in the particular circumstances of the case. Other considerations may demonstrate that relocation is in the child’s best interests, even if the parties have historically co-parented.</w:t>
      </w:r>
    </w:p>
    <w:p w14:paraId="3260C19A" w14:textId="77777777" w:rsidR="00567205" w:rsidRPr="00BE11F5" w:rsidRDefault="00567205" w:rsidP="00567205">
      <w:pPr>
        <w:pStyle w:val="Title5LevelTitre5Niveau"/>
        <w:tabs>
          <w:tab w:val="clear" w:pos="1440"/>
          <w:tab w:val="left" w:pos="810"/>
          <w:tab w:val="num" w:pos="1170"/>
        </w:tabs>
        <w:ind w:left="1170" w:hanging="540"/>
        <w:jc w:val="both"/>
        <w:rPr>
          <w:rFonts w:cs="Times New Roman"/>
        </w:rPr>
      </w:pPr>
      <w:r w:rsidRPr="00BE11F5">
        <w:rPr>
          <w:rFonts w:cs="Times New Roman"/>
        </w:rPr>
        <w:t>The Reasons for Relocation</w:t>
      </w:r>
    </w:p>
    <w:p w14:paraId="44EFFD26" w14:textId="77777777" w:rsidR="00567205" w:rsidRPr="00BE11F5" w:rsidRDefault="00567205" w:rsidP="00567205">
      <w:pPr>
        <w:pStyle w:val="ParaNoNdepar-AltN"/>
        <w:tabs>
          <w:tab w:val="clear" w:pos="1152"/>
          <w:tab w:val="left" w:pos="1170"/>
          <w:tab w:val="num" w:pos="1332"/>
        </w:tabs>
        <w:rPr>
          <w:rFonts w:cs="Times New Roman"/>
          <w:lang w:val="en-GB"/>
        </w:rPr>
      </w:pPr>
      <w:r w:rsidRPr="00BE11F5">
        <w:rPr>
          <w:rFonts w:cs="Times New Roman"/>
        </w:rPr>
        <w:t xml:space="preserve">The second refinement to the </w:t>
      </w:r>
      <w:r w:rsidRPr="00BE11F5">
        <w:rPr>
          <w:rFonts w:cs="Times New Roman"/>
          <w:i/>
        </w:rPr>
        <w:t xml:space="preserve">Gordon </w:t>
      </w:r>
      <w:r w:rsidRPr="00BE11F5">
        <w:rPr>
          <w:rFonts w:cs="Times New Roman"/>
        </w:rPr>
        <w:t xml:space="preserve">framework concerns the moving parent’s reasons for relocating. </w:t>
      </w:r>
      <w:r w:rsidRPr="00BE11F5">
        <w:rPr>
          <w:rFonts w:cs="Times New Roman"/>
          <w:lang w:val="en-GB"/>
        </w:rPr>
        <w:t>Here, the father and the Court of Appeal took issue with the weight the trial judge ascribed to the mother’s reasons for relocation, the implication being that this consideration detracted from his focus on the child’s best interests.</w:t>
      </w:r>
    </w:p>
    <w:p w14:paraId="45CF6A3B"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lang w:val="en-GB"/>
        </w:rPr>
        <w:t xml:space="preserve">In </w:t>
      </w:r>
      <w:r w:rsidRPr="00BE11F5">
        <w:rPr>
          <w:rFonts w:cs="Times New Roman"/>
          <w:i/>
          <w:lang w:val="en-GB"/>
        </w:rPr>
        <w:t>Gordon</w:t>
      </w:r>
      <w:r w:rsidRPr="00BE11F5">
        <w:rPr>
          <w:rFonts w:cs="Times New Roman"/>
          <w:lang w:val="en-GB"/>
        </w:rPr>
        <w:t>,</w:t>
      </w:r>
      <w:r w:rsidRPr="00BE11F5">
        <w:rPr>
          <w:rFonts w:cs="Times New Roman"/>
          <w:i/>
          <w:lang w:val="en-GB"/>
        </w:rPr>
        <w:t xml:space="preserve"> </w:t>
      </w:r>
      <w:r w:rsidRPr="00BE11F5">
        <w:rPr>
          <w:rFonts w:cs="Times New Roman"/>
        </w:rPr>
        <w:t>McLachlin J. cautioned that courts should avoid “descend[ing] into inquiries into the custodial parent’s reason or motive for moving” because “[u]sually, the reasons or motives for moving will not be relevant to the custodial parent’s parenting ability”: paras. 22-23. Therefore</w:t>
      </w:r>
      <w:r w:rsidRPr="00BE11F5">
        <w:rPr>
          <w:rFonts w:cs="Times New Roman"/>
          <w:lang w:val="en-US"/>
        </w:rPr>
        <w:t xml:space="preserve">, “absent a connection to parenting ability, the custodial parent’s reason for moving should not enter into the inquiry”: para. 23. </w:t>
      </w:r>
      <w:r w:rsidRPr="00BE11F5">
        <w:rPr>
          <w:rFonts w:cs="Times New Roman"/>
          <w:lang w:val="en-GB"/>
        </w:rPr>
        <w:t>To hold otherwise, McLachlin J. reasoned, would shift the focus from the best interests of the child to the conduct of the custodial parent: para. 22.</w:t>
      </w:r>
    </w:p>
    <w:p w14:paraId="412B2197"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lang w:val="en-GB"/>
        </w:rPr>
        <w:t xml:space="preserve">In practice, courts across the country have found that the reason for the move often bears on the best interests of the child: N. Bala, “Bill C-78: The 2020 Reforms to the Parenting Provisions of Canada’s </w:t>
      </w:r>
      <w:r w:rsidRPr="00BE11F5">
        <w:rPr>
          <w:rFonts w:cs="Times New Roman"/>
          <w:i/>
          <w:lang w:val="en-GB"/>
        </w:rPr>
        <w:t>Divorce Act</w:t>
      </w:r>
      <w:r w:rsidRPr="00BE11F5">
        <w:rPr>
          <w:rFonts w:cs="Times New Roman"/>
          <w:lang w:val="en-GB"/>
        </w:rPr>
        <w:t xml:space="preserve">” (2020), 39 </w:t>
      </w:r>
      <w:r w:rsidRPr="00BE11F5">
        <w:rPr>
          <w:rFonts w:cs="Times New Roman"/>
          <w:i/>
          <w:lang w:val="en-GB"/>
        </w:rPr>
        <w:t xml:space="preserve">C.F.L.Q. </w:t>
      </w:r>
      <w:r w:rsidRPr="00BE11F5">
        <w:rPr>
          <w:rFonts w:cs="Times New Roman"/>
          <w:lang w:val="en-GB"/>
        </w:rPr>
        <w:t xml:space="preserve">45, </w:t>
      </w:r>
      <w:r w:rsidRPr="00BE11F5">
        <w:rPr>
          <w:rFonts w:cs="Times New Roman"/>
          <w:lang w:val="en-GB"/>
        </w:rPr>
        <w:lastRenderedPageBreak/>
        <w:t xml:space="preserve">at p. 71; Thompson (2007); E. Jollimore and R. Sladic, “Mobility </w:t>
      </w:r>
      <w:r w:rsidRPr="00BE11F5">
        <w:rPr>
          <w:rFonts w:cs="Times New Roman"/>
        </w:rPr>
        <w:t>—</w:t>
      </w:r>
      <w:r w:rsidRPr="00BE11F5">
        <w:rPr>
          <w:rFonts w:cs="Times New Roman"/>
          <w:lang w:val="en-GB"/>
        </w:rPr>
        <w:t xml:space="preserve"> Are We There Yet?” (2008), 27 </w:t>
      </w:r>
      <w:r w:rsidRPr="00BE11F5">
        <w:rPr>
          <w:rFonts w:cs="Times New Roman"/>
          <w:i/>
          <w:lang w:val="en-GB"/>
        </w:rPr>
        <w:t>C.F.L.Q.</w:t>
      </w:r>
      <w:r w:rsidRPr="00BE11F5">
        <w:rPr>
          <w:rFonts w:cs="Times New Roman"/>
          <w:lang w:val="en-GB"/>
        </w:rPr>
        <w:t xml:space="preserve"> 341.</w:t>
      </w:r>
    </w:p>
    <w:p w14:paraId="2EB474A0" w14:textId="77777777" w:rsidR="00567205" w:rsidRPr="00BE11F5" w:rsidRDefault="00567205" w:rsidP="00567205">
      <w:pPr>
        <w:pStyle w:val="ParaNoNdepar-AltN"/>
        <w:tabs>
          <w:tab w:val="clear" w:pos="1152"/>
          <w:tab w:val="left" w:pos="1170"/>
          <w:tab w:val="num" w:pos="1332"/>
        </w:tabs>
        <w:rPr>
          <w:rFonts w:cs="Times New Roman"/>
          <w:lang w:val="en-GB"/>
        </w:rPr>
      </w:pPr>
      <w:r w:rsidRPr="00BE11F5">
        <w:rPr>
          <w:rFonts w:cs="Times New Roman"/>
        </w:rPr>
        <w:t xml:space="preserve">Recent amendments to the </w:t>
      </w:r>
      <w:r w:rsidRPr="00BE11F5">
        <w:rPr>
          <w:rFonts w:cs="Times New Roman"/>
          <w:i/>
        </w:rPr>
        <w:t>Divorce Act</w:t>
      </w:r>
      <w:r w:rsidRPr="00BE11F5">
        <w:rPr>
          <w:rFonts w:cs="Times New Roman"/>
        </w:rPr>
        <w:t xml:space="preserve"> now instruct courts </w:t>
      </w:r>
      <w:r w:rsidRPr="00BE11F5">
        <w:rPr>
          <w:rFonts w:cs="Times New Roman"/>
          <w:lang w:val="en-GB"/>
        </w:rPr>
        <w:t xml:space="preserve">to consider the moving parent’s reasons for relocation: s. 16.92(1)(a). Similarly, provinces across Canada have incorporated the moving parent’s reasons for relocation within their statutory relocation regimes: </w:t>
      </w:r>
      <w:r w:rsidRPr="00BE11F5">
        <w:rPr>
          <w:rFonts w:cs="Times New Roman"/>
          <w:i/>
          <w:lang w:val="en-GB"/>
        </w:rPr>
        <w:t>Family Law Act</w:t>
      </w:r>
      <w:r w:rsidRPr="00BE11F5">
        <w:rPr>
          <w:rFonts w:cs="Times New Roman"/>
          <w:lang w:val="en-GB"/>
        </w:rPr>
        <w:t xml:space="preserve">, s. 69(6)(a) (B.C.); </w:t>
      </w:r>
      <w:r w:rsidRPr="00BE11F5">
        <w:rPr>
          <w:rFonts w:cs="Times New Roman"/>
          <w:i/>
          <w:lang w:val="en-GB"/>
        </w:rPr>
        <w:t>The Children’s Law Act, 2020</w:t>
      </w:r>
      <w:r w:rsidRPr="00BE11F5">
        <w:rPr>
          <w:rFonts w:cs="Times New Roman"/>
          <w:lang w:val="en-GB"/>
        </w:rPr>
        <w:t>, s. 15(1)(a)</w:t>
      </w:r>
      <w:r w:rsidRPr="00BE11F5">
        <w:rPr>
          <w:rFonts w:cs="Times New Roman"/>
          <w:i/>
          <w:lang w:val="en-GB"/>
        </w:rPr>
        <w:t xml:space="preserve"> </w:t>
      </w:r>
      <w:r w:rsidRPr="00BE11F5">
        <w:rPr>
          <w:rFonts w:cs="Times New Roman"/>
          <w:lang w:val="en-GB"/>
        </w:rPr>
        <w:t>(Sask.);</w:t>
      </w:r>
      <w:r w:rsidRPr="00BE11F5">
        <w:rPr>
          <w:rFonts w:cs="Times New Roman"/>
          <w:i/>
          <w:lang w:val="en-GB"/>
        </w:rPr>
        <w:t xml:space="preserve"> Children’s Law Reform Act</w:t>
      </w:r>
      <w:r w:rsidRPr="00BE11F5">
        <w:rPr>
          <w:rFonts w:cs="Times New Roman"/>
          <w:lang w:val="en-GB"/>
        </w:rPr>
        <w:t>,</w:t>
      </w:r>
      <w:r w:rsidRPr="00BE11F5">
        <w:rPr>
          <w:rFonts w:cs="Times New Roman"/>
          <w:i/>
          <w:lang w:val="en-GB"/>
        </w:rPr>
        <w:t xml:space="preserve"> </w:t>
      </w:r>
      <w:r w:rsidRPr="00BE11F5">
        <w:rPr>
          <w:rFonts w:cs="Times New Roman"/>
          <w:lang w:val="en-GB"/>
        </w:rPr>
        <w:t xml:space="preserve">s. 39.4(3)(a) (Ont.); </w:t>
      </w:r>
      <w:r w:rsidRPr="00BE11F5">
        <w:rPr>
          <w:rFonts w:cs="Times New Roman"/>
          <w:i/>
          <w:lang w:val="en-GB"/>
        </w:rPr>
        <w:t>Family Law Act</w:t>
      </w:r>
      <w:r w:rsidRPr="00BE11F5">
        <w:rPr>
          <w:rFonts w:cs="Times New Roman"/>
          <w:lang w:val="en-GB"/>
        </w:rPr>
        <w:t xml:space="preserve">, s. 62(1)(a) (N.B.); </w:t>
      </w:r>
      <w:r w:rsidRPr="00BE11F5">
        <w:rPr>
          <w:rFonts w:cs="Times New Roman"/>
          <w:i/>
          <w:lang w:val="en-GB"/>
        </w:rPr>
        <w:t>Parenting and Support Act</w:t>
      </w:r>
      <w:r w:rsidRPr="00BE11F5">
        <w:rPr>
          <w:rFonts w:cs="Times New Roman"/>
          <w:lang w:val="en-GB"/>
        </w:rPr>
        <w:t xml:space="preserve">, s. 18H(4)(b) (N.S.); </w:t>
      </w:r>
      <w:r w:rsidRPr="00BE11F5">
        <w:rPr>
          <w:rFonts w:cs="Times New Roman"/>
          <w:i/>
          <w:lang w:val="en-GB"/>
        </w:rPr>
        <w:t>Children’s Law Act</w:t>
      </w:r>
      <w:r w:rsidRPr="00BE11F5">
        <w:rPr>
          <w:rFonts w:cs="Times New Roman"/>
          <w:lang w:val="en-GB"/>
        </w:rPr>
        <w:t>,</w:t>
      </w:r>
      <w:r w:rsidRPr="00BE11F5">
        <w:rPr>
          <w:rFonts w:cs="Times New Roman"/>
          <w:i/>
          <w:lang w:val="en-GB"/>
        </w:rPr>
        <w:t xml:space="preserve"> </w:t>
      </w:r>
      <w:r w:rsidRPr="00BE11F5">
        <w:rPr>
          <w:rFonts w:cs="Times New Roman"/>
          <w:lang w:val="en-GB"/>
        </w:rPr>
        <w:t>s. 48(1)(a) (P.E.I.).</w:t>
      </w:r>
    </w:p>
    <w:p w14:paraId="5BEADEA3" w14:textId="77777777" w:rsidR="00567205" w:rsidRPr="00BE11F5" w:rsidRDefault="00567205" w:rsidP="00567205">
      <w:pPr>
        <w:pStyle w:val="ParaNoNdepar-AltN"/>
        <w:tabs>
          <w:tab w:val="clear" w:pos="1152"/>
          <w:tab w:val="left" w:pos="1170"/>
          <w:tab w:val="num" w:pos="1332"/>
        </w:tabs>
        <w:rPr>
          <w:rFonts w:cs="Times New Roman"/>
          <w:lang w:val="en-GB"/>
        </w:rPr>
      </w:pPr>
      <w:r w:rsidRPr="00BE11F5">
        <w:rPr>
          <w:rFonts w:cs="Times New Roman"/>
          <w:lang w:val="en-GB"/>
        </w:rPr>
        <w:t xml:space="preserve">Indeed, </w:t>
      </w:r>
      <w:r w:rsidRPr="00BE11F5">
        <w:rPr>
          <w:rFonts w:cs="Times New Roman"/>
        </w:rPr>
        <w:t xml:space="preserve">isolating the custodial parent’s reasons for the move from the broad, individualized inquiry of the child’s best interests has frequently proven impractical. </w:t>
      </w:r>
      <w:r w:rsidRPr="00BE11F5">
        <w:rPr>
          <w:rFonts w:cs="Times New Roman"/>
          <w:lang w:val="en-US"/>
        </w:rPr>
        <w:t>T</w:t>
      </w:r>
      <w:r w:rsidRPr="00BE11F5">
        <w:rPr>
          <w:rFonts w:cs="Times New Roman"/>
        </w:rPr>
        <w:t xml:space="preserve">here will often be a connection between the expected benefits of the move for the child and the relocating parent’s reasons for proposing the move in the first place. Relocation for financial reasons, for instance, will clearly carry implications </w:t>
      </w:r>
      <w:r w:rsidRPr="00BE11F5">
        <w:rPr>
          <w:rFonts w:cs="Times New Roman"/>
          <w:lang w:val="en-GB"/>
        </w:rPr>
        <w:t>for a child’s material welfare. Considering the parent’s reasons for moving can be relevant, and even necessary, to assess the merits of a relocation application.</w:t>
      </w:r>
    </w:p>
    <w:p w14:paraId="5C6BFC1D" w14:textId="77777777" w:rsidR="00567205" w:rsidRPr="00BE11F5" w:rsidRDefault="00567205" w:rsidP="00567205">
      <w:pPr>
        <w:pStyle w:val="ParaNoNdepar-AltN"/>
        <w:tabs>
          <w:tab w:val="clear" w:pos="1152"/>
          <w:tab w:val="left" w:pos="1170"/>
          <w:tab w:val="num" w:pos="1332"/>
        </w:tabs>
        <w:rPr>
          <w:rFonts w:cs="Times New Roman"/>
          <w:lang w:val="en-GB"/>
        </w:rPr>
      </w:pPr>
      <w:r w:rsidRPr="00BE11F5">
        <w:rPr>
          <w:rFonts w:cs="Times New Roman"/>
        </w:rPr>
        <w:t>That said, the</w:t>
      </w:r>
      <w:r w:rsidRPr="00BE11F5">
        <w:rPr>
          <w:rFonts w:cs="Times New Roman"/>
          <w:lang w:val="en-GB"/>
        </w:rPr>
        <w:t xml:space="preserve"> court should avoid casting judgment on a parent’s reasons for moving. A moving parent need not prove the move is justified. And a lack of a compelling reason for the move, in and of itself, should not count against a parent, unless it reflects adversely on a parent’s ability to meet the needs of the child: </w:t>
      </w:r>
      <w:r w:rsidRPr="00BE11F5">
        <w:rPr>
          <w:rFonts w:cs="Times New Roman"/>
          <w:i/>
          <w:lang w:val="en-GB"/>
        </w:rPr>
        <w:t xml:space="preserve">Ligate v. Richardson </w:t>
      </w:r>
      <w:r w:rsidRPr="00BE11F5">
        <w:rPr>
          <w:rFonts w:cs="Times New Roman"/>
          <w:lang w:val="en-GB"/>
        </w:rPr>
        <w:t>(1997),</w:t>
      </w:r>
      <w:r w:rsidRPr="00BE11F5">
        <w:rPr>
          <w:rFonts w:cs="Times New Roman"/>
          <w:i/>
          <w:lang w:val="en-GB"/>
        </w:rPr>
        <w:t xml:space="preserve"> </w:t>
      </w:r>
      <w:r w:rsidRPr="00BE11F5">
        <w:rPr>
          <w:rFonts w:cs="Times New Roman"/>
          <w:lang w:val="en-GB"/>
        </w:rPr>
        <w:t>34 O.R. (3d) 423 (C.A.), at p. 434.</w:t>
      </w:r>
    </w:p>
    <w:p w14:paraId="35B3C9C4" w14:textId="77777777" w:rsidR="00567205" w:rsidRPr="00BE11F5" w:rsidRDefault="00567205" w:rsidP="00567205">
      <w:pPr>
        <w:pStyle w:val="ParaNoNdepar-AltN"/>
        <w:tabs>
          <w:tab w:val="clear" w:pos="1152"/>
          <w:tab w:val="left" w:pos="1170"/>
          <w:tab w:val="num" w:pos="1332"/>
        </w:tabs>
        <w:rPr>
          <w:rFonts w:cs="Times New Roman"/>
          <w:lang w:val="en-GB"/>
        </w:rPr>
      </w:pPr>
      <w:r w:rsidRPr="00BE11F5">
        <w:rPr>
          <w:rFonts w:cs="Times New Roman"/>
          <w:lang w:val="en-GB"/>
        </w:rPr>
        <w:lastRenderedPageBreak/>
        <w:t>Ultimately, the moving parent’s reasons for relocating must not deflect from the focus of relocation applications — they must be considered only to the extent they are relevant to the best interests of the child.</w:t>
      </w:r>
    </w:p>
    <w:p w14:paraId="4D5026E4" w14:textId="77777777" w:rsidR="00567205" w:rsidRPr="00BE11F5" w:rsidRDefault="00567205" w:rsidP="00567205">
      <w:pPr>
        <w:pStyle w:val="Title5LevelTitre5Niveau"/>
        <w:tabs>
          <w:tab w:val="clear" w:pos="1440"/>
          <w:tab w:val="left" w:pos="1260"/>
        </w:tabs>
        <w:ind w:left="1170" w:hanging="540"/>
        <w:jc w:val="both"/>
        <w:rPr>
          <w:rFonts w:cs="Times New Roman"/>
        </w:rPr>
      </w:pPr>
      <w:r w:rsidRPr="00BE11F5">
        <w:rPr>
          <w:rFonts w:cs="Times New Roman"/>
        </w:rPr>
        <w:t>The “Maximum Contact</w:t>
      </w:r>
      <w:r>
        <w:rPr>
          <w:rFonts w:cs="Times New Roman"/>
        </w:rPr>
        <w:t xml:space="preserve"> Principle</w:t>
      </w:r>
      <w:r w:rsidRPr="00BE11F5">
        <w:rPr>
          <w:rFonts w:cs="Times New Roman"/>
        </w:rPr>
        <w:t>” or “Parenting Time Consistent With the Best Interests of the Child”</w:t>
      </w:r>
    </w:p>
    <w:p w14:paraId="16F0C5A2"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i/>
        </w:rPr>
        <w:t xml:space="preserve">Gordon </w:t>
      </w:r>
      <w:r w:rsidRPr="00BE11F5">
        <w:rPr>
          <w:rFonts w:cs="Times New Roman"/>
        </w:rPr>
        <w:t xml:space="preserve">requires courts to consider “the desirability of maximizing contact between the child and both parents”: para. 49. </w:t>
      </w:r>
      <w:r w:rsidRPr="00BE11F5">
        <w:rPr>
          <w:rFonts w:cs="Times New Roman"/>
          <w:szCs w:val="24"/>
        </w:rPr>
        <w:t xml:space="preserve">This consideration has been referred to as the </w:t>
      </w:r>
      <w:r w:rsidRPr="00BE11F5">
        <w:rPr>
          <w:rFonts w:cs="Times New Roman"/>
        </w:rPr>
        <w:t>“</w:t>
      </w:r>
      <w:r w:rsidRPr="00BE11F5">
        <w:rPr>
          <w:rFonts w:cs="Times New Roman"/>
          <w:szCs w:val="24"/>
        </w:rPr>
        <w:t>maximum contact principle</w:t>
      </w:r>
      <w:r w:rsidRPr="00BE11F5">
        <w:rPr>
          <w:rFonts w:cs="Times New Roman"/>
        </w:rPr>
        <w:t xml:space="preserve">”: see </w:t>
      </w:r>
      <w:r w:rsidRPr="00BE11F5">
        <w:rPr>
          <w:rFonts w:cs="Times New Roman"/>
          <w:i/>
        </w:rPr>
        <w:t>Gordon</w:t>
      </w:r>
      <w:r w:rsidRPr="00BE11F5">
        <w:rPr>
          <w:rFonts w:cs="Times New Roman"/>
        </w:rPr>
        <w:t>,</w:t>
      </w:r>
      <w:r w:rsidRPr="00BE11F5">
        <w:rPr>
          <w:rFonts w:cs="Times New Roman"/>
          <w:i/>
        </w:rPr>
        <w:t xml:space="preserve"> </w:t>
      </w:r>
      <w:r w:rsidRPr="00BE11F5">
        <w:rPr>
          <w:rFonts w:cs="Times New Roman"/>
        </w:rPr>
        <w:t xml:space="preserve">at para. 24; see also </w:t>
      </w:r>
      <w:r w:rsidRPr="00BE11F5">
        <w:rPr>
          <w:rFonts w:cs="Times New Roman"/>
          <w:i/>
        </w:rPr>
        <w:t xml:space="preserve">Young </w:t>
      </w:r>
      <w:r w:rsidRPr="00BE11F5">
        <w:rPr>
          <w:rFonts w:cs="Times New Roman"/>
          <w:i/>
          <w:lang w:bidi="en-US"/>
        </w:rPr>
        <w:t>v. Young</w:t>
      </w:r>
      <w:r w:rsidRPr="00BE11F5">
        <w:rPr>
          <w:rFonts w:cs="Times New Roman"/>
        </w:rPr>
        <w:t xml:space="preserve">, </w:t>
      </w:r>
      <w:r w:rsidRPr="00BE11F5">
        <w:rPr>
          <w:rFonts w:cs="Times New Roman"/>
          <w:lang w:bidi="en-US"/>
        </w:rPr>
        <w:t xml:space="preserve">[1993] 4 S.C.R. 3, </w:t>
      </w:r>
      <w:r w:rsidRPr="00BE11F5">
        <w:rPr>
          <w:rFonts w:cs="Times New Roman"/>
        </w:rPr>
        <w:t>at p. 53, per</w:t>
      </w:r>
      <w:r w:rsidRPr="00BE11F5">
        <w:rPr>
          <w:rFonts w:cs="Times New Roman"/>
          <w:i/>
        </w:rPr>
        <w:t xml:space="preserve"> </w:t>
      </w:r>
      <w:r w:rsidRPr="00BE11F5">
        <w:rPr>
          <w:rFonts w:cs="Times New Roman"/>
        </w:rPr>
        <w:t>L’Heureux-Dubé J., and p. 118, per</w:t>
      </w:r>
      <w:r w:rsidRPr="00BE11F5">
        <w:rPr>
          <w:rFonts w:cs="Times New Roman"/>
          <w:i/>
        </w:rPr>
        <w:t xml:space="preserve"> </w:t>
      </w:r>
      <w:r w:rsidRPr="00BE11F5">
        <w:rPr>
          <w:rFonts w:cs="Times New Roman"/>
        </w:rPr>
        <w:t>McLachlin J. (as she then was).</w:t>
      </w:r>
      <w:r w:rsidRPr="00BE11F5">
        <w:rPr>
          <w:rFonts w:cs="Times New Roman"/>
          <w:szCs w:val="24"/>
        </w:rPr>
        <w:t xml:space="preserve"> </w:t>
      </w:r>
      <w:r w:rsidRPr="00BE11F5">
        <w:rPr>
          <w:rFonts w:cs="Times New Roman"/>
        </w:rPr>
        <w:t>In this case, the father contends that the trial judge neglected this consideration.</w:t>
      </w:r>
    </w:p>
    <w:p w14:paraId="2DDA924C"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Concerns about parenting time with the child will inevitably be engaged in relocation cases: the crux of the dispute is whether it is in the child’s best interests to move notwithstanding the impact on their relationship with the other parent. In other words, this concern is folded into the central inquiry before the court.</w:t>
      </w:r>
    </w:p>
    <w:p w14:paraId="352B3B29"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What is known as the maximum contact principle has traditionally emphasized that children shall have as much contact with each parent as is consistent with their best interests. A corollary to this is sometimes referred to as the “friendly parent rule”, which instructs courts to consider the willingness of a parent to foster and support the child’s relationship with the other parent, where appropriate: see </w:t>
      </w:r>
      <w:r w:rsidRPr="00BE11F5">
        <w:rPr>
          <w:rFonts w:cs="Times New Roman"/>
          <w:i/>
        </w:rPr>
        <w:t>Young</w:t>
      </w:r>
      <w:r w:rsidRPr="00BE11F5">
        <w:rPr>
          <w:rFonts w:cs="Times New Roman"/>
        </w:rPr>
        <w:t>,</w:t>
      </w:r>
      <w:r w:rsidRPr="00BE11F5">
        <w:rPr>
          <w:rFonts w:cs="Times New Roman"/>
          <w:i/>
        </w:rPr>
        <w:t xml:space="preserve"> </w:t>
      </w:r>
      <w:r w:rsidRPr="00BE11F5">
        <w:rPr>
          <w:rFonts w:cs="Times New Roman"/>
        </w:rPr>
        <w:t xml:space="preserve">at </w:t>
      </w:r>
      <w:r w:rsidRPr="00BE11F5">
        <w:rPr>
          <w:rFonts w:cs="Times New Roman"/>
        </w:rPr>
        <w:lastRenderedPageBreak/>
        <w:t xml:space="preserve">p. 44. Both of these considerations have long been recognized by the </w:t>
      </w:r>
      <w:r w:rsidRPr="00BE11F5">
        <w:rPr>
          <w:rFonts w:cs="Times New Roman"/>
          <w:i/>
        </w:rPr>
        <w:t>Divorce Act</w:t>
      </w:r>
      <w:r w:rsidRPr="00BE11F5">
        <w:rPr>
          <w:rFonts w:cs="Times New Roman"/>
        </w:rPr>
        <w:t xml:space="preserve">: see </w:t>
      </w:r>
      <w:r w:rsidRPr="00BE11F5">
        <w:rPr>
          <w:rFonts w:cs="Times New Roman"/>
          <w:i/>
        </w:rPr>
        <w:t>Divorce Act</w:t>
      </w:r>
      <w:r w:rsidRPr="00BE11F5">
        <w:rPr>
          <w:rFonts w:cs="Times New Roman"/>
        </w:rPr>
        <w:t xml:space="preserve">, pre-amendments, ss. 16(10) and 17(9); and </w:t>
      </w:r>
      <w:r w:rsidRPr="00BE11F5">
        <w:rPr>
          <w:rFonts w:cs="Times New Roman"/>
          <w:i/>
        </w:rPr>
        <w:t>Divorce Act</w:t>
      </w:r>
      <w:r w:rsidRPr="00BE11F5">
        <w:rPr>
          <w:rFonts w:cs="Times New Roman"/>
        </w:rPr>
        <w:t>, post</w:t>
      </w:r>
      <w:r w:rsidRPr="00BE11F5">
        <w:rPr>
          <w:rFonts w:cs="Times New Roman"/>
        </w:rPr>
        <w:noBreakHyphen/>
        <w:t>amendments,</w:t>
      </w:r>
      <w:r w:rsidRPr="00BE11F5">
        <w:rPr>
          <w:rFonts w:cs="Times New Roman"/>
          <w:i/>
        </w:rPr>
        <w:t xml:space="preserve"> </w:t>
      </w:r>
      <w:r w:rsidRPr="00BE11F5">
        <w:rPr>
          <w:rFonts w:cs="Times New Roman"/>
        </w:rPr>
        <w:t>ss. 16(6) and 16(3)(c).</w:t>
      </w:r>
    </w:p>
    <w:p w14:paraId="56896DA8"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Although </w:t>
      </w:r>
      <w:r w:rsidRPr="00BE11F5">
        <w:rPr>
          <w:rFonts w:cs="Times New Roman"/>
          <w:i/>
        </w:rPr>
        <w:t>Gordon</w:t>
      </w:r>
      <w:r w:rsidRPr="00BE11F5">
        <w:rPr>
          <w:rFonts w:cs="Times New Roman"/>
        </w:rPr>
        <w:t xml:space="preserve"> placed emphasis on the “maximum contact principle”, it was clear that the best interests of the child are the sole consideration in relocation cases, and “if other factors show that it would not be in the child’s best interests, the court can and should restrict contact”: </w:t>
      </w:r>
      <w:r w:rsidRPr="00BE11F5">
        <w:rPr>
          <w:rFonts w:cs="Times New Roman"/>
          <w:i/>
        </w:rPr>
        <w:t>Gordon</w:t>
      </w:r>
      <w:r w:rsidRPr="00BE11F5">
        <w:rPr>
          <w:rFonts w:cs="Times New Roman"/>
        </w:rPr>
        <w:t xml:space="preserve">, at para. 24; see also para. 49. But in the years since </w:t>
      </w:r>
      <w:r w:rsidRPr="00BE11F5">
        <w:rPr>
          <w:rFonts w:cs="Times New Roman"/>
          <w:i/>
        </w:rPr>
        <w:t>Gordon</w:t>
      </w:r>
      <w:r w:rsidRPr="00BE11F5">
        <w:rPr>
          <w:rFonts w:cs="Times New Roman"/>
        </w:rPr>
        <w:t xml:space="preserve">, some courts have interpreted what is known as the “maximum contact principle” as effectively creating a presumption in favour of shared parenting arrangements, equal parenting time, or regular access: </w:t>
      </w:r>
      <w:r w:rsidRPr="00BE11F5">
        <w:rPr>
          <w:rFonts w:cs="Times New Roman"/>
          <w:i/>
        </w:rPr>
        <w:t>Folahan v. Folahan</w:t>
      </w:r>
      <w:r w:rsidRPr="00BE11F5">
        <w:rPr>
          <w:rFonts w:cs="Times New Roman"/>
        </w:rPr>
        <w:t xml:space="preserve">, 2013 ONSC 2966, at para. 14 </w:t>
      </w:r>
      <w:r w:rsidRPr="00BE11F5">
        <w:rPr>
          <w:rFonts w:cs="Times New Roman"/>
          <w:lang w:bidi="en-US"/>
        </w:rPr>
        <w:t>(CanLII)</w:t>
      </w:r>
      <w:r w:rsidRPr="00BE11F5">
        <w:rPr>
          <w:rFonts w:cs="Times New Roman"/>
        </w:rPr>
        <w:t xml:space="preserve">; </w:t>
      </w:r>
      <w:r w:rsidRPr="00BE11F5">
        <w:rPr>
          <w:rFonts w:cs="Times New Roman"/>
          <w:i/>
        </w:rPr>
        <w:t>Slade v. Slade</w:t>
      </w:r>
      <w:r w:rsidRPr="00BE11F5">
        <w:rPr>
          <w:rFonts w:cs="Times New Roman"/>
        </w:rPr>
        <w:t>,</w:t>
      </w:r>
      <w:r w:rsidRPr="00BE11F5">
        <w:rPr>
          <w:rFonts w:cs="Times New Roman"/>
          <w:i/>
        </w:rPr>
        <w:t xml:space="preserve"> </w:t>
      </w:r>
      <w:r w:rsidRPr="00BE11F5">
        <w:rPr>
          <w:rFonts w:cs="Times New Roman"/>
        </w:rPr>
        <w:t xml:space="preserve">2002 YKSC 40, at para. 10 </w:t>
      </w:r>
      <w:r w:rsidRPr="00BE11F5">
        <w:rPr>
          <w:rFonts w:cs="Times New Roman"/>
          <w:lang w:bidi="en-US"/>
        </w:rPr>
        <w:t>(CanLII)</w:t>
      </w:r>
      <w:r w:rsidRPr="00BE11F5">
        <w:rPr>
          <w:rFonts w:cs="Times New Roman"/>
        </w:rPr>
        <w:t xml:space="preserve">; see also F. Kelly, “Enforcing a Parent/Child Relationship At All Cost? Supervised Access Orders in the Canadian Courts” (2011), 49 </w:t>
      </w:r>
      <w:r w:rsidRPr="00BE11F5">
        <w:rPr>
          <w:rFonts w:cs="Times New Roman"/>
          <w:i/>
        </w:rPr>
        <w:t>Osgoode Hall L.J.</w:t>
      </w:r>
      <w:r w:rsidRPr="00BE11F5">
        <w:rPr>
          <w:rFonts w:cs="Times New Roman"/>
        </w:rPr>
        <w:t xml:space="preserve"> 277, at pp. 278 and 296-98. Indeed, the term “maximum contact principle” seems to imply that as much contact with both parents as possible will necessarily be in the best interests of the child.</w:t>
      </w:r>
    </w:p>
    <w:p w14:paraId="7140B718"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These interpretations overreach. It is worth repeating that what is known as the maximum contact principle is </w:t>
      </w:r>
      <w:r w:rsidRPr="00BE11F5">
        <w:rPr>
          <w:rFonts w:cs="Times New Roman"/>
          <w:i/>
        </w:rPr>
        <w:t>only</w:t>
      </w:r>
      <w:r w:rsidRPr="00BE11F5">
        <w:rPr>
          <w:rFonts w:cs="Times New Roman"/>
        </w:rPr>
        <w:t xml:space="preserve"> significant to the extent that it is in the child’s best interests; it must not be used to detract from this inquiry. It is notable that the amended </w:t>
      </w:r>
      <w:r w:rsidRPr="00BE11F5">
        <w:rPr>
          <w:rFonts w:cs="Times New Roman"/>
          <w:i/>
        </w:rPr>
        <w:t xml:space="preserve">Divorce Act </w:t>
      </w:r>
      <w:r w:rsidRPr="00BE11F5">
        <w:rPr>
          <w:rFonts w:cs="Times New Roman"/>
        </w:rPr>
        <w:t xml:space="preserve">recasts the “maximum contact principle” as “[p]arenting time </w:t>
      </w:r>
      <w:r w:rsidRPr="00BE11F5">
        <w:rPr>
          <w:rFonts w:cs="Times New Roman"/>
          <w:u w:val="single"/>
        </w:rPr>
        <w:t>consistent with best interests of child</w:t>
      </w:r>
      <w:r w:rsidRPr="00BE11F5">
        <w:rPr>
          <w:rFonts w:cs="Times New Roman"/>
        </w:rPr>
        <w:t xml:space="preserve">”: s. 16(6). This shift in language is more neutral </w:t>
      </w:r>
      <w:r w:rsidRPr="00BE11F5">
        <w:rPr>
          <w:rFonts w:cs="Times New Roman"/>
        </w:rPr>
        <w:lastRenderedPageBreak/>
        <w:t>and affirms the child-centric nature of the inquiry. Indeed, going forward, the “maximum contact principle” is better referred to as the “parenting time factor”.</w:t>
      </w:r>
    </w:p>
    <w:p w14:paraId="5ABD1797" w14:textId="77777777" w:rsidR="00567205" w:rsidRPr="00BE11F5" w:rsidRDefault="00567205" w:rsidP="00567205">
      <w:pPr>
        <w:pStyle w:val="Title5LevelTitre5Niveau"/>
        <w:tabs>
          <w:tab w:val="clear" w:pos="1440"/>
          <w:tab w:val="left" w:pos="1170"/>
        </w:tabs>
        <w:ind w:left="1170" w:hanging="540"/>
        <w:jc w:val="both"/>
        <w:rPr>
          <w:rFonts w:cs="Times New Roman"/>
        </w:rPr>
      </w:pPr>
      <w:r w:rsidRPr="00BE11F5">
        <w:rPr>
          <w:rFonts w:cs="Times New Roman"/>
        </w:rPr>
        <w:t>A Parent’s Testimony About Whether They Will Relocate Regardless of the Outcome of the Relocation Application</w:t>
      </w:r>
    </w:p>
    <w:p w14:paraId="233EF012" w14:textId="77777777" w:rsidR="00567205" w:rsidRPr="00BE11F5" w:rsidRDefault="00567205" w:rsidP="00567205">
      <w:pPr>
        <w:pStyle w:val="ParaNoNdepar-AltN"/>
        <w:tabs>
          <w:tab w:val="clear" w:pos="1152"/>
          <w:tab w:val="left" w:pos="1170"/>
          <w:tab w:val="num" w:pos="1332"/>
        </w:tabs>
        <w:rPr>
          <w:rFonts w:cs="Times New Roman"/>
          <w:lang w:val="en-GB"/>
        </w:rPr>
      </w:pPr>
      <w:r w:rsidRPr="00BE11F5">
        <w:rPr>
          <w:rFonts w:cs="Times New Roman"/>
          <w:i/>
        </w:rPr>
        <w:t xml:space="preserve">Gordon </w:t>
      </w:r>
      <w:r w:rsidRPr="00BE11F5">
        <w:rPr>
          <w:rFonts w:cs="Times New Roman"/>
        </w:rPr>
        <w:t>is silent as to whether, and how, a trier of fact may consider how the outcome of an application would affect the parties’ relocation plans. In this case, the mother indicated that she would return to Kelowna if her application was refused, while the father indicated he would not move to the Bulkley Valley if her application was granted.</w:t>
      </w:r>
    </w:p>
    <w:p w14:paraId="408CB1D0" w14:textId="77777777" w:rsidR="00567205" w:rsidRPr="00BE11F5" w:rsidRDefault="00567205" w:rsidP="00567205">
      <w:pPr>
        <w:pStyle w:val="ParaNoNdepar-AltN"/>
        <w:tabs>
          <w:tab w:val="clear" w:pos="1152"/>
          <w:tab w:val="left" w:pos="1170"/>
          <w:tab w:val="num" w:pos="1332"/>
        </w:tabs>
        <w:rPr>
          <w:rFonts w:cs="Times New Roman"/>
          <w:lang w:val="en-GB"/>
        </w:rPr>
      </w:pPr>
      <w:r w:rsidRPr="00BE11F5">
        <w:rPr>
          <w:rFonts w:cs="Times New Roman"/>
        </w:rPr>
        <w:t xml:space="preserve">In the years since </w:t>
      </w:r>
      <w:r w:rsidRPr="00BE11F5">
        <w:rPr>
          <w:rFonts w:cs="Times New Roman"/>
          <w:i/>
        </w:rPr>
        <w:t>Gordon</w:t>
      </w:r>
      <w:r w:rsidRPr="00BE11F5">
        <w:rPr>
          <w:rFonts w:cs="Times New Roman"/>
        </w:rPr>
        <w:t>, many courts have recognized the danger that such evidence will place parties in a “double bind”.</w:t>
      </w:r>
      <w:r w:rsidRPr="00BE11F5">
        <w:rPr>
          <w:rFonts w:cs="Times New Roman"/>
          <w:i/>
        </w:rPr>
        <w:t xml:space="preserve"> </w:t>
      </w:r>
      <w:r w:rsidRPr="00BE11F5">
        <w:rPr>
          <w:rFonts w:cs="Times New Roman"/>
          <w:lang w:val="en-GB"/>
        </w:rPr>
        <w:t xml:space="preserve">As Paperny J.A. explained in </w:t>
      </w:r>
      <w:r w:rsidRPr="00BE11F5">
        <w:rPr>
          <w:rFonts w:cs="Times New Roman"/>
          <w:i/>
          <w:lang w:val="en-GB"/>
        </w:rPr>
        <w:t>Spencer v. Spencer</w:t>
      </w:r>
      <w:r w:rsidRPr="00BE11F5">
        <w:rPr>
          <w:rFonts w:cs="Times New Roman"/>
          <w:lang w:val="en-GB"/>
        </w:rPr>
        <w:t>,</w:t>
      </w:r>
      <w:r w:rsidRPr="00BE11F5">
        <w:rPr>
          <w:rFonts w:cs="Times New Roman"/>
          <w:i/>
          <w:lang w:val="en-GB"/>
        </w:rPr>
        <w:t xml:space="preserve"> </w:t>
      </w:r>
      <w:r w:rsidRPr="00BE11F5">
        <w:rPr>
          <w:rFonts w:cs="Times New Roman"/>
          <w:lang w:val="en-GB"/>
        </w:rPr>
        <w:t>2005</w:t>
      </w:r>
      <w:r w:rsidRPr="00BE11F5">
        <w:rPr>
          <w:rFonts w:cs="Times New Roman"/>
          <w:i/>
          <w:lang w:val="en-GB"/>
        </w:rPr>
        <w:t xml:space="preserve"> </w:t>
      </w:r>
      <w:r w:rsidRPr="00BE11F5">
        <w:rPr>
          <w:rFonts w:cs="Times New Roman"/>
          <w:lang w:val="en-GB"/>
        </w:rPr>
        <w:t>ABCA 262, 257 D.L.R. (4th) 115, at para. 18:</w:t>
      </w:r>
    </w:p>
    <w:p w14:paraId="708E5924" w14:textId="77777777" w:rsidR="00567205" w:rsidRPr="00BE11F5" w:rsidRDefault="00567205" w:rsidP="00567205">
      <w:pPr>
        <w:pStyle w:val="CITATION"/>
        <w:tabs>
          <w:tab w:val="left" w:pos="1170"/>
        </w:tabs>
        <w:ind w:left="1260" w:right="0"/>
        <w:rPr>
          <w:rFonts w:cs="Times New Roman"/>
          <w:u w:val="single"/>
        </w:rPr>
      </w:pPr>
      <w:r w:rsidRPr="00BE11F5">
        <w:rPr>
          <w:rFonts w:cs="Times New Roman"/>
        </w:rPr>
        <w:tab/>
        <w:t>In conducting this inquiry, it is problematic to rely on representations by the custodial parent that he or she will not move without the children should the application to relocate be denied. The effect of such an inquiry places the parent seeking to relocate in a classic double bind. If the answer is that the parent is not willing to remain behind with the children, he or she raises the prospect of being regarded as self interested and discounting the children’s best interests in favour of his or her own. On the other hand, advising the court that the parent is prepared to forgo the requested move if unsuccessful, undermines the submissions in favour of relocation by suggesting that such a move is not critical to the parent’s well-being or to that of the children. If a judge mistakenly relies on a parent’s willingness to stay behind “for the sake of the children,” the status quo becomes an attractive option for a judge to favour because it avoids the difficult decision the application presents.</w:t>
      </w:r>
    </w:p>
    <w:p w14:paraId="1FFEBF74"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lastRenderedPageBreak/>
        <w:t xml:space="preserve">I agree. Considering a parent’s willingness to move with or without the child can give rise to a double bind: a parent can either appear to be putting their own interests ahead of their child, or they risk undermining the strength of their relocation application (see </w:t>
      </w:r>
      <w:r w:rsidRPr="00BE11F5">
        <w:rPr>
          <w:rFonts w:cs="Times New Roman"/>
          <w:i/>
          <w:lang w:bidi="en-US"/>
        </w:rPr>
        <w:t>D.P. v. R.B.</w:t>
      </w:r>
      <w:r w:rsidRPr="00BE11F5">
        <w:rPr>
          <w:rFonts w:cs="Times New Roman"/>
        </w:rPr>
        <w:t>, 2009 PECA 12</w:t>
      </w:r>
      <w:r w:rsidRPr="00BE11F5">
        <w:rPr>
          <w:rFonts w:cs="Times New Roman"/>
          <w:lang w:bidi="en-US"/>
        </w:rPr>
        <w:t>, 285 Nfld. &amp; P.E.I.R. 61,</w:t>
      </w:r>
      <w:r w:rsidRPr="00BE11F5">
        <w:rPr>
          <w:rFonts w:cs="Times New Roman"/>
        </w:rPr>
        <w:t xml:space="preserve"> at para. 32;</w:t>
      </w:r>
      <w:r w:rsidRPr="00BE11F5">
        <w:rPr>
          <w:rFonts w:cs="Times New Roman"/>
          <w:lang w:val="en-GB"/>
        </w:rPr>
        <w:t xml:space="preserve"> Jollimore and Sladic</w:t>
      </w:r>
      <w:r w:rsidRPr="00BE11F5">
        <w:rPr>
          <w:rFonts w:cs="Times New Roman"/>
        </w:rPr>
        <w:t>, at pp. 373-74).</w:t>
      </w:r>
    </w:p>
    <w:p w14:paraId="0B0384E8"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This risk has led appellate courts in many provinces to discourage trial judges from relying on a parent’s representations about whether they will move without the children: see </w:t>
      </w:r>
      <w:r w:rsidRPr="00BE11F5">
        <w:rPr>
          <w:rFonts w:cs="Times New Roman"/>
          <w:i/>
        </w:rPr>
        <w:t>Hopkins v. Hopkins</w:t>
      </w:r>
      <w:r w:rsidRPr="00BE11F5">
        <w:rPr>
          <w:rFonts w:cs="Times New Roman"/>
        </w:rPr>
        <w:t>, 2011 ABCA 372, at para. 6</w:t>
      </w:r>
      <w:r w:rsidRPr="00BE11F5">
        <w:rPr>
          <w:rFonts w:cs="Times New Roman"/>
          <w:lang w:bidi="en-US"/>
        </w:rPr>
        <w:t xml:space="preserve"> (CanLII)</w:t>
      </w:r>
      <w:r w:rsidRPr="00BE11F5">
        <w:rPr>
          <w:rFonts w:cs="Times New Roman"/>
        </w:rPr>
        <w:t xml:space="preserve">; </w:t>
      </w:r>
      <w:r w:rsidRPr="00BE11F5">
        <w:rPr>
          <w:rFonts w:cs="Times New Roman"/>
          <w:i/>
        </w:rPr>
        <w:t>Hejzlar</w:t>
      </w:r>
      <w:r w:rsidRPr="00BE11F5">
        <w:rPr>
          <w:rFonts w:cs="Times New Roman"/>
        </w:rPr>
        <w:t>, at paras. 24</w:t>
      </w:r>
      <w:r w:rsidRPr="00BE11F5">
        <w:rPr>
          <w:rFonts w:cs="Times New Roman"/>
        </w:rPr>
        <w:noBreakHyphen/>
        <w:t xml:space="preserve">27; </w:t>
      </w:r>
      <w:r w:rsidRPr="00BE11F5">
        <w:rPr>
          <w:rFonts w:cs="Times New Roman"/>
          <w:i/>
          <w:lang w:bidi="en-US"/>
        </w:rPr>
        <w:t>D.P.</w:t>
      </w:r>
      <w:r w:rsidRPr="00BE11F5">
        <w:rPr>
          <w:rFonts w:cs="Times New Roman"/>
        </w:rPr>
        <w:t xml:space="preserve">, at para. 32; </w:t>
      </w:r>
      <w:r w:rsidRPr="00BE11F5">
        <w:rPr>
          <w:rFonts w:cs="Times New Roman"/>
          <w:i/>
          <w:lang w:bidi="en-US"/>
        </w:rPr>
        <w:t>N.T. v. W.P.</w:t>
      </w:r>
      <w:r w:rsidRPr="00BE11F5">
        <w:rPr>
          <w:rFonts w:cs="Times New Roman"/>
        </w:rPr>
        <w:t>,</w:t>
      </w:r>
      <w:r w:rsidRPr="00BE11F5">
        <w:rPr>
          <w:rFonts w:cs="Times New Roman"/>
          <w:i/>
        </w:rPr>
        <w:t xml:space="preserve"> </w:t>
      </w:r>
      <w:r w:rsidRPr="00BE11F5">
        <w:rPr>
          <w:rFonts w:cs="Times New Roman"/>
        </w:rPr>
        <w:t xml:space="preserve">2011 NLCA 47, </w:t>
      </w:r>
      <w:r w:rsidRPr="00BE11F5">
        <w:rPr>
          <w:rFonts w:cs="Times New Roman"/>
          <w:lang w:bidi="en-US"/>
        </w:rPr>
        <w:t xml:space="preserve">309 Nfld. &amp; P.E.I.R. 350, </w:t>
      </w:r>
      <w:r w:rsidRPr="00BE11F5">
        <w:rPr>
          <w:rFonts w:cs="Times New Roman"/>
        </w:rPr>
        <w:t xml:space="preserve">at para. 9; </w:t>
      </w:r>
      <w:r w:rsidRPr="00BE11F5">
        <w:rPr>
          <w:rFonts w:cs="Times New Roman"/>
          <w:i/>
        </w:rPr>
        <w:t>Morrill v. Morrill</w:t>
      </w:r>
      <w:r w:rsidRPr="00BE11F5">
        <w:rPr>
          <w:rFonts w:cs="Times New Roman"/>
        </w:rPr>
        <w:t xml:space="preserve">, 2016 MBCA 66, </w:t>
      </w:r>
      <w:r w:rsidRPr="00BE11F5">
        <w:rPr>
          <w:rFonts w:cs="Times New Roman"/>
          <w:lang w:bidi="en-US"/>
        </w:rPr>
        <w:t xml:space="preserve">330 Man. R. (2d) 165, </w:t>
      </w:r>
      <w:r w:rsidRPr="00BE11F5">
        <w:rPr>
          <w:rFonts w:cs="Times New Roman"/>
        </w:rPr>
        <w:t>at para. 12.</w:t>
      </w:r>
    </w:p>
    <w:p w14:paraId="210E81DD"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The same approach is now reflected in the </w:t>
      </w:r>
      <w:r w:rsidRPr="00BE11F5">
        <w:rPr>
          <w:rFonts w:cs="Times New Roman"/>
          <w:i/>
        </w:rPr>
        <w:t>Divorce Act</w:t>
      </w:r>
      <w:r w:rsidRPr="00BE11F5">
        <w:rPr>
          <w:rFonts w:cs="Times New Roman"/>
        </w:rPr>
        <w:t xml:space="preserve">: s. 16.92(2) precludes the court from considering whether the moving parent would relocate with or without the children. I would add that a responding parent could just as easily fall victim to the problematic inferences associated with the double bind: see </w:t>
      </w:r>
      <w:r w:rsidRPr="00BE11F5">
        <w:rPr>
          <w:rFonts w:cs="Times New Roman"/>
          <w:i/>
          <w:lang w:val="en-GB" w:eastAsia="en-CA"/>
        </w:rPr>
        <w:t>Joseph v. Washington</w:t>
      </w:r>
      <w:r w:rsidRPr="00BE11F5">
        <w:rPr>
          <w:rFonts w:cs="Times New Roman"/>
          <w:lang w:val="en-GB" w:eastAsia="en-CA"/>
        </w:rPr>
        <w:t>,</w:t>
      </w:r>
      <w:r w:rsidRPr="00BE11F5">
        <w:rPr>
          <w:rFonts w:cs="Times New Roman"/>
          <w:i/>
          <w:lang w:val="en-GB" w:eastAsia="en-CA"/>
        </w:rPr>
        <w:t xml:space="preserve"> </w:t>
      </w:r>
      <w:r w:rsidRPr="00BE11F5">
        <w:rPr>
          <w:rFonts w:cs="Times New Roman"/>
          <w:lang w:val="en-GB" w:eastAsia="en-CA"/>
        </w:rPr>
        <w:t>2021 BCSC 2014, at paras. 101-11 (CanLII)</w:t>
      </w:r>
      <w:r w:rsidRPr="00BE11F5">
        <w:rPr>
          <w:rFonts w:cs="Times New Roman"/>
        </w:rPr>
        <w:t>. Therefore, in all cases, the court should not consider how the outcome of an application would affect the parties’ relocation plans.</w:t>
      </w:r>
    </w:p>
    <w:p w14:paraId="4498BCFF" w14:textId="77777777" w:rsidR="00567205" w:rsidRPr="00BE11F5" w:rsidRDefault="00567205" w:rsidP="00567205">
      <w:pPr>
        <w:pStyle w:val="Title5LevelTitre5Niveau"/>
        <w:tabs>
          <w:tab w:val="clear" w:pos="1440"/>
          <w:tab w:val="left" w:pos="1170"/>
        </w:tabs>
        <w:ind w:left="1710" w:hanging="1098"/>
        <w:jc w:val="both"/>
        <w:rPr>
          <w:rFonts w:cs="Times New Roman"/>
        </w:rPr>
      </w:pPr>
      <w:r w:rsidRPr="00BE11F5">
        <w:rPr>
          <w:rFonts w:cs="Times New Roman"/>
        </w:rPr>
        <w:t>Family Violence as a Relevant Factor</w:t>
      </w:r>
    </w:p>
    <w:p w14:paraId="329767F1"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In this case, the acrimonious relationship between the parties — featuring abusive conduct during the marriage, at separation, and at trial — was a significant </w:t>
      </w:r>
      <w:r w:rsidRPr="00BE11F5">
        <w:rPr>
          <w:rFonts w:cs="Times New Roman"/>
        </w:rPr>
        <w:lastRenderedPageBreak/>
        <w:t>factor in the trial judge’s relocation analysis. On appeal, the father argues that such “friction” is “not unusual for separating couples”: R.F., at para. 35.</w:t>
      </w:r>
    </w:p>
    <w:p w14:paraId="757B5234"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Since </w:t>
      </w:r>
      <w:r w:rsidRPr="00BE11F5">
        <w:rPr>
          <w:rFonts w:cs="Times New Roman"/>
          <w:i/>
        </w:rPr>
        <w:t>Gordon</w:t>
      </w:r>
      <w:r w:rsidRPr="00BE11F5">
        <w:rPr>
          <w:rFonts w:cs="Times New Roman"/>
        </w:rPr>
        <w:t>,</w:t>
      </w:r>
      <w:r w:rsidRPr="00BE11F5">
        <w:rPr>
          <w:rFonts w:cs="Times New Roman"/>
          <w:i/>
        </w:rPr>
        <w:t xml:space="preserve"> </w:t>
      </w:r>
      <w:r w:rsidRPr="00BE11F5">
        <w:rPr>
          <w:rFonts w:cs="Times New Roman"/>
        </w:rPr>
        <w:t xml:space="preserve">courts have increasingly recognized that any family violence or abuse may affect a child’s welfare and should be considered in relocation decisions: see </w:t>
      </w:r>
      <w:r w:rsidRPr="00BE11F5">
        <w:rPr>
          <w:rFonts w:cs="Times New Roman"/>
          <w:i/>
        </w:rPr>
        <w:t>Prokopchuk v. Borowski</w:t>
      </w:r>
      <w:r w:rsidRPr="00BE11F5">
        <w:rPr>
          <w:rFonts w:cs="Times New Roman"/>
        </w:rPr>
        <w:t>, 2010 ONSC 3833</w:t>
      </w:r>
      <w:r w:rsidRPr="00BE11F5">
        <w:rPr>
          <w:rFonts w:cs="Times New Roman"/>
          <w:lang w:bidi="en-US"/>
        </w:rPr>
        <w:t>, 88 R.F.L. (6th) 140</w:t>
      </w:r>
      <w:r w:rsidRPr="00BE11F5">
        <w:rPr>
          <w:rFonts w:cs="Times New Roman"/>
        </w:rPr>
        <w:t xml:space="preserve">; </w:t>
      </w:r>
      <w:r w:rsidRPr="00BE11F5">
        <w:rPr>
          <w:rFonts w:cs="Times New Roman"/>
          <w:i/>
        </w:rPr>
        <w:t>Lawless v. Lawless</w:t>
      </w:r>
      <w:r w:rsidRPr="00BE11F5">
        <w:rPr>
          <w:rFonts w:cs="Times New Roman"/>
        </w:rPr>
        <w:t>, 2003 ABQB 800, at para. 12</w:t>
      </w:r>
      <w:r w:rsidRPr="00BE11F5">
        <w:rPr>
          <w:rFonts w:cs="Times New Roman"/>
          <w:lang w:bidi="en-US"/>
        </w:rPr>
        <w:t xml:space="preserve"> (CanLII)</w:t>
      </w:r>
      <w:r w:rsidRPr="00BE11F5">
        <w:rPr>
          <w:rFonts w:cs="Times New Roman"/>
        </w:rPr>
        <w:t xml:space="preserve">; </w:t>
      </w:r>
      <w:r w:rsidRPr="00BE11F5">
        <w:rPr>
          <w:rFonts w:cs="Times New Roman"/>
          <w:i/>
        </w:rPr>
        <w:t>Cameron v. Cameron</w:t>
      </w:r>
      <w:r w:rsidRPr="00BE11F5">
        <w:rPr>
          <w:rFonts w:cs="Times New Roman"/>
        </w:rPr>
        <w:t xml:space="preserve">, </w:t>
      </w:r>
      <w:r w:rsidRPr="00BE11F5">
        <w:rPr>
          <w:rFonts w:cs="Times New Roman"/>
          <w:lang w:bidi="en-US"/>
        </w:rPr>
        <w:t>2003 MBQB 149, 41 R.F.L. (5th) 30</w:t>
      </w:r>
      <w:r w:rsidRPr="00BE11F5">
        <w:rPr>
          <w:rFonts w:cs="Times New Roman"/>
        </w:rPr>
        <w:t xml:space="preserve">; </w:t>
      </w:r>
      <w:r w:rsidRPr="00BE11F5">
        <w:rPr>
          <w:rFonts w:cs="Times New Roman"/>
          <w:i/>
          <w:lang w:bidi="en-US"/>
        </w:rPr>
        <w:t>Abbott-</w:t>
      </w:r>
      <w:r w:rsidRPr="00BE11F5">
        <w:rPr>
          <w:rFonts w:cs="Times New Roman"/>
          <w:i/>
        </w:rPr>
        <w:t>Ewen v. Ewen</w:t>
      </w:r>
      <w:r w:rsidRPr="00BE11F5">
        <w:rPr>
          <w:rFonts w:cs="Times New Roman"/>
        </w:rPr>
        <w:t>, 2010 ONSC 2121</w:t>
      </w:r>
      <w:r w:rsidRPr="00BE11F5">
        <w:rPr>
          <w:rFonts w:cs="Times New Roman"/>
          <w:lang w:bidi="en-US"/>
        </w:rPr>
        <w:t>, 86 R.F.L. (6th) 428</w:t>
      </w:r>
      <w:r w:rsidRPr="00BE11F5">
        <w:rPr>
          <w:rFonts w:cs="Times New Roman"/>
        </w:rPr>
        <w:t xml:space="preserve">; </w:t>
      </w:r>
      <w:r w:rsidRPr="00BE11F5">
        <w:rPr>
          <w:rFonts w:cs="Times New Roman"/>
          <w:i/>
        </w:rPr>
        <w:t>N.D.L. v. M.S.L.</w:t>
      </w:r>
      <w:r w:rsidRPr="00BE11F5">
        <w:rPr>
          <w:rFonts w:cs="Times New Roman"/>
        </w:rPr>
        <w:t xml:space="preserve">, 2010 NSSC 68, </w:t>
      </w:r>
      <w:r w:rsidRPr="00BE11F5">
        <w:rPr>
          <w:rFonts w:cs="Times New Roman"/>
          <w:lang w:bidi="en-US"/>
        </w:rPr>
        <w:t xml:space="preserve">289 N.S.R. (2d) 8, </w:t>
      </w:r>
      <w:r w:rsidRPr="00BE11F5">
        <w:rPr>
          <w:rFonts w:cs="Times New Roman"/>
        </w:rPr>
        <w:t xml:space="preserve">at paras. 22-23 and 35; </w:t>
      </w:r>
      <w:r w:rsidRPr="00BE11F5">
        <w:rPr>
          <w:rFonts w:cs="Times New Roman"/>
          <w:i/>
          <w:lang w:bidi="en-US"/>
        </w:rPr>
        <w:t>E.S.M. v. J.B.B.</w:t>
      </w:r>
      <w:r w:rsidRPr="00BE11F5">
        <w:rPr>
          <w:rFonts w:cs="Times New Roman"/>
        </w:rPr>
        <w:t xml:space="preserve">, 2012 NSCA 80, </w:t>
      </w:r>
      <w:r w:rsidRPr="00BE11F5">
        <w:rPr>
          <w:rFonts w:cs="Times New Roman"/>
          <w:lang w:bidi="en-US"/>
        </w:rPr>
        <w:t xml:space="preserve">319 N.S.R. (2d) 232, </w:t>
      </w:r>
      <w:r w:rsidRPr="00BE11F5">
        <w:rPr>
          <w:rFonts w:cs="Times New Roman"/>
        </w:rPr>
        <w:t xml:space="preserve">at paras. 55-57. Courts have been significantly more likely to allow relocation applications where there was a finding of abuse: </w:t>
      </w:r>
      <w:r w:rsidRPr="00BE11F5">
        <w:rPr>
          <w:rFonts w:cs="Times New Roman"/>
          <w:lang w:bidi="en-US"/>
        </w:rPr>
        <w:t>Department of Justice</w:t>
      </w:r>
      <w:r w:rsidRPr="00BE11F5">
        <w:rPr>
          <w:rFonts w:cs="Times New Roman"/>
        </w:rPr>
        <w:t xml:space="preserve">, </w:t>
      </w:r>
      <w:r w:rsidRPr="00BE11F5">
        <w:rPr>
          <w:rFonts w:cs="Times New Roman"/>
          <w:i/>
        </w:rPr>
        <w:t>A Study of Post-Separation/Divorce Parental Relocation</w:t>
      </w:r>
      <w:r w:rsidRPr="00BE11F5">
        <w:rPr>
          <w:rFonts w:cs="Times New Roman"/>
        </w:rPr>
        <w:t xml:space="preserve"> (2014), at ch. 3.3.4.</w:t>
      </w:r>
    </w:p>
    <w:p w14:paraId="170D83F0"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The suggestion that domestic abuse or family violence has no impact on the children and has nothing to do with the perpetrator’s parenting ability is untenable. Research indicates that children who are exposed to family violence are at risk of emotional and behavioural problems throughout their lives: Department of Justice,</w:t>
      </w:r>
      <w:r w:rsidRPr="00BE11F5">
        <w:rPr>
          <w:rFonts w:cs="Times New Roman"/>
          <w:i/>
        </w:rPr>
        <w:t xml:space="preserve"> Risk Factors for Children in Situations of Family Violence in the Context of Separation and Divorce</w:t>
      </w:r>
      <w:r w:rsidRPr="00BE11F5">
        <w:rPr>
          <w:rFonts w:cs="Times New Roman"/>
        </w:rPr>
        <w:t xml:space="preserve"> (February 2014), at p. 12. Harm can result from direct or indirect exposure to domestic conflicts, for example, by observing the incident, experiencing its aftermath, or hearing about it: S. Artz et al., “A Comprehensive Review of the Literature on the </w:t>
      </w:r>
      <w:r w:rsidRPr="00BE11F5">
        <w:rPr>
          <w:rFonts w:cs="Times New Roman"/>
        </w:rPr>
        <w:lastRenderedPageBreak/>
        <w:t xml:space="preserve">Impact of Exposure to Intimate Partner Violence for Children and Youth” (2014), 5 </w:t>
      </w:r>
      <w:r w:rsidRPr="00BE11F5">
        <w:rPr>
          <w:rFonts w:cs="Times New Roman"/>
          <w:i/>
          <w:lang w:bidi="en-US"/>
        </w:rPr>
        <w:t xml:space="preserve">I.J.C.Y.F.S. </w:t>
      </w:r>
      <w:r w:rsidRPr="00BE11F5">
        <w:rPr>
          <w:rFonts w:cs="Times New Roman"/>
        </w:rPr>
        <w:t>493, at p. 497.</w:t>
      </w:r>
    </w:p>
    <w:p w14:paraId="7C8B4927" w14:textId="77777777" w:rsidR="00567205" w:rsidRPr="00BE11F5" w:rsidRDefault="00567205" w:rsidP="00567205">
      <w:pPr>
        <w:pStyle w:val="ParaNoNdepar-AltN"/>
        <w:tabs>
          <w:tab w:val="clear" w:pos="1152"/>
          <w:tab w:val="left" w:pos="1170"/>
          <w:tab w:val="num" w:pos="1332"/>
        </w:tabs>
        <w:rPr>
          <w:rFonts w:cs="Times New Roman"/>
          <w:lang w:val="en-US"/>
        </w:rPr>
      </w:pPr>
      <w:r w:rsidRPr="00BE11F5">
        <w:rPr>
          <w:rFonts w:cs="Times New Roman"/>
        </w:rPr>
        <w:t xml:space="preserve">Domestic violence allegations are notoriously difficult to prove: P. G. Jaffe, C. V. Crooks and N. Bala, “A Framework for Addressing Allegations of Domestic Violence in Child Custody Disputes” (2009), 6 </w:t>
      </w:r>
      <w:r w:rsidRPr="00BE11F5">
        <w:rPr>
          <w:rFonts w:cs="Times New Roman"/>
          <w:i/>
        </w:rPr>
        <w:t xml:space="preserve">J. Child Custody </w:t>
      </w:r>
      <w:r w:rsidRPr="00BE11F5">
        <w:rPr>
          <w:rFonts w:cs="Times New Roman"/>
        </w:rPr>
        <w:t xml:space="preserve">169, at p. 175; A. M. Bailey, “Prioritizing Child Safety as the Prime Best-Interest Factor” (2013), 47 </w:t>
      </w:r>
      <w:r w:rsidRPr="00BE11F5">
        <w:rPr>
          <w:rFonts w:cs="Times New Roman"/>
          <w:i/>
        </w:rPr>
        <w:t xml:space="preserve">Fam. L.Q. </w:t>
      </w:r>
      <w:r w:rsidRPr="00BE11F5">
        <w:rPr>
          <w:rFonts w:cs="Times New Roman"/>
        </w:rPr>
        <w:t xml:space="preserve">35, at pp. 44-45. As the interveners West Coast LEAF Association and Rise Women’s Legal Centre point out, family violence often takes place behind closed doors and may lack corroborating evidence: see S. B. Boyd and R. Lindy, “Violence Against Women and the B.C. </w:t>
      </w:r>
      <w:r w:rsidRPr="00BE11F5">
        <w:rPr>
          <w:rFonts w:cs="Times New Roman"/>
          <w:i/>
        </w:rPr>
        <w:t>Family Law Act</w:t>
      </w:r>
      <w:r w:rsidRPr="00BE11F5">
        <w:rPr>
          <w:rFonts w:cs="Times New Roman"/>
        </w:rPr>
        <w:t>: Early Jurisprudence” (2016),</w:t>
      </w:r>
      <w:r w:rsidRPr="00BE11F5">
        <w:rPr>
          <w:rFonts w:cs="Times New Roman"/>
          <w:i/>
        </w:rPr>
        <w:t xml:space="preserve"> </w:t>
      </w:r>
      <w:r w:rsidRPr="00BE11F5">
        <w:rPr>
          <w:rFonts w:cs="Times New Roman"/>
          <w:lang w:bidi="en-US"/>
        </w:rPr>
        <w:t xml:space="preserve">35 </w:t>
      </w:r>
      <w:r w:rsidRPr="00BE11F5">
        <w:rPr>
          <w:rFonts w:cs="Times New Roman"/>
          <w:i/>
          <w:lang w:bidi="en-US"/>
        </w:rPr>
        <w:t xml:space="preserve">C.F.L.Q. </w:t>
      </w:r>
      <w:r w:rsidRPr="00BE11F5">
        <w:rPr>
          <w:rFonts w:cs="Times New Roman"/>
          <w:lang w:bidi="en-US"/>
        </w:rPr>
        <w:t>101</w:t>
      </w:r>
      <w:r w:rsidRPr="00BE11F5">
        <w:rPr>
          <w:rFonts w:cs="Times New Roman"/>
        </w:rPr>
        <w:t xml:space="preserve">, at p. 115. </w:t>
      </w:r>
      <w:r w:rsidRPr="00BE11F5" w:rsidDel="00C13F0E">
        <w:rPr>
          <w:rFonts w:cs="Times New Roman"/>
        </w:rPr>
        <w:t xml:space="preserve">Thus, proof of even one incident may raise safety concerns for the victim or may overlap </w:t>
      </w:r>
      <w:r w:rsidRPr="00BE11F5">
        <w:rPr>
          <w:rFonts w:cs="Times New Roman"/>
        </w:rPr>
        <w:t xml:space="preserve">with </w:t>
      </w:r>
      <w:r w:rsidRPr="00BE11F5" w:rsidDel="00C13F0E">
        <w:rPr>
          <w:rFonts w:cs="Times New Roman"/>
        </w:rPr>
        <w:t>and enhance the significance of other factors, such as the need for limited contact or support.</w:t>
      </w:r>
    </w:p>
    <w:p w14:paraId="06825B80" w14:textId="77777777" w:rsidR="00567205" w:rsidRPr="00BE11F5" w:rsidRDefault="00567205" w:rsidP="00567205">
      <w:pPr>
        <w:pStyle w:val="ParaNoNdepar-AltN"/>
        <w:tabs>
          <w:tab w:val="clear" w:pos="1152"/>
          <w:tab w:val="left" w:pos="1170"/>
          <w:tab w:val="num" w:pos="1332"/>
        </w:tabs>
        <w:rPr>
          <w:rFonts w:cs="Times New Roman"/>
          <w:lang w:val="en-US"/>
        </w:rPr>
      </w:pPr>
      <w:r w:rsidRPr="00BE11F5">
        <w:rPr>
          <w:rFonts w:cs="Times New Roman"/>
        </w:rPr>
        <w:t xml:space="preserve">The prospect that such findings could be unnecessarily relitigated on appeal will only deter abuse survivors from coming forward. And as it stands, the evidence shows that most family violence goes unreported: L. C. Neilson, </w:t>
      </w:r>
      <w:r w:rsidRPr="00BE11F5">
        <w:rPr>
          <w:rFonts w:cs="Times New Roman"/>
          <w:i/>
        </w:rPr>
        <w:t>Responding to Domestic Violence in Family Law, Civil Protection &amp; Child Protection Cases</w:t>
      </w:r>
      <w:r w:rsidRPr="00BE11F5">
        <w:rPr>
          <w:rFonts w:cs="Times New Roman"/>
        </w:rPr>
        <w:t xml:space="preserve"> (</w:t>
      </w:r>
      <w:r w:rsidRPr="00BE11F5">
        <w:rPr>
          <w:rFonts w:cs="Times New Roman"/>
          <w:lang w:bidi="en-US"/>
        </w:rPr>
        <w:t xml:space="preserve">2nd ed. </w:t>
      </w:r>
      <w:r w:rsidRPr="00BE11F5">
        <w:rPr>
          <w:rFonts w:cs="Times New Roman"/>
        </w:rPr>
        <w:t xml:space="preserve">2020), </w:t>
      </w:r>
      <w:r w:rsidRPr="00BE11F5">
        <w:rPr>
          <w:rFonts w:cs="Times New Roman"/>
          <w:lang w:bidi="en-US"/>
        </w:rPr>
        <w:t>2017 CanLIIDocs 2 (online)</w:t>
      </w:r>
      <w:r w:rsidRPr="00BE11F5">
        <w:rPr>
          <w:rFonts w:cs="Times New Roman"/>
        </w:rPr>
        <w:t>, at ch. 4.5.2.</w:t>
      </w:r>
    </w:p>
    <w:p w14:paraId="51FCFA91"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The recent amendments to the </w:t>
      </w:r>
      <w:r w:rsidRPr="00BE11F5">
        <w:rPr>
          <w:rFonts w:cs="Times New Roman"/>
          <w:i/>
        </w:rPr>
        <w:t>Divorce Act</w:t>
      </w:r>
      <w:r w:rsidRPr="00BE11F5">
        <w:rPr>
          <w:rFonts w:cs="Times New Roman"/>
        </w:rPr>
        <w:t xml:space="preserve"> recognize that findings of family violence are a critical cons</w:t>
      </w:r>
      <w:r>
        <w:rPr>
          <w:rFonts w:cs="Times New Roman"/>
        </w:rPr>
        <w:t>ideration in the best interests</w:t>
      </w:r>
      <w:r w:rsidRPr="00BE11F5">
        <w:rPr>
          <w:rFonts w:cs="Times New Roman"/>
        </w:rPr>
        <w:t xml:space="preserve"> analysis</w:t>
      </w:r>
      <w:r>
        <w:rPr>
          <w:rFonts w:cs="Times New Roman"/>
        </w:rPr>
        <w:t xml:space="preserve">: </w:t>
      </w:r>
      <w:r w:rsidRPr="00BE11F5">
        <w:rPr>
          <w:rFonts w:cs="Times New Roman"/>
        </w:rPr>
        <w:t xml:space="preserve">s. 16(3)(j) and (4). The </w:t>
      </w:r>
      <w:r w:rsidRPr="00BE11F5">
        <w:rPr>
          <w:rFonts w:cs="Times New Roman"/>
          <w:i/>
        </w:rPr>
        <w:t>Divorce Act</w:t>
      </w:r>
      <w:r w:rsidRPr="00BE11F5">
        <w:rPr>
          <w:rFonts w:cs="Times New Roman"/>
        </w:rPr>
        <w:t xml:space="preserve"> broadly defines family violence in s. 2(1) to include any violent </w:t>
      </w:r>
      <w:r w:rsidRPr="00BE11F5">
        <w:rPr>
          <w:rFonts w:cs="Times New Roman"/>
        </w:rPr>
        <w:lastRenderedPageBreak/>
        <w:t>or threatening conduct, ranging from physical abuse to psychological and financial abuse. Courts must consider family violence and its impact on the ability and willingness of any person who engaged in the family violence to care for and meet the needs of the child.</w:t>
      </w:r>
    </w:p>
    <w:p w14:paraId="712567F0"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Because family violence may be a reason for the relocation and given the grave implications that any form of family violence poses for the positive development of children, this is an important factor in mobility cases.</w:t>
      </w:r>
    </w:p>
    <w:p w14:paraId="4311452B" w14:textId="77777777" w:rsidR="00567205" w:rsidRPr="00BE11F5" w:rsidRDefault="00567205" w:rsidP="00567205">
      <w:pPr>
        <w:pStyle w:val="Title4LevelTitre4Niveau"/>
        <w:tabs>
          <w:tab w:val="clear" w:pos="900"/>
          <w:tab w:val="clear" w:pos="1152"/>
          <w:tab w:val="left" w:pos="1170"/>
        </w:tabs>
        <w:jc w:val="both"/>
        <w:rPr>
          <w:rFonts w:cs="Times New Roman"/>
        </w:rPr>
      </w:pPr>
      <w:r w:rsidRPr="00BE11F5">
        <w:rPr>
          <w:rFonts w:cs="Times New Roman"/>
        </w:rPr>
        <w:t>Summary of the Framework for Determining Whether Relocation Is in the Best Interests of the Child</w:t>
      </w:r>
    </w:p>
    <w:p w14:paraId="08975A84"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More than two decades ago, this Court set out a framework for relocation applications in </w:t>
      </w:r>
      <w:r w:rsidRPr="00BE11F5">
        <w:rPr>
          <w:rFonts w:cs="Times New Roman"/>
          <w:i/>
        </w:rPr>
        <w:t>Gordon</w:t>
      </w:r>
      <w:r w:rsidRPr="00BE11F5">
        <w:rPr>
          <w:rFonts w:cs="Times New Roman"/>
        </w:rPr>
        <w:t>: paras. 49-50. It applies to relocation issues that arise at first instance and in the context of applications to vary existing parenting orders.</w:t>
      </w:r>
    </w:p>
    <w:p w14:paraId="31782FE7"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Since then, our jurisprudence has refined the </w:t>
      </w:r>
      <w:r w:rsidRPr="00BE11F5">
        <w:rPr>
          <w:rFonts w:cs="Times New Roman"/>
          <w:i/>
        </w:rPr>
        <w:t>Gordon</w:t>
      </w:r>
      <w:r w:rsidRPr="00BE11F5">
        <w:rPr>
          <w:rFonts w:cs="Times New Roman"/>
        </w:rPr>
        <w:t xml:space="preserve"> framework, and, subject to two notable exceptions, the </w:t>
      </w:r>
      <w:r w:rsidRPr="00BE11F5">
        <w:rPr>
          <w:rFonts w:cs="Times New Roman"/>
          <w:i/>
        </w:rPr>
        <w:t>Divorce Act</w:t>
      </w:r>
      <w:r w:rsidRPr="00BE11F5">
        <w:rPr>
          <w:rFonts w:cs="Times New Roman"/>
        </w:rPr>
        <w:t xml:space="preserve"> has largely codified it. Where the </w:t>
      </w:r>
      <w:r w:rsidRPr="00BE11F5">
        <w:rPr>
          <w:rFonts w:cs="Times New Roman"/>
          <w:i/>
        </w:rPr>
        <w:t xml:space="preserve">Divorce Act </w:t>
      </w:r>
      <w:r w:rsidRPr="00BE11F5">
        <w:rPr>
          <w:rFonts w:cs="Times New Roman"/>
        </w:rPr>
        <w:t xml:space="preserve">departs from </w:t>
      </w:r>
      <w:r w:rsidRPr="00BE11F5">
        <w:rPr>
          <w:rFonts w:cs="Times New Roman"/>
          <w:i/>
        </w:rPr>
        <w:t>Gordon</w:t>
      </w:r>
      <w:r w:rsidRPr="00BE11F5">
        <w:rPr>
          <w:rFonts w:cs="Times New Roman"/>
        </w:rPr>
        <w:t xml:space="preserve">, the changes reflect the collective judicial experience of applying the </w:t>
      </w:r>
      <w:r w:rsidRPr="00BE11F5">
        <w:rPr>
          <w:rFonts w:cs="Times New Roman"/>
          <w:i/>
        </w:rPr>
        <w:t xml:space="preserve">Gordon </w:t>
      </w:r>
      <w:r w:rsidRPr="00BE11F5">
        <w:rPr>
          <w:rFonts w:cs="Times New Roman"/>
        </w:rPr>
        <w:t xml:space="preserve">factors. While </w:t>
      </w:r>
      <w:r w:rsidRPr="00BE11F5">
        <w:rPr>
          <w:rFonts w:cs="Times New Roman"/>
          <w:i/>
        </w:rPr>
        <w:t xml:space="preserve">Gordon </w:t>
      </w:r>
      <w:r w:rsidRPr="00BE11F5">
        <w:rPr>
          <w:rFonts w:cs="Times New Roman"/>
        </w:rPr>
        <w:t xml:space="preserve">rejected a legal presumption in favour of either party, the </w:t>
      </w:r>
      <w:r w:rsidRPr="00BE11F5">
        <w:rPr>
          <w:rFonts w:cs="Times New Roman"/>
          <w:i/>
        </w:rPr>
        <w:t>Divorce Act</w:t>
      </w:r>
      <w:r w:rsidRPr="00BE11F5">
        <w:rPr>
          <w:rFonts w:cs="Times New Roman"/>
        </w:rPr>
        <w:t xml:space="preserve"> now contains a burden of proof where there is a pre</w:t>
      </w:r>
      <w:r w:rsidRPr="00BE11F5">
        <w:rPr>
          <w:rFonts w:cs="Times New Roman"/>
        </w:rPr>
        <w:noBreakHyphen/>
        <w:t xml:space="preserve">existing parenting order, award or agreement: s. 16.93. And although </w:t>
      </w:r>
      <w:r w:rsidRPr="00BE11F5">
        <w:rPr>
          <w:rFonts w:cs="Times New Roman"/>
          <w:i/>
        </w:rPr>
        <w:t xml:space="preserve">Gordon </w:t>
      </w:r>
      <w:r w:rsidRPr="00BE11F5">
        <w:rPr>
          <w:rFonts w:cs="Times New Roman"/>
        </w:rPr>
        <w:t>restricted whether courts could consider a moving party’s reasons for relocating, this is now an express consideration in the best-interests-of-the-child analysis: s. 16.92(1)(a).</w:t>
      </w:r>
    </w:p>
    <w:p w14:paraId="6AD2825D"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lastRenderedPageBreak/>
        <w:t xml:space="preserve">The new </w:t>
      </w:r>
      <w:r w:rsidRPr="00BE11F5">
        <w:rPr>
          <w:rFonts w:cs="Times New Roman"/>
          <w:i/>
        </w:rPr>
        <w:t xml:space="preserve">Divorce Act </w:t>
      </w:r>
      <w:r w:rsidRPr="00BE11F5">
        <w:rPr>
          <w:rFonts w:cs="Times New Roman"/>
        </w:rPr>
        <w:t xml:space="preserve">amendments also respond to issues identified in the case law over the past few decades, which did not arise in </w:t>
      </w:r>
      <w:r w:rsidRPr="00BE11F5">
        <w:rPr>
          <w:rFonts w:cs="Times New Roman"/>
          <w:i/>
        </w:rPr>
        <w:t>Gordon</w:t>
      </w:r>
      <w:r w:rsidRPr="00BE11F5">
        <w:rPr>
          <w:rFonts w:cs="Times New Roman"/>
        </w:rPr>
        <w:t xml:space="preserve">. Section 16.92(2) now provides that trial judges shall not consider a parent’s testimony that they would move with or without the child. Furthermore, ss. 16(3)(j) and 16(4) of the </w:t>
      </w:r>
      <w:r w:rsidRPr="00BE11F5">
        <w:rPr>
          <w:rFonts w:cs="Times New Roman"/>
          <w:i/>
        </w:rPr>
        <w:t>Divorce Act</w:t>
      </w:r>
      <w:r w:rsidRPr="00BE11F5">
        <w:rPr>
          <w:rFonts w:cs="Times New Roman"/>
        </w:rPr>
        <w:t xml:space="preserve"> now instruct courts to consider any form of family violence and its impact on the perpetrator’s ability to care for the child.</w:t>
      </w:r>
    </w:p>
    <w:p w14:paraId="28E014A2"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In light of the jurisprudential and legislative refinements, the common law relocation framework can be restated as follows.</w:t>
      </w:r>
    </w:p>
    <w:p w14:paraId="37846597"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The crucial question is whether relocation is in the best interests of the child, having regard to the child’s physical, emotional and psychological safety, security and well-being. This inquiry is highly fact-specific and discretionary.</w:t>
      </w:r>
    </w:p>
    <w:p w14:paraId="6D3A2A6B"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Our jurisprudence and statutes provide a rich foundation for such an inquiry: see, for example, s. 16 of the </w:t>
      </w:r>
      <w:r w:rsidRPr="00BE11F5">
        <w:rPr>
          <w:rFonts w:cs="Times New Roman"/>
          <w:i/>
        </w:rPr>
        <w:t>Divorce Act</w:t>
      </w:r>
      <w:r w:rsidRPr="00BE11F5">
        <w:rPr>
          <w:rFonts w:cs="Times New Roman"/>
        </w:rPr>
        <w:t xml:space="preserve">. A court shall consider all factors related to the circumstances of the child, which may include the child’s views and preferences, the history of caregiving, any incidents of family violence, or a child’s cultural, linguistic, religious and spiritual upbringing and heritage. A court shall also consider each parent’s willingness to support the development and maintenance of the child’s relationship with the other parent, and shall give effect to the principle that a child should have as much time with each parent, as is consistent with the best interests of the child. These examples are illustrative, not exhaustive. While some of these </w:t>
      </w:r>
      <w:r w:rsidRPr="00BE11F5">
        <w:rPr>
          <w:rFonts w:cs="Times New Roman"/>
        </w:rPr>
        <w:lastRenderedPageBreak/>
        <w:t xml:space="preserve">factors were specifically noted under </w:t>
      </w:r>
      <w:r w:rsidRPr="00BE11F5">
        <w:rPr>
          <w:rFonts w:cs="Times New Roman"/>
          <w:i/>
        </w:rPr>
        <w:t>Gordon</w:t>
      </w:r>
      <w:r w:rsidRPr="00BE11F5">
        <w:rPr>
          <w:rFonts w:cs="Times New Roman"/>
        </w:rPr>
        <w:t>, they have broad application to the best interests of the child.</w:t>
      </w:r>
    </w:p>
    <w:p w14:paraId="6B7A3F88"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However, traditional considerations bearing on the best interests of the child must be considered in the context of the unique challenges posed by relocation cases. In addition to the factors that a court will generally consider when determining the best interests of the child and any applicable notice requirements, a court should also consider:</w:t>
      </w:r>
    </w:p>
    <w:p w14:paraId="4BE43D91" w14:textId="77777777" w:rsidR="00567205" w:rsidRPr="00BE11F5" w:rsidRDefault="00567205" w:rsidP="00567205">
      <w:pPr>
        <w:pStyle w:val="CITATION"/>
        <w:numPr>
          <w:ilvl w:val="0"/>
          <w:numId w:val="13"/>
        </w:numPr>
        <w:tabs>
          <w:tab w:val="left" w:pos="1170"/>
          <w:tab w:val="left" w:pos="2160"/>
        </w:tabs>
        <w:spacing w:before="480" w:after="480" w:line="480" w:lineRule="auto"/>
        <w:ind w:left="2160" w:right="0" w:hanging="900"/>
        <w:rPr>
          <w:rFonts w:cs="Times New Roman"/>
        </w:rPr>
      </w:pPr>
      <w:r w:rsidRPr="00BE11F5">
        <w:rPr>
          <w:rFonts w:cs="Times New Roman"/>
        </w:rPr>
        <w:t>the reasons for the relocation;</w:t>
      </w:r>
    </w:p>
    <w:p w14:paraId="0E1AB294" w14:textId="77777777" w:rsidR="00567205" w:rsidRPr="00BE11F5" w:rsidRDefault="00567205" w:rsidP="00567205">
      <w:pPr>
        <w:pStyle w:val="CITATION"/>
        <w:numPr>
          <w:ilvl w:val="0"/>
          <w:numId w:val="13"/>
        </w:numPr>
        <w:tabs>
          <w:tab w:val="left" w:pos="1170"/>
        </w:tabs>
        <w:spacing w:before="480" w:after="480" w:line="480" w:lineRule="auto"/>
        <w:ind w:left="2160" w:right="0" w:hanging="900"/>
        <w:rPr>
          <w:rFonts w:cs="Times New Roman"/>
        </w:rPr>
      </w:pPr>
      <w:r w:rsidRPr="00BE11F5">
        <w:rPr>
          <w:rFonts w:cs="Times New Roman"/>
        </w:rPr>
        <w:t>the impact of the relocation on the child;</w:t>
      </w:r>
    </w:p>
    <w:p w14:paraId="31419582" w14:textId="77777777" w:rsidR="00567205" w:rsidRPr="00BE11F5" w:rsidRDefault="00567205" w:rsidP="00567205">
      <w:pPr>
        <w:pStyle w:val="CITATION"/>
        <w:numPr>
          <w:ilvl w:val="0"/>
          <w:numId w:val="13"/>
        </w:numPr>
        <w:tabs>
          <w:tab w:val="left" w:pos="1170"/>
        </w:tabs>
        <w:spacing w:before="480" w:after="480" w:line="480" w:lineRule="auto"/>
        <w:ind w:left="2160" w:right="0" w:hanging="900"/>
        <w:rPr>
          <w:rFonts w:cs="Times New Roman"/>
        </w:rPr>
      </w:pPr>
      <w:r w:rsidRPr="00BE11F5">
        <w:rPr>
          <w:rFonts w:cs="Times New Roman"/>
        </w:rPr>
        <w:t>the amount of time spent with the child by each person who has parenting time or a pending application for a parenting order and the level of involvement in the child’s life of each of those persons;</w:t>
      </w:r>
    </w:p>
    <w:p w14:paraId="3C11697A" w14:textId="77777777" w:rsidR="00567205" w:rsidRPr="00BE11F5" w:rsidRDefault="00567205" w:rsidP="00567205">
      <w:pPr>
        <w:pStyle w:val="CITATION"/>
        <w:numPr>
          <w:ilvl w:val="0"/>
          <w:numId w:val="13"/>
        </w:numPr>
        <w:tabs>
          <w:tab w:val="left" w:pos="1170"/>
        </w:tabs>
        <w:spacing w:before="480" w:after="480" w:line="480" w:lineRule="auto"/>
        <w:ind w:left="2160" w:right="0" w:hanging="900"/>
        <w:rPr>
          <w:rFonts w:cs="Times New Roman"/>
        </w:rPr>
      </w:pPr>
      <w:r w:rsidRPr="00BE11F5">
        <w:rPr>
          <w:rFonts w:cs="Times New Roman"/>
        </w:rPr>
        <w:t>the existence of an order, arbitral award, or agreement that specifies the geographic area in which the child is to reside;</w:t>
      </w:r>
    </w:p>
    <w:p w14:paraId="03085194" w14:textId="77777777" w:rsidR="00567205" w:rsidRPr="00BE11F5" w:rsidRDefault="00567205" w:rsidP="00567205">
      <w:pPr>
        <w:pStyle w:val="CITATION"/>
        <w:numPr>
          <w:ilvl w:val="0"/>
          <w:numId w:val="13"/>
        </w:numPr>
        <w:tabs>
          <w:tab w:val="left" w:pos="1170"/>
        </w:tabs>
        <w:spacing w:before="480" w:after="480" w:line="480" w:lineRule="auto"/>
        <w:ind w:left="2250" w:right="0" w:hanging="990"/>
        <w:rPr>
          <w:rFonts w:cs="Times New Roman"/>
        </w:rPr>
      </w:pPr>
      <w:r w:rsidRPr="00BE11F5">
        <w:rPr>
          <w:rFonts w:cs="Times New Roman"/>
        </w:rPr>
        <w:t xml:space="preserve">the reasonableness of the proposal of the person who intends to relocate the child to vary the exercise of parenting time, decision making responsibility or contact, taking into </w:t>
      </w:r>
      <w:r w:rsidRPr="00BE11F5">
        <w:rPr>
          <w:rFonts w:cs="Times New Roman"/>
        </w:rPr>
        <w:lastRenderedPageBreak/>
        <w:t>consideration, among other things, the location of the new place of residence and the travel expenses; and</w:t>
      </w:r>
    </w:p>
    <w:p w14:paraId="712E4F96" w14:textId="77777777" w:rsidR="00567205" w:rsidRPr="00BE11F5" w:rsidRDefault="00567205" w:rsidP="00567205">
      <w:pPr>
        <w:pStyle w:val="CITATION"/>
        <w:numPr>
          <w:ilvl w:val="0"/>
          <w:numId w:val="13"/>
        </w:numPr>
        <w:tabs>
          <w:tab w:val="left" w:pos="1170"/>
        </w:tabs>
        <w:spacing w:before="480" w:after="480" w:line="480" w:lineRule="auto"/>
        <w:ind w:left="2250" w:right="0" w:hanging="990"/>
        <w:rPr>
          <w:rFonts w:cs="Times New Roman"/>
        </w:rPr>
      </w:pPr>
      <w:r w:rsidRPr="00BE11F5">
        <w:rPr>
          <w:rFonts w:cs="Times New Roman"/>
        </w:rPr>
        <w:t>whether each person who has parenting time or decision-making responsibility or a pending application for a parenting order has complied with their obligations under family law legislation, an order, arbitral award, or agreement, and the likelihood of future compliance.</w:t>
      </w:r>
    </w:p>
    <w:p w14:paraId="18B02FDF" w14:textId="77777777" w:rsidR="00567205" w:rsidRPr="00BE11F5" w:rsidRDefault="00567205" w:rsidP="00567205">
      <w:pPr>
        <w:pStyle w:val="ContinueParaSuitedupar-AltP"/>
        <w:tabs>
          <w:tab w:val="left" w:pos="1170"/>
        </w:tabs>
        <w:rPr>
          <w:rFonts w:cs="Times New Roman"/>
          <w:i/>
        </w:rPr>
      </w:pPr>
      <w:r w:rsidRPr="00BE11F5">
        <w:rPr>
          <w:rFonts w:cs="Times New Roman"/>
        </w:rPr>
        <w:t xml:space="preserve">The court should not consider how the outcome of an application would affect either party’s relocation plans — for example, whether the person who intends to move with the child would relocate without the child or not relocate. These factors are drawn from s. 16.92(1) and (2) of the </w:t>
      </w:r>
      <w:r w:rsidRPr="00BE11F5">
        <w:rPr>
          <w:rFonts w:cs="Times New Roman"/>
          <w:i/>
        </w:rPr>
        <w:t xml:space="preserve">Divorce Act </w:t>
      </w:r>
      <w:r w:rsidRPr="00BE11F5">
        <w:rPr>
          <w:rFonts w:cs="Times New Roman"/>
        </w:rPr>
        <w:t>and largely reflect the evolution of the common law for over 25 years.</w:t>
      </w:r>
    </w:p>
    <w:p w14:paraId="3A294AAA" w14:textId="77777777" w:rsidR="00567205" w:rsidRPr="00BE11F5" w:rsidRDefault="00567205" w:rsidP="00567205">
      <w:pPr>
        <w:pStyle w:val="ParaNoNdepar-AltN"/>
        <w:tabs>
          <w:tab w:val="clear" w:pos="1152"/>
          <w:tab w:val="left" w:pos="1170"/>
        </w:tabs>
        <w:rPr>
          <w:rFonts w:cs="Times New Roman"/>
          <w:lang w:val="en-GB"/>
        </w:rPr>
      </w:pPr>
      <w:bookmarkStart w:id="1" w:name="_MailEndCompose"/>
      <w:bookmarkEnd w:id="1"/>
      <w:r w:rsidRPr="00BE11F5">
        <w:rPr>
          <w:rFonts w:cs="Times New Roman"/>
        </w:rPr>
        <w:t>As I have explained, several pillars underlying the Court’s reasoning in</w:t>
      </w:r>
      <w:r w:rsidRPr="00BE11F5">
        <w:rPr>
          <w:rFonts w:cs="Times New Roman"/>
          <w:i/>
        </w:rPr>
        <w:t xml:space="preserve"> Gordon</w:t>
      </w:r>
      <w:r w:rsidRPr="00BE11F5">
        <w:rPr>
          <w:rFonts w:cs="Times New Roman"/>
        </w:rPr>
        <w:t xml:space="preserve"> have shifted over time, leading courts and now legislatures to refine, modify, and supplement the </w:t>
      </w:r>
      <w:r w:rsidRPr="00BE11F5">
        <w:rPr>
          <w:rFonts w:cs="Times New Roman"/>
          <w:i/>
        </w:rPr>
        <w:t xml:space="preserve">Gordon </w:t>
      </w:r>
      <w:r w:rsidRPr="00BE11F5">
        <w:rPr>
          <w:rFonts w:cs="Times New Roman"/>
        </w:rPr>
        <w:t>factors. These refinements leave us with a clear framework going forward.</w:t>
      </w:r>
    </w:p>
    <w:p w14:paraId="5D222EA1" w14:textId="77777777" w:rsidR="00567205" w:rsidRPr="00BE11F5" w:rsidRDefault="00567205" w:rsidP="00567205">
      <w:pPr>
        <w:pStyle w:val="Title3LevelTitre3Niveau"/>
        <w:tabs>
          <w:tab w:val="clear" w:pos="1152"/>
          <w:tab w:val="left" w:pos="1170"/>
        </w:tabs>
        <w:jc w:val="both"/>
        <w:rPr>
          <w:rFonts w:cs="Times New Roman"/>
        </w:rPr>
      </w:pPr>
      <w:r w:rsidRPr="00BE11F5">
        <w:rPr>
          <w:rFonts w:cs="Times New Roman"/>
        </w:rPr>
        <w:t>Did the Trial Judge Err in His Relocation Analysis?</w:t>
      </w:r>
    </w:p>
    <w:p w14:paraId="0363AC49"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The father raises four issues with the trial judge’s analysis. He argues that (i) the trial judge failed to account for the historical parenting roles of the parties; </w:t>
      </w:r>
      <w:r w:rsidRPr="00BE11F5">
        <w:rPr>
          <w:rFonts w:cs="Times New Roman"/>
        </w:rPr>
        <w:lastRenderedPageBreak/>
        <w:t>(ii) the trial judge’s decision was inconsistent with the parenting time factor; (iii) the mother’s need for emotional support could not justify relocation in this case; and (iv) the trial judge paid undue attention to the acrimonious relationship between the parties.</w:t>
      </w:r>
    </w:p>
    <w:p w14:paraId="21D51F2C"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I would not accede to any of these submissions. The trial judge’s </w:t>
      </w:r>
      <w:r w:rsidRPr="00BE11F5">
        <w:rPr>
          <w:rFonts w:cs="Times New Roman"/>
          <w:i/>
        </w:rPr>
        <w:t>Gordon</w:t>
      </w:r>
      <w:r w:rsidRPr="00BE11F5">
        <w:rPr>
          <w:rFonts w:cs="Times New Roman"/>
        </w:rPr>
        <w:t xml:space="preserve"> analysis was free from a material error, serious misapprehension of evidence, or error of law.</w:t>
      </w:r>
    </w:p>
    <w:p w14:paraId="0819ACBC" w14:textId="77777777" w:rsidR="00567205" w:rsidRPr="00BE11F5" w:rsidRDefault="00567205" w:rsidP="00567205">
      <w:pPr>
        <w:pStyle w:val="Title4LevelTitre4Niveau"/>
        <w:tabs>
          <w:tab w:val="clear" w:pos="900"/>
          <w:tab w:val="clear" w:pos="1152"/>
          <w:tab w:val="left" w:pos="1170"/>
        </w:tabs>
        <w:jc w:val="both"/>
        <w:rPr>
          <w:rFonts w:cs="Times New Roman"/>
          <w:lang w:val="en-GB"/>
        </w:rPr>
      </w:pPr>
      <w:r w:rsidRPr="00BE11F5">
        <w:rPr>
          <w:rFonts w:cs="Times New Roman"/>
          <w:lang w:val="en-GB"/>
        </w:rPr>
        <w:t>The Trial Judge’s Decision Considered the Historical Parenting Roles of the Parties</w:t>
      </w:r>
    </w:p>
    <w:p w14:paraId="5C04624A" w14:textId="77777777" w:rsidR="00567205" w:rsidRPr="00BE11F5" w:rsidRDefault="00567205" w:rsidP="00567205">
      <w:pPr>
        <w:pStyle w:val="ParaNoNdepar-AltN"/>
        <w:tabs>
          <w:tab w:val="clear" w:pos="1152"/>
          <w:tab w:val="left" w:pos="1170"/>
          <w:tab w:val="num" w:pos="1332"/>
        </w:tabs>
        <w:rPr>
          <w:rFonts w:cs="Times New Roman"/>
          <w:lang w:val="en-GB"/>
        </w:rPr>
      </w:pPr>
      <w:r w:rsidRPr="00BE11F5">
        <w:rPr>
          <w:rFonts w:cs="Times New Roman"/>
        </w:rPr>
        <w:t>The father</w:t>
      </w:r>
      <w:r w:rsidRPr="00BE11F5" w:rsidDel="00CD4C9F">
        <w:rPr>
          <w:rFonts w:cs="Times New Roman"/>
          <w:lang w:val="en-GB"/>
        </w:rPr>
        <w:t xml:space="preserve"> </w:t>
      </w:r>
      <w:r w:rsidRPr="00BE11F5">
        <w:rPr>
          <w:rFonts w:cs="Times New Roman"/>
          <w:lang w:val="en-GB"/>
        </w:rPr>
        <w:t xml:space="preserve">first contends the trial judge’s analysis did not reflect the parties’ shared parenting responsibilities throughout the marriage and after separation. This submission relies on the trial judge’s statement, derived from </w:t>
      </w:r>
      <w:r w:rsidRPr="00BE11F5">
        <w:rPr>
          <w:rFonts w:cs="Times New Roman"/>
          <w:i/>
          <w:lang w:val="en-GB"/>
        </w:rPr>
        <w:t>Gordon</w:t>
      </w:r>
      <w:r w:rsidRPr="00BE11F5">
        <w:rPr>
          <w:rFonts w:cs="Times New Roman"/>
          <w:lang w:val="en-GB"/>
        </w:rPr>
        <w:t>,</w:t>
      </w:r>
      <w:r w:rsidRPr="00BE11F5">
        <w:rPr>
          <w:rFonts w:cs="Times New Roman"/>
          <w:i/>
          <w:lang w:val="en-GB"/>
        </w:rPr>
        <w:t xml:space="preserve"> </w:t>
      </w:r>
      <w:r w:rsidRPr="00BE11F5">
        <w:rPr>
          <w:rFonts w:cs="Times New Roman"/>
          <w:lang w:val="en-GB"/>
        </w:rPr>
        <w:t xml:space="preserve">that </w:t>
      </w:r>
      <w:r w:rsidRPr="00BE11F5">
        <w:rPr>
          <w:rFonts w:cs="Times New Roman"/>
          <w:lang w:val="en-US"/>
        </w:rPr>
        <w:t xml:space="preserve">“barring an improper motive, relocation must be approached from the perspective of respect for a parent’s decision to live and work where they choose”: para. 21. This statement, says </w:t>
      </w:r>
      <w:r w:rsidRPr="00BE11F5">
        <w:rPr>
          <w:rFonts w:cs="Times New Roman"/>
        </w:rPr>
        <w:t>the father</w:t>
      </w:r>
      <w:r w:rsidRPr="00BE11F5">
        <w:rPr>
          <w:rFonts w:cs="Times New Roman"/>
          <w:lang w:val="en-US"/>
        </w:rPr>
        <w:t>, may be applicable to the views of a “custodial” parent, but it is not applicable where both parents have been fully engaged in a shared parenting arrangement.</w:t>
      </w:r>
    </w:p>
    <w:p w14:paraId="2F3BA15A" w14:textId="77777777" w:rsidR="00567205" w:rsidRPr="00BE11F5" w:rsidRDefault="00567205" w:rsidP="00567205">
      <w:pPr>
        <w:pStyle w:val="ParaNoNdepar-AltN"/>
        <w:tabs>
          <w:tab w:val="clear" w:pos="1152"/>
          <w:tab w:val="left" w:pos="1170"/>
          <w:tab w:val="num" w:pos="1332"/>
        </w:tabs>
        <w:rPr>
          <w:rFonts w:cs="Times New Roman"/>
          <w:lang w:val="en-GB"/>
        </w:rPr>
      </w:pPr>
      <w:r w:rsidRPr="00BE11F5">
        <w:rPr>
          <w:rFonts w:cs="Times New Roman"/>
          <w:lang w:val="en-US"/>
        </w:rPr>
        <w:t xml:space="preserve">In my view, </w:t>
      </w:r>
      <w:r w:rsidRPr="00BE11F5">
        <w:rPr>
          <w:rFonts w:cs="Times New Roman"/>
          <w:lang w:val="en-GB"/>
        </w:rPr>
        <w:t>the trial judge’s reasons do not suggest that he gave more “respect” or undue weight to the mother’s desire to live and work in Telkwa. Rather</w:t>
      </w:r>
      <w:r w:rsidRPr="00BE11F5">
        <w:rPr>
          <w:rFonts w:cs="Times New Roman"/>
        </w:rPr>
        <w:t xml:space="preserve">, the trial judge canvassed, in detail, why staying in Kelowna with their father was not </w:t>
      </w:r>
      <w:r w:rsidRPr="00BE11F5">
        <w:rPr>
          <w:rFonts w:cs="Times New Roman"/>
        </w:rPr>
        <w:lastRenderedPageBreak/>
        <w:t xml:space="preserve">best for the children. Most notably, the trial judge was concerned about the father’s animosity towards </w:t>
      </w:r>
      <w:r w:rsidRPr="00BE11F5">
        <w:rPr>
          <w:rFonts w:cs="Times New Roman"/>
          <w:lang w:val="en-GB"/>
        </w:rPr>
        <w:t>the mother</w:t>
      </w:r>
      <w:r w:rsidRPr="00BE11F5">
        <w:rPr>
          <w:rFonts w:cs="Times New Roman"/>
        </w:rPr>
        <w:t xml:space="preserve"> and the possibility that it could influence or otherwise impact the children: paras. 41-42. There were significant issues with the Kelowna residence, which was described as a working environment, not a living environment: para. 33. And the children and </w:t>
      </w:r>
      <w:r w:rsidRPr="00BE11F5">
        <w:rPr>
          <w:rFonts w:cs="Times New Roman"/>
          <w:lang w:val="en-GB"/>
        </w:rPr>
        <w:t>the mother</w:t>
      </w:r>
      <w:r w:rsidRPr="00BE11F5">
        <w:rPr>
          <w:rFonts w:cs="Times New Roman"/>
        </w:rPr>
        <w:t xml:space="preserve"> would benefit from family support in Telkwa, including from her parents and siblings: para. 44.</w:t>
      </w:r>
    </w:p>
    <w:p w14:paraId="1DA9C5D3"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Nevertheless, the Court of Appeal concluded that the trial judge erred by failing to consider Kelowna as a viable option, especially because </w:t>
      </w:r>
      <w:r w:rsidRPr="00BE11F5">
        <w:rPr>
          <w:rFonts w:cs="Times New Roman"/>
          <w:lang w:val="en-GB"/>
        </w:rPr>
        <w:t>the mother</w:t>
      </w:r>
      <w:r w:rsidRPr="00BE11F5">
        <w:rPr>
          <w:rFonts w:cs="Times New Roman"/>
        </w:rPr>
        <w:t xml:space="preserve"> testified that she was willing to move to Kelowna should the application be denied.</w:t>
      </w:r>
      <w:r w:rsidRPr="00376C0D">
        <w:rPr>
          <w:rFonts w:cs="Times New Roman"/>
          <w:lang w:val="en-GB"/>
        </w:rPr>
        <w:t xml:space="preserve"> </w:t>
      </w:r>
      <w:r w:rsidRPr="00BE11F5">
        <w:rPr>
          <w:rFonts w:cs="Times New Roman"/>
          <w:lang w:val="en-GB"/>
        </w:rPr>
        <w:t>The mother</w:t>
      </w:r>
      <w:r w:rsidRPr="00BE11F5">
        <w:rPr>
          <w:rFonts w:cs="Times New Roman"/>
        </w:rPr>
        <w:t>’s evidence on this point, however, could not be determinative. The trial judge understood the risk posed by the double bind.</w:t>
      </w:r>
    </w:p>
    <w:p w14:paraId="1516F81C"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The Court of Appeal also took issue with the trial judge’s failure to consider whether the children should stay with their father in Kelowna since he also concluded that either “parent was, in concept, able to care for the children”: C.A. reasons, at para. 86. However, the trial judge expressed serious reservations about whether the father would foster a positive relationship between the children and their mother: para. 42. The trial judge was right to take this into consideration when determining the options before him.</w:t>
      </w:r>
    </w:p>
    <w:p w14:paraId="2D391673"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The trial judge’s reasoning on these points disclosed no reviewable error. It was owed deference on appeal.</w:t>
      </w:r>
    </w:p>
    <w:p w14:paraId="021F102C" w14:textId="77777777" w:rsidR="00567205" w:rsidRPr="00BE11F5" w:rsidRDefault="00567205" w:rsidP="00567205">
      <w:pPr>
        <w:pStyle w:val="Title4LevelTitre4Niveau"/>
        <w:tabs>
          <w:tab w:val="clear" w:pos="900"/>
          <w:tab w:val="clear" w:pos="1152"/>
          <w:tab w:val="left" w:pos="1170"/>
        </w:tabs>
        <w:jc w:val="both"/>
        <w:rPr>
          <w:rFonts w:cs="Times New Roman"/>
          <w:lang w:val="en-GB"/>
        </w:rPr>
      </w:pPr>
      <w:r w:rsidRPr="00BE11F5">
        <w:rPr>
          <w:rFonts w:cs="Times New Roman"/>
          <w:lang w:val="en-GB"/>
        </w:rPr>
        <w:lastRenderedPageBreak/>
        <w:t xml:space="preserve">The Trial Judge Considered </w:t>
      </w:r>
      <w:r w:rsidRPr="00BE11F5">
        <w:rPr>
          <w:rFonts w:cs="Times New Roman"/>
        </w:rPr>
        <w:t>Parenting Time Consistent With the Best Interests of the Child</w:t>
      </w:r>
    </w:p>
    <w:p w14:paraId="7CBC2C04"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lang w:val="en-GB"/>
        </w:rPr>
        <w:t>The father submits the trial judge failed to give due weight to</w:t>
      </w:r>
      <w:r w:rsidRPr="00BE11F5">
        <w:rPr>
          <w:rFonts w:cs="Times New Roman"/>
        </w:rPr>
        <w:t xml:space="preserve"> the parenting time factor. The Court of Appeal took a similar position, concluding that “[p]ermitting the relocation was inconsistent with the object of maximizing contact between the children and both their parents. Indeed the relocation was likely to permanently and profoundly alter the relationship of the children with their father”: para. 87. I have two concerns with this line of reasoning.</w:t>
      </w:r>
    </w:p>
    <w:p w14:paraId="59F192F6"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lang w:val="en-GB"/>
        </w:rPr>
        <w:t>First</w:t>
      </w:r>
      <w:r w:rsidRPr="00BE11F5">
        <w:rPr>
          <w:rFonts w:cs="Times New Roman"/>
        </w:rPr>
        <w:t xml:space="preserve">, the question before the trial judge was not how to best promote the parenting time factor; it was how to best promote the best interests of the children. These considerations are not synonymous. Nor are they necessarily mutually reinforcing. Courts should only give effect to the parenting time factor </w:t>
      </w:r>
      <w:r w:rsidRPr="00BE11F5">
        <w:rPr>
          <w:rFonts w:cs="Times New Roman"/>
          <w:i/>
        </w:rPr>
        <w:t xml:space="preserve">to the extent </w:t>
      </w:r>
      <w:r w:rsidRPr="00BE11F5">
        <w:rPr>
          <w:rFonts w:cs="Times New Roman"/>
        </w:rPr>
        <w:t>that it is in the best interests of the child.</w:t>
      </w:r>
    </w:p>
    <w:p w14:paraId="239FBB5D"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Second, the trial judge did not fail to consider that children should have as much contact with each parent as is consistent with their best interests. He considered that “the children would suffer a very significant loss in being deprived of frequent care from and contact with their father” and “[t]here would also be some detriment to the children in removing them from the community they have lived in and the friends they have made”: para. 50. He was clearly alive to the risk of reducing contact with the father.</w:t>
      </w:r>
    </w:p>
    <w:p w14:paraId="41E3AA03"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lastRenderedPageBreak/>
        <w:t>The trial judge also did not fail to consider the corollary of the parenting time factor: whether either parent would be willing to facilitate contact and help foster a positive relationship between the children and the other parent. Again, the trial judge concluded that the father harboured animus towards the mother, and that she was more likely to build a positive relationship between the children and him than the converse.</w:t>
      </w:r>
    </w:p>
    <w:p w14:paraId="55FE1D04" w14:textId="77777777" w:rsidR="00567205" w:rsidRPr="00BE11F5" w:rsidRDefault="00567205" w:rsidP="00567205">
      <w:pPr>
        <w:pStyle w:val="ParaNoNdepar-AltN"/>
        <w:tabs>
          <w:tab w:val="clear" w:pos="1152"/>
          <w:tab w:val="left" w:pos="1170"/>
          <w:tab w:val="num" w:pos="1332"/>
        </w:tabs>
        <w:rPr>
          <w:rFonts w:cs="Times New Roman"/>
          <w:lang w:val="en-GB"/>
        </w:rPr>
      </w:pPr>
      <w:r w:rsidRPr="00BE11F5">
        <w:rPr>
          <w:rFonts w:cs="Times New Roman"/>
        </w:rPr>
        <w:t>On the whole, the trial judge found that relocation would best promote the children’s welfare, notwithstanding the impact on the relationship between the children and their father. This was a determination the trial judge was entitled to make, and it was owed deference on appeal.</w:t>
      </w:r>
    </w:p>
    <w:p w14:paraId="10ABF9D3" w14:textId="77777777" w:rsidR="00567205" w:rsidRPr="00BE11F5" w:rsidRDefault="00567205" w:rsidP="00567205">
      <w:pPr>
        <w:pStyle w:val="Title4LevelTitre4Niveau"/>
        <w:tabs>
          <w:tab w:val="clear" w:pos="900"/>
          <w:tab w:val="clear" w:pos="1152"/>
          <w:tab w:val="left" w:pos="1170"/>
        </w:tabs>
        <w:jc w:val="both"/>
        <w:rPr>
          <w:rFonts w:cs="Times New Roman"/>
          <w:lang w:val="en-GB"/>
        </w:rPr>
      </w:pPr>
      <w:r w:rsidRPr="00BE11F5">
        <w:rPr>
          <w:rFonts w:cs="Times New Roman"/>
          <w:lang w:val="en-GB"/>
        </w:rPr>
        <w:t>The Mother’s Need for Emotional Support</w:t>
      </w:r>
    </w:p>
    <w:p w14:paraId="309BBF30"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lang w:val="en-GB"/>
        </w:rPr>
        <w:t xml:space="preserve">The father submits the trial judge gave undue weight to the mother’s need for </w:t>
      </w:r>
      <w:r w:rsidRPr="00BE11F5">
        <w:rPr>
          <w:rFonts w:cs="Times New Roman"/>
        </w:rPr>
        <w:t>emotional support. The Court of Appeal similarly held that a parent’s need for emotional support, “even with some friction between the parties”, cannot justify relocation: para. 74.</w:t>
      </w:r>
    </w:p>
    <w:p w14:paraId="62025C5E"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lang w:val="en-GB"/>
        </w:rPr>
        <w:t>The mother</w:t>
      </w:r>
      <w:r w:rsidRPr="00BE11F5">
        <w:rPr>
          <w:rFonts w:cs="Times New Roman"/>
        </w:rPr>
        <w:t xml:space="preserve">’s need for emotional support was a relevant consideration in the best interests analysis. </w:t>
      </w:r>
      <w:r w:rsidRPr="00BE11F5">
        <w:rPr>
          <w:rFonts w:cs="Times New Roman"/>
          <w:lang w:val="en-GB"/>
        </w:rPr>
        <w:t>The mother</w:t>
      </w:r>
      <w:r w:rsidRPr="00BE11F5">
        <w:rPr>
          <w:rFonts w:cs="Times New Roman"/>
        </w:rPr>
        <w:t xml:space="preserve"> followed </w:t>
      </w:r>
      <w:r w:rsidRPr="00BE11F5">
        <w:rPr>
          <w:rFonts w:cs="Times New Roman"/>
          <w:lang w:val="en-GB"/>
        </w:rPr>
        <w:t xml:space="preserve">the father </w:t>
      </w:r>
      <w:r w:rsidRPr="00BE11F5">
        <w:rPr>
          <w:rFonts w:cs="Times New Roman"/>
        </w:rPr>
        <w:t xml:space="preserve">to Kelowna, but her family remained in Telkwa. A move that can improve a parent’s emotional and psychological state can enrich a parent’s ability to cultivate a healthy, supportive, and positive environment for their child. Courts have frequently recognized that a child’s best interests are furthered by a well-functioning and happy parent: </w:t>
      </w:r>
      <w:r w:rsidRPr="00BE11F5">
        <w:rPr>
          <w:rFonts w:cs="Times New Roman"/>
          <w:i/>
        </w:rPr>
        <w:t>Burns v. Burns</w:t>
      </w:r>
      <w:r w:rsidRPr="00BE11F5">
        <w:rPr>
          <w:rFonts w:cs="Times New Roman"/>
        </w:rPr>
        <w:t xml:space="preserve">, 2000 </w:t>
      </w:r>
      <w:r w:rsidRPr="00BE11F5">
        <w:rPr>
          <w:rFonts w:cs="Times New Roman"/>
        </w:rPr>
        <w:lastRenderedPageBreak/>
        <w:t xml:space="preserve">NSCA 1, </w:t>
      </w:r>
      <w:r w:rsidRPr="00BE11F5">
        <w:rPr>
          <w:rFonts w:cs="Times New Roman"/>
          <w:lang w:bidi="en-US"/>
        </w:rPr>
        <w:t xml:space="preserve">183 D.L.R. (4th) 66, </w:t>
      </w:r>
      <w:r w:rsidRPr="00BE11F5">
        <w:rPr>
          <w:rFonts w:cs="Times New Roman"/>
        </w:rPr>
        <w:t xml:space="preserve">at pp. 81-82; </w:t>
      </w:r>
      <w:r w:rsidRPr="00BE11F5">
        <w:rPr>
          <w:rFonts w:cs="Times New Roman"/>
          <w:i/>
          <w:lang w:bidi="en-US"/>
        </w:rPr>
        <w:t>L. (S.S.) v. W. (J.W.)</w:t>
      </w:r>
      <w:r w:rsidRPr="00BE11F5">
        <w:rPr>
          <w:rFonts w:cs="Times New Roman"/>
        </w:rPr>
        <w:t xml:space="preserve">, 2010 BCCA 55, </w:t>
      </w:r>
      <w:r w:rsidRPr="00BE11F5">
        <w:rPr>
          <w:rFonts w:cs="Times New Roman"/>
          <w:lang w:bidi="en-US"/>
        </w:rPr>
        <w:t xml:space="preserve">316 D.L.R. (4th) 464, </w:t>
      </w:r>
      <w:r w:rsidRPr="00BE11F5">
        <w:rPr>
          <w:rFonts w:cs="Times New Roman"/>
        </w:rPr>
        <w:t xml:space="preserve">at para. 33; </w:t>
      </w:r>
      <w:r w:rsidRPr="00BE11F5">
        <w:rPr>
          <w:rFonts w:cs="Times New Roman"/>
          <w:i/>
        </w:rPr>
        <w:t>Bjornson</w:t>
      </w:r>
      <w:r w:rsidRPr="00BE11F5">
        <w:rPr>
          <w:rFonts w:cs="Times New Roman"/>
        </w:rPr>
        <w:t>,</w:t>
      </w:r>
      <w:r w:rsidRPr="00BE11F5">
        <w:rPr>
          <w:rFonts w:cs="Times New Roman"/>
          <w:i/>
        </w:rPr>
        <w:t xml:space="preserve"> </w:t>
      </w:r>
      <w:r w:rsidRPr="00BE11F5">
        <w:rPr>
          <w:rFonts w:cs="Times New Roman"/>
        </w:rPr>
        <w:t xml:space="preserve">at para. 30; </w:t>
      </w:r>
      <w:r w:rsidRPr="00BE11F5">
        <w:rPr>
          <w:rFonts w:cs="Times New Roman"/>
          <w:i/>
        </w:rPr>
        <w:t>Orring v. Orring</w:t>
      </w:r>
      <w:r w:rsidRPr="00BE11F5">
        <w:rPr>
          <w:rFonts w:cs="Times New Roman"/>
        </w:rPr>
        <w:t xml:space="preserve">, 2006 BCCA 523, </w:t>
      </w:r>
      <w:r w:rsidRPr="00BE11F5">
        <w:rPr>
          <w:rFonts w:cs="Times New Roman"/>
          <w:lang w:bidi="en-US"/>
        </w:rPr>
        <w:t>276 D.L.R. (4th) 211</w:t>
      </w:r>
      <w:r w:rsidRPr="00BE11F5">
        <w:rPr>
          <w:rFonts w:cs="Times New Roman"/>
        </w:rPr>
        <w:t>, at para. 57.</w:t>
      </w:r>
    </w:p>
    <w:p w14:paraId="0F9E6A61"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It is also simplistic to suggest that emotional support for </w:t>
      </w:r>
      <w:r w:rsidRPr="00BE11F5">
        <w:rPr>
          <w:rFonts w:cs="Times New Roman"/>
          <w:lang w:val="en-GB"/>
        </w:rPr>
        <w:t xml:space="preserve">the mother </w:t>
      </w:r>
      <w:r w:rsidRPr="00BE11F5">
        <w:rPr>
          <w:rFonts w:cs="Times New Roman"/>
        </w:rPr>
        <w:t xml:space="preserve">was the only benefit that weighed in favour of relocation. The trial judge described, in great detail, how the continuing animosity between the parents would impact the children should they stay in Kelowna. He also noted that the move would provide </w:t>
      </w:r>
      <w:r w:rsidRPr="00BE11F5">
        <w:rPr>
          <w:rFonts w:cs="Times New Roman"/>
          <w:lang w:val="en-GB"/>
        </w:rPr>
        <w:t xml:space="preserve">the mother </w:t>
      </w:r>
      <w:r w:rsidRPr="00BE11F5">
        <w:rPr>
          <w:rFonts w:cs="Times New Roman"/>
        </w:rPr>
        <w:t>with the benefit of housing support, childcare, better employment, and opportunities to advance her education: paras. 1, 44 and 46-47.</w:t>
      </w:r>
    </w:p>
    <w:p w14:paraId="4B63B1C0"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These considerations all have direct or indirect bearing on the best</w:t>
      </w:r>
      <w:r w:rsidRPr="00BE11F5">
        <w:rPr>
          <w:rFonts w:cs="Times New Roman"/>
        </w:rPr>
        <w:noBreakHyphen/>
        <w:t>interests</w:t>
      </w:r>
      <w:r w:rsidRPr="00BE11F5">
        <w:rPr>
          <w:rFonts w:cs="Times New Roman"/>
        </w:rPr>
        <w:noBreakHyphen/>
        <w:t>of</w:t>
      </w:r>
      <w:r w:rsidRPr="00BE11F5">
        <w:rPr>
          <w:rFonts w:cs="Times New Roman"/>
        </w:rPr>
        <w:noBreakHyphen/>
        <w:t>the</w:t>
      </w:r>
      <w:r w:rsidRPr="00BE11F5">
        <w:rPr>
          <w:rFonts w:cs="Times New Roman"/>
        </w:rPr>
        <w:noBreakHyphen/>
        <w:t xml:space="preserve">child assessment. Relocation that provides a parent with more education, employment opportunities, and economic stability can contribute to a child’s wellbeing: </w:t>
      </w:r>
      <w:r w:rsidRPr="00BE11F5">
        <w:rPr>
          <w:rFonts w:cs="Times New Roman"/>
          <w:i/>
        </w:rPr>
        <w:t>Larose v. Larose</w:t>
      </w:r>
      <w:r w:rsidRPr="00BE11F5">
        <w:rPr>
          <w:rFonts w:cs="Times New Roman"/>
        </w:rPr>
        <w:t xml:space="preserve">, 2002 BCCA 366, </w:t>
      </w:r>
      <w:r w:rsidRPr="00BE11F5">
        <w:rPr>
          <w:rFonts w:cs="Times New Roman"/>
          <w:lang w:bidi="en-US"/>
        </w:rPr>
        <w:t>1 B.C.L.R. (4th) 262</w:t>
      </w:r>
      <w:r w:rsidRPr="00BE11F5">
        <w:rPr>
          <w:rFonts w:cs="Times New Roman"/>
        </w:rPr>
        <w:t>, at paras. 6 and 19;</w:t>
      </w:r>
      <w:r w:rsidRPr="00BE11F5">
        <w:rPr>
          <w:rFonts w:cs="Times New Roman"/>
          <w:i/>
        </w:rPr>
        <w:t xml:space="preserve"> </w:t>
      </w:r>
      <w:r w:rsidRPr="00BE11F5">
        <w:rPr>
          <w:rFonts w:cs="Times New Roman"/>
          <w:i/>
          <w:lang w:bidi="en-US"/>
        </w:rPr>
        <w:t>H.S. v. C.S.</w:t>
      </w:r>
      <w:r w:rsidRPr="00BE11F5">
        <w:rPr>
          <w:rFonts w:cs="Times New Roman"/>
        </w:rPr>
        <w:t xml:space="preserve">, 2006 SKCA 45, </w:t>
      </w:r>
      <w:r w:rsidRPr="00BE11F5">
        <w:rPr>
          <w:rFonts w:cs="Times New Roman"/>
          <w:lang w:bidi="en-US"/>
        </w:rPr>
        <w:t>279 Sask. R. 55</w:t>
      </w:r>
      <w:r w:rsidRPr="00BE11F5">
        <w:rPr>
          <w:rFonts w:cs="Times New Roman"/>
        </w:rPr>
        <w:t xml:space="preserve">, at para. 26; see also E. El Fateh, “A Presumption for the Best?” (2009), 25 </w:t>
      </w:r>
      <w:r w:rsidRPr="00BE11F5">
        <w:rPr>
          <w:rFonts w:cs="Times New Roman"/>
          <w:i/>
          <w:lang w:bidi="en-US"/>
        </w:rPr>
        <w:t>Can. J. Fam. L.</w:t>
      </w:r>
      <w:r w:rsidRPr="00BE11F5">
        <w:rPr>
          <w:rFonts w:cs="Times New Roman"/>
          <w:i/>
        </w:rPr>
        <w:t xml:space="preserve"> </w:t>
      </w:r>
      <w:r w:rsidRPr="00BE11F5">
        <w:rPr>
          <w:rFonts w:cs="Times New Roman"/>
        </w:rPr>
        <w:t>73, at pp. 80-83.</w:t>
      </w:r>
    </w:p>
    <w:p w14:paraId="4AA6FA86"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Similarly, the additional support of family and community at the new location can enhance the parent’s ability to care for the children: </w:t>
      </w:r>
      <w:r w:rsidRPr="00BE11F5">
        <w:rPr>
          <w:rFonts w:cs="Times New Roman"/>
          <w:i/>
        </w:rPr>
        <w:t>D.A.F. v. S.M.O.</w:t>
      </w:r>
      <w:r w:rsidRPr="00BE11F5">
        <w:rPr>
          <w:rFonts w:cs="Times New Roman"/>
        </w:rPr>
        <w:t xml:space="preserve">, 2004 ABCA 261, </w:t>
      </w:r>
      <w:r w:rsidRPr="00BE11F5">
        <w:rPr>
          <w:rFonts w:cs="Times New Roman"/>
          <w:lang w:bidi="en-US"/>
        </w:rPr>
        <w:t>354 A.R. 387</w:t>
      </w:r>
      <w:r w:rsidRPr="00BE11F5">
        <w:rPr>
          <w:rFonts w:cs="Times New Roman"/>
        </w:rPr>
        <w:t xml:space="preserve">, at para. 17. Extended family, for example, can provide additional support to children while their parents begin to navigate the new terrain of post-separation life: </w:t>
      </w:r>
      <w:r w:rsidRPr="00BE11F5">
        <w:rPr>
          <w:rFonts w:cs="Times New Roman"/>
          <w:i/>
        </w:rPr>
        <w:t>Harnett v. Clements</w:t>
      </w:r>
      <w:r w:rsidRPr="00BE11F5">
        <w:rPr>
          <w:rFonts w:cs="Times New Roman"/>
        </w:rPr>
        <w:t xml:space="preserve">, 2019 NLCA 53, </w:t>
      </w:r>
      <w:r w:rsidRPr="00BE11F5">
        <w:rPr>
          <w:rFonts w:cs="Times New Roman"/>
          <w:lang w:bidi="en-US"/>
        </w:rPr>
        <w:t xml:space="preserve">30 R.F.L. (8th) 49, at </w:t>
      </w:r>
      <w:r w:rsidRPr="00BE11F5">
        <w:rPr>
          <w:rFonts w:cs="Times New Roman"/>
        </w:rPr>
        <w:t xml:space="preserve">paras. 22 and 42; </w:t>
      </w:r>
      <w:r w:rsidRPr="00BE11F5">
        <w:rPr>
          <w:rFonts w:cs="Times New Roman"/>
          <w:i/>
        </w:rPr>
        <w:t>C.M. v. R.L.</w:t>
      </w:r>
      <w:r w:rsidRPr="00BE11F5">
        <w:rPr>
          <w:rFonts w:cs="Times New Roman"/>
        </w:rPr>
        <w:t>, 2013 NSFC 29, at para. 139 (CanLII).</w:t>
      </w:r>
    </w:p>
    <w:p w14:paraId="02E5D67A"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lastRenderedPageBreak/>
        <w:t xml:space="preserve">It is often difficult to disentangle the interests of a parent from the interests of a child. Indeed, “the reality that the nurture of children is inextricably intertwined with the well-being of the nurturing parent” is far from novel: </w:t>
      </w:r>
      <w:r w:rsidRPr="00BE11F5">
        <w:rPr>
          <w:rFonts w:cs="Times New Roman"/>
          <w:i/>
        </w:rPr>
        <w:t>Pelech v. Pelech</w:t>
      </w:r>
      <w:r w:rsidRPr="00BE11F5">
        <w:rPr>
          <w:rFonts w:cs="Times New Roman"/>
        </w:rPr>
        <w:t xml:space="preserve">, [1987] 1 S.C.R. 801, at p. 845; see also </w:t>
      </w:r>
      <w:r w:rsidRPr="00BE11F5">
        <w:rPr>
          <w:rFonts w:cs="Times New Roman"/>
          <w:i/>
        </w:rPr>
        <w:t>Willick</w:t>
      </w:r>
      <w:r w:rsidRPr="00BE11F5">
        <w:rPr>
          <w:rFonts w:cs="Times New Roman"/>
        </w:rPr>
        <w:t>, at pp. 724-25, per L’Heureux-Dubé J. A child’s welfare is often advanced in tandem with improvements in the parent’s financial, social, and emotional circumstances. The trial judge found this to be the case here.</w:t>
      </w:r>
    </w:p>
    <w:p w14:paraId="4661BA18"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At all times, the trial judge remained focused on the child’s best interests. He only considered </w:t>
      </w:r>
      <w:r w:rsidRPr="00BE11F5">
        <w:rPr>
          <w:rFonts w:cs="Times New Roman"/>
          <w:lang w:val="en-GB"/>
        </w:rPr>
        <w:t>the mother</w:t>
      </w:r>
      <w:r w:rsidRPr="00BE11F5">
        <w:rPr>
          <w:rFonts w:cs="Times New Roman"/>
        </w:rPr>
        <w:t>’s needs — emotional or otherwise — to the extent that they were relevant to the children. The trial judge was clearly of the view that relocation would both directly and indirectly benefit the children, whereas “they would at least suffer indirectly to some degree if their mother remained in the Okanagan”: para. 46.</w:t>
      </w:r>
    </w:p>
    <w:p w14:paraId="2E2D1845"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Once again, his analysis on this point was free from any reviewable error.</w:t>
      </w:r>
    </w:p>
    <w:p w14:paraId="1308C89D" w14:textId="77777777" w:rsidR="00567205" w:rsidRPr="00BE11F5" w:rsidRDefault="00567205" w:rsidP="00567205">
      <w:pPr>
        <w:pStyle w:val="Title4LevelTitre4Niveau"/>
        <w:tabs>
          <w:tab w:val="clear" w:pos="900"/>
          <w:tab w:val="clear" w:pos="1152"/>
          <w:tab w:val="left" w:pos="1170"/>
        </w:tabs>
        <w:jc w:val="both"/>
        <w:rPr>
          <w:rFonts w:cs="Times New Roman"/>
        </w:rPr>
      </w:pPr>
      <w:r w:rsidRPr="00BE11F5">
        <w:rPr>
          <w:rFonts w:cs="Times New Roman"/>
        </w:rPr>
        <w:t>The Parties’ Acrimonious Relationship</w:t>
      </w:r>
    </w:p>
    <w:p w14:paraId="5304F5B1"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The father also submits the trial judge erred in placing undue emphasis on the acrimonious relationship between the parties. For the father, the “friction” was a “thing of the past” (R.F., at para. 34), it was nothing unusual for parties who are separating, and there was no evidence that it occasioned any distress for the children.</w:t>
      </w:r>
    </w:p>
    <w:p w14:paraId="00526C29"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lastRenderedPageBreak/>
        <w:t xml:space="preserve">I disagree. The trial judge’s factual findings were well supported by the evidence. </w:t>
      </w:r>
    </w:p>
    <w:p w14:paraId="750C00BC" w14:textId="77777777" w:rsidR="00567205" w:rsidRPr="00BE11F5" w:rsidRDefault="00567205" w:rsidP="00567205">
      <w:pPr>
        <w:pStyle w:val="ParaNoNdepar-AltN"/>
        <w:tabs>
          <w:tab w:val="clear" w:pos="1152"/>
          <w:tab w:val="left" w:pos="1170"/>
        </w:tabs>
        <w:rPr>
          <w:rFonts w:cs="Times New Roman"/>
        </w:rPr>
      </w:pPr>
      <w:r w:rsidRPr="00BE11F5">
        <w:rPr>
          <w:rFonts w:cs="Times New Roman"/>
        </w:rPr>
        <w:t>The trial judge carefully explained why he viewed the parties’ relationship as acrimonious, both during the marriage and at the time of trial. He found that there was friction during the marriage: the mother had been subject to the father’s controlling and overbearing personality; there was “possibly some degree of emotional abuse”; she had been physically assaulted; and she was emotionally traumatized.</w:t>
      </w:r>
    </w:p>
    <w:p w14:paraId="68853411" w14:textId="77777777" w:rsidR="00567205" w:rsidRPr="00BE11F5" w:rsidRDefault="00567205" w:rsidP="00567205">
      <w:pPr>
        <w:pStyle w:val="ParaNoNdepar-AltN"/>
        <w:tabs>
          <w:tab w:val="clear" w:pos="1152"/>
          <w:tab w:val="left" w:pos="1170"/>
        </w:tabs>
        <w:rPr>
          <w:rFonts w:cs="Times New Roman"/>
        </w:rPr>
      </w:pPr>
      <w:r w:rsidRPr="00BE11F5">
        <w:rPr>
          <w:rFonts w:cs="Times New Roman"/>
        </w:rPr>
        <w:t>And the father’s continued animosity towards the mother became readily apparent during the trial itself. The trial judge found his conduct at trial to be abusive: para. 41. Most notably, the father adduced a nude “selfie” of the mother in an affidavit, which the trial judge found served no purpose but to humiliate her. The trial judge also noted that the assault, and the father’s denials that it had occurred, was “</w:t>
      </w:r>
      <w:r w:rsidRPr="00BE11F5">
        <w:rPr>
          <w:rFonts w:cs="Times New Roman"/>
          <w:u w:val="single"/>
        </w:rPr>
        <w:t>likely to be an ongoing source of acrimony</w:t>
      </w:r>
      <w:r w:rsidRPr="00BE11F5">
        <w:rPr>
          <w:rFonts w:cs="Times New Roman"/>
        </w:rPr>
        <w:t>”: para. 41 (emphasis added).The trial judge concluded that this high-conflict relationship between the parties had “particularly significant” implications for the children: para. 41. These considerations weighed in favour of the children staying primarily with the mother. In these circumstances, it was open for the trial judge to conclude that a co-parenting arrangement could only work in Telkwa. If the mother returned to Kelowna, she would likely be socially isolated and reliant on the father.</w:t>
      </w:r>
    </w:p>
    <w:p w14:paraId="592B5D7F" w14:textId="77777777" w:rsidR="00567205" w:rsidRPr="00BE11F5" w:rsidRDefault="00567205" w:rsidP="00567205">
      <w:pPr>
        <w:pStyle w:val="ParaNoNdepar-AltN"/>
        <w:tabs>
          <w:tab w:val="clear" w:pos="1152"/>
          <w:tab w:val="left" w:pos="1170"/>
        </w:tabs>
        <w:rPr>
          <w:rFonts w:cs="Times New Roman"/>
        </w:rPr>
      </w:pPr>
      <w:r w:rsidRPr="00BE11F5">
        <w:rPr>
          <w:rFonts w:cs="Times New Roman"/>
        </w:rPr>
        <w:lastRenderedPageBreak/>
        <w:t>Despite the trial judge’s findings, which were well supported by the record, the Court of Appeal intervened because “the trial judge’s concerns about Mr. Grebliunas’ behaviour towards Ms. Barendregt warrant some context”: para. 70.</w:t>
      </w:r>
    </w:p>
    <w:p w14:paraId="6FAEAB7F"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The court identified four factors that purportedly “attenuated” the seriousness of the circumstances. First, the mother never argued that hostility between the parties supported her move; her evidence was that the parties were getting along better than when they first separated. Second, many of the issues the judge had been concerned about had taken place in the past. Third, there was no evidence of any event involving or taking place in the presence of the children since separation. And fourth, the trial judge failed to consider the evidence that the parties’ relationship was improving.</w:t>
      </w:r>
    </w:p>
    <w:p w14:paraId="1AF62997"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None of these factors gave the Court of Appeal licence to disturb the trial judge’s factual findings regarding the relationship between the parties.</w:t>
      </w:r>
    </w:p>
    <w:p w14:paraId="70A64278"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First, although counsel for the mother did not advance the father</w:t>
      </w:r>
      <w:r w:rsidRPr="00BE11F5">
        <w:rPr>
          <w:rFonts w:cs="Times New Roman"/>
          <w:lang w:val="en-GB"/>
        </w:rPr>
        <w:t>’s</w:t>
      </w:r>
      <w:r w:rsidRPr="00BE11F5" w:rsidDel="00612E25">
        <w:rPr>
          <w:rFonts w:cs="Times New Roman"/>
        </w:rPr>
        <w:t xml:space="preserve"> </w:t>
      </w:r>
      <w:r w:rsidRPr="00BE11F5">
        <w:rPr>
          <w:rFonts w:cs="Times New Roman"/>
        </w:rPr>
        <w:t>animus as a factor that supported relocation, the state of the parties’ relationship was obviously relevant. And as the interveners West Coast LEAF Association and Rise Women’s Legal Centre point out, it is important to be aware of the social and legal barriers to women disclosing family violence in family law proceedings.</w:t>
      </w:r>
    </w:p>
    <w:p w14:paraId="3550F3C6"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Second, the parties’ acrimonious relationship was far from a relic of the distant past. Again, the acrimony surfaced during the trial itself. And abusive dynamics </w:t>
      </w:r>
      <w:r w:rsidRPr="00BE11F5">
        <w:rPr>
          <w:rFonts w:cs="Times New Roman"/>
        </w:rPr>
        <w:lastRenderedPageBreak/>
        <w:t>often do not end with separation — in fact, the opposite is often true: Jaffe, Crooks and Bala, at p. 171; Neilson, at ch. 4.5.1, 7.2.2 and 7.2.6. Trial judges have the advantage of observing the dynamic between the parties first-hand; any resulting assessment of their ability to work together in the future must attract deference.</w:t>
      </w:r>
    </w:p>
    <w:p w14:paraId="7DA4C845"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Third, the fact that there was no evidence of any event involving the children, or taking place in the children’s presence, could not be determinative. Not only can </w:t>
      </w:r>
      <w:r w:rsidRPr="00BE11F5">
        <w:rPr>
          <w:rFonts w:cs="Times New Roman"/>
          <w:i/>
        </w:rPr>
        <w:t>indirect</w:t>
      </w:r>
      <w:r w:rsidRPr="00BE11F5">
        <w:rPr>
          <w:rFonts w:cs="Times New Roman"/>
        </w:rPr>
        <w:t xml:space="preserve"> exposure to conflict have implications for the children’s welfare, the trial judge found there was a significant risk that conflict between the parties would spill over and </w:t>
      </w:r>
      <w:r w:rsidRPr="00BE11F5">
        <w:rPr>
          <w:rFonts w:cs="Times New Roman"/>
          <w:i/>
        </w:rPr>
        <w:t>directly</w:t>
      </w:r>
      <w:r w:rsidRPr="00BE11F5">
        <w:rPr>
          <w:rFonts w:cs="Times New Roman"/>
        </w:rPr>
        <w:t xml:space="preserve"> impact the children. He was entitled to make that finding on the evidence before him.</w:t>
      </w:r>
    </w:p>
    <w:p w14:paraId="35A3FB00"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 xml:space="preserve">Fourth, the record discloses no indication that the trial judge forgot, ignored, or misconceived the evidence showing improvements in the parties’ relationship. An omission in the reasons, in and of itself, does not mean that the appellate court is permitted to review the evidence heard at trial. And in any event, cooperating, staying, or reconciling with a party does not necessarily indicate that an incident of abuse or violence was not serious: see D. Martinson and M. Jackson, “Family Violence and Evolving Judicial Roles: Judges as Equality Guardians in Family Law Cases” (2017), </w:t>
      </w:r>
      <w:r w:rsidRPr="00BE11F5">
        <w:rPr>
          <w:rFonts w:cs="Times New Roman"/>
          <w:lang w:bidi="en-US"/>
        </w:rPr>
        <w:t xml:space="preserve">30 </w:t>
      </w:r>
      <w:r w:rsidRPr="00BE11F5">
        <w:rPr>
          <w:rFonts w:cs="Times New Roman"/>
          <w:i/>
          <w:lang w:bidi="en-US"/>
        </w:rPr>
        <w:t xml:space="preserve">Can. J. Fam. L. </w:t>
      </w:r>
      <w:r w:rsidRPr="00BE11F5">
        <w:rPr>
          <w:rFonts w:cs="Times New Roman"/>
        </w:rPr>
        <w:t>11, at p. 34. In the end, what mattered was the trial judge’s conclusion that it was unlikely that the parents could work cooperatively to promote the children’s best interests in a shared parenting structure in the near future: para. 42.</w:t>
      </w:r>
    </w:p>
    <w:p w14:paraId="6EE0F342"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lastRenderedPageBreak/>
        <w:t>Nevertheless, the Court of Appeal concluded that the trial judge’s findings regarding the acrimonious relationship between the parties could “no longer support the ultimate result arrived at by the trial judge”: para. 69.</w:t>
      </w:r>
    </w:p>
    <w:p w14:paraId="46E11706" w14:textId="77777777" w:rsidR="00567205" w:rsidRPr="00BE11F5" w:rsidRDefault="00567205" w:rsidP="00567205">
      <w:pPr>
        <w:pStyle w:val="ParaNoNdepar-AltN"/>
        <w:tabs>
          <w:tab w:val="clear" w:pos="1152"/>
          <w:tab w:val="left" w:pos="1170"/>
          <w:tab w:val="num" w:pos="1332"/>
        </w:tabs>
        <w:rPr>
          <w:rFonts w:cs="Times New Roman"/>
        </w:rPr>
      </w:pPr>
      <w:r w:rsidRPr="00BE11F5">
        <w:rPr>
          <w:rFonts w:cs="Times New Roman"/>
        </w:rPr>
        <w:t>Quite simply, however, it was not the place of the Court of Appeal to decide that the broader context could “attenuate” the seriousness of the father’s behavior in the absence of an overriding and palpable error. Nor was it the court’s place to reweigh a factor that had been carefully considered by the trial judge. A difference in opinion does not provide an appellate court licence to eclipse the trial court’s judgment in favour of its own. The Court of Appeal was wrong to dispense with deference in the absence of a reversible error.</w:t>
      </w:r>
    </w:p>
    <w:p w14:paraId="443D1852" w14:textId="77777777" w:rsidR="00567205" w:rsidRPr="00BE11F5" w:rsidRDefault="00567205" w:rsidP="00567205">
      <w:pPr>
        <w:pStyle w:val="Title4LevelTitre4Niveau"/>
        <w:tabs>
          <w:tab w:val="clear" w:pos="900"/>
          <w:tab w:val="clear" w:pos="1152"/>
          <w:tab w:val="left" w:pos="1170"/>
        </w:tabs>
        <w:jc w:val="both"/>
        <w:rPr>
          <w:rFonts w:cs="Times New Roman"/>
        </w:rPr>
      </w:pPr>
      <w:r w:rsidRPr="00BE11F5">
        <w:rPr>
          <w:rFonts w:cs="Times New Roman"/>
        </w:rPr>
        <w:t>The Other Gordon Factors</w:t>
      </w:r>
    </w:p>
    <w:p w14:paraId="76DAE524" w14:textId="77777777" w:rsidR="00567205" w:rsidRPr="00BE11F5" w:rsidRDefault="00567205" w:rsidP="00567205">
      <w:pPr>
        <w:pStyle w:val="ParaNoNdepar-AltN"/>
        <w:tabs>
          <w:tab w:val="clear" w:pos="1152"/>
          <w:tab w:val="left" w:pos="1170"/>
          <w:tab w:val="num" w:pos="1332"/>
        </w:tabs>
        <w:rPr>
          <w:rFonts w:cs="Times New Roman"/>
          <w:lang w:val="en-GB"/>
        </w:rPr>
      </w:pPr>
      <w:r w:rsidRPr="00BE11F5">
        <w:rPr>
          <w:rFonts w:cs="Times New Roman"/>
        </w:rPr>
        <w:t xml:space="preserve">I am satisfied that the trial judge’s </w:t>
      </w:r>
      <w:r w:rsidRPr="00BE11F5">
        <w:rPr>
          <w:rFonts w:cs="Times New Roman"/>
          <w:i/>
        </w:rPr>
        <w:t xml:space="preserve">Gordon </w:t>
      </w:r>
      <w:r w:rsidRPr="00BE11F5">
        <w:rPr>
          <w:rFonts w:cs="Times New Roman"/>
        </w:rPr>
        <w:t>analysis was free from material error. The following factors all supported the trial judge’s conclusion that relocation was in the children’s best interests: there was a significant risk that the high-conflict nature of the parents’ relationship would impact the children if they stayed in Kelowna; the mother needed her family’s support to independently care for the children, which was only available in Telkwa; she was more willing to facilitate a positive relationship between the children and the father than the converse; and there were findings of family violence. I see no reason to set aside the trial judge’s decision.</w:t>
      </w:r>
    </w:p>
    <w:p w14:paraId="469590BC" w14:textId="77777777" w:rsidR="00567205" w:rsidRPr="00BE11F5" w:rsidRDefault="00567205" w:rsidP="00567205">
      <w:pPr>
        <w:pStyle w:val="Title1LevelTitre1Niveau-AltL"/>
        <w:tabs>
          <w:tab w:val="left" w:pos="1170"/>
        </w:tabs>
        <w:jc w:val="both"/>
        <w:rPr>
          <w:rFonts w:cs="Times New Roman"/>
        </w:rPr>
      </w:pPr>
      <w:r w:rsidRPr="00BE11F5">
        <w:rPr>
          <w:rFonts w:cs="Times New Roman"/>
        </w:rPr>
        <w:t>Disposition</w:t>
      </w:r>
    </w:p>
    <w:p w14:paraId="72DE6378" w14:textId="77777777" w:rsidR="00567205" w:rsidRPr="00BE11F5" w:rsidRDefault="00567205" w:rsidP="00567205">
      <w:pPr>
        <w:pStyle w:val="ParaNoNdepar-AltN"/>
        <w:tabs>
          <w:tab w:val="clear" w:pos="1152"/>
          <w:tab w:val="left" w:pos="1170"/>
        </w:tabs>
        <w:rPr>
          <w:rFonts w:cs="Times New Roman"/>
        </w:rPr>
      </w:pPr>
      <w:r w:rsidRPr="00BE11F5">
        <w:rPr>
          <w:rFonts w:cs="Times New Roman"/>
          <w:lang w:val="en-GB"/>
        </w:rPr>
        <w:lastRenderedPageBreak/>
        <w:t xml:space="preserve">The appeal is allowed. The decision of the Court of Appeal is set aside, and paras. 1 to 6 of the trial judge’s order </w:t>
      </w:r>
      <w:r w:rsidRPr="00BE11F5">
        <w:rPr>
          <w:rFonts w:cs="Times New Roman"/>
        </w:rPr>
        <w:t>regarding</w:t>
      </w:r>
      <w:r w:rsidRPr="00BE11F5">
        <w:rPr>
          <w:rFonts w:cs="Times New Roman"/>
          <w:lang w:val="en-GB"/>
        </w:rPr>
        <w:t xml:space="preserve"> the primary residence of the children are restored. </w:t>
      </w:r>
      <w:r w:rsidRPr="00BE11F5">
        <w:rPr>
          <w:rFonts w:cs="Times New Roman"/>
        </w:rPr>
        <w:t xml:space="preserve">The mother </w:t>
      </w:r>
      <w:r w:rsidRPr="00BE11F5">
        <w:rPr>
          <w:rFonts w:cs="Times New Roman"/>
          <w:lang w:val="en-GB"/>
        </w:rPr>
        <w:t>is entitled to her costs in this Court and the courts below.</w:t>
      </w:r>
    </w:p>
    <w:p w14:paraId="69F303D6" w14:textId="77777777" w:rsidR="00567205" w:rsidRDefault="00567205" w:rsidP="000F46FD">
      <w:pPr>
        <w:pStyle w:val="SCCNormalDoubleSpacing"/>
        <w:spacing w:after="480"/>
      </w:pPr>
    </w:p>
    <w:p w14:paraId="4C10A5E4" w14:textId="77777777" w:rsidR="00567205" w:rsidRDefault="00567205" w:rsidP="00076619">
      <w:pPr>
        <w:tabs>
          <w:tab w:val="left" w:pos="1134"/>
        </w:tabs>
        <w:ind w:firstLine="1134"/>
        <w:rPr>
          <w:szCs w:val="24"/>
        </w:rPr>
      </w:pPr>
      <w:r w:rsidRPr="00CD355D">
        <w:rPr>
          <w:szCs w:val="24"/>
        </w:rPr>
        <w:t>The following are the reasons delivered by</w:t>
      </w:r>
    </w:p>
    <w:p w14:paraId="35B90661" w14:textId="77777777" w:rsidR="00567205" w:rsidRDefault="00567205" w:rsidP="00567205">
      <w:pPr>
        <w:ind w:firstLine="720"/>
        <w:rPr>
          <w:szCs w:val="24"/>
        </w:rPr>
      </w:pPr>
    </w:p>
    <w:p w14:paraId="2DCEF632" w14:textId="77777777" w:rsidR="00567205" w:rsidRPr="00F05824" w:rsidRDefault="00567205" w:rsidP="00076619">
      <w:pPr>
        <w:pStyle w:val="JudgeJuge"/>
        <w:tabs>
          <w:tab w:val="clear" w:pos="1260"/>
          <w:tab w:val="left" w:pos="1134"/>
        </w:tabs>
      </w:pPr>
      <w:r w:rsidRPr="00F05824">
        <w:tab/>
        <w:t xml:space="preserve">Côté J. — </w:t>
      </w:r>
    </w:p>
    <w:p w14:paraId="77C7B22E" w14:textId="77777777" w:rsidR="00567205" w:rsidRPr="00076619" w:rsidRDefault="00567205" w:rsidP="00076619">
      <w:pPr>
        <w:pStyle w:val="Title1LevelTitre1Niveau-AltL"/>
        <w:numPr>
          <w:ilvl w:val="0"/>
          <w:numId w:val="31"/>
        </w:numPr>
        <w:jc w:val="both"/>
        <w:rPr>
          <w:rFonts w:cs="Times New Roman"/>
        </w:rPr>
      </w:pPr>
      <w:r w:rsidRPr="00076619">
        <w:rPr>
          <w:rFonts w:cs="Times New Roman"/>
        </w:rPr>
        <w:t>Overview</w:t>
      </w:r>
    </w:p>
    <w:p w14:paraId="430B7CA2" w14:textId="77777777" w:rsidR="00567205" w:rsidRPr="00F05824" w:rsidRDefault="00567205" w:rsidP="00567205">
      <w:pPr>
        <w:pStyle w:val="ParaNoNdepar-AltN"/>
      </w:pPr>
      <w:r w:rsidRPr="00F05824">
        <w:t>I have had the benefit of reading my colleague Justice Karakatsanis’</w:t>
      </w:r>
      <w:r>
        <w:t>s</w:t>
      </w:r>
      <w:r w:rsidRPr="00F05824">
        <w:t xml:space="preserve"> reasons. While I agree that the</w:t>
      </w:r>
      <w:r>
        <w:t xml:space="preserve"> test laid out in</w:t>
      </w:r>
      <w:r w:rsidRPr="00F05824">
        <w:t xml:space="preserve"> </w:t>
      </w:r>
      <w:r w:rsidRPr="00F05824">
        <w:rPr>
          <w:i/>
        </w:rPr>
        <w:t>Palmer</w:t>
      </w:r>
      <w:r>
        <w:rPr>
          <w:i/>
        </w:rPr>
        <w:t xml:space="preserve"> v. The Queen</w:t>
      </w:r>
      <w:r>
        <w:t>, [1980] 1 S.C.R. 759,</w:t>
      </w:r>
      <w:r w:rsidRPr="00F05824">
        <w:rPr>
          <w:i/>
        </w:rPr>
        <w:t xml:space="preserve"> </w:t>
      </w:r>
      <w:r w:rsidRPr="00F05824">
        <w:t xml:space="preserve">governs, as it applies to both “fresh” and “new” evidence, I disagree with my colleague’s application of </w:t>
      </w:r>
      <w:r w:rsidRPr="00F05824">
        <w:rPr>
          <w:i/>
        </w:rPr>
        <w:t>Palmer</w:t>
      </w:r>
      <w:r w:rsidRPr="00F05824">
        <w:t xml:space="preserve"> </w:t>
      </w:r>
      <w:r>
        <w:t>to</w:t>
      </w:r>
      <w:r w:rsidRPr="00F05824">
        <w:t xml:space="preserve"> the facts of this appeal. For </w:t>
      </w:r>
      <w:r>
        <w:t xml:space="preserve">the </w:t>
      </w:r>
      <w:r w:rsidRPr="00F05824">
        <w:t xml:space="preserve">reasons that follow, I would uphold the Court of Appeal’s ultimate conclusion that the evidence is admissible, but reject its treatment of </w:t>
      </w:r>
      <w:r w:rsidRPr="00F05824">
        <w:rPr>
          <w:i/>
        </w:rPr>
        <w:t>Palmer</w:t>
      </w:r>
      <w:r w:rsidRPr="00F05824">
        <w:t xml:space="preserve"> and its decision to reassess the best interests of the children.</w:t>
      </w:r>
    </w:p>
    <w:p w14:paraId="2AB91850" w14:textId="77777777" w:rsidR="00567205" w:rsidRPr="00F05824" w:rsidRDefault="00567205" w:rsidP="00567205">
      <w:pPr>
        <w:pStyle w:val="ParaNoNdepar-AltN"/>
        <w:rPr>
          <w:rFonts w:cs="Times New Roman"/>
        </w:rPr>
      </w:pPr>
      <w:r w:rsidRPr="00F05824">
        <w:rPr>
          <w:rFonts w:cs="Times New Roman"/>
        </w:rPr>
        <w:t xml:space="preserve">I respectfully part company with my colleague’s analysis on two points. First, </w:t>
      </w:r>
      <w:r>
        <w:rPr>
          <w:rFonts w:cs="Times New Roman"/>
        </w:rPr>
        <w:t xml:space="preserve">it is </w:t>
      </w:r>
      <w:r w:rsidRPr="00F05824">
        <w:rPr>
          <w:rFonts w:cs="Times New Roman"/>
        </w:rPr>
        <w:t xml:space="preserve">in my view inappropriate to comment on the </w:t>
      </w:r>
      <w:r w:rsidRPr="00F05824">
        <w:rPr>
          <w:rFonts w:cs="Times New Roman"/>
          <w:i/>
        </w:rPr>
        <w:t>Gordon v. Goertz</w:t>
      </w:r>
      <w:r>
        <w:rPr>
          <w:rFonts w:cs="Times New Roman"/>
        </w:rPr>
        <w:t>, [1996] 2 S.C.R. 27,</w:t>
      </w:r>
      <w:r w:rsidRPr="00F05824">
        <w:rPr>
          <w:rFonts w:cs="Times New Roman"/>
        </w:rPr>
        <w:t xml:space="preserve"> framework in the context of this appeal. This issue was not raised by the appellant</w:t>
      </w:r>
      <w:r>
        <w:rPr>
          <w:rFonts w:cs="Times New Roman"/>
        </w:rPr>
        <w:t>,</w:t>
      </w:r>
      <w:r w:rsidRPr="00F05824">
        <w:rPr>
          <w:rFonts w:cs="Times New Roman"/>
        </w:rPr>
        <w:t xml:space="preserve"> Ms. Barendregt (“mother”), nor </w:t>
      </w:r>
      <w:r>
        <w:rPr>
          <w:rFonts w:cs="Times New Roman"/>
        </w:rPr>
        <w:t xml:space="preserve">was it </w:t>
      </w:r>
      <w:r w:rsidRPr="00F05824">
        <w:rPr>
          <w:rFonts w:cs="Times New Roman"/>
        </w:rPr>
        <w:t xml:space="preserve">formally raised by </w:t>
      </w:r>
      <w:r>
        <w:rPr>
          <w:rFonts w:cs="Times New Roman"/>
        </w:rPr>
        <w:t xml:space="preserve">the respondent, </w:t>
      </w:r>
      <w:r w:rsidRPr="00F05824">
        <w:rPr>
          <w:rFonts w:cs="Times New Roman"/>
        </w:rPr>
        <w:t>Mr. Grebliunas (“father”), who did not cross</w:t>
      </w:r>
      <w:r w:rsidRPr="00F05824">
        <w:rPr>
          <w:rFonts w:cs="Times New Roman"/>
        </w:rPr>
        <w:noBreakHyphen/>
        <w:t xml:space="preserve">appeal. </w:t>
      </w:r>
      <w:r>
        <w:rPr>
          <w:rFonts w:cs="Times New Roman"/>
        </w:rPr>
        <w:t>It is therefore</w:t>
      </w:r>
      <w:r w:rsidRPr="00F05824">
        <w:rPr>
          <w:rFonts w:cs="Times New Roman"/>
        </w:rPr>
        <w:t xml:space="preserve"> not properly before </w:t>
      </w:r>
      <w:r w:rsidRPr="00F05824">
        <w:rPr>
          <w:rFonts w:cs="Times New Roman"/>
        </w:rPr>
        <w:lastRenderedPageBreak/>
        <w:t xml:space="preserve">this Court. Even if it were, I do not believe it prudent to comment on amendments to the </w:t>
      </w:r>
      <w:r w:rsidRPr="00F05824">
        <w:rPr>
          <w:rFonts w:cs="Times New Roman"/>
          <w:i/>
        </w:rPr>
        <w:t>Divorce Act</w:t>
      </w:r>
      <w:r>
        <w:rPr>
          <w:rFonts w:cs="Times New Roman"/>
        </w:rPr>
        <w:t>, R.S.C. 1985, c. 3 (2</w:t>
      </w:r>
      <w:r w:rsidRPr="00CC533E">
        <w:rPr>
          <w:rFonts w:cs="Times New Roman"/>
        </w:rPr>
        <w:t>nd</w:t>
      </w:r>
      <w:r>
        <w:rPr>
          <w:rFonts w:cs="Times New Roman"/>
        </w:rPr>
        <w:t> Supp.),</w:t>
      </w:r>
      <w:r w:rsidRPr="00F05824">
        <w:rPr>
          <w:rFonts w:cs="Times New Roman"/>
          <w:i/>
        </w:rPr>
        <w:t xml:space="preserve"> </w:t>
      </w:r>
      <w:r w:rsidRPr="00F05824">
        <w:rPr>
          <w:rFonts w:cs="Times New Roman"/>
        </w:rPr>
        <w:t xml:space="preserve">without the benefit of submissions and </w:t>
      </w:r>
      <w:r>
        <w:rPr>
          <w:rFonts w:cs="Times New Roman"/>
        </w:rPr>
        <w:t xml:space="preserve">of </w:t>
      </w:r>
      <w:r w:rsidRPr="00F05824">
        <w:rPr>
          <w:rFonts w:cs="Times New Roman"/>
        </w:rPr>
        <w:t>a full evidentiary record on the matter. It follows that I cannot agree with my colleague’s analysis</w:t>
      </w:r>
      <w:r>
        <w:rPr>
          <w:rFonts w:cs="Times New Roman"/>
        </w:rPr>
        <w:t xml:space="preserve"> as set out in paras. 105</w:t>
      </w:r>
      <w:r>
        <w:rPr>
          <w:rFonts w:cs="Times New Roman"/>
        </w:rPr>
        <w:noBreakHyphen/>
        <w:t>89 of her reasons</w:t>
      </w:r>
      <w:r w:rsidRPr="00F05824">
        <w:rPr>
          <w:rFonts w:cs="Times New Roman"/>
        </w:rPr>
        <w:t>. I will say no more on this issue; it ought to be left for another day.</w:t>
      </w:r>
    </w:p>
    <w:p w14:paraId="19E67727" w14:textId="77777777" w:rsidR="00567205" w:rsidRPr="00F05824" w:rsidRDefault="00567205" w:rsidP="00567205">
      <w:pPr>
        <w:pStyle w:val="ParaNoNdepar-AltN"/>
        <w:rPr>
          <w:rFonts w:cs="Times New Roman"/>
        </w:rPr>
      </w:pPr>
      <w:r w:rsidRPr="00F05824">
        <w:rPr>
          <w:rFonts w:cs="Times New Roman"/>
        </w:rPr>
        <w:t xml:space="preserve">Second, as </w:t>
      </w:r>
      <w:r>
        <w:rPr>
          <w:rFonts w:cs="Times New Roman"/>
        </w:rPr>
        <w:t>I mentioned</w:t>
      </w:r>
      <w:r w:rsidRPr="00F05824">
        <w:rPr>
          <w:rFonts w:cs="Times New Roman"/>
        </w:rPr>
        <w:t xml:space="preserve">, I disagree with my colleague’s application of </w:t>
      </w:r>
      <w:r w:rsidRPr="00F05824">
        <w:rPr>
          <w:rFonts w:cs="Times New Roman"/>
          <w:i/>
        </w:rPr>
        <w:t>Palmer</w:t>
      </w:r>
      <w:r w:rsidRPr="00F05824">
        <w:rPr>
          <w:rFonts w:cs="Times New Roman"/>
        </w:rPr>
        <w:t xml:space="preserve"> to the facts of this case. Appellate courts that strictly apply the </w:t>
      </w:r>
      <w:r w:rsidRPr="00F05824">
        <w:rPr>
          <w:rFonts w:cs="Times New Roman"/>
          <w:i/>
        </w:rPr>
        <w:t>Palmer</w:t>
      </w:r>
      <w:r w:rsidRPr="00F05824">
        <w:rPr>
          <w:rFonts w:cs="Times New Roman"/>
        </w:rPr>
        <w:t xml:space="preserve"> test tend to focus too narrowly on the </w:t>
      </w:r>
      <w:r>
        <w:rPr>
          <w:rFonts w:cs="Times New Roman"/>
        </w:rPr>
        <w:t xml:space="preserve">potential for </w:t>
      </w:r>
      <w:r w:rsidRPr="00F05824">
        <w:rPr>
          <w:rFonts w:cs="Times New Roman"/>
        </w:rPr>
        <w:t>further evidence to distort t</w:t>
      </w:r>
      <w:r>
        <w:rPr>
          <w:rFonts w:cs="Times New Roman"/>
        </w:rPr>
        <w:t>he appellate standard of review</w:t>
      </w:r>
      <w:r w:rsidRPr="00F05824">
        <w:rPr>
          <w:rFonts w:cs="Times New Roman"/>
        </w:rPr>
        <w:t xml:space="preserve"> rather than properly focusing on the best interests of the child as the overriding consideration. The </w:t>
      </w:r>
      <w:r w:rsidRPr="00F05824">
        <w:rPr>
          <w:rFonts w:cs="Times New Roman"/>
          <w:i/>
        </w:rPr>
        <w:t xml:space="preserve">Palmer </w:t>
      </w:r>
      <w:r w:rsidRPr="00F05824">
        <w:rPr>
          <w:rFonts w:cs="Times New Roman"/>
        </w:rPr>
        <w:t xml:space="preserve">test </w:t>
      </w:r>
      <w:r>
        <w:rPr>
          <w:rFonts w:cs="Times New Roman"/>
        </w:rPr>
        <w:t>must</w:t>
      </w:r>
      <w:r w:rsidRPr="00F05824">
        <w:rPr>
          <w:rFonts w:cs="Times New Roman"/>
        </w:rPr>
        <w:t xml:space="preserve"> be applied flexibly in </w:t>
      </w:r>
      <w:r w:rsidRPr="00F05824">
        <w:rPr>
          <w:rFonts w:cs="Times New Roman"/>
          <w:i/>
        </w:rPr>
        <w:t>all</w:t>
      </w:r>
      <w:r w:rsidRPr="00F05824">
        <w:rPr>
          <w:rFonts w:cs="Times New Roman"/>
        </w:rPr>
        <w:t xml:space="preserve"> cases involving the welfare of children. My colleague recognizes this well</w:t>
      </w:r>
      <w:r w:rsidRPr="00F05824">
        <w:rPr>
          <w:rFonts w:cs="Times New Roman"/>
        </w:rPr>
        <w:noBreakHyphen/>
        <w:t>established principle</w:t>
      </w:r>
      <w:r>
        <w:rPr>
          <w:rFonts w:cs="Times New Roman"/>
        </w:rPr>
        <w:t>, yet</w:t>
      </w:r>
      <w:r w:rsidRPr="00F05824">
        <w:rPr>
          <w:rFonts w:cs="Times New Roman"/>
        </w:rPr>
        <w:t xml:space="preserve"> her application of </w:t>
      </w:r>
      <w:r w:rsidRPr="00F05824">
        <w:rPr>
          <w:rFonts w:cs="Times New Roman"/>
          <w:i/>
        </w:rPr>
        <w:t>Palmer</w:t>
      </w:r>
      <w:r w:rsidRPr="00F05824">
        <w:rPr>
          <w:rFonts w:cs="Times New Roman"/>
        </w:rPr>
        <w:t xml:space="preserve"> is </w:t>
      </w:r>
      <w:r>
        <w:rPr>
          <w:rFonts w:cs="Times New Roman"/>
        </w:rPr>
        <w:t>devoid of flexibility</w:t>
      </w:r>
      <w:r w:rsidRPr="00F05824">
        <w:rPr>
          <w:rFonts w:cs="Times New Roman"/>
        </w:rPr>
        <w:t>.</w:t>
      </w:r>
    </w:p>
    <w:p w14:paraId="3975CE96" w14:textId="77777777" w:rsidR="00567205" w:rsidRPr="00F05824" w:rsidRDefault="00567205" w:rsidP="00567205">
      <w:pPr>
        <w:pStyle w:val="ParaNoNdepar-AltN"/>
        <w:rPr>
          <w:rFonts w:cs="Times New Roman"/>
        </w:rPr>
      </w:pPr>
      <w:r w:rsidRPr="00F05824">
        <w:rPr>
          <w:rFonts w:cs="Times New Roman"/>
        </w:rPr>
        <w:t xml:space="preserve">On a proper application of </w:t>
      </w:r>
      <w:r w:rsidRPr="00F05824">
        <w:rPr>
          <w:rFonts w:cs="Times New Roman"/>
          <w:i/>
        </w:rPr>
        <w:t>Palmer</w:t>
      </w:r>
      <w:r w:rsidRPr="00F05824">
        <w:rPr>
          <w:rFonts w:cs="Times New Roman"/>
        </w:rPr>
        <w:t xml:space="preserve">, I would admit the new evidence and </w:t>
      </w:r>
      <w:r>
        <w:rPr>
          <w:rFonts w:cs="Times New Roman"/>
        </w:rPr>
        <w:t>remand the appeal</w:t>
      </w:r>
      <w:r w:rsidRPr="00F05824">
        <w:rPr>
          <w:rFonts w:cs="Times New Roman"/>
        </w:rPr>
        <w:t xml:space="preserve"> to the trial court</w:t>
      </w:r>
      <w:r>
        <w:rPr>
          <w:rFonts w:cs="Times New Roman"/>
        </w:rPr>
        <w:t xml:space="preserve"> </w:t>
      </w:r>
      <w:r w:rsidRPr="00F05824">
        <w:rPr>
          <w:rFonts w:cs="Times New Roman"/>
        </w:rPr>
        <w:t xml:space="preserve">for reconsideration of the children’s best interests in light of </w:t>
      </w:r>
      <w:r>
        <w:rPr>
          <w:rFonts w:cs="Times New Roman"/>
        </w:rPr>
        <w:t xml:space="preserve">the </w:t>
      </w:r>
      <w:r w:rsidRPr="00F05824">
        <w:rPr>
          <w:rFonts w:cs="Times New Roman"/>
        </w:rPr>
        <w:t xml:space="preserve">new information regarding the father’s financial situation and the </w:t>
      </w:r>
      <w:r>
        <w:rPr>
          <w:rFonts w:cs="Times New Roman"/>
        </w:rPr>
        <w:t>condition</w:t>
      </w:r>
      <w:r w:rsidRPr="00F05824">
        <w:rPr>
          <w:rFonts w:cs="Times New Roman"/>
        </w:rPr>
        <w:t xml:space="preserve"> of the West Kelowna home. </w:t>
      </w:r>
      <w:r>
        <w:rPr>
          <w:rFonts w:cs="Times New Roman"/>
        </w:rPr>
        <w:t>The effect of holding</w:t>
      </w:r>
      <w:r w:rsidRPr="00F05824">
        <w:rPr>
          <w:rFonts w:cs="Times New Roman"/>
        </w:rPr>
        <w:t xml:space="preserve"> otherwise would be to </w:t>
      </w:r>
      <w:r>
        <w:rPr>
          <w:rFonts w:cs="Times New Roman"/>
        </w:rPr>
        <w:t>relocate</w:t>
      </w:r>
      <w:r w:rsidRPr="00F05824">
        <w:rPr>
          <w:rFonts w:cs="Times New Roman"/>
        </w:rPr>
        <w:t xml:space="preserve"> </w:t>
      </w:r>
      <w:r>
        <w:rPr>
          <w:rFonts w:cs="Times New Roman"/>
        </w:rPr>
        <w:t>2 </w:t>
      </w:r>
      <w:r w:rsidRPr="00F05824">
        <w:rPr>
          <w:rFonts w:cs="Times New Roman"/>
          <w:lang w:val="en-US"/>
        </w:rPr>
        <w:t>children</w:t>
      </w:r>
      <w:r>
        <w:rPr>
          <w:rFonts w:cs="Times New Roman"/>
          <w:lang w:val="en-US"/>
        </w:rPr>
        <w:t xml:space="preserve"> </w:t>
      </w:r>
      <w:r w:rsidRPr="00F05824">
        <w:rPr>
          <w:rFonts w:cs="Times New Roman"/>
          <w:lang w:val="en-US"/>
        </w:rPr>
        <w:t>1,000 km away from their father b</w:t>
      </w:r>
      <w:r>
        <w:rPr>
          <w:rFonts w:cs="Times New Roman"/>
          <w:lang w:val="en-US"/>
        </w:rPr>
        <w:t>ased on</w:t>
      </w:r>
      <w:r w:rsidRPr="00F05824">
        <w:rPr>
          <w:rFonts w:cs="Times New Roman"/>
          <w:lang w:val="en-US"/>
        </w:rPr>
        <w:t xml:space="preserve"> an inaccurate picture of reality.</w:t>
      </w:r>
    </w:p>
    <w:p w14:paraId="77832BE7" w14:textId="77777777" w:rsidR="00567205" w:rsidRPr="00F05824" w:rsidRDefault="00567205" w:rsidP="00567205">
      <w:pPr>
        <w:pStyle w:val="Title1LevelTitre1Niveau-AltL"/>
        <w:jc w:val="both"/>
        <w:rPr>
          <w:rFonts w:cs="Times New Roman"/>
        </w:rPr>
      </w:pPr>
      <w:r w:rsidRPr="00F05824">
        <w:rPr>
          <w:rFonts w:cs="Times New Roman"/>
        </w:rPr>
        <w:t>Analysis</w:t>
      </w:r>
    </w:p>
    <w:p w14:paraId="7E382DD5" w14:textId="77777777" w:rsidR="00567205" w:rsidRPr="00F05824" w:rsidRDefault="00567205" w:rsidP="00567205">
      <w:pPr>
        <w:pStyle w:val="ParaNoNdepar-AltN"/>
        <w:rPr>
          <w:rFonts w:cs="Times New Roman"/>
          <w:lang w:val="en-US"/>
        </w:rPr>
      </w:pPr>
      <w:r w:rsidRPr="00F05824">
        <w:rPr>
          <w:rFonts w:cs="Times New Roman"/>
        </w:rPr>
        <w:lastRenderedPageBreak/>
        <w:t xml:space="preserve">As my colleague rightfully notes, the </w:t>
      </w:r>
      <w:r w:rsidRPr="00F05824">
        <w:rPr>
          <w:rFonts w:cs="Times New Roman"/>
          <w:i/>
        </w:rPr>
        <w:t xml:space="preserve">Palmer </w:t>
      </w:r>
      <w:r w:rsidRPr="00F05824">
        <w:rPr>
          <w:rFonts w:cs="Times New Roman"/>
        </w:rPr>
        <w:t xml:space="preserve">test </w:t>
      </w:r>
      <w:r>
        <w:rPr>
          <w:rFonts w:cs="Times New Roman"/>
        </w:rPr>
        <w:t>must</w:t>
      </w:r>
      <w:r w:rsidRPr="00F05824">
        <w:rPr>
          <w:rFonts w:cs="Times New Roman"/>
        </w:rPr>
        <w:t xml:space="preserve"> be applied more flexibly in family law cases involving the best interests of a child (para. 67; </w:t>
      </w:r>
      <w:r w:rsidRPr="00F05824">
        <w:rPr>
          <w:rFonts w:cs="Times New Roman"/>
          <w:i/>
        </w:rPr>
        <w:t>Catholic Children’s Aid Societ</w:t>
      </w:r>
      <w:r>
        <w:rPr>
          <w:rFonts w:cs="Times New Roman"/>
          <w:i/>
        </w:rPr>
        <w:t>y of Metropolitan Toronto v. M. </w:t>
      </w:r>
      <w:r w:rsidRPr="00F05824">
        <w:rPr>
          <w:rFonts w:cs="Times New Roman"/>
          <w:i/>
        </w:rPr>
        <w:t>(C.)</w:t>
      </w:r>
      <w:r w:rsidRPr="00F05824">
        <w:rPr>
          <w:rFonts w:cs="Times New Roman"/>
        </w:rPr>
        <w:t>, [1994] 2 S.C.R. 165). In such cases, an accurate assessment of the current situation of the parties</w:t>
      </w:r>
      <w:r>
        <w:rPr>
          <w:rFonts w:cs="Times New Roman"/>
        </w:rPr>
        <w:t>,</w:t>
      </w:r>
      <w:r w:rsidRPr="00F05824">
        <w:rPr>
          <w:rFonts w:cs="Times New Roman"/>
        </w:rPr>
        <w:t xml:space="preserve"> and </w:t>
      </w:r>
      <w:r>
        <w:rPr>
          <w:rFonts w:cs="Times New Roman"/>
        </w:rPr>
        <w:t xml:space="preserve">of </w:t>
      </w:r>
      <w:r w:rsidRPr="00F05824">
        <w:rPr>
          <w:rFonts w:cs="Times New Roman"/>
        </w:rPr>
        <w:t>the children in particular, is of crucial importance (</w:t>
      </w:r>
      <w:r w:rsidRPr="00CC533E">
        <w:rPr>
          <w:rFonts w:cs="Times New Roman"/>
          <w:i/>
        </w:rPr>
        <w:t>Catholic Children’s Aid</w:t>
      </w:r>
      <w:r w:rsidRPr="00F05824">
        <w:rPr>
          <w:rFonts w:cs="Times New Roman"/>
        </w:rPr>
        <w:t xml:space="preserve">, at p. 188). </w:t>
      </w:r>
      <w:r>
        <w:rPr>
          <w:rFonts w:cs="Times New Roman"/>
        </w:rPr>
        <w:t>A</w:t>
      </w:r>
      <w:r w:rsidRPr="00F05824">
        <w:rPr>
          <w:rFonts w:cs="Times New Roman"/>
        </w:rPr>
        <w:t xml:space="preserve"> child’s welfare is “ongoing and fluid, an undammed stream, and usually it is better that the Court have the full context” (</w:t>
      </w:r>
      <w:r w:rsidRPr="00F05824">
        <w:rPr>
          <w:rFonts w:cs="Times New Roman"/>
          <w:i/>
        </w:rPr>
        <w:t>T.G.</w:t>
      </w:r>
      <w:r>
        <w:rPr>
          <w:rFonts w:cs="Times New Roman"/>
          <w:i/>
        </w:rPr>
        <w:t xml:space="preserve"> v. </w:t>
      </w:r>
      <w:r w:rsidRPr="00F05824">
        <w:rPr>
          <w:rFonts w:cs="Times New Roman"/>
          <w:i/>
        </w:rPr>
        <w:t>Nova Scotia (</w:t>
      </w:r>
      <w:r>
        <w:rPr>
          <w:rFonts w:cs="Times New Roman"/>
          <w:i/>
        </w:rPr>
        <w:t>Minister of Community Services)</w:t>
      </w:r>
      <w:r w:rsidRPr="00F05824">
        <w:rPr>
          <w:rFonts w:cs="Times New Roman"/>
        </w:rPr>
        <w:t xml:space="preserve">, 2012 NSCA 43, </w:t>
      </w:r>
      <w:r>
        <w:rPr>
          <w:rFonts w:cs="Times New Roman"/>
        </w:rPr>
        <w:t xml:space="preserve">316 N.S.R. (2d) 202, </w:t>
      </w:r>
      <w:r w:rsidRPr="00F05824">
        <w:rPr>
          <w:rFonts w:cs="Times New Roman"/>
        </w:rPr>
        <w:t>at para. 82).</w:t>
      </w:r>
    </w:p>
    <w:p w14:paraId="4C433A64" w14:textId="77777777" w:rsidR="00567205" w:rsidRPr="00F05824" w:rsidRDefault="00567205" w:rsidP="00567205">
      <w:pPr>
        <w:pStyle w:val="ParaNoNdepar-AltN"/>
        <w:rPr>
          <w:rFonts w:cs="Times New Roman"/>
          <w:lang w:val="en-US"/>
        </w:rPr>
      </w:pPr>
      <w:r w:rsidRPr="00F05824">
        <w:rPr>
          <w:rFonts w:cs="Times New Roman"/>
          <w:lang w:val="en-US"/>
        </w:rPr>
        <w:t xml:space="preserve">Although the rules </w:t>
      </w:r>
      <w:r>
        <w:rPr>
          <w:rFonts w:cs="Times New Roman"/>
          <w:lang w:val="en-US"/>
        </w:rPr>
        <w:t>for admitting</w:t>
      </w:r>
      <w:r w:rsidRPr="00F05824">
        <w:rPr>
          <w:rFonts w:cs="Times New Roman"/>
          <w:lang w:val="en-US"/>
        </w:rPr>
        <w:t xml:space="preserve"> new evidence are not designed to permit lit</w:t>
      </w:r>
      <w:r>
        <w:rPr>
          <w:rFonts w:cs="Times New Roman"/>
          <w:lang w:val="en-US"/>
        </w:rPr>
        <w:t>igants to re</w:t>
      </w:r>
      <w:r w:rsidRPr="00F05824">
        <w:rPr>
          <w:rFonts w:cs="Times New Roman"/>
          <w:lang w:val="en-US"/>
        </w:rPr>
        <w:t>try their case</w:t>
      </w:r>
      <w:r>
        <w:rPr>
          <w:rFonts w:cs="Times New Roman"/>
          <w:lang w:val="en-US"/>
        </w:rPr>
        <w:t>s</w:t>
      </w:r>
      <w:r w:rsidRPr="00F05824">
        <w:rPr>
          <w:rFonts w:cs="Times New Roman"/>
          <w:lang w:val="en-US"/>
        </w:rPr>
        <w:t xml:space="preserve">, it is trite </w:t>
      </w:r>
      <w:r>
        <w:rPr>
          <w:rFonts w:cs="Times New Roman"/>
          <w:lang w:val="en-US"/>
        </w:rPr>
        <w:t xml:space="preserve">law </w:t>
      </w:r>
      <w:r w:rsidRPr="00F05824">
        <w:rPr>
          <w:rFonts w:cs="Times New Roman"/>
          <w:lang w:val="en-US"/>
        </w:rPr>
        <w:t>that the best interests of a child “may provide a compelling reason to admit evidence on appeal” (</w:t>
      </w:r>
      <w:r w:rsidRPr="00F05824">
        <w:rPr>
          <w:rFonts w:cs="Times New Roman"/>
          <w:i/>
        </w:rPr>
        <w:t>C.K.S. v. O.S.S.</w:t>
      </w:r>
      <w:r w:rsidRPr="00F05824">
        <w:rPr>
          <w:rFonts w:cs="Times New Roman"/>
        </w:rPr>
        <w:t>,</w:t>
      </w:r>
      <w:r w:rsidRPr="00F05824">
        <w:rPr>
          <w:rFonts w:cs="Times New Roman"/>
          <w:lang w:val="en-US"/>
        </w:rPr>
        <w:t xml:space="preserve"> 2014 ABCA 416</w:t>
      </w:r>
      <w:r w:rsidRPr="00F05824">
        <w:rPr>
          <w:rFonts w:cs="Times New Roman"/>
        </w:rPr>
        <w:t>, at para. 10</w:t>
      </w:r>
      <w:r>
        <w:rPr>
          <w:rFonts w:cs="Times New Roman"/>
        </w:rPr>
        <w:t xml:space="preserve"> (CanLII)</w:t>
      </w:r>
      <w:r w:rsidRPr="00F05824">
        <w:rPr>
          <w:rFonts w:cs="Times New Roman"/>
        </w:rPr>
        <w:t>). After all, a custody appeal “</w:t>
      </w:r>
      <w:r>
        <w:rPr>
          <w:rFonts w:cs="Times New Roman"/>
        </w:rPr>
        <w:t xml:space="preserve">is </w:t>
      </w:r>
      <w:r w:rsidRPr="00F05824">
        <w:rPr>
          <w:rFonts w:cs="Times New Roman"/>
        </w:rPr>
        <w:t xml:space="preserve">ultimately about a child and will affect the welfare of a child” </w:t>
      </w:r>
      <w:r w:rsidRPr="00F05824">
        <w:rPr>
          <w:rFonts w:cs="Times New Roman"/>
          <w:lang w:val="en-US"/>
        </w:rPr>
        <w:t>(</w:t>
      </w:r>
      <w:r>
        <w:rPr>
          <w:rFonts w:cs="Times New Roman"/>
          <w:i/>
          <w:lang w:val="en-US"/>
        </w:rPr>
        <w:t>Bacic v. Ivakic</w:t>
      </w:r>
      <w:r w:rsidRPr="00F05824">
        <w:rPr>
          <w:rFonts w:cs="Times New Roman"/>
          <w:lang w:val="en-US"/>
        </w:rPr>
        <w:t xml:space="preserve">, 2017 SKCA 23, </w:t>
      </w:r>
      <w:r>
        <w:rPr>
          <w:rFonts w:cs="Times New Roman"/>
          <w:lang w:val="en-US"/>
        </w:rPr>
        <w:t>409 D.L.R. (4</w:t>
      </w:r>
      <w:r w:rsidRPr="00CC533E">
        <w:rPr>
          <w:rFonts w:cs="Times New Roman"/>
          <w:lang w:val="en-US"/>
        </w:rPr>
        <w:t>th</w:t>
      </w:r>
      <w:r>
        <w:rPr>
          <w:rFonts w:cs="Times New Roman"/>
          <w:lang w:val="en-US"/>
        </w:rPr>
        <w:t xml:space="preserve">) 571, </w:t>
      </w:r>
      <w:r w:rsidRPr="00F05824">
        <w:rPr>
          <w:rFonts w:cs="Times New Roman"/>
          <w:lang w:val="en-US"/>
        </w:rPr>
        <w:t>at para. </w:t>
      </w:r>
      <w:r>
        <w:rPr>
          <w:rFonts w:cs="Times New Roman"/>
          <w:lang w:val="en-US"/>
        </w:rPr>
        <w:t>24;</w:t>
      </w:r>
      <w:r w:rsidRPr="00F05824">
        <w:rPr>
          <w:rFonts w:cs="Times New Roman"/>
          <w:lang w:val="en-US"/>
        </w:rPr>
        <w:t xml:space="preserve"> </w:t>
      </w:r>
      <w:r>
        <w:rPr>
          <w:rFonts w:cs="Times New Roman"/>
          <w:lang w:val="en-US"/>
        </w:rPr>
        <w:t>s</w:t>
      </w:r>
      <w:r w:rsidRPr="00F05824">
        <w:rPr>
          <w:rFonts w:cs="Times New Roman"/>
          <w:lang w:val="en-US"/>
        </w:rPr>
        <w:t xml:space="preserve">ee also </w:t>
      </w:r>
      <w:r w:rsidRPr="00F05824">
        <w:rPr>
          <w:rFonts w:cs="Times New Roman"/>
          <w:i/>
          <w:lang w:val="en-US"/>
        </w:rPr>
        <w:t>P.</w:t>
      </w:r>
      <w:r>
        <w:rPr>
          <w:rFonts w:cs="Times New Roman"/>
          <w:i/>
          <w:lang w:val="en-US"/>
        </w:rPr>
        <w:t> (J.)</w:t>
      </w:r>
      <w:r w:rsidRPr="00F05824">
        <w:rPr>
          <w:rFonts w:cs="Times New Roman"/>
          <w:i/>
          <w:lang w:val="en-US"/>
        </w:rPr>
        <w:t xml:space="preserve"> v. </w:t>
      </w:r>
      <w:r>
        <w:rPr>
          <w:rFonts w:cs="Times New Roman"/>
          <w:i/>
          <w:lang w:val="en-US"/>
        </w:rPr>
        <w:t>P. (</w:t>
      </w:r>
      <w:r w:rsidRPr="00F05824">
        <w:rPr>
          <w:rFonts w:cs="Times New Roman"/>
          <w:i/>
          <w:lang w:val="en-US"/>
        </w:rPr>
        <w:t>J.</w:t>
      </w:r>
      <w:r>
        <w:rPr>
          <w:rFonts w:cs="Times New Roman"/>
          <w:i/>
          <w:lang w:val="en-US"/>
        </w:rPr>
        <w:t>)</w:t>
      </w:r>
      <w:r w:rsidRPr="00F05824">
        <w:rPr>
          <w:rFonts w:cs="Times New Roman"/>
          <w:lang w:val="en-US"/>
        </w:rPr>
        <w:t xml:space="preserve">, 2016 SKCA 168, </w:t>
      </w:r>
      <w:r>
        <w:rPr>
          <w:rFonts w:cs="Times New Roman"/>
          <w:lang w:val="en-US"/>
        </w:rPr>
        <w:t>89 R.F.L. (7</w:t>
      </w:r>
      <w:r w:rsidRPr="00CC533E">
        <w:rPr>
          <w:rFonts w:cs="Times New Roman"/>
          <w:lang w:val="en-US"/>
        </w:rPr>
        <w:t>th</w:t>
      </w:r>
      <w:r>
        <w:rPr>
          <w:rFonts w:cs="Times New Roman"/>
          <w:lang w:val="en-US"/>
        </w:rPr>
        <w:t xml:space="preserve">) 92, </w:t>
      </w:r>
      <w:r w:rsidRPr="00F05824">
        <w:rPr>
          <w:rFonts w:cs="Times New Roman"/>
          <w:lang w:val="en-US"/>
        </w:rPr>
        <w:t xml:space="preserve">at para. 24; </w:t>
      </w:r>
      <w:r w:rsidRPr="00F05824">
        <w:rPr>
          <w:rFonts w:cs="Times New Roman"/>
          <w:i/>
          <w:lang w:val="en-US"/>
        </w:rPr>
        <w:t>O.</w:t>
      </w:r>
      <w:r>
        <w:rPr>
          <w:rFonts w:cs="Times New Roman"/>
          <w:i/>
          <w:lang w:val="en-US"/>
        </w:rPr>
        <w:t xml:space="preserve"> (A.) </w:t>
      </w:r>
      <w:r w:rsidRPr="00F05824">
        <w:rPr>
          <w:rFonts w:cs="Times New Roman"/>
          <w:i/>
          <w:lang w:val="en-US"/>
        </w:rPr>
        <w:t xml:space="preserve">v. </w:t>
      </w:r>
      <w:r>
        <w:rPr>
          <w:rFonts w:cs="Times New Roman"/>
          <w:i/>
          <w:lang w:val="en-US"/>
        </w:rPr>
        <w:t>E. (</w:t>
      </w:r>
      <w:r w:rsidRPr="00F05824">
        <w:rPr>
          <w:rFonts w:cs="Times New Roman"/>
          <w:i/>
          <w:lang w:val="en-US"/>
        </w:rPr>
        <w:t>T.</w:t>
      </w:r>
      <w:r>
        <w:rPr>
          <w:rFonts w:cs="Times New Roman"/>
          <w:i/>
          <w:lang w:val="en-US"/>
        </w:rPr>
        <w:t>)</w:t>
      </w:r>
      <w:r w:rsidRPr="00F05824">
        <w:rPr>
          <w:rFonts w:cs="Times New Roman"/>
          <w:lang w:val="en-US"/>
        </w:rPr>
        <w:t xml:space="preserve">, 2016 SKCA 148, </w:t>
      </w:r>
      <w:r>
        <w:rPr>
          <w:rFonts w:cs="Times New Roman"/>
          <w:lang w:val="en-US"/>
        </w:rPr>
        <w:t>88 R.F.L. (7</w:t>
      </w:r>
      <w:r w:rsidRPr="00CC533E">
        <w:rPr>
          <w:rFonts w:cs="Times New Roman"/>
          <w:lang w:val="en-US"/>
        </w:rPr>
        <w:t>th</w:t>
      </w:r>
      <w:r>
        <w:rPr>
          <w:rFonts w:cs="Times New Roman"/>
          <w:lang w:val="en-US"/>
        </w:rPr>
        <w:t xml:space="preserve">) 34, </w:t>
      </w:r>
      <w:r w:rsidRPr="00F05824">
        <w:rPr>
          <w:rFonts w:cs="Times New Roman"/>
          <w:lang w:val="en-US"/>
        </w:rPr>
        <w:t>at paras. 115</w:t>
      </w:r>
      <w:r w:rsidRPr="00F05824">
        <w:rPr>
          <w:rFonts w:cs="Times New Roman"/>
          <w:lang w:val="en-US"/>
        </w:rPr>
        <w:noBreakHyphen/>
        <w:t xml:space="preserve">17; </w:t>
      </w:r>
      <w:r w:rsidRPr="00F05824">
        <w:rPr>
          <w:rFonts w:cs="Times New Roman"/>
          <w:i/>
          <w:lang w:val="en-US"/>
        </w:rPr>
        <w:t>C.L.B. v. J.A.B.</w:t>
      </w:r>
      <w:r w:rsidRPr="00F05824">
        <w:rPr>
          <w:rFonts w:cs="Times New Roman"/>
          <w:lang w:val="en-US"/>
        </w:rPr>
        <w:t xml:space="preserve">, 2016 SKCA 101, </w:t>
      </w:r>
      <w:r>
        <w:rPr>
          <w:rFonts w:cs="Times New Roman"/>
          <w:lang w:val="en-US"/>
        </w:rPr>
        <w:t xml:space="preserve">484 Sask. R. 228, </w:t>
      </w:r>
      <w:r w:rsidRPr="00F05824">
        <w:rPr>
          <w:rFonts w:cs="Times New Roman"/>
          <w:lang w:val="en-US"/>
        </w:rPr>
        <w:t>at paras. 21</w:t>
      </w:r>
      <w:r w:rsidRPr="00F05824">
        <w:rPr>
          <w:rFonts w:cs="Times New Roman"/>
          <w:lang w:val="en-US"/>
        </w:rPr>
        <w:noBreakHyphen/>
        <w:t>22).</w:t>
      </w:r>
    </w:p>
    <w:p w14:paraId="4A23EB77" w14:textId="77777777" w:rsidR="00567205" w:rsidRPr="00F05824" w:rsidRDefault="00567205" w:rsidP="00567205">
      <w:pPr>
        <w:pStyle w:val="ParaNoNdepar-AltN"/>
        <w:rPr>
          <w:rFonts w:cs="Times New Roman"/>
          <w:lang w:val="en-US"/>
        </w:rPr>
      </w:pPr>
      <w:r w:rsidRPr="00F05824">
        <w:rPr>
          <w:rFonts w:cs="Times New Roman"/>
        </w:rPr>
        <w:t>T</w:t>
      </w:r>
      <w:r w:rsidRPr="00F05824">
        <w:rPr>
          <w:rFonts w:cs="Times New Roman"/>
          <w:lang w:val="en-US"/>
        </w:rPr>
        <w:t xml:space="preserve">his flexibility is borne out </w:t>
      </w:r>
      <w:r>
        <w:rPr>
          <w:rFonts w:cs="Times New Roman"/>
          <w:lang w:val="en-US"/>
        </w:rPr>
        <w:t>by a</w:t>
      </w:r>
      <w:r w:rsidRPr="00F05824">
        <w:rPr>
          <w:rFonts w:cs="Times New Roman"/>
          <w:lang w:val="en-US"/>
        </w:rPr>
        <w:t xml:space="preserve"> review of the relevant case law. Over the last decade, Canadian appellate courts admitted additional evidence in family law cases in 48 out of 152 reported cases</w:t>
      </w:r>
      <w:r>
        <w:rPr>
          <w:rFonts w:cs="Times New Roman"/>
          <w:lang w:val="en-US"/>
        </w:rPr>
        <w:t xml:space="preserve"> reviewed</w:t>
      </w:r>
      <w:r w:rsidRPr="00F05824">
        <w:rPr>
          <w:rFonts w:cs="Times New Roman"/>
          <w:lang w:val="en-US"/>
        </w:rPr>
        <w:t xml:space="preserve">. Notably, however, the national rate of admission was considerably higher in cases involving child custody and </w:t>
      </w:r>
      <w:r>
        <w:rPr>
          <w:rFonts w:cs="Times New Roman"/>
          <w:lang w:val="en-US"/>
        </w:rPr>
        <w:t xml:space="preserve">the </w:t>
      </w:r>
      <w:r w:rsidRPr="00F05824">
        <w:rPr>
          <w:rFonts w:cs="Times New Roman"/>
          <w:lang w:val="en-US"/>
        </w:rPr>
        <w:t>welfare</w:t>
      </w:r>
      <w:r>
        <w:rPr>
          <w:rFonts w:cs="Times New Roman"/>
          <w:lang w:val="en-US"/>
        </w:rPr>
        <w:t xml:space="preserve"> of children</w:t>
      </w:r>
      <w:r w:rsidRPr="00F05824">
        <w:rPr>
          <w:rFonts w:cs="Times New Roman"/>
          <w:lang w:val="en-US"/>
        </w:rPr>
        <w:t xml:space="preserve">. </w:t>
      </w:r>
      <w:r>
        <w:rPr>
          <w:rFonts w:cs="Times New Roman"/>
          <w:lang w:val="en-US"/>
        </w:rPr>
        <w:t>In</w:t>
      </w:r>
      <w:r w:rsidRPr="00F05824">
        <w:rPr>
          <w:rFonts w:cs="Times New Roman"/>
          <w:lang w:val="en-US"/>
        </w:rPr>
        <w:t xml:space="preserve"> 85 </w:t>
      </w:r>
      <w:r>
        <w:rPr>
          <w:rFonts w:cs="Times New Roman"/>
          <w:lang w:val="en-US"/>
        </w:rPr>
        <w:t xml:space="preserve">such </w:t>
      </w:r>
      <w:r w:rsidRPr="00F05824">
        <w:rPr>
          <w:rFonts w:cs="Times New Roman"/>
          <w:lang w:val="en-US"/>
        </w:rPr>
        <w:t xml:space="preserve">cases, the court admitted the evidence almost half the time (41 out </w:t>
      </w:r>
      <w:r w:rsidRPr="00F05824">
        <w:rPr>
          <w:rFonts w:cs="Times New Roman"/>
          <w:lang w:val="en-US"/>
        </w:rPr>
        <w:lastRenderedPageBreak/>
        <w:t xml:space="preserve">of 85). By contrast, the national </w:t>
      </w:r>
      <w:r>
        <w:rPr>
          <w:rFonts w:cs="Times New Roman"/>
          <w:lang w:val="en-US"/>
        </w:rPr>
        <w:t xml:space="preserve">rate of </w:t>
      </w:r>
      <w:r w:rsidRPr="00F05824">
        <w:rPr>
          <w:rFonts w:cs="Times New Roman"/>
          <w:lang w:val="en-US"/>
        </w:rPr>
        <w:t xml:space="preserve">admission </w:t>
      </w:r>
      <w:r>
        <w:rPr>
          <w:rFonts w:cs="Times New Roman"/>
          <w:lang w:val="en-US"/>
        </w:rPr>
        <w:t>in cases not concerning children</w:t>
      </w:r>
      <w:r w:rsidRPr="00F05824">
        <w:rPr>
          <w:rFonts w:cs="Times New Roman"/>
          <w:lang w:val="en-US"/>
        </w:rPr>
        <w:t xml:space="preserve"> was closer to one</w:t>
      </w:r>
      <w:r>
        <w:rPr>
          <w:rFonts w:cs="Times New Roman"/>
          <w:lang w:val="en-US"/>
        </w:rPr>
        <w:t xml:space="preserve"> </w:t>
      </w:r>
      <w:r w:rsidRPr="00F05824">
        <w:rPr>
          <w:rFonts w:cs="Times New Roman"/>
          <w:lang w:val="en-US"/>
        </w:rPr>
        <w:t xml:space="preserve">tenth (7 out of 67). This supports my view that the rules for admitting further evidence ought to be relaxed — and in practice </w:t>
      </w:r>
      <w:r w:rsidRPr="00F05824">
        <w:rPr>
          <w:rFonts w:cs="Times New Roman"/>
          <w:i/>
          <w:lang w:val="en-US"/>
        </w:rPr>
        <w:t>are</w:t>
      </w:r>
      <w:r w:rsidRPr="00F05824">
        <w:rPr>
          <w:rFonts w:cs="Times New Roman"/>
          <w:lang w:val="en-US"/>
        </w:rPr>
        <w:t xml:space="preserve"> relaxed — where the best interests of a child </w:t>
      </w:r>
      <w:r>
        <w:rPr>
          <w:rFonts w:cs="Times New Roman"/>
          <w:lang w:val="en-US"/>
        </w:rPr>
        <w:t>are</w:t>
      </w:r>
      <w:r w:rsidRPr="00F05824">
        <w:rPr>
          <w:rFonts w:cs="Times New Roman"/>
          <w:lang w:val="en-US"/>
        </w:rPr>
        <w:t xml:space="preserve"> at stake.</w:t>
      </w:r>
    </w:p>
    <w:p w14:paraId="5F0D059A" w14:textId="77777777" w:rsidR="00567205" w:rsidRPr="00F05824" w:rsidRDefault="00567205" w:rsidP="00567205">
      <w:pPr>
        <w:pStyle w:val="ParaNoNdepar-AltN"/>
        <w:rPr>
          <w:rFonts w:cs="Times New Roman"/>
          <w:lang w:val="en-US"/>
        </w:rPr>
      </w:pPr>
      <w:r w:rsidRPr="00F05824">
        <w:rPr>
          <w:rFonts w:cs="Times New Roman"/>
        </w:rPr>
        <w:t xml:space="preserve">My colleague appears to accept the importance of flexibility in this context. She notes that there may be “exceptional cases” where a child’s best interests favour admitting further evidence. For instance, </w:t>
      </w:r>
      <w:r>
        <w:rPr>
          <w:rFonts w:cs="Times New Roman"/>
        </w:rPr>
        <w:t>she observes</w:t>
      </w:r>
      <w:r w:rsidRPr="00F05824">
        <w:rPr>
          <w:rFonts w:cs="Times New Roman"/>
        </w:rPr>
        <w:t xml:space="preserve"> that the need for “finality” and “order” may yield “in the interest of justice” in “urgent matters requiring an immediate decision” (para. 70).</w:t>
      </w:r>
    </w:p>
    <w:p w14:paraId="119CC8D4" w14:textId="77777777" w:rsidR="00567205" w:rsidRPr="00F05824" w:rsidRDefault="00567205" w:rsidP="00567205">
      <w:pPr>
        <w:pStyle w:val="ParaNoNdepar-AltN"/>
        <w:rPr>
          <w:rFonts w:cs="Times New Roman"/>
          <w:lang w:val="en-US"/>
        </w:rPr>
      </w:pPr>
      <w:r w:rsidRPr="00F05824">
        <w:rPr>
          <w:rFonts w:cs="Times New Roman"/>
        </w:rPr>
        <w:t xml:space="preserve">But, respectfully, my colleague’s </w:t>
      </w:r>
      <w:r w:rsidRPr="00F05824">
        <w:rPr>
          <w:rFonts w:cs="Times New Roman"/>
          <w:lang w:val="en-US"/>
        </w:rPr>
        <w:t>approach </w:t>
      </w:r>
      <w:r w:rsidRPr="00F05824">
        <w:rPr>
          <w:rFonts w:cs="Times New Roman"/>
        </w:rPr>
        <w:t>— </w:t>
      </w:r>
      <w:r w:rsidRPr="00F05824">
        <w:rPr>
          <w:rFonts w:cs="Times New Roman"/>
          <w:lang w:val="en-US"/>
        </w:rPr>
        <w:t xml:space="preserve">narrowing </w:t>
      </w:r>
      <w:r w:rsidRPr="00F05824">
        <w:rPr>
          <w:rFonts w:cs="Times New Roman"/>
          <w:i/>
          <w:lang w:val="en-US"/>
        </w:rPr>
        <w:t>Palmer</w:t>
      </w:r>
      <w:r w:rsidRPr="00F05824">
        <w:rPr>
          <w:rFonts w:cs="Times New Roman"/>
          <w:lang w:val="en-US"/>
        </w:rPr>
        <w:t>’s flexibility to “exceptional cases” </w:t>
      </w:r>
      <w:r w:rsidRPr="00F05824">
        <w:rPr>
          <w:rFonts w:cs="Times New Roman"/>
        </w:rPr>
        <w:t>— </w:t>
      </w:r>
      <w:r w:rsidRPr="00F05824">
        <w:rPr>
          <w:rFonts w:cs="Times New Roman"/>
          <w:lang w:val="en-US"/>
        </w:rPr>
        <w:t>is unduly rigid and undermines the specificity needed in cases involving</w:t>
      </w:r>
      <w:r>
        <w:rPr>
          <w:rFonts w:cs="Times New Roman"/>
          <w:lang w:val="en-US"/>
        </w:rPr>
        <w:t xml:space="preserve"> </w:t>
      </w:r>
      <w:r w:rsidRPr="00F05824">
        <w:rPr>
          <w:rFonts w:cs="Times New Roman"/>
          <w:lang w:val="en-US"/>
        </w:rPr>
        <w:t xml:space="preserve">children’s welfare. Indeed, it would often deny judges the full context they need </w:t>
      </w:r>
      <w:r>
        <w:rPr>
          <w:rFonts w:cs="Times New Roman"/>
          <w:lang w:val="en-US"/>
        </w:rPr>
        <w:t xml:space="preserve">in order </w:t>
      </w:r>
      <w:r w:rsidRPr="00F05824">
        <w:rPr>
          <w:rFonts w:cs="Times New Roman"/>
          <w:lang w:val="en-US"/>
        </w:rPr>
        <w:t>to make a sound determination of the best interests of the child in a particular case.</w:t>
      </w:r>
    </w:p>
    <w:p w14:paraId="46D1255D" w14:textId="77777777" w:rsidR="00567205" w:rsidRPr="00F05824" w:rsidRDefault="00567205" w:rsidP="00567205">
      <w:pPr>
        <w:pStyle w:val="ParaNoNdepar-AltN"/>
        <w:rPr>
          <w:rFonts w:cs="Times New Roman"/>
          <w:lang w:val="en-US"/>
        </w:rPr>
      </w:pPr>
      <w:r w:rsidRPr="00F05824">
        <w:rPr>
          <w:rFonts w:cs="Times New Roman"/>
        </w:rPr>
        <w:t xml:space="preserve">Contrary to my colleague’s reasoning, </w:t>
      </w:r>
      <w:r>
        <w:rPr>
          <w:rFonts w:cs="Times New Roman"/>
        </w:rPr>
        <w:t>all of the criteria</w:t>
      </w:r>
      <w:r w:rsidRPr="00F05824">
        <w:rPr>
          <w:rFonts w:cs="Times New Roman"/>
        </w:rPr>
        <w:t xml:space="preserve"> must be applied flexibly in cases involving the best interests of children. I will briefly explain why this is so</w:t>
      </w:r>
      <w:r>
        <w:rPr>
          <w:rFonts w:cs="Times New Roman"/>
        </w:rPr>
        <w:t xml:space="preserve"> with respect to the first and fourth of the</w:t>
      </w:r>
      <w:r w:rsidRPr="00F05824">
        <w:rPr>
          <w:rFonts w:cs="Times New Roman"/>
        </w:rPr>
        <w:t xml:space="preserve"> </w:t>
      </w:r>
      <w:r w:rsidRPr="00F05824">
        <w:rPr>
          <w:rFonts w:cs="Times New Roman"/>
          <w:i/>
        </w:rPr>
        <w:t>Palmer</w:t>
      </w:r>
      <w:r>
        <w:rPr>
          <w:rFonts w:cs="Times New Roman"/>
        </w:rPr>
        <w:t xml:space="preserve"> criteria</w:t>
      </w:r>
      <w:r w:rsidRPr="00F05824">
        <w:rPr>
          <w:rFonts w:cs="Times New Roman"/>
          <w:i/>
        </w:rPr>
        <w:t> </w:t>
      </w:r>
      <w:r w:rsidRPr="00F05824">
        <w:rPr>
          <w:rFonts w:cs="Times New Roman"/>
        </w:rPr>
        <w:t>— </w:t>
      </w:r>
      <w:r>
        <w:rPr>
          <w:rFonts w:cs="Times New Roman"/>
        </w:rPr>
        <w:t xml:space="preserve">due diligence and whether the evidence could have affected the result at trial — as only these criteria are at issue in this appeal. I will then move on to apply </w:t>
      </w:r>
      <w:r w:rsidRPr="004A7F79">
        <w:rPr>
          <w:rFonts w:cs="Times New Roman"/>
          <w:i/>
        </w:rPr>
        <w:t>Palmer</w:t>
      </w:r>
      <w:r>
        <w:rPr>
          <w:rFonts w:cs="Times New Roman"/>
        </w:rPr>
        <w:t> — </w:t>
      </w:r>
      <w:r w:rsidRPr="00F05824">
        <w:rPr>
          <w:rFonts w:cs="Times New Roman"/>
        </w:rPr>
        <w:t>with the requisite flexibility — to the facts of this case.</w:t>
      </w:r>
    </w:p>
    <w:p w14:paraId="60932B0A" w14:textId="77777777" w:rsidR="00567205" w:rsidRPr="00F05824" w:rsidRDefault="00567205" w:rsidP="00567205">
      <w:pPr>
        <w:pStyle w:val="Title2LevelTitre2Niveau"/>
        <w:jc w:val="both"/>
      </w:pPr>
      <w:r w:rsidRPr="00F05824">
        <w:lastRenderedPageBreak/>
        <w:t>Palmer Test</w:t>
      </w:r>
    </w:p>
    <w:p w14:paraId="08E6F8B3" w14:textId="77777777" w:rsidR="00567205" w:rsidRPr="00F05824" w:rsidRDefault="00567205" w:rsidP="00567205">
      <w:pPr>
        <w:pStyle w:val="Title3LevelTitre3Niveau"/>
        <w:jc w:val="both"/>
      </w:pPr>
      <w:r w:rsidRPr="00F05824">
        <w:t xml:space="preserve">Flexibility in </w:t>
      </w:r>
      <w:r>
        <w:t>A</w:t>
      </w:r>
      <w:r w:rsidRPr="00F05824">
        <w:t xml:space="preserve">ssessing </w:t>
      </w:r>
      <w:r>
        <w:t>D</w:t>
      </w:r>
      <w:r w:rsidRPr="00F05824">
        <w:t xml:space="preserve">ue </w:t>
      </w:r>
      <w:r>
        <w:t>D</w:t>
      </w:r>
      <w:r w:rsidRPr="00F05824">
        <w:t>iligence</w:t>
      </w:r>
    </w:p>
    <w:p w14:paraId="1FDFAB3E" w14:textId="77777777" w:rsidR="00567205" w:rsidRPr="00F05824" w:rsidRDefault="00567205" w:rsidP="00567205">
      <w:pPr>
        <w:pStyle w:val="ParaNoNdepar-AltN"/>
        <w:rPr>
          <w:rFonts w:cs="Times New Roman"/>
        </w:rPr>
      </w:pPr>
      <w:r w:rsidRPr="00F05824">
        <w:rPr>
          <w:rFonts w:cs="Times New Roman"/>
        </w:rPr>
        <w:t xml:space="preserve">Finality and order are not judicial straitjackets. </w:t>
      </w:r>
      <w:r w:rsidRPr="00F05824">
        <w:rPr>
          <w:rFonts w:cs="Times New Roman"/>
          <w:lang w:val="en-US"/>
        </w:rPr>
        <w:t>Infants grow quickly into toddlers and</w:t>
      </w:r>
      <w:r>
        <w:rPr>
          <w:rFonts w:cs="Times New Roman"/>
          <w:lang w:val="en-US"/>
        </w:rPr>
        <w:t xml:space="preserve"> then</w:t>
      </w:r>
      <w:r w:rsidRPr="00F05824">
        <w:rPr>
          <w:rFonts w:cs="Times New Roman"/>
          <w:lang w:val="en-US"/>
        </w:rPr>
        <w:t> — in what may seem like the blink of an eye — into young adults. This development and maturation process demands that our courts have ample flexibility to de</w:t>
      </w:r>
      <w:r>
        <w:rPr>
          <w:rFonts w:cs="Times New Roman"/>
          <w:lang w:val="en-US"/>
        </w:rPr>
        <w:t>cide</w:t>
      </w:r>
      <w:r w:rsidRPr="00F05824">
        <w:rPr>
          <w:rFonts w:cs="Times New Roman"/>
          <w:lang w:val="en-US"/>
        </w:rPr>
        <w:t xml:space="preserve"> each child custody case based on the most current information available.</w:t>
      </w:r>
      <w:r w:rsidRPr="00F05824">
        <w:rPr>
          <w:rFonts w:cs="Times New Roman"/>
        </w:rPr>
        <w:t xml:space="preserve"> I could not agree more with the intervener </w:t>
      </w:r>
      <w:r>
        <w:rPr>
          <w:rFonts w:cs="Times New Roman"/>
        </w:rPr>
        <w:t xml:space="preserve">the </w:t>
      </w:r>
      <w:r w:rsidRPr="00F05824">
        <w:rPr>
          <w:rFonts w:cs="Times New Roman"/>
        </w:rPr>
        <w:t>Office of the Children’s Lawyer that a flexible approach “recognizes the need to be aware of children’s updated circumstances to understand how appellate decisions will impact their current lives, not the lives they had when the original decision was made” (para. 6).</w:t>
      </w:r>
    </w:p>
    <w:p w14:paraId="62B9368C" w14:textId="77777777" w:rsidR="00567205" w:rsidRPr="00F05824" w:rsidRDefault="00567205" w:rsidP="00567205">
      <w:pPr>
        <w:pStyle w:val="ParaNoNdepar-AltN"/>
        <w:rPr>
          <w:rFonts w:cs="Times New Roman"/>
          <w:lang w:val="en-GB"/>
        </w:rPr>
      </w:pPr>
      <w:r w:rsidRPr="00F05824">
        <w:rPr>
          <w:rFonts w:cs="Times New Roman"/>
          <w:lang w:val="en-GB"/>
        </w:rPr>
        <w:t>With respect, my colleague</w:t>
      </w:r>
      <w:r w:rsidRPr="00F05824">
        <w:rPr>
          <w:rFonts w:cs="Times New Roman"/>
        </w:rPr>
        <w:t xml:space="preserve"> takes </w:t>
      </w:r>
      <w:r>
        <w:rPr>
          <w:rFonts w:cs="Times New Roman"/>
        </w:rPr>
        <w:t>a rigid</w:t>
      </w:r>
      <w:r w:rsidRPr="00F05824">
        <w:rPr>
          <w:rFonts w:cs="Times New Roman"/>
        </w:rPr>
        <w:t xml:space="preserve"> view of due diligence. She focuses inordinately and narrowly on the “litigant’s conduct”, </w:t>
      </w:r>
      <w:r>
        <w:rPr>
          <w:rFonts w:cs="Times New Roman"/>
        </w:rPr>
        <w:t>stating</w:t>
      </w:r>
      <w:r w:rsidRPr="00F05824">
        <w:rPr>
          <w:rFonts w:cs="Times New Roman"/>
        </w:rPr>
        <w:t xml:space="preserve"> that parties should not be permitted to “benefit from their own inaction” (para</w:t>
      </w:r>
      <w:r>
        <w:rPr>
          <w:rFonts w:cs="Times New Roman"/>
        </w:rPr>
        <w:t>s</w:t>
      </w:r>
      <w:r w:rsidRPr="00F05824">
        <w:rPr>
          <w:rFonts w:cs="Times New Roman"/>
        </w:rPr>
        <w:t>. 60</w:t>
      </w:r>
      <w:r>
        <w:rPr>
          <w:rFonts w:cs="Times New Roman"/>
        </w:rPr>
        <w:noBreakHyphen/>
        <w:t>61</w:t>
      </w:r>
      <w:r w:rsidRPr="00F05824">
        <w:rPr>
          <w:rFonts w:cs="Times New Roman"/>
        </w:rPr>
        <w:t>).</w:t>
      </w:r>
      <w:r w:rsidRPr="00F05824">
        <w:rPr>
          <w:rFonts w:cs="Times New Roman"/>
          <w:lang w:val="en-GB"/>
        </w:rPr>
        <w:t xml:space="preserve"> She asserts that </w:t>
      </w:r>
      <w:r w:rsidRPr="00F05824">
        <w:rPr>
          <w:rFonts w:cs="Times New Roman"/>
        </w:rPr>
        <w:t xml:space="preserve">only in exceptional circumstances may courts admit evidence </w:t>
      </w:r>
      <w:r>
        <w:rPr>
          <w:rFonts w:cs="Times New Roman"/>
        </w:rPr>
        <w:t xml:space="preserve">that does </w:t>
      </w:r>
      <w:r w:rsidRPr="00F05824">
        <w:rPr>
          <w:rFonts w:cs="Times New Roman"/>
        </w:rPr>
        <w:t>not meet the due diligence criterion</w:t>
      </w:r>
      <w:r w:rsidRPr="00F05824">
        <w:rPr>
          <w:rFonts w:cs="Times New Roman"/>
          <w:lang w:val="en-GB"/>
        </w:rPr>
        <w:t xml:space="preserve">. </w:t>
      </w:r>
      <w:r w:rsidRPr="00F05824">
        <w:rPr>
          <w:rFonts w:cs="Times New Roman"/>
        </w:rPr>
        <w:t>I respectfully disagree with this rigid approach for three reasons.</w:t>
      </w:r>
    </w:p>
    <w:p w14:paraId="766E8E92" w14:textId="77777777" w:rsidR="00567205" w:rsidRPr="00F05824" w:rsidRDefault="00567205" w:rsidP="00567205">
      <w:pPr>
        <w:pStyle w:val="ParaNoNdepar-AltN"/>
        <w:rPr>
          <w:rFonts w:cs="Times New Roman"/>
        </w:rPr>
      </w:pPr>
      <w:r w:rsidRPr="00F05824">
        <w:rPr>
          <w:rFonts w:cs="Times New Roman"/>
        </w:rPr>
        <w:t xml:space="preserve">First, I believe the reason for flexibility in this context to be obvious. It is to ensure </w:t>
      </w:r>
      <w:r>
        <w:rPr>
          <w:rFonts w:cs="Times New Roman"/>
        </w:rPr>
        <w:t xml:space="preserve">that </w:t>
      </w:r>
      <w:r w:rsidRPr="00F05824">
        <w:rPr>
          <w:rFonts w:cs="Times New Roman"/>
        </w:rPr>
        <w:t xml:space="preserve">reviewing courts have the full context, </w:t>
      </w:r>
      <w:r>
        <w:rPr>
          <w:rFonts w:cs="Times New Roman"/>
        </w:rPr>
        <w:t>given</w:t>
      </w:r>
      <w:r w:rsidRPr="00F05824">
        <w:rPr>
          <w:rFonts w:cs="Times New Roman"/>
        </w:rPr>
        <w:t xml:space="preserve"> the ongoing nature of a child’s welfare </w:t>
      </w:r>
      <w:r w:rsidRPr="00F05824">
        <w:rPr>
          <w:rFonts w:cs="Times New Roman"/>
          <w:lang w:val="en-US"/>
        </w:rPr>
        <w:t>— </w:t>
      </w:r>
      <w:r w:rsidRPr="00F05824">
        <w:rPr>
          <w:rFonts w:cs="Times New Roman"/>
        </w:rPr>
        <w:t>the undammed stream. This is precisely why</w:t>
      </w:r>
      <w:r>
        <w:rPr>
          <w:rFonts w:cs="Times New Roman"/>
        </w:rPr>
        <w:t xml:space="preserve"> </w:t>
      </w:r>
      <w:r w:rsidRPr="00F05824">
        <w:rPr>
          <w:rFonts w:cs="Times New Roman"/>
        </w:rPr>
        <w:t>appellate courts nationwide have held that due diligence is to be applied flexibly (</w:t>
      </w:r>
      <w:r w:rsidRPr="00F05824">
        <w:rPr>
          <w:rFonts w:cs="Times New Roman"/>
          <w:i/>
        </w:rPr>
        <w:t>Shortridge-Tsuchiya v. Tsuchiya</w:t>
      </w:r>
      <w:r w:rsidRPr="00F05824">
        <w:rPr>
          <w:rFonts w:cs="Times New Roman"/>
        </w:rPr>
        <w:t xml:space="preserve">, 2010 BCCA 61, </w:t>
      </w:r>
      <w:r>
        <w:rPr>
          <w:rFonts w:cs="Times New Roman"/>
        </w:rPr>
        <w:t>315 D.L.R. (4</w:t>
      </w:r>
      <w:r w:rsidRPr="007E75DA">
        <w:rPr>
          <w:rFonts w:cs="Times New Roman"/>
        </w:rPr>
        <w:t>th</w:t>
      </w:r>
      <w:r>
        <w:rPr>
          <w:rFonts w:cs="Times New Roman"/>
        </w:rPr>
        <w:t xml:space="preserve">) 498, </w:t>
      </w:r>
      <w:r w:rsidRPr="00F05824">
        <w:rPr>
          <w:rFonts w:cs="Times New Roman"/>
        </w:rPr>
        <w:t xml:space="preserve">at para. 87; </w:t>
      </w:r>
      <w:r w:rsidRPr="00F05824">
        <w:rPr>
          <w:rFonts w:cs="Times New Roman"/>
          <w:i/>
        </w:rPr>
        <w:t>Jiang v. Shi</w:t>
      </w:r>
      <w:r w:rsidRPr="00F05824">
        <w:rPr>
          <w:rFonts w:cs="Times New Roman"/>
        </w:rPr>
        <w:t xml:space="preserve">, 2017 </w:t>
      </w:r>
      <w:r w:rsidRPr="00F05824">
        <w:rPr>
          <w:rFonts w:cs="Times New Roman"/>
        </w:rPr>
        <w:lastRenderedPageBreak/>
        <w:t>BCCA 232, at para. 11</w:t>
      </w:r>
      <w:r>
        <w:rPr>
          <w:rFonts w:cs="Times New Roman"/>
        </w:rPr>
        <w:t xml:space="preserve"> (CanLII)</w:t>
      </w:r>
      <w:r w:rsidRPr="00F05824">
        <w:rPr>
          <w:rFonts w:cs="Times New Roman"/>
        </w:rPr>
        <w:t xml:space="preserve">; </w:t>
      </w:r>
      <w:r>
        <w:rPr>
          <w:rFonts w:cs="Times New Roman"/>
          <w:i/>
        </w:rPr>
        <w:t>P</w:t>
      </w:r>
      <w:r w:rsidRPr="00F05824">
        <w:rPr>
          <w:rFonts w:cs="Times New Roman"/>
          <w:i/>
        </w:rPr>
        <w:t>T v. Alberta</w:t>
      </w:r>
      <w:r w:rsidRPr="00F05824">
        <w:rPr>
          <w:rFonts w:cs="Times New Roman"/>
        </w:rPr>
        <w:t xml:space="preserve">, 2019 ABCA 158, </w:t>
      </w:r>
      <w:r>
        <w:rPr>
          <w:rFonts w:cs="Times New Roman"/>
        </w:rPr>
        <w:t>88 Alta. L.R. (6</w:t>
      </w:r>
      <w:r w:rsidRPr="007E75DA">
        <w:rPr>
          <w:rFonts w:cs="Times New Roman"/>
        </w:rPr>
        <w:t>th</w:t>
      </w:r>
      <w:r>
        <w:rPr>
          <w:rFonts w:cs="Times New Roman"/>
        </w:rPr>
        <w:t xml:space="preserve">) 235, </w:t>
      </w:r>
      <w:r w:rsidRPr="00F05824">
        <w:rPr>
          <w:rFonts w:cs="Times New Roman"/>
        </w:rPr>
        <w:t xml:space="preserve">at para. 61; </w:t>
      </w:r>
      <w:r>
        <w:rPr>
          <w:rFonts w:cs="Times New Roman"/>
          <w:i/>
        </w:rPr>
        <w:t>G</w:t>
      </w:r>
      <w:r w:rsidRPr="00F05824">
        <w:rPr>
          <w:rFonts w:cs="Times New Roman"/>
          <w:i/>
        </w:rPr>
        <w:t> (JD) v. G</w:t>
      </w:r>
      <w:r>
        <w:rPr>
          <w:rFonts w:cs="Times New Roman"/>
          <w:i/>
        </w:rPr>
        <w:t> (SL</w:t>
      </w:r>
      <w:r w:rsidRPr="00F05824">
        <w:rPr>
          <w:rFonts w:cs="Times New Roman"/>
          <w:i/>
        </w:rPr>
        <w:t>)</w:t>
      </w:r>
      <w:r w:rsidRPr="00F05824">
        <w:rPr>
          <w:rFonts w:cs="Times New Roman"/>
        </w:rPr>
        <w:t xml:space="preserve">, 2017 MBCA 117, </w:t>
      </w:r>
      <w:r>
        <w:rPr>
          <w:rFonts w:cs="Times New Roman"/>
        </w:rPr>
        <w:t xml:space="preserve">[2018] 4 W.W.R. 543, </w:t>
      </w:r>
      <w:r w:rsidRPr="00F05824">
        <w:rPr>
          <w:rFonts w:cs="Times New Roman"/>
        </w:rPr>
        <w:t xml:space="preserve">at para. 39). These cases stand for a clear, principled proposition: the mere fact </w:t>
      </w:r>
      <w:r>
        <w:rPr>
          <w:rFonts w:cs="Times New Roman"/>
        </w:rPr>
        <w:t xml:space="preserve">that </w:t>
      </w:r>
      <w:r w:rsidRPr="00F05824">
        <w:rPr>
          <w:rFonts w:cs="Times New Roman"/>
        </w:rPr>
        <w:t xml:space="preserve">new evidence could </w:t>
      </w:r>
      <w:r>
        <w:rPr>
          <w:rFonts w:cs="Times New Roman"/>
        </w:rPr>
        <w:t xml:space="preserve">potentially </w:t>
      </w:r>
      <w:r w:rsidRPr="00F05824">
        <w:rPr>
          <w:rFonts w:cs="Times New Roman"/>
        </w:rPr>
        <w:t xml:space="preserve">have been obtained for </w:t>
      </w:r>
      <w:r>
        <w:rPr>
          <w:rFonts w:cs="Times New Roman"/>
        </w:rPr>
        <w:t xml:space="preserve">the </w:t>
      </w:r>
      <w:r w:rsidRPr="00F05824">
        <w:rPr>
          <w:rFonts w:cs="Times New Roman"/>
        </w:rPr>
        <w:t xml:space="preserve">trial should not, </w:t>
      </w:r>
      <w:r>
        <w:rPr>
          <w:rFonts w:cs="Times New Roman"/>
        </w:rPr>
        <w:t>on its own</w:t>
      </w:r>
      <w:r w:rsidRPr="00F05824">
        <w:rPr>
          <w:rFonts w:cs="Times New Roman"/>
        </w:rPr>
        <w:t xml:space="preserve">, preclude an appellate court from reviewing information </w:t>
      </w:r>
      <w:r>
        <w:rPr>
          <w:rFonts w:cs="Times New Roman"/>
        </w:rPr>
        <w:t>that bears</w:t>
      </w:r>
      <w:r w:rsidRPr="00F05824">
        <w:rPr>
          <w:rFonts w:cs="Times New Roman"/>
        </w:rPr>
        <w:t xml:space="preserve"> directly upon the welfare of a child (see</w:t>
      </w:r>
      <w:r>
        <w:rPr>
          <w:rFonts w:cs="Times New Roman"/>
        </w:rPr>
        <w:t>,</w:t>
      </w:r>
      <w:r w:rsidRPr="00F05824">
        <w:rPr>
          <w:rFonts w:cs="Times New Roman"/>
        </w:rPr>
        <w:t xml:space="preserve"> </w:t>
      </w:r>
      <w:r w:rsidRPr="007E75DA">
        <w:rPr>
          <w:rFonts w:cs="Times New Roman"/>
        </w:rPr>
        <w:t>e.g.</w:t>
      </w:r>
      <w:r w:rsidRPr="00F05824">
        <w:rPr>
          <w:rFonts w:cs="Times New Roman"/>
        </w:rPr>
        <w:t xml:space="preserve">, </w:t>
      </w:r>
      <w:r w:rsidRPr="00F05824">
        <w:rPr>
          <w:rFonts w:cs="Times New Roman"/>
          <w:i/>
        </w:rPr>
        <w:t>Babich v. Babich</w:t>
      </w:r>
      <w:r w:rsidRPr="00F05824">
        <w:rPr>
          <w:rFonts w:cs="Times New Roman"/>
        </w:rPr>
        <w:t xml:space="preserve">, 2020 SKCA 25; </w:t>
      </w:r>
      <w:r w:rsidRPr="00F05824">
        <w:rPr>
          <w:rFonts w:cs="Times New Roman"/>
          <w:i/>
        </w:rPr>
        <w:t>Ba</w:t>
      </w:r>
      <w:r>
        <w:rPr>
          <w:rFonts w:cs="Times New Roman"/>
          <w:i/>
        </w:rPr>
        <w:t>cic</w:t>
      </w:r>
      <w:r w:rsidRPr="00F05824">
        <w:rPr>
          <w:rFonts w:cs="Times New Roman"/>
        </w:rPr>
        <w:t xml:space="preserve">, at para. 24). </w:t>
      </w:r>
      <w:r>
        <w:rPr>
          <w:rFonts w:cs="Times New Roman"/>
        </w:rPr>
        <w:t>Moreover</w:t>
      </w:r>
      <w:r w:rsidRPr="00F05824">
        <w:rPr>
          <w:rFonts w:cs="Times New Roman"/>
        </w:rPr>
        <w:t xml:space="preserve">, even if some of the evidence could have been adduced at trial, this does not end the </w:t>
      </w:r>
      <w:r w:rsidRPr="00F05824">
        <w:rPr>
          <w:rFonts w:cs="Times New Roman"/>
          <w:i/>
        </w:rPr>
        <w:t xml:space="preserve">Palmer </w:t>
      </w:r>
      <w:r w:rsidRPr="00F05824">
        <w:rPr>
          <w:rFonts w:cs="Times New Roman"/>
        </w:rPr>
        <w:t>analysis</w:t>
      </w:r>
      <w:r>
        <w:rPr>
          <w:rFonts w:cs="Times New Roman"/>
        </w:rPr>
        <w:t xml:space="preserve">, as </w:t>
      </w:r>
      <w:r w:rsidRPr="00F05824">
        <w:rPr>
          <w:rFonts w:cs="Times New Roman"/>
        </w:rPr>
        <w:t>it is we</w:t>
      </w:r>
      <w:r>
        <w:rPr>
          <w:rFonts w:cs="Times New Roman"/>
        </w:rPr>
        <w:t>l</w:t>
      </w:r>
      <w:r w:rsidRPr="00F05824">
        <w:rPr>
          <w:rFonts w:cs="Times New Roman"/>
        </w:rPr>
        <w:t>l</w:t>
      </w:r>
      <w:r>
        <w:rPr>
          <w:rFonts w:cs="Times New Roman"/>
        </w:rPr>
        <w:t xml:space="preserve"> </w:t>
      </w:r>
      <w:r w:rsidRPr="00F05824">
        <w:rPr>
          <w:rFonts w:cs="Times New Roman"/>
        </w:rPr>
        <w:t>established that a “failure to meet the due diligence criterion is not always fatal” (</w:t>
      </w:r>
      <w:r w:rsidRPr="00F05824">
        <w:rPr>
          <w:rFonts w:cs="Times New Roman"/>
          <w:i/>
        </w:rPr>
        <w:t>R. v. Lévesque</w:t>
      </w:r>
      <w:r w:rsidRPr="00F05824">
        <w:rPr>
          <w:rFonts w:cs="Times New Roman"/>
        </w:rPr>
        <w:t xml:space="preserve">, 2000 SCC 47, </w:t>
      </w:r>
      <w:r>
        <w:rPr>
          <w:rFonts w:cs="Times New Roman"/>
        </w:rPr>
        <w:t xml:space="preserve">[2000] 2 S.C.R. 487, </w:t>
      </w:r>
      <w:r w:rsidRPr="00F05824">
        <w:rPr>
          <w:rFonts w:cs="Times New Roman"/>
        </w:rPr>
        <w:t xml:space="preserve">at para. 42). </w:t>
      </w:r>
      <w:r>
        <w:rPr>
          <w:rFonts w:cs="Times New Roman"/>
        </w:rPr>
        <w:t>Where there has been such a failure</w:t>
      </w:r>
      <w:r w:rsidRPr="00F05824">
        <w:rPr>
          <w:rFonts w:cs="Times New Roman"/>
        </w:rPr>
        <w:t xml:space="preserve">, it must be determined </w:t>
      </w:r>
      <w:r>
        <w:rPr>
          <w:rFonts w:cs="Times New Roman"/>
        </w:rPr>
        <w:t>whether</w:t>
      </w:r>
      <w:r w:rsidRPr="00F05824">
        <w:rPr>
          <w:rFonts w:cs="Times New Roman"/>
        </w:rPr>
        <w:t xml:space="preserve"> the strength of the other </w:t>
      </w:r>
      <w:r w:rsidRPr="00F05824">
        <w:rPr>
          <w:rFonts w:cs="Times New Roman"/>
          <w:i/>
        </w:rPr>
        <w:t xml:space="preserve">Palmer </w:t>
      </w:r>
      <w:r w:rsidRPr="00F05824">
        <w:rPr>
          <w:rFonts w:cs="Times New Roman"/>
        </w:rPr>
        <w:t>criteria “is such that failure to satisfy the due diligence requirement is overborne” (</w:t>
      </w:r>
      <w:r w:rsidRPr="00F05824">
        <w:rPr>
          <w:rFonts w:cs="Times New Roman"/>
          <w:i/>
        </w:rPr>
        <w:t>ibid</w:t>
      </w:r>
      <w:r>
        <w:rPr>
          <w:rFonts w:cs="Times New Roman"/>
          <w:i/>
        </w:rPr>
        <w:t>.</w:t>
      </w:r>
      <w:r w:rsidRPr="00F05824">
        <w:rPr>
          <w:rFonts w:cs="Times New Roman"/>
        </w:rPr>
        <w:t xml:space="preserve">). This </w:t>
      </w:r>
      <w:r>
        <w:rPr>
          <w:rFonts w:cs="Times New Roman"/>
        </w:rPr>
        <w:t xml:space="preserve">clearly </w:t>
      </w:r>
      <w:r w:rsidRPr="00F05824">
        <w:rPr>
          <w:rFonts w:cs="Times New Roman"/>
        </w:rPr>
        <w:t>further supports my view that due diligence in the child custody context must be applied with greater flexibility than my colleague’s approach permits.</w:t>
      </w:r>
    </w:p>
    <w:p w14:paraId="0A605E98" w14:textId="77777777" w:rsidR="00567205" w:rsidRPr="00F05824" w:rsidRDefault="00567205" w:rsidP="00567205">
      <w:pPr>
        <w:pStyle w:val="ParaNoNdepar-AltN"/>
        <w:rPr>
          <w:rFonts w:cs="Times New Roman"/>
        </w:rPr>
      </w:pPr>
      <w:r w:rsidRPr="00F05824">
        <w:rPr>
          <w:rFonts w:cs="Times New Roman"/>
        </w:rPr>
        <w:t xml:space="preserve">Second, finality is a double-edged sword. My colleague is rightly concerned about the impact of protracted litigation on “women, [who] are often already shouldering the economic consequences of a marital breakdown” and who “will be unable to afford the financial and emotional cost of court proceedings” (para. 68). But </w:t>
      </w:r>
      <w:r>
        <w:rPr>
          <w:rFonts w:cs="Times New Roman"/>
        </w:rPr>
        <w:t>she</w:t>
      </w:r>
      <w:r w:rsidRPr="00F05824">
        <w:rPr>
          <w:rFonts w:cs="Times New Roman"/>
        </w:rPr>
        <w:t xml:space="preserve"> seems to overlook the fact that </w:t>
      </w:r>
      <w:r>
        <w:rPr>
          <w:rFonts w:cs="Times New Roman"/>
        </w:rPr>
        <w:t>a strict application of</w:t>
      </w:r>
      <w:r w:rsidRPr="00F05824">
        <w:rPr>
          <w:rFonts w:cs="Times New Roman"/>
        </w:rPr>
        <w:t xml:space="preserve"> due diligence would only add to the burden she describes. By requiring all family </w:t>
      </w:r>
      <w:r>
        <w:rPr>
          <w:rFonts w:cs="Times New Roman"/>
        </w:rPr>
        <w:t xml:space="preserve">law </w:t>
      </w:r>
      <w:r w:rsidRPr="00F05824">
        <w:rPr>
          <w:rFonts w:cs="Times New Roman"/>
        </w:rPr>
        <w:t>litigants to “put their best foot forward at trial”</w:t>
      </w:r>
      <w:r>
        <w:rPr>
          <w:rFonts w:cs="Times New Roman"/>
        </w:rPr>
        <w:t xml:space="preserve"> (para. 60)</w:t>
      </w:r>
      <w:r w:rsidRPr="00F05824">
        <w:rPr>
          <w:rFonts w:cs="Times New Roman"/>
        </w:rPr>
        <w:t xml:space="preserve">, my colleague would require </w:t>
      </w:r>
      <w:r>
        <w:rPr>
          <w:rFonts w:cs="Times New Roman"/>
        </w:rPr>
        <w:t>a self</w:t>
      </w:r>
      <w:r>
        <w:rPr>
          <w:rFonts w:cs="Times New Roman"/>
        </w:rPr>
        <w:noBreakHyphen/>
        <w:t>represented</w:t>
      </w:r>
      <w:r w:rsidRPr="00F05824">
        <w:rPr>
          <w:rFonts w:cs="Times New Roman"/>
        </w:rPr>
        <w:t xml:space="preserve"> single mother of modest means to advance her claim while simultaneously assembling </w:t>
      </w:r>
      <w:r w:rsidRPr="00F05824">
        <w:rPr>
          <w:rFonts w:cs="Times New Roman"/>
        </w:rPr>
        <w:lastRenderedPageBreak/>
        <w:t>up</w:t>
      </w:r>
      <w:r w:rsidRPr="00F05824">
        <w:rPr>
          <w:rFonts w:cs="Times New Roman"/>
        </w:rPr>
        <w:noBreakHyphen/>
        <w:t>to</w:t>
      </w:r>
      <w:r w:rsidRPr="00F05824">
        <w:rPr>
          <w:rFonts w:cs="Times New Roman"/>
        </w:rPr>
        <w:noBreakHyphen/>
        <w:t xml:space="preserve">date financial documentation, the relevance of which may not be apparent until after the initial hearing. Otherwise, this single mother runs the risk that new and potentially decisive evidence about her present circumstances will be ruled inadmissible. </w:t>
      </w:r>
      <w:r>
        <w:rPr>
          <w:rFonts w:cs="Times New Roman"/>
        </w:rPr>
        <w:t>The result of</w:t>
      </w:r>
      <w:r w:rsidRPr="00F05824">
        <w:rPr>
          <w:rFonts w:cs="Times New Roman"/>
        </w:rPr>
        <w:t xml:space="preserve"> my colleague’s approach to </w:t>
      </w:r>
      <w:r w:rsidRPr="00F05824">
        <w:rPr>
          <w:rFonts w:cs="Times New Roman"/>
          <w:i/>
        </w:rPr>
        <w:t>Palmer</w:t>
      </w:r>
      <w:r>
        <w:rPr>
          <w:rFonts w:cs="Times New Roman"/>
        </w:rPr>
        <w:t xml:space="preserve"> is that such a</w:t>
      </w:r>
      <w:r w:rsidRPr="00F05824">
        <w:rPr>
          <w:rFonts w:cs="Times New Roman"/>
        </w:rPr>
        <w:t xml:space="preserve"> single mother would face a significant legal hurdle in pursui</w:t>
      </w:r>
      <w:r>
        <w:rPr>
          <w:rFonts w:cs="Times New Roman"/>
        </w:rPr>
        <w:t>ng</w:t>
      </w:r>
      <w:r w:rsidRPr="00F05824">
        <w:rPr>
          <w:rFonts w:cs="Times New Roman"/>
        </w:rPr>
        <w:t xml:space="preserve"> custody of her children simply because she is unable to get her finances in order in a timely fashion. I fail to see how this promotes my colleague’s conception of “</w:t>
      </w:r>
      <w:r>
        <w:rPr>
          <w:rFonts w:cs="Times New Roman"/>
        </w:rPr>
        <w:t xml:space="preserve">the </w:t>
      </w:r>
      <w:r w:rsidRPr="00F05824">
        <w:rPr>
          <w:rFonts w:cs="Times New Roman"/>
        </w:rPr>
        <w:t>interests of justice”.</w:t>
      </w:r>
    </w:p>
    <w:p w14:paraId="2E19A1E5" w14:textId="77777777" w:rsidR="00567205" w:rsidRPr="00F05824" w:rsidRDefault="00567205" w:rsidP="00567205">
      <w:pPr>
        <w:pStyle w:val="ParaNoNdepar-AltN"/>
        <w:rPr>
          <w:rFonts w:cs="Times New Roman"/>
        </w:rPr>
      </w:pPr>
      <w:r w:rsidRPr="00F05824">
        <w:rPr>
          <w:rFonts w:cs="Times New Roman"/>
        </w:rPr>
        <w:t>Third, I acknowledge that an application to vary may in some circumstances be the appropriate procedure. But an application to vary, like a motion to adduce further evidence on appeal, is “adversarial”. It would also place “additional strain on the parties’ resources” and generate further delays (para. 68). This begs the question</w:t>
      </w:r>
      <w:r>
        <w:rPr>
          <w:rFonts w:cs="Times New Roman"/>
        </w:rPr>
        <w:t>:</w:t>
      </w:r>
      <w:r w:rsidRPr="00F05824">
        <w:rPr>
          <w:rFonts w:cs="Times New Roman"/>
        </w:rPr>
        <w:t xml:space="preserve"> </w:t>
      </w:r>
      <w:r>
        <w:rPr>
          <w:rFonts w:cs="Times New Roman"/>
        </w:rPr>
        <w:t>H</w:t>
      </w:r>
      <w:r w:rsidRPr="00F05824">
        <w:rPr>
          <w:rFonts w:cs="Times New Roman"/>
        </w:rPr>
        <w:t>ow does the variation mechanism mitigate the “financial and emotional” cost which so concern</w:t>
      </w:r>
      <w:r>
        <w:rPr>
          <w:rFonts w:cs="Times New Roman"/>
        </w:rPr>
        <w:t>s</w:t>
      </w:r>
      <w:r w:rsidRPr="00F05824">
        <w:rPr>
          <w:rFonts w:cs="Times New Roman"/>
        </w:rPr>
        <w:t xml:space="preserve"> my colleague? I do not find an answer </w:t>
      </w:r>
      <w:r>
        <w:rPr>
          <w:rFonts w:cs="Times New Roman"/>
        </w:rPr>
        <w:t xml:space="preserve">for this </w:t>
      </w:r>
      <w:r w:rsidRPr="00F05824">
        <w:rPr>
          <w:rFonts w:cs="Times New Roman"/>
        </w:rPr>
        <w:t xml:space="preserve">in her reasons. Put simply, and with respect, my colleague’s conception of the due diligence criterion undercuts the interests of </w:t>
      </w:r>
      <w:r w:rsidRPr="00F05824">
        <w:rPr>
          <w:rFonts w:cs="Times New Roman"/>
          <w:i/>
        </w:rPr>
        <w:t>all</w:t>
      </w:r>
      <w:r w:rsidRPr="00F05824">
        <w:rPr>
          <w:rFonts w:cs="Times New Roman"/>
        </w:rPr>
        <w:t xml:space="preserve"> family litigants, and “particularly women”, in child welfare cases (para. 68).</w:t>
      </w:r>
    </w:p>
    <w:p w14:paraId="28649C45" w14:textId="77777777" w:rsidR="00567205" w:rsidRPr="00F05824" w:rsidRDefault="00567205" w:rsidP="00567205">
      <w:pPr>
        <w:pStyle w:val="Title3LevelTitre3Niveau"/>
        <w:jc w:val="both"/>
      </w:pPr>
      <w:r w:rsidRPr="00F05824">
        <w:t xml:space="preserve">Flexibility in </w:t>
      </w:r>
      <w:r>
        <w:t>A</w:t>
      </w:r>
      <w:r w:rsidRPr="00F05824">
        <w:t xml:space="preserve">ssessing </w:t>
      </w:r>
      <w:r>
        <w:t>W</w:t>
      </w:r>
      <w:r w:rsidRPr="00F05824">
        <w:t xml:space="preserve">hether the </w:t>
      </w:r>
      <w:r>
        <w:t>N</w:t>
      </w:r>
      <w:r w:rsidRPr="00F05824">
        <w:t xml:space="preserve">ew </w:t>
      </w:r>
      <w:r>
        <w:t>E</w:t>
      </w:r>
      <w:r w:rsidRPr="00F05824">
        <w:t xml:space="preserve">vidence </w:t>
      </w:r>
      <w:r>
        <w:t>Could Have A</w:t>
      </w:r>
      <w:r w:rsidRPr="00F05824">
        <w:t xml:space="preserve">ffected the </w:t>
      </w:r>
      <w:r>
        <w:t>R</w:t>
      </w:r>
      <w:r w:rsidRPr="00F05824">
        <w:t>esult</w:t>
      </w:r>
    </w:p>
    <w:p w14:paraId="36CBC0E2" w14:textId="77777777" w:rsidR="00567205" w:rsidRPr="00F05824" w:rsidRDefault="00567205" w:rsidP="00567205">
      <w:pPr>
        <w:pStyle w:val="ParaNoNdepar-AltN"/>
        <w:rPr>
          <w:rFonts w:cs="Times New Roman"/>
        </w:rPr>
      </w:pPr>
      <w:r w:rsidRPr="00F05824">
        <w:rPr>
          <w:rFonts w:cs="Times New Roman"/>
        </w:rPr>
        <w:t xml:space="preserve">The fourth </w:t>
      </w:r>
      <w:r w:rsidRPr="00F05824">
        <w:rPr>
          <w:rFonts w:cs="Times New Roman"/>
          <w:i/>
        </w:rPr>
        <w:t xml:space="preserve">Palmer </w:t>
      </w:r>
      <w:r w:rsidRPr="00F05824">
        <w:rPr>
          <w:rFonts w:cs="Times New Roman"/>
        </w:rPr>
        <w:t xml:space="preserve">criterion </w:t>
      </w:r>
      <w:r>
        <w:rPr>
          <w:rFonts w:cs="Times New Roman"/>
        </w:rPr>
        <w:t xml:space="preserve">requires the court to ask </w:t>
      </w:r>
      <w:r w:rsidRPr="00F05824">
        <w:rPr>
          <w:rFonts w:cs="Times New Roman"/>
        </w:rPr>
        <w:t>whether the further evidence, if believed, could have affected the result.</w:t>
      </w:r>
    </w:p>
    <w:p w14:paraId="41B37252" w14:textId="77777777" w:rsidR="00567205" w:rsidRPr="00F05824" w:rsidRDefault="00567205" w:rsidP="00567205">
      <w:pPr>
        <w:pStyle w:val="ParaNoNdepar-AltN"/>
        <w:rPr>
          <w:rFonts w:cs="Times New Roman"/>
        </w:rPr>
      </w:pPr>
      <w:r w:rsidRPr="00F05824">
        <w:rPr>
          <w:rFonts w:cs="Times New Roman"/>
        </w:rPr>
        <w:lastRenderedPageBreak/>
        <w:t xml:space="preserve">As with due diligence, however, flexibility is once again nowhere to be found in </w:t>
      </w:r>
      <w:r>
        <w:rPr>
          <w:rFonts w:cs="Times New Roman"/>
        </w:rPr>
        <w:t>my colleague’s</w:t>
      </w:r>
      <w:r w:rsidRPr="00F05824">
        <w:rPr>
          <w:rFonts w:cs="Times New Roman"/>
        </w:rPr>
        <w:t xml:space="preserve"> analysis. </w:t>
      </w:r>
      <w:r>
        <w:rPr>
          <w:rFonts w:cs="Times New Roman"/>
        </w:rPr>
        <w:t>She does of course recite</w:t>
      </w:r>
      <w:r w:rsidRPr="00F05824">
        <w:rPr>
          <w:rFonts w:cs="Times New Roman"/>
        </w:rPr>
        <w:t xml:space="preserve"> the definition of this criterion from </w:t>
      </w:r>
      <w:r w:rsidRPr="00F05824">
        <w:rPr>
          <w:rFonts w:cs="Times New Roman"/>
          <w:i/>
        </w:rPr>
        <w:t>Palmer</w:t>
      </w:r>
      <w:r w:rsidRPr="00F05824">
        <w:rPr>
          <w:rFonts w:cs="Times New Roman"/>
        </w:rPr>
        <w:t xml:space="preserve"> and note that it must be approached “purposively”. But she leaves </w:t>
      </w:r>
      <w:r>
        <w:rPr>
          <w:rFonts w:cs="Times New Roman"/>
        </w:rPr>
        <w:t xml:space="preserve">it to </w:t>
      </w:r>
      <w:r w:rsidRPr="00F05824">
        <w:rPr>
          <w:rFonts w:cs="Times New Roman"/>
        </w:rPr>
        <w:t>readers to discern for themselves what this might mean (para. 63</w:t>
      </w:r>
      <w:r>
        <w:rPr>
          <w:rFonts w:cs="Times New Roman"/>
        </w:rPr>
        <w:t>).</w:t>
      </w:r>
    </w:p>
    <w:p w14:paraId="1C3593ED" w14:textId="77777777" w:rsidR="00567205" w:rsidRPr="00F05824" w:rsidRDefault="00567205" w:rsidP="00567205">
      <w:pPr>
        <w:pStyle w:val="ParaNoNdepar-AltN"/>
        <w:rPr>
          <w:rFonts w:cs="Times New Roman"/>
        </w:rPr>
      </w:pPr>
      <w:r w:rsidRPr="00F05824">
        <w:rPr>
          <w:rFonts w:cs="Times New Roman"/>
        </w:rPr>
        <w:t xml:space="preserve">Such an approach fails to recognize that in </w:t>
      </w:r>
      <w:r w:rsidRPr="00F05824">
        <w:rPr>
          <w:rFonts w:cs="Times New Roman"/>
          <w:i/>
        </w:rPr>
        <w:t>Catholic Children’s Aid</w:t>
      </w:r>
      <w:r>
        <w:rPr>
          <w:rFonts w:cs="Times New Roman"/>
        </w:rPr>
        <w:t>, this Court</w:t>
      </w:r>
      <w:r w:rsidRPr="00F05824">
        <w:rPr>
          <w:rFonts w:cs="Times New Roman"/>
        </w:rPr>
        <w:t xml:space="preserve"> explicitly contemplated the need for flexibility in applying the fourth </w:t>
      </w:r>
      <w:r w:rsidRPr="00F05824">
        <w:rPr>
          <w:rFonts w:cs="Times New Roman"/>
          <w:i/>
        </w:rPr>
        <w:t xml:space="preserve">Palmer </w:t>
      </w:r>
      <w:r w:rsidRPr="00F05824">
        <w:rPr>
          <w:rFonts w:cs="Times New Roman"/>
        </w:rPr>
        <w:t>criterion. L’Heureux-Dubé</w:t>
      </w:r>
      <w:r>
        <w:rPr>
          <w:rFonts w:cs="Times New Roman"/>
        </w:rPr>
        <w:t> J.</w:t>
      </w:r>
      <w:r w:rsidRPr="00F05824">
        <w:rPr>
          <w:rFonts w:cs="Times New Roman"/>
        </w:rPr>
        <w:t xml:space="preserve">, writing for </w:t>
      </w:r>
      <w:r>
        <w:rPr>
          <w:rFonts w:cs="Times New Roman"/>
        </w:rPr>
        <w:t>a unanimous</w:t>
      </w:r>
      <w:r w:rsidRPr="00F05824">
        <w:rPr>
          <w:rFonts w:cs="Times New Roman"/>
        </w:rPr>
        <w:t xml:space="preserve"> Court, held as follows:</w:t>
      </w:r>
    </w:p>
    <w:p w14:paraId="4E78A04C" w14:textId="77777777" w:rsidR="00567205" w:rsidRPr="00F05824" w:rsidRDefault="00567205" w:rsidP="00567205">
      <w:pPr>
        <w:pStyle w:val="Citation-AltC"/>
        <w:ind w:firstLine="274"/>
        <w:rPr>
          <w:lang w:val="en-US"/>
        </w:rPr>
      </w:pPr>
      <w:r w:rsidRPr="00F05824">
        <w:rPr>
          <w:lang w:val="en-US"/>
        </w:rPr>
        <w:t>Counsel for the child supports the approach advanced by the respon</w:t>
      </w:r>
      <w:r>
        <w:rPr>
          <w:lang w:val="en-US"/>
        </w:rPr>
        <w:t>dent s</w:t>
      </w:r>
      <w:r w:rsidRPr="00F05824">
        <w:rPr>
          <w:lang w:val="en-US"/>
        </w:rPr>
        <w:t xml:space="preserve">ociety and also relies on </w:t>
      </w:r>
      <w:r w:rsidRPr="00F05824">
        <w:rPr>
          <w:i/>
          <w:iCs/>
          <w:lang w:val="en-US"/>
        </w:rPr>
        <w:t>Genereux</w:t>
      </w:r>
      <w:r w:rsidRPr="00F05824">
        <w:rPr>
          <w:lang w:val="en-US"/>
        </w:rPr>
        <w:t>. . . as the appropriate test in matters where the best interests of the child are the paramount concern.</w:t>
      </w:r>
    </w:p>
    <w:p w14:paraId="04AA5C1B" w14:textId="77777777" w:rsidR="00567205" w:rsidRPr="00F05824" w:rsidRDefault="00567205" w:rsidP="00567205">
      <w:pPr>
        <w:pStyle w:val="Citation-AltC"/>
        <w:rPr>
          <w:lang w:val="en-US"/>
        </w:rPr>
      </w:pPr>
    </w:p>
    <w:p w14:paraId="169C18C8" w14:textId="77777777" w:rsidR="00567205" w:rsidRPr="00F05824" w:rsidRDefault="00567205" w:rsidP="00567205">
      <w:pPr>
        <w:pStyle w:val="Citation-AltC"/>
        <w:ind w:firstLine="274"/>
        <w:rPr>
          <w:lang w:val="en-US"/>
        </w:rPr>
      </w:pPr>
      <w:r w:rsidRPr="00F05824">
        <w:rPr>
          <w:lang w:val="en-US"/>
        </w:rPr>
        <w:t xml:space="preserve">Although I doubt that </w:t>
      </w:r>
      <w:r w:rsidRPr="00F05824">
        <w:rPr>
          <w:i/>
          <w:iCs/>
          <w:lang w:val="en-US"/>
        </w:rPr>
        <w:t>Genereux</w:t>
      </w:r>
      <w:r w:rsidRPr="00F05824">
        <w:rPr>
          <w:lang w:val="en-US"/>
        </w:rPr>
        <w:t xml:space="preserve">. . . intended to depart significantly from the test of </w:t>
      </w:r>
      <w:r w:rsidRPr="00F05824">
        <w:rPr>
          <w:i/>
          <w:iCs/>
          <w:lang w:val="en-US"/>
        </w:rPr>
        <w:t>Palmer . . .</w:t>
      </w:r>
      <w:r w:rsidRPr="00F05824">
        <w:rPr>
          <w:lang w:val="en-US"/>
        </w:rPr>
        <w:t xml:space="preserve"> its approach is to be commended. . .</w:t>
      </w:r>
      <w:r>
        <w:rPr>
          <w:lang w:val="en-US"/>
        </w:rPr>
        <w:t xml:space="preserve"> . </w:t>
      </w:r>
      <w:r w:rsidRPr="00F05824">
        <w:rPr>
          <w:u w:val="single"/>
          <w:lang w:val="en-US"/>
        </w:rPr>
        <w:t xml:space="preserve">If </w:t>
      </w:r>
      <w:r w:rsidRPr="00F05824">
        <w:rPr>
          <w:i/>
          <w:iCs/>
          <w:u w:val="single"/>
          <w:lang w:val="en-US"/>
        </w:rPr>
        <w:t>Genereux</w:t>
      </w:r>
      <w:r w:rsidRPr="00F05824">
        <w:rPr>
          <w:u w:val="single"/>
          <w:lang w:val="en-US"/>
        </w:rPr>
        <w:t xml:space="preserve">. . . has enlarged the scope of the admission of fresh evidence on appeal, it has done so, in the present case at least, with regard to the final arm of the </w:t>
      </w:r>
      <w:r w:rsidRPr="00F05824">
        <w:rPr>
          <w:iCs/>
          <w:u w:val="single"/>
          <w:lang w:val="en-US"/>
        </w:rPr>
        <w:t>[</w:t>
      </w:r>
      <w:r w:rsidRPr="00F05824">
        <w:rPr>
          <w:i/>
          <w:iCs/>
          <w:u w:val="single"/>
          <w:lang w:val="en-US"/>
        </w:rPr>
        <w:t>Palmer</w:t>
      </w:r>
      <w:r w:rsidRPr="00F05824">
        <w:rPr>
          <w:iCs/>
          <w:u w:val="single"/>
          <w:lang w:val="en-US"/>
        </w:rPr>
        <w:t>]</w:t>
      </w:r>
      <w:r w:rsidRPr="00F05824">
        <w:rPr>
          <w:u w:val="single"/>
          <w:lang w:val="en-US"/>
        </w:rPr>
        <w:t xml:space="preserve"> test, that is, whether the fresh evidence may affect the result of the appeal when considered with the other evidence. If that is so, and the fact that the admission of up</w:t>
      </w:r>
      <w:r w:rsidRPr="00F05824">
        <w:rPr>
          <w:u w:val="single"/>
          <w:lang w:val="en-US"/>
        </w:rPr>
        <w:noBreakHyphen/>
        <w:t>to</w:t>
      </w:r>
      <w:r w:rsidRPr="00F05824">
        <w:rPr>
          <w:u w:val="single"/>
          <w:lang w:val="en-US"/>
        </w:rPr>
        <w:noBreakHyphen/>
        <w:t>date evidence is essential in</w:t>
      </w:r>
      <w:r>
        <w:rPr>
          <w:u w:val="single"/>
          <w:lang w:val="en-US"/>
        </w:rPr>
        <w:t xml:space="preserve"> cases such as the one at hand, </w:t>
      </w:r>
      <w:r w:rsidRPr="00F05824">
        <w:rPr>
          <w:i/>
          <w:iCs/>
          <w:u w:val="single"/>
          <w:lang w:val="en-US"/>
        </w:rPr>
        <w:t>Genereux</w:t>
      </w:r>
      <w:r>
        <w:rPr>
          <w:iCs/>
          <w:u w:val="single"/>
          <w:lang w:val="en-US"/>
        </w:rPr>
        <w:t>. . .</w:t>
      </w:r>
      <w:r w:rsidRPr="00F05824">
        <w:rPr>
          <w:u w:val="single"/>
          <w:lang w:val="en-US"/>
        </w:rPr>
        <w:t xml:space="preserve"> should be applied in cases determining the welfare of children</w:t>
      </w:r>
      <w:r>
        <w:rPr>
          <w:u w:val="single"/>
          <w:lang w:val="en-US"/>
        </w:rPr>
        <w:t>.</w:t>
      </w:r>
      <w:r w:rsidRPr="00F05824">
        <w:rPr>
          <w:lang w:val="en-US"/>
        </w:rPr>
        <w:t xml:space="preserve"> [Emphasis added</w:t>
      </w:r>
      <w:r>
        <w:rPr>
          <w:lang w:val="en-US"/>
        </w:rPr>
        <w:t>; pp. 188</w:t>
      </w:r>
      <w:r>
        <w:rPr>
          <w:lang w:val="en-US"/>
        </w:rPr>
        <w:noBreakHyphen/>
        <w:t>89.]</w:t>
      </w:r>
    </w:p>
    <w:p w14:paraId="7D6F6122" w14:textId="77777777" w:rsidR="00567205" w:rsidRPr="00F05824" w:rsidRDefault="00567205" w:rsidP="00567205">
      <w:pPr>
        <w:pStyle w:val="ParaNoNdepar-AltN"/>
        <w:rPr>
          <w:rFonts w:cs="Times New Roman"/>
          <w:lang w:val="en-US"/>
        </w:rPr>
      </w:pPr>
      <w:r w:rsidRPr="00F05824">
        <w:rPr>
          <w:rFonts w:cs="Times New Roman"/>
          <w:lang w:val="en-US"/>
        </w:rPr>
        <w:t xml:space="preserve">This excerpt affirms what is by now beyond dispute: the </w:t>
      </w:r>
      <w:r w:rsidRPr="00F05824">
        <w:rPr>
          <w:rFonts w:cs="Times New Roman"/>
          <w:i/>
          <w:lang w:val="en-US"/>
        </w:rPr>
        <w:t>Palmer</w:t>
      </w:r>
      <w:r w:rsidRPr="00F05824">
        <w:rPr>
          <w:rFonts w:cs="Times New Roman"/>
          <w:lang w:val="en-US"/>
        </w:rPr>
        <w:t xml:space="preserve"> criteria</w:t>
      </w:r>
      <w:r>
        <w:rPr>
          <w:rFonts w:cs="Times New Roman"/>
          <w:lang w:val="en-US"/>
        </w:rPr>
        <w:t> </w:t>
      </w:r>
      <w:r w:rsidRPr="00F05824">
        <w:rPr>
          <w:rFonts w:cs="Times New Roman"/>
          <w:lang w:val="en-US"/>
        </w:rPr>
        <w:t>— particularly the fourth criterion — </w:t>
      </w:r>
      <w:r>
        <w:rPr>
          <w:rFonts w:cs="Times New Roman"/>
          <w:lang w:val="en-US"/>
        </w:rPr>
        <w:t>are more flexible </w:t>
      </w:r>
      <w:r w:rsidRPr="00F05824">
        <w:rPr>
          <w:rFonts w:cs="Times New Roman"/>
          <w:lang w:val="en-US"/>
        </w:rPr>
        <w:t xml:space="preserve">in appeals concerning the best interests of children, “where it is important to have the most current information possible </w:t>
      </w:r>
      <w:r>
        <w:rPr>
          <w:rFonts w:cs="Times New Roman"/>
          <w:lang w:val="en-US"/>
        </w:rPr>
        <w:t>‘[</w:t>
      </w:r>
      <w:r w:rsidRPr="00F05824">
        <w:rPr>
          <w:rFonts w:cs="Times New Roman"/>
          <w:lang w:val="en-US"/>
        </w:rPr>
        <w:t>g</w:t>
      </w:r>
      <w:r>
        <w:rPr>
          <w:rFonts w:cs="Times New Roman"/>
          <w:lang w:val="en-US"/>
        </w:rPr>
        <w:t>]</w:t>
      </w:r>
      <w:r w:rsidRPr="00F05824">
        <w:rPr>
          <w:rFonts w:cs="Times New Roman"/>
          <w:lang w:val="en-US"/>
        </w:rPr>
        <w:t>iven the inevitable fluidity in a child’s development</w:t>
      </w:r>
      <w:r>
        <w:rPr>
          <w:rFonts w:cs="Times New Roman"/>
          <w:lang w:val="en-US"/>
        </w:rPr>
        <w:t>’</w:t>
      </w:r>
      <w:r w:rsidRPr="00F05824">
        <w:rPr>
          <w:rFonts w:cs="Times New Roman"/>
          <w:lang w:val="en-US"/>
        </w:rPr>
        <w:t>” (</w:t>
      </w:r>
      <w:r w:rsidRPr="00F05824">
        <w:rPr>
          <w:rFonts w:cs="Times New Roman"/>
          <w:i/>
          <w:lang w:val="en-US"/>
        </w:rPr>
        <w:t>K.K. v. M.M.</w:t>
      </w:r>
      <w:r w:rsidRPr="00F05824">
        <w:rPr>
          <w:rFonts w:cs="Times New Roman"/>
          <w:lang w:val="en-US"/>
        </w:rPr>
        <w:t>, 2022 ONCA 72</w:t>
      </w:r>
      <w:r>
        <w:rPr>
          <w:rFonts w:cs="Times New Roman"/>
          <w:lang w:val="en-US"/>
        </w:rPr>
        <w:t>, at para. 17 (CanLII) (text in brackets in original)</w:t>
      </w:r>
      <w:r w:rsidRPr="00F05824">
        <w:rPr>
          <w:rFonts w:cs="Times New Roman"/>
          <w:lang w:val="en-US"/>
        </w:rPr>
        <w:t>).</w:t>
      </w:r>
    </w:p>
    <w:p w14:paraId="34EE4333" w14:textId="77777777" w:rsidR="00567205" w:rsidRPr="00F05824" w:rsidRDefault="00567205" w:rsidP="00567205">
      <w:pPr>
        <w:pStyle w:val="ParaNoNdepar-AltN"/>
        <w:rPr>
          <w:rFonts w:cs="Times New Roman"/>
          <w:lang w:val="en-US"/>
        </w:rPr>
      </w:pPr>
      <w:r w:rsidRPr="00F05824">
        <w:rPr>
          <w:rFonts w:cs="Times New Roman"/>
          <w:lang w:val="en-US"/>
        </w:rPr>
        <w:lastRenderedPageBreak/>
        <w:t xml:space="preserve">In light of the foregoing, I </w:t>
      </w:r>
      <w:r>
        <w:rPr>
          <w:rFonts w:cs="Times New Roman"/>
          <w:lang w:val="en-US"/>
        </w:rPr>
        <w:t xml:space="preserve">will </w:t>
      </w:r>
      <w:r w:rsidRPr="00F05824">
        <w:rPr>
          <w:rFonts w:cs="Times New Roman"/>
          <w:lang w:val="en-US"/>
        </w:rPr>
        <w:t xml:space="preserve">now apply </w:t>
      </w:r>
      <w:r w:rsidRPr="00F05824">
        <w:rPr>
          <w:rFonts w:cs="Times New Roman"/>
          <w:i/>
          <w:lang w:val="en-US"/>
        </w:rPr>
        <w:t>Palmer</w:t>
      </w:r>
      <w:r>
        <w:rPr>
          <w:rFonts w:cs="Times New Roman"/>
          <w:i/>
          <w:lang w:val="en-US"/>
        </w:rPr>
        <w:t xml:space="preserve"> </w:t>
      </w:r>
      <w:r w:rsidRPr="00F05824">
        <w:rPr>
          <w:rFonts w:cs="Times New Roman"/>
          <w:lang w:val="en-US"/>
        </w:rPr>
        <w:t xml:space="preserve">to the </w:t>
      </w:r>
      <w:r>
        <w:rPr>
          <w:rFonts w:cs="Times New Roman"/>
          <w:lang w:val="en-US"/>
        </w:rPr>
        <w:t>situation in the</w:t>
      </w:r>
      <w:r w:rsidRPr="00F05824">
        <w:rPr>
          <w:rFonts w:cs="Times New Roman"/>
          <w:lang w:val="en-US"/>
        </w:rPr>
        <w:t xml:space="preserve"> case</w:t>
      </w:r>
      <w:r>
        <w:rPr>
          <w:rFonts w:cs="Times New Roman"/>
          <w:lang w:val="en-US"/>
        </w:rPr>
        <w:t xml:space="preserve"> at bar</w:t>
      </w:r>
      <w:r w:rsidRPr="00F05824">
        <w:rPr>
          <w:rFonts w:cs="Times New Roman"/>
          <w:lang w:val="en-US"/>
        </w:rPr>
        <w:t>.</w:t>
      </w:r>
    </w:p>
    <w:p w14:paraId="3394BA18" w14:textId="77777777" w:rsidR="00567205" w:rsidRPr="00F05824" w:rsidRDefault="00567205" w:rsidP="00567205">
      <w:pPr>
        <w:pStyle w:val="Title2LevelTitre2Niveau"/>
        <w:jc w:val="both"/>
      </w:pPr>
      <w:r w:rsidRPr="00F05824">
        <w:t>Application of Palmer</w:t>
      </w:r>
    </w:p>
    <w:p w14:paraId="6BB3F7E4" w14:textId="77777777" w:rsidR="00567205" w:rsidRPr="00F05824" w:rsidRDefault="00567205" w:rsidP="00567205">
      <w:pPr>
        <w:pStyle w:val="ParaNoNdepar-AltN"/>
        <w:rPr>
          <w:rFonts w:cs="Times New Roman"/>
        </w:rPr>
      </w:pPr>
      <w:r w:rsidRPr="00F05824">
        <w:rPr>
          <w:rFonts w:cs="Times New Roman"/>
        </w:rPr>
        <w:t xml:space="preserve">As </w:t>
      </w:r>
      <w:r>
        <w:rPr>
          <w:rFonts w:cs="Times New Roman"/>
        </w:rPr>
        <w:t>I mentioned above</w:t>
      </w:r>
      <w:r w:rsidRPr="00F05824">
        <w:rPr>
          <w:rFonts w:cs="Times New Roman"/>
        </w:rPr>
        <w:t>, only the first and fourth</w:t>
      </w:r>
      <w:r>
        <w:rPr>
          <w:rFonts w:cs="Times New Roman"/>
        </w:rPr>
        <w:t xml:space="preserve"> of the</w:t>
      </w:r>
      <w:r w:rsidRPr="00F05824">
        <w:rPr>
          <w:rFonts w:cs="Times New Roman"/>
        </w:rPr>
        <w:t xml:space="preserve"> </w:t>
      </w:r>
      <w:r w:rsidRPr="00F05824">
        <w:rPr>
          <w:rFonts w:cs="Times New Roman"/>
          <w:i/>
        </w:rPr>
        <w:t>Palmer</w:t>
      </w:r>
      <w:r w:rsidRPr="00F05824">
        <w:rPr>
          <w:rFonts w:cs="Times New Roman"/>
        </w:rPr>
        <w:t xml:space="preserve"> criteria are in issue in this appeal. With respect to the first criterion, the mother argues that the new evidence could, with proper </w:t>
      </w:r>
      <w:r>
        <w:rPr>
          <w:rFonts w:cs="Times New Roman"/>
        </w:rPr>
        <w:t>diligence</w:t>
      </w:r>
      <w:r w:rsidRPr="00F05824">
        <w:rPr>
          <w:rFonts w:cs="Times New Roman"/>
        </w:rPr>
        <w:t xml:space="preserve">, have been adduced at trial. In any event, </w:t>
      </w:r>
      <w:r>
        <w:rPr>
          <w:rFonts w:cs="Times New Roman"/>
        </w:rPr>
        <w:t>relying on</w:t>
      </w:r>
      <w:r w:rsidRPr="00F05824">
        <w:rPr>
          <w:rFonts w:cs="Times New Roman"/>
        </w:rPr>
        <w:t xml:space="preserve"> the fourth criterion, she contends </w:t>
      </w:r>
      <w:r>
        <w:rPr>
          <w:rFonts w:cs="Times New Roman"/>
        </w:rPr>
        <w:t xml:space="preserve">that </w:t>
      </w:r>
      <w:r w:rsidRPr="00F05824">
        <w:rPr>
          <w:rFonts w:cs="Times New Roman"/>
        </w:rPr>
        <w:t xml:space="preserve">the new evidence could not have affected the outcome of the </w:t>
      </w:r>
      <w:r>
        <w:rPr>
          <w:rFonts w:cs="Times New Roman"/>
        </w:rPr>
        <w:t>case</w:t>
      </w:r>
      <w:r w:rsidRPr="00F05824">
        <w:rPr>
          <w:rFonts w:cs="Times New Roman"/>
        </w:rPr>
        <w:t>.</w:t>
      </w:r>
    </w:p>
    <w:p w14:paraId="7239E979" w14:textId="77777777" w:rsidR="00567205" w:rsidRPr="00F05824" w:rsidRDefault="00567205" w:rsidP="00567205">
      <w:pPr>
        <w:pStyle w:val="ParaNoNdepar-AltN"/>
        <w:rPr>
          <w:rFonts w:cs="Times New Roman"/>
        </w:rPr>
      </w:pPr>
      <w:r w:rsidRPr="00F05824">
        <w:rPr>
          <w:rFonts w:cs="Times New Roman"/>
        </w:rPr>
        <w:t>As I will explain, I disagree with the mother on both counts.</w:t>
      </w:r>
    </w:p>
    <w:p w14:paraId="32BECCB5" w14:textId="77777777" w:rsidR="00567205" w:rsidRPr="00F05824" w:rsidRDefault="00567205" w:rsidP="00567205">
      <w:pPr>
        <w:pStyle w:val="Title3LevelTitre3Niveau"/>
        <w:jc w:val="both"/>
      </w:pPr>
      <w:r w:rsidRPr="00F05824">
        <w:t xml:space="preserve">Due </w:t>
      </w:r>
      <w:r>
        <w:t>D</w:t>
      </w:r>
      <w:r w:rsidRPr="00F05824">
        <w:t>iligence</w:t>
      </w:r>
    </w:p>
    <w:p w14:paraId="5CBFF812" w14:textId="77777777" w:rsidR="00567205" w:rsidRPr="00F05824" w:rsidRDefault="00567205" w:rsidP="00567205">
      <w:pPr>
        <w:pStyle w:val="ParaNoNdepar-AltN"/>
        <w:rPr>
          <w:rFonts w:cs="Times New Roman"/>
        </w:rPr>
      </w:pPr>
      <w:r w:rsidRPr="00F05824">
        <w:rPr>
          <w:rFonts w:cs="Times New Roman"/>
        </w:rPr>
        <w:t xml:space="preserve">First, due diligence is not a barrier to admitting the new evidence. By its nature, the evidence could not have been adduced at trial. I acknowledge that the father could have </w:t>
      </w:r>
      <w:r>
        <w:rPr>
          <w:rFonts w:cs="Times New Roman"/>
        </w:rPr>
        <w:t>acted more</w:t>
      </w:r>
      <w:r w:rsidRPr="00F05824">
        <w:rPr>
          <w:rFonts w:cs="Times New Roman"/>
        </w:rPr>
        <w:t xml:space="preserve"> expeditious</w:t>
      </w:r>
      <w:r>
        <w:rPr>
          <w:rFonts w:cs="Times New Roman"/>
        </w:rPr>
        <w:t>ly</w:t>
      </w:r>
      <w:r w:rsidRPr="00F05824">
        <w:rPr>
          <w:rFonts w:cs="Times New Roman"/>
        </w:rPr>
        <w:t xml:space="preserve"> in taking steps to address his financial situation and the </w:t>
      </w:r>
      <w:r>
        <w:rPr>
          <w:rFonts w:cs="Times New Roman"/>
        </w:rPr>
        <w:t>condition</w:t>
      </w:r>
      <w:r w:rsidRPr="00F05824">
        <w:rPr>
          <w:rFonts w:cs="Times New Roman"/>
        </w:rPr>
        <w:t xml:space="preserve"> of the family home, and in bringing these matters to the court’s attention. However, an inescapable fact remains: </w:t>
      </w:r>
      <w:r>
        <w:rPr>
          <w:rFonts w:cs="Times New Roman"/>
        </w:rPr>
        <w:t>T</w:t>
      </w:r>
      <w:r w:rsidRPr="00F05824">
        <w:rPr>
          <w:rFonts w:cs="Times New Roman"/>
        </w:rPr>
        <w:t xml:space="preserve">he evidence the father </w:t>
      </w:r>
      <w:r>
        <w:rPr>
          <w:rFonts w:cs="Times New Roman"/>
        </w:rPr>
        <w:t>produced</w:t>
      </w:r>
      <w:r w:rsidRPr="00F05824">
        <w:rPr>
          <w:rFonts w:cs="Times New Roman"/>
        </w:rPr>
        <w:t xml:space="preserve"> on appeal was not in existence at the time of </w:t>
      </w:r>
      <w:r>
        <w:rPr>
          <w:rFonts w:cs="Times New Roman"/>
        </w:rPr>
        <w:t xml:space="preserve">the </w:t>
      </w:r>
      <w:r w:rsidRPr="00F05824">
        <w:rPr>
          <w:rFonts w:cs="Times New Roman"/>
        </w:rPr>
        <w:t xml:space="preserve">trial. The first </w:t>
      </w:r>
      <w:r w:rsidRPr="00F05824">
        <w:rPr>
          <w:rFonts w:cs="Times New Roman"/>
          <w:i/>
        </w:rPr>
        <w:t>Palmer</w:t>
      </w:r>
      <w:r w:rsidRPr="00F05824">
        <w:rPr>
          <w:rFonts w:cs="Times New Roman"/>
        </w:rPr>
        <w:t xml:space="preserve"> factor </w:t>
      </w:r>
      <w:r>
        <w:rPr>
          <w:rFonts w:cs="Times New Roman"/>
        </w:rPr>
        <w:t xml:space="preserve">therefore </w:t>
      </w:r>
      <w:r w:rsidRPr="00F05824">
        <w:rPr>
          <w:rFonts w:cs="Times New Roman"/>
        </w:rPr>
        <w:t>does not preclude its admissi</w:t>
      </w:r>
      <w:r>
        <w:rPr>
          <w:rFonts w:cs="Times New Roman"/>
        </w:rPr>
        <w:t>on</w:t>
      </w:r>
      <w:r w:rsidRPr="00F05824">
        <w:rPr>
          <w:rFonts w:cs="Times New Roman"/>
        </w:rPr>
        <w:t>.</w:t>
      </w:r>
    </w:p>
    <w:p w14:paraId="4B9CACD8" w14:textId="77777777" w:rsidR="00567205" w:rsidRPr="00F05824" w:rsidRDefault="00567205" w:rsidP="00567205">
      <w:pPr>
        <w:pStyle w:val="ParaNoNdepar-AltN"/>
        <w:rPr>
          <w:rFonts w:cs="Times New Roman"/>
        </w:rPr>
      </w:pPr>
      <w:r w:rsidRPr="00F05824">
        <w:rPr>
          <w:rFonts w:cs="Times New Roman"/>
        </w:rPr>
        <w:lastRenderedPageBreak/>
        <w:t>Further, even if th</w:t>
      </w:r>
      <w:r>
        <w:rPr>
          <w:rFonts w:cs="Times New Roman"/>
        </w:rPr>
        <w:t>e</w:t>
      </w:r>
      <w:r w:rsidRPr="00F05824">
        <w:rPr>
          <w:rFonts w:cs="Times New Roman"/>
        </w:rPr>
        <w:t xml:space="preserve"> evidence </w:t>
      </w:r>
      <w:r>
        <w:rPr>
          <w:rFonts w:cs="Times New Roman"/>
        </w:rPr>
        <w:t xml:space="preserve">in question </w:t>
      </w:r>
      <w:r w:rsidRPr="00F05824">
        <w:rPr>
          <w:rFonts w:cs="Times New Roman"/>
        </w:rPr>
        <w:t xml:space="preserve">could have been obtained for </w:t>
      </w:r>
      <w:r>
        <w:rPr>
          <w:rFonts w:cs="Times New Roman"/>
        </w:rPr>
        <w:t xml:space="preserve">the </w:t>
      </w:r>
      <w:r w:rsidRPr="00F05824">
        <w:rPr>
          <w:rFonts w:cs="Times New Roman"/>
        </w:rPr>
        <w:t xml:space="preserve">trial, this </w:t>
      </w:r>
      <w:r>
        <w:rPr>
          <w:rFonts w:cs="Times New Roman"/>
        </w:rPr>
        <w:t>would</w:t>
      </w:r>
      <w:r w:rsidRPr="00F05824">
        <w:rPr>
          <w:rFonts w:cs="Times New Roman"/>
        </w:rPr>
        <w:t xml:space="preserve"> not end the analysis. As I have indicated, giving effect to the need for flexibility in the child custody context demands that we apply the well</w:t>
      </w:r>
      <w:r w:rsidRPr="00F05824">
        <w:rPr>
          <w:rFonts w:cs="Times New Roman"/>
        </w:rPr>
        <w:noBreakHyphen/>
        <w:t>established principle</w:t>
      </w:r>
      <w:r w:rsidRPr="00F05824">
        <w:rPr>
          <w:rFonts w:cs="Times New Roman"/>
          <w:i/>
        </w:rPr>
        <w:t xml:space="preserve"> </w:t>
      </w:r>
      <w:r w:rsidRPr="00F05824">
        <w:rPr>
          <w:rFonts w:cs="Times New Roman"/>
        </w:rPr>
        <w:t xml:space="preserve">that due diligence is </w:t>
      </w:r>
      <w:r w:rsidRPr="00F05824">
        <w:rPr>
          <w:rFonts w:cs="Times New Roman"/>
          <w:i/>
        </w:rPr>
        <w:t>not</w:t>
      </w:r>
      <w:r w:rsidRPr="00F05824">
        <w:rPr>
          <w:rFonts w:cs="Times New Roman"/>
        </w:rPr>
        <w:t xml:space="preserve"> a condition precedent to admissi</w:t>
      </w:r>
      <w:r>
        <w:rPr>
          <w:rFonts w:cs="Times New Roman"/>
        </w:rPr>
        <w:t>on</w:t>
      </w:r>
      <w:r w:rsidRPr="00F05824">
        <w:rPr>
          <w:rFonts w:cs="Times New Roman"/>
        </w:rPr>
        <w:t xml:space="preserve">. Yet this is precisely how my colleague treats due diligence, contrary to this Court’s holding in </w:t>
      </w:r>
      <w:r w:rsidRPr="00F05824">
        <w:rPr>
          <w:rFonts w:cs="Times New Roman"/>
          <w:i/>
        </w:rPr>
        <w:t>Lévesque</w:t>
      </w:r>
      <w:r w:rsidRPr="00F05824">
        <w:rPr>
          <w:rFonts w:cs="Times New Roman"/>
        </w:rPr>
        <w:t>.</w:t>
      </w:r>
    </w:p>
    <w:p w14:paraId="549FC04C" w14:textId="77777777" w:rsidR="00567205" w:rsidRPr="00F05824" w:rsidRDefault="00567205" w:rsidP="00567205">
      <w:pPr>
        <w:pStyle w:val="ParaNoNdepar-AltN"/>
        <w:rPr>
          <w:rFonts w:cs="Times New Roman"/>
        </w:rPr>
      </w:pPr>
      <w:r>
        <w:rPr>
          <w:rFonts w:cs="Times New Roman"/>
        </w:rPr>
        <w:t>U</w:t>
      </w:r>
      <w:r w:rsidRPr="00F05824">
        <w:rPr>
          <w:rFonts w:cs="Times New Roman"/>
        </w:rPr>
        <w:t>nlike my colleague,</w:t>
      </w:r>
      <w:r>
        <w:rPr>
          <w:rFonts w:cs="Times New Roman"/>
        </w:rPr>
        <w:t xml:space="preserve"> </w:t>
      </w:r>
      <w:r w:rsidRPr="00F05824">
        <w:rPr>
          <w:rFonts w:cs="Times New Roman"/>
        </w:rPr>
        <w:t xml:space="preserve">I do not accept that the existence of the variation procedure </w:t>
      </w:r>
      <w:r>
        <w:rPr>
          <w:rFonts w:cs="Times New Roman"/>
        </w:rPr>
        <w:t>weighs</w:t>
      </w:r>
      <w:r w:rsidRPr="00F05824">
        <w:rPr>
          <w:rFonts w:cs="Times New Roman"/>
        </w:rPr>
        <w:t xml:space="preserve"> against admissi</w:t>
      </w:r>
      <w:r>
        <w:rPr>
          <w:rFonts w:cs="Times New Roman"/>
        </w:rPr>
        <w:t>on</w:t>
      </w:r>
      <w:r w:rsidRPr="00F05824">
        <w:rPr>
          <w:rFonts w:cs="Times New Roman"/>
        </w:rPr>
        <w:t xml:space="preserve">. </w:t>
      </w:r>
      <w:r>
        <w:rPr>
          <w:rFonts w:cs="Times New Roman"/>
        </w:rPr>
        <w:t>S</w:t>
      </w:r>
      <w:r w:rsidRPr="00F05824">
        <w:rPr>
          <w:rFonts w:cs="Times New Roman"/>
        </w:rPr>
        <w:t>he asserts</w:t>
      </w:r>
      <w:r>
        <w:rPr>
          <w:rFonts w:cs="Times New Roman"/>
        </w:rPr>
        <w:t xml:space="preserve"> that</w:t>
      </w:r>
      <w:r w:rsidRPr="00F05824">
        <w:rPr>
          <w:rFonts w:cs="Times New Roman"/>
        </w:rPr>
        <w:t xml:space="preserve"> “[a] variation application and an appeal are distinct proceedings based on fundamentally different premises” (para. </w:t>
      </w:r>
      <w:r>
        <w:rPr>
          <w:rFonts w:cs="Times New Roman"/>
        </w:rPr>
        <w:t>75), and</w:t>
      </w:r>
      <w:r w:rsidRPr="00F05824">
        <w:rPr>
          <w:rFonts w:cs="Times New Roman"/>
        </w:rPr>
        <w:t xml:space="preserve"> I agree</w:t>
      </w:r>
      <w:r>
        <w:rPr>
          <w:rFonts w:cs="Times New Roman"/>
        </w:rPr>
        <w:t xml:space="preserve"> with her</w:t>
      </w:r>
      <w:r w:rsidRPr="00F05824">
        <w:rPr>
          <w:rFonts w:cs="Times New Roman"/>
        </w:rPr>
        <w:t>. But in this case the father’s appeal would have gone ahead</w:t>
      </w:r>
      <w:r>
        <w:rPr>
          <w:rFonts w:cs="Times New Roman"/>
        </w:rPr>
        <w:t xml:space="preserve"> regardless of</w:t>
      </w:r>
      <w:r w:rsidRPr="00F05824">
        <w:rPr>
          <w:rFonts w:cs="Times New Roman"/>
        </w:rPr>
        <w:t xml:space="preserve"> whether he brought a separate application to vary </w:t>
      </w:r>
      <w:r>
        <w:rPr>
          <w:rFonts w:cs="Times New Roman"/>
        </w:rPr>
        <w:t>in</w:t>
      </w:r>
      <w:r w:rsidRPr="00F05824">
        <w:rPr>
          <w:rFonts w:cs="Times New Roman"/>
        </w:rPr>
        <w:t xml:space="preserve"> the trial court. Hence, the mere </w:t>
      </w:r>
      <w:r>
        <w:rPr>
          <w:rFonts w:cs="Times New Roman"/>
        </w:rPr>
        <w:t xml:space="preserve">existence of the </w:t>
      </w:r>
      <w:r w:rsidRPr="00F05824">
        <w:rPr>
          <w:rFonts w:cs="Times New Roman"/>
        </w:rPr>
        <w:t xml:space="preserve">possibility </w:t>
      </w:r>
      <w:r>
        <w:rPr>
          <w:rFonts w:cs="Times New Roman"/>
        </w:rPr>
        <w:t>of</w:t>
      </w:r>
      <w:r w:rsidRPr="00F05824">
        <w:rPr>
          <w:rFonts w:cs="Times New Roman"/>
        </w:rPr>
        <w:t xml:space="preserve"> a variation order does not foreclose a litigant’s right to appeal and therefore the right to present a motion to adduce additional evidence, particularly where th</w:t>
      </w:r>
      <w:r>
        <w:rPr>
          <w:rFonts w:cs="Times New Roman"/>
        </w:rPr>
        <w:t>e</w:t>
      </w:r>
      <w:r w:rsidRPr="00F05824">
        <w:rPr>
          <w:rFonts w:cs="Times New Roman"/>
        </w:rPr>
        <w:t xml:space="preserve"> evidence</w:t>
      </w:r>
      <w:r>
        <w:rPr>
          <w:rFonts w:cs="Times New Roman"/>
        </w:rPr>
        <w:t xml:space="preserve"> in question</w:t>
      </w:r>
      <w:r w:rsidRPr="00F05824">
        <w:rPr>
          <w:rFonts w:cs="Times New Roman"/>
        </w:rPr>
        <w:t xml:space="preserve"> is linked to the alleged error.</w:t>
      </w:r>
    </w:p>
    <w:p w14:paraId="0FA0F7AF" w14:textId="77777777" w:rsidR="00567205" w:rsidRPr="00F05824" w:rsidRDefault="00567205" w:rsidP="00567205">
      <w:pPr>
        <w:pStyle w:val="Title3LevelTitre3Niveau"/>
        <w:jc w:val="both"/>
      </w:pPr>
      <w:r w:rsidRPr="00F05824">
        <w:t xml:space="preserve">Whether the </w:t>
      </w:r>
      <w:r>
        <w:t>New E</w:t>
      </w:r>
      <w:r w:rsidRPr="00F05824">
        <w:t xml:space="preserve">vidence </w:t>
      </w:r>
      <w:r>
        <w:t>C</w:t>
      </w:r>
      <w:r w:rsidRPr="00F05824">
        <w:t xml:space="preserve">ould </w:t>
      </w:r>
      <w:r>
        <w:t>H</w:t>
      </w:r>
      <w:r w:rsidRPr="00F05824">
        <w:t xml:space="preserve">ave </w:t>
      </w:r>
      <w:r>
        <w:t>A</w:t>
      </w:r>
      <w:r w:rsidRPr="00F05824">
        <w:t>ffected</w:t>
      </w:r>
      <w:r>
        <w:t xml:space="preserve"> the R</w:t>
      </w:r>
      <w:r w:rsidRPr="00F05824">
        <w:t>esult</w:t>
      </w:r>
    </w:p>
    <w:p w14:paraId="2D4AA069" w14:textId="77777777" w:rsidR="00567205" w:rsidRPr="00F05824" w:rsidRDefault="00567205" w:rsidP="00567205">
      <w:pPr>
        <w:pStyle w:val="ParaNoNdepar-AltN"/>
        <w:rPr>
          <w:rFonts w:cs="Times New Roman"/>
          <w:lang w:val="en-US"/>
        </w:rPr>
      </w:pPr>
      <w:r w:rsidRPr="00F05824">
        <w:rPr>
          <w:rFonts w:cs="Times New Roman"/>
          <w:lang w:val="en-US"/>
        </w:rPr>
        <w:t xml:space="preserve">Applying the fourth </w:t>
      </w:r>
      <w:r w:rsidRPr="00F05824">
        <w:rPr>
          <w:rFonts w:cs="Times New Roman"/>
          <w:i/>
          <w:lang w:val="en-US"/>
        </w:rPr>
        <w:t xml:space="preserve">Palmer </w:t>
      </w:r>
      <w:r w:rsidRPr="00F05824">
        <w:rPr>
          <w:rFonts w:cs="Times New Roman"/>
          <w:lang w:val="en-US"/>
        </w:rPr>
        <w:t>criterion, I conclude that the new evidence could have affected the result.</w:t>
      </w:r>
    </w:p>
    <w:p w14:paraId="22F89996" w14:textId="77777777" w:rsidR="00567205" w:rsidRPr="00F05824" w:rsidRDefault="00567205" w:rsidP="00567205">
      <w:pPr>
        <w:pStyle w:val="ParaNoNdepar-AltN"/>
        <w:rPr>
          <w:rFonts w:cs="Times New Roman"/>
          <w:lang w:val="en-US"/>
        </w:rPr>
      </w:pPr>
      <w:r w:rsidRPr="00F05824">
        <w:rPr>
          <w:rFonts w:cs="Times New Roman"/>
          <w:lang w:val="en-US"/>
        </w:rPr>
        <w:t>It is not</w:t>
      </w:r>
      <w:r>
        <w:rPr>
          <w:rFonts w:cs="Times New Roman"/>
          <w:lang w:val="en-US"/>
        </w:rPr>
        <w:t>eworthy</w:t>
      </w:r>
      <w:r w:rsidRPr="00F05824">
        <w:rPr>
          <w:rFonts w:cs="Times New Roman"/>
          <w:lang w:val="en-US"/>
        </w:rPr>
        <w:t xml:space="preserve"> that my colleague d</w:t>
      </w:r>
      <w:r>
        <w:rPr>
          <w:rFonts w:cs="Times New Roman"/>
          <w:lang w:val="en-US"/>
        </w:rPr>
        <w:t>oes</w:t>
      </w:r>
      <w:r w:rsidRPr="00F05824">
        <w:rPr>
          <w:rFonts w:cs="Times New Roman"/>
          <w:lang w:val="en-US"/>
        </w:rPr>
        <w:t xml:space="preserve"> not even reach this </w:t>
      </w:r>
      <w:r>
        <w:rPr>
          <w:rFonts w:cs="Times New Roman"/>
          <w:lang w:val="en-US"/>
        </w:rPr>
        <w:t>branch</w:t>
      </w:r>
      <w:r w:rsidRPr="00F05824">
        <w:rPr>
          <w:rFonts w:cs="Times New Roman"/>
          <w:lang w:val="en-US"/>
        </w:rPr>
        <w:t xml:space="preserve"> of the </w:t>
      </w:r>
      <w:r w:rsidRPr="00F05824">
        <w:rPr>
          <w:rFonts w:cs="Times New Roman"/>
          <w:i/>
          <w:lang w:val="en-US"/>
        </w:rPr>
        <w:t xml:space="preserve">Palmer </w:t>
      </w:r>
      <w:r w:rsidRPr="00F05824">
        <w:rPr>
          <w:rFonts w:cs="Times New Roman"/>
          <w:lang w:val="en-US"/>
        </w:rPr>
        <w:t>test. She base</w:t>
      </w:r>
      <w:r>
        <w:rPr>
          <w:rFonts w:cs="Times New Roman"/>
          <w:lang w:val="en-US"/>
        </w:rPr>
        <w:t>s</w:t>
      </w:r>
      <w:r w:rsidRPr="00F05824">
        <w:rPr>
          <w:rFonts w:cs="Times New Roman"/>
          <w:lang w:val="en-US"/>
        </w:rPr>
        <w:t xml:space="preserve"> her conclusion on the father’</w:t>
      </w:r>
      <w:r>
        <w:rPr>
          <w:rFonts w:cs="Times New Roman"/>
          <w:lang w:val="en-US"/>
        </w:rPr>
        <w:t>s alleged lack of due diligence</w:t>
      </w:r>
      <w:r w:rsidRPr="00F05824">
        <w:rPr>
          <w:rFonts w:cs="Times New Roman"/>
          <w:lang w:val="en-US"/>
        </w:rPr>
        <w:t xml:space="preserve"> and on </w:t>
      </w:r>
      <w:r>
        <w:rPr>
          <w:rFonts w:cs="Times New Roman"/>
          <w:lang w:val="en-US"/>
        </w:rPr>
        <w:t>an</w:t>
      </w:r>
      <w:r w:rsidRPr="00F05824">
        <w:rPr>
          <w:rFonts w:cs="Times New Roman"/>
          <w:lang w:val="en-US"/>
        </w:rPr>
        <w:t xml:space="preserve"> absence of “circumstances” which might “render the admission of this evidence </w:t>
      </w:r>
      <w:r w:rsidRPr="00F05824">
        <w:rPr>
          <w:rFonts w:cs="Times New Roman"/>
          <w:lang w:val="en-US"/>
        </w:rPr>
        <w:lastRenderedPageBreak/>
        <w:t>necessary in the interests of justice” (para. 9</w:t>
      </w:r>
      <w:r>
        <w:rPr>
          <w:rFonts w:cs="Times New Roman"/>
          <w:lang w:val="en-US"/>
        </w:rPr>
        <w:t>1</w:t>
      </w:r>
      <w:r w:rsidRPr="00F05824">
        <w:rPr>
          <w:rFonts w:cs="Times New Roman"/>
          <w:lang w:val="en-US"/>
        </w:rPr>
        <w:t xml:space="preserve">). </w:t>
      </w:r>
      <w:r>
        <w:rPr>
          <w:rFonts w:cs="Times New Roman"/>
          <w:lang w:val="en-US"/>
        </w:rPr>
        <w:t xml:space="preserve">All I would say in this regard is </w:t>
      </w:r>
      <w:r w:rsidRPr="00F05824">
        <w:rPr>
          <w:rFonts w:cs="Times New Roman"/>
          <w:lang w:val="en-US"/>
        </w:rPr>
        <w:t xml:space="preserve">that I </w:t>
      </w:r>
      <w:r>
        <w:rPr>
          <w:rFonts w:cs="Times New Roman"/>
          <w:lang w:val="en-US"/>
        </w:rPr>
        <w:t>do not understand</w:t>
      </w:r>
      <w:r w:rsidRPr="00F05824">
        <w:rPr>
          <w:rFonts w:cs="Times New Roman"/>
          <w:lang w:val="en-US"/>
        </w:rPr>
        <w:t xml:space="preserve"> “necessity in the interests of justice” to be a </w:t>
      </w:r>
      <w:r w:rsidRPr="00F05824">
        <w:rPr>
          <w:rFonts w:cs="Times New Roman"/>
          <w:i/>
          <w:lang w:val="en-US"/>
        </w:rPr>
        <w:t xml:space="preserve">Palmer </w:t>
      </w:r>
      <w:r w:rsidRPr="00F05824">
        <w:rPr>
          <w:rFonts w:cs="Times New Roman"/>
          <w:lang w:val="en-US"/>
        </w:rPr>
        <w:t>criterion.</w:t>
      </w:r>
    </w:p>
    <w:p w14:paraId="3628E73C" w14:textId="77777777" w:rsidR="00567205" w:rsidRPr="00F05824" w:rsidRDefault="00567205" w:rsidP="00567205">
      <w:pPr>
        <w:pStyle w:val="ParaNoNdepar-AltN"/>
        <w:rPr>
          <w:rFonts w:cs="Times New Roman"/>
          <w:lang w:val="en-US"/>
        </w:rPr>
      </w:pPr>
      <w:r w:rsidRPr="00F05824">
        <w:rPr>
          <w:rFonts w:cs="Times New Roman"/>
          <w:lang w:val="en-US"/>
        </w:rPr>
        <w:t xml:space="preserve">More to the point, however, the fourth </w:t>
      </w:r>
      <w:r w:rsidRPr="00F05824">
        <w:rPr>
          <w:rFonts w:cs="Times New Roman"/>
          <w:i/>
          <w:lang w:val="en-US"/>
        </w:rPr>
        <w:t>Palmer</w:t>
      </w:r>
      <w:r w:rsidRPr="00F05824">
        <w:rPr>
          <w:rFonts w:cs="Times New Roman"/>
          <w:lang w:val="en-US"/>
        </w:rPr>
        <w:t xml:space="preserve"> criterion favours admission of the new evidence. I say this for three reasons.</w:t>
      </w:r>
    </w:p>
    <w:p w14:paraId="5A3BB72C" w14:textId="77777777" w:rsidR="00567205" w:rsidRPr="00F05824" w:rsidRDefault="00567205" w:rsidP="00567205">
      <w:pPr>
        <w:pStyle w:val="ParaNoNdepar-AltN"/>
        <w:rPr>
          <w:rFonts w:cs="Times New Roman"/>
        </w:rPr>
      </w:pPr>
      <w:r w:rsidRPr="00F05824">
        <w:rPr>
          <w:rFonts w:cs="Times New Roman"/>
        </w:rPr>
        <w:t>First, the new evidence bears on a critical aspect of the trial judge’s reasoning. The trial judge found that the “parties’ financial situation, particularly as it pertains to the house”</w:t>
      </w:r>
      <w:r>
        <w:rPr>
          <w:rFonts w:cs="Times New Roman"/>
        </w:rPr>
        <w:t>,</w:t>
      </w:r>
      <w:r w:rsidRPr="00F05824">
        <w:rPr>
          <w:rFonts w:cs="Times New Roman"/>
        </w:rPr>
        <w:t xml:space="preserve"> was an issue that “significantly impact[ed]” his analysis of the children’s best interests (paras. 30</w:t>
      </w:r>
      <w:r w:rsidRPr="00F05824">
        <w:rPr>
          <w:rFonts w:cs="Times New Roman"/>
        </w:rPr>
        <w:noBreakHyphen/>
        <w:t xml:space="preserve">31). It matters not in my view that this issue was </w:t>
      </w:r>
      <w:r w:rsidRPr="00F05824">
        <w:rPr>
          <w:rFonts w:cs="Times New Roman"/>
          <w:i/>
        </w:rPr>
        <w:t>comparatively</w:t>
      </w:r>
      <w:r w:rsidRPr="00F05824">
        <w:rPr>
          <w:rFonts w:cs="Times New Roman"/>
        </w:rPr>
        <w:t xml:space="preserve"> less significant than the relationship between the parties. The trial judge devoted </w:t>
      </w:r>
      <w:r>
        <w:rPr>
          <w:rFonts w:cs="Times New Roman"/>
        </w:rPr>
        <w:t>10 </w:t>
      </w:r>
      <w:r w:rsidRPr="00F05824">
        <w:rPr>
          <w:rFonts w:cs="Times New Roman"/>
        </w:rPr>
        <w:t xml:space="preserve">paragraphs of his best interests analysis to the financial issues related to the West Kelowna home. It is thus plain that the new evidence, which suggests </w:t>
      </w:r>
      <w:r>
        <w:rPr>
          <w:rFonts w:cs="Times New Roman"/>
        </w:rPr>
        <w:t xml:space="preserve">that </w:t>
      </w:r>
      <w:r w:rsidRPr="00F05824">
        <w:rPr>
          <w:rFonts w:cs="Times New Roman"/>
        </w:rPr>
        <w:t xml:space="preserve">the father’s financial position and the </w:t>
      </w:r>
      <w:r>
        <w:rPr>
          <w:rFonts w:cs="Times New Roman"/>
        </w:rPr>
        <w:t>condition</w:t>
      </w:r>
      <w:r w:rsidRPr="00F05824">
        <w:rPr>
          <w:rFonts w:cs="Times New Roman"/>
        </w:rPr>
        <w:t xml:space="preserve"> of the home are much improved, </w:t>
      </w:r>
      <w:r w:rsidRPr="00F05824">
        <w:rPr>
          <w:rFonts w:cs="Times New Roman"/>
          <w:i/>
        </w:rPr>
        <w:t>could</w:t>
      </w:r>
      <w:r w:rsidRPr="00F05824">
        <w:rPr>
          <w:rFonts w:cs="Times New Roman"/>
        </w:rPr>
        <w:t xml:space="preserve"> have affected the trial judge’s ultimate conclusion </w:t>
      </w:r>
      <w:r>
        <w:rPr>
          <w:rFonts w:cs="Times New Roman"/>
        </w:rPr>
        <w:t>on the question</w:t>
      </w:r>
      <w:r w:rsidRPr="00F05824">
        <w:rPr>
          <w:rFonts w:cs="Times New Roman"/>
        </w:rPr>
        <w:t xml:space="preserve"> whether permitting the children to relocate with their mother was in their best interests.</w:t>
      </w:r>
    </w:p>
    <w:p w14:paraId="3FEEECAD" w14:textId="77777777" w:rsidR="00567205" w:rsidRPr="00F05824" w:rsidRDefault="00567205" w:rsidP="00567205">
      <w:pPr>
        <w:pStyle w:val="ParaNoNdepar-AltN"/>
        <w:rPr>
          <w:rFonts w:cs="Times New Roman"/>
          <w:lang w:val="en-US"/>
        </w:rPr>
      </w:pPr>
      <w:r w:rsidRPr="00F05824">
        <w:rPr>
          <w:rFonts w:cs="Times New Roman"/>
          <w:lang w:val="en-US"/>
        </w:rPr>
        <w:t xml:space="preserve">Second, the new evidence addresses concerns the trial judge had regarding the home environment the father would provide for the children. If believed, the new evidence suggests that the house is now much closer to a “living environment” than </w:t>
      </w:r>
      <w:r>
        <w:rPr>
          <w:rFonts w:cs="Times New Roman"/>
          <w:lang w:val="en-US"/>
        </w:rPr>
        <w:t xml:space="preserve">to </w:t>
      </w:r>
      <w:r w:rsidRPr="00F05824">
        <w:rPr>
          <w:rFonts w:cs="Times New Roman"/>
          <w:lang w:val="en-US"/>
        </w:rPr>
        <w:t xml:space="preserve">a “working environment”, as it was described at the time of trial (para. 33). The new evidence indicates that the father has renovated the bathroom and the master bedroom, and has </w:t>
      </w:r>
      <w:r>
        <w:rPr>
          <w:rFonts w:cs="Times New Roman"/>
          <w:lang w:val="en-US"/>
        </w:rPr>
        <w:t>definite</w:t>
      </w:r>
      <w:r w:rsidRPr="00F05824">
        <w:rPr>
          <w:rFonts w:cs="Times New Roman"/>
          <w:lang w:val="en-US"/>
        </w:rPr>
        <w:t xml:space="preserve"> plans to complete the kitchen renovation.</w:t>
      </w:r>
    </w:p>
    <w:p w14:paraId="4BFA6C95" w14:textId="77777777" w:rsidR="00567205" w:rsidRPr="00F05824" w:rsidRDefault="00567205" w:rsidP="00567205">
      <w:pPr>
        <w:pStyle w:val="ParaNoNdepar-AltN"/>
        <w:rPr>
          <w:rFonts w:cs="Times New Roman"/>
          <w:lang w:val="en-US"/>
        </w:rPr>
      </w:pPr>
      <w:r>
        <w:rPr>
          <w:rFonts w:cs="Times New Roman"/>
        </w:rPr>
        <w:lastRenderedPageBreak/>
        <w:t>Finally</w:t>
      </w:r>
      <w:r w:rsidRPr="00F05824">
        <w:rPr>
          <w:rFonts w:cs="Times New Roman"/>
        </w:rPr>
        <w:t xml:space="preserve">, the new evidence </w:t>
      </w:r>
      <w:r>
        <w:rPr>
          <w:rFonts w:cs="Times New Roman"/>
        </w:rPr>
        <w:t>undermines</w:t>
      </w:r>
      <w:r w:rsidRPr="00F05824">
        <w:rPr>
          <w:rFonts w:cs="Times New Roman"/>
        </w:rPr>
        <w:t xml:space="preserve"> the trial judge’s conc</w:t>
      </w:r>
      <w:r>
        <w:rPr>
          <w:rFonts w:cs="Times New Roman"/>
        </w:rPr>
        <w:t>lusion</w:t>
      </w:r>
      <w:r w:rsidRPr="00F05824">
        <w:rPr>
          <w:rFonts w:cs="Times New Roman"/>
        </w:rPr>
        <w:t xml:space="preserve"> that</w:t>
      </w:r>
      <w:r>
        <w:rPr>
          <w:rFonts w:cs="Times New Roman"/>
        </w:rPr>
        <w:t>,</w:t>
      </w:r>
      <w:r w:rsidRPr="00F05824">
        <w:rPr>
          <w:rFonts w:cs="Times New Roman"/>
        </w:rPr>
        <w:t xml:space="preserve"> </w:t>
      </w:r>
      <w:r>
        <w:rPr>
          <w:rFonts w:cs="Times New Roman"/>
        </w:rPr>
        <w:t xml:space="preserve">given </w:t>
      </w:r>
      <w:r w:rsidRPr="00F05824">
        <w:rPr>
          <w:rFonts w:cs="Times New Roman"/>
        </w:rPr>
        <w:t xml:space="preserve">the father’s </w:t>
      </w:r>
      <w:r>
        <w:rPr>
          <w:rFonts w:cs="Times New Roman"/>
        </w:rPr>
        <w:t xml:space="preserve">dire financial straits, his </w:t>
      </w:r>
      <w:r w:rsidRPr="00F05824">
        <w:rPr>
          <w:rFonts w:cs="Times New Roman"/>
        </w:rPr>
        <w:t xml:space="preserve">ability to remain in the West Kelowna home was “less than certain” (para. 40). </w:t>
      </w:r>
      <w:r w:rsidRPr="00F05824">
        <w:rPr>
          <w:rFonts w:cs="Times New Roman"/>
          <w:lang w:val="en-US"/>
        </w:rPr>
        <w:t xml:space="preserve">The trial judge found that the father’s </w:t>
      </w:r>
      <w:r>
        <w:rPr>
          <w:rFonts w:cs="Times New Roman"/>
          <w:lang w:val="en-US"/>
        </w:rPr>
        <w:t>“</w:t>
      </w:r>
      <w:r w:rsidRPr="00F05824">
        <w:rPr>
          <w:rFonts w:cs="Times New Roman"/>
          <w:lang w:val="en-US"/>
        </w:rPr>
        <w:t xml:space="preserve">plan to continue living in the house with the boys </w:t>
      </w:r>
      <w:r>
        <w:rPr>
          <w:rFonts w:cs="Times New Roman"/>
          <w:lang w:val="en-US"/>
        </w:rPr>
        <w:t>[</w:t>
      </w:r>
      <w:r w:rsidRPr="00F05824">
        <w:rPr>
          <w:rFonts w:cs="Times New Roman"/>
          <w:lang w:val="en-US"/>
        </w:rPr>
        <w:t>was</w:t>
      </w:r>
      <w:r>
        <w:rPr>
          <w:rFonts w:cs="Times New Roman"/>
          <w:lang w:val="en-US"/>
        </w:rPr>
        <w:t>]</w:t>
      </w:r>
      <w:r w:rsidRPr="00F05824">
        <w:rPr>
          <w:rFonts w:cs="Times New Roman"/>
          <w:lang w:val="en-US"/>
        </w:rPr>
        <w:t>, for all practical purposes, entirely dependent on the willingness and ability of his parents to pay off the mortgage and the debt on the line of credit secured by the home, and finance the remainder of the renovations</w:t>
      </w:r>
      <w:r>
        <w:rPr>
          <w:rFonts w:cs="Times New Roman"/>
          <w:lang w:val="en-US"/>
        </w:rPr>
        <w:t>” (para. 39)</w:t>
      </w:r>
      <w:r w:rsidRPr="00F05824">
        <w:rPr>
          <w:rFonts w:cs="Times New Roman"/>
          <w:lang w:val="en-US"/>
        </w:rPr>
        <w:t>. As of the date of</w:t>
      </w:r>
      <w:r>
        <w:rPr>
          <w:rFonts w:cs="Times New Roman"/>
          <w:lang w:val="en-US"/>
        </w:rPr>
        <w:t xml:space="preserve"> the</w:t>
      </w:r>
      <w:r w:rsidRPr="00F05824">
        <w:rPr>
          <w:rFonts w:cs="Times New Roman"/>
          <w:lang w:val="en-US"/>
        </w:rPr>
        <w:t xml:space="preserve"> trial, this was uncertain. His father had spoken with bankers about buying an interest in the home</w:t>
      </w:r>
      <w:r>
        <w:rPr>
          <w:rFonts w:cs="Times New Roman"/>
          <w:lang w:val="en-US"/>
        </w:rPr>
        <w:t>,</w:t>
      </w:r>
      <w:r w:rsidRPr="00F05824">
        <w:rPr>
          <w:rFonts w:cs="Times New Roman"/>
          <w:lang w:val="en-US"/>
        </w:rPr>
        <w:t xml:space="preserve"> but nothing concrete </w:t>
      </w:r>
      <w:r>
        <w:rPr>
          <w:rFonts w:cs="Times New Roman"/>
          <w:lang w:val="en-US"/>
        </w:rPr>
        <w:t>about this plan had been</w:t>
      </w:r>
      <w:r w:rsidRPr="00F05824">
        <w:rPr>
          <w:rFonts w:cs="Times New Roman"/>
          <w:lang w:val="en-US"/>
        </w:rPr>
        <w:t xml:space="preserve"> filed in evidence. If believed, the new evidence shows that the fath</w:t>
      </w:r>
      <w:r>
        <w:rPr>
          <w:rFonts w:cs="Times New Roman"/>
          <w:lang w:val="en-US"/>
        </w:rPr>
        <w:t>er’s plan has come to fruition.</w:t>
      </w:r>
    </w:p>
    <w:p w14:paraId="612471C2" w14:textId="77777777" w:rsidR="00567205" w:rsidRPr="00F05824" w:rsidRDefault="00567205" w:rsidP="00567205">
      <w:pPr>
        <w:pStyle w:val="ParaNoNdepar-AltN"/>
        <w:rPr>
          <w:rFonts w:cs="Times New Roman"/>
          <w:lang w:val="en-US"/>
        </w:rPr>
      </w:pPr>
      <w:r w:rsidRPr="00F05824">
        <w:rPr>
          <w:rFonts w:cs="Times New Roman"/>
          <w:lang w:val="en-US"/>
        </w:rPr>
        <w:t>The best interests</w:t>
      </w:r>
      <w:r>
        <w:rPr>
          <w:rFonts w:cs="Times New Roman"/>
          <w:lang w:val="en-US"/>
        </w:rPr>
        <w:t xml:space="preserve"> analysis is of course</w:t>
      </w:r>
      <w:r w:rsidRPr="00F05824">
        <w:rPr>
          <w:rFonts w:cs="Times New Roman"/>
          <w:lang w:val="en-US"/>
        </w:rPr>
        <w:t xml:space="preserve"> highly</w:t>
      </w:r>
      <w:r>
        <w:rPr>
          <w:rFonts w:cs="Times New Roman"/>
          <w:lang w:val="en-US"/>
        </w:rPr>
        <w:t xml:space="preserve"> </w:t>
      </w:r>
      <w:r w:rsidRPr="00F05824">
        <w:rPr>
          <w:rFonts w:cs="Times New Roman"/>
          <w:lang w:val="en-US"/>
        </w:rPr>
        <w:t>contextual and fact</w:t>
      </w:r>
      <w:r w:rsidRPr="00F05824">
        <w:rPr>
          <w:rFonts w:cs="Times New Roman"/>
          <w:lang w:val="en-US"/>
        </w:rPr>
        <w:noBreakHyphen/>
        <w:t xml:space="preserve">dependent. It is thus impossible to gauge exactly how this new evidence might have </w:t>
      </w:r>
      <w:r>
        <w:rPr>
          <w:rFonts w:cs="Times New Roman"/>
          <w:lang w:val="en-US"/>
        </w:rPr>
        <w:t>affected</w:t>
      </w:r>
      <w:r w:rsidRPr="00F05824">
        <w:rPr>
          <w:rFonts w:cs="Times New Roman"/>
          <w:lang w:val="en-US"/>
        </w:rPr>
        <w:t xml:space="preserve"> the trial judge’s carefully calibrated analysis. However, I agree with the father that the new evidence plainly bears on “one significant pillar” of the trial judge’s two-pronged rationale</w:t>
      </w:r>
      <w:r>
        <w:rPr>
          <w:rFonts w:cs="Times New Roman"/>
          <w:lang w:val="en-US"/>
        </w:rPr>
        <w:t xml:space="preserve"> (R.F., at para. 67)</w:t>
      </w:r>
      <w:r w:rsidRPr="00F05824">
        <w:rPr>
          <w:rFonts w:cs="Times New Roman"/>
          <w:lang w:val="en-US"/>
        </w:rPr>
        <w:t>. In my view, th</w:t>
      </w:r>
      <w:r>
        <w:rPr>
          <w:rFonts w:cs="Times New Roman"/>
          <w:lang w:val="en-US"/>
        </w:rPr>
        <w:t>is</w:t>
      </w:r>
      <w:r w:rsidRPr="00F05824">
        <w:rPr>
          <w:rFonts w:cs="Times New Roman"/>
          <w:lang w:val="en-US"/>
        </w:rPr>
        <w:t xml:space="preserve"> evidence </w:t>
      </w:r>
      <w:r>
        <w:rPr>
          <w:rFonts w:cs="Times New Roman"/>
          <w:lang w:val="en-US"/>
        </w:rPr>
        <w:t>could</w:t>
      </w:r>
      <w:r w:rsidRPr="00F05824">
        <w:rPr>
          <w:rFonts w:cs="Times New Roman"/>
          <w:lang w:val="en-US"/>
        </w:rPr>
        <w:t xml:space="preserve"> have altered </w:t>
      </w:r>
      <w:r>
        <w:rPr>
          <w:rFonts w:cs="Times New Roman"/>
          <w:lang w:val="en-US"/>
        </w:rPr>
        <w:t>the trial judge’s</w:t>
      </w:r>
      <w:r w:rsidRPr="00F05824">
        <w:rPr>
          <w:rFonts w:cs="Times New Roman"/>
          <w:lang w:val="en-US"/>
        </w:rPr>
        <w:t xml:space="preserve"> view that the children</w:t>
      </w:r>
      <w:r>
        <w:rPr>
          <w:rFonts w:cs="Times New Roman"/>
          <w:lang w:val="en-US"/>
        </w:rPr>
        <w:t>’s best interests</w:t>
      </w:r>
      <w:r w:rsidRPr="00F05824">
        <w:rPr>
          <w:rFonts w:cs="Times New Roman"/>
          <w:lang w:val="en-US"/>
        </w:rPr>
        <w:t xml:space="preserve"> would be better served by </w:t>
      </w:r>
      <w:r>
        <w:rPr>
          <w:rFonts w:cs="Times New Roman"/>
          <w:lang w:val="en-US"/>
        </w:rPr>
        <w:t xml:space="preserve">their </w:t>
      </w:r>
      <w:r w:rsidRPr="00F05824">
        <w:rPr>
          <w:rFonts w:cs="Times New Roman"/>
          <w:lang w:val="en-US"/>
        </w:rPr>
        <w:t>living with the</w:t>
      </w:r>
      <w:r>
        <w:rPr>
          <w:rFonts w:cs="Times New Roman"/>
          <w:lang w:val="en-US"/>
        </w:rPr>
        <w:t>ir</w:t>
      </w:r>
      <w:r w:rsidRPr="00F05824">
        <w:rPr>
          <w:rFonts w:cs="Times New Roman"/>
          <w:lang w:val="en-US"/>
        </w:rPr>
        <w:t xml:space="preserve"> mother in </w:t>
      </w:r>
      <w:r>
        <w:rPr>
          <w:rFonts w:cs="Times New Roman"/>
          <w:lang w:val="en-US"/>
        </w:rPr>
        <w:t>Telkwa</w:t>
      </w:r>
      <w:r w:rsidRPr="00F05824">
        <w:rPr>
          <w:rFonts w:cs="Times New Roman"/>
          <w:lang w:val="en-US"/>
        </w:rPr>
        <w:t xml:space="preserve"> rather than in a shared parenting arrangement with both parents in </w:t>
      </w:r>
      <w:r>
        <w:rPr>
          <w:rFonts w:cs="Times New Roman"/>
          <w:lang w:val="en-US"/>
        </w:rPr>
        <w:t xml:space="preserve">the </w:t>
      </w:r>
      <w:r w:rsidRPr="00F05824">
        <w:rPr>
          <w:rFonts w:cs="Times New Roman"/>
          <w:lang w:val="en-US"/>
        </w:rPr>
        <w:t>Kelowna</w:t>
      </w:r>
      <w:r>
        <w:rPr>
          <w:rFonts w:cs="Times New Roman"/>
          <w:lang w:val="en-US"/>
        </w:rPr>
        <w:t xml:space="preserve"> area</w:t>
      </w:r>
      <w:r w:rsidRPr="00F05824">
        <w:rPr>
          <w:rFonts w:cs="Times New Roman"/>
          <w:lang w:val="en-US"/>
        </w:rPr>
        <w:t>.</w:t>
      </w:r>
    </w:p>
    <w:p w14:paraId="4E2D1351" w14:textId="77777777" w:rsidR="00567205" w:rsidRPr="00F05824" w:rsidRDefault="00567205" w:rsidP="00567205">
      <w:pPr>
        <w:pStyle w:val="Title3LevelTitre3Niveau"/>
        <w:jc w:val="both"/>
      </w:pPr>
      <w:r w:rsidRPr="00F05824">
        <w:t xml:space="preserve">Conclusion on </w:t>
      </w:r>
      <w:r w:rsidRPr="00DF07DA">
        <w:rPr>
          <w:i/>
        </w:rPr>
        <w:t>Palmer</w:t>
      </w:r>
    </w:p>
    <w:p w14:paraId="324ADD39" w14:textId="77777777" w:rsidR="00567205" w:rsidRPr="00F05824" w:rsidRDefault="00567205" w:rsidP="00567205">
      <w:pPr>
        <w:pStyle w:val="ParaNoNdepar-AltN"/>
        <w:rPr>
          <w:rFonts w:cs="Times New Roman"/>
        </w:rPr>
      </w:pPr>
      <w:r w:rsidRPr="00F05824">
        <w:rPr>
          <w:rFonts w:cs="Times New Roman"/>
        </w:rPr>
        <w:t xml:space="preserve">Accordingly, on a properly flexible application of </w:t>
      </w:r>
      <w:r w:rsidRPr="00F05824">
        <w:rPr>
          <w:rFonts w:cs="Times New Roman"/>
          <w:i/>
        </w:rPr>
        <w:t>Palmer</w:t>
      </w:r>
      <w:r w:rsidRPr="00F05824">
        <w:rPr>
          <w:rFonts w:cs="Times New Roman"/>
        </w:rPr>
        <w:t xml:space="preserve">, I would admit the new evidence. I see no reason why the interest in “finality and order”, </w:t>
      </w:r>
      <w:r>
        <w:rPr>
          <w:rFonts w:cs="Times New Roman"/>
        </w:rPr>
        <w:t xml:space="preserve">to which my </w:t>
      </w:r>
      <w:r>
        <w:rPr>
          <w:rFonts w:cs="Times New Roman"/>
        </w:rPr>
        <w:lastRenderedPageBreak/>
        <w:t>colleague refers</w:t>
      </w:r>
      <w:r w:rsidRPr="00F05824">
        <w:rPr>
          <w:rFonts w:cs="Times New Roman"/>
        </w:rPr>
        <w:t xml:space="preserve"> numerous times, should have tied the Court of Appeal’s hands </w:t>
      </w:r>
      <w:r>
        <w:rPr>
          <w:rFonts w:cs="Times New Roman"/>
        </w:rPr>
        <w:t xml:space="preserve">in </w:t>
      </w:r>
      <w:r w:rsidRPr="00F05824">
        <w:rPr>
          <w:rFonts w:cs="Times New Roman"/>
        </w:rPr>
        <w:t>admitting new evidence that was plainly relevant to the issues it had to decide in any event. I will now turn to the separate question of the proper use of that evidence.</w:t>
      </w:r>
    </w:p>
    <w:p w14:paraId="7D15A287" w14:textId="77777777" w:rsidR="00567205" w:rsidRPr="00F05824" w:rsidRDefault="00567205" w:rsidP="00567205">
      <w:pPr>
        <w:pStyle w:val="Title2LevelTitre2Niveau"/>
        <w:jc w:val="both"/>
      </w:pPr>
      <w:r w:rsidRPr="00F05824">
        <w:t>Proper Use of the New Evidence</w:t>
      </w:r>
    </w:p>
    <w:p w14:paraId="4209188B" w14:textId="77777777" w:rsidR="00567205" w:rsidRPr="00F05824" w:rsidRDefault="00567205" w:rsidP="00567205">
      <w:pPr>
        <w:pStyle w:val="ParaNoNdepar-AltN"/>
        <w:rPr>
          <w:rFonts w:cs="Times New Roman"/>
        </w:rPr>
      </w:pPr>
      <w:r w:rsidRPr="00F05824">
        <w:rPr>
          <w:rFonts w:cs="Times New Roman"/>
        </w:rPr>
        <w:t xml:space="preserve">I agree with the Office of the Children’s Lawyer that the real concern </w:t>
      </w:r>
      <w:r>
        <w:rPr>
          <w:rFonts w:cs="Times New Roman"/>
        </w:rPr>
        <w:t>with the</w:t>
      </w:r>
      <w:r w:rsidRPr="00F05824">
        <w:rPr>
          <w:rFonts w:cs="Times New Roman"/>
        </w:rPr>
        <w:t xml:space="preserve"> new evidence in this appeal is not </w:t>
      </w:r>
      <w:r>
        <w:rPr>
          <w:rFonts w:cs="Times New Roman"/>
        </w:rPr>
        <w:t xml:space="preserve">about </w:t>
      </w:r>
      <w:r w:rsidRPr="00F05824">
        <w:rPr>
          <w:rFonts w:cs="Times New Roman"/>
        </w:rPr>
        <w:t>appellate courts having up</w:t>
      </w:r>
      <w:r w:rsidRPr="00F05824">
        <w:rPr>
          <w:rFonts w:cs="Times New Roman"/>
        </w:rPr>
        <w:noBreakHyphen/>
        <w:t>to</w:t>
      </w:r>
      <w:r w:rsidRPr="00F05824">
        <w:rPr>
          <w:rFonts w:cs="Times New Roman"/>
        </w:rPr>
        <w:noBreakHyphen/>
        <w:t xml:space="preserve">date information on current circumstances which may </w:t>
      </w:r>
      <w:r>
        <w:rPr>
          <w:rFonts w:cs="Times New Roman"/>
        </w:rPr>
        <w:t>affect</w:t>
      </w:r>
      <w:r w:rsidRPr="00F05824">
        <w:rPr>
          <w:rFonts w:cs="Times New Roman"/>
        </w:rPr>
        <w:t xml:space="preserve"> a child’s best interests. Rather, it is </w:t>
      </w:r>
      <w:r>
        <w:rPr>
          <w:rFonts w:cs="Times New Roman"/>
        </w:rPr>
        <w:t xml:space="preserve">about </w:t>
      </w:r>
      <w:r w:rsidRPr="00F05824">
        <w:rPr>
          <w:rFonts w:cs="Times New Roman"/>
        </w:rPr>
        <w:t xml:space="preserve">the </w:t>
      </w:r>
      <w:r w:rsidRPr="00F05824">
        <w:rPr>
          <w:rFonts w:cs="Times New Roman"/>
          <w:i/>
        </w:rPr>
        <w:t>use</w:t>
      </w:r>
      <w:r w:rsidRPr="00F05824">
        <w:rPr>
          <w:rFonts w:cs="Times New Roman"/>
        </w:rPr>
        <w:t xml:space="preserve"> of new evidence by appellate courts without proper deference to lower courts, </w:t>
      </w:r>
      <w:r>
        <w:rPr>
          <w:rFonts w:cs="Times New Roman"/>
        </w:rPr>
        <w:t xml:space="preserve">which is </w:t>
      </w:r>
      <w:r w:rsidRPr="00F05824">
        <w:rPr>
          <w:rFonts w:cs="Times New Roman"/>
        </w:rPr>
        <w:t xml:space="preserve">contrary to </w:t>
      </w:r>
      <w:r>
        <w:rPr>
          <w:rFonts w:cs="Times New Roman"/>
        </w:rPr>
        <w:t>the principles developed by this Court</w:t>
      </w:r>
      <w:r w:rsidRPr="00F05824">
        <w:rPr>
          <w:rFonts w:cs="Times New Roman"/>
        </w:rPr>
        <w:t xml:space="preserve"> in </w:t>
      </w:r>
      <w:r>
        <w:rPr>
          <w:rFonts w:cs="Times New Roman"/>
          <w:i/>
        </w:rPr>
        <w:t>Van de </w:t>
      </w:r>
      <w:r w:rsidRPr="00F05824">
        <w:rPr>
          <w:rFonts w:cs="Times New Roman"/>
          <w:i/>
        </w:rPr>
        <w:t>Perre</w:t>
      </w:r>
      <w:r w:rsidRPr="00345B03">
        <w:rPr>
          <w:rFonts w:cs="Times New Roman"/>
        </w:rPr>
        <w:t xml:space="preserve"> </w:t>
      </w:r>
      <w:r>
        <w:rPr>
          <w:rFonts w:cs="Times New Roman"/>
          <w:i/>
        </w:rPr>
        <w:t>v. Edwards</w:t>
      </w:r>
      <w:r>
        <w:rPr>
          <w:rFonts w:cs="Times New Roman"/>
        </w:rPr>
        <w:t>, 2001 SCC 60, [2001] 2 S.C.R. 1014</w:t>
      </w:r>
      <w:r w:rsidRPr="00F05824">
        <w:rPr>
          <w:rFonts w:cs="Times New Roman"/>
        </w:rPr>
        <w:t xml:space="preserve">. This issue should be dealt with separately from the admissibility analysis so as </w:t>
      </w:r>
      <w:r>
        <w:rPr>
          <w:rFonts w:cs="Times New Roman"/>
        </w:rPr>
        <w:t>not to discourage the</w:t>
      </w:r>
      <w:r w:rsidRPr="00F05824">
        <w:rPr>
          <w:rFonts w:cs="Times New Roman"/>
        </w:rPr>
        <w:t xml:space="preserve"> admission of new evidence about children’s current circumstances that may be invaluable to appellate courts.</w:t>
      </w:r>
    </w:p>
    <w:p w14:paraId="71FF5DF1" w14:textId="77777777" w:rsidR="00567205" w:rsidRPr="00F05824" w:rsidRDefault="00567205" w:rsidP="00567205">
      <w:pPr>
        <w:pStyle w:val="ParaNoNdepar-AltN"/>
        <w:rPr>
          <w:rFonts w:cs="Times New Roman"/>
        </w:rPr>
      </w:pPr>
      <w:r w:rsidRPr="00F05824">
        <w:rPr>
          <w:rFonts w:cs="Times New Roman"/>
        </w:rPr>
        <w:t xml:space="preserve">The parties agree that an appellate court admitting further evidence in child custody matters may use that evidence in one of two ways: (1) </w:t>
      </w:r>
      <w:r>
        <w:rPr>
          <w:rFonts w:cs="Times New Roman"/>
        </w:rPr>
        <w:t>to justify remanding</w:t>
      </w:r>
      <w:r w:rsidRPr="00F05824">
        <w:rPr>
          <w:rFonts w:cs="Times New Roman"/>
        </w:rPr>
        <w:t xml:space="preserve"> the matter to the trial court for reconsideration in light of a </w:t>
      </w:r>
      <w:r>
        <w:rPr>
          <w:rFonts w:cs="Times New Roman"/>
        </w:rPr>
        <w:t>potentially</w:t>
      </w:r>
      <w:r w:rsidRPr="00F05824">
        <w:rPr>
          <w:rFonts w:cs="Times New Roman"/>
        </w:rPr>
        <w:t xml:space="preserve"> material change in circumstances or (2) to make its own determination of the best interests of the child.</w:t>
      </w:r>
    </w:p>
    <w:p w14:paraId="6CC3D165" w14:textId="77777777" w:rsidR="00567205" w:rsidRPr="00F05824" w:rsidRDefault="00567205" w:rsidP="00567205">
      <w:pPr>
        <w:pStyle w:val="ParaNoNdepar-AltN"/>
        <w:rPr>
          <w:rFonts w:cs="Times New Roman"/>
        </w:rPr>
      </w:pPr>
      <w:r w:rsidRPr="00F05824">
        <w:rPr>
          <w:rFonts w:cs="Times New Roman"/>
        </w:rPr>
        <w:t>The mother concedes that if the new evidence is admitted, “the matter should [be] remitted to the trial judge because. . . he ha</w:t>
      </w:r>
      <w:r>
        <w:rPr>
          <w:rFonts w:cs="Times New Roman"/>
        </w:rPr>
        <w:t>[s]</w:t>
      </w:r>
      <w:r w:rsidRPr="00F05824">
        <w:rPr>
          <w:rFonts w:cs="Times New Roman"/>
        </w:rPr>
        <w:t xml:space="preserve"> ‘extensive knowledge of this family and </w:t>
      </w:r>
      <w:r>
        <w:rPr>
          <w:rFonts w:cs="Times New Roman"/>
        </w:rPr>
        <w:t xml:space="preserve">[these] </w:t>
      </w:r>
      <w:r w:rsidRPr="00F05824">
        <w:rPr>
          <w:rFonts w:cs="Times New Roman"/>
        </w:rPr>
        <w:t>child</w:t>
      </w:r>
      <w:r>
        <w:rPr>
          <w:rFonts w:cs="Times New Roman"/>
        </w:rPr>
        <w:t>[ren]</w:t>
      </w:r>
      <w:r w:rsidRPr="00F05824">
        <w:rPr>
          <w:rFonts w:cs="Times New Roman"/>
        </w:rPr>
        <w:t xml:space="preserve">’” (A.F., </w:t>
      </w:r>
      <w:r>
        <w:rPr>
          <w:rFonts w:cs="Times New Roman"/>
        </w:rPr>
        <w:t xml:space="preserve">at </w:t>
      </w:r>
      <w:r w:rsidRPr="00F05824">
        <w:rPr>
          <w:rFonts w:cs="Times New Roman"/>
        </w:rPr>
        <w:t>para. 71).</w:t>
      </w:r>
    </w:p>
    <w:p w14:paraId="2F4510CB" w14:textId="77777777" w:rsidR="00567205" w:rsidRPr="00F05824" w:rsidRDefault="00567205" w:rsidP="00567205">
      <w:pPr>
        <w:pStyle w:val="ParaNoNdepar-AltN"/>
        <w:rPr>
          <w:rFonts w:cs="Times New Roman"/>
        </w:rPr>
      </w:pPr>
      <w:r w:rsidRPr="00F05824">
        <w:rPr>
          <w:rFonts w:cs="Times New Roman"/>
        </w:rPr>
        <w:lastRenderedPageBreak/>
        <w:t xml:space="preserve">I </w:t>
      </w:r>
      <w:r>
        <w:rPr>
          <w:rFonts w:cs="Times New Roman"/>
        </w:rPr>
        <w:t>agree with</w:t>
      </w:r>
      <w:r w:rsidRPr="00F05824">
        <w:rPr>
          <w:rFonts w:cs="Times New Roman"/>
        </w:rPr>
        <w:t xml:space="preserve"> the mother’s concession. In my view, while the Court of Appeal was correct to admit th</w:t>
      </w:r>
      <w:r>
        <w:rPr>
          <w:rFonts w:cs="Times New Roman"/>
        </w:rPr>
        <w:t>is</w:t>
      </w:r>
      <w:r w:rsidRPr="00F05824">
        <w:rPr>
          <w:rFonts w:cs="Times New Roman"/>
        </w:rPr>
        <w:t xml:space="preserve"> evidence, it should not have used the new evidence regarding the father’s financial situation as a pretext to</w:t>
      </w:r>
      <w:r>
        <w:rPr>
          <w:rFonts w:cs="Times New Roman"/>
        </w:rPr>
        <w:t xml:space="preserve"> re</w:t>
      </w:r>
      <w:r w:rsidRPr="00F05824">
        <w:rPr>
          <w:rFonts w:cs="Times New Roman"/>
        </w:rPr>
        <w:t>weigh the trial judge</w:t>
      </w:r>
      <w:r>
        <w:rPr>
          <w:rFonts w:cs="Times New Roman"/>
        </w:rPr>
        <w:t>’s findings</w:t>
      </w:r>
      <w:r w:rsidRPr="00F05824">
        <w:rPr>
          <w:rFonts w:cs="Times New Roman"/>
        </w:rPr>
        <w:t xml:space="preserve"> regarding the relationship between the parties. Th</w:t>
      </w:r>
      <w:r>
        <w:rPr>
          <w:rFonts w:cs="Times New Roman"/>
        </w:rPr>
        <w:t>o</w:t>
      </w:r>
      <w:r w:rsidRPr="00F05824">
        <w:rPr>
          <w:rFonts w:cs="Times New Roman"/>
        </w:rPr>
        <w:t xml:space="preserve">se findings were </w:t>
      </w:r>
      <w:r>
        <w:rPr>
          <w:rFonts w:cs="Times New Roman"/>
        </w:rPr>
        <w:t xml:space="preserve">not </w:t>
      </w:r>
      <w:r w:rsidRPr="00F05824">
        <w:rPr>
          <w:rFonts w:cs="Times New Roman"/>
        </w:rPr>
        <w:t xml:space="preserve">affected by the new evidence and </w:t>
      </w:r>
      <w:r>
        <w:rPr>
          <w:rFonts w:cs="Times New Roman"/>
        </w:rPr>
        <w:t>were entitled to</w:t>
      </w:r>
      <w:r w:rsidRPr="00F05824">
        <w:rPr>
          <w:rFonts w:cs="Times New Roman"/>
        </w:rPr>
        <w:t xml:space="preserve"> appellate deference.</w:t>
      </w:r>
    </w:p>
    <w:p w14:paraId="07A21464" w14:textId="77777777" w:rsidR="00567205" w:rsidRPr="00F05824" w:rsidRDefault="00567205" w:rsidP="00567205">
      <w:pPr>
        <w:pStyle w:val="ParaNoNdepar-AltN"/>
        <w:rPr>
          <w:rFonts w:cs="Times New Roman"/>
        </w:rPr>
      </w:pPr>
      <w:r w:rsidRPr="00F05824">
        <w:rPr>
          <w:rFonts w:cs="Times New Roman"/>
          <w:lang w:val="en-US"/>
        </w:rPr>
        <w:t xml:space="preserve">As this Court held in </w:t>
      </w:r>
      <w:r w:rsidRPr="00F05824">
        <w:rPr>
          <w:rFonts w:cs="Times New Roman"/>
          <w:i/>
          <w:lang w:val="en-US"/>
        </w:rPr>
        <w:t>Hickey v. Hickey</w:t>
      </w:r>
      <w:r w:rsidRPr="00F05824">
        <w:rPr>
          <w:rFonts w:cs="Times New Roman"/>
          <w:lang w:val="en-US"/>
        </w:rPr>
        <w:t xml:space="preserve">, [1999] 2 S.C.R. 518, appellate courts are not entitled to overturn trial </w:t>
      </w:r>
      <w:r>
        <w:rPr>
          <w:rFonts w:cs="Times New Roman"/>
          <w:lang w:val="en-US"/>
        </w:rPr>
        <w:t xml:space="preserve">court </w:t>
      </w:r>
      <w:r w:rsidRPr="00F05824">
        <w:rPr>
          <w:rFonts w:cs="Times New Roman"/>
          <w:lang w:val="en-US"/>
        </w:rPr>
        <w:t>decisions in family law</w:t>
      </w:r>
      <w:r>
        <w:rPr>
          <w:rFonts w:cs="Times New Roman"/>
          <w:lang w:val="en-US"/>
        </w:rPr>
        <w:t xml:space="preserve"> matters</w:t>
      </w:r>
      <w:r w:rsidRPr="00F05824">
        <w:rPr>
          <w:rFonts w:cs="Times New Roman"/>
          <w:lang w:val="en-US"/>
        </w:rPr>
        <w:t xml:space="preserve"> “simply because [they] would have made a different decision or balanced the factors differently” (para. 1</w:t>
      </w:r>
      <w:r>
        <w:rPr>
          <w:rFonts w:cs="Times New Roman"/>
          <w:lang w:val="en-US"/>
        </w:rPr>
        <w:t>2</w:t>
      </w:r>
      <w:r w:rsidRPr="00F05824">
        <w:rPr>
          <w:rFonts w:cs="Times New Roman"/>
          <w:lang w:val="en-US"/>
        </w:rPr>
        <w:t>).</w:t>
      </w:r>
    </w:p>
    <w:p w14:paraId="6FF4EF3B" w14:textId="77777777" w:rsidR="00567205" w:rsidRPr="00F05824" w:rsidRDefault="00567205" w:rsidP="00567205">
      <w:pPr>
        <w:pStyle w:val="ParaNoNdepar-AltN"/>
        <w:rPr>
          <w:rFonts w:cs="Times New Roman"/>
        </w:rPr>
      </w:pPr>
      <w:r>
        <w:rPr>
          <w:rFonts w:cs="Times New Roman"/>
        </w:rPr>
        <w:t>T</w:t>
      </w:r>
      <w:r w:rsidRPr="00F05824">
        <w:rPr>
          <w:rFonts w:cs="Times New Roman"/>
        </w:rPr>
        <w:t xml:space="preserve">he Court of Appeal </w:t>
      </w:r>
      <w:r>
        <w:rPr>
          <w:rFonts w:cs="Times New Roman"/>
        </w:rPr>
        <w:t xml:space="preserve">accordingly </w:t>
      </w:r>
      <w:r w:rsidRPr="00F05824">
        <w:rPr>
          <w:rFonts w:cs="Times New Roman"/>
        </w:rPr>
        <w:t xml:space="preserve">erred in making its own determination based on the new evidence. </w:t>
      </w:r>
      <w:r>
        <w:rPr>
          <w:rFonts w:cs="Times New Roman"/>
        </w:rPr>
        <w:t>Moreover</w:t>
      </w:r>
      <w:r w:rsidRPr="00F05824">
        <w:rPr>
          <w:rFonts w:cs="Times New Roman"/>
        </w:rPr>
        <w:t xml:space="preserve">, I agree with the father that finality, </w:t>
      </w:r>
      <w:r>
        <w:rPr>
          <w:rFonts w:cs="Times New Roman"/>
        </w:rPr>
        <w:t>although</w:t>
      </w:r>
      <w:r w:rsidRPr="00F05824">
        <w:rPr>
          <w:rFonts w:cs="Times New Roman"/>
        </w:rPr>
        <w:t xml:space="preserve"> important, should not tie the hands of a reviewing court </w:t>
      </w:r>
      <w:r>
        <w:rPr>
          <w:rFonts w:cs="Times New Roman"/>
        </w:rPr>
        <w:t>so as to prevent it from crafting</w:t>
      </w:r>
      <w:r w:rsidRPr="00F05824">
        <w:rPr>
          <w:rFonts w:cs="Times New Roman"/>
        </w:rPr>
        <w:t xml:space="preserve"> a remedy t</w:t>
      </w:r>
      <w:r>
        <w:rPr>
          <w:rFonts w:cs="Times New Roman"/>
        </w:rPr>
        <w:t>hat would</w:t>
      </w:r>
      <w:r w:rsidRPr="00F05824">
        <w:rPr>
          <w:rFonts w:cs="Times New Roman"/>
        </w:rPr>
        <w:t xml:space="preserve"> advance the best interests of the child. In this case, the new evidence bears directly — and p</w:t>
      </w:r>
      <w:r>
        <w:rPr>
          <w:rFonts w:cs="Times New Roman"/>
        </w:rPr>
        <w:t>erhaps</w:t>
      </w:r>
      <w:r w:rsidRPr="00F05824">
        <w:rPr>
          <w:rFonts w:cs="Times New Roman"/>
        </w:rPr>
        <w:t xml:space="preserve"> decisively — on a matter of significance to the </w:t>
      </w:r>
      <w:r>
        <w:rPr>
          <w:rFonts w:cs="Times New Roman"/>
        </w:rPr>
        <w:t xml:space="preserve">children’s </w:t>
      </w:r>
      <w:r w:rsidRPr="00F05824">
        <w:rPr>
          <w:rFonts w:cs="Times New Roman"/>
        </w:rPr>
        <w:t xml:space="preserve">welfare. Any additional delay and expense </w:t>
      </w:r>
      <w:r>
        <w:rPr>
          <w:rFonts w:cs="Times New Roman"/>
        </w:rPr>
        <w:t>resulting from</w:t>
      </w:r>
      <w:r w:rsidRPr="00F05824">
        <w:rPr>
          <w:rFonts w:cs="Times New Roman"/>
        </w:rPr>
        <w:t xml:space="preserve"> the reconsideration of this matter </w:t>
      </w:r>
      <w:r>
        <w:rPr>
          <w:rFonts w:cs="Times New Roman"/>
        </w:rPr>
        <w:t>is</w:t>
      </w:r>
      <w:r w:rsidRPr="00F05824">
        <w:rPr>
          <w:rFonts w:cs="Times New Roman"/>
        </w:rPr>
        <w:t xml:space="preserve"> justified by the need to assess whether it is in the children’s best interests to live closer to their father in his </w:t>
      </w:r>
      <w:r w:rsidRPr="00F05824">
        <w:rPr>
          <w:rFonts w:cs="Times New Roman"/>
          <w:i/>
        </w:rPr>
        <w:t>current</w:t>
      </w:r>
      <w:r w:rsidRPr="00F05824">
        <w:rPr>
          <w:rFonts w:cs="Times New Roman"/>
        </w:rPr>
        <w:t xml:space="preserve"> circumstances. I would add that an application to vary in these circumstances would be </w:t>
      </w:r>
      <w:r>
        <w:rPr>
          <w:rFonts w:cs="Times New Roman"/>
        </w:rPr>
        <w:t>pointless</w:t>
      </w:r>
      <w:r w:rsidRPr="00F05824">
        <w:rPr>
          <w:rFonts w:cs="Times New Roman"/>
        </w:rPr>
        <w:t>, since it would likewise</w:t>
      </w:r>
      <w:r>
        <w:rPr>
          <w:rFonts w:cs="Times New Roman"/>
        </w:rPr>
        <w:t>, as was discussed above,</w:t>
      </w:r>
      <w:r w:rsidRPr="00F05824">
        <w:rPr>
          <w:rFonts w:cs="Times New Roman"/>
        </w:rPr>
        <w:t xml:space="preserve"> involve further delay and expense to both parties.</w:t>
      </w:r>
    </w:p>
    <w:p w14:paraId="228A9F66" w14:textId="77777777" w:rsidR="00567205" w:rsidRPr="00F05824" w:rsidRDefault="00567205" w:rsidP="00567205">
      <w:pPr>
        <w:pStyle w:val="Title1LevelTitre1Niveau-AltL"/>
        <w:jc w:val="both"/>
        <w:rPr>
          <w:rFonts w:cs="Times New Roman"/>
        </w:rPr>
      </w:pPr>
      <w:r w:rsidRPr="00F05824">
        <w:rPr>
          <w:rFonts w:cs="Times New Roman"/>
        </w:rPr>
        <w:t>Disposition</w:t>
      </w:r>
    </w:p>
    <w:p w14:paraId="3B11D45C" w14:textId="77777777" w:rsidR="00567205" w:rsidRPr="00F05824" w:rsidRDefault="00567205" w:rsidP="00567205">
      <w:pPr>
        <w:pStyle w:val="ParaNoNdepar-AltN"/>
        <w:rPr>
          <w:rFonts w:cs="Times New Roman"/>
        </w:rPr>
      </w:pPr>
      <w:r w:rsidRPr="00F05824">
        <w:rPr>
          <w:rFonts w:cs="Times New Roman"/>
        </w:rPr>
        <w:lastRenderedPageBreak/>
        <w:t>For the foregoing reasons, I would admit the new evidence and allow the appeal in part</w:t>
      </w:r>
      <w:r>
        <w:rPr>
          <w:rFonts w:cs="Times New Roman"/>
        </w:rPr>
        <w:t>, with costs to the father in this Court and in the court below</w:t>
      </w:r>
      <w:r w:rsidRPr="00F05824">
        <w:rPr>
          <w:rFonts w:cs="Times New Roman"/>
        </w:rPr>
        <w:t>.</w:t>
      </w:r>
    </w:p>
    <w:p w14:paraId="360CB220" w14:textId="77777777" w:rsidR="00567205" w:rsidRPr="00F05824" w:rsidRDefault="00567205" w:rsidP="00567205">
      <w:pPr>
        <w:pStyle w:val="ParaNoNdepar-AltN"/>
        <w:rPr>
          <w:rFonts w:cs="Times New Roman"/>
        </w:rPr>
      </w:pPr>
      <w:r w:rsidRPr="00F05824">
        <w:rPr>
          <w:rFonts w:cs="Times New Roman"/>
        </w:rPr>
        <w:t xml:space="preserve">In the result, I </w:t>
      </w:r>
      <w:r>
        <w:rPr>
          <w:rFonts w:cs="Times New Roman"/>
        </w:rPr>
        <w:t>would remand the appeal</w:t>
      </w:r>
      <w:r w:rsidRPr="00F05824">
        <w:rPr>
          <w:rFonts w:cs="Times New Roman"/>
        </w:rPr>
        <w:t xml:space="preserve"> to the trial court for reconsideration of the children’s best interests in light of the new evidence.</w:t>
      </w:r>
    </w:p>
    <w:p w14:paraId="24B08670" w14:textId="77777777" w:rsidR="00567205" w:rsidRDefault="00567205" w:rsidP="000F46FD">
      <w:pPr>
        <w:pStyle w:val="SCCNormalDoubleSpacing"/>
        <w:spacing w:after="480"/>
      </w:pPr>
    </w:p>
    <w:p w14:paraId="0D8F92BE" w14:textId="2EDB71E8" w:rsidR="009B57B3" w:rsidRPr="006040AD" w:rsidRDefault="009B57B3" w:rsidP="000F46FD">
      <w:pPr>
        <w:pStyle w:val="SCCNormalDoubleSpacing"/>
        <w:spacing w:after="480"/>
        <w:rPr>
          <w:i/>
        </w:rPr>
      </w:pPr>
      <w:r w:rsidRPr="001426A9">
        <w:tab/>
      </w:r>
      <w:r w:rsidR="006040AD" w:rsidRPr="009A504D">
        <w:rPr>
          <w:i/>
        </w:rPr>
        <w:t>Appeal allowed with cost</w:t>
      </w:r>
      <w:r w:rsidR="00204F2B" w:rsidRPr="009A504D">
        <w:rPr>
          <w:i/>
        </w:rPr>
        <w:t>s</w:t>
      </w:r>
      <w:r w:rsidR="006040AD" w:rsidRPr="009A504D">
        <w:rPr>
          <w:i/>
        </w:rPr>
        <w:t xml:space="preserve"> throughout, </w:t>
      </w:r>
      <w:r w:rsidR="006040AD" w:rsidRPr="009A504D">
        <w:rPr>
          <w:smallCaps/>
        </w:rPr>
        <w:t>Côté J.</w:t>
      </w:r>
      <w:r w:rsidR="006040AD" w:rsidRPr="009A504D">
        <w:t xml:space="preserve"> </w:t>
      </w:r>
      <w:r w:rsidR="0054729C" w:rsidRPr="009A504D">
        <w:rPr>
          <w:i/>
        </w:rPr>
        <w:t>dissen</w:t>
      </w:r>
      <w:r w:rsidR="006040AD" w:rsidRPr="009A504D">
        <w:rPr>
          <w:i/>
        </w:rPr>
        <w:t>ting</w:t>
      </w:r>
      <w:r w:rsidR="00582788" w:rsidRPr="009A504D">
        <w:rPr>
          <w:i/>
        </w:rPr>
        <w:t xml:space="preserve"> in part</w:t>
      </w:r>
      <w:r w:rsidR="00204F2B" w:rsidRPr="009A504D">
        <w:rPr>
          <w:i/>
        </w:rPr>
        <w:t>.</w:t>
      </w:r>
    </w:p>
    <w:p w14:paraId="27C4A250" w14:textId="77777777" w:rsidR="006F53EA" w:rsidRPr="00C4447E" w:rsidRDefault="00754FCC" w:rsidP="000F46FD">
      <w:pPr>
        <w:pStyle w:val="SCCNormalDoubleSpacing"/>
        <w:spacing w:after="480"/>
        <w:rPr>
          <w:i/>
        </w:rPr>
      </w:pPr>
      <w:r>
        <w:tab/>
      </w:r>
      <w:r w:rsidRPr="00C4447E">
        <w:rPr>
          <w:i/>
        </w:rPr>
        <w:t>Solicitor</w:t>
      </w:r>
      <w:r w:rsidR="009F5B8A" w:rsidRPr="00C4447E">
        <w:rPr>
          <w:i/>
        </w:rPr>
        <w:t>s for the appellant: Power Law, Ottawa.</w:t>
      </w:r>
    </w:p>
    <w:p w14:paraId="62A9459C" w14:textId="77777777" w:rsidR="006F53EA" w:rsidRPr="00C4447E" w:rsidRDefault="00754FCC" w:rsidP="000F46FD">
      <w:pPr>
        <w:pStyle w:val="SCCNormalDoubleSpacing"/>
        <w:spacing w:after="480"/>
        <w:rPr>
          <w:i/>
        </w:rPr>
      </w:pPr>
      <w:r w:rsidRPr="00C4447E">
        <w:tab/>
      </w:r>
      <w:r w:rsidRPr="00C4447E">
        <w:rPr>
          <w:i/>
        </w:rPr>
        <w:t>Solicitors</w:t>
      </w:r>
      <w:r w:rsidR="009F5B8A" w:rsidRPr="00C4447E">
        <w:rPr>
          <w:i/>
        </w:rPr>
        <w:t xml:space="preserve"> for the respondent: Georgialee Lang &amp; Associates, Vancouver.</w:t>
      </w:r>
    </w:p>
    <w:p w14:paraId="45050C80" w14:textId="19F41454" w:rsidR="006F53EA" w:rsidRPr="00C4447E" w:rsidRDefault="00754FCC" w:rsidP="000F46FD">
      <w:pPr>
        <w:pStyle w:val="SCCNormalDoubleSpacing"/>
        <w:spacing w:after="480"/>
        <w:rPr>
          <w:i/>
        </w:rPr>
      </w:pPr>
      <w:r w:rsidRPr="00C4447E">
        <w:tab/>
      </w:r>
      <w:r w:rsidRPr="00C4447E">
        <w:rPr>
          <w:i/>
        </w:rPr>
        <w:t>Solicitor</w:t>
      </w:r>
      <w:r w:rsidR="009F5B8A" w:rsidRPr="00C4447E">
        <w:rPr>
          <w:i/>
        </w:rPr>
        <w:t xml:space="preserve"> for the intervener</w:t>
      </w:r>
      <w:r w:rsidR="003732AE" w:rsidRPr="00C4447E">
        <w:rPr>
          <w:i/>
        </w:rPr>
        <w:t xml:space="preserve"> the</w:t>
      </w:r>
      <w:r w:rsidR="009F5B8A" w:rsidRPr="00C4447E">
        <w:rPr>
          <w:i/>
        </w:rPr>
        <w:t xml:space="preserve"> Office of the Children</w:t>
      </w:r>
      <w:r w:rsidR="00C11747" w:rsidRPr="00C4447E">
        <w:rPr>
          <w:i/>
        </w:rPr>
        <w:t>’</w:t>
      </w:r>
      <w:r w:rsidR="009F5B8A" w:rsidRPr="00C4447E">
        <w:rPr>
          <w:i/>
        </w:rPr>
        <w:t>s Lawyer: Office of the Children</w:t>
      </w:r>
      <w:r w:rsidR="00C11747" w:rsidRPr="00C4447E">
        <w:rPr>
          <w:i/>
        </w:rPr>
        <w:t>’</w:t>
      </w:r>
      <w:r w:rsidR="009F5B8A" w:rsidRPr="00C4447E">
        <w:rPr>
          <w:i/>
        </w:rPr>
        <w:t>s Lawyer, Toronto.</w:t>
      </w:r>
    </w:p>
    <w:p w14:paraId="43CF0524" w14:textId="2FC775B9" w:rsidR="009B57B3" w:rsidRPr="001426A9" w:rsidRDefault="00754FCC" w:rsidP="000F46FD">
      <w:pPr>
        <w:pStyle w:val="SCCNormalDoubleSpacing"/>
        <w:spacing w:after="480"/>
      </w:pPr>
      <w:r w:rsidRPr="00C4447E">
        <w:tab/>
      </w:r>
      <w:r w:rsidRPr="00C4447E">
        <w:rPr>
          <w:i/>
        </w:rPr>
        <w:t>Solicitors</w:t>
      </w:r>
      <w:r w:rsidR="009F5B8A" w:rsidRPr="00C4447E">
        <w:rPr>
          <w:i/>
        </w:rPr>
        <w:t xml:space="preserve"> for the intervener</w:t>
      </w:r>
      <w:r w:rsidR="003732AE" w:rsidRPr="00C4447E">
        <w:rPr>
          <w:i/>
        </w:rPr>
        <w:t>s</w:t>
      </w:r>
      <w:r w:rsidR="009F5B8A" w:rsidRPr="00C4447E">
        <w:rPr>
          <w:i/>
        </w:rPr>
        <w:t xml:space="preserve"> </w:t>
      </w:r>
      <w:r w:rsidR="005F68CB" w:rsidRPr="00C4447E">
        <w:rPr>
          <w:i/>
        </w:rPr>
        <w:t xml:space="preserve">the </w:t>
      </w:r>
      <w:r w:rsidR="004155C7" w:rsidRPr="004155C7">
        <w:rPr>
          <w:i/>
        </w:rPr>
        <w:t>West Coast Legal Education and Action Fund Association</w:t>
      </w:r>
      <w:r w:rsidR="005F68CB" w:rsidRPr="00C4447E">
        <w:rPr>
          <w:i/>
        </w:rPr>
        <w:t xml:space="preserve"> and the Rise Women’s Legal Centre</w:t>
      </w:r>
      <w:r w:rsidR="009F5B8A" w:rsidRPr="00C4447E">
        <w:rPr>
          <w:i/>
        </w:rPr>
        <w:t>: Hunter Litigation Chambers, Vancouver</w:t>
      </w:r>
      <w:r w:rsidR="00E262BF" w:rsidRPr="00C4447E">
        <w:rPr>
          <w:i/>
        </w:rPr>
        <w:t>;</w:t>
      </w:r>
      <w:r w:rsidR="004155C7">
        <w:rPr>
          <w:i/>
        </w:rPr>
        <w:t xml:space="preserve"> </w:t>
      </w:r>
      <w:r w:rsidR="004155C7" w:rsidRPr="004155C7">
        <w:rPr>
          <w:i/>
        </w:rPr>
        <w:t>West Coast Legal Education and Action Fund Association</w:t>
      </w:r>
      <w:r w:rsidR="00D129F1" w:rsidRPr="00C4447E">
        <w:rPr>
          <w:i/>
        </w:rPr>
        <w:t>, Vancouver; Rise Women’s Legal Centre, Vancouver</w:t>
      </w:r>
      <w:r w:rsidR="009F5B8A" w:rsidRPr="00C4447E">
        <w:rPr>
          <w:i/>
        </w:rPr>
        <w:t>.</w:t>
      </w:r>
    </w:p>
    <w:sectPr w:rsidR="009B57B3" w:rsidRPr="001426A9" w:rsidSect="000648CC">
      <w:headerReference w:type="even" r:id="rId11"/>
      <w:headerReference w:type="default" r:id="rId12"/>
      <w:footerReference w:type="even" r:id="rId13"/>
      <w:footerReference w:type="default" r:id="rId14"/>
      <w:headerReference w:type="first" r:id="rId15"/>
      <w:footerReference w:type="first" r:id="rId16"/>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479AB1" w14:textId="77777777" w:rsidR="005E1800" w:rsidRDefault="005E1800">
      <w:r>
        <w:separator/>
      </w:r>
    </w:p>
  </w:endnote>
  <w:endnote w:type="continuationSeparator" w:id="0">
    <w:p w14:paraId="409ECDE3" w14:textId="77777777" w:rsidR="005E1800" w:rsidRDefault="005E1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AF6D4" w14:textId="77777777" w:rsidR="006518E1" w:rsidRDefault="006518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CBE2C" w14:textId="77777777" w:rsidR="006518E1" w:rsidRDefault="006518E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1BACE" w14:textId="77777777" w:rsidR="006518E1" w:rsidRDefault="006518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19E8AC" w14:textId="77777777" w:rsidR="005E1800" w:rsidRDefault="005E1800">
      <w:r>
        <w:separator/>
      </w:r>
    </w:p>
  </w:footnote>
  <w:footnote w:type="continuationSeparator" w:id="0">
    <w:p w14:paraId="2CE7002F" w14:textId="77777777" w:rsidR="005E1800" w:rsidRDefault="005E18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A1442" w14:textId="77777777" w:rsidR="006518E1" w:rsidRDefault="006518E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5C9D4" w14:textId="77777777" w:rsidR="005E1800" w:rsidRPr="009A504D" w:rsidRDefault="005E1800" w:rsidP="009A504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26A39" w14:textId="77777777" w:rsidR="006518E1" w:rsidRDefault="006518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2A6B6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BA7D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BC4DB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2A69C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2484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B033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2A59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667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326A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42DA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FAF3CA3"/>
    <w:multiLevelType w:val="hybridMultilevel"/>
    <w:tmpl w:val="D53E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104370"/>
    <w:multiLevelType w:val="hybridMultilevel"/>
    <w:tmpl w:val="52D4119A"/>
    <w:lvl w:ilvl="0" w:tplc="1B0E6F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5D6422"/>
    <w:multiLevelType w:val="hybridMultilevel"/>
    <w:tmpl w:val="82687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86820AC"/>
    <w:multiLevelType w:val="multilevel"/>
    <w:tmpl w:val="5260AC30"/>
    <w:lvl w:ilvl="0">
      <w:start w:val="1"/>
      <w:numFmt w:val="bullet"/>
      <w:lvlText w:val=""/>
      <w:lvlJc w:val="left"/>
      <w:pPr>
        <w:tabs>
          <w:tab w:val="num" w:pos="1152"/>
        </w:tabs>
        <w:ind w:left="0" w:firstLine="0"/>
      </w:pPr>
      <w:rPr>
        <w:rFonts w:ascii="Symbol" w:hAnsi="Symbol" w:hint="default"/>
        <w:sz w:val="24"/>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3A269BE"/>
    <w:multiLevelType w:val="hybridMultilevel"/>
    <w:tmpl w:val="424E113C"/>
    <w:lvl w:ilvl="0" w:tplc="846E002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18" w15:restartNumberingAfterBreak="0">
    <w:nsid w:val="4AC64FE2"/>
    <w:multiLevelType w:val="hybridMultilevel"/>
    <w:tmpl w:val="0B76EEBC"/>
    <w:lvl w:ilvl="0" w:tplc="434646E8">
      <w:start w:val="1"/>
      <w:numFmt w:val="decimal"/>
      <w:lvlText w:val="[%1]"/>
      <w:lvlJc w:val="left"/>
      <w:pPr>
        <w:ind w:left="36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20"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EB07E15"/>
    <w:multiLevelType w:val="multilevel"/>
    <w:tmpl w:val="DF2A0B3A"/>
    <w:lvl w:ilvl="0">
      <w:start w:val="1"/>
      <w:numFmt w:val="bullet"/>
      <w:lvlText w:val=""/>
      <w:lvlJc w:val="left"/>
      <w:pPr>
        <w:tabs>
          <w:tab w:val="num" w:pos="1152"/>
        </w:tabs>
        <w:ind w:left="0" w:firstLine="0"/>
      </w:pPr>
      <w:rPr>
        <w:rFonts w:ascii="Symbol" w:hAnsi="Symbol" w:hint="default"/>
        <w:b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108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4283EE8"/>
    <w:multiLevelType w:val="multilevel"/>
    <w:tmpl w:val="3E7EDE4A"/>
    <w:lvl w:ilvl="0">
      <w:start w:val="1"/>
      <w:numFmt w:val="decimal"/>
      <w:pStyle w:val="ParaNoNdepar-AltN"/>
      <w:lvlText w:val="[%1]"/>
      <w:lvlJc w:val="left"/>
      <w:pPr>
        <w:tabs>
          <w:tab w:val="num" w:pos="1152"/>
        </w:tabs>
        <w:ind w:left="0" w:firstLine="0"/>
      </w:pPr>
      <w:rPr>
        <w:rFonts w:ascii="Times New Roman" w:hAnsi="Times New Roman" w:hint="default"/>
        <w:sz w:val="24"/>
      </w:rPr>
    </w:lvl>
    <w:lvl w:ilvl="1">
      <w:start w:val="1"/>
      <w:numFmt w:val="lowerRoman"/>
      <w:lvlText w:val="(%2)"/>
      <w:lvlJc w:val="left"/>
      <w:pPr>
        <w:ind w:left="720" w:hanging="360"/>
      </w:pPr>
      <w:rPr>
        <w:rFonts w:ascii="Times New Roman" w:eastAsiaTheme="minorEastAsia" w:hAnsi="Times New Roman" w:cs="Times New Roman"/>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CAC0CAC"/>
    <w:multiLevelType w:val="hybridMultilevel"/>
    <w:tmpl w:val="AC84D8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BCF2946"/>
    <w:multiLevelType w:val="hybridMultilevel"/>
    <w:tmpl w:val="B14E8F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78574EA"/>
    <w:multiLevelType w:val="hybridMultilevel"/>
    <w:tmpl w:val="F54C0FDE"/>
    <w:lvl w:ilvl="0" w:tplc="0BBC8BE4">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2"/>
  </w:num>
  <w:num w:numId="2">
    <w:abstractNumId w:val="24"/>
  </w:num>
  <w:num w:numId="3">
    <w:abstractNumId w:val="11"/>
  </w:num>
  <w:num w:numId="4">
    <w:abstractNumId w:val="10"/>
  </w:num>
  <w:num w:numId="5">
    <w:abstractNumId w:val="19"/>
  </w:num>
  <w:num w:numId="6">
    <w:abstractNumId w:val="20"/>
  </w:num>
  <w:num w:numId="7">
    <w:abstractNumId w:val="17"/>
  </w:num>
  <w:num w:numId="8">
    <w:abstractNumId w:val="17"/>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23"/>
  </w:num>
  <w:num w:numId="10">
    <w:abstractNumId w:val="13"/>
  </w:num>
  <w:num w:numId="11">
    <w:abstractNumId w:val="21"/>
  </w:num>
  <w:num w:numId="12">
    <w:abstractNumId w:val="15"/>
  </w:num>
  <w:num w:numId="13">
    <w:abstractNumId w:val="14"/>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6"/>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 w:numId="30">
    <w:abstractNumId w:val="26"/>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bordersDoNotSurroundHeader/>
  <w:bordersDoNotSurroundFooter/>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4FE"/>
    <w:rsid w:val="00000ED4"/>
    <w:rsid w:val="000178C6"/>
    <w:rsid w:val="0002172F"/>
    <w:rsid w:val="00025198"/>
    <w:rsid w:val="000578A3"/>
    <w:rsid w:val="000578DF"/>
    <w:rsid w:val="000648CC"/>
    <w:rsid w:val="00076619"/>
    <w:rsid w:val="000B004E"/>
    <w:rsid w:val="000C59B8"/>
    <w:rsid w:val="000C6AF0"/>
    <w:rsid w:val="000F06C0"/>
    <w:rsid w:val="000F45BF"/>
    <w:rsid w:val="000F46FD"/>
    <w:rsid w:val="00103455"/>
    <w:rsid w:val="00104F33"/>
    <w:rsid w:val="00111DE2"/>
    <w:rsid w:val="00116B38"/>
    <w:rsid w:val="00135406"/>
    <w:rsid w:val="00135972"/>
    <w:rsid w:val="001426A9"/>
    <w:rsid w:val="00154D7C"/>
    <w:rsid w:val="001570B0"/>
    <w:rsid w:val="0015752C"/>
    <w:rsid w:val="00157737"/>
    <w:rsid w:val="0016135B"/>
    <w:rsid w:val="00165277"/>
    <w:rsid w:val="00170592"/>
    <w:rsid w:val="001772FE"/>
    <w:rsid w:val="00186351"/>
    <w:rsid w:val="00190497"/>
    <w:rsid w:val="00195D83"/>
    <w:rsid w:val="001A00C1"/>
    <w:rsid w:val="001B33E0"/>
    <w:rsid w:val="001B4573"/>
    <w:rsid w:val="001C779F"/>
    <w:rsid w:val="001D2AC1"/>
    <w:rsid w:val="001D4E88"/>
    <w:rsid w:val="00204F2B"/>
    <w:rsid w:val="002076D0"/>
    <w:rsid w:val="00214A4B"/>
    <w:rsid w:val="00220FC2"/>
    <w:rsid w:val="002222F4"/>
    <w:rsid w:val="00224FC0"/>
    <w:rsid w:val="00225EA4"/>
    <w:rsid w:val="00226EAF"/>
    <w:rsid w:val="00231F3A"/>
    <w:rsid w:val="00234199"/>
    <w:rsid w:val="002406EE"/>
    <w:rsid w:val="00243EC8"/>
    <w:rsid w:val="00270D93"/>
    <w:rsid w:val="00274410"/>
    <w:rsid w:val="002745CC"/>
    <w:rsid w:val="00293124"/>
    <w:rsid w:val="002946B9"/>
    <w:rsid w:val="002B7924"/>
    <w:rsid w:val="002C31BE"/>
    <w:rsid w:val="002C395C"/>
    <w:rsid w:val="002D28C3"/>
    <w:rsid w:val="002D39A4"/>
    <w:rsid w:val="002E6705"/>
    <w:rsid w:val="00301D08"/>
    <w:rsid w:val="0030329A"/>
    <w:rsid w:val="0031086F"/>
    <w:rsid w:val="0031414C"/>
    <w:rsid w:val="00314E01"/>
    <w:rsid w:val="0032089D"/>
    <w:rsid w:val="003310DE"/>
    <w:rsid w:val="003323B0"/>
    <w:rsid w:val="0035169A"/>
    <w:rsid w:val="0035259D"/>
    <w:rsid w:val="00356027"/>
    <w:rsid w:val="00361E03"/>
    <w:rsid w:val="00364B18"/>
    <w:rsid w:val="003732AE"/>
    <w:rsid w:val="00384002"/>
    <w:rsid w:val="003855B0"/>
    <w:rsid w:val="003A125D"/>
    <w:rsid w:val="003A4C70"/>
    <w:rsid w:val="003B215F"/>
    <w:rsid w:val="003C685A"/>
    <w:rsid w:val="003C799C"/>
    <w:rsid w:val="003C7A2B"/>
    <w:rsid w:val="003D0399"/>
    <w:rsid w:val="003E1C71"/>
    <w:rsid w:val="003F327B"/>
    <w:rsid w:val="003F6FBE"/>
    <w:rsid w:val="00401962"/>
    <w:rsid w:val="00406166"/>
    <w:rsid w:val="0040704B"/>
    <w:rsid w:val="004072D3"/>
    <w:rsid w:val="00410A55"/>
    <w:rsid w:val="00411300"/>
    <w:rsid w:val="00415417"/>
    <w:rsid w:val="004155C7"/>
    <w:rsid w:val="00426659"/>
    <w:rsid w:val="00442DE4"/>
    <w:rsid w:val="00450352"/>
    <w:rsid w:val="00454BDB"/>
    <w:rsid w:val="0045564F"/>
    <w:rsid w:val="00464800"/>
    <w:rsid w:val="00465132"/>
    <w:rsid w:val="00480C90"/>
    <w:rsid w:val="0048396F"/>
    <w:rsid w:val="00493C18"/>
    <w:rsid w:val="004A600C"/>
    <w:rsid w:val="004A6118"/>
    <w:rsid w:val="004A6941"/>
    <w:rsid w:val="004C478D"/>
    <w:rsid w:val="004C7D51"/>
    <w:rsid w:val="004E2C26"/>
    <w:rsid w:val="004F36FF"/>
    <w:rsid w:val="0050454B"/>
    <w:rsid w:val="005125A8"/>
    <w:rsid w:val="00521AE8"/>
    <w:rsid w:val="00527180"/>
    <w:rsid w:val="005317AD"/>
    <w:rsid w:val="0054201E"/>
    <w:rsid w:val="00545413"/>
    <w:rsid w:val="0054729C"/>
    <w:rsid w:val="00555291"/>
    <w:rsid w:val="00566AD1"/>
    <w:rsid w:val="00567205"/>
    <w:rsid w:val="00582788"/>
    <w:rsid w:val="00583EDE"/>
    <w:rsid w:val="005900C9"/>
    <w:rsid w:val="005942EA"/>
    <w:rsid w:val="005A2BDF"/>
    <w:rsid w:val="005A6079"/>
    <w:rsid w:val="005D0247"/>
    <w:rsid w:val="005E1800"/>
    <w:rsid w:val="005E4414"/>
    <w:rsid w:val="005E4698"/>
    <w:rsid w:val="005F68CB"/>
    <w:rsid w:val="006040AD"/>
    <w:rsid w:val="00610539"/>
    <w:rsid w:val="00613969"/>
    <w:rsid w:val="00621254"/>
    <w:rsid w:val="00625320"/>
    <w:rsid w:val="00625C35"/>
    <w:rsid w:val="00627E99"/>
    <w:rsid w:val="00631659"/>
    <w:rsid w:val="00637FC6"/>
    <w:rsid w:val="006518E1"/>
    <w:rsid w:val="00656313"/>
    <w:rsid w:val="006565F4"/>
    <w:rsid w:val="00660EBD"/>
    <w:rsid w:val="00684CA8"/>
    <w:rsid w:val="00684EEA"/>
    <w:rsid w:val="0069689B"/>
    <w:rsid w:val="006A1551"/>
    <w:rsid w:val="006A6E9C"/>
    <w:rsid w:val="006B5FC9"/>
    <w:rsid w:val="006B5FF5"/>
    <w:rsid w:val="006E2085"/>
    <w:rsid w:val="006F30AF"/>
    <w:rsid w:val="006F3C5E"/>
    <w:rsid w:val="006F53EA"/>
    <w:rsid w:val="00701759"/>
    <w:rsid w:val="00705C15"/>
    <w:rsid w:val="0071600E"/>
    <w:rsid w:val="007208D1"/>
    <w:rsid w:val="00747288"/>
    <w:rsid w:val="00747DD3"/>
    <w:rsid w:val="007549C8"/>
    <w:rsid w:val="00754A0B"/>
    <w:rsid w:val="00754B93"/>
    <w:rsid w:val="00754FCC"/>
    <w:rsid w:val="00766D14"/>
    <w:rsid w:val="00767A0F"/>
    <w:rsid w:val="007A05F6"/>
    <w:rsid w:val="007B6F4A"/>
    <w:rsid w:val="007C6E86"/>
    <w:rsid w:val="007E1C47"/>
    <w:rsid w:val="007E337A"/>
    <w:rsid w:val="007E5C70"/>
    <w:rsid w:val="007F2FF5"/>
    <w:rsid w:val="007F3F08"/>
    <w:rsid w:val="00804CC6"/>
    <w:rsid w:val="00817190"/>
    <w:rsid w:val="00817B35"/>
    <w:rsid w:val="00820EE5"/>
    <w:rsid w:val="008260E2"/>
    <w:rsid w:val="008322BD"/>
    <w:rsid w:val="00833E0A"/>
    <w:rsid w:val="00834F73"/>
    <w:rsid w:val="00851998"/>
    <w:rsid w:val="00864CF8"/>
    <w:rsid w:val="00872819"/>
    <w:rsid w:val="00872FD1"/>
    <w:rsid w:val="00874914"/>
    <w:rsid w:val="0088521D"/>
    <w:rsid w:val="00891422"/>
    <w:rsid w:val="00892E1A"/>
    <w:rsid w:val="008A3F29"/>
    <w:rsid w:val="008B660A"/>
    <w:rsid w:val="008C01DA"/>
    <w:rsid w:val="008C6A02"/>
    <w:rsid w:val="008E0F22"/>
    <w:rsid w:val="008F78E9"/>
    <w:rsid w:val="00911989"/>
    <w:rsid w:val="009179F9"/>
    <w:rsid w:val="00933E5E"/>
    <w:rsid w:val="00935218"/>
    <w:rsid w:val="009403F3"/>
    <w:rsid w:val="009505D6"/>
    <w:rsid w:val="009555B7"/>
    <w:rsid w:val="009567AA"/>
    <w:rsid w:val="00967374"/>
    <w:rsid w:val="009A343A"/>
    <w:rsid w:val="009A504D"/>
    <w:rsid w:val="009B2F23"/>
    <w:rsid w:val="009B57B3"/>
    <w:rsid w:val="009C5B92"/>
    <w:rsid w:val="009D2920"/>
    <w:rsid w:val="009D5AEB"/>
    <w:rsid w:val="009F0E33"/>
    <w:rsid w:val="009F5B8A"/>
    <w:rsid w:val="00A030CE"/>
    <w:rsid w:val="00A149DF"/>
    <w:rsid w:val="00A1755C"/>
    <w:rsid w:val="00A21B90"/>
    <w:rsid w:val="00A41805"/>
    <w:rsid w:val="00A42DCD"/>
    <w:rsid w:val="00A52AFB"/>
    <w:rsid w:val="00A548CB"/>
    <w:rsid w:val="00A5521C"/>
    <w:rsid w:val="00A622F8"/>
    <w:rsid w:val="00A643E7"/>
    <w:rsid w:val="00A73C38"/>
    <w:rsid w:val="00AA6540"/>
    <w:rsid w:val="00AB670D"/>
    <w:rsid w:val="00AB6C04"/>
    <w:rsid w:val="00AC5B78"/>
    <w:rsid w:val="00AE4535"/>
    <w:rsid w:val="00AF03C5"/>
    <w:rsid w:val="00B000D8"/>
    <w:rsid w:val="00B00F75"/>
    <w:rsid w:val="00B0444E"/>
    <w:rsid w:val="00B145B6"/>
    <w:rsid w:val="00B24351"/>
    <w:rsid w:val="00B279EB"/>
    <w:rsid w:val="00B50C81"/>
    <w:rsid w:val="00B557F8"/>
    <w:rsid w:val="00B67A8C"/>
    <w:rsid w:val="00B75881"/>
    <w:rsid w:val="00B815FC"/>
    <w:rsid w:val="00B93FBC"/>
    <w:rsid w:val="00BA7DA0"/>
    <w:rsid w:val="00BB2EE4"/>
    <w:rsid w:val="00BC2108"/>
    <w:rsid w:val="00BD0E9E"/>
    <w:rsid w:val="00BD1BEC"/>
    <w:rsid w:val="00BD32FF"/>
    <w:rsid w:val="00BE3756"/>
    <w:rsid w:val="00BE55AE"/>
    <w:rsid w:val="00C02092"/>
    <w:rsid w:val="00C06278"/>
    <w:rsid w:val="00C11747"/>
    <w:rsid w:val="00C24D91"/>
    <w:rsid w:val="00C4035E"/>
    <w:rsid w:val="00C4447E"/>
    <w:rsid w:val="00C53F14"/>
    <w:rsid w:val="00C600CF"/>
    <w:rsid w:val="00C6084F"/>
    <w:rsid w:val="00C62A66"/>
    <w:rsid w:val="00C71458"/>
    <w:rsid w:val="00C77613"/>
    <w:rsid w:val="00C80A1D"/>
    <w:rsid w:val="00C828E7"/>
    <w:rsid w:val="00C86719"/>
    <w:rsid w:val="00C8798A"/>
    <w:rsid w:val="00C921DD"/>
    <w:rsid w:val="00CA0A07"/>
    <w:rsid w:val="00CA45F7"/>
    <w:rsid w:val="00CA6391"/>
    <w:rsid w:val="00CC34BD"/>
    <w:rsid w:val="00CC72D0"/>
    <w:rsid w:val="00CD5255"/>
    <w:rsid w:val="00CE161A"/>
    <w:rsid w:val="00CE3171"/>
    <w:rsid w:val="00CF1601"/>
    <w:rsid w:val="00CF5AFD"/>
    <w:rsid w:val="00D0172F"/>
    <w:rsid w:val="00D068A7"/>
    <w:rsid w:val="00D129F1"/>
    <w:rsid w:val="00D17476"/>
    <w:rsid w:val="00D32086"/>
    <w:rsid w:val="00D37A3F"/>
    <w:rsid w:val="00D4431D"/>
    <w:rsid w:val="00D4667A"/>
    <w:rsid w:val="00D63A1C"/>
    <w:rsid w:val="00D7516F"/>
    <w:rsid w:val="00D8579F"/>
    <w:rsid w:val="00D95F8E"/>
    <w:rsid w:val="00D97A46"/>
    <w:rsid w:val="00DA0590"/>
    <w:rsid w:val="00DA517F"/>
    <w:rsid w:val="00DB7BEA"/>
    <w:rsid w:val="00DC1739"/>
    <w:rsid w:val="00DC1788"/>
    <w:rsid w:val="00DE319C"/>
    <w:rsid w:val="00DE373C"/>
    <w:rsid w:val="00DF0B37"/>
    <w:rsid w:val="00DF0CA8"/>
    <w:rsid w:val="00DF2B48"/>
    <w:rsid w:val="00DF49A7"/>
    <w:rsid w:val="00E0326C"/>
    <w:rsid w:val="00E07EE2"/>
    <w:rsid w:val="00E07FD1"/>
    <w:rsid w:val="00E176D8"/>
    <w:rsid w:val="00E24573"/>
    <w:rsid w:val="00E25E1E"/>
    <w:rsid w:val="00E262BF"/>
    <w:rsid w:val="00E27EE7"/>
    <w:rsid w:val="00E35404"/>
    <w:rsid w:val="00E45109"/>
    <w:rsid w:val="00E47B7A"/>
    <w:rsid w:val="00E56A44"/>
    <w:rsid w:val="00E60269"/>
    <w:rsid w:val="00E6156B"/>
    <w:rsid w:val="00E63CA4"/>
    <w:rsid w:val="00E72C6F"/>
    <w:rsid w:val="00E77932"/>
    <w:rsid w:val="00E97830"/>
    <w:rsid w:val="00EB679C"/>
    <w:rsid w:val="00ED64C9"/>
    <w:rsid w:val="00EE5644"/>
    <w:rsid w:val="00EE643C"/>
    <w:rsid w:val="00EF0683"/>
    <w:rsid w:val="00EF44EC"/>
    <w:rsid w:val="00EF69D2"/>
    <w:rsid w:val="00EF766E"/>
    <w:rsid w:val="00F0070C"/>
    <w:rsid w:val="00F00EB7"/>
    <w:rsid w:val="00F10371"/>
    <w:rsid w:val="00F139DB"/>
    <w:rsid w:val="00F20F18"/>
    <w:rsid w:val="00F36AB6"/>
    <w:rsid w:val="00F37A09"/>
    <w:rsid w:val="00F409CE"/>
    <w:rsid w:val="00F4379D"/>
    <w:rsid w:val="00F5019C"/>
    <w:rsid w:val="00F50D2D"/>
    <w:rsid w:val="00F5326E"/>
    <w:rsid w:val="00F56C8B"/>
    <w:rsid w:val="00F66810"/>
    <w:rsid w:val="00F82753"/>
    <w:rsid w:val="00F846D9"/>
    <w:rsid w:val="00F84DF4"/>
    <w:rsid w:val="00F85C97"/>
    <w:rsid w:val="00FB37D2"/>
    <w:rsid w:val="00FC4EFB"/>
    <w:rsid w:val="00FD068D"/>
    <w:rsid w:val="00FD4F28"/>
    <w:rsid w:val="00FE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01B04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67205"/>
    <w:pPr>
      <w:keepNext/>
      <w:keepLines/>
      <w:spacing w:before="200"/>
      <w:outlineLvl w:val="2"/>
    </w:pPr>
    <w:rPr>
      <w:rFonts w:asciiTheme="majorHAnsi" w:eastAsiaTheme="majorEastAsia" w:hAnsiTheme="majorHAnsi" w:cstheme="majorBidi"/>
      <w:b/>
      <w:bCs/>
      <w:color w:val="4F81BD" w:themeColor="accent1"/>
      <w:szCs w:val="22"/>
      <w:lang w:val="en-US" w:eastAsia="en-US" w:bidi="en-US"/>
    </w:rPr>
  </w:style>
  <w:style w:type="paragraph" w:styleId="Heading4">
    <w:name w:val="heading 4"/>
    <w:basedOn w:val="Normal"/>
    <w:next w:val="Normal"/>
    <w:link w:val="Heading4Char"/>
    <w:uiPriority w:val="9"/>
    <w:semiHidden/>
    <w:unhideWhenUsed/>
    <w:qFormat/>
    <w:rsid w:val="00567205"/>
    <w:pPr>
      <w:keepNext/>
      <w:keepLines/>
      <w:spacing w:before="200"/>
      <w:outlineLvl w:val="3"/>
    </w:pPr>
    <w:rPr>
      <w:rFonts w:asciiTheme="majorHAnsi" w:eastAsiaTheme="majorEastAsia" w:hAnsiTheme="majorHAnsi" w:cstheme="majorBidi"/>
      <w:b/>
      <w:bCs/>
      <w:i/>
      <w:iCs/>
      <w:color w:val="4F81BD" w:themeColor="accent1"/>
      <w:szCs w:val="22"/>
      <w:lang w:val="en-US" w:eastAsia="en-US" w:bidi="en-US"/>
    </w:rPr>
  </w:style>
  <w:style w:type="paragraph" w:styleId="Heading5">
    <w:name w:val="heading 5"/>
    <w:basedOn w:val="Normal"/>
    <w:next w:val="Normal"/>
    <w:link w:val="Heading5Char"/>
    <w:uiPriority w:val="9"/>
    <w:semiHidden/>
    <w:unhideWhenUsed/>
    <w:qFormat/>
    <w:rsid w:val="00567205"/>
    <w:pPr>
      <w:keepNext/>
      <w:keepLines/>
      <w:spacing w:before="200"/>
      <w:outlineLvl w:val="4"/>
    </w:pPr>
    <w:rPr>
      <w:rFonts w:asciiTheme="majorHAnsi" w:eastAsiaTheme="majorEastAsia" w:hAnsiTheme="majorHAnsi" w:cstheme="majorBidi"/>
      <w:color w:val="243F60" w:themeColor="accent1" w:themeShade="7F"/>
      <w:szCs w:val="22"/>
      <w:lang w:val="en-US" w:eastAsia="en-US" w:bidi="en-US"/>
    </w:rPr>
  </w:style>
  <w:style w:type="paragraph" w:styleId="Heading6">
    <w:name w:val="heading 6"/>
    <w:basedOn w:val="Normal"/>
    <w:next w:val="Normal"/>
    <w:link w:val="Heading6Char"/>
    <w:uiPriority w:val="9"/>
    <w:semiHidden/>
    <w:unhideWhenUsed/>
    <w:qFormat/>
    <w:rsid w:val="00567205"/>
    <w:pPr>
      <w:keepNext/>
      <w:keepLines/>
      <w:spacing w:before="200"/>
      <w:outlineLvl w:val="5"/>
    </w:pPr>
    <w:rPr>
      <w:rFonts w:asciiTheme="majorHAnsi" w:eastAsiaTheme="majorEastAsia" w:hAnsiTheme="majorHAnsi" w:cstheme="majorBidi"/>
      <w:i/>
      <w:iCs/>
      <w:color w:val="243F60" w:themeColor="accent1" w:themeShade="7F"/>
      <w:szCs w:val="22"/>
      <w:lang w:val="en-US" w:eastAsia="en-US" w:bidi="en-US"/>
    </w:rPr>
  </w:style>
  <w:style w:type="paragraph" w:styleId="Heading7">
    <w:name w:val="heading 7"/>
    <w:basedOn w:val="Normal"/>
    <w:next w:val="Normal"/>
    <w:link w:val="Heading7Char"/>
    <w:uiPriority w:val="9"/>
    <w:semiHidden/>
    <w:unhideWhenUsed/>
    <w:qFormat/>
    <w:rsid w:val="00567205"/>
    <w:pPr>
      <w:keepNext/>
      <w:keepLines/>
      <w:spacing w:before="200"/>
      <w:outlineLvl w:val="6"/>
    </w:pPr>
    <w:rPr>
      <w:rFonts w:asciiTheme="majorHAnsi" w:eastAsiaTheme="majorEastAsia" w:hAnsiTheme="majorHAnsi" w:cstheme="majorBidi"/>
      <w:i/>
      <w:iCs/>
      <w:color w:val="404040" w:themeColor="text1" w:themeTint="BF"/>
      <w:szCs w:val="22"/>
      <w:lang w:val="en-US" w:eastAsia="en-US" w:bidi="en-US"/>
    </w:rPr>
  </w:style>
  <w:style w:type="paragraph" w:styleId="Heading8">
    <w:name w:val="heading 8"/>
    <w:basedOn w:val="Normal"/>
    <w:next w:val="Normal"/>
    <w:link w:val="Heading8Char"/>
    <w:uiPriority w:val="9"/>
    <w:semiHidden/>
    <w:unhideWhenUsed/>
    <w:qFormat/>
    <w:rsid w:val="00567205"/>
    <w:pPr>
      <w:keepNext/>
      <w:keepLines/>
      <w:spacing w:before="200"/>
      <w:outlineLvl w:val="7"/>
    </w:pPr>
    <w:rPr>
      <w:rFonts w:asciiTheme="majorHAnsi" w:eastAsiaTheme="majorEastAsia" w:hAnsiTheme="majorHAnsi" w:cstheme="majorBidi"/>
      <w:color w:val="4F81BD" w:themeColor="accent1"/>
      <w:sz w:val="20"/>
      <w:lang w:val="en-US" w:eastAsia="en-US" w:bidi="en-US"/>
    </w:rPr>
  </w:style>
  <w:style w:type="paragraph" w:styleId="Heading9">
    <w:name w:val="heading 9"/>
    <w:basedOn w:val="Normal"/>
    <w:next w:val="Normal"/>
    <w:link w:val="Heading9Char"/>
    <w:uiPriority w:val="9"/>
    <w:semiHidden/>
    <w:unhideWhenUsed/>
    <w:qFormat/>
    <w:rsid w:val="00567205"/>
    <w:pPr>
      <w:keepNext/>
      <w:keepLines/>
      <w:spacing w:before="200"/>
      <w:outlineLvl w:val="8"/>
    </w:pPr>
    <w:rPr>
      <w:rFonts w:asciiTheme="majorHAnsi" w:eastAsiaTheme="majorEastAsia" w:hAnsiTheme="majorHAnsi" w:cstheme="majorBidi"/>
      <w:i/>
      <w:iCs/>
      <w:color w:val="404040" w:themeColor="text1" w:themeTint="BF"/>
      <w:sz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table" w:styleId="TableGrid">
    <w:name w:val="Table Grid"/>
    <w:basedOn w:val="TableNormal"/>
    <w:uiPriority w:val="59"/>
    <w:rsid w:val="000004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072D3"/>
    <w:rPr>
      <w:sz w:val="16"/>
      <w:szCs w:val="16"/>
    </w:rPr>
  </w:style>
  <w:style w:type="paragraph" w:styleId="CommentText">
    <w:name w:val="annotation text"/>
    <w:basedOn w:val="Normal"/>
    <w:link w:val="CommentTextChar"/>
    <w:uiPriority w:val="99"/>
    <w:unhideWhenUsed/>
    <w:rsid w:val="004072D3"/>
    <w:rPr>
      <w:sz w:val="20"/>
    </w:rPr>
  </w:style>
  <w:style w:type="character" w:customStyle="1" w:styleId="CommentTextChar">
    <w:name w:val="Comment Text Char"/>
    <w:basedOn w:val="DefaultParagraphFont"/>
    <w:link w:val="CommentText"/>
    <w:uiPriority w:val="99"/>
    <w:rsid w:val="004072D3"/>
  </w:style>
  <w:style w:type="paragraph" w:styleId="CommentSubject">
    <w:name w:val="annotation subject"/>
    <w:basedOn w:val="CommentText"/>
    <w:next w:val="CommentText"/>
    <w:link w:val="CommentSubjectChar"/>
    <w:uiPriority w:val="99"/>
    <w:semiHidden/>
    <w:unhideWhenUsed/>
    <w:rsid w:val="004072D3"/>
    <w:rPr>
      <w:b/>
      <w:bCs/>
    </w:rPr>
  </w:style>
  <w:style w:type="character" w:customStyle="1" w:styleId="CommentSubjectChar">
    <w:name w:val="Comment Subject Char"/>
    <w:basedOn w:val="CommentTextChar"/>
    <w:link w:val="CommentSubject"/>
    <w:uiPriority w:val="99"/>
    <w:semiHidden/>
    <w:rsid w:val="004072D3"/>
    <w:rPr>
      <w:b/>
      <w:bCs/>
    </w:rPr>
  </w:style>
  <w:style w:type="character" w:styleId="Hyperlink">
    <w:name w:val="Hyperlink"/>
    <w:basedOn w:val="DefaultParagraphFont"/>
    <w:uiPriority w:val="99"/>
    <w:unhideWhenUsed/>
    <w:rsid w:val="00190497"/>
    <w:rPr>
      <w:color w:val="660000"/>
      <w:u w:val="none"/>
    </w:rPr>
  </w:style>
  <w:style w:type="character" w:styleId="FollowedHyperlink">
    <w:name w:val="FollowedHyperlink"/>
    <w:basedOn w:val="DefaultParagraphFont"/>
    <w:uiPriority w:val="99"/>
    <w:semiHidden/>
    <w:unhideWhenUsed/>
    <w:rsid w:val="00ED64C9"/>
    <w:rPr>
      <w:color w:val="800080" w:themeColor="followedHyperlink"/>
      <w:u w:val="single"/>
    </w:rPr>
  </w:style>
  <w:style w:type="character" w:customStyle="1" w:styleId="reflex2-link">
    <w:name w:val="reflex2-link"/>
    <w:basedOn w:val="DefaultParagraphFont"/>
    <w:rsid w:val="00DF0B37"/>
  </w:style>
  <w:style w:type="paragraph" w:customStyle="1" w:styleId="ParaNoNdepar-AltN">
    <w:name w:val="Para. No. / Nº de par. - Alt N"/>
    <w:link w:val="ParaNoNdepar-AltNChar"/>
    <w:qFormat/>
    <w:rsid w:val="00DF0B37"/>
    <w:pPr>
      <w:numPr>
        <w:numId w:val="1"/>
      </w:numPr>
      <w:spacing w:before="480" w:after="480" w:line="480" w:lineRule="auto"/>
      <w:jc w:val="both"/>
    </w:pPr>
    <w:rPr>
      <w:rFonts w:eastAsiaTheme="minorEastAsia" w:cstheme="minorBidi"/>
      <w:sz w:val="24"/>
      <w:szCs w:val="22"/>
      <w:lang w:eastAsia="en-US"/>
    </w:rPr>
  </w:style>
  <w:style w:type="character" w:customStyle="1" w:styleId="ParaNoNdepar-AltNChar">
    <w:name w:val="Para. No. / Nº de par. - Alt N Char"/>
    <w:basedOn w:val="DefaultParagraphFont"/>
    <w:link w:val="ParaNoNdepar-AltN"/>
    <w:locked/>
    <w:rsid w:val="00DF0B37"/>
    <w:rPr>
      <w:rFonts w:eastAsiaTheme="minorEastAsia" w:cstheme="minorBidi"/>
      <w:sz w:val="24"/>
      <w:szCs w:val="22"/>
      <w:lang w:eastAsia="en-US"/>
    </w:rPr>
  </w:style>
  <w:style w:type="character" w:customStyle="1" w:styleId="Heading3Char">
    <w:name w:val="Heading 3 Char"/>
    <w:basedOn w:val="DefaultParagraphFont"/>
    <w:link w:val="Heading3"/>
    <w:uiPriority w:val="9"/>
    <w:semiHidden/>
    <w:rsid w:val="00567205"/>
    <w:rPr>
      <w:rFonts w:asciiTheme="majorHAnsi" w:eastAsiaTheme="majorEastAsia" w:hAnsiTheme="majorHAnsi" w:cstheme="majorBidi"/>
      <w:b/>
      <w:bCs/>
      <w:color w:val="4F81BD" w:themeColor="accent1"/>
      <w:sz w:val="24"/>
      <w:szCs w:val="22"/>
      <w:lang w:val="en-US" w:eastAsia="en-US" w:bidi="en-US"/>
    </w:rPr>
  </w:style>
  <w:style w:type="character" w:customStyle="1" w:styleId="Heading4Char">
    <w:name w:val="Heading 4 Char"/>
    <w:basedOn w:val="DefaultParagraphFont"/>
    <w:link w:val="Heading4"/>
    <w:uiPriority w:val="9"/>
    <w:semiHidden/>
    <w:rsid w:val="00567205"/>
    <w:rPr>
      <w:rFonts w:asciiTheme="majorHAnsi" w:eastAsiaTheme="majorEastAsia" w:hAnsiTheme="majorHAnsi" w:cstheme="majorBidi"/>
      <w:b/>
      <w:bCs/>
      <w:i/>
      <w:iCs/>
      <w:color w:val="4F81BD" w:themeColor="accent1"/>
      <w:sz w:val="24"/>
      <w:szCs w:val="22"/>
      <w:lang w:val="en-US" w:eastAsia="en-US" w:bidi="en-US"/>
    </w:rPr>
  </w:style>
  <w:style w:type="character" w:customStyle="1" w:styleId="Heading5Char">
    <w:name w:val="Heading 5 Char"/>
    <w:basedOn w:val="DefaultParagraphFont"/>
    <w:link w:val="Heading5"/>
    <w:uiPriority w:val="9"/>
    <w:semiHidden/>
    <w:rsid w:val="00567205"/>
    <w:rPr>
      <w:rFonts w:asciiTheme="majorHAnsi" w:eastAsiaTheme="majorEastAsia" w:hAnsiTheme="majorHAnsi" w:cstheme="majorBidi"/>
      <w:color w:val="243F60" w:themeColor="accent1" w:themeShade="7F"/>
      <w:sz w:val="24"/>
      <w:szCs w:val="22"/>
      <w:lang w:val="en-US" w:eastAsia="en-US" w:bidi="en-US"/>
    </w:rPr>
  </w:style>
  <w:style w:type="character" w:customStyle="1" w:styleId="Heading6Char">
    <w:name w:val="Heading 6 Char"/>
    <w:basedOn w:val="DefaultParagraphFont"/>
    <w:link w:val="Heading6"/>
    <w:uiPriority w:val="9"/>
    <w:semiHidden/>
    <w:rsid w:val="00567205"/>
    <w:rPr>
      <w:rFonts w:asciiTheme="majorHAnsi" w:eastAsiaTheme="majorEastAsia" w:hAnsiTheme="majorHAnsi" w:cstheme="majorBidi"/>
      <w:i/>
      <w:iCs/>
      <w:color w:val="243F60" w:themeColor="accent1" w:themeShade="7F"/>
      <w:sz w:val="24"/>
      <w:szCs w:val="22"/>
      <w:lang w:val="en-US" w:eastAsia="en-US" w:bidi="en-US"/>
    </w:rPr>
  </w:style>
  <w:style w:type="character" w:customStyle="1" w:styleId="Heading7Char">
    <w:name w:val="Heading 7 Char"/>
    <w:basedOn w:val="DefaultParagraphFont"/>
    <w:link w:val="Heading7"/>
    <w:uiPriority w:val="9"/>
    <w:semiHidden/>
    <w:rsid w:val="00567205"/>
    <w:rPr>
      <w:rFonts w:asciiTheme="majorHAnsi" w:eastAsiaTheme="majorEastAsia" w:hAnsiTheme="majorHAnsi" w:cstheme="majorBidi"/>
      <w:i/>
      <w:iCs/>
      <w:color w:val="404040" w:themeColor="text1" w:themeTint="BF"/>
      <w:sz w:val="24"/>
      <w:szCs w:val="22"/>
      <w:lang w:val="en-US" w:eastAsia="en-US" w:bidi="en-US"/>
    </w:rPr>
  </w:style>
  <w:style w:type="character" w:customStyle="1" w:styleId="Heading8Char">
    <w:name w:val="Heading 8 Char"/>
    <w:basedOn w:val="DefaultParagraphFont"/>
    <w:link w:val="Heading8"/>
    <w:uiPriority w:val="9"/>
    <w:semiHidden/>
    <w:rsid w:val="00567205"/>
    <w:rPr>
      <w:rFonts w:asciiTheme="majorHAnsi" w:eastAsiaTheme="majorEastAsia" w:hAnsiTheme="majorHAnsi" w:cstheme="majorBidi"/>
      <w:color w:val="4F81BD" w:themeColor="accent1"/>
      <w:lang w:val="en-US" w:eastAsia="en-US" w:bidi="en-US"/>
    </w:rPr>
  </w:style>
  <w:style w:type="character" w:customStyle="1" w:styleId="Heading9Char">
    <w:name w:val="Heading 9 Char"/>
    <w:basedOn w:val="DefaultParagraphFont"/>
    <w:link w:val="Heading9"/>
    <w:uiPriority w:val="9"/>
    <w:semiHidden/>
    <w:rsid w:val="00567205"/>
    <w:rPr>
      <w:rFonts w:asciiTheme="majorHAnsi" w:eastAsiaTheme="majorEastAsia" w:hAnsiTheme="majorHAnsi" w:cstheme="majorBidi"/>
      <w:i/>
      <w:iCs/>
      <w:color w:val="404040" w:themeColor="text1" w:themeTint="BF"/>
      <w:lang w:val="en-US" w:eastAsia="en-US" w:bidi="en-US"/>
    </w:rPr>
  </w:style>
  <w:style w:type="paragraph" w:customStyle="1" w:styleId="SCCLsocOtherPartyRoleSeparator">
    <w:name w:val="SCC.Lsoc.OtherPartyRoleSeparator"/>
    <w:basedOn w:val="Normal"/>
    <w:next w:val="Normal"/>
    <w:link w:val="SCCLsocOtherPartyRoleSeparatorChar"/>
    <w:rsid w:val="00567205"/>
    <w:pPr>
      <w:spacing w:after="480"/>
    </w:pPr>
    <w:rPr>
      <w:rFonts w:eastAsiaTheme="minorHAnsi" w:cstheme="minorBidi"/>
      <w:szCs w:val="22"/>
      <w:lang w:val="en-US" w:eastAsia="en-US" w:bidi="en-US"/>
    </w:rPr>
  </w:style>
  <w:style w:type="paragraph" w:customStyle="1" w:styleId="SCCCoram">
    <w:name w:val="SCC.Coram"/>
    <w:basedOn w:val="Normal"/>
    <w:next w:val="Normal"/>
    <w:link w:val="SCCCoramChar"/>
    <w:rsid w:val="00567205"/>
    <w:pPr>
      <w:pBdr>
        <w:bottom w:val="single" w:sz="4" w:space="1" w:color="auto"/>
      </w:pBdr>
    </w:pPr>
    <w:rPr>
      <w:rFonts w:eastAsiaTheme="minorHAnsi" w:cstheme="minorBidi"/>
      <w:szCs w:val="22"/>
      <w:lang w:val="en-US" w:eastAsia="en-US" w:bidi="en-US"/>
    </w:rPr>
  </w:style>
  <w:style w:type="character" w:customStyle="1" w:styleId="SCCCoramChar">
    <w:name w:val="SCC.Coram Char"/>
    <w:basedOn w:val="DefaultParagraphFont"/>
    <w:link w:val="SCCCoram"/>
    <w:rsid w:val="00567205"/>
    <w:rPr>
      <w:rFonts w:eastAsiaTheme="minorHAnsi" w:cstheme="minorBidi"/>
      <w:sz w:val="24"/>
      <w:szCs w:val="22"/>
      <w:lang w:val="en-US" w:eastAsia="en-US" w:bidi="en-US"/>
    </w:rPr>
  </w:style>
  <w:style w:type="character" w:customStyle="1" w:styleId="SCCLsocOtherPartyRoleSeparatorChar">
    <w:name w:val="SCC.Lsoc.OtherPartyRoleSeparator Char"/>
    <w:basedOn w:val="DefaultParagraphFont"/>
    <w:link w:val="SCCLsocOtherPartyRoleSeparator"/>
    <w:rsid w:val="00567205"/>
    <w:rPr>
      <w:rFonts w:eastAsiaTheme="minorHAnsi" w:cstheme="minorBidi"/>
      <w:sz w:val="24"/>
      <w:szCs w:val="22"/>
      <w:lang w:val="en-US" w:eastAsia="en-US" w:bidi="en-US"/>
    </w:rPr>
  </w:style>
  <w:style w:type="character" w:customStyle="1" w:styleId="SCCBanSummaryChar">
    <w:name w:val="SCC.BanSummary Char"/>
    <w:basedOn w:val="DefaultParagraphFont"/>
    <w:link w:val="SCCBanSummary"/>
    <w:rsid w:val="00567205"/>
    <w:rPr>
      <w:b/>
      <w:sz w:val="24"/>
    </w:rPr>
  </w:style>
  <w:style w:type="paragraph" w:customStyle="1" w:styleId="Citation-AltC">
    <w:name w:val="Citation - Alt C"/>
    <w:uiPriority w:val="2"/>
    <w:qFormat/>
    <w:rsid w:val="00567205"/>
    <w:pPr>
      <w:spacing w:after="720"/>
      <w:ind w:left="1166"/>
      <w:contextualSpacing/>
      <w:jc w:val="both"/>
    </w:pPr>
    <w:rPr>
      <w:sz w:val="24"/>
    </w:rPr>
  </w:style>
  <w:style w:type="paragraph" w:customStyle="1" w:styleId="ContinueParaSuitedupar-AltP">
    <w:name w:val="Continue Para. / Suite du par. - Alt P"/>
    <w:next w:val="ParaNoNdepar-AltN"/>
    <w:uiPriority w:val="1"/>
    <w:qFormat/>
    <w:rsid w:val="00567205"/>
    <w:pPr>
      <w:spacing w:before="480" w:after="480" w:line="480" w:lineRule="auto"/>
      <w:jc w:val="both"/>
    </w:pPr>
    <w:rPr>
      <w:rFonts w:eastAsiaTheme="minorHAnsi" w:cstheme="minorBidi"/>
      <w:sz w:val="24"/>
      <w:szCs w:val="22"/>
      <w:lang w:eastAsia="en-US"/>
    </w:rPr>
  </w:style>
  <w:style w:type="paragraph" w:customStyle="1" w:styleId="JudgeJuge">
    <w:name w:val="Judge / Juge"/>
    <w:link w:val="JudgeJugeChar"/>
    <w:uiPriority w:val="3"/>
    <w:rsid w:val="00567205"/>
    <w:pPr>
      <w:tabs>
        <w:tab w:val="left" w:pos="1260"/>
      </w:tabs>
      <w:spacing w:after="480" w:line="480" w:lineRule="auto"/>
    </w:pPr>
    <w:rPr>
      <w:smallCaps/>
      <w:sz w:val="24"/>
    </w:rPr>
  </w:style>
  <w:style w:type="paragraph" w:customStyle="1" w:styleId="Title1LevelTitre1Niveau-AltL">
    <w:name w:val="Title 1 Level / Titre 1 Niveau - Alt L"/>
    <w:next w:val="ParaNoNdepar-AltN"/>
    <w:uiPriority w:val="4"/>
    <w:qFormat/>
    <w:rsid w:val="00567205"/>
    <w:pPr>
      <w:numPr>
        <w:numId w:val="7"/>
      </w:numPr>
      <w:spacing w:before="480" w:after="720"/>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567205"/>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567205"/>
    <w:pPr>
      <w:numPr>
        <w:ilvl w:val="2"/>
      </w:numPr>
      <w:outlineLvl w:val="2"/>
    </w:pPr>
  </w:style>
  <w:style w:type="paragraph" w:customStyle="1" w:styleId="Title4LevelTitre4Niveau">
    <w:name w:val="Title 4 Level / Titre 4 Niveau"/>
    <w:basedOn w:val="Title3LevelTitre3Niveau"/>
    <w:next w:val="ParaNoNdepar-AltN"/>
    <w:uiPriority w:val="4"/>
    <w:qFormat/>
    <w:rsid w:val="00567205"/>
    <w:pPr>
      <w:numPr>
        <w:ilvl w:val="3"/>
      </w:numPr>
      <w:tabs>
        <w:tab w:val="num" w:pos="900"/>
      </w:tabs>
      <w:outlineLvl w:val="3"/>
    </w:pPr>
    <w:rPr>
      <w:i/>
      <w:u w:val="none"/>
    </w:rPr>
  </w:style>
  <w:style w:type="paragraph" w:customStyle="1" w:styleId="Title5LevelTitre5Niveau">
    <w:name w:val="Title 5 Level / Titre 5 Niveau"/>
    <w:basedOn w:val="Title1LevelTitre1Niveau-AltL"/>
    <w:next w:val="ParaNoNdepar-AltN"/>
    <w:uiPriority w:val="4"/>
    <w:qFormat/>
    <w:rsid w:val="00567205"/>
    <w:pPr>
      <w:numPr>
        <w:ilvl w:val="4"/>
      </w:numPr>
      <w:tabs>
        <w:tab w:val="clear" w:pos="1728"/>
        <w:tab w:val="num" w:pos="1440"/>
      </w:tabs>
      <w:outlineLvl w:val="4"/>
    </w:pPr>
  </w:style>
  <w:style w:type="paragraph" w:styleId="TOC1">
    <w:name w:val="toc 1"/>
    <w:basedOn w:val="Normal"/>
    <w:next w:val="Normal"/>
    <w:autoRedefine/>
    <w:uiPriority w:val="39"/>
    <w:unhideWhenUsed/>
    <w:rsid w:val="00567205"/>
    <w:pPr>
      <w:tabs>
        <w:tab w:val="left" w:pos="360"/>
        <w:tab w:val="right" w:leader="dot" w:pos="8270"/>
      </w:tabs>
      <w:spacing w:before="120" w:after="120"/>
    </w:pPr>
    <w:rPr>
      <w:rFonts w:eastAsiaTheme="minorHAnsi" w:cstheme="minorBidi"/>
      <w:noProof/>
      <w:u w:val="single"/>
      <w:lang w:val="en-US" w:eastAsia="en-US" w:bidi="en-US"/>
    </w:rPr>
  </w:style>
  <w:style w:type="paragraph" w:styleId="TOC2">
    <w:name w:val="toc 2"/>
    <w:basedOn w:val="Normal"/>
    <w:next w:val="Normal"/>
    <w:autoRedefine/>
    <w:uiPriority w:val="39"/>
    <w:unhideWhenUsed/>
    <w:rsid w:val="00567205"/>
    <w:pPr>
      <w:tabs>
        <w:tab w:val="left" w:pos="720"/>
        <w:tab w:val="right" w:leader="dot" w:pos="8270"/>
      </w:tabs>
      <w:spacing w:before="120" w:after="120"/>
      <w:ind w:left="432" w:hanging="432"/>
    </w:pPr>
    <w:rPr>
      <w:rFonts w:eastAsiaTheme="minorHAnsi" w:cstheme="minorBidi"/>
      <w:i/>
      <w:szCs w:val="22"/>
      <w:lang w:val="en-US" w:eastAsia="en-US" w:bidi="en-US"/>
    </w:rPr>
  </w:style>
  <w:style w:type="paragraph" w:styleId="TOC3">
    <w:name w:val="toc 3"/>
    <w:basedOn w:val="Normal"/>
    <w:next w:val="Normal"/>
    <w:autoRedefine/>
    <w:uiPriority w:val="39"/>
    <w:unhideWhenUsed/>
    <w:rsid w:val="00567205"/>
    <w:pPr>
      <w:tabs>
        <w:tab w:val="left" w:pos="1080"/>
        <w:tab w:val="right" w:leader="dot" w:pos="8270"/>
      </w:tabs>
      <w:spacing w:before="120" w:after="120"/>
      <w:ind w:left="864" w:hanging="432"/>
    </w:pPr>
    <w:rPr>
      <w:rFonts w:eastAsiaTheme="minorHAnsi" w:cstheme="minorBidi"/>
      <w:noProof/>
      <w:u w:val="single"/>
      <w:lang w:val="en-US" w:eastAsia="en-US" w:bidi="en-US"/>
    </w:rPr>
  </w:style>
  <w:style w:type="paragraph" w:styleId="TOC4">
    <w:name w:val="toc 4"/>
    <w:basedOn w:val="Normal"/>
    <w:next w:val="Normal"/>
    <w:autoRedefine/>
    <w:uiPriority w:val="39"/>
    <w:unhideWhenUsed/>
    <w:rsid w:val="00567205"/>
    <w:pPr>
      <w:tabs>
        <w:tab w:val="left" w:pos="900"/>
        <w:tab w:val="right" w:leader="dot" w:pos="8270"/>
      </w:tabs>
      <w:spacing w:before="120" w:after="120"/>
      <w:ind w:left="900" w:hanging="450"/>
    </w:pPr>
    <w:rPr>
      <w:rFonts w:eastAsiaTheme="minorEastAsia" w:cstheme="minorBidi"/>
      <w:i/>
      <w:noProof/>
      <w:szCs w:val="22"/>
      <w:lang w:val="en-US" w:eastAsia="en-US" w:bidi="en-US"/>
    </w:rPr>
  </w:style>
  <w:style w:type="paragraph" w:styleId="TOC5">
    <w:name w:val="toc 5"/>
    <w:basedOn w:val="Normal"/>
    <w:next w:val="Normal"/>
    <w:autoRedefine/>
    <w:uiPriority w:val="39"/>
    <w:unhideWhenUsed/>
    <w:rsid w:val="00567205"/>
    <w:pPr>
      <w:tabs>
        <w:tab w:val="left" w:pos="1440"/>
        <w:tab w:val="right" w:leader="dot" w:pos="8270"/>
      </w:tabs>
      <w:spacing w:before="120" w:after="120"/>
      <w:ind w:left="1454" w:hanging="547"/>
    </w:pPr>
    <w:rPr>
      <w:rFonts w:eastAsiaTheme="minorHAnsi" w:cstheme="minorBidi"/>
      <w:noProof/>
      <w:u w:val="single"/>
      <w:lang w:val="en-US" w:eastAsia="en-US" w:bidi="en-US"/>
    </w:rPr>
  </w:style>
  <w:style w:type="paragraph" w:styleId="TOC6">
    <w:name w:val="toc 6"/>
    <w:basedOn w:val="Normal"/>
    <w:next w:val="Normal"/>
    <w:autoRedefine/>
    <w:uiPriority w:val="39"/>
    <w:unhideWhenUsed/>
    <w:rsid w:val="00567205"/>
    <w:pPr>
      <w:tabs>
        <w:tab w:val="left" w:pos="2160"/>
        <w:tab w:val="right" w:leader="dot" w:pos="8270"/>
      </w:tabs>
      <w:spacing w:after="100"/>
      <w:ind w:left="1800"/>
    </w:pPr>
    <w:rPr>
      <w:rFonts w:eastAsiaTheme="minorHAnsi" w:cstheme="minorBidi"/>
      <w:noProof/>
      <w:lang w:val="en-US" w:eastAsia="en-US" w:bidi="en-US"/>
    </w:rPr>
  </w:style>
  <w:style w:type="table" w:customStyle="1" w:styleId="TableGrid1">
    <w:name w:val="Table Grid1"/>
    <w:basedOn w:val="TableNormal"/>
    <w:uiPriority w:val="59"/>
    <w:rsid w:val="00567205"/>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567205"/>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567205"/>
    <w:pPr>
      <w:numPr>
        <w:ilvl w:val="5"/>
      </w:numPr>
      <w:jc w:val="both"/>
      <w:outlineLvl w:val="5"/>
    </w:pPr>
    <w:rPr>
      <w:i/>
      <w:u w:val="none"/>
    </w:rPr>
  </w:style>
  <w:style w:type="paragraph" w:styleId="FootnoteText">
    <w:name w:val="footnote text"/>
    <w:basedOn w:val="Normal"/>
    <w:link w:val="FootnoteTextChar"/>
    <w:uiPriority w:val="99"/>
    <w:unhideWhenUsed/>
    <w:rsid w:val="00567205"/>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567205"/>
  </w:style>
  <w:style w:type="character" w:styleId="FootnoteReference">
    <w:name w:val="footnote reference"/>
    <w:basedOn w:val="DefaultParagraphFont"/>
    <w:uiPriority w:val="99"/>
    <w:semiHidden/>
    <w:unhideWhenUsed/>
    <w:rsid w:val="00567205"/>
    <w:rPr>
      <w:vertAlign w:val="superscript"/>
    </w:rPr>
  </w:style>
  <w:style w:type="paragraph" w:styleId="ListParagraph">
    <w:name w:val="List Paragraph"/>
    <w:basedOn w:val="Normal"/>
    <w:uiPriority w:val="34"/>
    <w:rsid w:val="00567205"/>
    <w:pPr>
      <w:ind w:left="720"/>
      <w:contextualSpacing/>
    </w:pPr>
    <w:rPr>
      <w:rFonts w:eastAsiaTheme="minorHAnsi" w:cstheme="minorBidi"/>
      <w:szCs w:val="22"/>
      <w:lang w:val="en-US" w:eastAsia="en-US" w:bidi="en-US"/>
    </w:rPr>
  </w:style>
  <w:style w:type="paragraph" w:customStyle="1" w:styleId="CITATION">
    <w:name w:val="CITATION"/>
    <w:basedOn w:val="Normal"/>
    <w:next w:val="Normal"/>
    <w:qFormat/>
    <w:rsid w:val="00567205"/>
    <w:pPr>
      <w:ind w:left="720" w:right="720"/>
      <w:jc w:val="both"/>
    </w:pPr>
    <w:rPr>
      <w:rFonts w:eastAsiaTheme="minorHAnsi" w:cstheme="minorBidi"/>
      <w:lang w:val="en-US" w:eastAsia="en-US" w:bidi="en-US"/>
    </w:rPr>
  </w:style>
  <w:style w:type="paragraph" w:customStyle="1" w:styleId="Citation0">
    <w:name w:val="Citation"/>
    <w:basedOn w:val="Normal"/>
    <w:next w:val="Normal"/>
    <w:uiPriority w:val="2"/>
    <w:qFormat/>
    <w:rsid w:val="00567205"/>
    <w:pPr>
      <w:ind w:left="1080" w:right="1080"/>
      <w:jc w:val="both"/>
    </w:pPr>
    <w:rPr>
      <w:rFonts w:eastAsiaTheme="minorHAnsi" w:cstheme="minorBidi"/>
      <w:sz w:val="22"/>
      <w:szCs w:val="22"/>
      <w:lang w:val="en-GB" w:eastAsia="en-US" w:bidi="en-US"/>
    </w:rPr>
  </w:style>
  <w:style w:type="paragraph" w:styleId="Revision">
    <w:name w:val="Revision"/>
    <w:hidden/>
    <w:uiPriority w:val="99"/>
    <w:semiHidden/>
    <w:rsid w:val="00567205"/>
    <w:rPr>
      <w:rFonts w:eastAsiaTheme="minorHAnsi" w:cstheme="minorBidi"/>
      <w:sz w:val="24"/>
      <w:szCs w:val="22"/>
      <w:lang w:val="en-US" w:eastAsia="en-US" w:bidi="en-US"/>
    </w:rPr>
  </w:style>
  <w:style w:type="paragraph" w:customStyle="1" w:styleId="legislativequote">
    <w:name w:val="legislativequote"/>
    <w:basedOn w:val="Normal"/>
    <w:rsid w:val="00567205"/>
    <w:pPr>
      <w:spacing w:before="100" w:beforeAutospacing="1" w:after="100" w:afterAutospacing="1"/>
    </w:pPr>
    <w:rPr>
      <w:rFonts w:eastAsiaTheme="minorHAnsi" w:cstheme="minorBidi"/>
      <w:szCs w:val="22"/>
      <w:lang w:val="en-US" w:eastAsia="en-US" w:bidi="en-US"/>
    </w:rPr>
  </w:style>
  <w:style w:type="character" w:styleId="Emphasis">
    <w:name w:val="Emphasis"/>
    <w:basedOn w:val="DefaultParagraphFont"/>
    <w:uiPriority w:val="20"/>
    <w:rsid w:val="00567205"/>
    <w:rPr>
      <w:i/>
      <w:iCs/>
    </w:rPr>
  </w:style>
  <w:style w:type="character" w:customStyle="1" w:styleId="JudgeJugeChar">
    <w:name w:val="Judge / Juge Char"/>
    <w:basedOn w:val="DefaultParagraphFont"/>
    <w:link w:val="JudgeJuge"/>
    <w:uiPriority w:val="3"/>
    <w:rsid w:val="00567205"/>
    <w:rPr>
      <w:smallCaps/>
      <w:sz w:val="24"/>
    </w:rPr>
  </w:style>
  <w:style w:type="paragraph" w:styleId="NoSpacing">
    <w:name w:val="No Spacing"/>
    <w:uiPriority w:val="1"/>
    <w:rsid w:val="00567205"/>
    <w:rPr>
      <w:rFonts w:eastAsiaTheme="minorHAnsi" w:cstheme="minorBidi"/>
      <w:sz w:val="24"/>
      <w:szCs w:val="22"/>
      <w:lang w:val="en-US" w:eastAsia="en-US" w:bidi="en-US"/>
    </w:rPr>
  </w:style>
  <w:style w:type="paragraph" w:styleId="TOCHeading">
    <w:name w:val="TOC Heading"/>
    <w:basedOn w:val="Heading1"/>
    <w:next w:val="Normal"/>
    <w:uiPriority w:val="39"/>
    <w:semiHidden/>
    <w:unhideWhenUsed/>
    <w:qFormat/>
    <w:rsid w:val="00567205"/>
    <w:pPr>
      <w:spacing w:before="480" w:after="0"/>
      <w:ind w:left="0" w:firstLine="0"/>
      <w:outlineLvl w:val="9"/>
    </w:pPr>
    <w:rPr>
      <w:lang w:val="en-US" w:eastAsia="en-US" w:bidi="en-US"/>
    </w:rPr>
  </w:style>
  <w:style w:type="paragraph" w:styleId="Caption">
    <w:name w:val="caption"/>
    <w:basedOn w:val="Normal"/>
    <w:next w:val="Normal"/>
    <w:uiPriority w:val="35"/>
    <w:semiHidden/>
    <w:unhideWhenUsed/>
    <w:qFormat/>
    <w:rsid w:val="00567205"/>
    <w:rPr>
      <w:rFonts w:eastAsiaTheme="minorHAnsi" w:cstheme="minorBidi"/>
      <w:b/>
      <w:bCs/>
      <w:color w:val="4F81BD" w:themeColor="accent1"/>
      <w:sz w:val="18"/>
      <w:szCs w:val="18"/>
      <w:lang w:val="en-US" w:eastAsia="en-US" w:bidi="en-US"/>
    </w:rPr>
  </w:style>
  <w:style w:type="paragraph" w:styleId="Title">
    <w:name w:val="Title"/>
    <w:basedOn w:val="Normal"/>
    <w:next w:val="Normal"/>
    <w:link w:val="TitleChar"/>
    <w:uiPriority w:val="10"/>
    <w:rsid w:val="0056720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bidi="en-US"/>
    </w:rPr>
  </w:style>
  <w:style w:type="character" w:customStyle="1" w:styleId="TitleChar">
    <w:name w:val="Title Char"/>
    <w:basedOn w:val="DefaultParagraphFont"/>
    <w:link w:val="Title"/>
    <w:uiPriority w:val="10"/>
    <w:rsid w:val="00567205"/>
    <w:rPr>
      <w:rFonts w:asciiTheme="majorHAnsi" w:eastAsiaTheme="majorEastAsia" w:hAnsiTheme="majorHAnsi" w:cstheme="majorBidi"/>
      <w:color w:val="17365D" w:themeColor="text2" w:themeShade="BF"/>
      <w:spacing w:val="5"/>
      <w:kern w:val="28"/>
      <w:sz w:val="52"/>
      <w:szCs w:val="52"/>
      <w:lang w:val="en-US" w:eastAsia="en-US" w:bidi="en-US"/>
    </w:rPr>
  </w:style>
  <w:style w:type="paragraph" w:styleId="Subtitle">
    <w:name w:val="Subtitle"/>
    <w:basedOn w:val="Normal"/>
    <w:next w:val="Normal"/>
    <w:link w:val="SubtitleChar"/>
    <w:uiPriority w:val="11"/>
    <w:rsid w:val="00567205"/>
    <w:pPr>
      <w:numPr>
        <w:ilvl w:val="1"/>
      </w:numPr>
    </w:pPr>
    <w:rPr>
      <w:rFonts w:asciiTheme="majorHAnsi" w:eastAsiaTheme="majorEastAsia" w:hAnsiTheme="majorHAnsi" w:cstheme="majorBidi"/>
      <w:i/>
      <w:iCs/>
      <w:color w:val="4F81BD" w:themeColor="accent1"/>
      <w:spacing w:val="15"/>
      <w:szCs w:val="24"/>
      <w:lang w:val="en-US" w:eastAsia="en-US" w:bidi="en-US"/>
    </w:rPr>
  </w:style>
  <w:style w:type="character" w:customStyle="1" w:styleId="SubtitleChar">
    <w:name w:val="Subtitle Char"/>
    <w:basedOn w:val="DefaultParagraphFont"/>
    <w:link w:val="Subtitle"/>
    <w:uiPriority w:val="11"/>
    <w:rsid w:val="00567205"/>
    <w:rPr>
      <w:rFonts w:asciiTheme="majorHAnsi" w:eastAsiaTheme="majorEastAsia" w:hAnsiTheme="majorHAnsi" w:cstheme="majorBidi"/>
      <w:i/>
      <w:iCs/>
      <w:color w:val="4F81BD" w:themeColor="accent1"/>
      <w:spacing w:val="15"/>
      <w:sz w:val="24"/>
      <w:szCs w:val="24"/>
      <w:lang w:val="en-US" w:eastAsia="en-US" w:bidi="en-US"/>
    </w:rPr>
  </w:style>
  <w:style w:type="paragraph" w:styleId="IntenseQuote">
    <w:name w:val="Intense Quote"/>
    <w:basedOn w:val="Normal"/>
    <w:next w:val="Normal"/>
    <w:link w:val="IntenseQuoteChar"/>
    <w:uiPriority w:val="30"/>
    <w:rsid w:val="00567205"/>
    <w:pPr>
      <w:pBdr>
        <w:bottom w:val="single" w:sz="4" w:space="4" w:color="4F81BD" w:themeColor="accent1"/>
      </w:pBdr>
      <w:spacing w:before="200" w:after="280"/>
      <w:ind w:left="936" w:right="936"/>
    </w:pPr>
    <w:rPr>
      <w:rFonts w:eastAsiaTheme="minorHAnsi" w:cstheme="minorBidi"/>
      <w:b/>
      <w:bCs/>
      <w:i/>
      <w:iCs/>
      <w:color w:val="4F81BD" w:themeColor="accent1"/>
      <w:szCs w:val="22"/>
      <w:lang w:val="en-US" w:eastAsia="en-US" w:bidi="en-US"/>
    </w:rPr>
  </w:style>
  <w:style w:type="character" w:customStyle="1" w:styleId="IntenseQuoteChar">
    <w:name w:val="Intense Quote Char"/>
    <w:basedOn w:val="DefaultParagraphFont"/>
    <w:link w:val="IntenseQuote"/>
    <w:uiPriority w:val="30"/>
    <w:rsid w:val="00567205"/>
    <w:rPr>
      <w:rFonts w:eastAsiaTheme="minorHAnsi" w:cstheme="minorBidi"/>
      <w:b/>
      <w:bCs/>
      <w:i/>
      <w:iCs/>
      <w:color w:val="4F81BD" w:themeColor="accent1"/>
      <w:sz w:val="24"/>
      <w:szCs w:val="22"/>
      <w:lang w:val="en-US" w:eastAsia="en-US" w:bidi="en-US"/>
    </w:rPr>
  </w:style>
  <w:style w:type="character" w:styleId="SubtleEmphasis">
    <w:name w:val="Subtle Emphasis"/>
    <w:basedOn w:val="DefaultParagraphFont"/>
    <w:uiPriority w:val="19"/>
    <w:rsid w:val="00567205"/>
    <w:rPr>
      <w:i/>
      <w:iCs/>
      <w:color w:val="808080" w:themeColor="text1" w:themeTint="7F"/>
    </w:rPr>
  </w:style>
  <w:style w:type="character" w:styleId="IntenseEmphasis">
    <w:name w:val="Intense Emphasis"/>
    <w:basedOn w:val="DefaultParagraphFont"/>
    <w:uiPriority w:val="21"/>
    <w:rsid w:val="00567205"/>
    <w:rPr>
      <w:b/>
      <w:bCs/>
      <w:i/>
      <w:iCs/>
      <w:color w:val="4F81BD" w:themeColor="accent1"/>
    </w:rPr>
  </w:style>
  <w:style w:type="character" w:styleId="SubtleReference">
    <w:name w:val="Subtle Reference"/>
    <w:basedOn w:val="DefaultParagraphFont"/>
    <w:uiPriority w:val="31"/>
    <w:rsid w:val="00567205"/>
    <w:rPr>
      <w:smallCaps/>
      <w:color w:val="C0504D" w:themeColor="accent2"/>
      <w:u w:val="single"/>
    </w:rPr>
  </w:style>
  <w:style w:type="character" w:styleId="IntenseReference">
    <w:name w:val="Intense Reference"/>
    <w:basedOn w:val="DefaultParagraphFont"/>
    <w:uiPriority w:val="32"/>
    <w:rsid w:val="00567205"/>
    <w:rPr>
      <w:b/>
      <w:bCs/>
      <w:smallCaps/>
      <w:color w:val="C0504D" w:themeColor="accent2"/>
      <w:spacing w:val="5"/>
      <w:u w:val="single"/>
    </w:rPr>
  </w:style>
  <w:style w:type="character" w:styleId="BookTitle">
    <w:name w:val="Book Title"/>
    <w:basedOn w:val="DefaultParagraphFont"/>
    <w:uiPriority w:val="33"/>
    <w:rsid w:val="00567205"/>
    <w:rPr>
      <w:b/>
      <w:bCs/>
      <w:smallCaps/>
      <w:spacing w:val="5"/>
    </w:rPr>
  </w:style>
  <w:style w:type="paragraph" w:customStyle="1" w:styleId="mauer">
    <w:name w:val="mauer"/>
    <w:basedOn w:val="Normal"/>
    <w:rsid w:val="00567205"/>
    <w:pPr>
      <w:spacing w:before="100" w:beforeAutospacing="1" w:after="100" w:afterAutospacing="1"/>
    </w:pPr>
    <w:rPr>
      <w:szCs w:val="24"/>
      <w:lang w:val="en-US" w:eastAsia="en-US"/>
    </w:rPr>
  </w:style>
  <w:style w:type="table" w:customStyle="1" w:styleId="TableGrid2">
    <w:name w:val="Table Grid2"/>
    <w:basedOn w:val="TableNormal"/>
    <w:next w:val="TableGrid"/>
    <w:uiPriority w:val="59"/>
    <w:rsid w:val="00567205"/>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bccourts.ca/jdb-txt/ca/21/00/2021BCCA0011.htm" TargetMode="External"/><Relationship Id="rId4" Type="http://schemas.openxmlformats.org/officeDocument/2006/relationships/webSettings" Target="webSettings.xml"/><Relationship Id="rId9" Type="http://schemas.openxmlformats.org/officeDocument/2006/relationships/hyperlink" Target="https://www.scc-csc.ca/cso-dce/2022SCC-CSC22_1_eng.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98</Pages>
  <Words>24192</Words>
  <Characters>122050</Characters>
  <Application>Microsoft Office Word</Application>
  <DocSecurity>0</DocSecurity>
  <Lines>1017</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2023-03-30T20:26:00Z</dcterms:created>
  <dcterms:modified xsi:type="dcterms:W3CDTF">2023-03-30T20:26:00Z</dcterms:modified>
</cp:coreProperties>
</file>