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3490"/>
        <w:gridCol w:w="1472"/>
        <w:gridCol w:w="3300"/>
        <w:gridCol w:w="18"/>
      </w:tblGrid>
      <w:tr w:rsidR="00F406B9" w:rsidRPr="00F406B9" w:rsidTr="005A0666">
        <w:trPr>
          <w:trHeight w:val="2103"/>
        </w:trPr>
        <w:tc>
          <w:tcPr>
            <w:tcW w:w="5000" w:type="pct"/>
            <w:gridSpan w:val="4"/>
          </w:tcPr>
          <w:p w:rsidR="00F406B9" w:rsidRPr="00F406B9" w:rsidRDefault="00F406B9" w:rsidP="00F406B9">
            <w:pPr>
              <w:jc w:val="center"/>
            </w:pPr>
            <w:r w:rsidRPr="00F406B9">
              <w:rPr>
                <w:noProof/>
                <w:lang w:val="en-US" w:eastAsia="en-US"/>
              </w:rPr>
              <w:drawing>
                <wp:inline distT="0" distB="0" distL="0" distR="0" wp14:anchorId="1CBE0ECE" wp14:editId="424ABBCB">
                  <wp:extent cx="1191895" cy="1638300"/>
                  <wp:effectExtent l="0" t="0" r="8255" b="0"/>
                  <wp:docPr id="1" name="Picture 1"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rsidR="00F406B9" w:rsidRPr="00F406B9" w:rsidRDefault="00F406B9" w:rsidP="00F406B9">
            <w:pPr>
              <w:spacing w:before="120" w:after="100" w:afterAutospacing="1"/>
              <w:jc w:val="center"/>
              <w:rPr>
                <w:rFonts w:eastAsia="Calibri"/>
              </w:rPr>
            </w:pPr>
            <w:r w:rsidRPr="00F406B9">
              <w:rPr>
                <w:rFonts w:eastAsia="Calibri"/>
                <w:b/>
                <w:szCs w:val="24"/>
              </w:rPr>
              <w:t>SUPREME COURT OF CANADA</w:t>
            </w:r>
          </w:p>
        </w:tc>
      </w:tr>
      <w:tr w:rsidR="00F406B9" w:rsidRPr="00F406B9" w:rsidTr="004F0081">
        <w:trPr>
          <w:gridAfter w:val="1"/>
          <w:wAfter w:w="10" w:type="pct"/>
        </w:trPr>
        <w:tc>
          <w:tcPr>
            <w:tcW w:w="2107" w:type="pct"/>
            <w:tcMar>
              <w:top w:w="284" w:type="dxa"/>
            </w:tcMar>
          </w:tcPr>
          <w:p w:rsidR="00F406B9" w:rsidRPr="00F406B9" w:rsidRDefault="00F406B9" w:rsidP="00F406B9">
            <w:pPr>
              <w:spacing w:before="100" w:beforeAutospacing="1"/>
              <w:rPr>
                <w:rFonts w:eastAsia="Calibri"/>
                <w:lang w:val="en-US"/>
              </w:rPr>
            </w:pPr>
            <w:r w:rsidRPr="00F406B9">
              <w:rPr>
                <w:b/>
                <w:smallCaps/>
                <w:lang w:val="en-US"/>
              </w:rPr>
              <w:t>Citation:</w:t>
            </w:r>
            <w:r w:rsidRPr="00F406B9">
              <w:rPr>
                <w:lang w:val="en-US"/>
              </w:rPr>
              <w:t xml:space="preserve"> R. </w:t>
            </w:r>
            <w:r w:rsidRPr="00F406B9">
              <w:rPr>
                <w:i/>
                <w:lang w:val="en-US"/>
              </w:rPr>
              <w:t>v.</w:t>
            </w:r>
            <w:r w:rsidRPr="00F406B9">
              <w:rPr>
                <w:lang w:val="en-US"/>
              </w:rPr>
              <w:t xml:space="preserve"> Goforth, 2022 SCC </w:t>
            </w:r>
            <w:r w:rsidRPr="00F406B9">
              <w:t>25</w:t>
            </w:r>
          </w:p>
        </w:tc>
        <w:tc>
          <w:tcPr>
            <w:tcW w:w="889" w:type="pct"/>
          </w:tcPr>
          <w:p w:rsidR="00F406B9" w:rsidRPr="00F406B9" w:rsidRDefault="00F406B9" w:rsidP="00F406B9">
            <w:pPr>
              <w:rPr>
                <w:b/>
                <w:smallCaps/>
                <w:lang w:val="en-US"/>
              </w:rPr>
            </w:pPr>
          </w:p>
        </w:tc>
        <w:tc>
          <w:tcPr>
            <w:tcW w:w="1993" w:type="pct"/>
            <w:tcMar>
              <w:top w:w="284" w:type="dxa"/>
            </w:tcMar>
          </w:tcPr>
          <w:p w:rsidR="00F406B9" w:rsidRPr="00F406B9" w:rsidRDefault="00F406B9" w:rsidP="00F406B9">
            <w:r w:rsidRPr="00F406B9">
              <w:rPr>
                <w:b/>
                <w:smallCaps/>
              </w:rPr>
              <w:t xml:space="preserve">Appeal Heard and Judgment Rendered: </w:t>
            </w:r>
            <w:r w:rsidRPr="00F406B9">
              <w:t>December 7, 2021</w:t>
            </w:r>
          </w:p>
          <w:p w:rsidR="00F406B9" w:rsidRPr="00F406B9" w:rsidRDefault="00F406B9" w:rsidP="00F406B9">
            <w:r w:rsidRPr="00F406B9">
              <w:rPr>
                <w:b/>
                <w:smallCaps/>
              </w:rPr>
              <w:t xml:space="preserve">Reasons for Judgment: </w:t>
            </w:r>
            <w:r w:rsidRPr="00F406B9">
              <w:t>June 10, 2022</w:t>
            </w:r>
          </w:p>
          <w:p w:rsidR="00F406B9" w:rsidRPr="00F406B9" w:rsidRDefault="00F406B9" w:rsidP="00F406B9">
            <w:r w:rsidRPr="00F406B9">
              <w:rPr>
                <w:b/>
                <w:smallCaps/>
              </w:rPr>
              <w:t>Docket:</w:t>
            </w:r>
            <w:r w:rsidRPr="00F406B9">
              <w:t xml:space="preserve"> 39568</w:t>
            </w:r>
          </w:p>
        </w:tc>
      </w:tr>
    </w:tbl>
    <w:tbl>
      <w:tblPr>
        <w:tblStyle w:val="TableGrid3"/>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8" w:type="dxa"/>
          <w:left w:w="58" w:type="dxa"/>
          <w:bottom w:w="58" w:type="dxa"/>
          <w:right w:w="58" w:type="dxa"/>
        </w:tblCellMar>
        <w:tblLook w:val="04A0" w:firstRow="1" w:lastRow="0" w:firstColumn="1" w:lastColumn="0" w:noHBand="0" w:noVBand="1"/>
      </w:tblPr>
      <w:tblGrid>
        <w:gridCol w:w="1862"/>
        <w:gridCol w:w="6413"/>
      </w:tblGrid>
      <w:tr w:rsidR="00F406B9" w:rsidRPr="00F406B9" w:rsidTr="005A0666">
        <w:trPr>
          <w:cantSplit/>
        </w:trPr>
        <w:tc>
          <w:tcPr>
            <w:tcW w:w="5000" w:type="pct"/>
            <w:gridSpan w:val="2"/>
          </w:tcPr>
          <w:p w:rsidR="00F406B9" w:rsidRPr="00F406B9" w:rsidRDefault="00F406B9" w:rsidP="00F406B9"/>
          <w:p w:rsidR="00F406B9" w:rsidRPr="00F406B9" w:rsidRDefault="00F406B9" w:rsidP="00F406B9">
            <w:pPr>
              <w:rPr>
                <w:b/>
                <w:smallCaps/>
              </w:rPr>
            </w:pPr>
            <w:r w:rsidRPr="00F406B9">
              <w:rPr>
                <w:b/>
                <w:smallCaps/>
              </w:rPr>
              <w:t>Between:</w:t>
            </w:r>
          </w:p>
          <w:p w:rsidR="00F406B9" w:rsidRPr="00F406B9" w:rsidRDefault="00F406B9" w:rsidP="00F406B9">
            <w:pPr>
              <w:rPr>
                <w:smallCaps/>
              </w:rPr>
            </w:pPr>
          </w:p>
          <w:p w:rsidR="00F406B9" w:rsidRPr="00F406B9" w:rsidRDefault="00F406B9" w:rsidP="00F406B9">
            <w:pPr>
              <w:jc w:val="center"/>
              <w:rPr>
                <w:b/>
              </w:rPr>
            </w:pPr>
            <w:r w:rsidRPr="00F406B9">
              <w:rPr>
                <w:b/>
              </w:rPr>
              <w:t>Her Majesty The Queen</w:t>
            </w:r>
          </w:p>
          <w:p w:rsidR="00F406B9" w:rsidRPr="00F406B9" w:rsidRDefault="00F406B9" w:rsidP="00F406B9">
            <w:pPr>
              <w:jc w:val="center"/>
            </w:pPr>
            <w:r w:rsidRPr="00F406B9">
              <w:t>Appellant</w:t>
            </w:r>
          </w:p>
          <w:p w:rsidR="00F406B9" w:rsidRPr="00F406B9" w:rsidRDefault="00F406B9" w:rsidP="00F406B9">
            <w:pPr>
              <w:jc w:val="center"/>
            </w:pPr>
          </w:p>
          <w:p w:rsidR="00F406B9" w:rsidRPr="00F406B9" w:rsidRDefault="00F406B9" w:rsidP="00F406B9">
            <w:pPr>
              <w:jc w:val="center"/>
            </w:pPr>
            <w:r w:rsidRPr="00F406B9">
              <w:t>and</w:t>
            </w:r>
          </w:p>
          <w:p w:rsidR="00F406B9" w:rsidRPr="00F406B9" w:rsidRDefault="00F406B9" w:rsidP="00F406B9">
            <w:pPr>
              <w:jc w:val="center"/>
            </w:pPr>
          </w:p>
          <w:p w:rsidR="00F406B9" w:rsidRPr="00F406B9" w:rsidRDefault="00F406B9" w:rsidP="00F406B9">
            <w:pPr>
              <w:jc w:val="center"/>
            </w:pPr>
            <w:r w:rsidRPr="00F406B9">
              <w:rPr>
                <w:rFonts w:ascii="Helvetica Neue" w:hAnsi="Helvetica Neue"/>
                <w:b/>
                <w:bCs/>
                <w:color w:val="333333"/>
                <w:shd w:val="clear" w:color="auto" w:fill="FFFFFF"/>
              </w:rPr>
              <w:t>Kevin Eric Goforth</w:t>
            </w:r>
          </w:p>
          <w:p w:rsidR="00F406B9" w:rsidRPr="00F406B9" w:rsidRDefault="00F406B9" w:rsidP="00F406B9">
            <w:pPr>
              <w:jc w:val="center"/>
            </w:pPr>
            <w:r w:rsidRPr="00F406B9">
              <w:t>Respondent</w:t>
            </w:r>
          </w:p>
          <w:p w:rsidR="00F406B9" w:rsidRPr="00F406B9" w:rsidRDefault="00F406B9" w:rsidP="00F406B9"/>
          <w:p w:rsidR="00F406B9" w:rsidRPr="00F406B9" w:rsidRDefault="00F406B9" w:rsidP="00F406B9"/>
          <w:p w:rsidR="00F406B9" w:rsidRPr="00F406B9" w:rsidRDefault="00F406B9" w:rsidP="00F406B9"/>
          <w:p w:rsidR="00F406B9" w:rsidRPr="00F406B9" w:rsidRDefault="00F406B9" w:rsidP="00F406B9">
            <w:r w:rsidRPr="00F406B9">
              <w:rPr>
                <w:b/>
                <w:smallCaps/>
              </w:rPr>
              <w:t>Coram:</w:t>
            </w:r>
            <w:r w:rsidRPr="00F406B9">
              <w:t xml:space="preserve"> Wagner C.J. and Moldaver, Karakatsanis, Côté, Brown, Rowe, Martin, Kasirer and Jamal JJ.</w:t>
            </w:r>
          </w:p>
          <w:p w:rsidR="00F406B9" w:rsidRPr="00F406B9" w:rsidRDefault="00F406B9" w:rsidP="00F406B9">
            <w:pPr>
              <w:rPr>
                <w:b/>
                <w:smallCaps/>
              </w:rPr>
            </w:pPr>
          </w:p>
        </w:tc>
      </w:tr>
      <w:tr w:rsidR="00F406B9" w:rsidRPr="00F406B9" w:rsidTr="005A0666">
        <w:trPr>
          <w:cantSplit/>
        </w:trPr>
        <w:tc>
          <w:tcPr>
            <w:tcW w:w="1125" w:type="pct"/>
          </w:tcPr>
          <w:p w:rsidR="00F406B9" w:rsidRPr="00F406B9" w:rsidRDefault="00F406B9" w:rsidP="00F406B9">
            <w:pPr>
              <w:rPr>
                <w:smallCaps/>
              </w:rPr>
            </w:pPr>
            <w:r w:rsidRPr="00F406B9">
              <w:rPr>
                <w:b/>
                <w:smallCaps/>
              </w:rPr>
              <w:t>Reasons for Judgment:</w:t>
            </w:r>
            <w:r w:rsidRPr="00F406B9">
              <w:rPr>
                <w:smallCaps/>
              </w:rPr>
              <w:t xml:space="preserve"> </w:t>
            </w:r>
          </w:p>
          <w:p w:rsidR="00F406B9" w:rsidRPr="00F406B9" w:rsidRDefault="00F406B9" w:rsidP="00F406B9">
            <w:pPr>
              <w:rPr>
                <w:smallCaps/>
              </w:rPr>
            </w:pPr>
            <w:r w:rsidRPr="00F406B9">
              <w:t>(paras. 1 to 60)</w:t>
            </w:r>
          </w:p>
        </w:tc>
        <w:tc>
          <w:tcPr>
            <w:tcW w:w="3875" w:type="pct"/>
          </w:tcPr>
          <w:p w:rsidR="00F406B9" w:rsidRPr="00F406B9" w:rsidRDefault="00F406B9" w:rsidP="00F406B9">
            <w:r w:rsidRPr="00F406B9">
              <w:t>Côté J. (Wagner C.J. and Moldaver, Karakatsanis, Rowe and Kasirer JJ. concurring)</w:t>
            </w:r>
          </w:p>
        </w:tc>
      </w:tr>
      <w:tr w:rsidR="00F406B9" w:rsidRPr="00F406B9" w:rsidTr="005A0666">
        <w:trPr>
          <w:cantSplit/>
        </w:trPr>
        <w:tc>
          <w:tcPr>
            <w:tcW w:w="1125" w:type="pct"/>
          </w:tcPr>
          <w:p w:rsidR="00F406B9" w:rsidRPr="00F406B9" w:rsidRDefault="00F406B9" w:rsidP="00F406B9"/>
        </w:tc>
        <w:tc>
          <w:tcPr>
            <w:tcW w:w="3875" w:type="pct"/>
          </w:tcPr>
          <w:p w:rsidR="00F406B9" w:rsidRPr="00F406B9" w:rsidRDefault="00F406B9" w:rsidP="00F406B9"/>
        </w:tc>
      </w:tr>
      <w:tr w:rsidR="00F406B9" w:rsidRPr="00F406B9" w:rsidTr="005A0666">
        <w:trPr>
          <w:cantSplit/>
        </w:trPr>
        <w:tc>
          <w:tcPr>
            <w:tcW w:w="1125" w:type="pct"/>
          </w:tcPr>
          <w:p w:rsidR="00F406B9" w:rsidRPr="00F406B9" w:rsidRDefault="00F406B9" w:rsidP="00F406B9">
            <w:pPr>
              <w:rPr>
                <w:smallCaps/>
              </w:rPr>
            </w:pPr>
            <w:r w:rsidRPr="00F406B9">
              <w:rPr>
                <w:b/>
                <w:smallCaps/>
              </w:rPr>
              <w:t>Concurring Reasons:</w:t>
            </w:r>
            <w:r w:rsidRPr="00F406B9">
              <w:rPr>
                <w:smallCaps/>
              </w:rPr>
              <w:t xml:space="preserve"> </w:t>
            </w:r>
          </w:p>
          <w:p w:rsidR="00F406B9" w:rsidRPr="00F406B9" w:rsidRDefault="00F406B9" w:rsidP="00F406B9">
            <w:pPr>
              <w:rPr>
                <w:smallCaps/>
              </w:rPr>
            </w:pPr>
            <w:r w:rsidRPr="00F406B9">
              <w:t xml:space="preserve">(paras. </w:t>
            </w:r>
            <w:r w:rsidRPr="00F406B9">
              <w:rPr>
                <w:lang w:val="fr-CA"/>
              </w:rPr>
              <w:t xml:space="preserve">61 </w:t>
            </w:r>
            <w:r w:rsidRPr="00F406B9">
              <w:t xml:space="preserve">to </w:t>
            </w:r>
            <w:r w:rsidRPr="00F406B9">
              <w:rPr>
                <w:lang w:val="fr-CA"/>
              </w:rPr>
              <w:t>68</w:t>
            </w:r>
            <w:r w:rsidRPr="00F406B9">
              <w:t>)</w:t>
            </w:r>
          </w:p>
        </w:tc>
        <w:tc>
          <w:tcPr>
            <w:tcW w:w="3875" w:type="pct"/>
          </w:tcPr>
          <w:p w:rsidR="00F406B9" w:rsidRPr="00F406B9" w:rsidRDefault="00F406B9" w:rsidP="00F406B9">
            <w:r w:rsidRPr="00F406B9">
              <w:t>Brown J. (Martin and Jamal JJ. concurring)</w:t>
            </w:r>
          </w:p>
        </w:tc>
      </w:tr>
    </w:tbl>
    <w:p w:rsidR="00F406B9" w:rsidRPr="00F406B9" w:rsidRDefault="00F406B9" w:rsidP="00F406B9"/>
    <w:p w:rsidR="00F406B9" w:rsidRPr="00F406B9" w:rsidRDefault="00F406B9" w:rsidP="00F406B9"/>
    <w:p w:rsidR="00F406B9" w:rsidRPr="00461802" w:rsidRDefault="00F406B9" w:rsidP="00F406B9">
      <w:pPr>
        <w:rPr>
          <w:rFonts w:eastAsiaTheme="minorHAnsi" w:cstheme="minorBidi"/>
          <w:szCs w:val="24"/>
          <w:lang w:eastAsia="en-US"/>
        </w:rPr>
      </w:pPr>
      <w:r w:rsidRPr="00F406B9">
        <w:rPr>
          <w:rFonts w:eastAsiaTheme="minorHAnsi" w:cstheme="minorBidi"/>
          <w:b/>
          <w:smallCaps/>
          <w:szCs w:val="24"/>
          <w:lang w:eastAsia="en-US"/>
        </w:rPr>
        <w:lastRenderedPageBreak/>
        <w:t>Note:</w:t>
      </w:r>
      <w:r w:rsidRPr="00F406B9">
        <w:rPr>
          <w:rFonts w:eastAsiaTheme="minorHAnsi" w:cstheme="minorBidi"/>
          <w:b/>
          <w:szCs w:val="24"/>
          <w:lang w:eastAsia="en-US"/>
        </w:rPr>
        <w:t xml:space="preserve"> </w:t>
      </w:r>
      <w:r w:rsidRPr="00F406B9">
        <w:rPr>
          <w:rFonts w:eastAsiaTheme="minorHAnsi" w:cstheme="minorBidi"/>
          <w:szCs w:val="24"/>
          <w:lang w:eastAsia="en-US"/>
        </w:rPr>
        <w:t xml:space="preserve">This document is subject to editorial revision before its reproduction in final form in the </w:t>
      </w:r>
      <w:r w:rsidRPr="00F406B9">
        <w:rPr>
          <w:rFonts w:eastAsiaTheme="minorHAnsi" w:cstheme="minorBidi"/>
          <w:i/>
          <w:szCs w:val="24"/>
          <w:lang w:eastAsia="en-US"/>
        </w:rPr>
        <w:t>Canada Supreme Court Reports</w:t>
      </w:r>
      <w:r w:rsidRPr="00F406B9">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F406B9" w:rsidRPr="00461802" w:rsidTr="005A0666">
        <w:tc>
          <w:tcPr>
            <w:tcW w:w="1500" w:type="pct"/>
            <w:tcMar>
              <w:top w:w="284" w:type="dxa"/>
            </w:tcMar>
          </w:tcPr>
          <w:p w:rsidR="00F406B9" w:rsidRPr="00461802" w:rsidRDefault="00F406B9" w:rsidP="00F406B9">
            <w:pPr>
              <w:rPr>
                <w:rFonts w:eastAsia="Calibri"/>
              </w:rPr>
            </w:pPr>
          </w:p>
        </w:tc>
        <w:tc>
          <w:tcPr>
            <w:tcW w:w="2000" w:type="pct"/>
            <w:tcBorders>
              <w:bottom w:val="single" w:sz="4" w:space="0" w:color="auto"/>
            </w:tcBorders>
            <w:tcMar>
              <w:top w:w="284" w:type="dxa"/>
            </w:tcMar>
          </w:tcPr>
          <w:p w:rsidR="00F406B9" w:rsidRPr="00461802" w:rsidRDefault="00F406B9" w:rsidP="00F406B9">
            <w:pPr>
              <w:rPr>
                <w:rFonts w:eastAsia="Calibri"/>
              </w:rPr>
            </w:pPr>
          </w:p>
        </w:tc>
        <w:tc>
          <w:tcPr>
            <w:tcW w:w="1500" w:type="pct"/>
            <w:tcMar>
              <w:top w:w="284" w:type="dxa"/>
            </w:tcMar>
          </w:tcPr>
          <w:p w:rsidR="00F406B9" w:rsidRPr="00461802" w:rsidRDefault="00F406B9" w:rsidP="00F406B9">
            <w:pPr>
              <w:rPr>
                <w:rFonts w:eastAsia="Calibri"/>
              </w:rPr>
            </w:pPr>
            <w:bookmarkStart w:id="0" w:name="_GoBack"/>
            <w:bookmarkEnd w:id="0"/>
          </w:p>
        </w:tc>
      </w:tr>
    </w:tbl>
    <w:p w:rsidR="00461802" w:rsidRPr="00461802" w:rsidRDefault="00461802"/>
    <w:p w:rsidR="00F406B9" w:rsidRDefault="00F406B9">
      <w:pPr>
        <w:rPr>
          <w:b/>
        </w:rPr>
      </w:pPr>
      <w:r>
        <w:br w:type="page"/>
      </w:r>
    </w:p>
    <w:p w:rsidR="001F7ADC" w:rsidRDefault="00E0296A" w:rsidP="00CB7907">
      <w:pPr>
        <w:pStyle w:val="SCCLsocLastPartyInRole"/>
        <w:tabs>
          <w:tab w:val="clear" w:pos="8222"/>
          <w:tab w:val="right" w:pos="8280"/>
        </w:tabs>
      </w:pPr>
      <w:r>
        <w:lastRenderedPageBreak/>
        <w:t xml:space="preserve">Her Majesty </w:t>
      </w:r>
      <w:proofErr w:type="gramStart"/>
      <w:r>
        <w:t>T</w:t>
      </w:r>
      <w:r w:rsidR="00B143D4">
        <w:t>he</w:t>
      </w:r>
      <w:proofErr w:type="gramEnd"/>
      <w:r w:rsidR="00B143D4">
        <w:t xml:space="preserve"> Queen</w:t>
      </w:r>
      <w:r w:rsidR="00B143D4">
        <w:rPr>
          <w:rStyle w:val="SCCLsocPartyRole"/>
        </w:rPr>
        <w:tab/>
        <w:t>Appellant</w:t>
      </w:r>
    </w:p>
    <w:p w:rsidR="001F7ADC" w:rsidRDefault="00B143D4" w:rsidP="00475624">
      <w:pPr>
        <w:pStyle w:val="SCCLsocVersus"/>
      </w:pPr>
      <w:proofErr w:type="gramStart"/>
      <w:r>
        <w:t>v</w:t>
      </w:r>
      <w:proofErr w:type="gramEnd"/>
      <w:r>
        <w:t>.</w:t>
      </w:r>
    </w:p>
    <w:p w:rsidR="001F7ADC" w:rsidRDefault="00B143D4" w:rsidP="00CB7907">
      <w:pPr>
        <w:pStyle w:val="SCCLsocLastPartyInRole"/>
        <w:tabs>
          <w:tab w:val="clear" w:pos="8222"/>
          <w:tab w:val="right" w:pos="8280"/>
        </w:tabs>
      </w:pPr>
      <w:r>
        <w:t>Kevin Eric Goforth</w:t>
      </w:r>
      <w:r>
        <w:rPr>
          <w:rStyle w:val="SCCLsocPartyRole"/>
        </w:rPr>
        <w:tab/>
        <w:t>Respondent</w:t>
      </w:r>
    </w:p>
    <w:p w:rsidR="00426659" w:rsidRPr="00426659" w:rsidRDefault="00426659" w:rsidP="00475624">
      <w:pPr>
        <w:spacing w:after="720"/>
        <w:jc w:val="both"/>
        <w:rPr>
          <w:b/>
        </w:rPr>
      </w:pPr>
      <w:r w:rsidRPr="00426659">
        <w:rPr>
          <w:b/>
        </w:rPr>
        <w:t>Indexed as:</w:t>
      </w:r>
      <w:r>
        <w:rPr>
          <w:b/>
        </w:rPr>
        <w:t xml:space="preserve"> </w:t>
      </w:r>
      <w:r>
        <w:rPr>
          <w:rStyle w:val="SCCAppellantForIndexChar"/>
        </w:rPr>
        <w:t>R.</w:t>
      </w:r>
      <w:r w:rsidRPr="00426659">
        <w:rPr>
          <w:b/>
        </w:rPr>
        <w:t xml:space="preserve"> </w:t>
      </w:r>
      <w:r w:rsidRPr="00426659">
        <w:rPr>
          <w:b/>
          <w:i/>
        </w:rPr>
        <w:t>v.</w:t>
      </w:r>
      <w:r w:rsidRPr="00426659">
        <w:rPr>
          <w:b/>
        </w:rPr>
        <w:t xml:space="preserve"> </w:t>
      </w:r>
      <w:r>
        <w:rPr>
          <w:rStyle w:val="SCCRespondentForIndexChar"/>
        </w:rPr>
        <w:t>Goforth</w:t>
      </w:r>
    </w:p>
    <w:p w:rsidR="00426659" w:rsidRPr="00C02092" w:rsidRDefault="00AE4535" w:rsidP="00475624">
      <w:pPr>
        <w:pStyle w:val="SCCSystemYear"/>
        <w:spacing w:after="720"/>
        <w:jc w:val="both"/>
      </w:pPr>
      <w:r>
        <w:t>202</w:t>
      </w:r>
      <w:r w:rsidR="001F5EB3">
        <w:t>2</w:t>
      </w:r>
      <w:r w:rsidR="003D0399">
        <w:t xml:space="preserve"> </w:t>
      </w:r>
      <w:r w:rsidR="00475624">
        <w:t xml:space="preserve">SCC </w:t>
      </w:r>
      <w:r w:rsidR="00DE1864" w:rsidRPr="00DE1864">
        <w:t>25</w:t>
      </w:r>
    </w:p>
    <w:p w:rsidR="008322BD" w:rsidRDefault="001F5EB3" w:rsidP="00475624">
      <w:pPr>
        <w:spacing w:after="720"/>
        <w:jc w:val="both"/>
      </w:pPr>
      <w:r>
        <w:t xml:space="preserve">File No.: </w:t>
      </w:r>
      <w:r w:rsidR="009B57B3">
        <w:t>39568</w:t>
      </w:r>
      <w:r w:rsidR="009B57B3" w:rsidRPr="001426A9">
        <w:t>.</w:t>
      </w:r>
    </w:p>
    <w:p w:rsidR="000D6F57" w:rsidRPr="002D2CA4" w:rsidRDefault="000D6F57" w:rsidP="00FC4EFB">
      <w:pPr>
        <w:jc w:val="both"/>
      </w:pPr>
      <w:r w:rsidRPr="002D2CA4">
        <w:rPr>
          <w:color w:val="000000"/>
        </w:rPr>
        <w:t>Hearing and judgment:</w:t>
      </w:r>
      <w:r w:rsidRPr="002D2CA4">
        <w:t xml:space="preserve"> </w:t>
      </w:r>
      <w:r w:rsidR="000A01A7" w:rsidRPr="002D2CA4">
        <w:t>December 7</w:t>
      </w:r>
      <w:r w:rsidRPr="002D2CA4">
        <w:t>, 2021.</w:t>
      </w:r>
    </w:p>
    <w:p w:rsidR="00E97830" w:rsidRDefault="000D6F57" w:rsidP="00475624">
      <w:pPr>
        <w:spacing w:after="720"/>
        <w:jc w:val="both"/>
      </w:pPr>
      <w:r w:rsidRPr="002D2CA4">
        <w:rPr>
          <w:color w:val="000000"/>
        </w:rPr>
        <w:t>Reasons delivered:</w:t>
      </w:r>
      <w:r w:rsidRPr="002D2CA4">
        <w:t xml:space="preserve"> </w:t>
      </w:r>
      <w:r w:rsidR="001F5EB3" w:rsidRPr="002D2CA4">
        <w:t>June 10</w:t>
      </w:r>
      <w:r w:rsidRPr="002D2CA4">
        <w:t>, 2022</w:t>
      </w:r>
      <w:r w:rsidR="001F5EB3" w:rsidRPr="002D2CA4">
        <w:t>.</w:t>
      </w:r>
    </w:p>
    <w:p w:rsidR="008322BD" w:rsidRDefault="00777BA0" w:rsidP="00475624">
      <w:pPr>
        <w:spacing w:after="720"/>
        <w:jc w:val="both"/>
      </w:pPr>
      <w:r>
        <w:t>Present: Wagner </w:t>
      </w:r>
      <w:r w:rsidR="009B57B3">
        <w:t xml:space="preserve">C.J. and Moldaver, Karakatsanis, Côté, Brown, </w:t>
      </w:r>
      <w:r>
        <w:t>Rowe, Martin, Kasirer and Jamal </w:t>
      </w:r>
      <w:r w:rsidR="009B57B3">
        <w:t>JJ.</w:t>
      </w:r>
    </w:p>
    <w:p w:rsidR="008322BD" w:rsidRPr="001C779F" w:rsidRDefault="00656313" w:rsidP="00475624">
      <w:pPr>
        <w:pStyle w:val="SCCLowerCourtNameLowercase"/>
        <w:spacing w:after="720" w:line="240" w:lineRule="auto"/>
      </w:pPr>
      <w:r>
        <w:t>o</w:t>
      </w:r>
      <w:r w:rsidR="00170592">
        <w:t>n</w:t>
      </w:r>
      <w:r w:rsidR="00224FC0">
        <w:t xml:space="preserve"> </w:t>
      </w:r>
      <w:r>
        <w:t>a</w:t>
      </w:r>
      <w:r w:rsidR="00170592">
        <w:t>ppeal</w:t>
      </w:r>
      <w:r w:rsidR="00224FC0">
        <w:t xml:space="preserve"> </w:t>
      </w:r>
      <w:r w:rsidR="00170592">
        <w:t>from</w:t>
      </w:r>
      <w:r w:rsidR="009567AA">
        <w:t xml:space="preserve"> the</w:t>
      </w:r>
      <w:r w:rsidR="00224FC0">
        <w:t xml:space="preserve"> </w:t>
      </w:r>
      <w:r w:rsidR="009B57B3">
        <w:t xml:space="preserve">court of appeal for </w:t>
      </w:r>
      <w:proofErr w:type="spellStart"/>
      <w:r w:rsidR="009B57B3">
        <w:t>saskatchewan</w:t>
      </w:r>
      <w:proofErr w:type="spellEnd"/>
    </w:p>
    <w:p w:rsidR="00610539" w:rsidRDefault="00F57B56" w:rsidP="003A7DE6">
      <w:pPr>
        <w:pStyle w:val="SCCNormalDoubleSpacing"/>
        <w:spacing w:after="480"/>
      </w:pPr>
      <w:r>
        <w:tab/>
      </w:r>
      <w:r w:rsidRPr="00F57B56">
        <w:rPr>
          <w:i/>
        </w:rPr>
        <w:t>Criminal law — Charge to jury — Accused charged with second degree murder and unlawfully causing bodily harm in relation to two foster children — Charges predicated on accused’s failure to provide necessaries of life to children — Accused convicted by jury of manslaughter and unlawfully causing bodily harm — Court of Appeal setting aside convictions on basis that errors in jury charge may have misled jury — Whether</w:t>
      </w:r>
      <w:r w:rsidRPr="00F57B56">
        <w:t xml:space="preserve"> </w:t>
      </w:r>
      <w:r w:rsidRPr="00F57B56">
        <w:rPr>
          <w:i/>
        </w:rPr>
        <w:t>jury properly instructed</w:t>
      </w:r>
      <w:r w:rsidRPr="00F57B56">
        <w:rPr>
          <w:i/>
          <w:iCs/>
          <w:lang w:val="en-US"/>
        </w:rPr>
        <w:t>.</w:t>
      </w:r>
    </w:p>
    <w:p w:rsidR="00F57B56" w:rsidRDefault="00337D43" w:rsidP="003A7DE6">
      <w:pPr>
        <w:pStyle w:val="SCCNormalDoubleSpacing"/>
        <w:spacing w:after="480"/>
        <w:rPr>
          <w:lang w:val="en-US"/>
        </w:rPr>
      </w:pPr>
      <w:r>
        <w:lastRenderedPageBreak/>
        <w:tab/>
        <w:t>On November 8, 2011, two girls aged</w:t>
      </w:r>
      <w:r w:rsidR="00F57B56" w:rsidRPr="00F57B56">
        <w:t xml:space="preserve"> </w:t>
      </w:r>
      <w:r w:rsidR="00F57B56" w:rsidRPr="00F57B56">
        <w:rPr>
          <w:lang w:val="en-US"/>
        </w:rPr>
        <w:t>three and two years old</w:t>
      </w:r>
      <w:r w:rsidR="00F57B56" w:rsidRPr="00F57B56">
        <w:t xml:space="preserve"> w</w:t>
      </w:r>
      <w:r>
        <w:t xml:space="preserve">ere placed in foster care with the accused and his wife. </w:t>
      </w:r>
      <w:r w:rsidR="00F57B56" w:rsidRPr="00F57B56">
        <w:t>On the night of July 31,</w:t>
      </w:r>
      <w:r>
        <w:t xml:space="preserve"> 2012, the accused and his wife</w:t>
      </w:r>
      <w:r w:rsidR="00F57B56" w:rsidRPr="00F57B56">
        <w:t xml:space="preserve"> took the o</w:t>
      </w:r>
      <w:r>
        <w:t xml:space="preserve">lder child to the hospital. </w:t>
      </w:r>
      <w:r w:rsidR="00F57B56" w:rsidRPr="00F57B56">
        <w:t>She was in cardiac ar</w:t>
      </w:r>
      <w:r>
        <w:t xml:space="preserve">rest and was not breathing. </w:t>
      </w:r>
      <w:r w:rsidR="00F57B56" w:rsidRPr="00F57B56">
        <w:t xml:space="preserve">She was severely emaciated and dehydrated, her weight was significantly below the third percentile for children of her age and </w:t>
      </w:r>
      <w:r>
        <w:t>gender, and</w:t>
      </w:r>
      <w:r w:rsidR="00F57B56" w:rsidRPr="00F57B56">
        <w:t xml:space="preserve"> she had multiple bruises</w:t>
      </w:r>
      <w:r>
        <w:t xml:space="preserve"> and abrasions on her body. </w:t>
      </w:r>
      <w:r w:rsidR="00F57B56" w:rsidRPr="00F57B56">
        <w:t>She was pl</w:t>
      </w:r>
      <w:r>
        <w:t>aced on a life support machine but</w:t>
      </w:r>
      <w:r w:rsidR="00F57B56" w:rsidRPr="00F57B56">
        <w:t xml:space="preserve"> died on August 2, 2012.</w:t>
      </w:r>
      <w:r>
        <w:rPr>
          <w:lang w:val="en-US"/>
        </w:rPr>
        <w:t xml:space="preserve"> The younger child, who was also admitted to hospital,</w:t>
      </w:r>
      <w:r w:rsidR="00F57B56" w:rsidRPr="00F57B56">
        <w:rPr>
          <w:lang w:val="en-US"/>
        </w:rPr>
        <w:t xml:space="preserve"> was severely ill due to malnutrition and dehydr</w:t>
      </w:r>
      <w:r>
        <w:rPr>
          <w:lang w:val="en-US"/>
        </w:rPr>
        <w:t>ation, but she survived. She</w:t>
      </w:r>
      <w:r w:rsidR="00F57B56" w:rsidRPr="00F57B56">
        <w:rPr>
          <w:lang w:val="en-US"/>
        </w:rPr>
        <w:t xml:space="preserve"> had pneumonia, a urinary tract infection, and a large ulcer on her lower left l</w:t>
      </w:r>
      <w:r>
        <w:rPr>
          <w:lang w:val="en-US"/>
        </w:rPr>
        <w:t xml:space="preserve">eg with signs of infection. </w:t>
      </w:r>
      <w:r w:rsidR="00F57B56" w:rsidRPr="00F57B56">
        <w:rPr>
          <w:lang w:val="en-US"/>
        </w:rPr>
        <w:t>She also had bruises on her face, open sores and abrasions on the lower spine, and wrap</w:t>
      </w:r>
      <w:r w:rsidR="00F57B56" w:rsidRPr="00F57B56">
        <w:rPr>
          <w:lang w:val="en-US"/>
        </w:rPr>
        <w:noBreakHyphen/>
        <w:t>around lesions on her wrists and ankles.</w:t>
      </w:r>
    </w:p>
    <w:p w:rsidR="00F57B56" w:rsidRDefault="00337D43" w:rsidP="003A7DE6">
      <w:pPr>
        <w:pStyle w:val="SCCNormalDoubleSpacing"/>
        <w:spacing w:after="480"/>
        <w:rPr>
          <w:lang w:val="en-US"/>
        </w:rPr>
      </w:pPr>
      <w:r>
        <w:tab/>
        <w:t>The accused and his wife</w:t>
      </w:r>
      <w:r w:rsidR="00F57B56" w:rsidRPr="00F57B56">
        <w:t xml:space="preserve"> were both charged with, and jointly tried for, second degree murder in relation to the death of the older child and unlawfully causing bodily harm in rela</w:t>
      </w:r>
      <w:r>
        <w:t xml:space="preserve">tion to the younger child. </w:t>
      </w:r>
      <w:r w:rsidR="00F57B56" w:rsidRPr="00F57B56">
        <w:rPr>
          <w:lang w:bidi="en-US"/>
        </w:rPr>
        <w:t>All of these charges were predicated on the alleged failure to provide the children concerned with necessari</w:t>
      </w:r>
      <w:r>
        <w:rPr>
          <w:lang w:bidi="en-US"/>
        </w:rPr>
        <w:t xml:space="preserve">es of life, contrary to s. 215 </w:t>
      </w:r>
      <w:r w:rsidR="00F57B56" w:rsidRPr="00F57B56">
        <w:rPr>
          <w:lang w:bidi="en-US"/>
        </w:rPr>
        <w:t xml:space="preserve">of the </w:t>
      </w:r>
      <w:r w:rsidR="00F57B56" w:rsidRPr="00F57B56">
        <w:rPr>
          <w:i/>
          <w:lang w:bidi="en-US"/>
        </w:rPr>
        <w:t>Criminal Code</w:t>
      </w:r>
      <w:r w:rsidR="00F57B56" w:rsidRPr="00F57B56">
        <w:rPr>
          <w:lang w:bidi="en-US"/>
        </w:rPr>
        <w:t>.</w:t>
      </w:r>
      <w:r>
        <w:t xml:space="preserve"> The jury convicted the accused’s wife</w:t>
      </w:r>
      <w:r w:rsidR="00F57B56" w:rsidRPr="00F57B56">
        <w:t xml:space="preserve"> of second degree murder and unlawfully causing b</w:t>
      </w:r>
      <w:r>
        <w:t>odily harm. As for the accused, the jury acquitted him</w:t>
      </w:r>
      <w:r w:rsidR="00F57B56" w:rsidRPr="00F57B56">
        <w:t xml:space="preserve"> of second degree murder but convicted him of the lesser and included offence</w:t>
      </w:r>
      <w:r>
        <w:t xml:space="preserve"> of unlawful act manslaughter, and</w:t>
      </w:r>
      <w:r w:rsidR="00F57B56" w:rsidRPr="00F57B56">
        <w:t xml:space="preserve"> of unlawf</w:t>
      </w:r>
      <w:r>
        <w:t>ully causing bodily harm. The accused</w:t>
      </w:r>
      <w:r w:rsidR="00F57B56" w:rsidRPr="00F57B56">
        <w:t xml:space="preserve"> appealed his convict</w:t>
      </w:r>
      <w:r>
        <w:t xml:space="preserve">ions. </w:t>
      </w:r>
      <w:r w:rsidR="00F57B56" w:rsidRPr="00F57B56">
        <w:rPr>
          <w:lang w:val="en-US"/>
        </w:rPr>
        <w:t>The majority of the Court of Appeal set aside his convictions</w:t>
      </w:r>
      <w:r>
        <w:rPr>
          <w:lang w:val="en-US"/>
        </w:rPr>
        <w:t xml:space="preserve"> and ordered a new trial. It</w:t>
      </w:r>
      <w:r w:rsidR="00F57B56" w:rsidRPr="00F57B56">
        <w:rPr>
          <w:lang w:val="en-US"/>
        </w:rPr>
        <w:t xml:space="preserve"> held tha</w:t>
      </w:r>
      <w:r>
        <w:rPr>
          <w:lang w:val="en-US"/>
        </w:rPr>
        <w:t>t the trial judge had erred in</w:t>
      </w:r>
      <w:r w:rsidR="00F57B56" w:rsidRPr="00F57B56">
        <w:rPr>
          <w:lang w:val="en-US"/>
        </w:rPr>
        <w:t xml:space="preserve"> describing the </w:t>
      </w:r>
      <w:r w:rsidR="00F57B56" w:rsidRPr="00F57B56">
        <w:rPr>
          <w:i/>
          <w:lang w:val="en-US"/>
        </w:rPr>
        <w:t>mens rea</w:t>
      </w:r>
      <w:r>
        <w:rPr>
          <w:lang w:val="en-US"/>
        </w:rPr>
        <w:t xml:space="preserve"> requirement for the predicate offence of</w:t>
      </w:r>
      <w:r w:rsidR="00F57B56" w:rsidRPr="00F57B56">
        <w:rPr>
          <w:lang w:val="en-US"/>
        </w:rPr>
        <w:t xml:space="preserve"> failing to provide necessaries of life</w:t>
      </w:r>
      <w:r>
        <w:rPr>
          <w:lang w:val="en-US"/>
        </w:rPr>
        <w:t xml:space="preserve"> and in</w:t>
      </w:r>
      <w:r w:rsidR="00F57B56" w:rsidRPr="00F57B56">
        <w:t xml:space="preserve"> </w:t>
      </w:r>
      <w:r w:rsidR="00F57B56" w:rsidRPr="00F57B56">
        <w:rPr>
          <w:lang w:val="en-US"/>
        </w:rPr>
        <w:lastRenderedPageBreak/>
        <w:t>failing to review and to instr</w:t>
      </w:r>
      <w:r>
        <w:rPr>
          <w:lang w:val="en-US"/>
        </w:rPr>
        <w:t>uct the jury on the evidence of the accused</w:t>
      </w:r>
      <w:r w:rsidR="00F57B56" w:rsidRPr="00F57B56">
        <w:rPr>
          <w:lang w:val="en-US"/>
        </w:rPr>
        <w:t>’s parenting circumstances as a secondary caregiver.</w:t>
      </w:r>
    </w:p>
    <w:p w:rsidR="00F57B56" w:rsidRDefault="00F57B56" w:rsidP="003A7DE6">
      <w:pPr>
        <w:pStyle w:val="SCCNormalDoubleSpacing"/>
        <w:spacing w:after="480"/>
      </w:pPr>
      <w:r w:rsidRPr="00F57B56">
        <w:rPr>
          <w:lang w:val="en-US"/>
        </w:rPr>
        <w:tab/>
      </w:r>
      <w:r w:rsidRPr="00F57B56">
        <w:rPr>
          <w:i/>
        </w:rPr>
        <w:t>Held</w:t>
      </w:r>
      <w:r w:rsidRPr="00F57B56">
        <w:t>: The appeal should be allowed and the convictions restored.</w:t>
      </w:r>
    </w:p>
    <w:p w:rsidR="00F57B56" w:rsidRDefault="00F57B56" w:rsidP="003A7DE6">
      <w:pPr>
        <w:pStyle w:val="SCCNormalDoubleSpacing"/>
        <w:spacing w:after="480"/>
        <w:rPr>
          <w:bCs/>
          <w:lang w:val="en-US"/>
        </w:rPr>
      </w:pPr>
      <w:r w:rsidRPr="00F57B56">
        <w:tab/>
      </w:r>
      <w:r w:rsidRPr="00F57B56">
        <w:rPr>
          <w:i/>
          <w:iCs/>
          <w:lang w:val="en-US"/>
        </w:rPr>
        <w:t>Per</w:t>
      </w:r>
      <w:r w:rsidRPr="00F57B56">
        <w:rPr>
          <w:lang w:val="en-US"/>
        </w:rPr>
        <w:t xml:space="preserve"> Wagner C.J. and Moldaver, </w:t>
      </w:r>
      <w:r w:rsidRPr="00F57B56">
        <w:rPr>
          <w:bCs/>
          <w:lang w:val="en-US"/>
        </w:rPr>
        <w:t xml:space="preserve">Karakatsanis, </w:t>
      </w:r>
      <w:r w:rsidRPr="00F57B56">
        <w:rPr>
          <w:b/>
          <w:bCs/>
          <w:lang w:val="en-US"/>
        </w:rPr>
        <w:t>Côté</w:t>
      </w:r>
      <w:r w:rsidR="00337D43">
        <w:rPr>
          <w:bCs/>
          <w:lang w:val="en-US"/>
        </w:rPr>
        <w:t xml:space="preserve">, Rowe and Kasirer JJ.: </w:t>
      </w:r>
      <w:r w:rsidRPr="00F57B56">
        <w:rPr>
          <w:bCs/>
        </w:rPr>
        <w:t>The jury was properly instructed.</w:t>
      </w:r>
      <w:r w:rsidR="00337D43">
        <w:rPr>
          <w:bCs/>
          <w:lang w:val="en-US"/>
        </w:rPr>
        <w:t xml:space="preserve"> The jury</w:t>
      </w:r>
      <w:r w:rsidRPr="00F57B56">
        <w:rPr>
          <w:bCs/>
          <w:lang w:val="en-US"/>
        </w:rPr>
        <w:t xml:space="preserve"> charge functionally conveyed the </w:t>
      </w:r>
      <w:r w:rsidRPr="00F57B56">
        <w:rPr>
          <w:bCs/>
          <w:i/>
          <w:lang w:val="en-US"/>
        </w:rPr>
        <w:t>mens rea</w:t>
      </w:r>
      <w:r w:rsidR="00337D43">
        <w:rPr>
          <w:bCs/>
          <w:lang w:val="en-US"/>
        </w:rPr>
        <w:t xml:space="preserve"> requirements such that</w:t>
      </w:r>
      <w:r w:rsidRPr="00F57B56">
        <w:rPr>
          <w:bCs/>
          <w:lang w:val="en-US"/>
        </w:rPr>
        <w:t xml:space="preserve"> there is no reasonable possibility</w:t>
      </w:r>
      <w:r w:rsidR="00337D43">
        <w:rPr>
          <w:bCs/>
          <w:lang w:val="en-US"/>
        </w:rPr>
        <w:t xml:space="preserve"> that the jury would have been confused.</w:t>
      </w:r>
      <w:r w:rsidRPr="00F57B56">
        <w:rPr>
          <w:bCs/>
          <w:lang w:val="en-US"/>
        </w:rPr>
        <w:t xml:space="preserve"> The</w:t>
      </w:r>
      <w:r w:rsidR="00337D43">
        <w:rPr>
          <w:bCs/>
          <w:lang w:val="en-US"/>
        </w:rPr>
        <w:t xml:space="preserve"> charge also</w:t>
      </w:r>
      <w:r w:rsidRPr="00F57B56">
        <w:rPr>
          <w:bCs/>
          <w:lang w:val="en-US"/>
        </w:rPr>
        <w:t xml:space="preserve"> sufficien</w:t>
      </w:r>
      <w:r w:rsidR="00337D43">
        <w:rPr>
          <w:bCs/>
          <w:lang w:val="en-US"/>
        </w:rPr>
        <w:t>tly recited the evidence about the circumstances that the accused</w:t>
      </w:r>
      <w:r w:rsidRPr="00F57B56">
        <w:rPr>
          <w:bCs/>
          <w:lang w:val="en-US"/>
        </w:rPr>
        <w:t xml:space="preserve"> argued prevented him from foreseeing the risk </w:t>
      </w:r>
      <w:r w:rsidR="00337D43">
        <w:rPr>
          <w:bCs/>
        </w:rPr>
        <w:t>of harm to the children. As well,</w:t>
      </w:r>
      <w:r w:rsidRPr="00F57B56">
        <w:rPr>
          <w:bCs/>
        </w:rPr>
        <w:t xml:space="preserve"> </w:t>
      </w:r>
      <w:r w:rsidRPr="00F57B56">
        <w:rPr>
          <w:bCs/>
          <w:lang w:val="en-US"/>
        </w:rPr>
        <w:t>the jury was well</w:t>
      </w:r>
      <w:r w:rsidRPr="00F57B56">
        <w:rPr>
          <w:bCs/>
          <w:lang w:val="en-US"/>
        </w:rPr>
        <w:noBreakHyphen/>
        <w:t>equipped to make a common sense assessment of whether failing to provide food or fluids to young children constituted a marked departure from the conduct of a reasonably prudent person.</w:t>
      </w:r>
    </w:p>
    <w:p w:rsidR="00F57B56" w:rsidRDefault="00337D43" w:rsidP="003A7DE6">
      <w:pPr>
        <w:pStyle w:val="SCCNormalDoubleSpacing"/>
        <w:spacing w:after="480"/>
      </w:pPr>
      <w:r>
        <w:tab/>
      </w:r>
      <w:r w:rsidR="00F57B56" w:rsidRPr="00F57B56">
        <w:t>An accused is entitled to a jury that is properly — and not necessari</w:t>
      </w:r>
      <w:r>
        <w:t xml:space="preserve">ly perfectly — instructed. </w:t>
      </w:r>
      <w:r w:rsidR="00F57B56" w:rsidRPr="00F57B56">
        <w:t>Trial judges must be afforded some flexibility in crafting the language of jury instructions, as their role requires them to decant and simplify the law</w:t>
      </w:r>
      <w:r>
        <w:t xml:space="preserve"> and evidence for the jury.</w:t>
      </w:r>
      <w:r w:rsidR="00F57B56" w:rsidRPr="00F57B56">
        <w:t xml:space="preserve"> An appellate court must take a functional approach when reviewing a jury charge by examining the alleged errors in the context of the evidence, the entire charge, and the trial as a whole.</w:t>
      </w:r>
    </w:p>
    <w:p w:rsidR="00F57B56" w:rsidRDefault="00F57B56" w:rsidP="003A7DE6">
      <w:pPr>
        <w:pStyle w:val="SCCNormalDoubleSpacing"/>
        <w:spacing w:after="480"/>
        <w:rPr>
          <w:lang w:val="en-US"/>
        </w:rPr>
      </w:pPr>
      <w:r>
        <w:tab/>
      </w:r>
      <w:r w:rsidR="00337D43">
        <w:t>In the instant case,</w:t>
      </w:r>
      <w:r w:rsidRPr="00F57B56">
        <w:t xml:space="preserve"> t</w:t>
      </w:r>
      <w:r w:rsidRPr="00F57B56">
        <w:rPr>
          <w:lang w:val="en-US"/>
        </w:rPr>
        <w:t>he jury charge was not perfect.</w:t>
      </w:r>
      <w:r w:rsidR="00337D43">
        <w:t xml:space="preserve"> </w:t>
      </w:r>
      <w:r w:rsidRPr="00F57B56">
        <w:t xml:space="preserve">With respect to the </w:t>
      </w:r>
      <w:r w:rsidRPr="00F57B56">
        <w:rPr>
          <w:i/>
        </w:rPr>
        <w:t>mens rea</w:t>
      </w:r>
      <w:r w:rsidRPr="00F57B56">
        <w:t xml:space="preserve"> requirement</w:t>
      </w:r>
      <w:r w:rsidRPr="00F57B56">
        <w:rPr>
          <w:lang w:val="en-US"/>
        </w:rPr>
        <w:t xml:space="preserve"> for failure to provide necessaries of life</w:t>
      </w:r>
      <w:r w:rsidRPr="00F57B56">
        <w:t xml:space="preserve">, the trial judge did not make a </w:t>
      </w:r>
      <w:r w:rsidR="00337D43">
        <w:t>clear distinction in her instructions to the jury</w:t>
      </w:r>
      <w:r w:rsidRPr="00F57B56">
        <w:t xml:space="preserve"> between the requir</w:t>
      </w:r>
      <w:r w:rsidR="00337D43">
        <w:t xml:space="preserve">ed foreseeability </w:t>
      </w:r>
      <w:r w:rsidR="00337D43">
        <w:lastRenderedPageBreak/>
        <w:t xml:space="preserve">standard for </w:t>
      </w:r>
      <w:r w:rsidRPr="00F57B56">
        <w:t>failing</w:t>
      </w:r>
      <w:r w:rsidR="00337D43">
        <w:t xml:space="preserve"> to provide necessaries of life</w:t>
      </w:r>
      <w:r w:rsidRPr="00F57B56">
        <w:t xml:space="preserve"> and the required foreseeability standard for manslaughter or unlawfully causing </w:t>
      </w:r>
      <w:r w:rsidR="00337D43">
        <w:t xml:space="preserve">bodily harm. </w:t>
      </w:r>
      <w:r w:rsidRPr="00F57B56">
        <w:t>She routinely juxtaposed the two different foreseeability requirements without clearly alerting the jury to how the respective foresight standards corresponded t</w:t>
      </w:r>
      <w:r w:rsidR="00337D43">
        <w:t>o the respective offences. However,</w:t>
      </w:r>
      <w:r w:rsidRPr="00F57B56">
        <w:t xml:space="preserve"> w</w:t>
      </w:r>
      <w:proofErr w:type="spellStart"/>
      <w:r w:rsidRPr="00F57B56">
        <w:rPr>
          <w:lang w:val="en-US"/>
        </w:rPr>
        <w:t>hen</w:t>
      </w:r>
      <w:proofErr w:type="spellEnd"/>
      <w:r w:rsidRPr="00F57B56">
        <w:rPr>
          <w:lang w:val="en-US"/>
        </w:rPr>
        <w:t xml:space="preserve"> read as a whole, the trial judge’s instructions functionally conveyed the n</w:t>
      </w:r>
      <w:r w:rsidR="00337D43">
        <w:rPr>
          <w:lang w:val="en-US"/>
        </w:rPr>
        <w:t xml:space="preserve">ecessary legal principles. </w:t>
      </w:r>
      <w:r w:rsidRPr="00F57B56">
        <w:rPr>
          <w:lang w:val="en-US"/>
        </w:rPr>
        <w:t xml:space="preserve">There is no reasonable possibility that the jury was confused about the required </w:t>
      </w:r>
      <w:r w:rsidRPr="00F57B56">
        <w:rPr>
          <w:i/>
          <w:lang w:val="en-US"/>
        </w:rPr>
        <w:t>mens rea</w:t>
      </w:r>
      <w:r w:rsidR="00337D43">
        <w:rPr>
          <w:lang w:val="en-US"/>
        </w:rPr>
        <w:t xml:space="preserve"> for </w:t>
      </w:r>
      <w:r w:rsidRPr="00F57B56">
        <w:rPr>
          <w:lang w:val="en-US"/>
        </w:rPr>
        <w:t>failing</w:t>
      </w:r>
      <w:r w:rsidR="00337D43">
        <w:rPr>
          <w:lang w:val="en-US"/>
        </w:rPr>
        <w:t xml:space="preserve"> to provide necessaries of life</w:t>
      </w:r>
      <w:r w:rsidRPr="00F57B56">
        <w:rPr>
          <w:lang w:val="en-US"/>
        </w:rPr>
        <w:t xml:space="preserve"> or misled about what the Crown had to prove</w:t>
      </w:r>
      <w:r w:rsidR="00337D43">
        <w:rPr>
          <w:lang w:val="en-US"/>
        </w:rPr>
        <w:t xml:space="preserve"> in order for the jury to find the accused</w:t>
      </w:r>
      <w:r w:rsidRPr="00F57B56">
        <w:rPr>
          <w:lang w:val="en-US"/>
        </w:rPr>
        <w:t xml:space="preserve"> guilty of either manslaughter or unlawfully causing bodily harm.</w:t>
      </w:r>
    </w:p>
    <w:p w:rsidR="00F57B56" w:rsidRDefault="00F57B56" w:rsidP="003A7DE6">
      <w:pPr>
        <w:pStyle w:val="SCCNormalDoubleSpacing"/>
        <w:spacing w:after="480"/>
        <w:rPr>
          <w:lang w:val="en-US"/>
        </w:rPr>
      </w:pPr>
      <w:r>
        <w:tab/>
      </w:r>
      <w:r w:rsidRPr="00F57B56">
        <w:t xml:space="preserve">The trial judge clearly and correctly summarized the required </w:t>
      </w:r>
      <w:r w:rsidRPr="00F57B56">
        <w:rPr>
          <w:i/>
        </w:rPr>
        <w:t>mens rea</w:t>
      </w:r>
      <w:r w:rsidR="00337D43">
        <w:t xml:space="preserve"> for </w:t>
      </w:r>
      <w:r w:rsidRPr="00F57B56">
        <w:t>failing</w:t>
      </w:r>
      <w:r w:rsidR="00337D43">
        <w:t xml:space="preserve"> to provide necessaries of life in one</w:t>
      </w:r>
      <w:r w:rsidRPr="00F57B56">
        <w:t xml:space="preserve"> portion of the</w:t>
      </w:r>
      <w:r w:rsidR="00337D43">
        <w:t xml:space="preserve"> charge. She</w:t>
      </w:r>
      <w:r w:rsidRPr="00F57B56">
        <w:t xml:space="preserve"> invited the jury to consider two straightforward questions to assess whether that</w:t>
      </w:r>
      <w:r w:rsidR="00337D43">
        <w:t xml:space="preserve"> requirement had been met. </w:t>
      </w:r>
      <w:r w:rsidRPr="00F57B56">
        <w:t xml:space="preserve">These questions told the jurors exactly what to ask themselves in the </w:t>
      </w:r>
      <w:r w:rsidR="00337D43">
        <w:t>circumstances of this case.</w:t>
      </w:r>
      <w:r w:rsidRPr="00F57B56">
        <w:t xml:space="preserve"> There is simply no reasonable possibility that any juror would have disregarded these straightforward questions and would have instead chosen to apply the</w:t>
      </w:r>
      <w:r w:rsidR="00337D43">
        <w:t xml:space="preserve"> lower foresight standard. </w:t>
      </w:r>
      <w:r w:rsidR="00337D43">
        <w:rPr>
          <w:lang w:val="en-US"/>
        </w:rPr>
        <w:t>Additionally, since</w:t>
      </w:r>
      <w:r w:rsidRPr="00F57B56">
        <w:rPr>
          <w:lang w:val="en-US"/>
        </w:rPr>
        <w:t xml:space="preserve"> the impugned instruction was routinely introduced with the word “further”, the jury would have concluded that both foresight stan</w:t>
      </w:r>
      <w:r w:rsidR="00337D43">
        <w:rPr>
          <w:lang w:val="en-US"/>
        </w:rPr>
        <w:t xml:space="preserve">dards had to be satisfied. </w:t>
      </w:r>
      <w:r w:rsidRPr="00F57B56">
        <w:rPr>
          <w:lang w:val="en-US"/>
        </w:rPr>
        <w:t>Finally, defence counsel did not object to the charge at trial and appellate counsel before the Court of Appeal did not initially identify the juxtaposition of the two foreseeability standar</w:t>
      </w:r>
      <w:r w:rsidR="00337D43">
        <w:rPr>
          <w:lang w:val="en-US"/>
        </w:rPr>
        <w:t xml:space="preserve">ds as an issue of concern. </w:t>
      </w:r>
      <w:r w:rsidRPr="00F57B56">
        <w:rPr>
          <w:lang w:val="en-US"/>
        </w:rPr>
        <w:t xml:space="preserve">Although not determinative, defence counsel’s failure to object at trial and appellate counsel’s </w:t>
      </w:r>
      <w:r w:rsidRPr="00F57B56">
        <w:rPr>
          <w:lang w:val="en-US"/>
        </w:rPr>
        <w:lastRenderedPageBreak/>
        <w:t>failure to identify the issue initially on appeal undermine the argument that the jury may have been misled or confused about the appropriate standard.</w:t>
      </w:r>
    </w:p>
    <w:p w:rsidR="00F57B56" w:rsidRDefault="00F57B56" w:rsidP="003A7DE6">
      <w:pPr>
        <w:pStyle w:val="SCCNormalDoubleSpacing"/>
        <w:spacing w:after="480"/>
        <w:rPr>
          <w:lang w:val="en-US"/>
        </w:rPr>
      </w:pPr>
      <w:r w:rsidRPr="00F57B56">
        <w:rPr>
          <w:lang w:val="en-US"/>
        </w:rPr>
        <w:tab/>
        <w:t xml:space="preserve">As to the </w:t>
      </w:r>
      <w:r w:rsidR="00337D43">
        <w:rPr>
          <w:lang w:val="en-US"/>
        </w:rPr>
        <w:t>charge on the accused’s alleged</w:t>
      </w:r>
      <w:r w:rsidRPr="00F57B56">
        <w:rPr>
          <w:lang w:val="en-US"/>
        </w:rPr>
        <w:t xml:space="preserve"> circumstances</w:t>
      </w:r>
      <w:r w:rsidR="00337D43">
        <w:rPr>
          <w:lang w:val="en-US"/>
        </w:rPr>
        <w:t xml:space="preserve"> as a secondary caregiver, </w:t>
      </w:r>
      <w:r w:rsidRPr="00F57B56">
        <w:rPr>
          <w:lang w:val="en-US"/>
        </w:rPr>
        <w:t>the law is clear that personal characteristics of an accused, short of incapacity, are irrelevan</w:t>
      </w:r>
      <w:r w:rsidR="00337D43">
        <w:rPr>
          <w:lang w:val="en-US"/>
        </w:rPr>
        <w:t xml:space="preserve">t. </w:t>
      </w:r>
      <w:r w:rsidRPr="00F57B56">
        <w:t>Consideration of personal characteristics injects subjectivity into the objective test, which undermines the purpose of having a single and uniform minim</w:t>
      </w:r>
      <w:r w:rsidR="00337D43">
        <w:t xml:space="preserve">um legal standard of care. </w:t>
      </w:r>
      <w:r w:rsidRPr="00F57B56">
        <w:t>While the legal duty of the accused is not particularized by his or her personal characteristics short of incapacity, it is particularized in application by the nature of the activity and the circumstances surrounding the accused’s failure t</w:t>
      </w:r>
      <w:r w:rsidR="00337D43">
        <w:t xml:space="preserve">o take the requisite care. </w:t>
      </w:r>
      <w:r w:rsidRPr="00F57B56">
        <w:t>The reasonable person is therefore placed in the relevant cir</w:t>
      </w:r>
      <w:r w:rsidR="00337D43">
        <w:t xml:space="preserve">cumstances of the accused. </w:t>
      </w:r>
      <w:r w:rsidRPr="00F57B56">
        <w:t xml:space="preserve">These circumstances </w:t>
      </w:r>
      <w:r w:rsidRPr="00F57B56">
        <w:rPr>
          <w:lang w:val="en-US"/>
        </w:rPr>
        <w:t>do not personalize the objective standard; they contextualize it.</w:t>
      </w:r>
    </w:p>
    <w:p w:rsidR="00F57B56" w:rsidRDefault="00F57B56" w:rsidP="003A7DE6">
      <w:pPr>
        <w:pStyle w:val="SCCNormalDoubleSpacing"/>
        <w:spacing w:after="480"/>
        <w:rPr>
          <w:lang w:val="en-US"/>
        </w:rPr>
      </w:pPr>
      <w:r w:rsidRPr="00F57B56">
        <w:rPr>
          <w:lang w:val="en-US"/>
        </w:rPr>
        <w:tab/>
      </w:r>
      <w:r w:rsidR="00337D43">
        <w:t>In the instant case, the accused</w:t>
      </w:r>
      <w:r w:rsidRPr="00F57B56">
        <w:t>’s alleged lack of involvemen</w:t>
      </w:r>
      <w:r w:rsidR="00337D43">
        <w:t>t in providing necessaries for the children</w:t>
      </w:r>
      <w:r w:rsidRPr="00F57B56">
        <w:t xml:space="preserve"> cannot be chara</w:t>
      </w:r>
      <w:r w:rsidR="00337D43">
        <w:t>cterized as a circumstance.</w:t>
      </w:r>
      <w:r w:rsidRPr="00F57B56">
        <w:t xml:space="preserve"> Rather, it constitutes an essential element of the </w:t>
      </w:r>
      <w:r w:rsidRPr="00F57B56">
        <w:rPr>
          <w:i/>
        </w:rPr>
        <w:t xml:space="preserve">actus </w:t>
      </w:r>
      <w:proofErr w:type="gramStart"/>
      <w:r w:rsidRPr="00F57B56">
        <w:rPr>
          <w:i/>
        </w:rPr>
        <w:t>reus</w:t>
      </w:r>
      <w:proofErr w:type="gramEnd"/>
      <w:r w:rsidR="00337D43">
        <w:t>. The accused</w:t>
      </w:r>
      <w:r w:rsidRPr="00F57B56">
        <w:t xml:space="preserve"> had a duty to provide necessaries of life to the children.</w:t>
      </w:r>
      <w:r w:rsidRPr="00337D43">
        <w:t xml:space="preserve"> </w:t>
      </w:r>
      <w:r w:rsidRPr="00F57B56">
        <w:t xml:space="preserve">His utter neglect of them is not a circumstance that can ground his failure to </w:t>
      </w:r>
      <w:r w:rsidR="00337D43">
        <w:t>foresee the risk of harm. Moreover</w:t>
      </w:r>
      <w:r w:rsidRPr="00F57B56">
        <w:t xml:space="preserve">, </w:t>
      </w:r>
      <w:r w:rsidRPr="00F57B56">
        <w:rPr>
          <w:lang w:bidi="en-US"/>
        </w:rPr>
        <w:t>given the evid</w:t>
      </w:r>
      <w:r w:rsidR="00337D43">
        <w:rPr>
          <w:lang w:bidi="en-US"/>
        </w:rPr>
        <w:t>ence of emaciation and neglect of the children</w:t>
      </w:r>
      <w:r w:rsidRPr="00F57B56">
        <w:rPr>
          <w:lang w:bidi="en-US"/>
        </w:rPr>
        <w:t xml:space="preserve">, </w:t>
      </w:r>
      <w:r w:rsidR="00337D43">
        <w:t>the accused’s</w:t>
      </w:r>
      <w:r w:rsidRPr="00F57B56">
        <w:t xml:space="preserve"> </w:t>
      </w:r>
      <w:r w:rsidRPr="00F57B56">
        <w:rPr>
          <w:lang w:bidi="en-US"/>
        </w:rPr>
        <w:t>alleged reliance on his wife, his alleged limited interaction with the girls, and the girls’ alleged history of being picky eaters and suffe</w:t>
      </w:r>
      <w:r w:rsidR="00337D43">
        <w:rPr>
          <w:lang w:bidi="en-US"/>
        </w:rPr>
        <w:t>ring from illness regularly were not</w:t>
      </w:r>
      <w:r w:rsidRPr="00F57B56">
        <w:rPr>
          <w:lang w:bidi="en-US"/>
        </w:rPr>
        <w:t xml:space="preserve"> </w:t>
      </w:r>
      <w:r w:rsidRPr="00F57B56">
        <w:t xml:space="preserve">circumstances </w:t>
      </w:r>
      <w:r w:rsidRPr="00F57B56">
        <w:rPr>
          <w:lang w:bidi="en-US"/>
        </w:rPr>
        <w:t>material to the j</w:t>
      </w:r>
      <w:r w:rsidR="00337D43">
        <w:rPr>
          <w:lang w:bidi="en-US"/>
        </w:rPr>
        <w:t>ury’s consideration of whether the accused</w:t>
      </w:r>
      <w:r w:rsidRPr="00F57B56">
        <w:rPr>
          <w:lang w:bidi="en-US"/>
        </w:rPr>
        <w:t xml:space="preserve"> had the requisite foresight to be criminally liable</w:t>
      </w:r>
      <w:r w:rsidRPr="00F57B56">
        <w:t xml:space="preserve">. </w:t>
      </w:r>
      <w:r w:rsidR="00337D43">
        <w:lastRenderedPageBreak/>
        <w:t>The accused</w:t>
      </w:r>
      <w:r w:rsidRPr="00F57B56">
        <w:t xml:space="preserve"> was </w:t>
      </w:r>
      <w:r w:rsidR="00337D43">
        <w:t>well positioned to observe the children’s</w:t>
      </w:r>
      <w:r w:rsidRPr="00F57B56">
        <w:t xml:space="preserve"> cond</w:t>
      </w:r>
      <w:r w:rsidR="00337D43">
        <w:t xml:space="preserve">ition, yet he did nothing. </w:t>
      </w:r>
      <w:r w:rsidRPr="00F57B56">
        <w:rPr>
          <w:lang w:val="en-US"/>
        </w:rPr>
        <w:t>In any event, the trial judge sufficien</w:t>
      </w:r>
      <w:r w:rsidR="00337D43">
        <w:rPr>
          <w:lang w:val="en-US"/>
        </w:rPr>
        <w:t xml:space="preserve">tly recited the evidence about the accused’s alleged circumstances. </w:t>
      </w:r>
      <w:r w:rsidRPr="00F57B56">
        <w:rPr>
          <w:lang w:val="en-US"/>
        </w:rPr>
        <w:t xml:space="preserve">The trial judge instructed the jury </w:t>
      </w:r>
      <w:r w:rsidR="00337D43">
        <w:rPr>
          <w:lang w:val="en-US"/>
        </w:rPr>
        <w:t>multiple times on the accused</w:t>
      </w:r>
      <w:r w:rsidRPr="00F57B56">
        <w:rPr>
          <w:lang w:val="en-US"/>
        </w:rPr>
        <w:t>’s evidence relating to his busy schedule and his purported status</w:t>
      </w:r>
      <w:r w:rsidR="00337D43">
        <w:rPr>
          <w:lang w:val="en-US"/>
        </w:rPr>
        <w:t xml:space="preserve"> as a secondary caregiver. </w:t>
      </w:r>
      <w:r w:rsidRPr="00F57B56">
        <w:rPr>
          <w:lang w:val="en-US"/>
        </w:rPr>
        <w:t xml:space="preserve">Although the more detailed description of the evidence was given in portions of the charge that discussed the </w:t>
      </w:r>
      <w:r w:rsidRPr="00F57B56">
        <w:rPr>
          <w:i/>
          <w:lang w:val="en-US"/>
        </w:rPr>
        <w:t xml:space="preserve">actus </w:t>
      </w:r>
      <w:proofErr w:type="gramStart"/>
      <w:r w:rsidRPr="00F57B56">
        <w:rPr>
          <w:i/>
          <w:lang w:val="en-US"/>
        </w:rPr>
        <w:t>reus</w:t>
      </w:r>
      <w:proofErr w:type="gramEnd"/>
      <w:r w:rsidRPr="00F57B56">
        <w:rPr>
          <w:lang w:val="en-US"/>
        </w:rPr>
        <w:t xml:space="preserve">, there is no basis to conclude that the trial judge’s comparably brief recitation of the evidence when discussing </w:t>
      </w:r>
      <w:r w:rsidRPr="00F57B56">
        <w:rPr>
          <w:i/>
          <w:lang w:val="en-US"/>
        </w:rPr>
        <w:t>mens rea</w:t>
      </w:r>
      <w:r w:rsidRPr="00F57B56">
        <w:rPr>
          <w:lang w:val="en-US"/>
        </w:rPr>
        <w:t xml:space="preserve"> would have caus</w:t>
      </w:r>
      <w:r w:rsidR="00337D43">
        <w:rPr>
          <w:lang w:val="en-US"/>
        </w:rPr>
        <w:t xml:space="preserve">ed the jury any confusion. </w:t>
      </w:r>
      <w:r w:rsidRPr="00F57B56">
        <w:rPr>
          <w:lang w:val="en-US"/>
        </w:rPr>
        <w:t>The trial jud</w:t>
      </w:r>
      <w:r w:rsidR="00337D43">
        <w:rPr>
          <w:lang w:val="en-US"/>
        </w:rPr>
        <w:t>ge also instructed the jury on the accused</w:t>
      </w:r>
      <w:r w:rsidRPr="00F57B56">
        <w:rPr>
          <w:lang w:val="en-US"/>
        </w:rPr>
        <w:t>’s alleged circumstances a final time when outlining the defence theory of the case at the end of her charge.</w:t>
      </w:r>
    </w:p>
    <w:p w:rsidR="00F57B56" w:rsidRDefault="00B55DA2" w:rsidP="003A7DE6">
      <w:pPr>
        <w:pStyle w:val="SCCNormalDoubleSpacing"/>
        <w:spacing w:after="480"/>
        <w:rPr>
          <w:lang w:val="en-US"/>
        </w:rPr>
      </w:pPr>
      <w:r>
        <w:tab/>
        <w:t>With respect to</w:t>
      </w:r>
      <w:r w:rsidR="00F57B56" w:rsidRPr="00F57B56">
        <w:t xml:space="preserve"> the term </w:t>
      </w:r>
      <w:r w:rsidR="00F57B56" w:rsidRPr="00F57B56">
        <w:rPr>
          <w:lang w:bidi="en-US"/>
        </w:rPr>
        <w:t>“marked departure”, a new trial is not warranted simply because t</w:t>
      </w:r>
      <w:r>
        <w:rPr>
          <w:lang w:bidi="en-US"/>
        </w:rPr>
        <w:t xml:space="preserve">he trial judge did not explain its meaning. </w:t>
      </w:r>
      <w:r w:rsidR="00F57B56" w:rsidRPr="00F57B56">
        <w:rPr>
          <w:lang w:val="en-US"/>
        </w:rPr>
        <w:t>The alleged marked departure in</w:t>
      </w:r>
      <w:r>
        <w:rPr>
          <w:lang w:val="en-US"/>
        </w:rPr>
        <w:t xml:space="preserve"> the instant</w:t>
      </w:r>
      <w:r w:rsidR="00F57B56" w:rsidRPr="00F57B56">
        <w:rPr>
          <w:lang w:val="en-US"/>
        </w:rPr>
        <w:t xml:space="preserve"> case relates to whether a reasonable person would have foreseen that failing to provide food or fluids to young children would result in a risk of danger to life or of perman</w:t>
      </w:r>
      <w:r>
        <w:rPr>
          <w:lang w:val="en-US"/>
        </w:rPr>
        <w:t>ent endangerment to health.</w:t>
      </w:r>
      <w:r w:rsidR="00F57B56" w:rsidRPr="00F57B56">
        <w:rPr>
          <w:lang w:val="en-US"/>
        </w:rPr>
        <w:t xml:space="preserve"> Given this context, the jury was easily able to assess whether the failure to provide food or fluids to young children constituted a marked departure from the standard of care of a reasonably prudent pe</w:t>
      </w:r>
      <w:r>
        <w:rPr>
          <w:lang w:val="en-US"/>
        </w:rPr>
        <w:t xml:space="preserve">rson in the circumstances. </w:t>
      </w:r>
      <w:r w:rsidR="00F57B56" w:rsidRPr="00F57B56">
        <w:t>As</w:t>
      </w:r>
      <w:r>
        <w:t xml:space="preserve"> well, the accused chose not to </w:t>
      </w:r>
      <w:r w:rsidR="00F57B56" w:rsidRPr="00F57B56">
        <w:rPr>
          <w:lang w:val="en-US"/>
        </w:rPr>
        <w:t>request an instructi</w:t>
      </w:r>
      <w:r>
        <w:rPr>
          <w:lang w:val="en-US"/>
        </w:rPr>
        <w:t xml:space="preserve">on on the meaning of the term as </w:t>
      </w:r>
      <w:r w:rsidR="00F57B56" w:rsidRPr="00F57B56">
        <w:rPr>
          <w:lang w:val="en-US"/>
        </w:rPr>
        <w:t>it was not in his interest to do so and it was inconsistent with his defence at trial that neither he nor his wife ever denied food or fluids to the children and that medical attention was not required up until the time they took t</w:t>
      </w:r>
      <w:r>
        <w:rPr>
          <w:lang w:val="en-US"/>
        </w:rPr>
        <w:t>he older child to the hospital.</w:t>
      </w:r>
      <w:r w:rsidR="00F57B56" w:rsidRPr="00F57B56">
        <w:t xml:space="preserve"> </w:t>
      </w:r>
      <w:r>
        <w:rPr>
          <w:lang w:val="en-US"/>
        </w:rPr>
        <w:t>The charge was thus</w:t>
      </w:r>
      <w:r w:rsidR="00F57B56" w:rsidRPr="00F57B56">
        <w:rPr>
          <w:lang w:val="en-US"/>
        </w:rPr>
        <w:t xml:space="preserve"> adequate because, based on the evidence and the trial as </w:t>
      </w:r>
      <w:r w:rsidR="00F57B56" w:rsidRPr="00F57B56">
        <w:rPr>
          <w:lang w:val="en-US"/>
        </w:rPr>
        <w:lastRenderedPageBreak/>
        <w:t xml:space="preserve">a whole, there was no issue as to whether the failure to provide food or fluids to young children </w:t>
      </w:r>
      <w:r w:rsidR="003A7DE6">
        <w:rPr>
          <w:lang w:val="en-US"/>
        </w:rPr>
        <w:t xml:space="preserve">constituted a marked departure — </w:t>
      </w:r>
      <w:r w:rsidR="00F57B56" w:rsidRPr="00F57B56">
        <w:rPr>
          <w:lang w:val="en-US"/>
        </w:rPr>
        <w:t>it was not a difficult concept to understand or apply in the circumstances.</w:t>
      </w:r>
    </w:p>
    <w:p w:rsidR="00F57B56" w:rsidRDefault="00F57B56" w:rsidP="003A7DE6">
      <w:pPr>
        <w:pStyle w:val="SCCNormalDoubleSpacing"/>
        <w:spacing w:after="480"/>
        <w:rPr>
          <w:iCs/>
          <w:lang w:val="en-US"/>
        </w:rPr>
      </w:pPr>
      <w:r w:rsidRPr="00F57B56">
        <w:rPr>
          <w:lang w:val="en-US"/>
        </w:rPr>
        <w:tab/>
      </w:r>
      <w:r w:rsidRPr="00F57B56">
        <w:rPr>
          <w:i/>
          <w:iCs/>
          <w:lang w:val="en-US"/>
        </w:rPr>
        <w:t xml:space="preserve">Per </w:t>
      </w:r>
      <w:r w:rsidRPr="00F57B56">
        <w:rPr>
          <w:b/>
          <w:iCs/>
          <w:lang w:val="en-US"/>
        </w:rPr>
        <w:t>Brown</w:t>
      </w:r>
      <w:r w:rsidR="00B55DA2">
        <w:rPr>
          <w:iCs/>
          <w:lang w:val="en-US"/>
        </w:rPr>
        <w:t xml:space="preserve">, Martin and Jamal JJ.: </w:t>
      </w:r>
      <w:r w:rsidRPr="00F57B56">
        <w:rPr>
          <w:iCs/>
          <w:lang w:val="en-US"/>
        </w:rPr>
        <w:t xml:space="preserve">The jury charge, when viewed from the functional perspective </w:t>
      </w:r>
      <w:r w:rsidR="00B55DA2">
        <w:rPr>
          <w:iCs/>
          <w:lang w:val="en-US"/>
        </w:rPr>
        <w:t>required by the jurisprudence, did not</w:t>
      </w:r>
      <w:r w:rsidRPr="00F57B56">
        <w:rPr>
          <w:iCs/>
          <w:lang w:val="en-US"/>
        </w:rPr>
        <w:t xml:space="preserve"> properly equip the jury to decide </w:t>
      </w:r>
      <w:r w:rsidR="00B55DA2">
        <w:rPr>
          <w:iCs/>
          <w:lang w:val="en-US"/>
        </w:rPr>
        <w:t>the case according to law. However, as</w:t>
      </w:r>
      <w:r w:rsidRPr="00F57B56">
        <w:rPr>
          <w:iCs/>
          <w:lang w:val="en-US"/>
        </w:rPr>
        <w:t xml:space="preserve"> no substantial wrong or miscarriage of justice flowed from the deficient inst</w:t>
      </w:r>
      <w:r w:rsidR="00B55DA2">
        <w:rPr>
          <w:iCs/>
          <w:lang w:val="en-US"/>
        </w:rPr>
        <w:t xml:space="preserve">ructions, the curative proviso should be applied. </w:t>
      </w:r>
      <w:r w:rsidRPr="00F57B56">
        <w:rPr>
          <w:iCs/>
          <w:lang w:val="en-US"/>
        </w:rPr>
        <w:t>There is therefore a</w:t>
      </w:r>
      <w:r w:rsidR="00B55DA2">
        <w:rPr>
          <w:iCs/>
          <w:lang w:val="en-US"/>
        </w:rPr>
        <w:t>greement with the majority that</w:t>
      </w:r>
      <w:r w:rsidRPr="00F57B56">
        <w:rPr>
          <w:iCs/>
          <w:lang w:val="en-US"/>
        </w:rPr>
        <w:t xml:space="preserve"> the appeal should be al</w:t>
      </w:r>
      <w:r w:rsidR="00B55DA2">
        <w:rPr>
          <w:iCs/>
          <w:lang w:val="en-US"/>
        </w:rPr>
        <w:t xml:space="preserve">lowed and </w:t>
      </w:r>
      <w:r w:rsidRPr="00F57B56">
        <w:rPr>
          <w:iCs/>
        </w:rPr>
        <w:t>the convictions restored</w:t>
      </w:r>
      <w:r w:rsidRPr="00F57B56">
        <w:rPr>
          <w:iCs/>
          <w:lang w:val="en-US"/>
        </w:rPr>
        <w:t>.</w:t>
      </w:r>
    </w:p>
    <w:p w:rsidR="00F57B56" w:rsidRDefault="00B55DA2" w:rsidP="003A7DE6">
      <w:pPr>
        <w:pStyle w:val="SCCNormalDoubleSpacing"/>
        <w:spacing w:after="480"/>
        <w:rPr>
          <w:iCs/>
        </w:rPr>
      </w:pPr>
      <w:r>
        <w:rPr>
          <w:iCs/>
          <w:lang w:val="en-US"/>
        </w:rPr>
        <w:tab/>
      </w:r>
      <w:r w:rsidR="00F57B56" w:rsidRPr="00F57B56">
        <w:rPr>
          <w:iCs/>
          <w:lang w:val="en-US"/>
        </w:rPr>
        <w:t>The functional approach requires the charge to be read as a whole and asks whether an appellate court can be satisfied that the jury would have adequately understood the issues involved, the law relating to the charge the accused was facing, and the evidence to be considered in resolving the issues.</w:t>
      </w:r>
      <w:r w:rsidR="00F57B56" w:rsidRPr="00F57B56">
        <w:t xml:space="preserve"> </w:t>
      </w:r>
      <w:r w:rsidR="00F57B56" w:rsidRPr="00F57B56">
        <w:rPr>
          <w:iCs/>
        </w:rPr>
        <w:t>The jury must not be left to, in effect, cobble together its own</w:t>
      </w:r>
      <w:r w:rsidR="00F57B56" w:rsidRPr="00F57B56">
        <w:rPr>
          <w:i/>
          <w:iCs/>
        </w:rPr>
        <w:t xml:space="preserve"> </w:t>
      </w:r>
      <w:r w:rsidR="00F57B56" w:rsidRPr="00F57B56">
        <w:rPr>
          <w:iCs/>
        </w:rPr>
        <w:t>charge by guessing correctly about which part of the charge to follow and which part to disregard.</w:t>
      </w:r>
    </w:p>
    <w:p w:rsidR="00F57B56" w:rsidRPr="00F57B56" w:rsidRDefault="00B55DA2" w:rsidP="003A7DE6">
      <w:pPr>
        <w:pStyle w:val="SCCNormalDoubleSpacing"/>
        <w:spacing w:after="480"/>
        <w:rPr>
          <w:iCs/>
          <w:lang w:val="en-US"/>
        </w:rPr>
      </w:pPr>
      <w:r>
        <w:rPr>
          <w:iCs/>
          <w:lang w:val="en-US"/>
        </w:rPr>
        <w:tab/>
        <w:t>In the instant case,</w:t>
      </w:r>
      <w:r w:rsidR="00F57B56" w:rsidRPr="00F57B56">
        <w:rPr>
          <w:iCs/>
          <w:lang w:val="en-US"/>
        </w:rPr>
        <w:t xml:space="preserve"> at many points, the</w:t>
      </w:r>
      <w:r w:rsidR="00F57B56" w:rsidRPr="00F57B56">
        <w:rPr>
          <w:lang w:val="en-US"/>
        </w:rPr>
        <w:t xml:space="preserve"> </w:t>
      </w:r>
      <w:r w:rsidR="00F57B56" w:rsidRPr="00F57B56">
        <w:rPr>
          <w:iCs/>
          <w:lang w:val="en-US"/>
        </w:rPr>
        <w:t xml:space="preserve">jury charge misstated an essential element of the offence that comprised the central issue, being whether the Crown had established the </w:t>
      </w:r>
      <w:r w:rsidR="00F57B56" w:rsidRPr="00F57B56">
        <w:rPr>
          <w:i/>
          <w:iCs/>
          <w:lang w:val="en-US"/>
        </w:rPr>
        <w:t xml:space="preserve">mens rea </w:t>
      </w:r>
      <w:r w:rsidR="00F57B56" w:rsidRPr="00F57B56">
        <w:rPr>
          <w:iCs/>
          <w:lang w:val="en-US"/>
        </w:rPr>
        <w:t>for the offence of failing to provide the necessaries of</w:t>
      </w:r>
      <w:r>
        <w:rPr>
          <w:iCs/>
          <w:lang w:val="en-US"/>
        </w:rPr>
        <w:t xml:space="preserve"> life.</w:t>
      </w:r>
      <w:r w:rsidR="00F57B56" w:rsidRPr="00F57B56">
        <w:rPr>
          <w:iCs/>
          <w:lang w:val="en-US"/>
        </w:rPr>
        <w:t xml:space="preserve"> This charge may have been functionally adequate from the standpoint of a reviewing court searching</w:t>
      </w:r>
      <w:r>
        <w:rPr>
          <w:iCs/>
          <w:lang w:val="en-US"/>
        </w:rPr>
        <w:t xml:space="preserve"> for a correct instruction. </w:t>
      </w:r>
      <w:r w:rsidR="00F57B56" w:rsidRPr="00F57B56">
        <w:rPr>
          <w:iCs/>
          <w:lang w:val="en-US"/>
        </w:rPr>
        <w:t xml:space="preserve">But that is not the same thing as a charge that is functionally adequate for the purposes of a jury knowing the law that it </w:t>
      </w:r>
      <w:r>
        <w:rPr>
          <w:iCs/>
          <w:lang w:val="en-US"/>
        </w:rPr>
        <w:t xml:space="preserve">must apply </w:t>
      </w:r>
      <w:r>
        <w:rPr>
          <w:iCs/>
          <w:lang w:val="en-US"/>
        </w:rPr>
        <w:lastRenderedPageBreak/>
        <w:t xml:space="preserve">to the evidence. </w:t>
      </w:r>
      <w:r w:rsidR="00F57B56" w:rsidRPr="00F57B56">
        <w:rPr>
          <w:iCs/>
          <w:lang w:val="en-US"/>
        </w:rPr>
        <w:t>By commingling, confusing and routinely and with frequency</w:t>
      </w:r>
      <w:r w:rsidR="00F57B56" w:rsidRPr="00F57B56">
        <w:rPr>
          <w:lang w:val="en-US"/>
        </w:rPr>
        <w:t xml:space="preserve"> </w:t>
      </w:r>
      <w:r w:rsidR="00F57B56" w:rsidRPr="00F57B56">
        <w:rPr>
          <w:iCs/>
          <w:lang w:val="en-US"/>
        </w:rPr>
        <w:t xml:space="preserve">substituting the differing standards of foreseeability of harm (as between manslaughter and failing to provide the necessaries of life), the trial judge left the jury equipped with a charge that, in critical sections, is not comprehensible to a legally trained reader, let </w:t>
      </w:r>
      <w:r>
        <w:rPr>
          <w:iCs/>
          <w:lang w:val="en-US"/>
        </w:rPr>
        <w:t xml:space="preserve">alone to a layperson juror. </w:t>
      </w:r>
      <w:r w:rsidR="00F57B56" w:rsidRPr="00F57B56">
        <w:rPr>
          <w:iCs/>
          <w:lang w:val="en-US"/>
        </w:rPr>
        <w:t xml:space="preserve">Compounding the confusion, the jury charge addressed the </w:t>
      </w:r>
      <w:r w:rsidR="00F57B56" w:rsidRPr="00F57B56">
        <w:rPr>
          <w:i/>
          <w:iCs/>
          <w:lang w:val="en-US"/>
        </w:rPr>
        <w:t>mens rea</w:t>
      </w:r>
      <w:r w:rsidR="00F57B56" w:rsidRPr="00F57B56">
        <w:rPr>
          <w:iCs/>
          <w:lang w:val="en-US"/>
        </w:rPr>
        <w:t xml:space="preserve"> under a heading relating to the </w:t>
      </w:r>
      <w:r w:rsidR="00F57B56" w:rsidRPr="00F57B56">
        <w:rPr>
          <w:i/>
          <w:iCs/>
          <w:lang w:val="en-US"/>
        </w:rPr>
        <w:t xml:space="preserve">actus </w:t>
      </w:r>
      <w:proofErr w:type="gramStart"/>
      <w:r w:rsidR="00F57B56" w:rsidRPr="00F57B56">
        <w:rPr>
          <w:i/>
          <w:iCs/>
          <w:lang w:val="en-US"/>
        </w:rPr>
        <w:t>reus</w:t>
      </w:r>
      <w:proofErr w:type="gramEnd"/>
      <w:r>
        <w:rPr>
          <w:iCs/>
          <w:lang w:val="en-US"/>
        </w:rPr>
        <w:t xml:space="preserve">. </w:t>
      </w:r>
      <w:r w:rsidR="00F57B56" w:rsidRPr="00F57B56">
        <w:rPr>
          <w:iCs/>
          <w:lang w:val="en-US"/>
        </w:rPr>
        <w:t>It cannot plausibly be maintained that this charge left the jury equipped to do its job.</w:t>
      </w:r>
    </w:p>
    <w:p w:rsidR="007E1C47" w:rsidRDefault="002E6705" w:rsidP="00475624">
      <w:pPr>
        <w:pStyle w:val="SCCNormalDoubleSpacing"/>
        <w:widowControl w:val="0"/>
        <w:spacing w:after="720" w:line="240" w:lineRule="auto"/>
        <w:rPr>
          <w:b/>
        </w:rPr>
      </w:pPr>
      <w:r w:rsidRPr="00314E01">
        <w:rPr>
          <w:b/>
        </w:rPr>
        <w:t>Cases Cited</w:t>
      </w:r>
    </w:p>
    <w:p w:rsidR="00A149DF" w:rsidRPr="00613969" w:rsidRDefault="00A61540" w:rsidP="00475624">
      <w:pPr>
        <w:pStyle w:val="SCCNormalDoubleSpacing"/>
        <w:widowControl w:val="0"/>
        <w:spacing w:after="720" w:line="240" w:lineRule="auto"/>
      </w:pPr>
      <w:r w:rsidRPr="00173A02">
        <w:t xml:space="preserve">By </w:t>
      </w:r>
      <w:r w:rsidR="009945BD" w:rsidRPr="009945BD">
        <w:t>Côté</w:t>
      </w:r>
      <w:r w:rsidR="009945BD">
        <w:t> J.</w:t>
      </w:r>
    </w:p>
    <w:p w:rsidR="004E2C26" w:rsidRPr="007E1C47" w:rsidRDefault="002E6705" w:rsidP="00475624">
      <w:pPr>
        <w:pStyle w:val="SCCNormalDoubleSpacing"/>
        <w:widowControl w:val="0"/>
        <w:spacing w:after="480"/>
      </w:pPr>
      <w:r>
        <w:tab/>
      </w:r>
      <w:r w:rsidR="006A60A2" w:rsidRPr="006A60A2">
        <w:rPr>
          <w:b/>
          <w:bCs/>
        </w:rPr>
        <w:t>Distinguished</w:t>
      </w:r>
      <w:r w:rsidR="006A60A2">
        <w:rPr>
          <w:b/>
        </w:rPr>
        <w:t>:</w:t>
      </w:r>
      <w:r w:rsidR="006A60A2" w:rsidRPr="006A60A2">
        <w:rPr>
          <w:i/>
          <w:lang w:val="en-US"/>
        </w:rPr>
        <w:t xml:space="preserve"> R. v. Stephan</w:t>
      </w:r>
      <w:r w:rsidR="006A60A2" w:rsidRPr="006A60A2">
        <w:rPr>
          <w:lang w:val="en-US"/>
        </w:rPr>
        <w:t xml:space="preserve">, 2017 ABCA 380, </w:t>
      </w:r>
      <w:r w:rsidR="006A60A2" w:rsidRPr="006A60A2">
        <w:t>423 D.L.R. (4th) 56</w:t>
      </w:r>
      <w:r w:rsidR="006A60A2" w:rsidRPr="006A60A2">
        <w:rPr>
          <w:lang w:val="en-US"/>
        </w:rPr>
        <w:t xml:space="preserve">, </w:t>
      </w:r>
      <w:proofErr w:type="spellStart"/>
      <w:r w:rsidR="006A60A2" w:rsidRPr="006A60A2">
        <w:rPr>
          <w:lang w:val="en-US"/>
        </w:rPr>
        <w:t>rev’d</w:t>
      </w:r>
      <w:proofErr w:type="spellEnd"/>
      <w:r w:rsidR="006A60A2" w:rsidRPr="006A60A2">
        <w:rPr>
          <w:lang w:val="en-US"/>
        </w:rPr>
        <w:t xml:space="preserve"> 2018 SCC 21, [2018] 1 S.C.R. 633;</w:t>
      </w:r>
      <w:r w:rsidR="006A60A2" w:rsidRPr="006A60A2">
        <w:t xml:space="preserve"> </w:t>
      </w:r>
      <w:r w:rsidR="006A60A2">
        <w:rPr>
          <w:b/>
        </w:rPr>
        <w:t>r</w:t>
      </w:r>
      <w:r w:rsidRPr="006A60A2">
        <w:rPr>
          <w:b/>
        </w:rPr>
        <w:t>eferred to:</w:t>
      </w:r>
      <w:r w:rsidR="00BD0E9E" w:rsidRPr="00BD0E9E">
        <w:t xml:space="preserve"> </w:t>
      </w:r>
      <w:r w:rsidR="00937B8A" w:rsidRPr="005F5731">
        <w:rPr>
          <w:i/>
          <w:lang w:val="en-US"/>
        </w:rPr>
        <w:t>R. v. Daley</w:t>
      </w:r>
      <w:r w:rsidR="00937B8A" w:rsidRPr="005F5731">
        <w:rPr>
          <w:lang w:val="en-US"/>
        </w:rPr>
        <w:t>, 2007 SCC 53, [2007] 3 S.C.R. 523</w:t>
      </w:r>
      <w:r w:rsidR="00937B8A">
        <w:rPr>
          <w:lang w:val="en-US"/>
        </w:rPr>
        <w:t xml:space="preserve">; </w:t>
      </w:r>
      <w:r w:rsidR="00937B8A" w:rsidRPr="005F5731">
        <w:rPr>
          <w:i/>
          <w:lang w:val="en-US"/>
        </w:rPr>
        <w:t>R. v. Jacquard</w:t>
      </w:r>
      <w:r w:rsidR="00937B8A" w:rsidRPr="005F5731">
        <w:rPr>
          <w:lang w:val="en-US"/>
        </w:rPr>
        <w:t>, [1997] 1 S.C.R. 314</w:t>
      </w:r>
      <w:r w:rsidR="00937B8A">
        <w:rPr>
          <w:lang w:val="en-US"/>
        </w:rPr>
        <w:t xml:space="preserve">; </w:t>
      </w:r>
      <w:r w:rsidR="00747140" w:rsidRPr="005F5731">
        <w:rPr>
          <w:i/>
          <w:lang w:val="en-US"/>
        </w:rPr>
        <w:t>R. v. Calnen</w:t>
      </w:r>
      <w:r w:rsidR="00747140" w:rsidRPr="005F5731">
        <w:rPr>
          <w:lang w:val="en-US"/>
        </w:rPr>
        <w:t>, 2019 SCC 6, [2019] 1 S.C.R. 301</w:t>
      </w:r>
      <w:r w:rsidR="00747140">
        <w:rPr>
          <w:lang w:val="en-US"/>
        </w:rPr>
        <w:t xml:space="preserve">; </w:t>
      </w:r>
      <w:r w:rsidR="00B94DFA" w:rsidRPr="005F5731">
        <w:rPr>
          <w:i/>
          <w:lang w:val="en-US"/>
        </w:rPr>
        <w:t>R. v. Pickton</w:t>
      </w:r>
      <w:r w:rsidR="00B94DFA" w:rsidRPr="005F5731">
        <w:rPr>
          <w:lang w:val="en-US"/>
        </w:rPr>
        <w:t>, 2010 SCC 32, [2010] 2 S.C.R. 198</w:t>
      </w:r>
      <w:r w:rsidR="00B94DFA">
        <w:rPr>
          <w:lang w:val="en-US"/>
        </w:rPr>
        <w:t xml:space="preserve">; </w:t>
      </w:r>
      <w:r w:rsidR="00CF061E" w:rsidRPr="005F5731">
        <w:rPr>
          <w:i/>
          <w:iCs/>
          <w:lang w:val="en-US"/>
        </w:rPr>
        <w:t>R. v. Jaw</w:t>
      </w:r>
      <w:r w:rsidR="00CF061E" w:rsidRPr="005F5731">
        <w:rPr>
          <w:lang w:val="en-US"/>
        </w:rPr>
        <w:t>, 2009 SCC 42, [2009] 3 S.C.R. 26</w:t>
      </w:r>
      <w:r w:rsidR="00CF061E">
        <w:rPr>
          <w:lang w:val="en-US"/>
        </w:rPr>
        <w:t xml:space="preserve">; </w:t>
      </w:r>
      <w:r w:rsidR="00204718" w:rsidRPr="005F5731">
        <w:rPr>
          <w:i/>
          <w:lang w:val="en-US"/>
        </w:rPr>
        <w:t>R. v. Barton</w:t>
      </w:r>
      <w:r w:rsidR="00204718" w:rsidRPr="005F5731">
        <w:rPr>
          <w:lang w:val="en-US"/>
        </w:rPr>
        <w:t>, 2019 SCC 33</w:t>
      </w:r>
      <w:r w:rsidR="00204718">
        <w:rPr>
          <w:lang w:val="en-US"/>
        </w:rPr>
        <w:t xml:space="preserve">, </w:t>
      </w:r>
      <w:r w:rsidR="00204718" w:rsidRPr="005106E4">
        <w:t>[2019] 2 S.C.R.</w:t>
      </w:r>
      <w:r w:rsidR="00204718">
        <w:t xml:space="preserve"> </w:t>
      </w:r>
      <w:r w:rsidR="00204718" w:rsidRPr="005106E4">
        <w:t>579</w:t>
      </w:r>
      <w:r w:rsidR="00204718">
        <w:t xml:space="preserve">; </w:t>
      </w:r>
      <w:r w:rsidR="00127647" w:rsidRPr="005F5731">
        <w:rPr>
          <w:i/>
          <w:lang w:val="en-US"/>
        </w:rPr>
        <w:t>R. v. Luciano</w:t>
      </w:r>
      <w:r w:rsidR="00127647" w:rsidRPr="00394C9F">
        <w:rPr>
          <w:lang w:val="en-US"/>
        </w:rPr>
        <w:t>,</w:t>
      </w:r>
      <w:r w:rsidR="00127647" w:rsidRPr="005F5731">
        <w:rPr>
          <w:i/>
          <w:lang w:val="en-US"/>
        </w:rPr>
        <w:t xml:space="preserve"> </w:t>
      </w:r>
      <w:r w:rsidR="00127647" w:rsidRPr="005F5731">
        <w:rPr>
          <w:lang w:val="en-US"/>
        </w:rPr>
        <w:t>2011 ONCA 89, 273 O.A.C. 273</w:t>
      </w:r>
      <w:r w:rsidR="00127647">
        <w:rPr>
          <w:lang w:val="en-US"/>
        </w:rPr>
        <w:t xml:space="preserve">; </w:t>
      </w:r>
      <w:r w:rsidR="00A47EFA" w:rsidRPr="005F5731">
        <w:rPr>
          <w:i/>
          <w:lang w:val="en-US"/>
        </w:rPr>
        <w:t>R. v. Rodgerson</w:t>
      </w:r>
      <w:r w:rsidR="00A47EFA" w:rsidRPr="005F5731">
        <w:rPr>
          <w:lang w:val="en-US"/>
        </w:rPr>
        <w:t>, 2015 SCC 38, [2015] 2 S.C.R. 760</w:t>
      </w:r>
      <w:r w:rsidR="00A47EFA">
        <w:rPr>
          <w:lang w:val="en-US"/>
        </w:rPr>
        <w:t xml:space="preserve">; </w:t>
      </w:r>
      <w:r w:rsidR="005F0E5C" w:rsidRPr="005F5731">
        <w:rPr>
          <w:i/>
          <w:lang w:val="en-US"/>
        </w:rPr>
        <w:t>R. v. Araya</w:t>
      </w:r>
      <w:r w:rsidR="005F0E5C" w:rsidRPr="005F5731">
        <w:rPr>
          <w:lang w:val="en-US"/>
        </w:rPr>
        <w:t>, 2015 SCC 11, [2015] 1 S</w:t>
      </w:r>
      <w:r w:rsidR="005F0E5C">
        <w:rPr>
          <w:lang w:val="en-US"/>
        </w:rPr>
        <w:t>.</w:t>
      </w:r>
      <w:r w:rsidR="005F0E5C" w:rsidRPr="005F5731">
        <w:rPr>
          <w:lang w:val="en-US"/>
        </w:rPr>
        <w:t>C</w:t>
      </w:r>
      <w:r w:rsidR="005F0E5C">
        <w:rPr>
          <w:lang w:val="en-US"/>
        </w:rPr>
        <w:t>.</w:t>
      </w:r>
      <w:r w:rsidR="005F0E5C" w:rsidRPr="005F5731">
        <w:rPr>
          <w:lang w:val="en-US"/>
        </w:rPr>
        <w:t>R</w:t>
      </w:r>
      <w:r w:rsidR="005F0E5C">
        <w:rPr>
          <w:lang w:val="en-US"/>
        </w:rPr>
        <w:t>.</w:t>
      </w:r>
      <w:r w:rsidR="005F0E5C" w:rsidRPr="005F5731">
        <w:rPr>
          <w:lang w:val="en-US"/>
        </w:rPr>
        <w:t xml:space="preserve"> 581</w:t>
      </w:r>
      <w:r w:rsidR="005F0E5C">
        <w:rPr>
          <w:lang w:val="en-US"/>
        </w:rPr>
        <w:t xml:space="preserve">; </w:t>
      </w:r>
      <w:r w:rsidR="003149D1" w:rsidRPr="005F5731">
        <w:rPr>
          <w:i/>
          <w:lang w:bidi="en-US"/>
        </w:rPr>
        <w:t>R. v. Creighton</w:t>
      </w:r>
      <w:r w:rsidR="003149D1" w:rsidRPr="005F5731">
        <w:rPr>
          <w:lang w:bidi="en-US"/>
        </w:rPr>
        <w:t>, [1993] 3 S.C.R. 3</w:t>
      </w:r>
      <w:r w:rsidR="003149D1">
        <w:rPr>
          <w:lang w:bidi="en-US"/>
        </w:rPr>
        <w:t xml:space="preserve">; </w:t>
      </w:r>
      <w:r w:rsidR="00411665" w:rsidRPr="005F5731">
        <w:rPr>
          <w:i/>
          <w:iCs/>
          <w:lang w:bidi="en-US"/>
        </w:rPr>
        <w:t>R. v. DeSousa</w:t>
      </w:r>
      <w:r w:rsidR="00411665" w:rsidRPr="005F5731">
        <w:rPr>
          <w:iCs/>
          <w:lang w:bidi="en-US"/>
        </w:rPr>
        <w:t>, [1992] 2 S.C.R. 944</w:t>
      </w:r>
      <w:r w:rsidR="00411665">
        <w:rPr>
          <w:iCs/>
          <w:lang w:bidi="en-US"/>
        </w:rPr>
        <w:t xml:space="preserve">; </w:t>
      </w:r>
      <w:r w:rsidR="00C33AA7" w:rsidRPr="005F5731">
        <w:rPr>
          <w:i/>
          <w:lang w:val="en-US" w:bidi="en-US"/>
        </w:rPr>
        <w:t xml:space="preserve">R. v. </w:t>
      </w:r>
      <w:proofErr w:type="spellStart"/>
      <w:r w:rsidR="00C33AA7" w:rsidRPr="005F5731">
        <w:rPr>
          <w:i/>
          <w:lang w:val="en-US" w:bidi="en-US"/>
        </w:rPr>
        <w:t>Naglik</w:t>
      </w:r>
      <w:proofErr w:type="spellEnd"/>
      <w:r w:rsidR="00C33AA7" w:rsidRPr="005F5731">
        <w:rPr>
          <w:lang w:val="en-US" w:bidi="en-US"/>
        </w:rPr>
        <w:t>, [1993] 3 S.C.R. 122</w:t>
      </w:r>
      <w:r w:rsidR="00C33AA7">
        <w:rPr>
          <w:lang w:val="en-US" w:bidi="en-US"/>
        </w:rPr>
        <w:t xml:space="preserve">; </w:t>
      </w:r>
      <w:r w:rsidR="00B22F71" w:rsidRPr="005F5731">
        <w:rPr>
          <w:i/>
          <w:lang w:bidi="en-US"/>
        </w:rPr>
        <w:t xml:space="preserve">R. </w:t>
      </w:r>
      <w:r w:rsidR="00B22F71" w:rsidRPr="005F5731">
        <w:rPr>
          <w:i/>
          <w:iCs/>
          <w:lang w:bidi="en-US"/>
        </w:rPr>
        <w:t>v</w:t>
      </w:r>
      <w:r w:rsidR="00B22F71" w:rsidRPr="005F5731">
        <w:rPr>
          <w:i/>
          <w:lang w:bidi="en-US"/>
        </w:rPr>
        <w:t>. Beatty</w:t>
      </w:r>
      <w:r w:rsidR="00B22F71" w:rsidRPr="005F5731">
        <w:rPr>
          <w:lang w:bidi="en-US"/>
        </w:rPr>
        <w:t>, 2008 SCC 5, [2008] 1 S.C.R. 49</w:t>
      </w:r>
      <w:r w:rsidR="00B22F71">
        <w:rPr>
          <w:lang w:bidi="en-US"/>
        </w:rPr>
        <w:t xml:space="preserve">; </w:t>
      </w:r>
      <w:r w:rsidR="00056BB8" w:rsidRPr="005F5731">
        <w:rPr>
          <w:i/>
          <w:lang w:val="en-US" w:bidi="en-US"/>
        </w:rPr>
        <w:t>R. v. J.F.</w:t>
      </w:r>
      <w:r w:rsidR="00056BB8" w:rsidRPr="005F5731">
        <w:rPr>
          <w:lang w:val="en-US" w:bidi="en-US"/>
        </w:rPr>
        <w:t>, 2008 SCC 60, [2008] 3 S.C.R. 215</w:t>
      </w:r>
      <w:r w:rsidR="00056BB8">
        <w:rPr>
          <w:lang w:val="en-US" w:bidi="en-US"/>
        </w:rPr>
        <w:t xml:space="preserve">; </w:t>
      </w:r>
      <w:r w:rsidR="0076196A" w:rsidRPr="005F5731">
        <w:rPr>
          <w:i/>
        </w:rPr>
        <w:t>R. v. Roy</w:t>
      </w:r>
      <w:r w:rsidR="0076196A" w:rsidRPr="005F5731">
        <w:t xml:space="preserve">, 2012 SCC 26, </w:t>
      </w:r>
      <w:r w:rsidR="0076196A" w:rsidRPr="005F5731">
        <w:rPr>
          <w:lang w:val="en-US"/>
        </w:rPr>
        <w:t>[2012] 2 S.C.R. 60</w:t>
      </w:r>
      <w:r w:rsidR="0076196A">
        <w:rPr>
          <w:lang w:val="en-US"/>
        </w:rPr>
        <w:t xml:space="preserve">; </w:t>
      </w:r>
      <w:r w:rsidR="001521EB" w:rsidRPr="005F5731">
        <w:rPr>
          <w:i/>
          <w:lang w:val="en-US"/>
        </w:rPr>
        <w:t>T</w:t>
      </w:r>
      <w:proofErr w:type="spellStart"/>
      <w:r w:rsidR="001521EB" w:rsidRPr="005F5731">
        <w:rPr>
          <w:i/>
          <w:iCs/>
        </w:rPr>
        <w:t>hériault</w:t>
      </w:r>
      <w:proofErr w:type="spellEnd"/>
      <w:r w:rsidR="001521EB" w:rsidRPr="005F5731">
        <w:rPr>
          <w:i/>
          <w:iCs/>
        </w:rPr>
        <w:t xml:space="preserve"> v. The Queen</w:t>
      </w:r>
      <w:r w:rsidR="001521EB">
        <w:t xml:space="preserve">, </w:t>
      </w:r>
      <w:r w:rsidR="001521EB" w:rsidRPr="005F5731">
        <w:t>[1981] 1 S.C.R. 336</w:t>
      </w:r>
      <w:r w:rsidR="001521EB">
        <w:t xml:space="preserve">; </w:t>
      </w:r>
      <w:r w:rsidR="00760EF0" w:rsidRPr="005F5731">
        <w:rPr>
          <w:i/>
          <w:lang w:val="en-US"/>
        </w:rPr>
        <w:t>R. v. Javanmardi</w:t>
      </w:r>
      <w:r w:rsidR="00760EF0" w:rsidRPr="005F5731">
        <w:rPr>
          <w:lang w:val="en-US"/>
        </w:rPr>
        <w:t>, 2019 SCC 54</w:t>
      </w:r>
      <w:r w:rsidR="00760EF0">
        <w:rPr>
          <w:lang w:val="en-US"/>
        </w:rPr>
        <w:t xml:space="preserve">, </w:t>
      </w:r>
      <w:r w:rsidR="00760EF0" w:rsidRPr="00835515">
        <w:t xml:space="preserve">[2019] 4 </w:t>
      </w:r>
      <w:r w:rsidR="00760EF0">
        <w:t>S.C.</w:t>
      </w:r>
      <w:r w:rsidR="00760EF0" w:rsidRPr="00835515">
        <w:t>R.</w:t>
      </w:r>
      <w:r w:rsidR="00760EF0">
        <w:t xml:space="preserve"> 3; </w:t>
      </w:r>
      <w:r w:rsidR="0046581C" w:rsidRPr="005F5731">
        <w:rPr>
          <w:i/>
          <w:lang w:val="en-US"/>
        </w:rPr>
        <w:t xml:space="preserve">R. v. </w:t>
      </w:r>
      <w:proofErr w:type="spellStart"/>
      <w:r w:rsidR="0046581C" w:rsidRPr="005F5731">
        <w:rPr>
          <w:i/>
          <w:lang w:val="en-US"/>
        </w:rPr>
        <w:t>Royz</w:t>
      </w:r>
      <w:proofErr w:type="spellEnd"/>
      <w:r w:rsidR="0046581C" w:rsidRPr="005F5731">
        <w:rPr>
          <w:lang w:val="en-US"/>
        </w:rPr>
        <w:t>, 2009 SCC 13, [2009] 1 S.C.R. 423</w:t>
      </w:r>
      <w:r w:rsidR="00EE444A">
        <w:rPr>
          <w:lang w:val="en-US"/>
        </w:rPr>
        <w:t xml:space="preserve">; </w:t>
      </w:r>
      <w:r w:rsidR="004F0069" w:rsidRPr="005F5731">
        <w:rPr>
          <w:i/>
          <w:lang w:val="en-US"/>
        </w:rPr>
        <w:t>R. v. Corbett</w:t>
      </w:r>
      <w:r w:rsidR="004F0069" w:rsidRPr="005F5731">
        <w:rPr>
          <w:lang w:val="en-US"/>
        </w:rPr>
        <w:t>, [1988] 1 S.C.R. 670</w:t>
      </w:r>
      <w:r w:rsidR="002B790B">
        <w:rPr>
          <w:lang w:val="en-US"/>
        </w:rPr>
        <w:t>.</w:t>
      </w:r>
    </w:p>
    <w:p w:rsidR="009945BD" w:rsidRPr="00613969" w:rsidRDefault="00A61540" w:rsidP="00475624">
      <w:pPr>
        <w:pStyle w:val="SCCNormalDoubleSpacing"/>
        <w:widowControl w:val="0"/>
        <w:spacing w:after="720" w:line="240" w:lineRule="auto"/>
      </w:pPr>
      <w:r w:rsidRPr="00173A02">
        <w:lastRenderedPageBreak/>
        <w:t xml:space="preserve">By </w:t>
      </w:r>
      <w:r w:rsidR="009945BD">
        <w:t>Brown J.</w:t>
      </w:r>
    </w:p>
    <w:p w:rsidR="009945BD" w:rsidRPr="006E3F36" w:rsidRDefault="009945BD" w:rsidP="006E3F36">
      <w:pPr>
        <w:pStyle w:val="SCCNormalDoubleSpacing"/>
        <w:widowControl w:val="0"/>
        <w:spacing w:after="480"/>
        <w:rPr>
          <w:lang w:val="en-US"/>
        </w:rPr>
      </w:pPr>
      <w:r>
        <w:tab/>
      </w:r>
      <w:r w:rsidRPr="006A60A2">
        <w:rPr>
          <w:b/>
        </w:rPr>
        <w:t>Referred to:</w:t>
      </w:r>
      <w:r w:rsidRPr="00BD0E9E">
        <w:t xml:space="preserve"> </w:t>
      </w:r>
      <w:r w:rsidR="00FE5A38" w:rsidRPr="00063B57">
        <w:rPr>
          <w:i/>
          <w:lang w:val="en-US"/>
        </w:rPr>
        <w:t>R. v. Barton</w:t>
      </w:r>
      <w:r w:rsidR="00FE5A38" w:rsidRPr="00063B57">
        <w:rPr>
          <w:lang w:val="en-US"/>
        </w:rPr>
        <w:t>, 2019 SCC 33</w:t>
      </w:r>
      <w:r w:rsidR="00FE5A38">
        <w:rPr>
          <w:lang w:val="en-US"/>
        </w:rPr>
        <w:t xml:space="preserve">, </w:t>
      </w:r>
      <w:r w:rsidR="00FE5A38" w:rsidRPr="00423ED3">
        <w:t>[2019] 2 S.C.R</w:t>
      </w:r>
      <w:r w:rsidR="00FE5A38">
        <w:t xml:space="preserve">. </w:t>
      </w:r>
      <w:r w:rsidR="00FE5A38" w:rsidRPr="00423ED3">
        <w:t>579</w:t>
      </w:r>
      <w:r w:rsidR="00FE5A38">
        <w:t xml:space="preserve">; </w:t>
      </w:r>
      <w:r w:rsidR="001108F8" w:rsidRPr="00063B57">
        <w:rPr>
          <w:i/>
          <w:lang w:val="en-US"/>
        </w:rPr>
        <w:t>R. v. Jacquard</w:t>
      </w:r>
      <w:r w:rsidR="001108F8" w:rsidRPr="00063B57">
        <w:rPr>
          <w:lang w:val="en-US"/>
        </w:rPr>
        <w:t>, [1997] 1 S.C.R. 314</w:t>
      </w:r>
      <w:r w:rsidR="001108F8">
        <w:rPr>
          <w:lang w:val="en-US"/>
        </w:rPr>
        <w:t xml:space="preserve">; </w:t>
      </w:r>
      <w:r w:rsidR="0041039E" w:rsidRPr="00063B57">
        <w:rPr>
          <w:i/>
          <w:lang w:val="en-US"/>
        </w:rPr>
        <w:t>R. v. Daley</w:t>
      </w:r>
      <w:r w:rsidR="0041039E" w:rsidRPr="00063B57">
        <w:rPr>
          <w:lang w:val="en-US"/>
        </w:rPr>
        <w:t>, 2007 SCC 53</w:t>
      </w:r>
      <w:r w:rsidR="0041039E">
        <w:rPr>
          <w:lang w:val="en-US"/>
        </w:rPr>
        <w:t xml:space="preserve">, </w:t>
      </w:r>
      <w:r w:rsidR="0041039E" w:rsidRPr="0028021D">
        <w:t>[2007] 3 S.C.R.</w:t>
      </w:r>
      <w:r w:rsidR="0041039E">
        <w:t xml:space="preserve"> </w:t>
      </w:r>
      <w:r w:rsidR="0041039E" w:rsidRPr="0028021D">
        <w:t>523</w:t>
      </w:r>
      <w:r w:rsidR="0041039E">
        <w:t xml:space="preserve">; </w:t>
      </w:r>
      <w:r w:rsidR="003C43E4" w:rsidRPr="00063B57">
        <w:rPr>
          <w:i/>
          <w:lang w:val="en-US"/>
        </w:rPr>
        <w:t>R. v. Cooper</w:t>
      </w:r>
      <w:r w:rsidR="003C43E4" w:rsidRPr="00063B57">
        <w:rPr>
          <w:lang w:val="en-US"/>
        </w:rPr>
        <w:t>, [1993] 1 S.C.R. 146</w:t>
      </w:r>
      <w:r w:rsidR="003C43E4">
        <w:rPr>
          <w:lang w:val="en-US"/>
        </w:rPr>
        <w:t xml:space="preserve">; </w:t>
      </w:r>
      <w:r w:rsidR="00BC78C5" w:rsidRPr="00063B57">
        <w:rPr>
          <w:i/>
          <w:lang w:val="en-US"/>
        </w:rPr>
        <w:t>R. v. Calnen</w:t>
      </w:r>
      <w:r w:rsidR="00BC78C5" w:rsidRPr="00063B57">
        <w:rPr>
          <w:lang w:val="en-US"/>
        </w:rPr>
        <w:t>, 2019 SCC 6</w:t>
      </w:r>
      <w:r w:rsidR="00BC78C5">
        <w:rPr>
          <w:lang w:val="en-US"/>
        </w:rPr>
        <w:t xml:space="preserve">, </w:t>
      </w:r>
      <w:r w:rsidR="00BC78C5" w:rsidRPr="00CD4230">
        <w:t>[2019] 1 S.C.R.</w:t>
      </w:r>
      <w:r w:rsidR="00BC78C5">
        <w:t xml:space="preserve"> </w:t>
      </w:r>
      <w:r w:rsidR="00BC78C5" w:rsidRPr="00CD4230">
        <w:t>301</w:t>
      </w:r>
      <w:r w:rsidR="00BC78C5">
        <w:t xml:space="preserve">; </w:t>
      </w:r>
      <w:r w:rsidR="00A51AB1" w:rsidRPr="00063B57">
        <w:rPr>
          <w:i/>
          <w:lang w:val="en-US"/>
        </w:rPr>
        <w:t xml:space="preserve">R. v. </w:t>
      </w:r>
      <w:proofErr w:type="spellStart"/>
      <w:r w:rsidR="00A51AB1" w:rsidRPr="00063B57">
        <w:rPr>
          <w:i/>
          <w:lang w:val="en-US"/>
        </w:rPr>
        <w:t>Arcangioli</w:t>
      </w:r>
      <w:proofErr w:type="spellEnd"/>
      <w:r w:rsidR="00A51AB1" w:rsidRPr="00063B57">
        <w:rPr>
          <w:lang w:val="en-US"/>
        </w:rPr>
        <w:t>, [1994] 1 S.C.R. 129</w:t>
      </w:r>
      <w:r w:rsidR="00A51AB1">
        <w:rPr>
          <w:lang w:val="en-US"/>
        </w:rPr>
        <w:t xml:space="preserve">; </w:t>
      </w:r>
      <w:r w:rsidR="00DA1B8F" w:rsidRPr="00063B57">
        <w:rPr>
          <w:i/>
          <w:lang w:val="en-US"/>
        </w:rPr>
        <w:t>Th</w:t>
      </w:r>
      <w:r w:rsidR="00DA1B8F">
        <w:rPr>
          <w:i/>
          <w:lang w:val="en-US"/>
        </w:rPr>
        <w:t>é</w:t>
      </w:r>
      <w:r w:rsidR="00DA1B8F" w:rsidRPr="00063B57">
        <w:rPr>
          <w:i/>
          <w:lang w:val="en-US"/>
        </w:rPr>
        <w:t>riault v. The Queen</w:t>
      </w:r>
      <w:r w:rsidR="00DA1B8F" w:rsidRPr="00063B57">
        <w:rPr>
          <w:lang w:val="en-US"/>
        </w:rPr>
        <w:t>, [1981] 1 S.C.R. 336</w:t>
      </w:r>
      <w:r w:rsidR="00DA1B8F">
        <w:rPr>
          <w:lang w:val="en-US"/>
        </w:rPr>
        <w:t xml:space="preserve">; </w:t>
      </w:r>
      <w:r w:rsidR="00757B54" w:rsidRPr="00063B57">
        <w:rPr>
          <w:i/>
          <w:lang w:val="en-US"/>
        </w:rPr>
        <w:t>Cullen v. The King</w:t>
      </w:r>
      <w:r w:rsidR="00757B54" w:rsidRPr="00063B57">
        <w:rPr>
          <w:lang w:val="en-US"/>
        </w:rPr>
        <w:t>, [1949] S.C.R. 658</w:t>
      </w:r>
      <w:r w:rsidR="00757B54">
        <w:rPr>
          <w:lang w:val="en-US"/>
        </w:rPr>
        <w:t xml:space="preserve">; </w:t>
      </w:r>
      <w:r w:rsidR="00397BE4" w:rsidRPr="00063B57">
        <w:rPr>
          <w:i/>
          <w:lang w:val="en-US"/>
        </w:rPr>
        <w:t>R. v. Stephan</w:t>
      </w:r>
      <w:r w:rsidR="00397BE4" w:rsidRPr="00063B57">
        <w:rPr>
          <w:lang w:val="en-US"/>
        </w:rPr>
        <w:t xml:space="preserve">, </w:t>
      </w:r>
      <w:r w:rsidR="00EF1288" w:rsidRPr="00063B57">
        <w:rPr>
          <w:lang w:val="en-US"/>
        </w:rPr>
        <w:t>2018 SCC 21, [2018] 1 S.C.R. 633</w:t>
      </w:r>
      <w:r w:rsidR="00397BE4" w:rsidRPr="00063B57">
        <w:rPr>
          <w:lang w:val="en-US"/>
        </w:rPr>
        <w:t>, rev’</w:t>
      </w:r>
      <w:r w:rsidR="00EF1288">
        <w:rPr>
          <w:lang w:val="en-US"/>
        </w:rPr>
        <w:t xml:space="preserve">g </w:t>
      </w:r>
      <w:r w:rsidR="00EF1288" w:rsidRPr="00063B57">
        <w:rPr>
          <w:lang w:val="en-US"/>
        </w:rPr>
        <w:t>2017 ABCA 380</w:t>
      </w:r>
      <w:r w:rsidR="00EF1288">
        <w:rPr>
          <w:lang w:val="en-US"/>
        </w:rPr>
        <w:t xml:space="preserve">, </w:t>
      </w:r>
      <w:r w:rsidR="00EF1288" w:rsidRPr="001D434D">
        <w:t>423 D.L.R. (4th)</w:t>
      </w:r>
      <w:r w:rsidR="00EF1288">
        <w:t xml:space="preserve"> </w:t>
      </w:r>
      <w:r w:rsidR="00EF1288" w:rsidRPr="001D434D">
        <w:t>56</w:t>
      </w:r>
      <w:r w:rsidR="00E901A9">
        <w:rPr>
          <w:lang w:val="en-US"/>
        </w:rPr>
        <w:t>.</w:t>
      </w:r>
    </w:p>
    <w:p w:rsidR="00A41805" w:rsidRDefault="002E6705" w:rsidP="006E3F36">
      <w:pPr>
        <w:pStyle w:val="SCCNormalDoubleSpacing"/>
        <w:spacing w:after="720" w:line="240" w:lineRule="auto"/>
      </w:pPr>
      <w:r w:rsidRPr="00314E01">
        <w:rPr>
          <w:b/>
        </w:rPr>
        <w:t>Statutes and Regulations Cite</w:t>
      </w:r>
      <w:r w:rsidR="00A41805">
        <w:rPr>
          <w:b/>
        </w:rPr>
        <w:t>d</w:t>
      </w:r>
    </w:p>
    <w:p w:rsidR="00A149DF" w:rsidRPr="0074229A" w:rsidRDefault="00EE7A97" w:rsidP="006E3F36">
      <w:pPr>
        <w:pStyle w:val="SCCNormalDoubleSpacing"/>
        <w:spacing w:after="720" w:line="240" w:lineRule="auto"/>
        <w:ind w:left="547" w:hanging="547"/>
        <w:rPr>
          <w:lang w:val="en-US"/>
        </w:rPr>
      </w:pPr>
      <w:r w:rsidRPr="0074229A">
        <w:rPr>
          <w:i/>
          <w:lang w:val="en-US"/>
        </w:rPr>
        <w:t>Criminal Code</w:t>
      </w:r>
      <w:r w:rsidR="00475624">
        <w:rPr>
          <w:lang w:val="en-US"/>
        </w:rPr>
        <w:t>, R.S.C. 1985, c. C</w:t>
      </w:r>
      <w:r w:rsidR="00475624">
        <w:rPr>
          <w:lang w:val="en-US"/>
        </w:rPr>
        <w:noBreakHyphen/>
      </w:r>
      <w:r w:rsidRPr="0074229A">
        <w:rPr>
          <w:lang w:val="en-US"/>
        </w:rPr>
        <w:t>46, ss. </w:t>
      </w:r>
      <w:r w:rsidR="000F4886" w:rsidRPr="0074229A">
        <w:rPr>
          <w:lang w:val="en-US"/>
        </w:rPr>
        <w:t>215</w:t>
      </w:r>
      <w:r w:rsidRPr="0074229A">
        <w:rPr>
          <w:lang w:val="en-US"/>
        </w:rPr>
        <w:t>, 222(5</w:t>
      </w:r>
      <w:proofErr w:type="gramStart"/>
      <w:r w:rsidRPr="0074229A">
        <w:rPr>
          <w:lang w:val="en-US"/>
        </w:rPr>
        <w:t>)(</w:t>
      </w:r>
      <w:proofErr w:type="gramEnd"/>
      <w:r w:rsidRPr="0074229A">
        <w:rPr>
          <w:lang w:val="en-US"/>
        </w:rPr>
        <w:t>a)</w:t>
      </w:r>
      <w:r w:rsidR="0074229A">
        <w:rPr>
          <w:lang w:val="en-US"/>
        </w:rPr>
        <w:t xml:space="preserve">, </w:t>
      </w:r>
      <w:r w:rsidR="0074229A" w:rsidRPr="005F5731">
        <w:rPr>
          <w:lang w:val="en-US"/>
        </w:rPr>
        <w:t>229(a)</w:t>
      </w:r>
      <w:r w:rsidRPr="0074229A">
        <w:rPr>
          <w:lang w:val="en-US"/>
        </w:rPr>
        <w:t>, 235, 269</w:t>
      </w:r>
      <w:r w:rsidR="005B2B50">
        <w:t>(a)</w:t>
      </w:r>
      <w:r w:rsidRPr="0074229A">
        <w:rPr>
          <w:lang w:val="en-US"/>
        </w:rPr>
        <w:t>.</w:t>
      </w:r>
    </w:p>
    <w:p w:rsidR="00DE319C" w:rsidRPr="006E3F36" w:rsidRDefault="002E6705" w:rsidP="006E3F36">
      <w:pPr>
        <w:pStyle w:val="SCCNormalDoubleSpacing"/>
        <w:spacing w:after="720" w:line="240" w:lineRule="auto"/>
        <w:rPr>
          <w:b/>
        </w:rPr>
      </w:pPr>
      <w:r w:rsidRPr="00314E01">
        <w:rPr>
          <w:b/>
        </w:rPr>
        <w:t>Authors Cited</w:t>
      </w:r>
    </w:p>
    <w:p w:rsidR="00A149DF" w:rsidRPr="007A1AC0" w:rsidRDefault="007A1AC0" w:rsidP="0051281C">
      <w:pPr>
        <w:pStyle w:val="SCCNormalDoubleSpacing"/>
        <w:spacing w:after="720" w:line="240" w:lineRule="auto"/>
        <w:ind w:left="547" w:hanging="547"/>
        <w:rPr>
          <w:lang w:val="en-US"/>
        </w:rPr>
      </w:pPr>
      <w:r w:rsidRPr="005F5731">
        <w:rPr>
          <w:lang w:val="x-none"/>
        </w:rPr>
        <w:t>Paciocco,</w:t>
      </w:r>
      <w:r w:rsidRPr="007A1AC0">
        <w:rPr>
          <w:lang w:val="en-US"/>
        </w:rPr>
        <w:t xml:space="preserve"> </w:t>
      </w:r>
      <w:r>
        <w:rPr>
          <w:lang w:val="en-US"/>
        </w:rPr>
        <w:t>David M.</w:t>
      </w:r>
      <w:r w:rsidRPr="005F5731">
        <w:rPr>
          <w:lang w:val="x-none"/>
        </w:rPr>
        <w:t xml:space="preserve"> </w:t>
      </w:r>
      <w:r w:rsidRPr="005F5731">
        <w:rPr>
          <w:lang w:val="en-US"/>
        </w:rPr>
        <w:t>“</w:t>
      </w:r>
      <w:r w:rsidRPr="005F5731">
        <w:rPr>
          <w:lang w:val="x-none"/>
        </w:rPr>
        <w:t>Subjective and Objective Standards of Fault for Offences and</w:t>
      </w:r>
      <w:r w:rsidRPr="005F5731">
        <w:rPr>
          <w:lang w:val="en-US"/>
        </w:rPr>
        <w:t xml:space="preserve"> </w:t>
      </w:r>
      <w:r w:rsidRPr="005F5731">
        <w:rPr>
          <w:lang w:val="x-none"/>
        </w:rPr>
        <w:t>Defences</w:t>
      </w:r>
      <w:r w:rsidRPr="005F5731">
        <w:rPr>
          <w:lang w:val="en-US"/>
        </w:rPr>
        <w:t>”</w:t>
      </w:r>
      <w:r w:rsidRPr="005F5731">
        <w:rPr>
          <w:lang w:val="x-none"/>
        </w:rPr>
        <w:t xml:space="preserve"> (1995)</w:t>
      </w:r>
      <w:r w:rsidRPr="00F40A38">
        <w:rPr>
          <w:lang w:val="en-US"/>
        </w:rPr>
        <w:t>,</w:t>
      </w:r>
      <w:r w:rsidRPr="005F5731">
        <w:rPr>
          <w:lang w:val="x-none"/>
        </w:rPr>
        <w:t xml:space="preserve"> 59 </w:t>
      </w:r>
      <w:r w:rsidRPr="00394C9F">
        <w:rPr>
          <w:i/>
          <w:lang w:val="x-none"/>
        </w:rPr>
        <w:t>Sask</w:t>
      </w:r>
      <w:r w:rsidRPr="00394C9F">
        <w:rPr>
          <w:i/>
          <w:lang w:val="en-US"/>
        </w:rPr>
        <w:t>.</w:t>
      </w:r>
      <w:r w:rsidRPr="00394C9F">
        <w:rPr>
          <w:i/>
          <w:lang w:val="x-none"/>
        </w:rPr>
        <w:t xml:space="preserve"> L</w:t>
      </w:r>
      <w:r w:rsidRPr="00394C9F">
        <w:rPr>
          <w:i/>
          <w:lang w:val="en-US"/>
        </w:rPr>
        <w:t>.</w:t>
      </w:r>
      <w:r w:rsidRPr="00394C9F">
        <w:rPr>
          <w:i/>
          <w:lang w:val="x-none"/>
        </w:rPr>
        <w:t xml:space="preserve"> Rev</w:t>
      </w:r>
      <w:r w:rsidRPr="00394C9F">
        <w:rPr>
          <w:i/>
          <w:lang w:val="en-US"/>
        </w:rPr>
        <w:t>.</w:t>
      </w:r>
      <w:r w:rsidRPr="005F5731">
        <w:rPr>
          <w:lang w:val="x-none"/>
        </w:rPr>
        <w:t xml:space="preserve"> 271</w:t>
      </w:r>
      <w:r w:rsidRPr="007A1AC0">
        <w:rPr>
          <w:lang w:val="en-US"/>
        </w:rPr>
        <w:t>.</w:t>
      </w:r>
    </w:p>
    <w:p w:rsidR="00656313" w:rsidRDefault="009B57B3" w:rsidP="00475624">
      <w:pPr>
        <w:pStyle w:val="SCCNormalDoubleSpacing"/>
        <w:spacing w:after="480"/>
      </w:pPr>
      <w:r w:rsidRPr="001426A9">
        <w:tab/>
        <w:t>APPEAL from a judgment of the</w:t>
      </w:r>
      <w:r w:rsidR="00FE63CD" w:rsidRPr="00FE63CD">
        <w:t xml:space="preserve"> </w:t>
      </w:r>
      <w:r w:rsidR="00FE63CD">
        <w:t>Saskatchewan</w:t>
      </w:r>
      <w:r w:rsidRPr="001426A9">
        <w:t xml:space="preserve"> </w:t>
      </w:r>
      <w:r>
        <w:t xml:space="preserve">Court of Appeal </w:t>
      </w:r>
      <w:r w:rsidR="00777BA0">
        <w:t>(</w:t>
      </w:r>
      <w:r w:rsidR="00775EC3" w:rsidRPr="00855C71">
        <w:t>Caldwell</w:t>
      </w:r>
      <w:r w:rsidR="00775EC3">
        <w:t xml:space="preserve">, </w:t>
      </w:r>
      <w:r w:rsidR="00475624">
        <w:rPr>
          <w:color w:val="000000"/>
        </w:rPr>
        <w:t>Leurer and Barrington</w:t>
      </w:r>
      <w:r w:rsidR="00475624">
        <w:rPr>
          <w:color w:val="000000"/>
        </w:rPr>
        <w:noBreakHyphen/>
      </w:r>
      <w:r w:rsidR="00775EC3">
        <w:rPr>
          <w:color w:val="000000"/>
        </w:rPr>
        <w:t xml:space="preserve">Foote JJ.A.), </w:t>
      </w:r>
      <w:hyperlink r:id="rId9" w:history="1">
        <w:r w:rsidR="00775EC3" w:rsidRPr="001C2FD0">
          <w:rPr>
            <w:rStyle w:val="Hyperlink"/>
          </w:rPr>
          <w:t>2021 SKCA 20</w:t>
        </w:r>
      </w:hyperlink>
      <w:r w:rsidR="00966FAA">
        <w:t xml:space="preserve">, </w:t>
      </w:r>
      <w:r w:rsidR="00966FAA" w:rsidRPr="00966FAA">
        <w:t>400 C.C.C. (3d) 1</w:t>
      </w:r>
      <w:r w:rsidR="00775EC3">
        <w:t xml:space="preserve">, </w:t>
      </w:r>
      <w:r w:rsidR="00475624">
        <w:t>[2021] S.J. No. </w:t>
      </w:r>
      <w:r w:rsidR="00775EC3" w:rsidRPr="00855C71">
        <w:t>40</w:t>
      </w:r>
      <w:r w:rsidR="00775EC3">
        <w:t xml:space="preserve"> (QL), </w:t>
      </w:r>
      <w:r w:rsidR="00775EC3" w:rsidRPr="00855C71">
        <w:t xml:space="preserve">2021 </w:t>
      </w:r>
      <w:proofErr w:type="spellStart"/>
      <w:r w:rsidR="00775EC3" w:rsidRPr="00855C71">
        <w:t>CarswellSask</w:t>
      </w:r>
      <w:proofErr w:type="spellEnd"/>
      <w:r w:rsidR="00775EC3" w:rsidRPr="00855C71">
        <w:t xml:space="preserve"> 47</w:t>
      </w:r>
      <w:r w:rsidR="00B143D4">
        <w:t xml:space="preserve"> (WL</w:t>
      </w:r>
      <w:r w:rsidR="00775EC3">
        <w:t xml:space="preserve">), </w:t>
      </w:r>
      <w:r w:rsidR="00775EC3" w:rsidRPr="005A7E23">
        <w:t xml:space="preserve">setting aside </w:t>
      </w:r>
      <w:r w:rsidR="00A03B6E" w:rsidRPr="005A7E23">
        <w:t>the convictions of the accused for manslaughter and unlawfully causing bodily harm and ordering a new trial</w:t>
      </w:r>
      <w:r w:rsidR="00775EC3" w:rsidRPr="005A7E23">
        <w:t xml:space="preserve">. Appeal </w:t>
      </w:r>
      <w:r w:rsidR="00B63E9D" w:rsidRPr="005A7E23">
        <w:t>allowed</w:t>
      </w:r>
      <w:r w:rsidR="00475624" w:rsidRPr="005A7E23">
        <w:t>.</w:t>
      </w:r>
    </w:p>
    <w:p w:rsidR="001F7ADC" w:rsidRDefault="00475624" w:rsidP="00475624">
      <w:pPr>
        <w:pStyle w:val="SCCNormalDoubleSpacing"/>
        <w:spacing w:after="480"/>
      </w:pPr>
      <w:r>
        <w:rPr>
          <w:rStyle w:val="SCCCounselNameChar"/>
        </w:rPr>
        <w:tab/>
        <w:t>Pouria Tabrizi</w:t>
      </w:r>
      <w:r>
        <w:rPr>
          <w:rStyle w:val="SCCCounselNameChar"/>
        </w:rPr>
        <w:noBreakHyphen/>
      </w:r>
      <w:r w:rsidR="00B143D4">
        <w:rPr>
          <w:rStyle w:val="SCCCounselNameChar"/>
        </w:rPr>
        <w:t>Reardigan</w:t>
      </w:r>
      <w:r w:rsidR="00B143D4">
        <w:rPr>
          <w:rStyle w:val="SCCCounselPartyRoleChar"/>
        </w:rPr>
        <w:t>, for the appellant.</w:t>
      </w:r>
    </w:p>
    <w:p w:rsidR="00475624" w:rsidRDefault="00475624" w:rsidP="00475624">
      <w:pPr>
        <w:pStyle w:val="SCCNormalDoubleSpacing"/>
        <w:spacing w:after="480"/>
        <w:rPr>
          <w:rStyle w:val="SCCCounselPartyRoleChar"/>
        </w:rPr>
      </w:pPr>
      <w:r>
        <w:rPr>
          <w:rStyle w:val="SCCCounselNameChar"/>
        </w:rPr>
        <w:lastRenderedPageBreak/>
        <w:tab/>
      </w:r>
      <w:proofErr w:type="spellStart"/>
      <w:r>
        <w:rPr>
          <w:rStyle w:val="SCCCounselNameChar"/>
        </w:rPr>
        <w:t>Aleida</w:t>
      </w:r>
      <w:proofErr w:type="spellEnd"/>
      <w:r>
        <w:rPr>
          <w:rStyle w:val="SCCCounselNameChar"/>
        </w:rPr>
        <w:t xml:space="preserve"> </w:t>
      </w:r>
      <w:r w:rsidR="00B143D4">
        <w:rPr>
          <w:rStyle w:val="SCCCounselNameChar"/>
        </w:rPr>
        <w:t xml:space="preserve">M. </w:t>
      </w:r>
      <w:proofErr w:type="spellStart"/>
      <w:r w:rsidR="00B143D4">
        <w:rPr>
          <w:rStyle w:val="SCCCounselNameChar"/>
        </w:rPr>
        <w:t>Oberholzer</w:t>
      </w:r>
      <w:proofErr w:type="spellEnd"/>
      <w:r w:rsidR="00B143D4">
        <w:rPr>
          <w:rStyle w:val="SCCCounselSeparatorChar"/>
        </w:rPr>
        <w:t xml:space="preserve"> and </w:t>
      </w:r>
      <w:r w:rsidR="00B143D4">
        <w:rPr>
          <w:rStyle w:val="SCCCounselNameChar"/>
        </w:rPr>
        <w:t>Zachary Carter</w:t>
      </w:r>
      <w:r w:rsidR="00B143D4">
        <w:rPr>
          <w:rStyle w:val="SCCCounselPartyRoleChar"/>
        </w:rPr>
        <w:t>, for the respondent.</w:t>
      </w:r>
    </w:p>
    <w:p w:rsidR="006A19B1" w:rsidRDefault="006A19B1" w:rsidP="00475624">
      <w:pPr>
        <w:pStyle w:val="SCCNormalDoubleSpacing"/>
        <w:spacing w:after="480"/>
        <w:rPr>
          <w:rStyle w:val="SCCCounselPartyRoleChar"/>
        </w:rPr>
      </w:pPr>
    </w:p>
    <w:p w:rsidR="00F406B9" w:rsidRDefault="00F406B9" w:rsidP="005F3CAB">
      <w:pPr>
        <w:tabs>
          <w:tab w:val="left" w:pos="1134"/>
        </w:tabs>
        <w:jc w:val="both"/>
      </w:pPr>
      <w:r w:rsidRPr="00461802">
        <w:rPr>
          <w:lang w:val="en-US"/>
        </w:rPr>
        <w:tab/>
      </w:r>
      <w:r w:rsidRPr="00173A02">
        <w:t xml:space="preserve">The </w:t>
      </w:r>
      <w:r w:rsidRPr="00530715">
        <w:t>reasons for judgment</w:t>
      </w:r>
      <w:r w:rsidRPr="00173A02">
        <w:t xml:space="preserve"> of </w:t>
      </w:r>
      <w:r>
        <w:t>Wagner </w:t>
      </w:r>
      <w:r w:rsidRPr="00CF1404">
        <w:t>C.J. and Moldaver,</w:t>
      </w:r>
      <w:r>
        <w:t xml:space="preserve"> Karakatsanis, </w:t>
      </w:r>
      <w:r w:rsidRPr="00CF1404">
        <w:t>Côté</w:t>
      </w:r>
      <w:r>
        <w:t xml:space="preserve">, Rowe and Kasirer JJ. </w:t>
      </w:r>
      <w:proofErr w:type="gramStart"/>
      <w:r>
        <w:t>were</w:t>
      </w:r>
      <w:proofErr w:type="gramEnd"/>
      <w:r w:rsidRPr="00173A02">
        <w:t xml:space="preserve"> delivered by</w:t>
      </w:r>
    </w:p>
    <w:p w:rsidR="00F406B9" w:rsidRDefault="00F406B9" w:rsidP="00F406B9">
      <w:pPr>
        <w:jc w:val="both"/>
      </w:pPr>
    </w:p>
    <w:p w:rsidR="00F406B9" w:rsidRPr="005F5731" w:rsidRDefault="00F406B9" w:rsidP="00F406B9">
      <w:pPr>
        <w:pStyle w:val="JudgeJuge"/>
      </w:pPr>
      <w:r w:rsidRPr="005F5731">
        <w:tab/>
        <w:t xml:space="preserve">Côté J. — </w:t>
      </w:r>
    </w:p>
    <w:p w:rsidR="00F406B9" w:rsidRPr="005F5731" w:rsidRDefault="00F406B9" w:rsidP="00F406B9">
      <w:pPr>
        <w:pStyle w:val="Title1LevelTitre1Niveau-AltL"/>
        <w:rPr>
          <w:rFonts w:cs="Times New Roman"/>
        </w:rPr>
      </w:pPr>
      <w:r w:rsidRPr="005F5731">
        <w:rPr>
          <w:rFonts w:cs="Times New Roman"/>
        </w:rPr>
        <w:t>Overview</w:t>
      </w:r>
    </w:p>
    <w:p w:rsidR="00F406B9" w:rsidRPr="005F5731" w:rsidRDefault="00F406B9" w:rsidP="00F406B9">
      <w:pPr>
        <w:pStyle w:val="ParaNoNdepar-AltN"/>
        <w:rPr>
          <w:rFonts w:cs="Times New Roman"/>
        </w:rPr>
      </w:pPr>
      <w:r w:rsidRPr="005F5731">
        <w:rPr>
          <w:rFonts w:cs="Times New Roman"/>
        </w:rPr>
        <w:t xml:space="preserve">The circumstances giving rise to this appeal are tragic and abhorrent. </w:t>
      </w:r>
      <w:r>
        <w:rPr>
          <w:rFonts w:cs="Times New Roman"/>
        </w:rPr>
        <w:t>The respondent, Kevin Eric </w:t>
      </w:r>
      <w:r w:rsidRPr="005F5731">
        <w:rPr>
          <w:rFonts w:cs="Times New Roman"/>
        </w:rPr>
        <w:t xml:space="preserve">Goforth, was convicted by a jury of unlawful act manslaughter and unlawfully causing bodily harm. The convictions were in relation to Mr. Goforth’s two young foster children. The older child died </w:t>
      </w:r>
      <w:r>
        <w:rPr>
          <w:rFonts w:cs="Times New Roman"/>
        </w:rPr>
        <w:t xml:space="preserve">as a result of a brain injury that developed following </w:t>
      </w:r>
      <w:r w:rsidRPr="005F5731">
        <w:rPr>
          <w:rFonts w:cs="Times New Roman"/>
        </w:rPr>
        <w:t xml:space="preserve">a cardiac arrest caused by malnutrition and dehydration. </w:t>
      </w:r>
      <w:r>
        <w:rPr>
          <w:rFonts w:cs="Times New Roman"/>
        </w:rPr>
        <w:t>The younger child</w:t>
      </w:r>
      <w:r w:rsidRPr="005F5731">
        <w:rPr>
          <w:rFonts w:cs="Times New Roman"/>
        </w:rPr>
        <w:t xml:space="preserve"> was severely ill due to malnutrition and dehydration, but she survived. Both children </w:t>
      </w:r>
      <w:r>
        <w:rPr>
          <w:rFonts w:cs="Times New Roman"/>
        </w:rPr>
        <w:t xml:space="preserve">had </w:t>
      </w:r>
      <w:r w:rsidRPr="005F5731">
        <w:rPr>
          <w:rFonts w:cs="Times New Roman"/>
        </w:rPr>
        <w:t xml:space="preserve">bruises, abrasions, and lesions on their bodies. The main issue in this appeal is whether the jury was properly instructed such that </w:t>
      </w:r>
      <w:r>
        <w:rPr>
          <w:rFonts w:cs="Times New Roman"/>
        </w:rPr>
        <w:t>it was</w:t>
      </w:r>
      <w:r w:rsidRPr="005F5731">
        <w:rPr>
          <w:rFonts w:cs="Times New Roman"/>
        </w:rPr>
        <w:t xml:space="preserve"> able to find that Mr. Goforth had the requisite </w:t>
      </w:r>
      <w:r w:rsidRPr="005F5731">
        <w:rPr>
          <w:rFonts w:cs="Times New Roman"/>
          <w:i/>
        </w:rPr>
        <w:t>mens rea</w:t>
      </w:r>
      <w:r w:rsidRPr="005F5731">
        <w:rPr>
          <w:rFonts w:cs="Times New Roman"/>
        </w:rPr>
        <w:t>.</w:t>
      </w:r>
    </w:p>
    <w:p w:rsidR="00F406B9" w:rsidRPr="005F5731" w:rsidRDefault="00F406B9" w:rsidP="00F406B9">
      <w:pPr>
        <w:pStyle w:val="ParaNoNdepar-AltN"/>
        <w:rPr>
          <w:rFonts w:cs="Times New Roman"/>
        </w:rPr>
      </w:pPr>
      <w:r w:rsidRPr="005F5731">
        <w:rPr>
          <w:rFonts w:cs="Times New Roman"/>
        </w:rPr>
        <w:t xml:space="preserve">A majority </w:t>
      </w:r>
      <w:r>
        <w:rPr>
          <w:rFonts w:cs="Times New Roman"/>
        </w:rPr>
        <w:t>of</w:t>
      </w:r>
      <w:r w:rsidRPr="005F5731">
        <w:rPr>
          <w:rFonts w:cs="Times New Roman"/>
        </w:rPr>
        <w:t xml:space="preserve"> the Court of Appeal for Saskatchewan allowed Mr. Goforth’s appeal</w:t>
      </w:r>
      <w:r>
        <w:rPr>
          <w:rFonts w:cs="Times New Roman"/>
        </w:rPr>
        <w:t>, set aside his convictions,</w:t>
      </w:r>
      <w:r w:rsidRPr="005F5731">
        <w:rPr>
          <w:rFonts w:cs="Times New Roman"/>
        </w:rPr>
        <w:t xml:space="preserve"> and ordered a new trial. The majority found that the trial judge </w:t>
      </w:r>
      <w:r>
        <w:rPr>
          <w:rFonts w:cs="Times New Roman"/>
        </w:rPr>
        <w:t xml:space="preserve">had </w:t>
      </w:r>
      <w:r w:rsidRPr="005F5731">
        <w:rPr>
          <w:rFonts w:cs="Times New Roman"/>
        </w:rPr>
        <w:t xml:space="preserve">erred in two principal ways. First, the trial judge erred in describing the </w:t>
      </w:r>
      <w:r w:rsidRPr="005F5731">
        <w:rPr>
          <w:rFonts w:cs="Times New Roman"/>
          <w:i/>
        </w:rPr>
        <w:t>mens rea</w:t>
      </w:r>
      <w:r w:rsidRPr="005F5731">
        <w:rPr>
          <w:rFonts w:cs="Times New Roman"/>
        </w:rPr>
        <w:t xml:space="preserve"> requirement for failing to provide </w:t>
      </w:r>
      <w:r>
        <w:rPr>
          <w:rFonts w:cs="Times New Roman"/>
        </w:rPr>
        <w:t>necessaries</w:t>
      </w:r>
      <w:r w:rsidRPr="005F5731">
        <w:rPr>
          <w:rFonts w:cs="Times New Roman"/>
        </w:rPr>
        <w:t xml:space="preserve"> of life, which was the predicate </w:t>
      </w:r>
      <w:r w:rsidRPr="005F5731">
        <w:rPr>
          <w:rFonts w:cs="Times New Roman"/>
        </w:rPr>
        <w:lastRenderedPageBreak/>
        <w:t xml:space="preserve">offence for both manslaughter and unlawfully causing bodily harm. Second, </w:t>
      </w:r>
      <w:r>
        <w:rPr>
          <w:rFonts w:cs="Times New Roman"/>
        </w:rPr>
        <w:t>sh</w:t>
      </w:r>
      <w:r w:rsidRPr="005F5731">
        <w:rPr>
          <w:rFonts w:cs="Times New Roman"/>
        </w:rPr>
        <w:t xml:space="preserve">e erred in failing to </w:t>
      </w:r>
      <w:r>
        <w:rPr>
          <w:rFonts w:cs="Times New Roman"/>
        </w:rPr>
        <w:t xml:space="preserve">review and to </w:t>
      </w:r>
      <w:r w:rsidRPr="005F5731">
        <w:rPr>
          <w:rFonts w:cs="Times New Roman"/>
        </w:rPr>
        <w:t xml:space="preserve">instruct the jury </w:t>
      </w:r>
      <w:r>
        <w:rPr>
          <w:rFonts w:cs="Times New Roman"/>
        </w:rPr>
        <w:t>on</w:t>
      </w:r>
      <w:r w:rsidRPr="005F5731">
        <w:rPr>
          <w:rFonts w:cs="Times New Roman"/>
        </w:rPr>
        <w:t xml:space="preserve"> the evidence of Mr. Goforth’s parenting circumstances as a secondary caregiver.</w:t>
      </w:r>
    </w:p>
    <w:p w:rsidR="00F406B9" w:rsidRPr="005F5731" w:rsidRDefault="00F406B9" w:rsidP="00F406B9">
      <w:pPr>
        <w:pStyle w:val="ParaNoNdepar-AltN"/>
        <w:rPr>
          <w:rFonts w:cs="Times New Roman"/>
        </w:rPr>
      </w:pPr>
      <w:r w:rsidRPr="005F5731">
        <w:rPr>
          <w:rFonts w:cs="Times New Roman"/>
          <w:lang w:bidi="en-US"/>
        </w:rPr>
        <w:t xml:space="preserve">In my view, the majority </w:t>
      </w:r>
      <w:r>
        <w:rPr>
          <w:rFonts w:cs="Times New Roman"/>
          <w:lang w:bidi="en-US"/>
        </w:rPr>
        <w:t>of</w:t>
      </w:r>
      <w:r w:rsidRPr="005F5731">
        <w:rPr>
          <w:rFonts w:cs="Times New Roman"/>
          <w:lang w:bidi="en-US"/>
        </w:rPr>
        <w:t xml:space="preserve"> the Court of Appeal erred by failing to take a functional approach in its assessment of the jury charge. This Court has long held that an accused is entitled to a jury that is properly — and not necessarily perfectly — instructed. </w:t>
      </w:r>
      <w:r w:rsidRPr="005F5731">
        <w:rPr>
          <w:rFonts w:cs="Times New Roman"/>
        </w:rPr>
        <w:t xml:space="preserve">The ultimate question in this appeal is whether the jury was properly instructed such that appellate intervention was </w:t>
      </w:r>
      <w:r>
        <w:rPr>
          <w:rFonts w:cs="Times New Roman"/>
        </w:rPr>
        <w:t>un</w:t>
      </w:r>
      <w:r w:rsidRPr="005F5731">
        <w:rPr>
          <w:rFonts w:cs="Times New Roman"/>
        </w:rPr>
        <w:t xml:space="preserve">warranted. In my view, while the charge was </w:t>
      </w:r>
      <w:r>
        <w:rPr>
          <w:rFonts w:cs="Times New Roman"/>
        </w:rPr>
        <w:t xml:space="preserve">not </w:t>
      </w:r>
      <w:r w:rsidRPr="005F5731">
        <w:rPr>
          <w:rFonts w:cs="Times New Roman"/>
        </w:rPr>
        <w:t>perfect, the jury was nonetheless properly instructed. None of the issues raised in connection with the jury charge warranted appellate intervention.</w:t>
      </w:r>
    </w:p>
    <w:p w:rsidR="00F406B9" w:rsidRPr="005F5731" w:rsidRDefault="00F406B9" w:rsidP="00F406B9">
      <w:pPr>
        <w:pStyle w:val="ParaNoNdepar-AltN"/>
        <w:rPr>
          <w:rFonts w:cs="Times New Roman"/>
        </w:rPr>
      </w:pPr>
      <w:r>
        <w:rPr>
          <w:rFonts w:cs="Times New Roman"/>
        </w:rPr>
        <w:t>At the conclusion of the hearing, the Court allowed the appeal and restored the convictions, with reasons to follow. These are the reasons</w:t>
      </w:r>
      <w:r w:rsidRPr="005F5731">
        <w:rPr>
          <w:rFonts w:cs="Times New Roman"/>
        </w:rPr>
        <w:t>.</w:t>
      </w:r>
    </w:p>
    <w:p w:rsidR="00F406B9" w:rsidRPr="005F5731" w:rsidRDefault="00F406B9" w:rsidP="00F406B9">
      <w:pPr>
        <w:pStyle w:val="Title1LevelTitre1Niveau-AltL"/>
        <w:rPr>
          <w:rFonts w:cs="Times New Roman"/>
        </w:rPr>
      </w:pPr>
      <w:r w:rsidRPr="005F5731">
        <w:rPr>
          <w:rFonts w:cs="Times New Roman"/>
        </w:rPr>
        <w:t>Facts</w:t>
      </w:r>
    </w:p>
    <w:p w:rsidR="00F406B9" w:rsidRPr="005F5731" w:rsidRDefault="00F406B9" w:rsidP="00F406B9">
      <w:pPr>
        <w:pStyle w:val="ParaNoNdepar-AltN"/>
        <w:rPr>
          <w:rFonts w:cs="Times New Roman"/>
        </w:rPr>
      </w:pPr>
      <w:r w:rsidRPr="005F5731">
        <w:rPr>
          <w:rFonts w:cs="Times New Roman"/>
        </w:rPr>
        <w:t xml:space="preserve">On November 8, 2011, two young girls were placed in foster care with </w:t>
      </w:r>
      <w:r>
        <w:rPr>
          <w:rFonts w:cs="Times New Roman"/>
        </w:rPr>
        <w:t>Mr. Goforth</w:t>
      </w:r>
      <w:r w:rsidRPr="005F5731">
        <w:rPr>
          <w:rFonts w:cs="Times New Roman"/>
        </w:rPr>
        <w:t xml:space="preserve"> and </w:t>
      </w:r>
      <w:r>
        <w:rPr>
          <w:rFonts w:cs="Times New Roman"/>
        </w:rPr>
        <w:t>his wife, Tammy Goforth</w:t>
      </w:r>
      <w:r w:rsidRPr="005F5731">
        <w:rPr>
          <w:rFonts w:cs="Times New Roman"/>
        </w:rPr>
        <w:t xml:space="preserve">, after having previously </w:t>
      </w:r>
      <w:r w:rsidRPr="005F5731">
        <w:rPr>
          <w:rFonts w:cs="Times New Roman"/>
          <w:lang w:val="en-US"/>
        </w:rPr>
        <w:t xml:space="preserve">spent over a year and a half in temporary care with other foster parents. The </w:t>
      </w:r>
      <w:proofErr w:type="spellStart"/>
      <w:r w:rsidRPr="005F5731">
        <w:rPr>
          <w:rFonts w:cs="Times New Roman"/>
          <w:lang w:val="en-US"/>
        </w:rPr>
        <w:t>Goforths</w:t>
      </w:r>
      <w:proofErr w:type="spellEnd"/>
      <w:r w:rsidRPr="005F5731">
        <w:rPr>
          <w:rFonts w:cs="Times New Roman"/>
          <w:lang w:val="en-US"/>
        </w:rPr>
        <w:t xml:space="preserve"> had been identified as a possible permanent placement for the children. At the time they were placed in the care of the </w:t>
      </w:r>
      <w:proofErr w:type="spellStart"/>
      <w:r w:rsidRPr="005F5731">
        <w:rPr>
          <w:rFonts w:cs="Times New Roman"/>
          <w:lang w:val="en-US"/>
        </w:rPr>
        <w:t>Goforths</w:t>
      </w:r>
      <w:proofErr w:type="spellEnd"/>
      <w:r w:rsidRPr="005F5731">
        <w:rPr>
          <w:rFonts w:cs="Times New Roman"/>
          <w:lang w:val="en-US"/>
        </w:rPr>
        <w:t xml:space="preserve">, the children were three and two </w:t>
      </w:r>
      <w:r>
        <w:rPr>
          <w:rFonts w:cs="Times New Roman"/>
          <w:lang w:val="en-US"/>
        </w:rPr>
        <w:t>years old</w:t>
      </w:r>
      <w:r w:rsidRPr="005F5731">
        <w:rPr>
          <w:rFonts w:cs="Times New Roman"/>
          <w:lang w:val="en-US"/>
        </w:rPr>
        <w:t>. Neither child had any major health concerns prior to the placement</w:t>
      </w:r>
      <w:r>
        <w:rPr>
          <w:rFonts w:cs="Times New Roman"/>
          <w:lang w:val="en-US"/>
        </w:rPr>
        <w:t>. A</w:t>
      </w:r>
      <w:r w:rsidRPr="005F5731">
        <w:rPr>
          <w:rFonts w:cs="Times New Roman"/>
          <w:lang w:val="en-US"/>
        </w:rPr>
        <w:t xml:space="preserve"> child protection worker had described the girls as </w:t>
      </w:r>
      <w:r>
        <w:rPr>
          <w:rFonts w:cs="Times New Roman"/>
          <w:lang w:val="en-US"/>
        </w:rPr>
        <w:t xml:space="preserve">being </w:t>
      </w:r>
      <w:r w:rsidRPr="005F5731">
        <w:rPr>
          <w:rFonts w:cs="Times New Roman"/>
          <w:lang w:val="en-US"/>
        </w:rPr>
        <w:t>“fairly pudgy”, “very full</w:t>
      </w:r>
      <w:r w:rsidRPr="005F5731">
        <w:rPr>
          <w:rFonts w:cs="Times New Roman"/>
          <w:lang w:val="en-US"/>
        </w:rPr>
        <w:noBreakHyphen/>
        <w:t xml:space="preserve">faced”, </w:t>
      </w:r>
      <w:r>
        <w:rPr>
          <w:rFonts w:cs="Times New Roman"/>
          <w:lang w:val="en-US"/>
        </w:rPr>
        <w:t xml:space="preserve">and </w:t>
      </w:r>
      <w:r w:rsidRPr="005F5731">
        <w:rPr>
          <w:rFonts w:cs="Times New Roman"/>
          <w:lang w:val="en-US"/>
        </w:rPr>
        <w:t>“full</w:t>
      </w:r>
      <w:r>
        <w:rPr>
          <w:rFonts w:cs="Times New Roman"/>
          <w:lang w:val="en-US"/>
        </w:rPr>
        <w:noBreakHyphen/>
      </w:r>
      <w:r w:rsidRPr="005F5731">
        <w:rPr>
          <w:rFonts w:cs="Times New Roman"/>
          <w:lang w:val="en-US"/>
        </w:rPr>
        <w:t xml:space="preserve">cheeked” </w:t>
      </w:r>
      <w:r>
        <w:rPr>
          <w:rFonts w:cs="Times New Roman"/>
          <w:lang w:val="en-US"/>
        </w:rPr>
        <w:t xml:space="preserve">in appearance </w:t>
      </w:r>
      <w:r>
        <w:rPr>
          <w:rFonts w:cs="Times New Roman"/>
          <w:lang w:val="en-US"/>
        </w:rPr>
        <w:lastRenderedPageBreak/>
        <w:t>(A.R., vol. III, at p. 141). She</w:t>
      </w:r>
      <w:r w:rsidRPr="005F5731">
        <w:rPr>
          <w:rFonts w:cs="Times New Roman"/>
          <w:lang w:val="en-US"/>
        </w:rPr>
        <w:t xml:space="preserve"> </w:t>
      </w:r>
      <w:r>
        <w:rPr>
          <w:rFonts w:cs="Times New Roman"/>
          <w:lang w:val="en-US"/>
        </w:rPr>
        <w:t>had</w:t>
      </w:r>
      <w:r w:rsidRPr="005F5731">
        <w:rPr>
          <w:rFonts w:cs="Times New Roman"/>
          <w:lang w:val="en-US"/>
        </w:rPr>
        <w:t xml:space="preserve"> </w:t>
      </w:r>
      <w:r>
        <w:rPr>
          <w:rFonts w:cs="Times New Roman"/>
          <w:lang w:val="en-US"/>
        </w:rPr>
        <w:t xml:space="preserve">also </w:t>
      </w:r>
      <w:r w:rsidRPr="005F5731">
        <w:rPr>
          <w:rFonts w:cs="Times New Roman"/>
          <w:lang w:val="en-US"/>
        </w:rPr>
        <w:t xml:space="preserve">described </w:t>
      </w:r>
      <w:r>
        <w:rPr>
          <w:rFonts w:cs="Times New Roman"/>
          <w:lang w:val="en-US"/>
        </w:rPr>
        <w:t xml:space="preserve">the older child’s </w:t>
      </w:r>
      <w:r w:rsidRPr="005F5731">
        <w:rPr>
          <w:rFonts w:cs="Times New Roman"/>
          <w:lang w:val="en-US"/>
        </w:rPr>
        <w:t>disposition as “warm”</w:t>
      </w:r>
      <w:r>
        <w:rPr>
          <w:rFonts w:cs="Times New Roman"/>
          <w:lang w:val="en-US"/>
        </w:rPr>
        <w:t>, “affectionate”, and “very happy” (p. 154). A previous foster parent had described the younger child’s disposition as “bubbly” and “happy” (A.R., vol. IV, at p. 232).</w:t>
      </w:r>
    </w:p>
    <w:p w:rsidR="00F406B9" w:rsidRPr="005F5731" w:rsidRDefault="00F406B9" w:rsidP="00F406B9">
      <w:pPr>
        <w:pStyle w:val="ParaNoNdepar-AltN"/>
        <w:rPr>
          <w:rFonts w:cs="Times New Roman"/>
        </w:rPr>
      </w:pPr>
      <w:r w:rsidRPr="005F5731">
        <w:rPr>
          <w:rFonts w:cs="Times New Roman"/>
        </w:rPr>
        <w:t xml:space="preserve">On the night of July 31, 2012, approximately </w:t>
      </w:r>
      <w:r>
        <w:rPr>
          <w:rFonts w:cs="Times New Roman"/>
        </w:rPr>
        <w:t>nine</w:t>
      </w:r>
      <w:r w:rsidRPr="005F5731">
        <w:rPr>
          <w:rFonts w:cs="Times New Roman"/>
        </w:rPr>
        <w:t> months after the girls entered the</w:t>
      </w:r>
      <w:r>
        <w:rPr>
          <w:rFonts w:cs="Times New Roman"/>
        </w:rPr>
        <w:t>ir</w:t>
      </w:r>
      <w:r w:rsidRPr="005F5731">
        <w:rPr>
          <w:rFonts w:cs="Times New Roman"/>
        </w:rPr>
        <w:t xml:space="preserve"> care, the </w:t>
      </w:r>
      <w:proofErr w:type="spellStart"/>
      <w:r w:rsidRPr="005F5731">
        <w:rPr>
          <w:rFonts w:cs="Times New Roman"/>
        </w:rPr>
        <w:t>Goforths</w:t>
      </w:r>
      <w:proofErr w:type="spellEnd"/>
      <w:r w:rsidRPr="005F5731">
        <w:rPr>
          <w:rFonts w:cs="Times New Roman"/>
        </w:rPr>
        <w:t xml:space="preserve"> took the older child to the hospital. The attending pediatrician </w:t>
      </w:r>
      <w:r>
        <w:rPr>
          <w:rFonts w:cs="Times New Roman"/>
        </w:rPr>
        <w:t>in</w:t>
      </w:r>
      <w:r w:rsidRPr="005F5731">
        <w:rPr>
          <w:rFonts w:cs="Times New Roman"/>
        </w:rPr>
        <w:t xml:space="preserve"> the intensive care unit </w:t>
      </w:r>
      <w:r>
        <w:rPr>
          <w:rFonts w:cs="Times New Roman"/>
        </w:rPr>
        <w:t>testified at trial that</w:t>
      </w:r>
      <w:r w:rsidRPr="005F5731">
        <w:rPr>
          <w:rFonts w:cs="Times New Roman"/>
        </w:rPr>
        <w:t xml:space="preserve"> the older child </w:t>
      </w:r>
      <w:r>
        <w:rPr>
          <w:rFonts w:cs="Times New Roman"/>
        </w:rPr>
        <w:t>was</w:t>
      </w:r>
      <w:r w:rsidRPr="005F5731">
        <w:rPr>
          <w:rFonts w:cs="Times New Roman"/>
        </w:rPr>
        <w:t xml:space="preserve"> very sick. She was in cardiac arrest and was not breathing. </w:t>
      </w:r>
      <w:r>
        <w:rPr>
          <w:rFonts w:cs="Times New Roman"/>
        </w:rPr>
        <w:t>It took hospital staff 15 </w:t>
      </w:r>
      <w:r w:rsidRPr="005F5731">
        <w:rPr>
          <w:rFonts w:cs="Times New Roman"/>
        </w:rPr>
        <w:t xml:space="preserve">minutes to resuscitate her heart. She was severely emaciated and dehydrated. Her weight was </w:t>
      </w:r>
      <w:r>
        <w:rPr>
          <w:rFonts w:cs="Times New Roman"/>
        </w:rPr>
        <w:t>significantly</w:t>
      </w:r>
      <w:r w:rsidRPr="005F5731">
        <w:rPr>
          <w:rFonts w:cs="Times New Roman"/>
        </w:rPr>
        <w:t xml:space="preserve"> below the third percentile for children of her age</w:t>
      </w:r>
      <w:r>
        <w:rPr>
          <w:rFonts w:cs="Times New Roman"/>
        </w:rPr>
        <w:t xml:space="preserve"> and gender</w:t>
      </w:r>
      <w:r w:rsidRPr="005F5731">
        <w:rPr>
          <w:rFonts w:cs="Times New Roman"/>
        </w:rPr>
        <w:t>. She had multiple bruises and abrasions on her body. She was placed on a life support machine as she was not capable of breathing on her own. She was also in renal failure, likely due to severe dehydration.</w:t>
      </w:r>
    </w:p>
    <w:p w:rsidR="00F406B9" w:rsidRPr="005F5731" w:rsidRDefault="00F406B9" w:rsidP="00F406B9">
      <w:pPr>
        <w:pStyle w:val="ParaNoNdepar-AltN"/>
        <w:rPr>
          <w:rFonts w:cs="Times New Roman"/>
        </w:rPr>
      </w:pPr>
      <w:r w:rsidRPr="005F5731">
        <w:rPr>
          <w:rFonts w:cs="Times New Roman"/>
        </w:rPr>
        <w:t xml:space="preserve">Despite continued treatment over the next </w:t>
      </w:r>
      <w:r>
        <w:rPr>
          <w:rFonts w:cs="Times New Roman"/>
        </w:rPr>
        <w:t>day and a half</w:t>
      </w:r>
      <w:r w:rsidRPr="005F5731">
        <w:rPr>
          <w:rFonts w:cs="Times New Roman"/>
        </w:rPr>
        <w:t>, the older child</w:t>
      </w:r>
      <w:r>
        <w:rPr>
          <w:rFonts w:cs="Times New Roman"/>
        </w:rPr>
        <w:t>’s condition</w:t>
      </w:r>
      <w:r w:rsidRPr="005F5731">
        <w:rPr>
          <w:rFonts w:cs="Times New Roman"/>
        </w:rPr>
        <w:t xml:space="preserve"> showed no signs of improvement and she was declared brain dead. She was taken off life support and died on August 2, 2012. The cause of her death, as </w:t>
      </w:r>
      <w:r>
        <w:rPr>
          <w:rFonts w:cs="Times New Roman"/>
        </w:rPr>
        <w:t>set out</w:t>
      </w:r>
      <w:r w:rsidRPr="005F5731">
        <w:rPr>
          <w:rFonts w:cs="Times New Roman"/>
        </w:rPr>
        <w:t xml:space="preserve"> in the Agreed Statement of Facts, was “diffuse hypoxic/ischemic brain injury that developed following a cardiac arrest on July 31, 2012, secondary to malnutrition and dehydration” </w:t>
      </w:r>
      <w:r>
        <w:rPr>
          <w:rFonts w:cs="Times New Roman"/>
        </w:rPr>
        <w:t>(A.R., v</w:t>
      </w:r>
      <w:r w:rsidRPr="005F5731">
        <w:rPr>
          <w:rFonts w:cs="Times New Roman"/>
        </w:rPr>
        <w:t>ol</w:t>
      </w:r>
      <w:r>
        <w:rPr>
          <w:rFonts w:cs="Times New Roman"/>
        </w:rPr>
        <w:t>. II</w:t>
      </w:r>
      <w:r w:rsidRPr="005F5731">
        <w:rPr>
          <w:rFonts w:cs="Times New Roman"/>
        </w:rPr>
        <w:t xml:space="preserve">, </w:t>
      </w:r>
      <w:r>
        <w:rPr>
          <w:rFonts w:cs="Times New Roman"/>
        </w:rPr>
        <w:t xml:space="preserve">at </w:t>
      </w:r>
      <w:r w:rsidRPr="005F5731">
        <w:rPr>
          <w:rFonts w:cs="Times New Roman"/>
        </w:rPr>
        <w:t>p. 171</w:t>
      </w:r>
      <w:r>
        <w:rPr>
          <w:rFonts w:cs="Times New Roman"/>
        </w:rPr>
        <w:t>)</w:t>
      </w:r>
      <w:r w:rsidRPr="005F5731">
        <w:rPr>
          <w:rFonts w:cs="Times New Roman"/>
        </w:rPr>
        <w:t>.</w:t>
      </w:r>
    </w:p>
    <w:p w:rsidR="00F406B9" w:rsidRPr="005F5731" w:rsidRDefault="00F406B9" w:rsidP="00F406B9">
      <w:pPr>
        <w:pStyle w:val="ParaNoNdepar-AltN"/>
        <w:rPr>
          <w:rFonts w:cs="Times New Roman"/>
        </w:rPr>
      </w:pPr>
      <w:r w:rsidRPr="005F5731">
        <w:rPr>
          <w:rFonts w:cs="Times New Roman"/>
        </w:rPr>
        <w:t xml:space="preserve">Given the </w:t>
      </w:r>
      <w:r>
        <w:rPr>
          <w:rFonts w:cs="Times New Roman"/>
        </w:rPr>
        <w:t>horrific</w:t>
      </w:r>
      <w:r w:rsidRPr="005F5731">
        <w:rPr>
          <w:rFonts w:cs="Times New Roman"/>
        </w:rPr>
        <w:t xml:space="preserve"> state of the older child, </w:t>
      </w:r>
      <w:r>
        <w:rPr>
          <w:rFonts w:cs="Times New Roman"/>
        </w:rPr>
        <w:t xml:space="preserve">the </w:t>
      </w:r>
      <w:r w:rsidRPr="005F5731">
        <w:rPr>
          <w:rFonts w:cs="Times New Roman"/>
        </w:rPr>
        <w:t xml:space="preserve">police were called shortly after her admission to the hospital. </w:t>
      </w:r>
      <w:r>
        <w:rPr>
          <w:rFonts w:cs="Times New Roman"/>
        </w:rPr>
        <w:t>The p</w:t>
      </w:r>
      <w:r w:rsidRPr="005F5731">
        <w:rPr>
          <w:rFonts w:cs="Times New Roman"/>
        </w:rPr>
        <w:t xml:space="preserve">olice subsequently found the younger child </w:t>
      </w:r>
      <w:r w:rsidRPr="005F5731">
        <w:rPr>
          <w:rFonts w:cs="Times New Roman"/>
        </w:rPr>
        <w:lastRenderedPageBreak/>
        <w:t xml:space="preserve">and she was admitted to hospital early in the morning on August 1, 2012. She was similarly emaciated, malnourished, and dehydrated. Her weight was also under the third percentile for children </w:t>
      </w:r>
      <w:r>
        <w:rPr>
          <w:rFonts w:cs="Times New Roman"/>
        </w:rPr>
        <w:t xml:space="preserve">of </w:t>
      </w:r>
      <w:r w:rsidRPr="005F5731">
        <w:rPr>
          <w:rFonts w:cs="Times New Roman"/>
        </w:rPr>
        <w:t>her age and gender. She had increased body hair, which was a condition the attending pediatrician had previous</w:t>
      </w:r>
      <w:r>
        <w:rPr>
          <w:rFonts w:cs="Times New Roman"/>
        </w:rPr>
        <w:t>ly</w:t>
      </w:r>
      <w:r w:rsidRPr="005F5731">
        <w:rPr>
          <w:rFonts w:cs="Times New Roman"/>
        </w:rPr>
        <w:t xml:space="preserve"> seen </w:t>
      </w:r>
      <w:r>
        <w:rPr>
          <w:rFonts w:cs="Times New Roman"/>
        </w:rPr>
        <w:t>i</w:t>
      </w:r>
      <w:r w:rsidRPr="005F5731">
        <w:rPr>
          <w:rFonts w:cs="Times New Roman"/>
        </w:rPr>
        <w:t>n patients with anorexia nervosa and which</w:t>
      </w:r>
      <w:r>
        <w:rPr>
          <w:rFonts w:cs="Times New Roman"/>
        </w:rPr>
        <w:t>,</w:t>
      </w:r>
      <w:r w:rsidRPr="005F5731">
        <w:rPr>
          <w:rFonts w:cs="Times New Roman"/>
        </w:rPr>
        <w:t xml:space="preserve"> she explained </w:t>
      </w:r>
      <w:r>
        <w:rPr>
          <w:rFonts w:cs="Times New Roman"/>
        </w:rPr>
        <w:t xml:space="preserve">in her testimony at trial, </w:t>
      </w:r>
      <w:r w:rsidRPr="005F5731">
        <w:rPr>
          <w:rFonts w:cs="Times New Roman"/>
        </w:rPr>
        <w:t>was a way the body could insulate itself after fat stores had been lost. In addition, the younger child had pneumonia, a urinary tract infection, and a large ulcer on her lower left leg with signs of infection. She also had bruises on her face, open sores and abrasions on the lower spine, and wrap</w:t>
      </w:r>
      <w:r>
        <w:rPr>
          <w:rFonts w:cs="Times New Roman"/>
        </w:rPr>
        <w:noBreakHyphen/>
      </w:r>
      <w:r w:rsidRPr="005F5731">
        <w:rPr>
          <w:rFonts w:cs="Times New Roman"/>
        </w:rPr>
        <w:t xml:space="preserve">around </w:t>
      </w:r>
      <w:r>
        <w:rPr>
          <w:rFonts w:cs="Times New Roman"/>
        </w:rPr>
        <w:t>lesion</w:t>
      </w:r>
      <w:r w:rsidRPr="005F5731">
        <w:rPr>
          <w:rFonts w:cs="Times New Roman"/>
        </w:rPr>
        <w:t xml:space="preserve">s </w:t>
      </w:r>
      <w:r>
        <w:rPr>
          <w:rFonts w:cs="Times New Roman"/>
        </w:rPr>
        <w:t>on</w:t>
      </w:r>
      <w:r w:rsidRPr="005F5731">
        <w:rPr>
          <w:rFonts w:cs="Times New Roman"/>
        </w:rPr>
        <w:t xml:space="preserve"> her wrists and ankles.</w:t>
      </w:r>
    </w:p>
    <w:p w:rsidR="00F406B9" w:rsidRPr="005F5731" w:rsidRDefault="00F406B9" w:rsidP="00F406B9">
      <w:pPr>
        <w:pStyle w:val="ParaNoNdepar-AltN"/>
        <w:rPr>
          <w:rFonts w:cs="Times New Roman"/>
        </w:rPr>
      </w:pPr>
      <w:r w:rsidRPr="005F5731">
        <w:rPr>
          <w:rFonts w:cs="Times New Roman"/>
        </w:rPr>
        <w:t>Mr. and Ms. Goforth were</w:t>
      </w:r>
      <w:r>
        <w:rPr>
          <w:rFonts w:cs="Times New Roman"/>
        </w:rPr>
        <w:t xml:space="preserve"> both</w:t>
      </w:r>
      <w:r w:rsidRPr="005F5731">
        <w:rPr>
          <w:rFonts w:cs="Times New Roman"/>
        </w:rPr>
        <w:t xml:space="preserve"> ultimately charged</w:t>
      </w:r>
      <w:r>
        <w:rPr>
          <w:rFonts w:cs="Times New Roman"/>
        </w:rPr>
        <w:t xml:space="preserve"> with,</w:t>
      </w:r>
      <w:r w:rsidRPr="005F5731">
        <w:rPr>
          <w:rFonts w:cs="Times New Roman"/>
        </w:rPr>
        <w:t xml:space="preserve"> and </w:t>
      </w:r>
      <w:r>
        <w:rPr>
          <w:rFonts w:cs="Times New Roman"/>
        </w:rPr>
        <w:t xml:space="preserve">were </w:t>
      </w:r>
      <w:r w:rsidRPr="005F5731">
        <w:rPr>
          <w:rFonts w:cs="Times New Roman"/>
        </w:rPr>
        <w:t xml:space="preserve">jointly tried </w:t>
      </w:r>
      <w:r>
        <w:rPr>
          <w:rFonts w:cs="Times New Roman"/>
        </w:rPr>
        <w:t xml:space="preserve">for, </w:t>
      </w:r>
      <w:r w:rsidRPr="005F5731">
        <w:rPr>
          <w:rFonts w:cs="Times New Roman"/>
        </w:rPr>
        <w:t>second degree murder (</w:t>
      </w:r>
      <w:r w:rsidRPr="005F5731">
        <w:rPr>
          <w:rFonts w:cs="Times New Roman"/>
          <w:i/>
        </w:rPr>
        <w:t>Criminal Code</w:t>
      </w:r>
      <w:r>
        <w:rPr>
          <w:rFonts w:cs="Times New Roman"/>
        </w:rPr>
        <w:t>,</w:t>
      </w:r>
      <w:r w:rsidRPr="005F5731">
        <w:rPr>
          <w:rFonts w:cs="Times New Roman"/>
        </w:rPr>
        <w:t xml:space="preserve"> </w:t>
      </w:r>
      <w:r>
        <w:rPr>
          <w:rFonts w:cs="Times New Roman"/>
        </w:rPr>
        <w:t>R.S.C. 1985, c. C</w:t>
      </w:r>
      <w:r>
        <w:rPr>
          <w:rFonts w:cs="Times New Roman"/>
        </w:rPr>
        <w:noBreakHyphen/>
        <w:t xml:space="preserve">46, </w:t>
      </w:r>
      <w:r w:rsidRPr="005F5731">
        <w:rPr>
          <w:rFonts w:cs="Times New Roman"/>
        </w:rPr>
        <w:t>s. 235) in relation to the death of the older child and unlawfully causing bodily harm (s. 269</w:t>
      </w:r>
      <w:r>
        <w:rPr>
          <w:rFonts w:cs="Times New Roman"/>
        </w:rPr>
        <w:t>(a)</w:t>
      </w:r>
      <w:r w:rsidRPr="005F5731">
        <w:rPr>
          <w:rFonts w:cs="Times New Roman"/>
        </w:rPr>
        <w:t>)</w:t>
      </w:r>
      <w:r w:rsidRPr="005F5731">
        <w:rPr>
          <w:rFonts w:cs="Times New Roman"/>
          <w:i/>
        </w:rPr>
        <w:t xml:space="preserve"> </w:t>
      </w:r>
      <w:r w:rsidRPr="005F5731">
        <w:rPr>
          <w:rFonts w:cs="Times New Roman"/>
        </w:rPr>
        <w:t>in relation to the younger child. Unlawful act manslaughter (s. 222(5</w:t>
      </w:r>
      <w:proofErr w:type="gramStart"/>
      <w:r w:rsidRPr="005F5731">
        <w:rPr>
          <w:rFonts w:cs="Times New Roman"/>
        </w:rPr>
        <w:t>)(</w:t>
      </w:r>
      <w:proofErr w:type="gramEnd"/>
      <w:r w:rsidRPr="005F5731">
        <w:rPr>
          <w:rFonts w:cs="Times New Roman"/>
        </w:rPr>
        <w:t xml:space="preserve">a)) was a lesser and included offence </w:t>
      </w:r>
      <w:r>
        <w:rPr>
          <w:rFonts w:cs="Times New Roman"/>
        </w:rPr>
        <w:t>in</w:t>
      </w:r>
      <w:r w:rsidRPr="005F5731">
        <w:rPr>
          <w:rFonts w:cs="Times New Roman"/>
        </w:rPr>
        <w:t xml:space="preserve"> the second degree murder</w:t>
      </w:r>
      <w:r>
        <w:rPr>
          <w:rFonts w:cs="Times New Roman"/>
        </w:rPr>
        <w:t xml:space="preserve"> charges</w:t>
      </w:r>
      <w:r w:rsidRPr="005F5731">
        <w:rPr>
          <w:rFonts w:cs="Times New Roman"/>
        </w:rPr>
        <w:t xml:space="preserve">. All of the offences </w:t>
      </w:r>
      <w:r>
        <w:rPr>
          <w:rFonts w:cs="Times New Roman"/>
        </w:rPr>
        <w:t xml:space="preserve">required </w:t>
      </w:r>
      <w:r w:rsidRPr="005F5731">
        <w:rPr>
          <w:rFonts w:cs="Times New Roman"/>
        </w:rPr>
        <w:t xml:space="preserve">the Crown </w:t>
      </w:r>
      <w:r>
        <w:rPr>
          <w:rFonts w:cs="Times New Roman"/>
        </w:rPr>
        <w:t xml:space="preserve">to </w:t>
      </w:r>
      <w:r w:rsidRPr="005F5731">
        <w:rPr>
          <w:rFonts w:cs="Times New Roman"/>
        </w:rPr>
        <w:t>prov</w:t>
      </w:r>
      <w:r>
        <w:rPr>
          <w:rFonts w:cs="Times New Roman"/>
        </w:rPr>
        <w:t>e beyond a reasonable doubt</w:t>
      </w:r>
      <w:r w:rsidRPr="005F5731">
        <w:rPr>
          <w:rFonts w:cs="Times New Roman"/>
        </w:rPr>
        <w:t xml:space="preserve"> that the two accused had committed an unlawful act. The unlawful act alleged by the Crown was failure to provide necessaries of life </w:t>
      </w:r>
      <w:r>
        <w:rPr>
          <w:rFonts w:cs="Times New Roman"/>
        </w:rPr>
        <w:t>as set out in</w:t>
      </w:r>
      <w:r w:rsidRPr="005F5731">
        <w:rPr>
          <w:rFonts w:cs="Times New Roman"/>
        </w:rPr>
        <w:t xml:space="preserve"> s. 215(</w:t>
      </w:r>
      <w:r>
        <w:rPr>
          <w:rFonts w:cs="Times New Roman"/>
        </w:rPr>
        <w:t>2</w:t>
      </w:r>
      <w:r w:rsidRPr="005F5731">
        <w:rPr>
          <w:rFonts w:cs="Times New Roman"/>
        </w:rPr>
        <w:t xml:space="preserve">) of the </w:t>
      </w:r>
      <w:r w:rsidRPr="005F5731">
        <w:rPr>
          <w:rFonts w:cs="Times New Roman"/>
          <w:i/>
        </w:rPr>
        <w:t>Criminal Code</w:t>
      </w:r>
      <w:r>
        <w:rPr>
          <w:rFonts w:cs="Times New Roman"/>
        </w:rPr>
        <w:t>.</w:t>
      </w:r>
    </w:p>
    <w:p w:rsidR="00F406B9" w:rsidRPr="005F5731" w:rsidRDefault="00F406B9" w:rsidP="00F406B9">
      <w:pPr>
        <w:pStyle w:val="ParaNoNdepar-AltN"/>
        <w:rPr>
          <w:rFonts w:cs="Times New Roman"/>
        </w:rPr>
      </w:pPr>
      <w:r w:rsidRPr="005F5731">
        <w:rPr>
          <w:rFonts w:cs="Times New Roman"/>
        </w:rPr>
        <w:t>Section 215 imposes a legal duty on certain persons to provide necessaries of life to another person</w:t>
      </w:r>
      <w:r>
        <w:rPr>
          <w:rFonts w:cs="Times New Roman"/>
        </w:rPr>
        <w:t xml:space="preserve"> and sets out the corresponding offence for failure without lawful excuse to perform that duty</w:t>
      </w:r>
      <w:r w:rsidRPr="005F5731">
        <w:rPr>
          <w:rFonts w:cs="Times New Roman"/>
        </w:rPr>
        <w:t xml:space="preserve">. It </w:t>
      </w:r>
      <w:r>
        <w:rPr>
          <w:rFonts w:cs="Times New Roman"/>
        </w:rPr>
        <w:t>states</w:t>
      </w:r>
      <w:r w:rsidRPr="005F5731">
        <w:rPr>
          <w:rFonts w:cs="Times New Roman"/>
        </w:rPr>
        <w:t>:</w:t>
      </w:r>
    </w:p>
    <w:p w:rsidR="00F406B9" w:rsidRPr="005F5731" w:rsidRDefault="00F406B9" w:rsidP="00F406B9">
      <w:pPr>
        <w:pStyle w:val="Citation-AltC"/>
      </w:pPr>
      <w:r w:rsidRPr="0034074A">
        <w:rPr>
          <w:b/>
        </w:rPr>
        <w:t>215 (1)</w:t>
      </w:r>
      <w:r w:rsidRPr="005F5731">
        <w:t xml:space="preserve"> </w:t>
      </w:r>
      <w:proofErr w:type="spellStart"/>
      <w:proofErr w:type="gramStart"/>
      <w:r w:rsidRPr="005F5731">
        <w:t>Every</w:t>
      </w:r>
      <w:proofErr w:type="gramEnd"/>
      <w:r w:rsidRPr="005F5731">
        <w:t xml:space="preserve"> one</w:t>
      </w:r>
      <w:proofErr w:type="spellEnd"/>
      <w:r w:rsidRPr="005F5731">
        <w:t xml:space="preserve"> is under a legal duty</w:t>
      </w:r>
    </w:p>
    <w:p w:rsidR="00F406B9" w:rsidRPr="005F5731" w:rsidRDefault="00F406B9" w:rsidP="00F406B9">
      <w:pPr>
        <w:pStyle w:val="Citation-AltC"/>
      </w:pPr>
    </w:p>
    <w:p w:rsidR="00F406B9" w:rsidRPr="005F5731" w:rsidRDefault="00F406B9" w:rsidP="00F406B9">
      <w:pPr>
        <w:pStyle w:val="Citation-AltC"/>
        <w:ind w:left="1440"/>
      </w:pPr>
      <w:r w:rsidRPr="0034074A">
        <w:rPr>
          <w:b/>
        </w:rPr>
        <w:t>(a)</w:t>
      </w:r>
      <w:r w:rsidRPr="005F5731">
        <w:t xml:space="preserve"> </w:t>
      </w:r>
      <w:proofErr w:type="gramStart"/>
      <w:r w:rsidRPr="005F5731">
        <w:t>as</w:t>
      </w:r>
      <w:proofErr w:type="gramEnd"/>
      <w:r w:rsidRPr="005F5731">
        <w:t xml:space="preserve"> a parent, foster parent, guardian or head of a family, to provide necessaries of life for a child under the age of sixteen years;</w:t>
      </w:r>
    </w:p>
    <w:p w:rsidR="00F406B9" w:rsidRPr="005F5731" w:rsidRDefault="00F406B9" w:rsidP="00F406B9">
      <w:pPr>
        <w:pStyle w:val="Citation-AltC"/>
        <w:ind w:left="1440"/>
      </w:pPr>
    </w:p>
    <w:p w:rsidR="00F406B9" w:rsidRPr="005F5731" w:rsidRDefault="00F406B9" w:rsidP="00F406B9">
      <w:pPr>
        <w:pStyle w:val="Citation-AltC"/>
        <w:ind w:left="1440"/>
      </w:pPr>
      <w:r w:rsidRPr="0034074A">
        <w:rPr>
          <w:b/>
        </w:rPr>
        <w:t>(b)</w:t>
      </w:r>
      <w:r w:rsidRPr="005F5731">
        <w:t xml:space="preserve"> </w:t>
      </w:r>
      <w:proofErr w:type="gramStart"/>
      <w:r w:rsidRPr="005F5731">
        <w:t>to</w:t>
      </w:r>
      <w:proofErr w:type="gramEnd"/>
      <w:r w:rsidRPr="005F5731">
        <w:t xml:space="preserve"> provide necessaries of life to their spouse or common</w:t>
      </w:r>
      <w:r w:rsidRPr="005F5731">
        <w:noBreakHyphen/>
        <w:t>law partner; and</w:t>
      </w:r>
    </w:p>
    <w:p w:rsidR="00F406B9" w:rsidRPr="005F5731" w:rsidRDefault="00F406B9" w:rsidP="00F406B9">
      <w:pPr>
        <w:pStyle w:val="Citation-AltC"/>
        <w:ind w:left="1440"/>
      </w:pPr>
    </w:p>
    <w:p w:rsidR="00F406B9" w:rsidRPr="005F5731" w:rsidRDefault="00F406B9" w:rsidP="00F406B9">
      <w:pPr>
        <w:pStyle w:val="Citation-AltC"/>
        <w:ind w:left="1440"/>
      </w:pPr>
      <w:r w:rsidRPr="0034074A">
        <w:rPr>
          <w:b/>
        </w:rPr>
        <w:t>(c)</w:t>
      </w:r>
      <w:r w:rsidRPr="005F5731">
        <w:t xml:space="preserve"> </w:t>
      </w:r>
      <w:proofErr w:type="gramStart"/>
      <w:r w:rsidRPr="005F5731">
        <w:t>to</w:t>
      </w:r>
      <w:proofErr w:type="gramEnd"/>
      <w:r w:rsidRPr="005F5731">
        <w:t xml:space="preserve"> provide necessaries of life to a person under his charge if that person</w:t>
      </w:r>
    </w:p>
    <w:p w:rsidR="00F406B9" w:rsidRPr="005F5731" w:rsidRDefault="00F406B9" w:rsidP="00F406B9">
      <w:pPr>
        <w:pStyle w:val="Citation-AltC"/>
      </w:pPr>
    </w:p>
    <w:p w:rsidR="00F406B9" w:rsidRPr="005F5731" w:rsidRDefault="00F406B9" w:rsidP="00F406B9">
      <w:pPr>
        <w:pStyle w:val="Citation-AltC"/>
        <w:ind w:left="1729"/>
      </w:pPr>
      <w:r w:rsidRPr="0034074A">
        <w:rPr>
          <w:b/>
        </w:rPr>
        <w:t>(i)</w:t>
      </w:r>
      <w:r w:rsidRPr="005F5731">
        <w:t xml:space="preserve"> is unable, by reason of detention, age, illness, mental disorder or other cause, to withdraw himself from that charge, and</w:t>
      </w:r>
    </w:p>
    <w:p w:rsidR="00F406B9" w:rsidRPr="005F5731" w:rsidRDefault="00F406B9" w:rsidP="00F406B9">
      <w:pPr>
        <w:pStyle w:val="Citation-AltC"/>
        <w:ind w:left="1729"/>
      </w:pPr>
    </w:p>
    <w:p w:rsidR="00F406B9" w:rsidRPr="005F5731" w:rsidRDefault="00F406B9" w:rsidP="00F406B9">
      <w:pPr>
        <w:pStyle w:val="Citation-AltC"/>
        <w:ind w:left="1729"/>
      </w:pPr>
      <w:r w:rsidRPr="0034074A">
        <w:rPr>
          <w:b/>
        </w:rPr>
        <w:t>(</w:t>
      </w:r>
      <w:proofErr w:type="gramStart"/>
      <w:r w:rsidRPr="0034074A">
        <w:rPr>
          <w:b/>
        </w:rPr>
        <w:t>ii</w:t>
      </w:r>
      <w:proofErr w:type="gramEnd"/>
      <w:r w:rsidRPr="0034074A">
        <w:rPr>
          <w:b/>
        </w:rPr>
        <w:t>)</w:t>
      </w:r>
      <w:r w:rsidRPr="005F5731">
        <w:t xml:space="preserve"> is unable to provide himself with necessaries of life.</w:t>
      </w:r>
    </w:p>
    <w:p w:rsidR="00F406B9" w:rsidRPr="005F5731" w:rsidRDefault="00F406B9" w:rsidP="00F406B9">
      <w:pPr>
        <w:pStyle w:val="Citation-AltC"/>
      </w:pPr>
    </w:p>
    <w:p w:rsidR="00F406B9" w:rsidRPr="005F5731" w:rsidRDefault="00F406B9" w:rsidP="00F406B9">
      <w:pPr>
        <w:pStyle w:val="Citation-AltC"/>
      </w:pPr>
      <w:r w:rsidRPr="0034074A">
        <w:rPr>
          <w:b/>
        </w:rPr>
        <w:t>(2)</w:t>
      </w:r>
      <w:r w:rsidRPr="005F5731">
        <w:t xml:space="preserve"> Every person commits an offence who, being under a legal duty within the meaning of subsection (1), fails without lawful excuse to perform that duty, if</w:t>
      </w:r>
    </w:p>
    <w:p w:rsidR="00F406B9" w:rsidRPr="005F5731" w:rsidRDefault="00F406B9" w:rsidP="00F406B9">
      <w:pPr>
        <w:pStyle w:val="Citation-AltC"/>
      </w:pPr>
    </w:p>
    <w:p w:rsidR="00F406B9" w:rsidRPr="005F5731" w:rsidRDefault="00F406B9" w:rsidP="00F406B9">
      <w:pPr>
        <w:pStyle w:val="Citation-AltC"/>
        <w:ind w:left="1440"/>
      </w:pPr>
      <w:r w:rsidRPr="0034074A">
        <w:rPr>
          <w:b/>
        </w:rPr>
        <w:t>(a)</w:t>
      </w:r>
      <w:r w:rsidRPr="005F5731">
        <w:t xml:space="preserve"> </w:t>
      </w:r>
      <w:proofErr w:type="gramStart"/>
      <w:r w:rsidRPr="005F5731">
        <w:t>with</w:t>
      </w:r>
      <w:proofErr w:type="gramEnd"/>
      <w:r w:rsidRPr="005F5731">
        <w:t xml:space="preserve"> respect to a duty imposed by paragraph (1)(a) or (b),</w:t>
      </w:r>
    </w:p>
    <w:p w:rsidR="00F406B9" w:rsidRPr="005F5731" w:rsidRDefault="00F406B9" w:rsidP="00F406B9">
      <w:pPr>
        <w:pStyle w:val="Citation-AltC"/>
        <w:ind w:left="1440"/>
      </w:pPr>
    </w:p>
    <w:p w:rsidR="00F406B9" w:rsidRPr="005F5731" w:rsidRDefault="00F406B9" w:rsidP="00F406B9">
      <w:pPr>
        <w:pStyle w:val="Citation-AltC"/>
        <w:ind w:left="1729"/>
      </w:pPr>
      <w:r w:rsidRPr="0034074A">
        <w:rPr>
          <w:b/>
        </w:rPr>
        <w:t>(i)</w:t>
      </w:r>
      <w:r w:rsidRPr="005F5731">
        <w:t xml:space="preserve"> </w:t>
      </w:r>
      <w:proofErr w:type="gramStart"/>
      <w:r w:rsidRPr="005F5731">
        <w:t>the</w:t>
      </w:r>
      <w:proofErr w:type="gramEnd"/>
      <w:r w:rsidRPr="005F5731">
        <w:t xml:space="preserve"> person to whom the duty is owed is in destitute or necessitous circumstances, or</w:t>
      </w:r>
    </w:p>
    <w:p w:rsidR="00F406B9" w:rsidRPr="005F5731" w:rsidRDefault="00F406B9" w:rsidP="00F406B9">
      <w:pPr>
        <w:pStyle w:val="Citation-AltC"/>
        <w:ind w:left="1729"/>
      </w:pPr>
    </w:p>
    <w:p w:rsidR="00F406B9" w:rsidRPr="005F5731" w:rsidRDefault="00F406B9" w:rsidP="00F406B9">
      <w:pPr>
        <w:pStyle w:val="Citation-AltC"/>
        <w:ind w:left="1729"/>
      </w:pPr>
      <w:r w:rsidRPr="0034074A">
        <w:rPr>
          <w:b/>
        </w:rPr>
        <w:t>(ii)</w:t>
      </w:r>
      <w:r w:rsidRPr="005F5731">
        <w:t xml:space="preserve"> </w:t>
      </w:r>
      <w:proofErr w:type="gramStart"/>
      <w:r w:rsidRPr="005F5731">
        <w:t>the</w:t>
      </w:r>
      <w:proofErr w:type="gramEnd"/>
      <w:r w:rsidRPr="005F5731">
        <w:t xml:space="preserve"> failure to perform the duty endangers the life of the person to whom the duty is owed, or causes or is likely to cause the health of that person to be endangered permanently; or</w:t>
      </w:r>
    </w:p>
    <w:p w:rsidR="00F406B9" w:rsidRPr="005F5731" w:rsidRDefault="00F406B9" w:rsidP="00F406B9">
      <w:pPr>
        <w:pStyle w:val="Citation-AltC"/>
        <w:ind w:left="1440"/>
      </w:pPr>
    </w:p>
    <w:p w:rsidR="00F406B9" w:rsidRPr="005F5731" w:rsidRDefault="00F406B9" w:rsidP="00F406B9">
      <w:pPr>
        <w:pStyle w:val="Citation-AltC"/>
        <w:ind w:left="1440"/>
      </w:pPr>
      <w:r w:rsidRPr="0034074A">
        <w:rPr>
          <w:b/>
        </w:rPr>
        <w:t>(b)</w:t>
      </w:r>
      <w:r w:rsidRPr="005F5731">
        <w:t xml:space="preserve"> </w:t>
      </w:r>
      <w:proofErr w:type="gramStart"/>
      <w:r w:rsidRPr="005F5731">
        <w:t>with</w:t>
      </w:r>
      <w:proofErr w:type="gramEnd"/>
      <w:r w:rsidRPr="005F5731">
        <w:t xml:space="preserve"> respect to a duty imposed by paragraph (1)(c), the failure to perform the duty endangers the life of the person to whom the duty is owed or causes or is likely to cause the health of that person to be injured permanently.</w:t>
      </w:r>
    </w:p>
    <w:p w:rsidR="00F406B9" w:rsidRPr="005F5731" w:rsidRDefault="00F406B9" w:rsidP="00F406B9">
      <w:pPr>
        <w:pStyle w:val="ParaNoNdepar-AltN"/>
        <w:rPr>
          <w:rFonts w:cs="Times New Roman"/>
        </w:rPr>
      </w:pPr>
      <w:r w:rsidRPr="005F5731">
        <w:rPr>
          <w:rFonts w:cs="Times New Roman"/>
        </w:rPr>
        <w:t xml:space="preserve">The jury convicted Ms. Goforth of second degree murder and unlawfully causing bodily harm. </w:t>
      </w:r>
      <w:r w:rsidRPr="005F5731">
        <w:rPr>
          <w:rFonts w:cs="Times New Roman"/>
          <w:lang w:val="en-US"/>
        </w:rPr>
        <w:t xml:space="preserve">Because her subsequent appeal was unanimously dismissed </w:t>
      </w:r>
      <w:r>
        <w:rPr>
          <w:rFonts w:cs="Times New Roman"/>
          <w:lang w:val="en-US"/>
        </w:rPr>
        <w:t>by</w:t>
      </w:r>
      <w:r w:rsidRPr="005F5731">
        <w:rPr>
          <w:rFonts w:cs="Times New Roman"/>
          <w:lang w:val="en-US"/>
        </w:rPr>
        <w:t xml:space="preserve"> the Court of Appeal, there is no appeal in relation to Ms. Goforth before this Court.</w:t>
      </w:r>
    </w:p>
    <w:p w:rsidR="00F406B9" w:rsidRPr="005F5731" w:rsidRDefault="00F406B9" w:rsidP="00F406B9">
      <w:pPr>
        <w:pStyle w:val="ParaNoNdepar-AltN"/>
        <w:rPr>
          <w:rFonts w:cs="Times New Roman"/>
        </w:rPr>
      </w:pPr>
      <w:r w:rsidRPr="005F5731">
        <w:rPr>
          <w:rFonts w:cs="Times New Roman"/>
        </w:rPr>
        <w:lastRenderedPageBreak/>
        <w:t xml:space="preserve">The jury acquitted Mr. Goforth of second degree murder but convicted him of the lesser and included offence of unlawful act manslaughter. </w:t>
      </w:r>
      <w:r>
        <w:rPr>
          <w:rFonts w:cs="Times New Roman"/>
        </w:rPr>
        <w:t>He</w:t>
      </w:r>
      <w:r w:rsidRPr="005F5731">
        <w:rPr>
          <w:rFonts w:cs="Times New Roman"/>
        </w:rPr>
        <w:t xml:space="preserve"> was also convicted of unlawfully causing bodily harm.</w:t>
      </w:r>
      <w:r>
        <w:rPr>
          <w:rFonts w:cs="Times New Roman"/>
        </w:rPr>
        <w:t xml:space="preserve"> Mr. Goforth appealed his convictions.</w:t>
      </w:r>
    </w:p>
    <w:p w:rsidR="00F406B9" w:rsidRPr="005F5731" w:rsidRDefault="00F406B9" w:rsidP="00F406B9">
      <w:pPr>
        <w:pStyle w:val="Title1LevelTitre1Niveau-AltL"/>
        <w:rPr>
          <w:rFonts w:cs="Times New Roman"/>
        </w:rPr>
      </w:pPr>
      <w:r>
        <w:rPr>
          <w:rFonts w:cs="Times New Roman"/>
        </w:rPr>
        <w:t>Decision</w:t>
      </w:r>
      <w:r w:rsidRPr="005F5731">
        <w:rPr>
          <w:rFonts w:cs="Times New Roman"/>
        </w:rPr>
        <w:t xml:space="preserve"> Below</w:t>
      </w:r>
    </w:p>
    <w:p w:rsidR="00F406B9" w:rsidRPr="005F5731" w:rsidRDefault="00F406B9" w:rsidP="00F406B9">
      <w:pPr>
        <w:pStyle w:val="ParaNoNdepar-AltN"/>
        <w:rPr>
          <w:rFonts w:cs="Times New Roman"/>
          <w:lang w:val="en-US"/>
        </w:rPr>
      </w:pPr>
      <w:r w:rsidRPr="005F5731">
        <w:rPr>
          <w:rFonts w:cs="Times New Roman"/>
          <w:lang w:val="en-US"/>
        </w:rPr>
        <w:t xml:space="preserve">The majority </w:t>
      </w:r>
      <w:r>
        <w:rPr>
          <w:rFonts w:cs="Times New Roman"/>
          <w:lang w:val="en-US"/>
        </w:rPr>
        <w:t>of</w:t>
      </w:r>
      <w:r w:rsidRPr="005F5731">
        <w:rPr>
          <w:rFonts w:cs="Times New Roman"/>
          <w:lang w:val="en-US"/>
        </w:rPr>
        <w:t xml:space="preserve"> the Court of Appeal </w:t>
      </w:r>
      <w:r>
        <w:rPr>
          <w:rFonts w:cs="Times New Roman"/>
          <w:lang w:val="en-US"/>
        </w:rPr>
        <w:t xml:space="preserve">for Saskatchewan allowed Mr. Goforth’s appeal, </w:t>
      </w:r>
      <w:r w:rsidRPr="005F5731">
        <w:rPr>
          <w:rFonts w:cs="Times New Roman"/>
          <w:lang w:val="en-US"/>
        </w:rPr>
        <w:t>set aside his convictions</w:t>
      </w:r>
      <w:r>
        <w:rPr>
          <w:rFonts w:cs="Times New Roman"/>
          <w:lang w:val="en-US"/>
        </w:rPr>
        <w:t>,</w:t>
      </w:r>
      <w:r w:rsidRPr="005F5731">
        <w:rPr>
          <w:rFonts w:cs="Times New Roman"/>
          <w:lang w:val="en-US"/>
        </w:rPr>
        <w:t xml:space="preserve"> and ordered a new trial </w:t>
      </w:r>
      <w:r>
        <w:rPr>
          <w:rFonts w:cs="Times New Roman"/>
          <w:lang w:val="en-US"/>
        </w:rPr>
        <w:t xml:space="preserve">(2021 SKCA 20, 400 C.C.C. (3d) 1). The majority </w:t>
      </w:r>
      <w:r w:rsidRPr="005F5731">
        <w:rPr>
          <w:rFonts w:cs="Times New Roman"/>
          <w:lang w:val="en-US"/>
        </w:rPr>
        <w:t xml:space="preserve">held </w:t>
      </w:r>
      <w:r>
        <w:rPr>
          <w:rFonts w:cs="Times New Roman"/>
          <w:lang w:val="en-US"/>
        </w:rPr>
        <w:t xml:space="preserve">that </w:t>
      </w:r>
      <w:r w:rsidRPr="005F5731">
        <w:rPr>
          <w:rFonts w:cs="Times New Roman"/>
          <w:lang w:val="en-US"/>
        </w:rPr>
        <w:t xml:space="preserve">the trial judge </w:t>
      </w:r>
      <w:r>
        <w:rPr>
          <w:rFonts w:cs="Times New Roman"/>
          <w:lang w:val="en-US"/>
        </w:rPr>
        <w:t xml:space="preserve">had </w:t>
      </w:r>
      <w:r w:rsidRPr="005F5731">
        <w:rPr>
          <w:rFonts w:cs="Times New Roman"/>
          <w:lang w:val="en-US"/>
        </w:rPr>
        <w:t xml:space="preserve">erred in her explanation </w:t>
      </w:r>
      <w:r>
        <w:rPr>
          <w:rFonts w:cs="Times New Roman"/>
          <w:lang w:val="en-US"/>
        </w:rPr>
        <w:t xml:space="preserve">to the jury </w:t>
      </w:r>
      <w:r w:rsidRPr="005F5731">
        <w:rPr>
          <w:rFonts w:cs="Times New Roman"/>
          <w:lang w:val="en-US"/>
        </w:rPr>
        <w:t>of the legal elements of s. 215 and in how she related the evidence to those elements.</w:t>
      </w:r>
    </w:p>
    <w:p w:rsidR="00F406B9" w:rsidRPr="005F5731" w:rsidRDefault="00F406B9" w:rsidP="00F406B9">
      <w:pPr>
        <w:pStyle w:val="ParaNoNdepar-AltN"/>
        <w:rPr>
          <w:rFonts w:cs="Times New Roman"/>
          <w:lang w:val="en-US"/>
        </w:rPr>
      </w:pPr>
      <w:r w:rsidRPr="005F5731">
        <w:rPr>
          <w:rFonts w:cs="Times New Roman"/>
          <w:lang w:bidi="en-US"/>
        </w:rPr>
        <w:t xml:space="preserve">In the majority’s view, the trial judge </w:t>
      </w:r>
      <w:r>
        <w:rPr>
          <w:rFonts w:cs="Times New Roman"/>
          <w:lang w:bidi="en-US"/>
        </w:rPr>
        <w:t>did not</w:t>
      </w:r>
      <w:r w:rsidRPr="005F5731">
        <w:rPr>
          <w:rFonts w:cs="Times New Roman"/>
          <w:lang w:bidi="en-US"/>
        </w:rPr>
        <w:t xml:space="preserve"> properly convey the </w:t>
      </w:r>
      <w:r w:rsidRPr="005F5731">
        <w:rPr>
          <w:rFonts w:cs="Times New Roman"/>
          <w:i/>
          <w:lang w:bidi="en-US"/>
        </w:rPr>
        <w:t>mens rea</w:t>
      </w:r>
      <w:r w:rsidRPr="005F5731">
        <w:rPr>
          <w:rFonts w:cs="Times New Roman"/>
          <w:lang w:bidi="en-US"/>
        </w:rPr>
        <w:t xml:space="preserve"> requirement for the predicate offen</w:t>
      </w:r>
      <w:r>
        <w:rPr>
          <w:rFonts w:cs="Times New Roman"/>
          <w:lang w:bidi="en-US"/>
        </w:rPr>
        <w:t>c</w:t>
      </w:r>
      <w:r w:rsidRPr="005F5731">
        <w:rPr>
          <w:rFonts w:cs="Times New Roman"/>
          <w:lang w:bidi="en-US"/>
        </w:rPr>
        <w:t xml:space="preserve">e </w:t>
      </w:r>
      <w:r>
        <w:rPr>
          <w:rFonts w:cs="Times New Roman"/>
          <w:lang w:bidi="en-US"/>
        </w:rPr>
        <w:t>under</w:t>
      </w:r>
      <w:r w:rsidRPr="005F5731">
        <w:rPr>
          <w:rFonts w:cs="Times New Roman"/>
          <w:lang w:bidi="en-US"/>
        </w:rPr>
        <w:t xml:space="preserve"> s. 215 — failing to provide necessaries of life. When explaining the essential elements of s. 215, the trial judge confusingly introduced two different standards relating to the required foreseeability of harm. As a result, the jury may have concluded that, in order to find </w:t>
      </w:r>
      <w:r>
        <w:rPr>
          <w:rFonts w:cs="Times New Roman"/>
          <w:lang w:bidi="en-US"/>
        </w:rPr>
        <w:t xml:space="preserve">that </w:t>
      </w:r>
      <w:r w:rsidRPr="005F5731">
        <w:rPr>
          <w:rFonts w:cs="Times New Roman"/>
          <w:lang w:bidi="en-US"/>
        </w:rPr>
        <w:t xml:space="preserve">Mr. Goforth committed the predicate offence </w:t>
      </w:r>
      <w:r>
        <w:rPr>
          <w:rFonts w:cs="Times New Roman"/>
          <w:lang w:bidi="en-US"/>
        </w:rPr>
        <w:t>under</w:t>
      </w:r>
      <w:r w:rsidRPr="005F5731">
        <w:rPr>
          <w:rFonts w:cs="Times New Roman"/>
          <w:lang w:bidi="en-US"/>
        </w:rPr>
        <w:t xml:space="preserve"> s. 215, the Crown onl</w:t>
      </w:r>
      <w:r>
        <w:rPr>
          <w:rFonts w:cs="Times New Roman"/>
          <w:lang w:bidi="en-US"/>
        </w:rPr>
        <w:t>y had to prove that a reasonable</w:t>
      </w:r>
      <w:r w:rsidRPr="005F5731">
        <w:rPr>
          <w:rFonts w:cs="Times New Roman"/>
          <w:lang w:bidi="en-US"/>
        </w:rPr>
        <w:t xml:space="preserve"> person in the circumstances would have foreseen the risk of bodily harm beyond the trivial or transitory. This is less stringent than the standard required for s. 215, which </w:t>
      </w:r>
      <w:r>
        <w:rPr>
          <w:rFonts w:cs="Times New Roman"/>
          <w:lang w:bidi="en-US"/>
        </w:rPr>
        <w:t>is that</w:t>
      </w:r>
      <w:r w:rsidRPr="005F5731">
        <w:rPr>
          <w:rFonts w:cs="Times New Roman"/>
          <w:lang w:bidi="en-US"/>
        </w:rPr>
        <w:t xml:space="preserve"> a reasonabl</w:t>
      </w:r>
      <w:r>
        <w:rPr>
          <w:rFonts w:cs="Times New Roman"/>
          <w:lang w:bidi="en-US"/>
        </w:rPr>
        <w:t>e</w:t>
      </w:r>
      <w:r w:rsidRPr="005F5731">
        <w:rPr>
          <w:rFonts w:cs="Times New Roman"/>
          <w:lang w:bidi="en-US"/>
        </w:rPr>
        <w:t xml:space="preserve"> person in the circumstances </w:t>
      </w:r>
      <w:r>
        <w:rPr>
          <w:rFonts w:cs="Times New Roman"/>
          <w:lang w:bidi="en-US"/>
        </w:rPr>
        <w:t>must</w:t>
      </w:r>
      <w:r w:rsidRPr="005F5731">
        <w:rPr>
          <w:rFonts w:cs="Times New Roman"/>
          <w:lang w:bidi="en-US"/>
        </w:rPr>
        <w:t xml:space="preserve"> have foreseen the risk of death or permanent health impairment. The error was compounded by the trial judge’s failure to explain what is meant by a </w:t>
      </w:r>
      <w:r w:rsidRPr="005F5731">
        <w:rPr>
          <w:rFonts w:cs="Times New Roman"/>
          <w:i/>
          <w:lang w:bidi="en-US"/>
        </w:rPr>
        <w:t>marked departure</w:t>
      </w:r>
      <w:r w:rsidRPr="005F5731">
        <w:rPr>
          <w:rFonts w:cs="Times New Roman"/>
          <w:lang w:bidi="en-US"/>
        </w:rPr>
        <w:t xml:space="preserve"> from the conduct of a reasonably prudent person in the circumstances.</w:t>
      </w:r>
    </w:p>
    <w:p w:rsidR="00F406B9" w:rsidRPr="005F5731" w:rsidRDefault="00F406B9" w:rsidP="00F406B9">
      <w:pPr>
        <w:pStyle w:val="ParaNoNdepar-AltN"/>
        <w:rPr>
          <w:rFonts w:cs="Times New Roman"/>
          <w:b/>
          <w:lang w:val="en-US"/>
        </w:rPr>
      </w:pPr>
      <w:r w:rsidRPr="005F5731">
        <w:rPr>
          <w:rFonts w:cs="Times New Roman"/>
          <w:lang w:val="en-US"/>
        </w:rPr>
        <w:lastRenderedPageBreak/>
        <w:t xml:space="preserve">The majority also found that the trial judge </w:t>
      </w:r>
      <w:r>
        <w:rPr>
          <w:rFonts w:cs="Times New Roman"/>
          <w:lang w:val="en-US"/>
        </w:rPr>
        <w:t xml:space="preserve">had </w:t>
      </w:r>
      <w:r w:rsidRPr="005F5731">
        <w:rPr>
          <w:rFonts w:cs="Times New Roman"/>
          <w:lang w:val="en-US"/>
        </w:rPr>
        <w:t xml:space="preserve">erred in relating the evidence to the </w:t>
      </w:r>
      <w:r w:rsidRPr="005F5731">
        <w:rPr>
          <w:rFonts w:cs="Times New Roman"/>
          <w:i/>
          <w:lang w:val="en-US"/>
        </w:rPr>
        <w:t>mens rea</w:t>
      </w:r>
      <w:r w:rsidRPr="005F5731">
        <w:rPr>
          <w:rFonts w:cs="Times New Roman"/>
          <w:lang w:val="en-US"/>
        </w:rPr>
        <w:t xml:space="preserve"> requirement. Although personal characteristics of an accused short of incapacity are irrelevant in assessing the objective </w:t>
      </w:r>
      <w:r w:rsidRPr="005F5731">
        <w:rPr>
          <w:rFonts w:cs="Times New Roman"/>
          <w:i/>
          <w:lang w:val="en-US"/>
        </w:rPr>
        <w:t>mens rea</w:t>
      </w:r>
      <w:r w:rsidRPr="005F5731">
        <w:rPr>
          <w:rFonts w:cs="Times New Roman"/>
          <w:lang w:val="en-US"/>
        </w:rPr>
        <w:t xml:space="preserve"> requirement for s. 215, the actual circumstances of an accused bear on whether their conduct is a marked departure from the standard </w:t>
      </w:r>
      <w:r>
        <w:rPr>
          <w:rFonts w:cs="Times New Roman"/>
          <w:lang w:val="en-US"/>
        </w:rPr>
        <w:t>of care expected of a reasonably prudent</w:t>
      </w:r>
      <w:r w:rsidRPr="005F5731">
        <w:rPr>
          <w:rFonts w:cs="Times New Roman"/>
          <w:lang w:val="en-US"/>
        </w:rPr>
        <w:t xml:space="preserve"> person. When </w:t>
      </w:r>
      <w:r>
        <w:rPr>
          <w:rFonts w:cs="Times New Roman"/>
          <w:lang w:val="en-US"/>
        </w:rPr>
        <w:t>reviewing</w:t>
      </w:r>
      <w:r w:rsidRPr="005F5731">
        <w:rPr>
          <w:rFonts w:cs="Times New Roman"/>
          <w:lang w:val="en-US"/>
        </w:rPr>
        <w:t xml:space="preserve"> the evidence relevant to </w:t>
      </w:r>
      <w:r w:rsidRPr="005F5731">
        <w:rPr>
          <w:rFonts w:cs="Times New Roman"/>
          <w:i/>
          <w:lang w:val="en-US"/>
        </w:rPr>
        <w:t>mens rea</w:t>
      </w:r>
      <w:r w:rsidRPr="005F5731">
        <w:rPr>
          <w:rFonts w:cs="Times New Roman"/>
          <w:lang w:val="en-US"/>
        </w:rPr>
        <w:t xml:space="preserve"> </w:t>
      </w:r>
      <w:r>
        <w:rPr>
          <w:rFonts w:cs="Times New Roman"/>
          <w:lang w:val="en-US"/>
        </w:rPr>
        <w:t>for</w:t>
      </w:r>
      <w:r w:rsidRPr="005F5731">
        <w:rPr>
          <w:rFonts w:cs="Times New Roman"/>
          <w:lang w:val="en-US"/>
        </w:rPr>
        <w:t xml:space="preserve"> the jury, the trial judge referred only to a very limited subset of the evidence. Although a more complete summary of the evidence was provided at other times in the charge, the failure to re</w:t>
      </w:r>
      <w:r>
        <w:rPr>
          <w:rFonts w:cs="Times New Roman"/>
          <w:lang w:val="en-US"/>
        </w:rPr>
        <w:t>fer to</w:t>
      </w:r>
      <w:r w:rsidRPr="005F5731">
        <w:rPr>
          <w:rFonts w:cs="Times New Roman"/>
          <w:lang w:val="en-US"/>
        </w:rPr>
        <w:t xml:space="preserve"> the evidence of Mr. Goforth’s parenting and work circumstances when discussing </w:t>
      </w:r>
      <w:r w:rsidRPr="005F5731">
        <w:rPr>
          <w:rFonts w:cs="Times New Roman"/>
          <w:i/>
          <w:lang w:val="en-US"/>
        </w:rPr>
        <w:t>mens rea</w:t>
      </w:r>
      <w:r w:rsidRPr="005F5731">
        <w:rPr>
          <w:rFonts w:cs="Times New Roman"/>
          <w:lang w:val="en-US"/>
        </w:rPr>
        <w:t xml:space="preserve"> created the real possibility that the jury would have been led to believe that evidence of Mr. Goforth’s circumstances was irrelevant to assessing </w:t>
      </w:r>
      <w:r w:rsidRPr="005F5731">
        <w:rPr>
          <w:rFonts w:cs="Times New Roman"/>
          <w:i/>
          <w:lang w:val="en-US"/>
        </w:rPr>
        <w:t>mens rea</w:t>
      </w:r>
      <w:r w:rsidRPr="005F5731">
        <w:rPr>
          <w:rFonts w:cs="Times New Roman"/>
          <w:lang w:val="en-US"/>
        </w:rPr>
        <w:t>.</w:t>
      </w:r>
    </w:p>
    <w:p w:rsidR="00F406B9" w:rsidRPr="005F5731" w:rsidRDefault="00F406B9" w:rsidP="00F406B9">
      <w:pPr>
        <w:pStyle w:val="ParaNoNdepar-AltN"/>
        <w:rPr>
          <w:rFonts w:cs="Times New Roman"/>
        </w:rPr>
      </w:pPr>
      <w:r w:rsidRPr="005F5731">
        <w:rPr>
          <w:rFonts w:cs="Times New Roman"/>
          <w:lang w:val="en-US"/>
        </w:rPr>
        <w:t xml:space="preserve">In dissent, Caldwell J.A. would have dismissed the appeal. </w:t>
      </w:r>
      <w:r w:rsidRPr="005F5731">
        <w:rPr>
          <w:rFonts w:cs="Times New Roman"/>
        </w:rPr>
        <w:t xml:space="preserve">With respect to the trial judge’s instruction on the </w:t>
      </w:r>
      <w:r w:rsidRPr="005F5731">
        <w:rPr>
          <w:rFonts w:cs="Times New Roman"/>
          <w:i/>
        </w:rPr>
        <w:t>mens rea</w:t>
      </w:r>
      <w:r w:rsidRPr="005F5731">
        <w:rPr>
          <w:rFonts w:cs="Times New Roman"/>
        </w:rPr>
        <w:t xml:space="preserve"> requirement for s. 215, Caldwell J.A.</w:t>
      </w:r>
      <w:r w:rsidRPr="005F5731">
        <w:rPr>
          <w:rFonts w:cs="Times New Roman"/>
          <w:lang w:bidi="en-US"/>
        </w:rPr>
        <w:t xml:space="preserve"> </w:t>
      </w:r>
      <w:r w:rsidRPr="005F5731">
        <w:rPr>
          <w:rFonts w:cs="Times New Roman"/>
        </w:rPr>
        <w:t xml:space="preserve">acknowledged that the foresight requirement </w:t>
      </w:r>
      <w:r>
        <w:rPr>
          <w:rFonts w:cs="Times New Roman"/>
        </w:rPr>
        <w:t>for</w:t>
      </w:r>
      <w:r w:rsidRPr="005F5731">
        <w:rPr>
          <w:rFonts w:cs="Times New Roman"/>
        </w:rPr>
        <w:t xml:space="preserve"> manslaughter </w:t>
      </w:r>
      <w:r>
        <w:rPr>
          <w:rFonts w:cs="Times New Roman"/>
        </w:rPr>
        <w:t>was intermingled in the trial judge’s</w:t>
      </w:r>
      <w:r w:rsidRPr="005F5731">
        <w:rPr>
          <w:rFonts w:cs="Times New Roman"/>
        </w:rPr>
        <w:t xml:space="preserve"> discussion of the foresight requirement for the predicate offence under s. 215. However, </w:t>
      </w:r>
      <w:r>
        <w:rPr>
          <w:rFonts w:cs="Times New Roman"/>
        </w:rPr>
        <w:t>he</w:t>
      </w:r>
      <w:r w:rsidRPr="005F5731">
        <w:rPr>
          <w:rFonts w:cs="Times New Roman"/>
        </w:rPr>
        <w:t xml:space="preserve"> found that the trial judge </w:t>
      </w:r>
      <w:r>
        <w:rPr>
          <w:rFonts w:cs="Times New Roman"/>
        </w:rPr>
        <w:t xml:space="preserve">had stated the law </w:t>
      </w:r>
      <w:r w:rsidRPr="005F5731">
        <w:rPr>
          <w:rFonts w:cs="Times New Roman"/>
        </w:rPr>
        <w:t xml:space="preserve">correctly — albeit somewhat confusingly. The lower foresight standard was routinely introduced as a “further” requirement that the Crown had to prove. </w:t>
      </w:r>
      <w:r w:rsidRPr="005F5731">
        <w:rPr>
          <w:rFonts w:cs="Times New Roman"/>
          <w:lang w:bidi="en-US"/>
        </w:rPr>
        <w:t xml:space="preserve">When </w:t>
      </w:r>
      <w:r>
        <w:rPr>
          <w:rFonts w:cs="Times New Roman"/>
          <w:lang w:bidi="en-US"/>
        </w:rPr>
        <w:t xml:space="preserve">the trial judge’s instructions were </w:t>
      </w:r>
      <w:r w:rsidRPr="005F5731">
        <w:rPr>
          <w:rFonts w:cs="Times New Roman"/>
          <w:lang w:bidi="en-US"/>
        </w:rPr>
        <w:t>read as a whole, there was no reasonable possibility that the</w:t>
      </w:r>
      <w:r>
        <w:rPr>
          <w:rFonts w:cs="Times New Roman"/>
          <w:lang w:bidi="en-US"/>
        </w:rPr>
        <w:t>y</w:t>
      </w:r>
      <w:r w:rsidRPr="005F5731">
        <w:rPr>
          <w:rFonts w:cs="Times New Roman"/>
          <w:lang w:bidi="en-US"/>
        </w:rPr>
        <w:t xml:space="preserve"> misled the jury or caused </w:t>
      </w:r>
      <w:r>
        <w:rPr>
          <w:rFonts w:cs="Times New Roman"/>
          <w:lang w:bidi="en-US"/>
        </w:rPr>
        <w:t>it</w:t>
      </w:r>
      <w:r w:rsidRPr="005F5731">
        <w:rPr>
          <w:rFonts w:cs="Times New Roman"/>
          <w:lang w:bidi="en-US"/>
        </w:rPr>
        <w:t xml:space="preserve"> to misunderstand what the Crown had to prove.</w:t>
      </w:r>
      <w:r w:rsidRPr="005F5731">
        <w:rPr>
          <w:rFonts w:cs="Times New Roman"/>
        </w:rPr>
        <w:t xml:space="preserve"> Further, Caldwell J.A. found that “no reasonable juror could have concluded both that (a) Mr. </w:t>
      </w:r>
      <w:r>
        <w:rPr>
          <w:rFonts w:cs="Times New Roman"/>
        </w:rPr>
        <w:t>[</w:t>
      </w:r>
      <w:r w:rsidRPr="005F5731">
        <w:rPr>
          <w:rFonts w:cs="Times New Roman"/>
        </w:rPr>
        <w:t>Goforth</w:t>
      </w:r>
      <w:r>
        <w:rPr>
          <w:rFonts w:cs="Times New Roman"/>
        </w:rPr>
        <w:t>]</w:t>
      </w:r>
      <w:r w:rsidRPr="005F5731">
        <w:rPr>
          <w:rFonts w:cs="Times New Roman"/>
        </w:rPr>
        <w:t xml:space="preserve"> ought to have foreseen the risk of bodily harm beyond the trivial or transitory, and yet (b) there </w:t>
      </w:r>
      <w:r w:rsidRPr="005F5731">
        <w:rPr>
          <w:rFonts w:cs="Times New Roman"/>
        </w:rPr>
        <w:lastRenderedPageBreak/>
        <w:t>was no objectively foreseeable risk of death or permanent endangerment of health in the circumstances” (para. 102).</w:t>
      </w:r>
    </w:p>
    <w:p w:rsidR="00F406B9" w:rsidRPr="005F5731" w:rsidRDefault="00F406B9" w:rsidP="00F406B9">
      <w:pPr>
        <w:pStyle w:val="ParaNoNdepar-AltN"/>
        <w:rPr>
          <w:rFonts w:cs="Times New Roman"/>
        </w:rPr>
      </w:pPr>
      <w:r w:rsidRPr="005F5731">
        <w:rPr>
          <w:rFonts w:cs="Times New Roman"/>
        </w:rPr>
        <w:t xml:space="preserve">Caldwell J.A. rejected the argument that the trial judge </w:t>
      </w:r>
      <w:r>
        <w:rPr>
          <w:rFonts w:cs="Times New Roman"/>
        </w:rPr>
        <w:t xml:space="preserve">had </w:t>
      </w:r>
      <w:r w:rsidRPr="005F5731">
        <w:rPr>
          <w:rFonts w:cs="Times New Roman"/>
        </w:rPr>
        <w:t>failed to re</w:t>
      </w:r>
      <w:r>
        <w:rPr>
          <w:rFonts w:cs="Times New Roman"/>
        </w:rPr>
        <w:t>count</w:t>
      </w:r>
      <w:r w:rsidRPr="005F5731">
        <w:rPr>
          <w:rFonts w:cs="Times New Roman"/>
        </w:rPr>
        <w:t xml:space="preserve"> the evidence of Mr. Goforth’s circumstances to the jury. At trial, Mr. Goforth’s position was that neither he nor his wife </w:t>
      </w:r>
      <w:r>
        <w:rPr>
          <w:rFonts w:cs="Times New Roman"/>
        </w:rPr>
        <w:t xml:space="preserve">had </w:t>
      </w:r>
      <w:r w:rsidRPr="005F5731">
        <w:rPr>
          <w:rFonts w:cs="Times New Roman"/>
        </w:rPr>
        <w:t xml:space="preserve">deprived the children of food or fluids. This position was inconsistent with Mr. Goforth’s position on appeal. On appeal, he argued that his wife’s primary role in the household constituted a circumstance that had rendered him unable to foresee the risks posed by his own failure to provide necessaries of life to the children. </w:t>
      </w:r>
      <w:r>
        <w:rPr>
          <w:rFonts w:cs="Times New Roman"/>
        </w:rPr>
        <w:t xml:space="preserve">In the view of Caldwell J.A., </w:t>
      </w:r>
      <w:r w:rsidRPr="005F5731">
        <w:rPr>
          <w:rFonts w:cs="Times New Roman"/>
        </w:rPr>
        <w:t>Mr. Goforth’s position on appeal “was patently precluded from being put to the jury by the position he took at trial and, regardless, would have been overwhelmed by the uncontroverted evidence of the children’s deplorable physical condition” (para. 75). The argument, in</w:t>
      </w:r>
      <w:r>
        <w:rPr>
          <w:rFonts w:cs="Times New Roman"/>
        </w:rPr>
        <w:t xml:space="preserve"> effect, was that a reasonable parent</w:t>
      </w:r>
      <w:r w:rsidRPr="005F5731">
        <w:rPr>
          <w:rFonts w:cs="Times New Roman"/>
        </w:rPr>
        <w:t xml:space="preserve"> in the circumstances of his spousal relationship would not have been aware that the children had been neglected, were starving, and required medical attention. Caldwell J.A. found that Mr. Goforth’s spousal relationship was personal to him and was irrelevant to the objective </w:t>
      </w:r>
      <w:r w:rsidRPr="005F5731">
        <w:rPr>
          <w:rFonts w:cs="Times New Roman"/>
          <w:i/>
        </w:rPr>
        <w:t>mens rea</w:t>
      </w:r>
      <w:r w:rsidRPr="005F5731">
        <w:rPr>
          <w:rFonts w:cs="Times New Roman"/>
        </w:rPr>
        <w:t xml:space="preserve"> requirement in s. </w:t>
      </w:r>
      <w:r>
        <w:rPr>
          <w:rFonts w:cs="Times New Roman"/>
        </w:rPr>
        <w:t>215.</w:t>
      </w:r>
    </w:p>
    <w:p w:rsidR="00F406B9" w:rsidRPr="005F5731" w:rsidRDefault="00F406B9" w:rsidP="00F406B9">
      <w:pPr>
        <w:pStyle w:val="ParaNoNdepar-AltN"/>
        <w:rPr>
          <w:rFonts w:cs="Times New Roman"/>
          <w:lang w:val="en-US"/>
        </w:rPr>
      </w:pPr>
      <w:r>
        <w:rPr>
          <w:rFonts w:cs="Times New Roman"/>
        </w:rPr>
        <w:t>With regard to Ms. Goforth, t</w:t>
      </w:r>
      <w:r w:rsidRPr="005F5731">
        <w:rPr>
          <w:rFonts w:cs="Times New Roman"/>
        </w:rPr>
        <w:t xml:space="preserve">he Court of Appeal was unanimous in dismissing </w:t>
      </w:r>
      <w:r>
        <w:rPr>
          <w:rFonts w:cs="Times New Roman"/>
        </w:rPr>
        <w:t>her</w:t>
      </w:r>
      <w:r w:rsidRPr="005F5731">
        <w:rPr>
          <w:rFonts w:cs="Times New Roman"/>
        </w:rPr>
        <w:t xml:space="preserve"> appeal. Ms. Goforth appealed only her conviction </w:t>
      </w:r>
      <w:r>
        <w:rPr>
          <w:rFonts w:cs="Times New Roman"/>
        </w:rPr>
        <w:t>for</w:t>
      </w:r>
      <w:r w:rsidRPr="005F5731">
        <w:rPr>
          <w:rFonts w:cs="Times New Roman"/>
        </w:rPr>
        <w:t xml:space="preserve"> second degree murder, arguing </w:t>
      </w:r>
      <w:r>
        <w:rPr>
          <w:rFonts w:cs="Times New Roman"/>
        </w:rPr>
        <w:t xml:space="preserve">that </w:t>
      </w:r>
      <w:r w:rsidRPr="005F5731">
        <w:rPr>
          <w:rFonts w:cs="Times New Roman"/>
        </w:rPr>
        <w:t xml:space="preserve">there was an inconsistency between her conviction </w:t>
      </w:r>
      <w:r>
        <w:rPr>
          <w:rFonts w:cs="Times New Roman"/>
        </w:rPr>
        <w:t xml:space="preserve">on that charge </w:t>
      </w:r>
      <w:r w:rsidRPr="005F5731">
        <w:rPr>
          <w:rFonts w:cs="Times New Roman"/>
        </w:rPr>
        <w:t xml:space="preserve">and Mr. Goforth’s acquittal. </w:t>
      </w:r>
      <w:r w:rsidRPr="005F5731">
        <w:rPr>
          <w:rFonts w:cs="Times New Roman"/>
          <w:lang w:val="en-US"/>
        </w:rPr>
        <w:t xml:space="preserve">Although the impugned </w:t>
      </w:r>
      <w:r w:rsidRPr="005F5731">
        <w:rPr>
          <w:rFonts w:cs="Times New Roman"/>
          <w:i/>
          <w:lang w:val="en-US"/>
        </w:rPr>
        <w:t xml:space="preserve">mens rea </w:t>
      </w:r>
      <w:r w:rsidRPr="005F5731">
        <w:rPr>
          <w:rFonts w:cs="Times New Roman"/>
          <w:lang w:val="en-US"/>
        </w:rPr>
        <w:t xml:space="preserve">instruction was repeated in relation to the charges against Ms. Goforth, there were no concerns about whether </w:t>
      </w:r>
      <w:r w:rsidRPr="005F5731">
        <w:rPr>
          <w:rFonts w:cs="Times New Roman"/>
          <w:lang w:val="en-US"/>
        </w:rPr>
        <w:lastRenderedPageBreak/>
        <w:t xml:space="preserve">the jury was potentially confused about the required foreseeability standard. In the context of </w:t>
      </w:r>
      <w:r>
        <w:rPr>
          <w:rFonts w:cs="Times New Roman"/>
          <w:lang w:val="en-US"/>
        </w:rPr>
        <w:t>Ms. Goforth’s</w:t>
      </w:r>
      <w:r w:rsidRPr="005F5731">
        <w:rPr>
          <w:rFonts w:cs="Times New Roman"/>
          <w:lang w:val="en-US"/>
        </w:rPr>
        <w:t xml:space="preserve"> conviction for second degree murder, the jury must have been satisfied </w:t>
      </w:r>
      <w:r>
        <w:rPr>
          <w:rFonts w:cs="Times New Roman"/>
          <w:lang w:val="en-US"/>
        </w:rPr>
        <w:t xml:space="preserve">either </w:t>
      </w:r>
      <w:r w:rsidRPr="005F5731">
        <w:rPr>
          <w:rFonts w:cs="Times New Roman"/>
          <w:lang w:val="en-US"/>
        </w:rPr>
        <w:t xml:space="preserve">that Ms. Goforth </w:t>
      </w:r>
      <w:bookmarkStart w:id="1" w:name="_Hlk53756528"/>
      <w:r w:rsidRPr="005F5731">
        <w:rPr>
          <w:rFonts w:cs="Times New Roman"/>
          <w:iCs/>
          <w:lang w:val="en-US"/>
        </w:rPr>
        <w:t xml:space="preserve">meant </w:t>
      </w:r>
      <w:r w:rsidRPr="005F5731">
        <w:rPr>
          <w:rFonts w:cs="Times New Roman"/>
          <w:lang w:val="en-US"/>
        </w:rPr>
        <w:t>to cause the older child’s death or that she</w:t>
      </w:r>
      <w:r>
        <w:rPr>
          <w:rFonts w:cs="Times New Roman"/>
          <w:lang w:val="en-US"/>
        </w:rPr>
        <w:t xml:space="preserve"> </w:t>
      </w:r>
      <w:r w:rsidRPr="005F5731">
        <w:rPr>
          <w:rFonts w:cs="Times New Roman"/>
          <w:iCs/>
          <w:lang w:val="en-US"/>
        </w:rPr>
        <w:t>meant</w:t>
      </w:r>
      <w:r>
        <w:rPr>
          <w:rFonts w:cs="Times New Roman"/>
          <w:iCs/>
          <w:lang w:val="en-US"/>
        </w:rPr>
        <w:t xml:space="preserve"> </w:t>
      </w:r>
      <w:r w:rsidRPr="005F5731">
        <w:rPr>
          <w:rFonts w:cs="Times New Roman"/>
          <w:lang w:val="en-US"/>
        </w:rPr>
        <w:t xml:space="preserve">to cause the older child bodily harm that she </w:t>
      </w:r>
      <w:r w:rsidRPr="005F5731">
        <w:rPr>
          <w:rFonts w:cs="Times New Roman"/>
          <w:iCs/>
          <w:lang w:val="en-US"/>
        </w:rPr>
        <w:t xml:space="preserve">knew </w:t>
      </w:r>
      <w:r w:rsidRPr="005F5731">
        <w:rPr>
          <w:rFonts w:cs="Times New Roman"/>
          <w:lang w:val="en-US"/>
        </w:rPr>
        <w:t>was likely to cause death and she was reckless as to whether death ensued</w:t>
      </w:r>
      <w:bookmarkEnd w:id="1"/>
      <w:r w:rsidRPr="005F5731">
        <w:rPr>
          <w:rFonts w:cs="Times New Roman"/>
          <w:lang w:val="en-US"/>
        </w:rPr>
        <w:t xml:space="preserve"> or not (</w:t>
      </w:r>
      <w:r w:rsidRPr="005F5731">
        <w:rPr>
          <w:rFonts w:cs="Times New Roman"/>
          <w:i/>
          <w:lang w:val="en-US"/>
        </w:rPr>
        <w:t>Criminal Code</w:t>
      </w:r>
      <w:r w:rsidRPr="005F5731">
        <w:rPr>
          <w:rFonts w:cs="Times New Roman"/>
          <w:lang w:val="en-US"/>
        </w:rPr>
        <w:t>, s. 229(a)). By necessary implication, the jury’s conclusio</w:t>
      </w:r>
      <w:r>
        <w:rPr>
          <w:rFonts w:cs="Times New Roman"/>
          <w:lang w:val="en-US"/>
        </w:rPr>
        <w:t>n amounted</w:t>
      </w:r>
      <w:r w:rsidRPr="005F5731">
        <w:rPr>
          <w:rFonts w:cs="Times New Roman"/>
          <w:lang w:val="en-US"/>
        </w:rPr>
        <w:t xml:space="preserve"> to a finding that Ms. Goforth met the requisite foresight standard for s. 215.</w:t>
      </w:r>
    </w:p>
    <w:p w:rsidR="00F406B9" w:rsidRPr="005F5731" w:rsidRDefault="00F406B9" w:rsidP="00F406B9">
      <w:pPr>
        <w:pStyle w:val="Title1LevelTitre1Niveau-AltL"/>
        <w:rPr>
          <w:rFonts w:cs="Times New Roman"/>
        </w:rPr>
      </w:pPr>
      <w:r w:rsidRPr="005F5731">
        <w:rPr>
          <w:rFonts w:cs="Times New Roman"/>
        </w:rPr>
        <w:t>Issues on Appeal</w:t>
      </w:r>
    </w:p>
    <w:p w:rsidR="00F406B9" w:rsidRPr="005F5731" w:rsidRDefault="00F406B9" w:rsidP="00F406B9">
      <w:pPr>
        <w:pStyle w:val="ParaNoNdepar-AltN"/>
        <w:rPr>
          <w:rFonts w:cs="Times New Roman"/>
        </w:rPr>
      </w:pPr>
      <w:r w:rsidRPr="005F5731">
        <w:rPr>
          <w:rFonts w:cs="Times New Roman"/>
        </w:rPr>
        <w:t>The following issues must be considered in this appeal:</w:t>
      </w:r>
    </w:p>
    <w:p w:rsidR="00F406B9" w:rsidRPr="005F5731" w:rsidRDefault="00F406B9" w:rsidP="00F406B9">
      <w:pPr>
        <w:pStyle w:val="Title3LevelTitre3Niveau"/>
        <w:tabs>
          <w:tab w:val="clear" w:pos="1152"/>
          <w:tab w:val="left" w:pos="1560"/>
        </w:tabs>
        <w:spacing w:line="480" w:lineRule="auto"/>
        <w:ind w:left="1559" w:hanging="425"/>
        <w:rPr>
          <w:rFonts w:cs="Times New Roman"/>
          <w:i/>
        </w:rPr>
      </w:pPr>
      <w:r w:rsidRPr="005F5731">
        <w:rPr>
          <w:rFonts w:cs="Times New Roman"/>
        </w:rPr>
        <w:t xml:space="preserve">Did the trial judge err by improperly instructing the jury on the </w:t>
      </w:r>
      <w:r w:rsidRPr="005F5731">
        <w:rPr>
          <w:rFonts w:cs="Times New Roman"/>
          <w:i/>
        </w:rPr>
        <w:t>mens rea</w:t>
      </w:r>
      <w:r w:rsidRPr="005F5731">
        <w:rPr>
          <w:rFonts w:cs="Times New Roman"/>
        </w:rPr>
        <w:t xml:space="preserve"> </w:t>
      </w:r>
      <w:r>
        <w:rPr>
          <w:rFonts w:cs="Times New Roman"/>
        </w:rPr>
        <w:t xml:space="preserve">requirement </w:t>
      </w:r>
      <w:r w:rsidRPr="005F5731">
        <w:rPr>
          <w:rFonts w:cs="Times New Roman"/>
        </w:rPr>
        <w:t xml:space="preserve">for s. 215 </w:t>
      </w:r>
      <w:r>
        <w:rPr>
          <w:rFonts w:cs="Times New Roman"/>
        </w:rPr>
        <w:t xml:space="preserve">(failure to provide necessaries of life)? Specifically, did the trial judge err by </w:t>
      </w:r>
      <w:r w:rsidRPr="005F5731">
        <w:rPr>
          <w:rFonts w:cs="Times New Roman"/>
        </w:rPr>
        <w:t xml:space="preserve">intermingling the </w:t>
      </w:r>
      <w:r>
        <w:rPr>
          <w:rFonts w:cs="Times New Roman"/>
        </w:rPr>
        <w:t>required foreseeability standard for s. 215 with the required foreseeability standard for</w:t>
      </w:r>
      <w:r w:rsidRPr="005F5731">
        <w:rPr>
          <w:rFonts w:cs="Times New Roman"/>
        </w:rPr>
        <w:t xml:space="preserve"> manslaughter</w:t>
      </w:r>
      <w:r>
        <w:rPr>
          <w:rFonts w:cs="Times New Roman"/>
        </w:rPr>
        <w:t xml:space="preserve"> or unlawfully causing bodily harm</w:t>
      </w:r>
      <w:r w:rsidRPr="005F5731">
        <w:rPr>
          <w:rFonts w:cs="Times New Roman"/>
        </w:rPr>
        <w:t>?</w:t>
      </w:r>
    </w:p>
    <w:p w:rsidR="00F406B9" w:rsidRPr="005F5731" w:rsidRDefault="00F406B9" w:rsidP="00F406B9">
      <w:pPr>
        <w:pStyle w:val="Title3LevelTitre3Niveau"/>
        <w:spacing w:line="480" w:lineRule="auto"/>
        <w:ind w:left="1559" w:hanging="425"/>
        <w:rPr>
          <w:rFonts w:cs="Times New Roman"/>
          <w:i/>
        </w:rPr>
      </w:pPr>
      <w:r w:rsidRPr="005F5731">
        <w:rPr>
          <w:rFonts w:cs="Times New Roman"/>
        </w:rPr>
        <w:t xml:space="preserve">Did the trial judge err by failing to instruct the jury </w:t>
      </w:r>
      <w:r>
        <w:rPr>
          <w:rFonts w:cs="Times New Roman"/>
        </w:rPr>
        <w:t>on</w:t>
      </w:r>
      <w:r w:rsidRPr="005F5731">
        <w:rPr>
          <w:rFonts w:cs="Times New Roman"/>
        </w:rPr>
        <w:t xml:space="preserve"> Mr. Goforth’s circumstances as a secondary caregiver during the </w:t>
      </w:r>
      <w:r w:rsidRPr="005F5731">
        <w:rPr>
          <w:rFonts w:cs="Times New Roman"/>
          <w:i/>
        </w:rPr>
        <w:t>mens rea</w:t>
      </w:r>
      <w:r w:rsidRPr="005F5731">
        <w:rPr>
          <w:rFonts w:cs="Times New Roman"/>
        </w:rPr>
        <w:t xml:space="preserve"> instruction for s. 215?</w:t>
      </w:r>
    </w:p>
    <w:p w:rsidR="00F406B9" w:rsidRPr="005F5731" w:rsidRDefault="00F406B9" w:rsidP="00F406B9">
      <w:pPr>
        <w:pStyle w:val="Title3LevelTitre3Niveau"/>
        <w:spacing w:line="480" w:lineRule="auto"/>
        <w:ind w:left="1559" w:hanging="425"/>
        <w:rPr>
          <w:rFonts w:cs="Times New Roman"/>
          <w:i/>
        </w:rPr>
      </w:pPr>
      <w:r w:rsidRPr="005F5731">
        <w:rPr>
          <w:rFonts w:cs="Times New Roman"/>
        </w:rPr>
        <w:lastRenderedPageBreak/>
        <w:t xml:space="preserve">Did the trial judge err by failing to explain what is meant by a </w:t>
      </w:r>
      <w:r w:rsidRPr="005F5731">
        <w:rPr>
          <w:rFonts w:cs="Times New Roman"/>
          <w:i/>
        </w:rPr>
        <w:t>marked departure</w:t>
      </w:r>
      <w:r w:rsidRPr="005F5731">
        <w:rPr>
          <w:rFonts w:cs="Times New Roman"/>
        </w:rPr>
        <w:t xml:space="preserve"> from the conduct of a reasonably prudent person in the circumstances?</w:t>
      </w:r>
    </w:p>
    <w:p w:rsidR="00F406B9" w:rsidRPr="005F5731" w:rsidRDefault="00F406B9" w:rsidP="00F406B9">
      <w:pPr>
        <w:pStyle w:val="Title3LevelTitre3Niveau"/>
        <w:ind w:left="1559" w:hanging="425"/>
        <w:rPr>
          <w:rFonts w:cs="Times New Roman"/>
          <w:i/>
        </w:rPr>
      </w:pPr>
      <w:r w:rsidRPr="005F5731">
        <w:rPr>
          <w:rFonts w:cs="Times New Roman"/>
        </w:rPr>
        <w:t xml:space="preserve">If the trial judge erred, can the curative proviso be applied? </w:t>
      </w:r>
    </w:p>
    <w:p w:rsidR="00F406B9" w:rsidRPr="005F5731" w:rsidRDefault="00F406B9" w:rsidP="00F406B9">
      <w:pPr>
        <w:pStyle w:val="Title1LevelTitre1Niveau-AltL"/>
        <w:rPr>
          <w:rFonts w:cs="Times New Roman"/>
        </w:rPr>
      </w:pPr>
      <w:r w:rsidRPr="005F5731">
        <w:rPr>
          <w:rFonts w:cs="Times New Roman"/>
        </w:rPr>
        <w:t>Analysis</w:t>
      </w:r>
    </w:p>
    <w:p w:rsidR="00F406B9" w:rsidRPr="005F5731" w:rsidRDefault="00F406B9" w:rsidP="00F406B9">
      <w:pPr>
        <w:pStyle w:val="Title2LevelTitre2Niveau"/>
        <w:rPr>
          <w:rFonts w:cs="Times New Roman"/>
        </w:rPr>
      </w:pPr>
      <w:r w:rsidRPr="005F5731">
        <w:rPr>
          <w:rFonts w:cs="Times New Roman"/>
        </w:rPr>
        <w:t>Standard of Review</w:t>
      </w:r>
    </w:p>
    <w:p w:rsidR="00F406B9" w:rsidRPr="005F5731" w:rsidRDefault="00F406B9" w:rsidP="00F406B9">
      <w:pPr>
        <w:pStyle w:val="ParaNoNdepar-AltN"/>
        <w:rPr>
          <w:rFonts w:cs="Times New Roman"/>
          <w:lang w:val="en-US"/>
        </w:rPr>
      </w:pPr>
      <w:r w:rsidRPr="005F5731">
        <w:rPr>
          <w:rFonts w:cs="Times New Roman"/>
        </w:rPr>
        <w:t xml:space="preserve">The alleged errors in this case pertain to the trial judge’s charge to the jury. </w:t>
      </w:r>
      <w:r>
        <w:rPr>
          <w:rFonts w:cs="Times New Roman"/>
        </w:rPr>
        <w:t>As I stated above, t</w:t>
      </w:r>
      <w:r w:rsidRPr="005F5731">
        <w:rPr>
          <w:rFonts w:cs="Times New Roman"/>
          <w:lang w:val="en-US"/>
        </w:rPr>
        <w:t>his Court has long held that an accused is entitled to a jury that is properly — and not necessarily perfectly — </w:t>
      </w:r>
      <w:r>
        <w:rPr>
          <w:rFonts w:cs="Times New Roman"/>
          <w:lang w:val="en-US"/>
        </w:rPr>
        <w:t>instructed</w:t>
      </w:r>
      <w:r w:rsidRPr="005F5731">
        <w:rPr>
          <w:rFonts w:cs="Times New Roman"/>
          <w:lang w:val="en-US"/>
        </w:rPr>
        <w:t xml:space="preserve"> </w:t>
      </w:r>
      <w:r>
        <w:rPr>
          <w:rFonts w:cs="Times New Roman"/>
          <w:lang w:val="en-US"/>
        </w:rPr>
        <w:t>(</w:t>
      </w:r>
      <w:r w:rsidRPr="005F5731">
        <w:rPr>
          <w:rFonts w:cs="Times New Roman"/>
          <w:i/>
          <w:lang w:val="en-US"/>
        </w:rPr>
        <w:t>R. v. Daley</w:t>
      </w:r>
      <w:r w:rsidRPr="005F5731">
        <w:rPr>
          <w:rFonts w:cs="Times New Roman"/>
          <w:lang w:val="en-US"/>
        </w:rPr>
        <w:t xml:space="preserve">, 2007 SCC 53, [2007] 3 S.C.R. 523, at para. 31; </w:t>
      </w:r>
      <w:r w:rsidRPr="005F5731">
        <w:rPr>
          <w:rFonts w:cs="Times New Roman"/>
          <w:i/>
          <w:lang w:val="en-US"/>
        </w:rPr>
        <w:t>R. v. Jacquard</w:t>
      </w:r>
      <w:r w:rsidRPr="005F5731">
        <w:rPr>
          <w:rFonts w:cs="Times New Roman"/>
          <w:lang w:val="en-US"/>
        </w:rPr>
        <w:t>, [1997] 1 S.C.R. 314, at paras. 2 and 32</w:t>
      </w:r>
      <w:r>
        <w:rPr>
          <w:rFonts w:cs="Times New Roman"/>
          <w:lang w:val="en-US"/>
        </w:rPr>
        <w:t>)</w:t>
      </w:r>
      <w:r w:rsidRPr="005F5731">
        <w:rPr>
          <w:rFonts w:cs="Times New Roman"/>
          <w:lang w:val="en-US"/>
        </w:rPr>
        <w:t>.</w:t>
      </w:r>
    </w:p>
    <w:p w:rsidR="00F406B9" w:rsidRPr="005F5731" w:rsidRDefault="00F406B9" w:rsidP="00F406B9">
      <w:pPr>
        <w:pStyle w:val="ParaNoNdepar-AltN"/>
        <w:rPr>
          <w:rFonts w:cs="Times New Roman"/>
          <w:lang w:val="en-US"/>
        </w:rPr>
      </w:pPr>
      <w:r w:rsidRPr="005F5731">
        <w:rPr>
          <w:rFonts w:cs="Times New Roman"/>
          <w:lang w:val="en-US"/>
        </w:rPr>
        <w:t xml:space="preserve">Trial judges are not held to a standard of perfection in crafting jury instructions </w:t>
      </w:r>
      <w:r>
        <w:rPr>
          <w:rFonts w:cs="Times New Roman"/>
          <w:lang w:val="en-US"/>
        </w:rPr>
        <w:t>(</w:t>
      </w:r>
      <w:r w:rsidRPr="005F5731">
        <w:rPr>
          <w:rFonts w:cs="Times New Roman"/>
          <w:i/>
          <w:lang w:val="en-US"/>
        </w:rPr>
        <w:t>Daley</w:t>
      </w:r>
      <w:r w:rsidRPr="005F5731">
        <w:rPr>
          <w:rFonts w:cs="Times New Roman"/>
          <w:lang w:val="en-US"/>
        </w:rPr>
        <w:t>, at para. 31</w:t>
      </w:r>
      <w:r>
        <w:rPr>
          <w:rFonts w:cs="Times New Roman"/>
          <w:lang w:val="en-US"/>
        </w:rPr>
        <w:t>)</w:t>
      </w:r>
      <w:r w:rsidRPr="005F5731">
        <w:rPr>
          <w:rFonts w:cs="Times New Roman"/>
          <w:lang w:val="en-US"/>
        </w:rPr>
        <w:t xml:space="preserve">. Rather, an appellate court </w:t>
      </w:r>
      <w:r>
        <w:rPr>
          <w:rFonts w:cs="Times New Roman"/>
          <w:lang w:val="en-US"/>
        </w:rPr>
        <w:t>must take</w:t>
      </w:r>
      <w:r w:rsidRPr="005F5731">
        <w:rPr>
          <w:rFonts w:cs="Times New Roman"/>
          <w:lang w:val="en-US"/>
        </w:rPr>
        <w:t xml:space="preserve"> a functional approach when reviewing a jury charge</w:t>
      </w:r>
      <w:r>
        <w:rPr>
          <w:rFonts w:cs="Times New Roman"/>
          <w:lang w:val="en-US"/>
        </w:rPr>
        <w:t xml:space="preserve"> by</w:t>
      </w:r>
      <w:r w:rsidRPr="005F5731">
        <w:rPr>
          <w:rFonts w:cs="Times New Roman"/>
          <w:lang w:val="en-US"/>
        </w:rPr>
        <w:t xml:space="preserve"> examining the alleged error</w:t>
      </w:r>
      <w:r>
        <w:rPr>
          <w:rFonts w:cs="Times New Roman"/>
          <w:lang w:val="en-US"/>
        </w:rPr>
        <w:t>s</w:t>
      </w:r>
      <w:r w:rsidRPr="005F5731">
        <w:rPr>
          <w:rFonts w:cs="Times New Roman"/>
          <w:lang w:val="en-US"/>
        </w:rPr>
        <w:t xml:space="preserve"> in the context of the evidence, the entire charge, and the trial as a whole </w:t>
      </w:r>
      <w:r>
        <w:rPr>
          <w:rFonts w:cs="Times New Roman"/>
          <w:lang w:val="en-US"/>
        </w:rPr>
        <w:t>(</w:t>
      </w:r>
      <w:r w:rsidRPr="005F5731">
        <w:rPr>
          <w:rFonts w:cs="Times New Roman"/>
          <w:i/>
          <w:lang w:val="en-US"/>
        </w:rPr>
        <w:t>R. v. Calnen</w:t>
      </w:r>
      <w:r w:rsidRPr="005F5731">
        <w:rPr>
          <w:rFonts w:cs="Times New Roman"/>
          <w:lang w:val="en-US"/>
        </w:rPr>
        <w:t xml:space="preserve">, 2019 SCC 6, [2019] 1 S.C.R. 301, at para. 8; </w:t>
      </w:r>
      <w:r w:rsidRPr="005F5731">
        <w:rPr>
          <w:rFonts w:cs="Times New Roman"/>
          <w:i/>
          <w:lang w:val="en-US"/>
        </w:rPr>
        <w:t>R. v. Pickton</w:t>
      </w:r>
      <w:r w:rsidRPr="005F5731">
        <w:rPr>
          <w:rFonts w:cs="Times New Roman"/>
          <w:lang w:val="en-US"/>
        </w:rPr>
        <w:t xml:space="preserve">, 2010 SCC 32, [2010] 2 S.C.R. 198, at para. 10; </w:t>
      </w:r>
      <w:r w:rsidRPr="005F5731">
        <w:rPr>
          <w:rFonts w:cs="Times New Roman"/>
          <w:i/>
          <w:iCs/>
          <w:lang w:val="en-US"/>
        </w:rPr>
        <w:t>R. v. Jaw</w:t>
      </w:r>
      <w:r w:rsidRPr="005F5731">
        <w:rPr>
          <w:rFonts w:cs="Times New Roman"/>
          <w:lang w:val="en-US"/>
        </w:rPr>
        <w:t>, 2009 SCC 42, [2009] 3 S.C.R. 26, at para. 32</w:t>
      </w:r>
      <w:r>
        <w:rPr>
          <w:rFonts w:cs="Times New Roman"/>
          <w:lang w:val="en-US"/>
        </w:rPr>
        <w:t>)</w:t>
      </w:r>
      <w:r w:rsidRPr="005F5731">
        <w:rPr>
          <w:rFonts w:cs="Times New Roman"/>
          <w:lang w:val="en-US"/>
        </w:rPr>
        <w:t xml:space="preserve">. It is the substance of the charge — and not adherence to or departure from a prescriptive formula — that is determinative </w:t>
      </w:r>
      <w:r>
        <w:rPr>
          <w:rFonts w:cs="Times New Roman"/>
          <w:lang w:val="en-US"/>
        </w:rPr>
        <w:t>(</w:t>
      </w:r>
      <w:r w:rsidRPr="005F5731">
        <w:rPr>
          <w:rFonts w:cs="Times New Roman"/>
          <w:i/>
          <w:lang w:val="en-US"/>
        </w:rPr>
        <w:t>R. v. Barton</w:t>
      </w:r>
      <w:r w:rsidRPr="005F5731">
        <w:rPr>
          <w:rFonts w:cs="Times New Roman"/>
          <w:lang w:val="en-US"/>
        </w:rPr>
        <w:t xml:space="preserve">, 2019 SCC 33, </w:t>
      </w:r>
      <w:r>
        <w:rPr>
          <w:rFonts w:cs="Times New Roman"/>
          <w:lang w:val="en-US"/>
        </w:rPr>
        <w:t xml:space="preserve">[2019] 2 S.C.R. 579, </w:t>
      </w:r>
      <w:r w:rsidRPr="005F5731">
        <w:rPr>
          <w:rFonts w:cs="Times New Roman"/>
          <w:lang w:val="en-US"/>
        </w:rPr>
        <w:t xml:space="preserve">at para. 54; </w:t>
      </w:r>
      <w:r w:rsidRPr="005F5731">
        <w:rPr>
          <w:rFonts w:cs="Times New Roman"/>
          <w:i/>
          <w:lang w:val="en-US"/>
        </w:rPr>
        <w:t xml:space="preserve">R. v. </w:t>
      </w:r>
      <w:r w:rsidRPr="005F5731">
        <w:rPr>
          <w:rFonts w:cs="Times New Roman"/>
          <w:i/>
          <w:lang w:val="en-US"/>
        </w:rPr>
        <w:lastRenderedPageBreak/>
        <w:t>Luciano</w:t>
      </w:r>
      <w:r w:rsidRPr="00F75AEA">
        <w:rPr>
          <w:rFonts w:cs="Times New Roman"/>
          <w:lang w:val="en-US"/>
        </w:rPr>
        <w:t xml:space="preserve">, </w:t>
      </w:r>
      <w:r w:rsidRPr="005F5731">
        <w:rPr>
          <w:rFonts w:cs="Times New Roman"/>
          <w:lang w:val="en-US"/>
        </w:rPr>
        <w:t>2011 ONCA 89, 273 O.A.C. 273, at para. 69</w:t>
      </w:r>
      <w:r>
        <w:rPr>
          <w:rFonts w:cs="Times New Roman"/>
          <w:lang w:val="en-US"/>
        </w:rPr>
        <w:t>)</w:t>
      </w:r>
      <w:r w:rsidRPr="005F5731">
        <w:rPr>
          <w:rFonts w:cs="Times New Roman"/>
          <w:lang w:val="en-US"/>
        </w:rPr>
        <w:t xml:space="preserve">. </w:t>
      </w:r>
      <w:r w:rsidRPr="005F5731">
        <w:rPr>
          <w:rFonts w:cs="Times New Roman"/>
        </w:rPr>
        <w:t xml:space="preserve">As Bastarache J. instructed in </w:t>
      </w:r>
      <w:r w:rsidRPr="005F5731">
        <w:rPr>
          <w:rFonts w:cs="Times New Roman"/>
          <w:i/>
        </w:rPr>
        <w:t>Daley</w:t>
      </w:r>
      <w:r w:rsidRPr="005F5731">
        <w:rPr>
          <w:rFonts w:cs="Times New Roman"/>
        </w:rPr>
        <w:t>, at para. 30:</w:t>
      </w:r>
    </w:p>
    <w:p w:rsidR="00F406B9" w:rsidRPr="005F5731" w:rsidRDefault="00F406B9" w:rsidP="00F406B9">
      <w:pPr>
        <w:pStyle w:val="Citation-AltC"/>
        <w:ind w:firstLine="274"/>
        <w:rPr>
          <w:lang w:val="en-US"/>
        </w:rPr>
      </w:pPr>
      <w:r>
        <w:t>. . . </w:t>
      </w:r>
      <w:proofErr w:type="gramStart"/>
      <w:r>
        <w:t>i</w:t>
      </w:r>
      <w:r w:rsidRPr="005F5731">
        <w:t>t</w:t>
      </w:r>
      <w:proofErr w:type="gramEnd"/>
      <w:r w:rsidRPr="005F5731">
        <w:t xml:space="preserve"> is important for appellate courts to keep in mind the following. The cardinal rule is that </w:t>
      </w:r>
      <w:r w:rsidRPr="005F5731">
        <w:rPr>
          <w:u w:val="single"/>
        </w:rPr>
        <w:t>it is the general sense which the words used must have conveyed, in all probability, to the mind of the jury that matters</w:t>
      </w:r>
      <w:r w:rsidRPr="005F5731">
        <w:t>, and not whether a particular formula was recited by the judge. The particular words used, or the sequence followed, is a matter within the discretion of the trial judge and will depend on the particular circumstances of the case. [Emphasis added.]</w:t>
      </w:r>
    </w:p>
    <w:p w:rsidR="00F406B9" w:rsidRDefault="00F406B9" w:rsidP="00F406B9">
      <w:pPr>
        <w:pStyle w:val="ParaNoNdepar-AltN"/>
        <w:rPr>
          <w:rFonts w:cs="Times New Roman"/>
          <w:lang w:val="en-US"/>
        </w:rPr>
      </w:pPr>
      <w:r w:rsidRPr="005F5731">
        <w:rPr>
          <w:rFonts w:cs="Times New Roman"/>
          <w:lang w:val="en-US"/>
        </w:rPr>
        <w:t xml:space="preserve">Indeed, trial judges must be afforded some flexibility in crafting the language of jury instructions, as their role requires them to “decant and simplify” the law and evidence for the jury </w:t>
      </w:r>
      <w:r>
        <w:rPr>
          <w:rFonts w:cs="Times New Roman"/>
          <w:lang w:val="en-US"/>
        </w:rPr>
        <w:t>(</w:t>
      </w:r>
      <w:r w:rsidRPr="005F5731">
        <w:rPr>
          <w:rFonts w:cs="Times New Roman"/>
          <w:i/>
          <w:lang w:val="en-US"/>
        </w:rPr>
        <w:t>Jacquard</w:t>
      </w:r>
      <w:r>
        <w:rPr>
          <w:rFonts w:cs="Times New Roman"/>
          <w:lang w:val="en-US"/>
        </w:rPr>
        <w:t>, at para. </w:t>
      </w:r>
      <w:r w:rsidRPr="005F5731">
        <w:rPr>
          <w:rFonts w:cs="Times New Roman"/>
          <w:lang w:val="en-US"/>
        </w:rPr>
        <w:t xml:space="preserve">13; </w:t>
      </w:r>
      <w:r w:rsidRPr="005F5731">
        <w:rPr>
          <w:rFonts w:cs="Times New Roman"/>
          <w:i/>
          <w:lang w:val="en-US"/>
        </w:rPr>
        <w:t>R. v. Rodgerson</w:t>
      </w:r>
      <w:r w:rsidRPr="005F5731">
        <w:rPr>
          <w:rFonts w:cs="Times New Roman"/>
          <w:lang w:val="en-US"/>
        </w:rPr>
        <w:t xml:space="preserve">, 2015 SCC 38, [2015] 2 S.C.R. 760, at para. 50; see also </w:t>
      </w:r>
      <w:r w:rsidRPr="005F5731">
        <w:rPr>
          <w:rFonts w:cs="Times New Roman"/>
          <w:i/>
          <w:lang w:val="en-US"/>
        </w:rPr>
        <w:t>R. v. Araya</w:t>
      </w:r>
      <w:r w:rsidRPr="005F5731">
        <w:rPr>
          <w:rFonts w:cs="Times New Roman"/>
          <w:lang w:val="en-US"/>
        </w:rPr>
        <w:t>, 2015 SCC 11, [2015] 1 S</w:t>
      </w:r>
      <w:r>
        <w:rPr>
          <w:rFonts w:cs="Times New Roman"/>
          <w:lang w:val="en-US"/>
        </w:rPr>
        <w:t>.</w:t>
      </w:r>
      <w:r w:rsidRPr="005F5731">
        <w:rPr>
          <w:rFonts w:cs="Times New Roman"/>
          <w:lang w:val="en-US"/>
        </w:rPr>
        <w:t>C</w:t>
      </w:r>
      <w:r>
        <w:rPr>
          <w:rFonts w:cs="Times New Roman"/>
          <w:lang w:val="en-US"/>
        </w:rPr>
        <w:t>.</w:t>
      </w:r>
      <w:r w:rsidRPr="005F5731">
        <w:rPr>
          <w:rFonts w:cs="Times New Roman"/>
          <w:lang w:val="en-US"/>
        </w:rPr>
        <w:t>R</w:t>
      </w:r>
      <w:r>
        <w:rPr>
          <w:rFonts w:cs="Times New Roman"/>
          <w:lang w:val="en-US"/>
        </w:rPr>
        <w:t>.</w:t>
      </w:r>
      <w:r w:rsidRPr="005F5731">
        <w:rPr>
          <w:rFonts w:cs="Times New Roman"/>
          <w:lang w:val="en-US"/>
        </w:rPr>
        <w:t xml:space="preserve"> 581, at para. 39</w:t>
      </w:r>
      <w:r>
        <w:rPr>
          <w:rFonts w:cs="Times New Roman"/>
          <w:lang w:val="en-US"/>
        </w:rPr>
        <w:t>)</w:t>
      </w:r>
      <w:r w:rsidRPr="005F5731">
        <w:rPr>
          <w:rFonts w:cs="Times New Roman"/>
          <w:lang w:val="en-US"/>
        </w:rPr>
        <w:t>.</w:t>
      </w:r>
    </w:p>
    <w:p w:rsidR="00F406B9" w:rsidRPr="005F5731" w:rsidRDefault="00F406B9" w:rsidP="00F406B9">
      <w:pPr>
        <w:pStyle w:val="Title2LevelTitre2Niveau"/>
        <w:rPr>
          <w:rFonts w:eastAsiaTheme="minorEastAsia" w:cs="Times New Roman"/>
        </w:rPr>
      </w:pPr>
      <w:r w:rsidRPr="005F5731">
        <w:rPr>
          <w:rFonts w:cs="Times New Roman"/>
        </w:rPr>
        <w:t xml:space="preserve">Did the </w:t>
      </w:r>
      <w:r>
        <w:rPr>
          <w:rFonts w:cs="Times New Roman"/>
        </w:rPr>
        <w:t>Trial J</w:t>
      </w:r>
      <w:r w:rsidRPr="005F5731">
        <w:rPr>
          <w:rFonts w:cs="Times New Roman"/>
        </w:rPr>
        <w:t xml:space="preserve">udge </w:t>
      </w:r>
      <w:r>
        <w:rPr>
          <w:rFonts w:cs="Times New Roman"/>
        </w:rPr>
        <w:t>E</w:t>
      </w:r>
      <w:r w:rsidRPr="005F5731">
        <w:rPr>
          <w:rFonts w:cs="Times New Roman"/>
        </w:rPr>
        <w:t xml:space="preserve">rr by </w:t>
      </w:r>
      <w:r>
        <w:rPr>
          <w:rFonts w:cs="Times New Roman"/>
        </w:rPr>
        <w:t>Improperly I</w:t>
      </w:r>
      <w:r w:rsidRPr="005F5731">
        <w:rPr>
          <w:rFonts w:cs="Times New Roman"/>
        </w:rPr>
        <w:t>nstructing</w:t>
      </w:r>
      <w:r>
        <w:rPr>
          <w:rFonts w:cs="Times New Roman"/>
        </w:rPr>
        <w:t xml:space="preserve"> the J</w:t>
      </w:r>
      <w:r w:rsidRPr="005F5731">
        <w:rPr>
          <w:rFonts w:cs="Times New Roman"/>
        </w:rPr>
        <w:t xml:space="preserve">ury on the </w:t>
      </w:r>
      <w:r>
        <w:rPr>
          <w:rFonts w:cs="Times New Roman"/>
        </w:rPr>
        <w:t>M</w:t>
      </w:r>
      <w:r w:rsidRPr="005F5731">
        <w:rPr>
          <w:rFonts w:cs="Times New Roman"/>
        </w:rPr>
        <w:t xml:space="preserve">ens </w:t>
      </w:r>
      <w:r>
        <w:rPr>
          <w:rFonts w:cs="Times New Roman"/>
        </w:rPr>
        <w:t>R</w:t>
      </w:r>
      <w:r w:rsidRPr="005F5731">
        <w:rPr>
          <w:rFonts w:cs="Times New Roman"/>
        </w:rPr>
        <w:t xml:space="preserve">ea </w:t>
      </w:r>
      <w:r>
        <w:rPr>
          <w:rFonts w:cs="Times New Roman"/>
        </w:rPr>
        <w:t xml:space="preserve">Requirement </w:t>
      </w:r>
      <w:r w:rsidRPr="005F5731">
        <w:rPr>
          <w:rFonts w:cs="Times New Roman"/>
        </w:rPr>
        <w:t xml:space="preserve">for </w:t>
      </w:r>
      <w:r>
        <w:rPr>
          <w:rFonts w:cs="Times New Roman"/>
        </w:rPr>
        <w:t>Section</w:t>
      </w:r>
      <w:r w:rsidRPr="005F5731">
        <w:rPr>
          <w:rFonts w:cs="Times New Roman"/>
        </w:rPr>
        <w:t xml:space="preserve"> 215 </w:t>
      </w:r>
      <w:r>
        <w:rPr>
          <w:rFonts w:cs="Times New Roman"/>
        </w:rPr>
        <w:t>(Failure to Provide Necessaries of Life)? Specifically, Did the Trial Judge Err by I</w:t>
      </w:r>
      <w:r w:rsidRPr="005F5731">
        <w:rPr>
          <w:rFonts w:cs="Times New Roman"/>
        </w:rPr>
        <w:t xml:space="preserve">ntermingling the </w:t>
      </w:r>
      <w:r>
        <w:rPr>
          <w:rFonts w:cs="Times New Roman"/>
        </w:rPr>
        <w:t>Required Foreseeability Standard for Section 215 With the Required Foreseeability Standard for</w:t>
      </w:r>
      <w:r w:rsidRPr="005F5731">
        <w:rPr>
          <w:rFonts w:cs="Times New Roman"/>
        </w:rPr>
        <w:t xml:space="preserve"> </w:t>
      </w:r>
      <w:r>
        <w:rPr>
          <w:rFonts w:cs="Times New Roman"/>
        </w:rPr>
        <w:t>M</w:t>
      </w:r>
      <w:r w:rsidRPr="005F5731">
        <w:rPr>
          <w:rFonts w:cs="Times New Roman"/>
        </w:rPr>
        <w:t>anslaughter</w:t>
      </w:r>
      <w:r>
        <w:rPr>
          <w:rFonts w:cs="Times New Roman"/>
        </w:rPr>
        <w:t xml:space="preserve"> or Unlawfully Causing Bodily Harm</w:t>
      </w:r>
      <w:r w:rsidRPr="005F5731">
        <w:rPr>
          <w:rFonts w:cs="Times New Roman"/>
        </w:rPr>
        <w:t>?</w:t>
      </w:r>
    </w:p>
    <w:p w:rsidR="00F406B9" w:rsidRPr="005F5731" w:rsidRDefault="00F406B9" w:rsidP="00F406B9">
      <w:pPr>
        <w:pStyle w:val="ParaNoNdepar-AltN"/>
        <w:rPr>
          <w:rFonts w:cs="Times New Roman"/>
        </w:rPr>
      </w:pPr>
      <w:r w:rsidRPr="005F5731">
        <w:rPr>
          <w:rFonts w:cs="Times New Roman"/>
        </w:rPr>
        <w:t xml:space="preserve">The Crown argues </w:t>
      </w:r>
      <w:r w:rsidRPr="005F5731">
        <w:rPr>
          <w:rFonts w:cs="Times New Roman"/>
          <w:lang w:val="en-US"/>
        </w:rPr>
        <w:t xml:space="preserve">that the trial judge did not err in her charge regarding the </w:t>
      </w:r>
      <w:r w:rsidRPr="005F5731">
        <w:rPr>
          <w:rFonts w:cs="Times New Roman"/>
          <w:i/>
          <w:lang w:val="en-US"/>
        </w:rPr>
        <w:t>mens rea</w:t>
      </w:r>
      <w:r w:rsidRPr="005F5731">
        <w:rPr>
          <w:rFonts w:cs="Times New Roman"/>
          <w:lang w:val="en-US"/>
        </w:rPr>
        <w:t xml:space="preserve"> requirement for s. 215. The jury charge addressed the objective foreseeability requirement</w:t>
      </w:r>
      <w:r>
        <w:rPr>
          <w:rFonts w:cs="Times New Roman"/>
          <w:lang w:val="en-US"/>
        </w:rPr>
        <w:t>s</w:t>
      </w:r>
      <w:r w:rsidRPr="005F5731">
        <w:rPr>
          <w:rFonts w:cs="Times New Roman"/>
          <w:lang w:val="en-US"/>
        </w:rPr>
        <w:t xml:space="preserve"> for both manslaughter and the predicate offence. Although the charge juxtaposed these two foreseeability standards, there is no reasonable possibility </w:t>
      </w:r>
      <w:r>
        <w:rPr>
          <w:rFonts w:cs="Times New Roman"/>
          <w:lang w:val="en-US"/>
        </w:rPr>
        <w:t xml:space="preserve">that </w:t>
      </w:r>
      <w:r w:rsidRPr="005F5731">
        <w:rPr>
          <w:rFonts w:cs="Times New Roman"/>
          <w:lang w:val="en-US"/>
        </w:rPr>
        <w:t>the jury would have thought the Crown only had to satisfy the lower foreseeability standard relating to manslaughter.</w:t>
      </w:r>
    </w:p>
    <w:p w:rsidR="00F406B9" w:rsidRPr="005F5731" w:rsidRDefault="00F406B9" w:rsidP="00F406B9">
      <w:pPr>
        <w:pStyle w:val="ParaNoNdepar-AltN"/>
        <w:rPr>
          <w:rFonts w:cs="Times New Roman"/>
        </w:rPr>
      </w:pPr>
      <w:r w:rsidRPr="005F5731">
        <w:rPr>
          <w:rFonts w:cs="Times New Roman"/>
          <w:lang w:val="en-US"/>
        </w:rPr>
        <w:lastRenderedPageBreak/>
        <w:t xml:space="preserve">Mr. Goforth, on the other hand, </w:t>
      </w:r>
      <w:r w:rsidRPr="005F5731">
        <w:rPr>
          <w:rFonts w:cs="Times New Roman"/>
          <w:lang w:bidi="en-US"/>
        </w:rPr>
        <w:t xml:space="preserve">submits that the majority </w:t>
      </w:r>
      <w:r>
        <w:rPr>
          <w:rFonts w:cs="Times New Roman"/>
          <w:lang w:bidi="en-US"/>
        </w:rPr>
        <w:t>of</w:t>
      </w:r>
      <w:r w:rsidRPr="005F5731">
        <w:rPr>
          <w:rFonts w:cs="Times New Roman"/>
          <w:lang w:bidi="en-US"/>
        </w:rPr>
        <w:t xml:space="preserve"> the Court of Appeal was correct to find that the trial judge’s instruction on the </w:t>
      </w:r>
      <w:r w:rsidRPr="005F5731">
        <w:rPr>
          <w:rFonts w:cs="Times New Roman"/>
          <w:i/>
          <w:lang w:bidi="en-US"/>
        </w:rPr>
        <w:t xml:space="preserve">mens rea </w:t>
      </w:r>
      <w:r w:rsidRPr="005F5731">
        <w:rPr>
          <w:rFonts w:cs="Times New Roman"/>
          <w:lang w:bidi="en-US"/>
        </w:rPr>
        <w:t xml:space="preserve">required for s. 215 was deficient. </w:t>
      </w:r>
      <w:r w:rsidRPr="005F5731">
        <w:rPr>
          <w:rFonts w:cs="Times New Roman"/>
          <w:lang w:val="en-US" w:bidi="en-US"/>
        </w:rPr>
        <w:t>According to him, the majority functionally reviewed the jury charge and correctly concluded that</w:t>
      </w:r>
      <w:r>
        <w:rPr>
          <w:rFonts w:cs="Times New Roman"/>
          <w:lang w:val="en-US" w:bidi="en-US"/>
        </w:rPr>
        <w:t xml:space="preserve"> the charge was inadequate because it confused</w:t>
      </w:r>
      <w:r w:rsidRPr="005F5731">
        <w:rPr>
          <w:rFonts w:cs="Times New Roman"/>
          <w:lang w:val="en-US" w:bidi="en-US"/>
        </w:rPr>
        <w:t xml:space="preserve"> the two foreseeability standards.</w:t>
      </w:r>
    </w:p>
    <w:p w:rsidR="00F406B9" w:rsidRPr="005F5731" w:rsidRDefault="00F406B9" w:rsidP="00F406B9">
      <w:pPr>
        <w:pStyle w:val="ParaNoNdepar-AltN"/>
        <w:rPr>
          <w:rFonts w:cs="Times New Roman"/>
        </w:rPr>
      </w:pPr>
      <w:r w:rsidRPr="005F5731">
        <w:rPr>
          <w:rFonts w:cs="Times New Roman"/>
          <w:lang w:val="en-US" w:bidi="en-US"/>
        </w:rPr>
        <w:t xml:space="preserve">For the reasons that follow, I would reject Mr. Goforth’s submission. Although </w:t>
      </w:r>
      <w:r>
        <w:rPr>
          <w:rFonts w:cs="Times New Roman"/>
          <w:lang w:val="en-US" w:bidi="en-US"/>
        </w:rPr>
        <w:t>the jury charge was not perfect</w:t>
      </w:r>
      <w:r w:rsidRPr="005F5731">
        <w:rPr>
          <w:rFonts w:cs="Times New Roman"/>
          <w:lang w:val="en-US" w:bidi="en-US"/>
        </w:rPr>
        <w:t xml:space="preserve">, </w:t>
      </w:r>
      <w:r>
        <w:rPr>
          <w:rFonts w:cs="Times New Roman"/>
          <w:lang w:val="en-US" w:bidi="en-US"/>
        </w:rPr>
        <w:t xml:space="preserve">a functional reading of it shows that </w:t>
      </w:r>
      <w:r w:rsidRPr="005F5731">
        <w:rPr>
          <w:rFonts w:cs="Times New Roman"/>
          <w:lang w:val="en-US" w:bidi="en-US"/>
        </w:rPr>
        <w:t>the jury was properly instructed.</w:t>
      </w:r>
    </w:p>
    <w:p w:rsidR="00F406B9" w:rsidRPr="005F5731" w:rsidRDefault="00F406B9" w:rsidP="00F406B9">
      <w:pPr>
        <w:pStyle w:val="Title3LevelTitre3Niveau"/>
        <w:rPr>
          <w:rFonts w:cs="Times New Roman"/>
        </w:rPr>
      </w:pPr>
      <w:r w:rsidRPr="005F5731">
        <w:rPr>
          <w:rFonts w:cs="Times New Roman"/>
        </w:rPr>
        <w:t xml:space="preserve">The </w:t>
      </w:r>
      <w:r w:rsidRPr="005F5731">
        <w:rPr>
          <w:rFonts w:cs="Times New Roman"/>
          <w:i/>
        </w:rPr>
        <w:t>Mens Rea</w:t>
      </w:r>
      <w:r w:rsidRPr="005F5731">
        <w:rPr>
          <w:rFonts w:cs="Times New Roman"/>
        </w:rPr>
        <w:t xml:space="preserve"> Requirements</w:t>
      </w:r>
    </w:p>
    <w:p w:rsidR="00F406B9" w:rsidRPr="005F5731" w:rsidRDefault="00F406B9" w:rsidP="00F406B9">
      <w:pPr>
        <w:pStyle w:val="ParaNoNdepar-AltN"/>
        <w:rPr>
          <w:rFonts w:cs="Times New Roman"/>
        </w:rPr>
      </w:pPr>
      <w:r w:rsidRPr="005F5731">
        <w:rPr>
          <w:rFonts w:cs="Times New Roman"/>
          <w:lang w:val="en-US" w:bidi="en-US"/>
        </w:rPr>
        <w:t>Mr. Goforth was charged with second degree murder and unlawfully causing bodily harm.</w:t>
      </w:r>
      <w:r>
        <w:rPr>
          <w:rFonts w:cs="Times New Roman"/>
          <w:lang w:val="en-US" w:bidi="en-US"/>
        </w:rPr>
        <w:t xml:space="preserve"> Unlawful act manslaughter was</w:t>
      </w:r>
      <w:r w:rsidRPr="005F5731">
        <w:rPr>
          <w:rFonts w:cs="Times New Roman"/>
          <w:lang w:val="en-US" w:bidi="en-US"/>
        </w:rPr>
        <w:t xml:space="preserve"> a lesser and included offence </w:t>
      </w:r>
      <w:r>
        <w:rPr>
          <w:rFonts w:cs="Times New Roman"/>
          <w:lang w:val="en-US" w:bidi="en-US"/>
        </w:rPr>
        <w:t>in</w:t>
      </w:r>
      <w:r w:rsidRPr="005F5731">
        <w:rPr>
          <w:rFonts w:cs="Times New Roman"/>
          <w:lang w:val="en-US" w:bidi="en-US"/>
        </w:rPr>
        <w:t xml:space="preserve"> the second degree murder charge. All of these charges were predicated on the alleged failure to provide the children </w:t>
      </w:r>
      <w:r>
        <w:rPr>
          <w:rFonts w:cs="Times New Roman"/>
          <w:lang w:val="en-US" w:bidi="en-US"/>
        </w:rPr>
        <w:t xml:space="preserve">concerned </w:t>
      </w:r>
      <w:r w:rsidRPr="005F5731">
        <w:rPr>
          <w:rFonts w:cs="Times New Roman"/>
          <w:lang w:val="en-US" w:bidi="en-US"/>
        </w:rPr>
        <w:t xml:space="preserve">with necessaries of life contrary to s. 215. The </w:t>
      </w:r>
      <w:r w:rsidRPr="005F5731">
        <w:rPr>
          <w:rFonts w:cs="Times New Roman"/>
          <w:i/>
          <w:lang w:val="en-US" w:bidi="en-US"/>
        </w:rPr>
        <w:t xml:space="preserve">mens rea </w:t>
      </w:r>
      <w:r w:rsidRPr="005F5731">
        <w:rPr>
          <w:rFonts w:cs="Times New Roman"/>
          <w:lang w:val="en-US" w:bidi="en-US"/>
        </w:rPr>
        <w:t xml:space="preserve">requirement for both manslaughter and unlawfully causing bodily harm </w:t>
      </w:r>
      <w:r>
        <w:rPr>
          <w:rFonts w:cs="Times New Roman"/>
          <w:lang w:val="en-US" w:bidi="en-US"/>
        </w:rPr>
        <w:t>is</w:t>
      </w:r>
      <w:r w:rsidRPr="005F5731">
        <w:rPr>
          <w:rFonts w:cs="Times New Roman"/>
          <w:lang w:val="en-US" w:bidi="en-US"/>
        </w:rPr>
        <w:t xml:space="preserve"> the same. Both </w:t>
      </w:r>
      <w:r>
        <w:rPr>
          <w:rFonts w:cs="Times New Roman"/>
          <w:lang w:val="en-US" w:bidi="en-US"/>
        </w:rPr>
        <w:t xml:space="preserve">offences </w:t>
      </w:r>
      <w:r w:rsidRPr="005F5731">
        <w:rPr>
          <w:rFonts w:cs="Times New Roman"/>
          <w:lang w:val="en-US" w:bidi="en-US"/>
        </w:rPr>
        <w:t xml:space="preserve">require the </w:t>
      </w:r>
      <w:r w:rsidRPr="005F5731">
        <w:rPr>
          <w:rFonts w:cs="Times New Roman"/>
          <w:i/>
          <w:lang w:val="en-US" w:bidi="en-US"/>
        </w:rPr>
        <w:t>mens rea</w:t>
      </w:r>
      <w:r w:rsidRPr="005F5731">
        <w:rPr>
          <w:rFonts w:cs="Times New Roman"/>
          <w:lang w:val="en-US" w:bidi="en-US"/>
        </w:rPr>
        <w:t xml:space="preserve"> of the predicate offence, which in this case is the </w:t>
      </w:r>
      <w:r w:rsidRPr="005F5731">
        <w:rPr>
          <w:rFonts w:cs="Times New Roman"/>
          <w:i/>
          <w:lang w:val="en-US" w:bidi="en-US"/>
        </w:rPr>
        <w:t>mens rea</w:t>
      </w:r>
      <w:r w:rsidRPr="005F5731">
        <w:rPr>
          <w:rFonts w:cs="Times New Roman"/>
        </w:rPr>
        <w:t xml:space="preserve"> for s. 215, as well as objective foresight that the unlawful act could cause bodily harm beyond the trivial or transitory </w:t>
      </w:r>
      <w:r>
        <w:rPr>
          <w:rFonts w:cs="Times New Roman"/>
        </w:rPr>
        <w:t>(</w:t>
      </w:r>
      <w:r w:rsidRPr="005F5731">
        <w:rPr>
          <w:rFonts w:cs="Times New Roman"/>
          <w:i/>
          <w:lang w:bidi="en-US"/>
        </w:rPr>
        <w:t>R. v. Creighton</w:t>
      </w:r>
      <w:r w:rsidRPr="005F5731">
        <w:rPr>
          <w:rFonts w:cs="Times New Roman"/>
          <w:lang w:bidi="en-US"/>
        </w:rPr>
        <w:t xml:space="preserve">, [1993] 3 S.C.R. 3, at p. 44; </w:t>
      </w:r>
      <w:r w:rsidRPr="005F5731">
        <w:rPr>
          <w:rFonts w:cs="Times New Roman"/>
          <w:i/>
          <w:iCs/>
          <w:lang w:bidi="en-US"/>
        </w:rPr>
        <w:t>R. v. DeSousa</w:t>
      </w:r>
      <w:r w:rsidRPr="005F5731">
        <w:rPr>
          <w:rFonts w:cs="Times New Roman"/>
          <w:iCs/>
          <w:lang w:bidi="en-US"/>
        </w:rPr>
        <w:t>, [1992] 2 S.C.R. 944,</w:t>
      </w:r>
      <w:r w:rsidRPr="005F5731">
        <w:rPr>
          <w:rFonts w:cs="Times New Roman"/>
          <w:lang w:bidi="en-US"/>
        </w:rPr>
        <w:t xml:space="preserve"> at p. 961</w:t>
      </w:r>
      <w:r>
        <w:rPr>
          <w:rFonts w:cs="Times New Roman"/>
          <w:lang w:bidi="en-US"/>
        </w:rPr>
        <w:t>)</w:t>
      </w:r>
      <w:r w:rsidRPr="005F5731">
        <w:rPr>
          <w:rFonts w:cs="Times New Roman"/>
          <w:lang w:bidi="en-US"/>
        </w:rPr>
        <w:t>.</w:t>
      </w:r>
    </w:p>
    <w:p w:rsidR="00F406B9" w:rsidRPr="005F5731" w:rsidRDefault="00F406B9" w:rsidP="00F406B9">
      <w:pPr>
        <w:pStyle w:val="ParaNoNdepar-AltN"/>
        <w:rPr>
          <w:rFonts w:cs="Times New Roman"/>
          <w:lang w:val="en-US" w:bidi="en-US"/>
        </w:rPr>
      </w:pPr>
      <w:r>
        <w:rPr>
          <w:rFonts w:cs="Times New Roman"/>
        </w:rPr>
        <w:t>Section 215 create</w:t>
      </w:r>
      <w:r w:rsidRPr="005F5731">
        <w:rPr>
          <w:rFonts w:cs="Times New Roman"/>
        </w:rPr>
        <w:t xml:space="preserve">s a penal negligence offence. It is </w:t>
      </w:r>
      <w:r w:rsidRPr="005F5731">
        <w:rPr>
          <w:rFonts w:cs="Times New Roman"/>
          <w:lang w:bidi="en-US"/>
        </w:rPr>
        <w:t xml:space="preserve">“aimed at establishing a uniform minimum level of care to be provided for those to whom it applies, and this </w:t>
      </w:r>
      <w:r w:rsidRPr="005F5731">
        <w:rPr>
          <w:rFonts w:cs="Times New Roman"/>
          <w:lang w:bidi="en-US"/>
        </w:rPr>
        <w:lastRenderedPageBreak/>
        <w:t>can only be achieved if those under the duty are held to a societal, rather than a personal, standard of conduct” (</w:t>
      </w:r>
      <w:r w:rsidRPr="005F5731">
        <w:rPr>
          <w:rFonts w:cs="Times New Roman"/>
          <w:i/>
          <w:lang w:val="en-US" w:bidi="en-US"/>
        </w:rPr>
        <w:t xml:space="preserve">R. v. </w:t>
      </w:r>
      <w:proofErr w:type="spellStart"/>
      <w:r w:rsidRPr="005F5731">
        <w:rPr>
          <w:rFonts w:cs="Times New Roman"/>
          <w:i/>
          <w:lang w:val="en-US" w:bidi="en-US"/>
        </w:rPr>
        <w:t>Naglik</w:t>
      </w:r>
      <w:proofErr w:type="spellEnd"/>
      <w:r w:rsidRPr="005F5731">
        <w:rPr>
          <w:rFonts w:cs="Times New Roman"/>
          <w:lang w:val="en-US" w:bidi="en-US"/>
        </w:rPr>
        <w:t xml:space="preserve">, [1993] 3 S.C.R. 122, </w:t>
      </w:r>
      <w:r w:rsidRPr="005F5731">
        <w:rPr>
          <w:rFonts w:cs="Times New Roman"/>
          <w:lang w:bidi="en-US"/>
        </w:rPr>
        <w:t>at p. 141</w:t>
      </w:r>
      <w:r>
        <w:rPr>
          <w:rFonts w:cs="Times New Roman"/>
          <w:lang w:bidi="en-US"/>
        </w:rPr>
        <w:t xml:space="preserve"> (emphasis deleted)</w:t>
      </w:r>
      <w:r w:rsidRPr="005F5731">
        <w:rPr>
          <w:rFonts w:cs="Times New Roman"/>
          <w:lang w:bidi="en-US"/>
        </w:rPr>
        <w:t xml:space="preserve">). Liability </w:t>
      </w:r>
      <w:r>
        <w:rPr>
          <w:rFonts w:cs="Times New Roman"/>
          <w:lang w:bidi="en-US"/>
        </w:rPr>
        <w:t xml:space="preserve">is premised on what a reasonable </w:t>
      </w:r>
      <w:r w:rsidRPr="005F5731">
        <w:rPr>
          <w:rFonts w:cs="Times New Roman"/>
          <w:lang w:bidi="en-US"/>
        </w:rPr>
        <w:t>person in the accused’s position would have known or foreseen, so “fault lies in the absence of the requisite mental state of care” (</w:t>
      </w:r>
      <w:r w:rsidRPr="005F5731">
        <w:rPr>
          <w:rFonts w:cs="Times New Roman"/>
          <w:i/>
          <w:lang w:bidi="en-US"/>
        </w:rPr>
        <w:t xml:space="preserve">R. </w:t>
      </w:r>
      <w:r w:rsidRPr="005F5731">
        <w:rPr>
          <w:rFonts w:cs="Times New Roman"/>
          <w:i/>
          <w:iCs/>
          <w:lang w:bidi="en-US"/>
        </w:rPr>
        <w:t>v</w:t>
      </w:r>
      <w:r w:rsidRPr="005F5731">
        <w:rPr>
          <w:rFonts w:cs="Times New Roman"/>
          <w:i/>
          <w:lang w:bidi="en-US"/>
        </w:rPr>
        <w:t>. Beatty</w:t>
      </w:r>
      <w:r w:rsidRPr="005F5731">
        <w:rPr>
          <w:rFonts w:cs="Times New Roman"/>
          <w:lang w:bidi="en-US"/>
        </w:rPr>
        <w:t xml:space="preserve">, 2008 SCC 5, [2008] 1 S.C.R. 49, at para. 8). </w:t>
      </w:r>
      <w:r>
        <w:rPr>
          <w:rFonts w:cs="Times New Roman"/>
          <w:lang w:bidi="en-US"/>
        </w:rPr>
        <w:t>The provision</w:t>
      </w:r>
      <w:r w:rsidRPr="005F5731">
        <w:rPr>
          <w:rFonts w:cs="Times New Roman"/>
          <w:lang w:val="en-US" w:bidi="en-US"/>
        </w:rPr>
        <w:t xml:space="preserve"> punishes conduct that is a marked departure from an objectively reasonable standard of care. More specifically, the </w:t>
      </w:r>
      <w:r w:rsidRPr="005F5731">
        <w:rPr>
          <w:rFonts w:cs="Times New Roman"/>
          <w:i/>
          <w:lang w:val="en-US" w:bidi="en-US"/>
        </w:rPr>
        <w:t>mens rea</w:t>
      </w:r>
      <w:r w:rsidRPr="005F5731">
        <w:rPr>
          <w:rFonts w:cs="Times New Roman"/>
          <w:lang w:val="en-US" w:bidi="en-US"/>
        </w:rPr>
        <w:t xml:space="preserve"> requirement for s. 215 is established when the Crown proves that the accused’s conduct constitutes “a marked departure from the conduct of a reasonably prudent parent in circumstances where it was objectively foreseeable that the failure to provide the necessaries of life would lead to a risk of danger to the life, or a risk of permanent endangerment to the health, of the child” </w:t>
      </w:r>
      <w:r>
        <w:rPr>
          <w:rFonts w:cs="Times New Roman"/>
          <w:lang w:val="en-US" w:bidi="en-US"/>
        </w:rPr>
        <w:t>(</w:t>
      </w:r>
      <w:proofErr w:type="spellStart"/>
      <w:r w:rsidRPr="005F5731">
        <w:rPr>
          <w:rFonts w:cs="Times New Roman"/>
          <w:i/>
          <w:lang w:val="en-US" w:bidi="en-US"/>
        </w:rPr>
        <w:t>Naglik</w:t>
      </w:r>
      <w:proofErr w:type="spellEnd"/>
      <w:r>
        <w:rPr>
          <w:rFonts w:cs="Times New Roman"/>
          <w:lang w:val="en-US" w:bidi="en-US"/>
        </w:rPr>
        <w:t>, at p. </w:t>
      </w:r>
      <w:r w:rsidRPr="005F5731">
        <w:rPr>
          <w:rFonts w:cs="Times New Roman"/>
          <w:lang w:val="en-US" w:bidi="en-US"/>
        </w:rPr>
        <w:t xml:space="preserve">143; see also </w:t>
      </w:r>
      <w:r w:rsidRPr="005F5731">
        <w:rPr>
          <w:rFonts w:cs="Times New Roman"/>
          <w:i/>
          <w:lang w:val="en-US" w:bidi="en-US"/>
        </w:rPr>
        <w:t>R. v. J.F.</w:t>
      </w:r>
      <w:r w:rsidRPr="005F5731">
        <w:rPr>
          <w:rFonts w:cs="Times New Roman"/>
          <w:lang w:val="en-US" w:bidi="en-US"/>
        </w:rPr>
        <w:t>, 2008 SCC 60, [2008] 3 S.C.R. 215, at para. 8</w:t>
      </w:r>
      <w:r>
        <w:rPr>
          <w:rFonts w:cs="Times New Roman"/>
          <w:lang w:val="en-US" w:bidi="en-US"/>
        </w:rPr>
        <w:t>)</w:t>
      </w:r>
      <w:r w:rsidRPr="005F5731">
        <w:rPr>
          <w:rFonts w:cs="Times New Roman"/>
          <w:lang w:val="en-US" w:bidi="en-US"/>
        </w:rPr>
        <w:t>.</w:t>
      </w:r>
    </w:p>
    <w:p w:rsidR="00F406B9" w:rsidRPr="005F5731" w:rsidRDefault="00F406B9" w:rsidP="00F406B9">
      <w:pPr>
        <w:pStyle w:val="ParaNoNdepar-AltN"/>
        <w:rPr>
          <w:rFonts w:cs="Times New Roman"/>
        </w:rPr>
      </w:pPr>
      <w:r w:rsidRPr="005F5731">
        <w:rPr>
          <w:rFonts w:cs="Times New Roman"/>
        </w:rPr>
        <w:t xml:space="preserve">In </w:t>
      </w:r>
      <w:r w:rsidRPr="005F5731">
        <w:rPr>
          <w:rFonts w:cs="Times New Roman"/>
          <w:i/>
        </w:rPr>
        <w:t>R. v. Roy</w:t>
      </w:r>
      <w:r w:rsidRPr="005F5731">
        <w:rPr>
          <w:rFonts w:cs="Times New Roman"/>
        </w:rPr>
        <w:t xml:space="preserve">, 2012 SCC 26, </w:t>
      </w:r>
      <w:r w:rsidRPr="005F5731">
        <w:rPr>
          <w:rFonts w:cs="Times New Roman"/>
          <w:lang w:val="en-US"/>
        </w:rPr>
        <w:t xml:space="preserve">[2012] 2 S.C.R. 60, at para. 36, Cromwell J. provided a </w:t>
      </w:r>
      <w:r>
        <w:rPr>
          <w:rFonts w:cs="Times New Roman"/>
          <w:lang w:val="en-US"/>
        </w:rPr>
        <w:t>useful</w:t>
      </w:r>
      <w:r w:rsidRPr="005F5731">
        <w:rPr>
          <w:rFonts w:cs="Times New Roman"/>
          <w:lang w:val="en-US"/>
        </w:rPr>
        <w:t xml:space="preserve"> analytical framework </w:t>
      </w:r>
      <w:r>
        <w:rPr>
          <w:rFonts w:cs="Times New Roman"/>
          <w:lang w:val="en-US"/>
        </w:rPr>
        <w:t>for</w:t>
      </w:r>
      <w:r w:rsidRPr="005F5731">
        <w:rPr>
          <w:rFonts w:cs="Times New Roman"/>
          <w:lang w:val="en-US"/>
        </w:rPr>
        <w:t xml:space="preserve"> assess</w:t>
      </w:r>
      <w:r>
        <w:rPr>
          <w:rFonts w:cs="Times New Roman"/>
          <w:lang w:val="en-US"/>
        </w:rPr>
        <w:t>ing</w:t>
      </w:r>
      <w:r w:rsidRPr="005F5731">
        <w:rPr>
          <w:rFonts w:cs="Times New Roman"/>
          <w:lang w:val="en-US"/>
        </w:rPr>
        <w:t xml:space="preserve"> whether objective </w:t>
      </w:r>
      <w:r w:rsidRPr="005F5731">
        <w:rPr>
          <w:rFonts w:cs="Times New Roman"/>
          <w:i/>
          <w:lang w:val="en-US"/>
        </w:rPr>
        <w:t xml:space="preserve">mens rea </w:t>
      </w:r>
      <w:r w:rsidRPr="005F5731">
        <w:rPr>
          <w:rFonts w:cs="Times New Roman"/>
          <w:lang w:val="en-US"/>
        </w:rPr>
        <w:t>has been made out:</w:t>
      </w:r>
    </w:p>
    <w:p w:rsidR="00F406B9" w:rsidRPr="005F5731" w:rsidRDefault="00F406B9" w:rsidP="00F406B9">
      <w:pPr>
        <w:pStyle w:val="Citation-AltC"/>
      </w:pPr>
      <w:r w:rsidRPr="005F5731">
        <w:t xml:space="preserve">It is helpful to approach the issue by asking two questions. The first is whether, in light of all the relevant evidence, a reasonable person would have foreseen the risk and taken steps to avoid it if possible. If so, the second question is whether the accused’s failure to foresee the risk and take steps to avoid it, if possible, was a </w:t>
      </w:r>
      <w:r w:rsidRPr="005F5731">
        <w:rPr>
          <w:i/>
          <w:iCs/>
        </w:rPr>
        <w:t>marked departure</w:t>
      </w:r>
      <w:r w:rsidRPr="005F5731">
        <w:t xml:space="preserve"> from the standard of care expected of a reasonable person in the accused’s circumstances.</w:t>
      </w:r>
      <w:r>
        <w:t xml:space="preserve"> [Emphasis in original.]</w:t>
      </w:r>
    </w:p>
    <w:p w:rsidR="00F406B9" w:rsidRPr="005F5731" w:rsidRDefault="00F406B9" w:rsidP="00F406B9">
      <w:pPr>
        <w:pStyle w:val="ParaNoNdepar-AltN"/>
        <w:rPr>
          <w:rFonts w:cs="Times New Roman"/>
        </w:rPr>
      </w:pPr>
      <w:r w:rsidRPr="005F5731">
        <w:rPr>
          <w:rFonts w:cs="Times New Roman"/>
        </w:rPr>
        <w:t xml:space="preserve">In this case, the Crown needed to prove beyond a reasonable doubt that Mr. Goforth had the requisite </w:t>
      </w:r>
      <w:r w:rsidRPr="005F5731">
        <w:rPr>
          <w:rFonts w:cs="Times New Roman"/>
          <w:i/>
        </w:rPr>
        <w:t>mens rea</w:t>
      </w:r>
      <w:r w:rsidRPr="005F5731">
        <w:rPr>
          <w:rFonts w:cs="Times New Roman"/>
        </w:rPr>
        <w:t xml:space="preserve"> for the predicate offence </w:t>
      </w:r>
      <w:r>
        <w:rPr>
          <w:rFonts w:cs="Times New Roman"/>
        </w:rPr>
        <w:t>under</w:t>
      </w:r>
      <w:r w:rsidRPr="005F5731">
        <w:rPr>
          <w:rFonts w:cs="Times New Roman"/>
        </w:rPr>
        <w:t xml:space="preserve"> s. 215 as well </w:t>
      </w:r>
      <w:r w:rsidRPr="005F5731">
        <w:rPr>
          <w:rFonts w:cs="Times New Roman"/>
        </w:rPr>
        <w:lastRenderedPageBreak/>
        <w:t xml:space="preserve">as the requisite </w:t>
      </w:r>
      <w:r w:rsidRPr="005F5731">
        <w:rPr>
          <w:rFonts w:cs="Times New Roman"/>
          <w:i/>
        </w:rPr>
        <w:t>mens rea</w:t>
      </w:r>
      <w:r w:rsidRPr="005F5731">
        <w:rPr>
          <w:rFonts w:cs="Times New Roman"/>
        </w:rPr>
        <w:t xml:space="preserve"> for the offences of manslaughter and unlawfully causing bodily harm.</w:t>
      </w:r>
    </w:p>
    <w:p w:rsidR="00F406B9" w:rsidRPr="005F5731" w:rsidRDefault="00F406B9" w:rsidP="00F406B9">
      <w:pPr>
        <w:pStyle w:val="ParaNoNdepar-AltN"/>
        <w:rPr>
          <w:rFonts w:cs="Times New Roman"/>
          <w:lang w:val="en-US"/>
        </w:rPr>
      </w:pPr>
      <w:r w:rsidRPr="005F5731">
        <w:rPr>
          <w:rFonts w:cs="Times New Roman"/>
          <w:lang w:val="en-US"/>
        </w:rPr>
        <w:t xml:space="preserve">In order to satisfy the </w:t>
      </w:r>
      <w:r w:rsidRPr="005F5731">
        <w:rPr>
          <w:rFonts w:cs="Times New Roman"/>
          <w:i/>
          <w:lang w:val="en-US"/>
        </w:rPr>
        <w:t>mens rea</w:t>
      </w:r>
      <w:r w:rsidRPr="005F5731">
        <w:rPr>
          <w:rFonts w:cs="Times New Roman"/>
          <w:lang w:val="en-US"/>
        </w:rPr>
        <w:t xml:space="preserve"> requirement for s. 215, the Crown needed to prove</w:t>
      </w:r>
      <w:r>
        <w:rPr>
          <w:rFonts w:cs="Times New Roman"/>
          <w:lang w:val="en-US"/>
        </w:rPr>
        <w:t xml:space="preserve"> that (</w:t>
      </w:r>
      <w:r w:rsidRPr="005F5731">
        <w:rPr>
          <w:rFonts w:cs="Times New Roman"/>
          <w:lang w:val="en-US"/>
        </w:rPr>
        <w:t>a) it was objectively foreseeable,</w:t>
      </w:r>
      <w:r>
        <w:rPr>
          <w:rFonts w:cs="Times New Roman"/>
          <w:lang w:val="en-US"/>
        </w:rPr>
        <w:t xml:space="preserve"> to a reasonable </w:t>
      </w:r>
      <w:r w:rsidRPr="005F5731">
        <w:rPr>
          <w:rFonts w:cs="Times New Roman"/>
          <w:lang w:val="en-US"/>
        </w:rPr>
        <w:t xml:space="preserve">person in the circumstances of the accused, that the failure to provide food, fluids, or medical care would lead to a risk of danger to the life, or </w:t>
      </w:r>
      <w:r>
        <w:rPr>
          <w:rFonts w:cs="Times New Roman"/>
          <w:lang w:val="en-US"/>
        </w:rPr>
        <w:t xml:space="preserve">a </w:t>
      </w:r>
      <w:r w:rsidRPr="005F5731">
        <w:rPr>
          <w:rFonts w:cs="Times New Roman"/>
          <w:lang w:val="en-US"/>
        </w:rPr>
        <w:t>risk of permanent endangerment to the health, of the child</w:t>
      </w:r>
      <w:r>
        <w:rPr>
          <w:rFonts w:cs="Times New Roman"/>
          <w:lang w:val="en-US"/>
        </w:rPr>
        <w:t>ren</w:t>
      </w:r>
      <w:r w:rsidRPr="005F5731">
        <w:rPr>
          <w:rFonts w:cs="Times New Roman"/>
          <w:lang w:val="en-US"/>
        </w:rPr>
        <w:t>; and</w:t>
      </w:r>
      <w:r>
        <w:rPr>
          <w:rFonts w:cs="Times New Roman"/>
          <w:lang w:val="en-US"/>
        </w:rPr>
        <w:t xml:space="preserve"> that</w:t>
      </w:r>
      <w:r w:rsidRPr="005F5731">
        <w:rPr>
          <w:rFonts w:cs="Times New Roman"/>
          <w:lang w:val="en-US"/>
        </w:rPr>
        <w:t xml:space="preserve"> </w:t>
      </w:r>
      <w:r>
        <w:rPr>
          <w:rFonts w:cs="Times New Roman"/>
          <w:lang w:val="en-US"/>
        </w:rPr>
        <w:t>(</w:t>
      </w:r>
      <w:r w:rsidRPr="005F5731">
        <w:rPr>
          <w:rFonts w:cs="Times New Roman"/>
          <w:lang w:val="en-US"/>
        </w:rPr>
        <w:t xml:space="preserve">b) the accused’s conduct represented a marked departure </w:t>
      </w:r>
      <w:r>
        <w:rPr>
          <w:rFonts w:cs="Times New Roman"/>
          <w:lang w:val="en-US"/>
        </w:rPr>
        <w:t>from</w:t>
      </w:r>
      <w:r w:rsidRPr="005F5731">
        <w:rPr>
          <w:rFonts w:cs="Times New Roman"/>
          <w:lang w:val="en-US"/>
        </w:rPr>
        <w:t xml:space="preserve"> the conduct expected </w:t>
      </w:r>
      <w:r>
        <w:rPr>
          <w:rFonts w:cs="Times New Roman"/>
          <w:lang w:val="en-US"/>
        </w:rPr>
        <w:t>of</w:t>
      </w:r>
      <w:r w:rsidRPr="005F5731">
        <w:rPr>
          <w:rFonts w:cs="Times New Roman"/>
          <w:lang w:val="en-US"/>
        </w:rPr>
        <w:t xml:space="preserve"> a reasonabl</w:t>
      </w:r>
      <w:r>
        <w:rPr>
          <w:rFonts w:cs="Times New Roman"/>
          <w:lang w:val="en-US"/>
        </w:rPr>
        <w:t>y prudent parent</w:t>
      </w:r>
      <w:r w:rsidRPr="005F5731">
        <w:rPr>
          <w:rFonts w:cs="Times New Roman"/>
          <w:lang w:val="en-US"/>
        </w:rPr>
        <w:t xml:space="preserve">, foster parent, guardian, or head of </w:t>
      </w:r>
      <w:r>
        <w:rPr>
          <w:rFonts w:cs="Times New Roman"/>
          <w:lang w:val="en-US"/>
        </w:rPr>
        <w:t xml:space="preserve">a </w:t>
      </w:r>
      <w:r w:rsidRPr="005F5731">
        <w:rPr>
          <w:rFonts w:cs="Times New Roman"/>
          <w:lang w:val="en-US"/>
        </w:rPr>
        <w:t>family in the circumstances.</w:t>
      </w:r>
    </w:p>
    <w:p w:rsidR="00F406B9" w:rsidRPr="005F5731" w:rsidRDefault="00F406B9" w:rsidP="00F406B9">
      <w:pPr>
        <w:pStyle w:val="ParaNoNdepar-AltN"/>
        <w:rPr>
          <w:rFonts w:cs="Times New Roman"/>
          <w:lang w:val="en-US"/>
        </w:rPr>
      </w:pPr>
      <w:r w:rsidRPr="005F5731">
        <w:rPr>
          <w:rFonts w:cs="Times New Roman"/>
          <w:lang w:val="en-US"/>
        </w:rPr>
        <w:t xml:space="preserve">In order to satisfy the </w:t>
      </w:r>
      <w:r w:rsidRPr="005F5731">
        <w:rPr>
          <w:rFonts w:cs="Times New Roman"/>
          <w:i/>
          <w:lang w:val="en-US"/>
        </w:rPr>
        <w:t xml:space="preserve">mens rea </w:t>
      </w:r>
      <w:r w:rsidRPr="005F5731">
        <w:rPr>
          <w:rFonts w:cs="Times New Roman"/>
          <w:lang w:val="en-US"/>
        </w:rPr>
        <w:t xml:space="preserve">requirement for either manslaughter or unlawfully causing bodily harm, the Crown needed to prove — in addition to establishing the </w:t>
      </w:r>
      <w:r w:rsidRPr="005F5731">
        <w:rPr>
          <w:rFonts w:cs="Times New Roman"/>
          <w:i/>
          <w:lang w:val="en-US"/>
        </w:rPr>
        <w:t>mens rea</w:t>
      </w:r>
      <w:r w:rsidRPr="005F5731">
        <w:rPr>
          <w:rFonts w:cs="Times New Roman"/>
          <w:lang w:val="en-US"/>
        </w:rPr>
        <w:t xml:space="preserve"> for s. 215 — that it was objectively foreseeable</w:t>
      </w:r>
      <w:r>
        <w:rPr>
          <w:rFonts w:cs="Times New Roman"/>
          <w:lang w:val="en-US"/>
        </w:rPr>
        <w:t>,</w:t>
      </w:r>
      <w:r w:rsidRPr="005F5731">
        <w:rPr>
          <w:rFonts w:cs="Times New Roman"/>
          <w:lang w:val="en-US"/>
        </w:rPr>
        <w:t xml:space="preserve"> to a </w:t>
      </w:r>
      <w:r>
        <w:rPr>
          <w:rFonts w:cs="Times New Roman"/>
          <w:lang w:val="en-US"/>
        </w:rPr>
        <w:t xml:space="preserve">reasonable </w:t>
      </w:r>
      <w:r w:rsidRPr="005F5731">
        <w:rPr>
          <w:rFonts w:cs="Times New Roman"/>
          <w:lang w:val="en-US"/>
        </w:rPr>
        <w:t xml:space="preserve">person in the circumstances </w:t>
      </w:r>
      <w:r>
        <w:rPr>
          <w:rFonts w:cs="Times New Roman"/>
          <w:lang w:val="en-US"/>
        </w:rPr>
        <w:t xml:space="preserve">of the accused, </w:t>
      </w:r>
      <w:r w:rsidRPr="005F5731">
        <w:rPr>
          <w:rFonts w:cs="Times New Roman"/>
          <w:lang w:val="en-US"/>
        </w:rPr>
        <w:t xml:space="preserve">that the failure to provide necessaries of life to the children would lead to </w:t>
      </w:r>
      <w:r>
        <w:rPr>
          <w:rFonts w:cs="Times New Roman"/>
          <w:lang w:val="en-US"/>
        </w:rPr>
        <w:t xml:space="preserve">a </w:t>
      </w:r>
      <w:r w:rsidRPr="005F5731">
        <w:rPr>
          <w:rFonts w:cs="Times New Roman"/>
          <w:lang w:val="en-US"/>
        </w:rPr>
        <w:t>risk of bodily harm which was</w:t>
      </w:r>
      <w:r>
        <w:rPr>
          <w:rFonts w:cs="Times New Roman"/>
          <w:lang w:val="en-US"/>
        </w:rPr>
        <w:t xml:space="preserve"> neither trivial nor transitory</w:t>
      </w:r>
      <w:r w:rsidRPr="005F5731">
        <w:rPr>
          <w:rFonts w:cs="Times New Roman"/>
          <w:lang w:val="en-US"/>
        </w:rPr>
        <w:t xml:space="preserve"> </w:t>
      </w:r>
      <w:r>
        <w:rPr>
          <w:rFonts w:cs="Times New Roman"/>
          <w:lang w:val="en-US"/>
        </w:rPr>
        <w:t>(</w:t>
      </w:r>
      <w:r w:rsidRPr="005F5731">
        <w:rPr>
          <w:rFonts w:cs="Times New Roman"/>
          <w:i/>
          <w:lang w:val="en-US"/>
        </w:rPr>
        <w:t>Creighton</w:t>
      </w:r>
      <w:r w:rsidRPr="005F5731">
        <w:rPr>
          <w:rFonts w:cs="Times New Roman"/>
          <w:lang w:val="en-US"/>
        </w:rPr>
        <w:t>, at p</w:t>
      </w:r>
      <w:r>
        <w:rPr>
          <w:rFonts w:cs="Times New Roman"/>
          <w:lang w:val="en-US"/>
        </w:rPr>
        <w:t>p</w:t>
      </w:r>
      <w:r w:rsidRPr="005F5731">
        <w:rPr>
          <w:rFonts w:cs="Times New Roman"/>
          <w:lang w:val="en-US"/>
        </w:rPr>
        <w:t>. 44</w:t>
      </w:r>
      <w:r w:rsidRPr="005F5731">
        <w:rPr>
          <w:rFonts w:cs="Times New Roman"/>
          <w:lang w:val="en-US"/>
        </w:rPr>
        <w:noBreakHyphen/>
        <w:t>45</w:t>
      </w:r>
      <w:r>
        <w:rPr>
          <w:rFonts w:cs="Times New Roman"/>
          <w:lang w:val="en-US"/>
        </w:rPr>
        <w:t>)</w:t>
      </w:r>
      <w:r w:rsidRPr="005F5731">
        <w:rPr>
          <w:rFonts w:cs="Times New Roman"/>
          <w:lang w:val="en-US"/>
        </w:rPr>
        <w:t xml:space="preserve">. This is a lower foreseeability standard than what is required for s. 215, as the foreseeability of death or </w:t>
      </w:r>
      <w:r>
        <w:rPr>
          <w:rFonts w:cs="Times New Roman"/>
          <w:lang w:val="en-US"/>
        </w:rPr>
        <w:t xml:space="preserve">of </w:t>
      </w:r>
      <w:r w:rsidRPr="005F5731">
        <w:rPr>
          <w:rFonts w:cs="Times New Roman"/>
          <w:lang w:val="en-US"/>
        </w:rPr>
        <w:t xml:space="preserve">permanent endangerment </w:t>
      </w:r>
      <w:r>
        <w:rPr>
          <w:rFonts w:cs="Times New Roman"/>
          <w:lang w:val="en-US"/>
        </w:rPr>
        <w:t>to</w:t>
      </w:r>
      <w:r w:rsidRPr="005F5731">
        <w:rPr>
          <w:rFonts w:cs="Times New Roman"/>
          <w:lang w:val="en-US"/>
        </w:rPr>
        <w:t xml:space="preserve"> health is not required. Therefore, when </w:t>
      </w:r>
      <w:r>
        <w:rPr>
          <w:rFonts w:cs="Times New Roman"/>
          <w:lang w:val="en-US"/>
        </w:rPr>
        <w:t xml:space="preserve">the offence under </w:t>
      </w:r>
      <w:r w:rsidRPr="005F5731">
        <w:rPr>
          <w:rFonts w:cs="Times New Roman"/>
          <w:lang w:val="en-US"/>
        </w:rPr>
        <w:t xml:space="preserve">s. 215 is the predicate offence for either manslaughter or unlawfully causing bodily harm, if the Crown proves the requisite </w:t>
      </w:r>
      <w:r w:rsidRPr="005F5731">
        <w:rPr>
          <w:rFonts w:cs="Times New Roman"/>
          <w:i/>
          <w:lang w:val="en-US"/>
        </w:rPr>
        <w:t xml:space="preserve">mens rea </w:t>
      </w:r>
      <w:r w:rsidRPr="005F5731">
        <w:rPr>
          <w:rFonts w:cs="Times New Roman"/>
          <w:lang w:val="en-US"/>
        </w:rPr>
        <w:t xml:space="preserve">requirement for s. 215, then, by necessary implication, the additional </w:t>
      </w:r>
      <w:r w:rsidRPr="005F5731">
        <w:rPr>
          <w:rFonts w:cs="Times New Roman"/>
          <w:i/>
          <w:lang w:val="en-US"/>
        </w:rPr>
        <w:t>mens rea</w:t>
      </w:r>
      <w:r w:rsidRPr="005F5731">
        <w:rPr>
          <w:rFonts w:cs="Times New Roman"/>
          <w:lang w:val="en-US"/>
        </w:rPr>
        <w:t xml:space="preserve"> requirement for manslaughter or unlawfully causing bodily harm will be satisfied.</w:t>
      </w:r>
    </w:p>
    <w:p w:rsidR="00F406B9" w:rsidRPr="005F5731" w:rsidRDefault="00F406B9" w:rsidP="00F406B9">
      <w:pPr>
        <w:pStyle w:val="Title3LevelTitre3Niveau"/>
        <w:rPr>
          <w:rFonts w:cs="Times New Roman"/>
        </w:rPr>
      </w:pPr>
      <w:r w:rsidRPr="005F5731">
        <w:rPr>
          <w:rFonts w:cs="Times New Roman"/>
        </w:rPr>
        <w:lastRenderedPageBreak/>
        <w:t xml:space="preserve">The Charge Functionally Conveyed the </w:t>
      </w:r>
      <w:r w:rsidRPr="005F5731">
        <w:rPr>
          <w:rFonts w:cs="Times New Roman"/>
          <w:i/>
        </w:rPr>
        <w:t xml:space="preserve">Mens Rea </w:t>
      </w:r>
      <w:r w:rsidRPr="005F5731">
        <w:rPr>
          <w:rFonts w:cs="Times New Roman"/>
        </w:rPr>
        <w:t>Requirements</w:t>
      </w:r>
    </w:p>
    <w:p w:rsidR="00F406B9" w:rsidRPr="005F5731" w:rsidRDefault="00F406B9" w:rsidP="00F406B9">
      <w:pPr>
        <w:pStyle w:val="ParaNoNdepar-AltN"/>
        <w:rPr>
          <w:rFonts w:cs="Times New Roman"/>
        </w:rPr>
      </w:pPr>
      <w:r w:rsidRPr="005F5731">
        <w:rPr>
          <w:rFonts w:cs="Times New Roman"/>
        </w:rPr>
        <w:t xml:space="preserve">The majority </w:t>
      </w:r>
      <w:r>
        <w:rPr>
          <w:rFonts w:cs="Times New Roman"/>
        </w:rPr>
        <w:t xml:space="preserve">of the Court of Appeal </w:t>
      </w:r>
      <w:r w:rsidRPr="005F5731">
        <w:rPr>
          <w:rFonts w:cs="Times New Roman"/>
        </w:rPr>
        <w:t xml:space="preserve">concluded that the following instruction could have confused the jury about the appropriate standard for </w:t>
      </w:r>
      <w:r w:rsidRPr="005F5731">
        <w:rPr>
          <w:rFonts w:cs="Times New Roman"/>
          <w:i/>
        </w:rPr>
        <w:t>mens rea</w:t>
      </w:r>
      <w:r w:rsidRPr="005F5731">
        <w:rPr>
          <w:rFonts w:cs="Times New Roman"/>
        </w:rPr>
        <w:t xml:space="preserve">: </w:t>
      </w:r>
    </w:p>
    <w:p w:rsidR="00F406B9" w:rsidRDefault="00F406B9" w:rsidP="00F406B9">
      <w:pPr>
        <w:pStyle w:val="Citation-AltC"/>
        <w:ind w:firstLine="274"/>
        <w:rPr>
          <w:lang w:val="en-US"/>
        </w:rPr>
      </w:pPr>
      <w:r w:rsidRPr="005F5731">
        <w:rPr>
          <w:lang w:val="en-US"/>
        </w:rPr>
        <w:t xml:space="preserve">The Crown must establish beyond a reasonable doubt the essential elements of an offence under section 215(2), its external circumstances and the mental or fault element. The accused’s conduct must also constitute a marked departure from that of a reasonable person in the same circumstances. </w:t>
      </w:r>
      <w:r w:rsidRPr="005F5731">
        <w:rPr>
          <w:u w:val="single"/>
          <w:lang w:val="en-US"/>
        </w:rPr>
        <w:t>Further, the Crown must establish beyond a reasonable doubt that a reasonable person would foresee the risk of bodily harm, beyond the trivial or transitory, in the context of dangerous conduct.</w:t>
      </w:r>
      <w:r w:rsidRPr="005F5731">
        <w:rPr>
          <w:lang w:val="en-US"/>
        </w:rPr>
        <w:t xml:space="preserve"> [Emphasis added.]</w:t>
      </w:r>
    </w:p>
    <w:p w:rsidR="00F406B9" w:rsidRDefault="00F406B9" w:rsidP="00F406B9">
      <w:pPr>
        <w:pStyle w:val="Citation-AltC"/>
        <w:ind w:hanging="32"/>
        <w:rPr>
          <w:lang w:val="en-US"/>
        </w:rPr>
      </w:pPr>
    </w:p>
    <w:p w:rsidR="00F406B9" w:rsidRPr="005F5731" w:rsidRDefault="00F406B9" w:rsidP="00F406B9">
      <w:pPr>
        <w:pStyle w:val="Citation-AltC"/>
        <w:ind w:hanging="32"/>
        <w:rPr>
          <w:lang w:val="en-US"/>
        </w:rPr>
      </w:pPr>
      <w:r>
        <w:rPr>
          <w:lang w:val="en-US"/>
        </w:rPr>
        <w:t>(A.R., vol. I, at p. 154)</w:t>
      </w:r>
    </w:p>
    <w:p w:rsidR="00F406B9" w:rsidRPr="005F5731" w:rsidRDefault="00F406B9" w:rsidP="00F406B9">
      <w:pPr>
        <w:pStyle w:val="ParaNoNdepar-AltN"/>
        <w:numPr>
          <w:ilvl w:val="0"/>
          <w:numId w:val="0"/>
        </w:numPr>
        <w:rPr>
          <w:rFonts w:eastAsia="Times New Roman" w:cs="Times New Roman"/>
          <w:lang w:val="en-US"/>
        </w:rPr>
      </w:pPr>
      <w:r w:rsidRPr="005F5731">
        <w:rPr>
          <w:rFonts w:eastAsia="Times New Roman" w:cs="Times New Roman"/>
          <w:lang w:val="en-US"/>
        </w:rPr>
        <w:t xml:space="preserve">This instruction was repeated numerous times in the jury charge, in relation to both counts of the indictment, with </w:t>
      </w:r>
      <w:r>
        <w:rPr>
          <w:rFonts w:eastAsia="Times New Roman" w:cs="Times New Roman"/>
          <w:lang w:val="en-US"/>
        </w:rPr>
        <w:t xml:space="preserve">slight variations (see, </w:t>
      </w:r>
      <w:r w:rsidRPr="005F5731">
        <w:rPr>
          <w:rFonts w:eastAsia="Times New Roman" w:cs="Times New Roman"/>
          <w:lang w:val="en-US"/>
        </w:rPr>
        <w:t>e.g.</w:t>
      </w:r>
      <w:r>
        <w:rPr>
          <w:rFonts w:eastAsia="Times New Roman" w:cs="Times New Roman"/>
          <w:lang w:val="en-US"/>
        </w:rPr>
        <w:t>,</w:t>
      </w:r>
      <w:r w:rsidRPr="005F5731">
        <w:rPr>
          <w:rFonts w:eastAsia="Times New Roman" w:cs="Times New Roman"/>
          <w:lang w:val="en-US"/>
        </w:rPr>
        <w:t xml:space="preserve"> A.R.,</w:t>
      </w:r>
      <w:r>
        <w:rPr>
          <w:rFonts w:eastAsia="Times New Roman" w:cs="Times New Roman"/>
          <w:lang w:val="en-US"/>
        </w:rPr>
        <w:t xml:space="preserve"> v</w:t>
      </w:r>
      <w:r w:rsidRPr="005F5731">
        <w:rPr>
          <w:rFonts w:eastAsia="Times New Roman" w:cs="Times New Roman"/>
          <w:lang w:val="en-US"/>
        </w:rPr>
        <w:t>ol</w:t>
      </w:r>
      <w:r>
        <w:rPr>
          <w:rFonts w:eastAsia="Times New Roman" w:cs="Times New Roman"/>
          <w:lang w:val="en-US"/>
        </w:rPr>
        <w:t>. I</w:t>
      </w:r>
      <w:r w:rsidRPr="005F5731">
        <w:rPr>
          <w:rFonts w:eastAsia="Times New Roman" w:cs="Times New Roman"/>
          <w:lang w:val="en-US"/>
        </w:rPr>
        <w:t xml:space="preserve">, </w:t>
      </w:r>
      <w:r>
        <w:rPr>
          <w:rFonts w:eastAsia="Times New Roman" w:cs="Times New Roman"/>
          <w:lang w:val="en-US"/>
        </w:rPr>
        <w:t>at p</w:t>
      </w:r>
      <w:r w:rsidRPr="005F5731">
        <w:rPr>
          <w:rFonts w:eastAsia="Times New Roman" w:cs="Times New Roman"/>
          <w:lang w:val="en-US"/>
        </w:rPr>
        <w:t>p. </w:t>
      </w:r>
      <w:r>
        <w:rPr>
          <w:rFonts w:eastAsia="Times New Roman" w:cs="Times New Roman"/>
          <w:lang w:val="en-US"/>
        </w:rPr>
        <w:t>1</w:t>
      </w:r>
      <w:r w:rsidRPr="005F5731">
        <w:rPr>
          <w:rFonts w:eastAsia="Times New Roman" w:cs="Times New Roman"/>
          <w:lang w:val="en-US"/>
        </w:rPr>
        <w:t>73</w:t>
      </w:r>
      <w:r w:rsidRPr="005F5731">
        <w:rPr>
          <w:rFonts w:eastAsia="Times New Roman" w:cs="Times New Roman"/>
          <w:lang w:val="en-US"/>
        </w:rPr>
        <w:noBreakHyphen/>
      </w:r>
      <w:r>
        <w:rPr>
          <w:rFonts w:eastAsia="Times New Roman" w:cs="Times New Roman"/>
          <w:lang w:val="en-US"/>
        </w:rPr>
        <w:t>74</w:t>
      </w:r>
      <w:r w:rsidRPr="005F5731">
        <w:rPr>
          <w:rFonts w:eastAsia="Times New Roman" w:cs="Times New Roman"/>
          <w:lang w:val="en-US"/>
        </w:rPr>
        <w:t xml:space="preserve">, </w:t>
      </w:r>
      <w:r>
        <w:rPr>
          <w:rFonts w:eastAsia="Times New Roman" w:cs="Times New Roman"/>
          <w:lang w:val="en-US"/>
        </w:rPr>
        <w:t>175, 252 and 254</w:t>
      </w:r>
      <w:r>
        <w:rPr>
          <w:rFonts w:eastAsia="Times New Roman" w:cs="Times New Roman"/>
          <w:lang w:val="en-US"/>
        </w:rPr>
        <w:noBreakHyphen/>
        <w:t>55)</w:t>
      </w:r>
      <w:r w:rsidRPr="005F5731">
        <w:rPr>
          <w:rFonts w:eastAsia="Times New Roman" w:cs="Times New Roman"/>
          <w:lang w:val="en-US"/>
        </w:rPr>
        <w:t>.</w:t>
      </w:r>
    </w:p>
    <w:p w:rsidR="00F406B9" w:rsidRPr="005F5731" w:rsidRDefault="00F406B9" w:rsidP="00F406B9">
      <w:pPr>
        <w:pStyle w:val="ParaNoNdepar-AltN"/>
        <w:rPr>
          <w:rFonts w:eastAsia="Times New Roman" w:cs="Times New Roman"/>
          <w:lang w:val="en-US"/>
        </w:rPr>
      </w:pPr>
      <w:r w:rsidRPr="005F5731">
        <w:rPr>
          <w:rFonts w:cs="Times New Roman"/>
        </w:rPr>
        <w:t xml:space="preserve">In </w:t>
      </w:r>
      <w:r>
        <w:rPr>
          <w:rFonts w:cs="Times New Roman"/>
        </w:rPr>
        <w:t>the assessment of</w:t>
      </w:r>
      <w:r w:rsidRPr="005F5731">
        <w:rPr>
          <w:rFonts w:cs="Times New Roman"/>
        </w:rPr>
        <w:t xml:space="preserve"> whether the jury would have been confused about the appropriate foreseeability standard, it is important to note that the trial judge also clearly and correctly summarized the required </w:t>
      </w:r>
      <w:r w:rsidRPr="005F5731">
        <w:rPr>
          <w:rFonts w:cs="Times New Roman"/>
          <w:i/>
        </w:rPr>
        <w:t>mens rea</w:t>
      </w:r>
      <w:r w:rsidRPr="005F5731">
        <w:rPr>
          <w:rFonts w:cs="Times New Roman"/>
        </w:rPr>
        <w:t xml:space="preserve"> for s. 215 in a different </w:t>
      </w:r>
      <w:r>
        <w:rPr>
          <w:rFonts w:cs="Times New Roman"/>
        </w:rPr>
        <w:t>portion</w:t>
      </w:r>
      <w:r w:rsidRPr="005F5731">
        <w:rPr>
          <w:rFonts w:cs="Times New Roman"/>
        </w:rPr>
        <w:t xml:space="preserve"> of the charge. When specifically discussing whether Mr. Goforth had the requisite </w:t>
      </w:r>
      <w:r w:rsidRPr="005F5731">
        <w:rPr>
          <w:rFonts w:cs="Times New Roman"/>
          <w:i/>
        </w:rPr>
        <w:t>mens rea</w:t>
      </w:r>
      <w:r w:rsidRPr="005F5731">
        <w:rPr>
          <w:rFonts w:cs="Times New Roman"/>
        </w:rPr>
        <w:t xml:space="preserve"> for s. 215 in relation to the older child, the trial judge instructed </w:t>
      </w:r>
      <w:r>
        <w:rPr>
          <w:rFonts w:cs="Times New Roman"/>
        </w:rPr>
        <w:t xml:space="preserve">the jury </w:t>
      </w:r>
      <w:r w:rsidRPr="005F5731">
        <w:rPr>
          <w:rFonts w:cs="Times New Roman"/>
        </w:rPr>
        <w:t>as follows:</w:t>
      </w:r>
    </w:p>
    <w:p w:rsidR="00F406B9" w:rsidRPr="005F5731" w:rsidRDefault="00F406B9" w:rsidP="00F406B9">
      <w:pPr>
        <w:pStyle w:val="Citation-AltC"/>
        <w:ind w:firstLine="274"/>
        <w:rPr>
          <w:lang w:val="en-US"/>
        </w:rPr>
      </w:pPr>
      <w:r w:rsidRPr="005F5731">
        <w:rPr>
          <w:lang w:val="en-US"/>
        </w:rPr>
        <w:t xml:space="preserve">Did Kevin Goforth’s failure to provide the necessaries of life to [the older child] represent a marked departure from the standard of conduct of a reasonably prudent person in the circumstances where it is objectively foreseeable that the failure to provide food or fluids or the failure to seek </w:t>
      </w:r>
      <w:r w:rsidRPr="005F5731">
        <w:rPr>
          <w:lang w:val="en-US"/>
        </w:rPr>
        <w:lastRenderedPageBreak/>
        <w:t>medical attention would lead to a risk of danger to life or a risk of permanent endangerment to the child’s health?</w:t>
      </w:r>
    </w:p>
    <w:p w:rsidR="00F406B9" w:rsidRPr="005F5731" w:rsidRDefault="00F406B9" w:rsidP="00F406B9">
      <w:pPr>
        <w:pStyle w:val="Citation-AltC"/>
        <w:rPr>
          <w:lang w:val="en-US"/>
        </w:rPr>
      </w:pPr>
    </w:p>
    <w:p w:rsidR="00F406B9" w:rsidRPr="005F5731" w:rsidRDefault="00F406B9" w:rsidP="00F406B9">
      <w:pPr>
        <w:pStyle w:val="Citation-AltC"/>
        <w:ind w:firstLine="274"/>
        <w:rPr>
          <w:lang w:val="en-US"/>
        </w:rPr>
      </w:pPr>
      <w:r w:rsidRPr="005F5731">
        <w:rPr>
          <w:lang w:val="en-US"/>
        </w:rPr>
        <w:t>These further considerations can be transformed into questions for you to consider.</w:t>
      </w:r>
    </w:p>
    <w:p w:rsidR="00F406B9" w:rsidRPr="005F5731" w:rsidRDefault="00F406B9" w:rsidP="00F406B9">
      <w:pPr>
        <w:pStyle w:val="Citation-AltC"/>
        <w:rPr>
          <w:lang w:val="en-US"/>
        </w:rPr>
      </w:pPr>
    </w:p>
    <w:p w:rsidR="00F406B9" w:rsidRPr="005F5731" w:rsidRDefault="00F406B9" w:rsidP="00F406B9">
      <w:pPr>
        <w:pStyle w:val="Citation-AltC"/>
        <w:rPr>
          <w:lang w:val="en-US"/>
        </w:rPr>
      </w:pPr>
      <w:r w:rsidRPr="005F5731">
        <w:rPr>
          <w:lang w:val="en-US"/>
        </w:rPr>
        <w:t>A)</w:t>
      </w:r>
      <w:r w:rsidRPr="005F5731">
        <w:rPr>
          <w:lang w:val="en-US"/>
        </w:rPr>
        <w:tab/>
        <w:t xml:space="preserve">Was it objectively foreseeable that the failure to provide [the older child] with food or fluids or the failure to seek medical attention for [the older child] would lead to a risk of danger to life or a risk of permanent endangerment to [the older child’s] health? </w:t>
      </w:r>
    </w:p>
    <w:p w:rsidR="00F406B9" w:rsidRPr="005F5731" w:rsidRDefault="00F406B9" w:rsidP="00F406B9">
      <w:pPr>
        <w:pStyle w:val="Citation-AltC"/>
        <w:rPr>
          <w:lang w:val="en-US"/>
        </w:rPr>
      </w:pPr>
    </w:p>
    <w:p w:rsidR="00F406B9" w:rsidRDefault="00F406B9" w:rsidP="00F406B9">
      <w:pPr>
        <w:pStyle w:val="Citation-AltC"/>
        <w:rPr>
          <w:lang w:val="en-US"/>
        </w:rPr>
      </w:pPr>
      <w:r w:rsidRPr="005F5731">
        <w:rPr>
          <w:lang w:val="en-US"/>
        </w:rPr>
        <w:t>B)</w:t>
      </w:r>
      <w:r w:rsidRPr="005F5731">
        <w:rPr>
          <w:lang w:val="en-US"/>
        </w:rPr>
        <w:tab/>
        <w:t xml:space="preserve">If so, did Kevin’s failure to provide [the older child] with food or fluids or to seek medical attention represent a marked departure from the standard of conduct of a reasonably prudent person in the circumstances? </w:t>
      </w:r>
    </w:p>
    <w:p w:rsidR="00F406B9" w:rsidRDefault="00F406B9" w:rsidP="00F406B9">
      <w:pPr>
        <w:pStyle w:val="Citation-AltC"/>
        <w:rPr>
          <w:lang w:val="en-US"/>
        </w:rPr>
      </w:pPr>
    </w:p>
    <w:p w:rsidR="00F406B9" w:rsidRPr="005F5731" w:rsidRDefault="00F406B9" w:rsidP="00F406B9">
      <w:pPr>
        <w:pStyle w:val="Citation-AltC"/>
        <w:rPr>
          <w:lang w:val="en-US"/>
        </w:rPr>
      </w:pPr>
      <w:r>
        <w:rPr>
          <w:lang w:val="en-US"/>
        </w:rPr>
        <w:t>(</w:t>
      </w:r>
      <w:r w:rsidRPr="005F5731">
        <w:rPr>
          <w:lang w:val="en-US"/>
        </w:rPr>
        <w:t>A.R.</w:t>
      </w:r>
      <w:r>
        <w:rPr>
          <w:lang w:val="en-US"/>
        </w:rPr>
        <w:t xml:space="preserve">, vol. I, at </w:t>
      </w:r>
      <w:r w:rsidRPr="005F5731">
        <w:rPr>
          <w:lang w:val="en-US"/>
        </w:rPr>
        <w:t>p. 1</w:t>
      </w:r>
      <w:r>
        <w:rPr>
          <w:lang w:val="en-US"/>
        </w:rPr>
        <w:t>72)</w:t>
      </w:r>
    </w:p>
    <w:p w:rsidR="00F406B9" w:rsidRPr="005F5731" w:rsidRDefault="00F406B9" w:rsidP="00F406B9">
      <w:pPr>
        <w:pStyle w:val="ParaNoNdepar-AltN"/>
        <w:numPr>
          <w:ilvl w:val="0"/>
          <w:numId w:val="0"/>
        </w:numPr>
        <w:rPr>
          <w:rFonts w:eastAsia="Times New Roman" w:cs="Times New Roman"/>
          <w:lang w:val="en-US"/>
        </w:rPr>
      </w:pPr>
      <w:r w:rsidRPr="005F5731">
        <w:rPr>
          <w:rFonts w:eastAsia="Times New Roman" w:cs="Times New Roman"/>
          <w:lang w:val="en-US"/>
        </w:rPr>
        <w:t xml:space="preserve">A similar instruction — albeit more abridged — was provided about whether Mr. Goforth </w:t>
      </w:r>
      <w:r>
        <w:rPr>
          <w:rFonts w:eastAsia="Times New Roman" w:cs="Times New Roman"/>
          <w:lang w:val="en-US"/>
        </w:rPr>
        <w:t>had</w:t>
      </w:r>
      <w:r w:rsidRPr="005F5731">
        <w:rPr>
          <w:rFonts w:eastAsia="Times New Roman" w:cs="Times New Roman"/>
          <w:lang w:val="en-US"/>
        </w:rPr>
        <w:t xml:space="preserve"> the requisite </w:t>
      </w:r>
      <w:r w:rsidRPr="005F5731">
        <w:rPr>
          <w:rFonts w:eastAsia="Times New Roman" w:cs="Times New Roman"/>
          <w:i/>
          <w:lang w:val="en-US"/>
        </w:rPr>
        <w:t>mens rea</w:t>
      </w:r>
      <w:r w:rsidRPr="005F5731">
        <w:rPr>
          <w:rFonts w:eastAsia="Times New Roman" w:cs="Times New Roman"/>
          <w:lang w:val="en-US"/>
        </w:rPr>
        <w:t xml:space="preserve"> for s. </w:t>
      </w:r>
      <w:r>
        <w:rPr>
          <w:rFonts w:eastAsia="Times New Roman" w:cs="Times New Roman"/>
          <w:lang w:val="en-US"/>
        </w:rPr>
        <w:t>215 in relation to the younger child.</w:t>
      </w:r>
    </w:p>
    <w:p w:rsidR="00F406B9" w:rsidRPr="005F5731" w:rsidRDefault="00F406B9" w:rsidP="00F406B9">
      <w:pPr>
        <w:pStyle w:val="ParaNoNdepar-AltN"/>
        <w:rPr>
          <w:rFonts w:eastAsia="Times New Roman" w:cs="Times New Roman"/>
          <w:lang w:val="en-US"/>
        </w:rPr>
      </w:pPr>
      <w:r w:rsidRPr="005F5731">
        <w:rPr>
          <w:rFonts w:eastAsia="Times New Roman" w:cs="Times New Roman"/>
          <w:lang w:val="en-US"/>
        </w:rPr>
        <w:t xml:space="preserve">The questions posed by the trial judge in the above passage adhere to the two-step inquiry discussed by Cromwell J. in </w:t>
      </w:r>
      <w:r w:rsidRPr="005F5731">
        <w:rPr>
          <w:rFonts w:eastAsia="Times New Roman" w:cs="Times New Roman"/>
          <w:i/>
          <w:lang w:val="en-US"/>
        </w:rPr>
        <w:t>Roy</w:t>
      </w:r>
      <w:r>
        <w:rPr>
          <w:rFonts w:eastAsia="Times New Roman" w:cs="Times New Roman"/>
          <w:lang w:val="en-US"/>
        </w:rPr>
        <w:t>,</w:t>
      </w:r>
      <w:r w:rsidRPr="005F5731">
        <w:rPr>
          <w:rFonts w:eastAsia="Times New Roman" w:cs="Times New Roman"/>
          <w:lang w:val="en-US"/>
        </w:rPr>
        <w:t xml:space="preserve"> at para. 36 </w:t>
      </w:r>
      <w:r>
        <w:rPr>
          <w:rFonts w:eastAsia="Times New Roman" w:cs="Times New Roman"/>
          <w:lang w:val="en-US"/>
        </w:rPr>
        <w:t>(</w:t>
      </w:r>
      <w:r w:rsidRPr="005F5731">
        <w:rPr>
          <w:rFonts w:eastAsia="Times New Roman" w:cs="Times New Roman"/>
          <w:lang w:val="en-US"/>
        </w:rPr>
        <w:t xml:space="preserve">see also </w:t>
      </w:r>
      <w:proofErr w:type="spellStart"/>
      <w:r w:rsidRPr="005F5731">
        <w:rPr>
          <w:rFonts w:eastAsia="Times New Roman" w:cs="Times New Roman"/>
          <w:i/>
          <w:lang w:val="en-US"/>
        </w:rPr>
        <w:t>Naglik</w:t>
      </w:r>
      <w:proofErr w:type="spellEnd"/>
      <w:r w:rsidRPr="005F5731">
        <w:rPr>
          <w:rFonts w:eastAsia="Times New Roman" w:cs="Times New Roman"/>
          <w:lang w:val="en-US"/>
        </w:rPr>
        <w:t>, at pp.</w:t>
      </w:r>
      <w:r>
        <w:rPr>
          <w:rFonts w:eastAsia="Times New Roman" w:cs="Times New Roman"/>
          <w:lang w:val="en-US"/>
        </w:rPr>
        <w:t> 143</w:t>
      </w:r>
      <w:r>
        <w:rPr>
          <w:rFonts w:eastAsia="Times New Roman" w:cs="Times New Roman"/>
          <w:lang w:val="en-US"/>
        </w:rPr>
        <w:noBreakHyphen/>
      </w:r>
      <w:r w:rsidRPr="005F5731">
        <w:rPr>
          <w:rFonts w:eastAsia="Times New Roman" w:cs="Times New Roman"/>
          <w:lang w:val="en-US"/>
        </w:rPr>
        <w:t>44</w:t>
      </w:r>
      <w:r>
        <w:rPr>
          <w:rFonts w:eastAsia="Times New Roman" w:cs="Times New Roman"/>
          <w:lang w:val="en-US"/>
        </w:rPr>
        <w:t>)</w:t>
      </w:r>
      <w:r w:rsidRPr="005F5731">
        <w:rPr>
          <w:rFonts w:eastAsia="Times New Roman" w:cs="Times New Roman"/>
          <w:lang w:val="en-US"/>
        </w:rPr>
        <w:t>.</w:t>
      </w:r>
    </w:p>
    <w:p w:rsidR="00F406B9" w:rsidRPr="005F5731" w:rsidRDefault="00F406B9" w:rsidP="00F406B9">
      <w:pPr>
        <w:pStyle w:val="ParaNoNdepar-AltN"/>
        <w:rPr>
          <w:rFonts w:eastAsia="Times New Roman" w:cs="Times New Roman"/>
          <w:lang w:val="en-US"/>
        </w:rPr>
      </w:pPr>
      <w:r w:rsidRPr="005F5731">
        <w:rPr>
          <w:rFonts w:eastAsia="Times New Roman" w:cs="Times New Roman"/>
          <w:lang w:val="en-US"/>
        </w:rPr>
        <w:t xml:space="preserve">Ultimately, when read as a whole, the trial judge’s instructions functionally conveyed the necessary legal principles. The jury charge was not perfect. The trial judge did not make a clear distinction between the required foreseeability standard for s. 215 and the required foreseeability standard for manslaughter or unlawfully causing bodily harm. </w:t>
      </w:r>
      <w:r>
        <w:rPr>
          <w:rFonts w:eastAsia="Times New Roman" w:cs="Times New Roman"/>
          <w:lang w:val="en-US"/>
        </w:rPr>
        <w:t>She</w:t>
      </w:r>
      <w:r w:rsidRPr="005F5731">
        <w:rPr>
          <w:rFonts w:eastAsia="Times New Roman" w:cs="Times New Roman"/>
          <w:lang w:val="en-US"/>
        </w:rPr>
        <w:t xml:space="preserve"> routinely juxtaposed the two different foreseeability requirements without clearly alerting the jury to how the respective foresight standards corresponded to the respective offences.</w:t>
      </w:r>
    </w:p>
    <w:p w:rsidR="00F406B9" w:rsidRPr="005F5731" w:rsidRDefault="00F406B9" w:rsidP="00F406B9">
      <w:pPr>
        <w:pStyle w:val="ParaNoNdepar-AltN"/>
        <w:rPr>
          <w:rFonts w:eastAsia="Times New Roman" w:cs="Times New Roman"/>
          <w:lang w:val="en-US"/>
        </w:rPr>
      </w:pPr>
      <w:r w:rsidRPr="005F5731">
        <w:rPr>
          <w:rFonts w:eastAsia="Times New Roman" w:cs="Times New Roman"/>
          <w:lang w:val="en-US"/>
        </w:rPr>
        <w:lastRenderedPageBreak/>
        <w:t>The imprecise juxtaposition of different</w:t>
      </w:r>
      <w:r>
        <w:rPr>
          <w:rFonts w:eastAsia="Times New Roman" w:cs="Times New Roman"/>
          <w:lang w:val="en-US"/>
        </w:rPr>
        <w:t xml:space="preserve"> </w:t>
      </w:r>
      <w:r w:rsidRPr="005F5731">
        <w:rPr>
          <w:rFonts w:eastAsia="Times New Roman" w:cs="Times New Roman"/>
          <w:i/>
          <w:lang w:val="en-US"/>
        </w:rPr>
        <w:t>mens rea</w:t>
      </w:r>
      <w:r w:rsidRPr="005F5731">
        <w:rPr>
          <w:rFonts w:eastAsia="Times New Roman" w:cs="Times New Roman"/>
          <w:lang w:val="en-US"/>
        </w:rPr>
        <w:t xml:space="preserve"> requirements should be avoided. It </w:t>
      </w:r>
      <w:r w:rsidRPr="005F5731">
        <w:rPr>
          <w:rFonts w:eastAsia="Times New Roman" w:cs="Times New Roman"/>
          <w:i/>
          <w:lang w:val="en-US"/>
        </w:rPr>
        <w:t>could</w:t>
      </w:r>
      <w:r w:rsidRPr="005F5731">
        <w:rPr>
          <w:rFonts w:eastAsia="Times New Roman" w:cs="Times New Roman"/>
          <w:lang w:val="en-US"/>
        </w:rPr>
        <w:t xml:space="preserve"> potentially confuse the jury and </w:t>
      </w:r>
      <w:r w:rsidRPr="005F5731">
        <w:rPr>
          <w:rFonts w:eastAsia="Times New Roman" w:cs="Times New Roman"/>
          <w:i/>
          <w:lang w:val="en-US"/>
        </w:rPr>
        <w:t>could</w:t>
      </w:r>
      <w:r w:rsidRPr="005F5731">
        <w:rPr>
          <w:rFonts w:eastAsia="Times New Roman" w:cs="Times New Roman"/>
          <w:lang w:val="en-US"/>
        </w:rPr>
        <w:t xml:space="preserve"> potentially necessitate a new trial in a different set of circumstances.</w:t>
      </w:r>
      <w:r>
        <w:rPr>
          <w:rFonts w:eastAsia="Times New Roman" w:cs="Times New Roman"/>
          <w:lang w:val="en-US"/>
        </w:rPr>
        <w:t xml:space="preserve"> </w:t>
      </w:r>
      <w:r w:rsidRPr="005F5731">
        <w:rPr>
          <w:rFonts w:eastAsia="Times New Roman" w:cs="Times New Roman"/>
          <w:lang w:val="en-US"/>
        </w:rPr>
        <w:t xml:space="preserve">However, in the circumstances of this case, there is no reasonable possibility that the jury was confused about the required </w:t>
      </w:r>
      <w:r w:rsidRPr="005F5731">
        <w:rPr>
          <w:rFonts w:eastAsia="Times New Roman" w:cs="Times New Roman"/>
          <w:i/>
          <w:lang w:val="en-US"/>
        </w:rPr>
        <w:t>mens rea</w:t>
      </w:r>
      <w:r w:rsidRPr="005F5731">
        <w:rPr>
          <w:rFonts w:eastAsia="Times New Roman" w:cs="Times New Roman"/>
          <w:lang w:val="en-US"/>
        </w:rPr>
        <w:t xml:space="preserve"> for s. 215 or misled about what the Crown </w:t>
      </w:r>
      <w:r>
        <w:rPr>
          <w:rFonts w:eastAsia="Times New Roman" w:cs="Times New Roman"/>
          <w:lang w:val="en-US"/>
        </w:rPr>
        <w:t>had to</w:t>
      </w:r>
      <w:r w:rsidRPr="005F5731">
        <w:rPr>
          <w:rFonts w:eastAsia="Times New Roman" w:cs="Times New Roman"/>
          <w:lang w:val="en-US"/>
        </w:rPr>
        <w:t xml:space="preserve"> prove in order </w:t>
      </w:r>
      <w:r>
        <w:rPr>
          <w:rFonts w:eastAsia="Times New Roman" w:cs="Times New Roman"/>
          <w:lang w:val="en-US"/>
        </w:rPr>
        <w:t xml:space="preserve">for the jury </w:t>
      </w:r>
      <w:r w:rsidRPr="005F5731">
        <w:rPr>
          <w:rFonts w:eastAsia="Times New Roman" w:cs="Times New Roman"/>
          <w:lang w:val="en-US"/>
        </w:rPr>
        <w:t xml:space="preserve">to find Mr. Goforth guilty of either manslaughter or unlawfully causing bodily harm. With respect, the Court of Appeal erred </w:t>
      </w:r>
      <w:r>
        <w:rPr>
          <w:rFonts w:eastAsia="Times New Roman" w:cs="Times New Roman"/>
          <w:lang w:val="en-US"/>
        </w:rPr>
        <w:t xml:space="preserve">in </w:t>
      </w:r>
      <w:r w:rsidRPr="005F5731">
        <w:rPr>
          <w:rFonts w:eastAsia="Times New Roman" w:cs="Times New Roman"/>
          <w:lang w:val="en-US"/>
        </w:rPr>
        <w:t>holding otherwise</w:t>
      </w:r>
      <w:r>
        <w:rPr>
          <w:rFonts w:eastAsia="Times New Roman" w:cs="Times New Roman"/>
          <w:lang w:val="en-US"/>
        </w:rPr>
        <w:t>,</w:t>
      </w:r>
      <w:r w:rsidRPr="005F5731">
        <w:rPr>
          <w:rFonts w:eastAsia="Times New Roman" w:cs="Times New Roman"/>
          <w:lang w:val="en-US"/>
        </w:rPr>
        <w:t xml:space="preserve"> for three reasons.</w:t>
      </w:r>
    </w:p>
    <w:p w:rsidR="00F406B9" w:rsidRPr="005F5731" w:rsidRDefault="00F406B9" w:rsidP="00F406B9">
      <w:pPr>
        <w:pStyle w:val="ParaNoNdepar-AltN"/>
        <w:rPr>
          <w:rFonts w:eastAsia="Times New Roman" w:cs="Times New Roman"/>
        </w:rPr>
      </w:pPr>
      <w:r w:rsidRPr="005F5731">
        <w:rPr>
          <w:rFonts w:eastAsia="Times New Roman" w:cs="Times New Roman"/>
        </w:rPr>
        <w:t xml:space="preserve">First, despite the frequency with which the more confusing instruction was repeated, </w:t>
      </w:r>
      <w:r w:rsidRPr="005F5731">
        <w:rPr>
          <w:rFonts w:eastAsia="Times New Roman" w:cs="Times New Roman"/>
          <w:lang w:bidi="en-US"/>
        </w:rPr>
        <w:t xml:space="preserve">the clearest explanation of the </w:t>
      </w:r>
      <w:r w:rsidRPr="005F5731">
        <w:rPr>
          <w:rFonts w:eastAsia="Times New Roman" w:cs="Times New Roman"/>
          <w:i/>
          <w:lang w:bidi="en-US"/>
        </w:rPr>
        <w:t>mens rea</w:t>
      </w:r>
      <w:r w:rsidRPr="005F5731">
        <w:rPr>
          <w:rFonts w:eastAsia="Times New Roman" w:cs="Times New Roman"/>
          <w:lang w:bidi="en-US"/>
        </w:rPr>
        <w:t xml:space="preserve"> requirement </w:t>
      </w:r>
      <w:r>
        <w:rPr>
          <w:rFonts w:eastAsia="Times New Roman" w:cs="Times New Roman"/>
          <w:lang w:bidi="en-US"/>
        </w:rPr>
        <w:t>was provided</w:t>
      </w:r>
      <w:r w:rsidRPr="005F5731">
        <w:rPr>
          <w:rFonts w:eastAsia="Times New Roman" w:cs="Times New Roman"/>
          <w:lang w:bidi="en-US"/>
        </w:rPr>
        <w:t xml:space="preserve"> when the trial judge invited the jury to consider two straightforward questions to assess whether </w:t>
      </w:r>
      <w:r>
        <w:rPr>
          <w:rFonts w:eastAsia="Times New Roman" w:cs="Times New Roman"/>
          <w:lang w:bidi="en-US"/>
        </w:rPr>
        <w:t>that</w:t>
      </w:r>
      <w:r w:rsidRPr="005F5731">
        <w:rPr>
          <w:rFonts w:eastAsia="Times New Roman" w:cs="Times New Roman"/>
          <w:lang w:bidi="en-US"/>
        </w:rPr>
        <w:t xml:space="preserve"> requirement had been met. These questions told the jur</w:t>
      </w:r>
      <w:r>
        <w:rPr>
          <w:rFonts w:eastAsia="Times New Roman" w:cs="Times New Roman"/>
          <w:lang w:bidi="en-US"/>
        </w:rPr>
        <w:t>ors</w:t>
      </w:r>
      <w:r w:rsidRPr="005F5731">
        <w:rPr>
          <w:rFonts w:eastAsia="Times New Roman" w:cs="Times New Roman"/>
          <w:lang w:bidi="en-US"/>
        </w:rPr>
        <w:t xml:space="preserve"> exactly what to ask themselves in the circumstances of this case. </w:t>
      </w:r>
      <w:r w:rsidRPr="005F5731">
        <w:rPr>
          <w:rFonts w:eastAsia="Times New Roman" w:cs="Times New Roman"/>
        </w:rPr>
        <w:t>There is simply no reasonable possibility that any juror would have disregarded these straightforward questions and would have instead chosen to apply the lower foresight standard.</w:t>
      </w:r>
    </w:p>
    <w:p w:rsidR="00F406B9" w:rsidRPr="005F5731" w:rsidRDefault="00F406B9" w:rsidP="00F406B9">
      <w:pPr>
        <w:pStyle w:val="ParaNoNdepar-AltN"/>
        <w:rPr>
          <w:rFonts w:eastAsia="Times New Roman" w:cs="Times New Roman"/>
          <w:lang w:val="en-US"/>
        </w:rPr>
      </w:pPr>
      <w:r w:rsidRPr="005F5731">
        <w:rPr>
          <w:rFonts w:eastAsia="Times New Roman" w:cs="Times New Roman"/>
          <w:lang w:val="en-US"/>
        </w:rPr>
        <w:t>Second, the fact that the impugned instruction was routinely introduced with the word “further” also supports the argument that the jury would have simply concluded that both foresight standards had to be satisfied.</w:t>
      </w:r>
    </w:p>
    <w:p w:rsidR="00F406B9" w:rsidRPr="005F5731" w:rsidRDefault="00F406B9" w:rsidP="00F406B9">
      <w:pPr>
        <w:pStyle w:val="ParaNoNdepar-AltN"/>
        <w:rPr>
          <w:rFonts w:cs="Times New Roman"/>
          <w:lang w:val="en-US"/>
        </w:rPr>
      </w:pPr>
      <w:r w:rsidRPr="005F5731">
        <w:rPr>
          <w:rFonts w:eastAsia="Times New Roman" w:cs="Times New Roman"/>
          <w:lang w:val="en-US"/>
        </w:rPr>
        <w:t xml:space="preserve">Finally, I note that defence counsel did not object to the charge at trial and that appellate counsel </w:t>
      </w:r>
      <w:r>
        <w:rPr>
          <w:rFonts w:eastAsia="Times New Roman" w:cs="Times New Roman"/>
          <w:lang w:val="en-US"/>
        </w:rPr>
        <w:t>before</w:t>
      </w:r>
      <w:r w:rsidRPr="005F5731">
        <w:rPr>
          <w:rFonts w:eastAsia="Times New Roman" w:cs="Times New Roman"/>
          <w:lang w:val="en-US"/>
        </w:rPr>
        <w:t xml:space="preserve"> the Court of Appeal did not initially identify the juxtaposition of the two foreseeability standards as a</w:t>
      </w:r>
      <w:r>
        <w:rPr>
          <w:rFonts w:eastAsia="Times New Roman" w:cs="Times New Roman"/>
          <w:lang w:val="en-US"/>
        </w:rPr>
        <w:t>n issue of concern (C.A.</w:t>
      </w:r>
      <w:r w:rsidRPr="005F5731">
        <w:rPr>
          <w:rFonts w:eastAsia="Times New Roman" w:cs="Times New Roman"/>
          <w:lang w:val="en-US"/>
        </w:rPr>
        <w:t xml:space="preserve"> </w:t>
      </w:r>
      <w:r>
        <w:rPr>
          <w:rFonts w:eastAsia="Times New Roman" w:cs="Times New Roman"/>
          <w:lang w:val="en-US"/>
        </w:rPr>
        <w:t xml:space="preserve">reasons, at </w:t>
      </w:r>
      <w:r w:rsidRPr="005F5731">
        <w:rPr>
          <w:rFonts w:eastAsia="Times New Roman" w:cs="Times New Roman"/>
          <w:lang w:val="en-US"/>
        </w:rPr>
        <w:t>para</w:t>
      </w:r>
      <w:r>
        <w:rPr>
          <w:rFonts w:eastAsia="Times New Roman" w:cs="Times New Roman"/>
          <w:lang w:val="en-US"/>
        </w:rPr>
        <w:t>s</w:t>
      </w:r>
      <w:r w:rsidRPr="005F5731">
        <w:rPr>
          <w:rFonts w:eastAsia="Times New Roman" w:cs="Times New Roman"/>
          <w:lang w:val="en-US"/>
        </w:rPr>
        <w:t>. </w:t>
      </w:r>
      <w:r>
        <w:rPr>
          <w:rFonts w:eastAsia="Times New Roman" w:cs="Times New Roman"/>
          <w:lang w:val="en-US"/>
        </w:rPr>
        <w:t>93</w:t>
      </w:r>
      <w:r>
        <w:rPr>
          <w:rFonts w:eastAsia="Times New Roman" w:cs="Times New Roman"/>
          <w:lang w:val="en-US"/>
        </w:rPr>
        <w:noBreakHyphen/>
      </w:r>
      <w:r w:rsidRPr="005F5731">
        <w:rPr>
          <w:rFonts w:eastAsia="Times New Roman" w:cs="Times New Roman"/>
          <w:lang w:val="en-US"/>
        </w:rPr>
        <w:t xml:space="preserve">94). Although not determinative, defence counsel’s failure to object at trial </w:t>
      </w:r>
      <w:r w:rsidRPr="005F5731">
        <w:rPr>
          <w:rFonts w:eastAsia="Times New Roman" w:cs="Times New Roman"/>
          <w:lang w:val="en-US"/>
        </w:rPr>
        <w:lastRenderedPageBreak/>
        <w:t xml:space="preserve">and appellate counsel’s failure to identify the issue </w:t>
      </w:r>
      <w:r>
        <w:rPr>
          <w:rFonts w:eastAsia="Times New Roman" w:cs="Times New Roman"/>
          <w:lang w:val="en-US"/>
        </w:rPr>
        <w:t xml:space="preserve">initially </w:t>
      </w:r>
      <w:r w:rsidRPr="005F5731">
        <w:rPr>
          <w:rFonts w:eastAsia="Times New Roman" w:cs="Times New Roman"/>
          <w:lang w:val="en-US"/>
        </w:rPr>
        <w:t xml:space="preserve">on appeal undermine the argument that the jury may have been misled or confused about the appropriate standard. Indeed, contrary to the opinion of my colleague </w:t>
      </w:r>
      <w:r>
        <w:rPr>
          <w:rFonts w:eastAsia="Times New Roman" w:cs="Times New Roman"/>
          <w:lang w:val="en-US"/>
        </w:rPr>
        <w:t xml:space="preserve">(at </w:t>
      </w:r>
      <w:r w:rsidRPr="005F5731">
        <w:rPr>
          <w:rFonts w:eastAsia="Times New Roman" w:cs="Times New Roman"/>
          <w:lang w:val="en-US"/>
        </w:rPr>
        <w:t>para. </w:t>
      </w:r>
      <w:r>
        <w:rPr>
          <w:rFonts w:eastAsia="Times New Roman" w:cs="Times New Roman"/>
          <w:lang w:val="en-US"/>
        </w:rPr>
        <w:t>65)</w:t>
      </w:r>
      <w:r w:rsidRPr="005F5731">
        <w:rPr>
          <w:rFonts w:eastAsia="Times New Roman" w:cs="Times New Roman"/>
          <w:lang w:val="en-US"/>
        </w:rPr>
        <w:t xml:space="preserve">, this provides a strong reason to conclude that the jury would not have been misled or confused. </w:t>
      </w:r>
      <w:r w:rsidRPr="005F5731">
        <w:rPr>
          <w:rFonts w:cs="Times New Roman"/>
          <w:lang w:val="en-US"/>
        </w:rPr>
        <w:t>As Bastarache J. explained in</w:t>
      </w:r>
      <w:r>
        <w:rPr>
          <w:rFonts w:cs="Times New Roman"/>
          <w:lang w:val="en-US"/>
        </w:rPr>
        <w:t xml:space="preserve"> </w:t>
      </w:r>
      <w:r w:rsidRPr="005F5731">
        <w:rPr>
          <w:rFonts w:cs="Times New Roman"/>
          <w:i/>
          <w:iCs/>
          <w:lang w:val="en-US"/>
        </w:rPr>
        <w:t>Daley</w:t>
      </w:r>
      <w:r w:rsidRPr="005F5731">
        <w:rPr>
          <w:rFonts w:cs="Times New Roman"/>
          <w:lang w:val="en-US"/>
        </w:rPr>
        <w:t>, at para. 58:</w:t>
      </w:r>
    </w:p>
    <w:p w:rsidR="00F406B9" w:rsidRPr="00D15D4F" w:rsidRDefault="00F406B9" w:rsidP="00F406B9">
      <w:pPr>
        <w:pStyle w:val="Citation-AltC"/>
      </w:pPr>
      <w:r w:rsidRPr="00D15D4F">
        <w:t>. . . </w:t>
      </w:r>
      <w:proofErr w:type="gramStart"/>
      <w:r w:rsidRPr="00D15D4F">
        <w:t>it</w:t>
      </w:r>
      <w:proofErr w:type="gramEnd"/>
      <w:r w:rsidRPr="00D15D4F">
        <w:t xml:space="preserve"> is expected of counsel that they will assist the trial judge and identify what in their opinion is problematic with the judge’s instructions to the jury. While not decisive, failure of counsel to object is a factor in appellate review. The failure to register a complaint about the aspect of the charge that later becomes the ground for the appeal may be indicative of the seriousness of the alleged violation. See </w:t>
      </w:r>
      <w:r w:rsidRPr="003156A7">
        <w:rPr>
          <w:i/>
        </w:rPr>
        <w:t>Jacquard</w:t>
      </w:r>
      <w:r w:rsidRPr="00D15D4F">
        <w:t>, at para. 38: “In my opinion, defence counsel’s failure to object to the charge says something about both the overall accuracy of the jury instructions and the seriousness of the alleged misdirection.”</w:t>
      </w:r>
    </w:p>
    <w:p w:rsidR="00F406B9" w:rsidRPr="00D15D4F" w:rsidRDefault="00F406B9" w:rsidP="00F406B9">
      <w:pPr>
        <w:pStyle w:val="Citation-AltC"/>
      </w:pPr>
    </w:p>
    <w:p w:rsidR="00F406B9" w:rsidRPr="005F5731" w:rsidRDefault="00F406B9" w:rsidP="00F406B9">
      <w:pPr>
        <w:pStyle w:val="Citation-AltC"/>
        <w:rPr>
          <w:lang w:val="en-US"/>
        </w:rPr>
      </w:pPr>
      <w:r>
        <w:rPr>
          <w:lang w:val="en-US"/>
        </w:rPr>
        <w:t>(</w:t>
      </w:r>
      <w:r w:rsidRPr="005F5731">
        <w:rPr>
          <w:lang w:val="en-US"/>
        </w:rPr>
        <w:t xml:space="preserve">See also </w:t>
      </w:r>
      <w:r w:rsidRPr="005F5731">
        <w:rPr>
          <w:i/>
          <w:lang w:val="en-US"/>
        </w:rPr>
        <w:t>Calnen</w:t>
      </w:r>
      <w:r w:rsidRPr="005F5731">
        <w:rPr>
          <w:lang w:val="en-US"/>
        </w:rPr>
        <w:t xml:space="preserve">, at paras. 38-39; </w:t>
      </w:r>
      <w:r w:rsidRPr="005F5731">
        <w:rPr>
          <w:i/>
          <w:lang w:val="en-US"/>
        </w:rPr>
        <w:t>T</w:t>
      </w:r>
      <w:proofErr w:type="spellStart"/>
      <w:r w:rsidRPr="005F5731">
        <w:rPr>
          <w:i/>
          <w:iCs/>
        </w:rPr>
        <w:t>hériault</w:t>
      </w:r>
      <w:proofErr w:type="spellEnd"/>
      <w:r w:rsidRPr="005F5731">
        <w:rPr>
          <w:i/>
          <w:iCs/>
        </w:rPr>
        <w:t xml:space="preserve"> v. The Queen</w:t>
      </w:r>
      <w:r>
        <w:t xml:space="preserve">, </w:t>
      </w:r>
      <w:r w:rsidRPr="005F5731">
        <w:t>[1981] 1 S.C.R. 336, at pp. 343-44</w:t>
      </w:r>
      <w:r>
        <w:t>.</w:t>
      </w:r>
      <w:r w:rsidRPr="005F5731">
        <w:t>)</w:t>
      </w:r>
    </w:p>
    <w:p w:rsidR="00F406B9" w:rsidRPr="005F5731" w:rsidRDefault="00F406B9" w:rsidP="00F406B9">
      <w:pPr>
        <w:pStyle w:val="ParaNoNdepar-AltN"/>
        <w:rPr>
          <w:rFonts w:eastAsia="Times New Roman" w:cs="Times New Roman"/>
          <w:lang w:val="en-US"/>
        </w:rPr>
      </w:pPr>
      <w:r w:rsidRPr="005F5731">
        <w:rPr>
          <w:rFonts w:eastAsia="Times New Roman" w:cs="Times New Roman"/>
          <w:lang w:val="en-US"/>
        </w:rPr>
        <w:t>In sum, when the jury charge is read functionally and as a whole, I have no trouble concluding that the jury was properly instructed on the law and able to draw the necessary legal conclusions.</w:t>
      </w:r>
    </w:p>
    <w:p w:rsidR="00F406B9" w:rsidRPr="005F5731" w:rsidRDefault="00F406B9" w:rsidP="00F406B9">
      <w:pPr>
        <w:pStyle w:val="Title2LevelTitre2Niveau"/>
        <w:rPr>
          <w:rFonts w:cs="Times New Roman"/>
          <w:lang w:val="en-US"/>
        </w:rPr>
      </w:pPr>
      <w:r>
        <w:rPr>
          <w:rFonts w:cs="Times New Roman"/>
          <w:lang w:val="en-US"/>
        </w:rPr>
        <w:t>Did the Trial J</w:t>
      </w:r>
      <w:r w:rsidRPr="005F5731">
        <w:rPr>
          <w:rFonts w:cs="Times New Roman"/>
          <w:lang w:val="en-US"/>
        </w:rPr>
        <w:t xml:space="preserve">udge </w:t>
      </w:r>
      <w:r>
        <w:rPr>
          <w:rFonts w:cs="Times New Roman"/>
          <w:lang w:val="en-US"/>
        </w:rPr>
        <w:t>Err by F</w:t>
      </w:r>
      <w:r w:rsidRPr="005F5731">
        <w:rPr>
          <w:rFonts w:cs="Times New Roman"/>
          <w:lang w:val="en-US"/>
        </w:rPr>
        <w:t xml:space="preserve">ailing to </w:t>
      </w:r>
      <w:r>
        <w:rPr>
          <w:rFonts w:cs="Times New Roman"/>
          <w:lang w:val="en-US"/>
        </w:rPr>
        <w:t>I</w:t>
      </w:r>
      <w:r w:rsidRPr="005F5731">
        <w:rPr>
          <w:rFonts w:cs="Times New Roman"/>
          <w:lang w:val="en-US"/>
        </w:rPr>
        <w:t xml:space="preserve">nstruct the </w:t>
      </w:r>
      <w:r>
        <w:rPr>
          <w:rFonts w:cs="Times New Roman"/>
          <w:lang w:val="en-US"/>
        </w:rPr>
        <w:t>J</w:t>
      </w:r>
      <w:r w:rsidRPr="005F5731">
        <w:rPr>
          <w:rFonts w:cs="Times New Roman"/>
          <w:lang w:val="en-US"/>
        </w:rPr>
        <w:t xml:space="preserve">ury </w:t>
      </w:r>
      <w:r>
        <w:rPr>
          <w:rFonts w:cs="Times New Roman"/>
          <w:lang w:val="en-US"/>
        </w:rPr>
        <w:t>on</w:t>
      </w:r>
      <w:r w:rsidRPr="005F5731">
        <w:rPr>
          <w:rFonts w:cs="Times New Roman"/>
          <w:lang w:val="en-US"/>
        </w:rPr>
        <w:t xml:space="preserve"> Mr. </w:t>
      </w:r>
      <w:r>
        <w:rPr>
          <w:rFonts w:cs="Times New Roman"/>
          <w:lang w:val="en-US"/>
        </w:rPr>
        <w:t>Goforth’s Circumstances as a Secondary C</w:t>
      </w:r>
      <w:r w:rsidRPr="005F5731">
        <w:rPr>
          <w:rFonts w:cs="Times New Roman"/>
          <w:lang w:val="en-US"/>
        </w:rPr>
        <w:t xml:space="preserve">aregiver </w:t>
      </w:r>
      <w:proofErr w:type="gramStart"/>
      <w:r>
        <w:rPr>
          <w:rFonts w:cs="Times New Roman"/>
          <w:lang w:val="en-US"/>
        </w:rPr>
        <w:t>D</w:t>
      </w:r>
      <w:r w:rsidRPr="005F5731">
        <w:rPr>
          <w:rFonts w:cs="Times New Roman"/>
          <w:lang w:val="en-US"/>
        </w:rPr>
        <w:t>uring</w:t>
      </w:r>
      <w:proofErr w:type="gramEnd"/>
      <w:r w:rsidRPr="005F5731">
        <w:rPr>
          <w:rFonts w:cs="Times New Roman"/>
          <w:lang w:val="en-US"/>
        </w:rPr>
        <w:t xml:space="preserve"> the </w:t>
      </w:r>
      <w:r>
        <w:rPr>
          <w:rFonts w:cs="Times New Roman"/>
          <w:lang w:val="en-US"/>
        </w:rPr>
        <w:t>M</w:t>
      </w:r>
      <w:r w:rsidRPr="005F5731">
        <w:rPr>
          <w:rFonts w:cs="Times New Roman"/>
          <w:lang w:val="en-US"/>
        </w:rPr>
        <w:t xml:space="preserve">ens </w:t>
      </w:r>
      <w:r>
        <w:rPr>
          <w:rFonts w:cs="Times New Roman"/>
          <w:lang w:val="en-US"/>
        </w:rPr>
        <w:t>Rea I</w:t>
      </w:r>
      <w:r w:rsidRPr="005F5731">
        <w:rPr>
          <w:rFonts w:cs="Times New Roman"/>
          <w:lang w:val="en-US"/>
        </w:rPr>
        <w:t xml:space="preserve">nstruction for </w:t>
      </w:r>
      <w:r>
        <w:rPr>
          <w:rFonts w:cs="Times New Roman"/>
          <w:lang w:val="en-US"/>
        </w:rPr>
        <w:t>Section</w:t>
      </w:r>
      <w:r w:rsidRPr="005F5731">
        <w:rPr>
          <w:rFonts w:cs="Times New Roman"/>
        </w:rPr>
        <w:t> </w:t>
      </w:r>
      <w:r w:rsidRPr="005F5731">
        <w:rPr>
          <w:rFonts w:cs="Times New Roman"/>
          <w:lang w:val="en-US"/>
        </w:rPr>
        <w:t>215?</w:t>
      </w:r>
    </w:p>
    <w:p w:rsidR="00F406B9" w:rsidRPr="005F5731" w:rsidRDefault="00F406B9" w:rsidP="00F406B9">
      <w:pPr>
        <w:pStyle w:val="ParaNoNdepar-AltN"/>
        <w:rPr>
          <w:rFonts w:eastAsia="Times New Roman" w:cs="Times New Roman"/>
        </w:rPr>
      </w:pPr>
      <w:r w:rsidRPr="005F5731">
        <w:rPr>
          <w:rFonts w:eastAsia="Times New Roman" w:cs="Times New Roman"/>
        </w:rPr>
        <w:t xml:space="preserve">The law is clear that personal characteristics of </w:t>
      </w:r>
      <w:r>
        <w:rPr>
          <w:rFonts w:eastAsia="Times New Roman" w:cs="Times New Roman"/>
        </w:rPr>
        <w:t>an</w:t>
      </w:r>
      <w:r w:rsidRPr="005F5731">
        <w:rPr>
          <w:rFonts w:eastAsia="Times New Roman" w:cs="Times New Roman"/>
        </w:rPr>
        <w:t xml:space="preserve"> accused, short of incapacity, are irrelevant in assessing objective </w:t>
      </w:r>
      <w:r w:rsidRPr="005F5731">
        <w:rPr>
          <w:rFonts w:eastAsia="Times New Roman" w:cs="Times New Roman"/>
          <w:i/>
        </w:rPr>
        <w:t>mens rea</w:t>
      </w:r>
      <w:r w:rsidRPr="005F5731">
        <w:rPr>
          <w:rFonts w:eastAsia="Times New Roman" w:cs="Times New Roman"/>
        </w:rPr>
        <w:t xml:space="preserve"> (</w:t>
      </w:r>
      <w:r w:rsidRPr="005F5731">
        <w:rPr>
          <w:rFonts w:eastAsia="Times New Roman" w:cs="Times New Roman"/>
          <w:i/>
        </w:rPr>
        <w:t>Creighton</w:t>
      </w:r>
      <w:r w:rsidRPr="005F5731">
        <w:rPr>
          <w:rFonts w:eastAsia="Times New Roman" w:cs="Times New Roman"/>
        </w:rPr>
        <w:t xml:space="preserve">, at p. 61). In </w:t>
      </w:r>
      <w:r w:rsidRPr="005F5731">
        <w:rPr>
          <w:rFonts w:eastAsia="Times New Roman" w:cs="Times New Roman"/>
          <w:i/>
        </w:rPr>
        <w:t>Creighton</w:t>
      </w:r>
      <w:r w:rsidRPr="005F5731">
        <w:rPr>
          <w:rFonts w:eastAsia="Times New Roman" w:cs="Times New Roman"/>
        </w:rPr>
        <w:t>, the majority of this Court</w:t>
      </w:r>
      <w:r w:rsidRPr="005F5731">
        <w:rPr>
          <w:rFonts w:eastAsia="Times New Roman" w:cs="Times New Roman"/>
          <w:i/>
        </w:rPr>
        <w:t xml:space="preserve"> </w:t>
      </w:r>
      <w:r w:rsidRPr="005F5731">
        <w:rPr>
          <w:rFonts w:eastAsia="Times New Roman" w:cs="Times New Roman"/>
        </w:rPr>
        <w:t xml:space="preserve">rejected the view that “individual excusing </w:t>
      </w:r>
      <w:r w:rsidRPr="005F5731">
        <w:rPr>
          <w:rFonts w:eastAsia="Times New Roman" w:cs="Times New Roman"/>
        </w:rPr>
        <w:lastRenderedPageBreak/>
        <w:t xml:space="preserve">conditions” </w:t>
      </w:r>
      <w:r>
        <w:rPr>
          <w:rFonts w:eastAsia="Times New Roman" w:cs="Times New Roman"/>
        </w:rPr>
        <w:t xml:space="preserve">(p. 63) </w:t>
      </w:r>
      <w:r w:rsidRPr="005F5731">
        <w:rPr>
          <w:rFonts w:eastAsia="Times New Roman" w:cs="Times New Roman"/>
        </w:rPr>
        <w:t xml:space="preserve">such as educational, experiential, and “habitual” characteristics of </w:t>
      </w:r>
      <w:r>
        <w:rPr>
          <w:rFonts w:eastAsia="Times New Roman" w:cs="Times New Roman"/>
        </w:rPr>
        <w:t>an</w:t>
      </w:r>
      <w:r w:rsidRPr="005F5731">
        <w:rPr>
          <w:rFonts w:eastAsia="Times New Roman" w:cs="Times New Roman"/>
        </w:rPr>
        <w:t xml:space="preserve"> accused may be taken into account (p. 61). </w:t>
      </w:r>
      <w:r>
        <w:rPr>
          <w:rFonts w:eastAsia="Times New Roman" w:cs="Times New Roman"/>
        </w:rPr>
        <w:t>Consideration of p</w:t>
      </w:r>
      <w:r w:rsidRPr="005F5731">
        <w:rPr>
          <w:rFonts w:eastAsia="Times New Roman" w:cs="Times New Roman"/>
        </w:rPr>
        <w:t>ersonal characteristics, short of incapacity, inject</w:t>
      </w:r>
      <w:r>
        <w:rPr>
          <w:rFonts w:eastAsia="Times New Roman" w:cs="Times New Roman"/>
        </w:rPr>
        <w:t>s</w:t>
      </w:r>
      <w:r w:rsidRPr="005F5731">
        <w:rPr>
          <w:rFonts w:eastAsia="Times New Roman" w:cs="Times New Roman"/>
        </w:rPr>
        <w:t xml:space="preserve"> subjectivity into the objective test, which undermines the purpose of </w:t>
      </w:r>
      <w:r>
        <w:rPr>
          <w:rFonts w:eastAsia="Times New Roman" w:cs="Times New Roman"/>
        </w:rPr>
        <w:t xml:space="preserve">having </w:t>
      </w:r>
      <w:r w:rsidRPr="005F5731">
        <w:rPr>
          <w:rFonts w:eastAsia="Times New Roman" w:cs="Times New Roman"/>
        </w:rPr>
        <w:t>a single</w:t>
      </w:r>
      <w:r>
        <w:rPr>
          <w:rFonts w:eastAsia="Times New Roman" w:cs="Times New Roman"/>
        </w:rPr>
        <w:t xml:space="preserve"> and</w:t>
      </w:r>
      <w:r w:rsidRPr="005F5731">
        <w:rPr>
          <w:rFonts w:eastAsia="Times New Roman" w:cs="Times New Roman"/>
        </w:rPr>
        <w:t xml:space="preserve"> uniform minimum legal standard of care (</w:t>
      </w:r>
      <w:r>
        <w:rPr>
          <w:rFonts w:eastAsia="Times New Roman" w:cs="Times New Roman"/>
        </w:rPr>
        <w:t>p</w:t>
      </w:r>
      <w:r w:rsidRPr="005F5731">
        <w:rPr>
          <w:rFonts w:eastAsia="Times New Roman" w:cs="Times New Roman"/>
        </w:rPr>
        <w:t>p. 61</w:t>
      </w:r>
      <w:r>
        <w:rPr>
          <w:rFonts w:eastAsia="Times New Roman" w:cs="Times New Roman"/>
        </w:rPr>
        <w:t xml:space="preserve"> and</w:t>
      </w:r>
      <w:r w:rsidRPr="005F5731">
        <w:rPr>
          <w:rFonts w:eastAsia="Times New Roman" w:cs="Times New Roman"/>
        </w:rPr>
        <w:t xml:space="preserve"> 70). This i</w:t>
      </w:r>
      <w:r>
        <w:rPr>
          <w:rFonts w:eastAsia="Times New Roman" w:cs="Times New Roman"/>
        </w:rPr>
        <w:t xml:space="preserve">s not to say that the reasonable </w:t>
      </w:r>
      <w:r w:rsidRPr="005F5731">
        <w:rPr>
          <w:rFonts w:eastAsia="Times New Roman" w:cs="Times New Roman"/>
        </w:rPr>
        <w:t xml:space="preserve">person is placed in a factual vacuum. “While the legal duty of the accused is not particularized by his or her personal characteristics short of incapacity, it is particularized in application by the nature of the activity and the circumstances surrounding the accused’s failure to take the requisite care” (p. 71; see also </w:t>
      </w:r>
      <w:r w:rsidRPr="005F5731">
        <w:rPr>
          <w:rFonts w:eastAsia="Times New Roman" w:cs="Times New Roman"/>
          <w:i/>
          <w:lang w:val="en-US"/>
        </w:rPr>
        <w:t>R. v. Javanmardi</w:t>
      </w:r>
      <w:r w:rsidRPr="005F5731">
        <w:rPr>
          <w:rFonts w:eastAsia="Times New Roman" w:cs="Times New Roman"/>
          <w:lang w:val="en-US"/>
        </w:rPr>
        <w:t>, 2019 SCC 54,</w:t>
      </w:r>
      <w:r w:rsidRPr="005F5731">
        <w:rPr>
          <w:rFonts w:eastAsia="Times New Roman" w:cs="Times New Roman"/>
        </w:rPr>
        <w:t xml:space="preserve"> </w:t>
      </w:r>
      <w:r>
        <w:rPr>
          <w:rFonts w:eastAsia="Times New Roman" w:cs="Times New Roman"/>
        </w:rPr>
        <w:t xml:space="preserve">[2019] 4 S.C.R. 3, </w:t>
      </w:r>
      <w:r w:rsidRPr="005F5731">
        <w:rPr>
          <w:rFonts w:eastAsia="Times New Roman" w:cs="Times New Roman"/>
        </w:rPr>
        <w:t>at paras. 36</w:t>
      </w:r>
      <w:r>
        <w:rPr>
          <w:rFonts w:eastAsia="Times New Roman" w:cs="Times New Roman"/>
        </w:rPr>
        <w:noBreakHyphen/>
      </w:r>
      <w:r w:rsidRPr="005F5731">
        <w:rPr>
          <w:rFonts w:eastAsia="Times New Roman" w:cs="Times New Roman"/>
        </w:rPr>
        <w:t>38). The reasonabl</w:t>
      </w:r>
      <w:r>
        <w:rPr>
          <w:rFonts w:eastAsia="Times New Roman" w:cs="Times New Roman"/>
        </w:rPr>
        <w:t xml:space="preserve">e </w:t>
      </w:r>
      <w:r w:rsidRPr="005F5731">
        <w:rPr>
          <w:rFonts w:eastAsia="Times New Roman" w:cs="Times New Roman"/>
        </w:rPr>
        <w:t>person is therefore placed in the relevant circumstances of the accused. These circumstances “</w:t>
      </w:r>
      <w:r w:rsidRPr="005F5731">
        <w:rPr>
          <w:rFonts w:eastAsia="Times New Roman" w:cs="Times New Roman"/>
          <w:lang w:val="en-US"/>
        </w:rPr>
        <w:t xml:space="preserve">do not personalize the objective </w:t>
      </w:r>
      <w:r>
        <w:rPr>
          <w:rFonts w:eastAsia="Times New Roman" w:cs="Times New Roman"/>
          <w:lang w:val="en-US"/>
        </w:rPr>
        <w:t>standard; they contextualize it</w:t>
      </w:r>
      <w:r w:rsidRPr="005F5731">
        <w:rPr>
          <w:rFonts w:eastAsia="Times New Roman" w:cs="Times New Roman"/>
          <w:lang w:val="en-US"/>
        </w:rPr>
        <w:t>”</w:t>
      </w:r>
      <w:r w:rsidRPr="005F5731">
        <w:rPr>
          <w:rFonts w:eastAsia="Times New Roman" w:cs="Times New Roman"/>
          <w:lang w:val="x-none"/>
        </w:rPr>
        <w:t xml:space="preserve"> </w:t>
      </w:r>
      <w:r w:rsidRPr="005F5731">
        <w:rPr>
          <w:rFonts w:eastAsia="Times New Roman" w:cs="Times New Roman"/>
          <w:lang w:val="en-US"/>
        </w:rPr>
        <w:t>(</w:t>
      </w:r>
      <w:r w:rsidRPr="005F5731">
        <w:rPr>
          <w:rFonts w:eastAsia="Times New Roman" w:cs="Times New Roman"/>
          <w:lang w:val="x-none"/>
        </w:rPr>
        <w:t>D</w:t>
      </w:r>
      <w:r w:rsidRPr="00C6191D">
        <w:rPr>
          <w:rFonts w:eastAsia="Times New Roman" w:cs="Times New Roman"/>
          <w:lang w:val="en-US"/>
        </w:rPr>
        <w:t>.</w:t>
      </w:r>
      <w:r w:rsidRPr="005F5731">
        <w:rPr>
          <w:rFonts w:eastAsia="Times New Roman" w:cs="Times New Roman"/>
          <w:lang w:val="x-none"/>
        </w:rPr>
        <w:t xml:space="preserve"> M. Paciocco, </w:t>
      </w:r>
      <w:r w:rsidRPr="005F5731">
        <w:rPr>
          <w:rFonts w:eastAsia="Times New Roman" w:cs="Times New Roman"/>
          <w:lang w:val="en-US"/>
        </w:rPr>
        <w:t>“</w:t>
      </w:r>
      <w:r w:rsidRPr="005F5731">
        <w:rPr>
          <w:rFonts w:eastAsia="Times New Roman" w:cs="Times New Roman"/>
          <w:lang w:val="x-none"/>
        </w:rPr>
        <w:t>Subjective and Objective Standards of Fault for Offences and</w:t>
      </w:r>
      <w:r w:rsidRPr="005F5731">
        <w:rPr>
          <w:rFonts w:eastAsia="Times New Roman" w:cs="Times New Roman"/>
          <w:lang w:val="en-US"/>
        </w:rPr>
        <w:t xml:space="preserve"> </w:t>
      </w:r>
      <w:r w:rsidRPr="005F5731">
        <w:rPr>
          <w:rFonts w:eastAsia="Times New Roman" w:cs="Times New Roman"/>
          <w:lang w:val="x-none"/>
        </w:rPr>
        <w:t>Defences</w:t>
      </w:r>
      <w:r w:rsidRPr="005F5731">
        <w:rPr>
          <w:rFonts w:eastAsia="Times New Roman" w:cs="Times New Roman"/>
          <w:lang w:val="en-US"/>
        </w:rPr>
        <w:t>”</w:t>
      </w:r>
      <w:r w:rsidRPr="005F5731">
        <w:rPr>
          <w:rFonts w:eastAsia="Times New Roman" w:cs="Times New Roman"/>
          <w:lang w:val="x-none"/>
        </w:rPr>
        <w:t xml:space="preserve"> (1995)</w:t>
      </w:r>
      <w:r w:rsidRPr="00C6191D">
        <w:rPr>
          <w:rFonts w:eastAsia="Times New Roman" w:cs="Times New Roman"/>
          <w:lang w:val="en-US"/>
        </w:rPr>
        <w:t>,</w:t>
      </w:r>
      <w:r w:rsidRPr="005F5731">
        <w:rPr>
          <w:rFonts w:eastAsia="Times New Roman" w:cs="Times New Roman"/>
          <w:lang w:val="x-none"/>
        </w:rPr>
        <w:t xml:space="preserve"> 59 </w:t>
      </w:r>
      <w:r w:rsidRPr="00C6191D">
        <w:rPr>
          <w:rFonts w:eastAsia="Times New Roman" w:cs="Times New Roman"/>
          <w:i/>
          <w:lang w:val="x-none"/>
        </w:rPr>
        <w:t>Sask</w:t>
      </w:r>
      <w:r w:rsidRPr="00C6191D">
        <w:rPr>
          <w:rFonts w:eastAsia="Times New Roman" w:cs="Times New Roman"/>
          <w:i/>
          <w:lang w:val="en-US"/>
        </w:rPr>
        <w:t>.</w:t>
      </w:r>
      <w:r w:rsidRPr="00C6191D">
        <w:rPr>
          <w:rFonts w:eastAsia="Times New Roman" w:cs="Times New Roman"/>
          <w:i/>
          <w:lang w:val="x-none"/>
        </w:rPr>
        <w:t xml:space="preserve"> L</w:t>
      </w:r>
      <w:r w:rsidRPr="00C6191D">
        <w:rPr>
          <w:rFonts w:eastAsia="Times New Roman" w:cs="Times New Roman"/>
          <w:i/>
          <w:lang w:val="en-US"/>
        </w:rPr>
        <w:t>.</w:t>
      </w:r>
      <w:r w:rsidRPr="00C6191D">
        <w:rPr>
          <w:rFonts w:eastAsia="Times New Roman" w:cs="Times New Roman"/>
          <w:i/>
          <w:lang w:val="x-none"/>
        </w:rPr>
        <w:t xml:space="preserve"> Rev</w:t>
      </w:r>
      <w:r w:rsidRPr="00C6191D">
        <w:rPr>
          <w:rFonts w:eastAsia="Times New Roman" w:cs="Times New Roman"/>
          <w:i/>
          <w:lang w:val="en-US"/>
        </w:rPr>
        <w:t>.</w:t>
      </w:r>
      <w:r w:rsidRPr="005F5731">
        <w:rPr>
          <w:rFonts w:eastAsia="Times New Roman" w:cs="Times New Roman"/>
          <w:lang w:val="x-none"/>
        </w:rPr>
        <w:t xml:space="preserve"> 271</w:t>
      </w:r>
      <w:r w:rsidRPr="00C6191D">
        <w:rPr>
          <w:rFonts w:eastAsia="Times New Roman" w:cs="Times New Roman"/>
          <w:lang w:val="en-US"/>
        </w:rPr>
        <w:t>,</w:t>
      </w:r>
      <w:r w:rsidRPr="005F5731">
        <w:rPr>
          <w:rFonts w:eastAsia="Times New Roman" w:cs="Times New Roman"/>
          <w:lang w:val="en-US"/>
        </w:rPr>
        <w:t xml:space="preserve"> at </w:t>
      </w:r>
      <w:r>
        <w:rPr>
          <w:rFonts w:eastAsia="Times New Roman" w:cs="Times New Roman"/>
          <w:lang w:val="en-US"/>
        </w:rPr>
        <w:t>p. </w:t>
      </w:r>
      <w:r w:rsidRPr="005F5731">
        <w:rPr>
          <w:rFonts w:eastAsia="Times New Roman" w:cs="Times New Roman"/>
          <w:lang w:val="en-US"/>
        </w:rPr>
        <w:t>285).</w:t>
      </w:r>
    </w:p>
    <w:p w:rsidR="00F406B9" w:rsidRPr="005F5731" w:rsidRDefault="00F406B9" w:rsidP="00F406B9">
      <w:pPr>
        <w:pStyle w:val="ParaNoNdepar-AltN"/>
        <w:rPr>
          <w:rFonts w:eastAsia="Times New Roman" w:cs="Times New Roman"/>
          <w:lang w:val="en-US"/>
        </w:rPr>
      </w:pPr>
      <w:r w:rsidRPr="005F5731">
        <w:rPr>
          <w:rFonts w:eastAsia="Times New Roman" w:cs="Times New Roman"/>
          <w:lang w:val="en-US"/>
        </w:rPr>
        <w:t>The issue that arises in this appeal is whether Mr. Goforth’s alleged status as a secondary caregiver is a relevant circumstance or an irrelevant personal characteristic. The Crown argues that Mr. Goforth’s role in the household, his belief that his wife had everything well</w:t>
      </w:r>
      <w:r>
        <w:rPr>
          <w:rFonts w:eastAsia="Times New Roman" w:cs="Times New Roman"/>
          <w:lang w:val="en-US"/>
        </w:rPr>
        <w:t xml:space="preserve"> </w:t>
      </w:r>
      <w:r w:rsidRPr="005F5731">
        <w:rPr>
          <w:rFonts w:eastAsia="Times New Roman" w:cs="Times New Roman"/>
          <w:lang w:val="en-US"/>
        </w:rPr>
        <w:t>in</w:t>
      </w:r>
      <w:r>
        <w:rPr>
          <w:rFonts w:eastAsia="Times New Roman" w:cs="Times New Roman"/>
          <w:lang w:val="en-US"/>
        </w:rPr>
        <w:t xml:space="preserve"> </w:t>
      </w:r>
      <w:r w:rsidRPr="005F5731">
        <w:rPr>
          <w:rFonts w:eastAsia="Times New Roman" w:cs="Times New Roman"/>
          <w:lang w:val="en-US"/>
        </w:rPr>
        <w:t xml:space="preserve">hand, and his work schedule were irrelevant to the assessment of the objective </w:t>
      </w:r>
      <w:r w:rsidRPr="005F5731">
        <w:rPr>
          <w:rFonts w:eastAsia="Times New Roman" w:cs="Times New Roman"/>
          <w:i/>
          <w:lang w:val="en-US"/>
        </w:rPr>
        <w:t xml:space="preserve">mens rea </w:t>
      </w:r>
      <w:r w:rsidRPr="005F5731">
        <w:rPr>
          <w:rFonts w:eastAsia="Times New Roman" w:cs="Times New Roman"/>
          <w:lang w:val="en-US"/>
        </w:rPr>
        <w:t>for s. 215. Mr. Goforth argues</w:t>
      </w:r>
      <w:r w:rsidRPr="005F5731">
        <w:rPr>
          <w:rFonts w:eastAsia="Times New Roman" w:cs="Times New Roman"/>
          <w:lang w:val="en-US" w:bidi="en-US"/>
        </w:rPr>
        <w:t xml:space="preserve"> that the trial judge failed to adequately instruct the jury </w:t>
      </w:r>
      <w:r>
        <w:rPr>
          <w:rFonts w:eastAsia="Times New Roman" w:cs="Times New Roman"/>
          <w:lang w:val="en-US" w:bidi="en-US"/>
        </w:rPr>
        <w:t>on</w:t>
      </w:r>
      <w:r w:rsidRPr="005F5731">
        <w:rPr>
          <w:rFonts w:eastAsia="Times New Roman" w:cs="Times New Roman"/>
          <w:lang w:val="en-US" w:bidi="en-US"/>
        </w:rPr>
        <w:t xml:space="preserve"> his circumstances as </w:t>
      </w:r>
      <w:r>
        <w:rPr>
          <w:rFonts w:eastAsia="Times New Roman" w:cs="Times New Roman"/>
          <w:lang w:val="en-US" w:bidi="en-US"/>
        </w:rPr>
        <w:t>the</w:t>
      </w:r>
      <w:r w:rsidRPr="005F5731">
        <w:rPr>
          <w:rFonts w:eastAsia="Times New Roman" w:cs="Times New Roman"/>
          <w:lang w:val="en-US" w:bidi="en-US"/>
        </w:rPr>
        <w:t xml:space="preserve"> less involved parent, which deprived the jury of critical information about whether</w:t>
      </w:r>
      <w:r w:rsidRPr="005F5731">
        <w:rPr>
          <w:rFonts w:eastAsia="Times New Roman" w:cs="Times New Roman"/>
          <w:lang w:bidi="en-US"/>
        </w:rPr>
        <w:t xml:space="preserve"> he had the capacity to foresee the risk of harm to the girls.</w:t>
      </w:r>
    </w:p>
    <w:p w:rsidR="00F406B9" w:rsidRPr="005F5731" w:rsidRDefault="00F406B9" w:rsidP="00F406B9">
      <w:pPr>
        <w:pStyle w:val="ParaNoNdepar-AltN"/>
        <w:rPr>
          <w:rFonts w:eastAsia="Times New Roman" w:cs="Times New Roman"/>
          <w:lang w:val="en-US"/>
        </w:rPr>
      </w:pPr>
      <w:r w:rsidRPr="005F5731">
        <w:rPr>
          <w:rFonts w:eastAsia="Times New Roman" w:cs="Times New Roman"/>
          <w:lang w:val="en-US"/>
        </w:rPr>
        <w:lastRenderedPageBreak/>
        <w:t xml:space="preserve">The majority </w:t>
      </w:r>
      <w:r>
        <w:rPr>
          <w:rFonts w:eastAsia="Times New Roman" w:cs="Times New Roman"/>
          <w:lang w:val="en-US"/>
        </w:rPr>
        <w:t>of</w:t>
      </w:r>
      <w:r w:rsidRPr="005F5731">
        <w:rPr>
          <w:rFonts w:eastAsia="Times New Roman" w:cs="Times New Roman"/>
          <w:lang w:val="en-US"/>
        </w:rPr>
        <w:t xml:space="preserve"> the Court of Appeal highlighted evidence relating to five circumstances that </w:t>
      </w:r>
      <w:r>
        <w:rPr>
          <w:rFonts w:eastAsia="Times New Roman" w:cs="Times New Roman"/>
          <w:lang w:val="en-US"/>
        </w:rPr>
        <w:t>it</w:t>
      </w:r>
      <w:r w:rsidRPr="005F5731">
        <w:rPr>
          <w:rFonts w:eastAsia="Times New Roman" w:cs="Times New Roman"/>
          <w:lang w:val="en-US"/>
        </w:rPr>
        <w:t xml:space="preserve"> believed were “critical to the question as to whether Mr. </w:t>
      </w:r>
      <w:r>
        <w:rPr>
          <w:rFonts w:eastAsia="Times New Roman" w:cs="Times New Roman"/>
          <w:lang w:val="en-US"/>
        </w:rPr>
        <w:t>[</w:t>
      </w:r>
      <w:r w:rsidRPr="005F5731">
        <w:rPr>
          <w:rFonts w:eastAsia="Times New Roman" w:cs="Times New Roman"/>
          <w:lang w:val="en-US"/>
        </w:rPr>
        <w:t>Goforth</w:t>
      </w:r>
      <w:r>
        <w:rPr>
          <w:rFonts w:eastAsia="Times New Roman" w:cs="Times New Roman"/>
          <w:lang w:val="en-US"/>
        </w:rPr>
        <w:t>]</w:t>
      </w:r>
      <w:r w:rsidRPr="005F5731">
        <w:rPr>
          <w:rFonts w:eastAsia="Times New Roman" w:cs="Times New Roman"/>
          <w:lang w:val="en-US"/>
        </w:rPr>
        <w:t xml:space="preserve"> had the necessary moral culpability”: </w:t>
      </w:r>
      <w:r>
        <w:rPr>
          <w:rFonts w:eastAsia="Times New Roman" w:cs="Times New Roman"/>
          <w:lang w:val="en-US"/>
        </w:rPr>
        <w:t>(</w:t>
      </w:r>
      <w:r w:rsidRPr="005F5731">
        <w:rPr>
          <w:rFonts w:eastAsia="Times New Roman" w:cs="Times New Roman"/>
          <w:lang w:val="en-US"/>
        </w:rPr>
        <w:t xml:space="preserve">a) his alleged lack of involvement in providing necessaries for the girls; </w:t>
      </w:r>
      <w:r>
        <w:rPr>
          <w:rFonts w:eastAsia="Times New Roman" w:cs="Times New Roman"/>
          <w:lang w:val="en-US"/>
        </w:rPr>
        <w:t>(</w:t>
      </w:r>
      <w:r w:rsidRPr="005F5731">
        <w:rPr>
          <w:rFonts w:eastAsia="Times New Roman" w:cs="Times New Roman"/>
          <w:lang w:val="en-US"/>
        </w:rPr>
        <w:t xml:space="preserve">b) his alleged reliance on Ms. Goforth as the person who </w:t>
      </w:r>
      <w:r>
        <w:rPr>
          <w:rFonts w:eastAsia="Times New Roman" w:cs="Times New Roman"/>
          <w:lang w:val="en-US"/>
        </w:rPr>
        <w:t>would feed and</w:t>
      </w:r>
      <w:r w:rsidRPr="005F5731">
        <w:rPr>
          <w:rFonts w:eastAsia="Times New Roman" w:cs="Times New Roman"/>
          <w:lang w:val="en-US"/>
        </w:rPr>
        <w:t xml:space="preserve"> clothe</w:t>
      </w:r>
      <w:r>
        <w:rPr>
          <w:rFonts w:eastAsia="Times New Roman" w:cs="Times New Roman"/>
          <w:lang w:val="en-US"/>
        </w:rPr>
        <w:t xml:space="preserve"> the girls</w:t>
      </w:r>
      <w:r w:rsidRPr="005F5731">
        <w:rPr>
          <w:rFonts w:eastAsia="Times New Roman" w:cs="Times New Roman"/>
          <w:lang w:val="en-US"/>
        </w:rPr>
        <w:t xml:space="preserve"> and see to the</w:t>
      </w:r>
      <w:r>
        <w:rPr>
          <w:rFonts w:eastAsia="Times New Roman" w:cs="Times New Roman"/>
          <w:lang w:val="en-US"/>
        </w:rPr>
        <w:t>ir</w:t>
      </w:r>
      <w:r w:rsidRPr="005F5731">
        <w:rPr>
          <w:rFonts w:eastAsia="Times New Roman" w:cs="Times New Roman"/>
          <w:lang w:val="en-US"/>
        </w:rPr>
        <w:t xml:space="preserve"> needs; </w:t>
      </w:r>
      <w:r>
        <w:rPr>
          <w:rFonts w:eastAsia="Times New Roman" w:cs="Times New Roman"/>
          <w:lang w:val="en-US"/>
        </w:rPr>
        <w:t>(</w:t>
      </w:r>
      <w:r w:rsidRPr="005F5731">
        <w:rPr>
          <w:rFonts w:eastAsia="Times New Roman" w:cs="Times New Roman"/>
          <w:lang w:val="en-US"/>
        </w:rPr>
        <w:t xml:space="preserve">c) the girls’ history of recurring illness and recovery under the care of Ms. Goforth; </w:t>
      </w:r>
      <w:r>
        <w:rPr>
          <w:rFonts w:eastAsia="Times New Roman" w:cs="Times New Roman"/>
          <w:lang w:val="en-US"/>
        </w:rPr>
        <w:t>(</w:t>
      </w:r>
      <w:r w:rsidRPr="005F5731">
        <w:rPr>
          <w:rFonts w:eastAsia="Times New Roman" w:cs="Times New Roman"/>
          <w:lang w:val="en-US"/>
        </w:rPr>
        <w:t xml:space="preserve">d) his alleged limited interactions with the girls, including that he never saw them unclothed; and </w:t>
      </w:r>
      <w:r>
        <w:rPr>
          <w:rFonts w:eastAsia="Times New Roman" w:cs="Times New Roman"/>
          <w:lang w:val="en-US"/>
        </w:rPr>
        <w:t>(</w:t>
      </w:r>
      <w:r w:rsidRPr="005F5731">
        <w:rPr>
          <w:rFonts w:eastAsia="Times New Roman" w:cs="Times New Roman"/>
          <w:lang w:val="en-US"/>
        </w:rPr>
        <w:t xml:space="preserve">e) his evidence that the girls were picky eaters but </w:t>
      </w:r>
      <w:r>
        <w:rPr>
          <w:rFonts w:eastAsia="Times New Roman" w:cs="Times New Roman"/>
          <w:lang w:val="en-US"/>
        </w:rPr>
        <w:t xml:space="preserve">that </w:t>
      </w:r>
      <w:r w:rsidRPr="005F5731">
        <w:rPr>
          <w:rFonts w:eastAsia="Times New Roman" w:cs="Times New Roman"/>
          <w:lang w:val="en-US"/>
        </w:rPr>
        <w:t xml:space="preserve">he observed them eating and drinking and they were never refused either </w:t>
      </w:r>
      <w:r>
        <w:rPr>
          <w:rFonts w:eastAsia="Times New Roman" w:cs="Times New Roman"/>
          <w:lang w:val="en-US"/>
        </w:rPr>
        <w:t xml:space="preserve">food or drink </w:t>
      </w:r>
      <w:r w:rsidRPr="005F5731">
        <w:rPr>
          <w:rFonts w:eastAsia="Times New Roman" w:cs="Times New Roman"/>
          <w:lang w:val="en-US"/>
        </w:rPr>
        <w:t>(para. 199).</w:t>
      </w:r>
    </w:p>
    <w:p w:rsidR="00F406B9" w:rsidRPr="005F5731" w:rsidRDefault="00F406B9" w:rsidP="00F406B9">
      <w:pPr>
        <w:pStyle w:val="ParaNoNdepar-AltN"/>
        <w:rPr>
          <w:rFonts w:eastAsia="Times New Roman" w:cs="Times New Roman"/>
          <w:b/>
        </w:rPr>
      </w:pPr>
      <w:r w:rsidRPr="005F5731">
        <w:rPr>
          <w:rFonts w:eastAsia="Times New Roman" w:cs="Times New Roman"/>
        </w:rPr>
        <w:t>In contrast to the majority, Caldwell J.A., in dissent, held that “the nature or characteristics of Mr. </w:t>
      </w:r>
      <w:r>
        <w:rPr>
          <w:rFonts w:eastAsia="Times New Roman" w:cs="Times New Roman"/>
        </w:rPr>
        <w:t>[</w:t>
      </w:r>
      <w:r w:rsidRPr="005F5731">
        <w:rPr>
          <w:rFonts w:eastAsia="Times New Roman" w:cs="Times New Roman"/>
        </w:rPr>
        <w:t>Goforth</w:t>
      </w:r>
      <w:r>
        <w:rPr>
          <w:rFonts w:eastAsia="Times New Roman" w:cs="Times New Roman"/>
        </w:rPr>
        <w:t>]</w:t>
      </w:r>
      <w:r w:rsidRPr="005F5731">
        <w:rPr>
          <w:rFonts w:eastAsia="Times New Roman" w:cs="Times New Roman"/>
        </w:rPr>
        <w:t xml:space="preserve">’s relationship with his spouse are ‘individualized excusing conditions’” and that, as </w:t>
      </w:r>
      <w:r>
        <w:rPr>
          <w:rFonts w:eastAsia="Times New Roman" w:cs="Times New Roman"/>
        </w:rPr>
        <w:t>a result</w:t>
      </w:r>
      <w:r w:rsidRPr="005F5731">
        <w:rPr>
          <w:rFonts w:eastAsia="Times New Roman" w:cs="Times New Roman"/>
        </w:rPr>
        <w:t>, “Mr. </w:t>
      </w:r>
      <w:r>
        <w:rPr>
          <w:rFonts w:eastAsia="Times New Roman" w:cs="Times New Roman"/>
        </w:rPr>
        <w:t>[</w:t>
      </w:r>
      <w:r w:rsidRPr="005F5731">
        <w:rPr>
          <w:rFonts w:eastAsia="Times New Roman" w:cs="Times New Roman"/>
        </w:rPr>
        <w:t>Goforth</w:t>
      </w:r>
      <w:r>
        <w:rPr>
          <w:rFonts w:eastAsia="Times New Roman" w:cs="Times New Roman"/>
        </w:rPr>
        <w:t>]</w:t>
      </w:r>
      <w:r w:rsidRPr="005F5731">
        <w:rPr>
          <w:rFonts w:eastAsia="Times New Roman" w:cs="Times New Roman"/>
        </w:rPr>
        <w:t xml:space="preserve">’s spousal relationship is personal to him </w:t>
      </w:r>
      <w:proofErr w:type="gramStart"/>
      <w:r w:rsidRPr="005F5731">
        <w:rPr>
          <w:rFonts w:eastAsia="Times New Roman" w:cs="Times New Roman"/>
        </w:rPr>
        <w:t>and .</w:t>
      </w:r>
      <w:proofErr w:type="gramEnd"/>
      <w:r w:rsidRPr="005F5731">
        <w:rPr>
          <w:rFonts w:eastAsia="Times New Roman" w:cs="Times New Roman"/>
        </w:rPr>
        <w:t xml:space="preserve"> . . is not relevant in an objective </w:t>
      </w:r>
      <w:r w:rsidRPr="005F5731">
        <w:rPr>
          <w:rFonts w:eastAsia="Times New Roman" w:cs="Times New Roman"/>
          <w:i/>
        </w:rPr>
        <w:t xml:space="preserve">mens rea </w:t>
      </w:r>
      <w:r w:rsidRPr="005F5731">
        <w:rPr>
          <w:rFonts w:eastAsia="Times New Roman" w:cs="Times New Roman"/>
        </w:rPr>
        <w:t>inquiry” (paras. 108</w:t>
      </w:r>
      <w:r w:rsidRPr="005F5731">
        <w:rPr>
          <w:rFonts w:eastAsia="Times New Roman" w:cs="Times New Roman"/>
        </w:rPr>
        <w:noBreakHyphen/>
        <w:t>9).</w:t>
      </w:r>
    </w:p>
    <w:p w:rsidR="00F406B9" w:rsidRPr="005F5731" w:rsidRDefault="00F406B9" w:rsidP="00F406B9">
      <w:pPr>
        <w:pStyle w:val="ParaNoNdepar-AltN"/>
        <w:rPr>
          <w:rFonts w:eastAsia="Times New Roman" w:cs="Times New Roman"/>
          <w:lang w:bidi="en-US"/>
        </w:rPr>
      </w:pPr>
      <w:r w:rsidRPr="005F5731">
        <w:rPr>
          <w:rFonts w:eastAsia="Times New Roman" w:cs="Times New Roman"/>
          <w:lang w:bidi="en-US"/>
        </w:rPr>
        <w:t xml:space="preserve">With respect, neither the majority nor the dissent </w:t>
      </w:r>
      <w:r>
        <w:rPr>
          <w:rFonts w:eastAsia="Times New Roman" w:cs="Times New Roman"/>
          <w:lang w:bidi="en-US"/>
        </w:rPr>
        <w:t>in</w:t>
      </w:r>
      <w:r w:rsidRPr="005F5731">
        <w:rPr>
          <w:rFonts w:eastAsia="Times New Roman" w:cs="Times New Roman"/>
          <w:lang w:bidi="en-US"/>
        </w:rPr>
        <w:t xml:space="preserve"> the Court of Appeal accurately characterized the relevant circumstances in this case. The dissent, on the one hand, described the relevant circumstances</w:t>
      </w:r>
      <w:r>
        <w:rPr>
          <w:rFonts w:eastAsia="Times New Roman" w:cs="Times New Roman"/>
          <w:lang w:bidi="en-US"/>
        </w:rPr>
        <w:t xml:space="preserve"> </w:t>
      </w:r>
      <w:r w:rsidRPr="005F5731">
        <w:rPr>
          <w:rFonts w:eastAsia="Times New Roman" w:cs="Times New Roman"/>
          <w:lang w:bidi="en-US"/>
        </w:rPr>
        <w:t xml:space="preserve">too narrowly. The existence or nature of a spousal relationship </w:t>
      </w:r>
      <w:r w:rsidRPr="005F5731">
        <w:rPr>
          <w:rFonts w:eastAsia="Times New Roman" w:cs="Times New Roman"/>
          <w:i/>
          <w:lang w:bidi="en-US"/>
        </w:rPr>
        <w:t>can</w:t>
      </w:r>
      <w:r w:rsidRPr="005F5731">
        <w:rPr>
          <w:rFonts w:eastAsia="Times New Roman" w:cs="Times New Roman"/>
          <w:lang w:bidi="en-US"/>
        </w:rPr>
        <w:t xml:space="preserve"> be considered a relevant circumstance — the circumstances of a single parent may be significantly different than the circumstances of a parent in a two-parent home. Similarly, the work schedule and physical absence of one parent may be a relevant circumstance</w:t>
      </w:r>
      <w:r>
        <w:rPr>
          <w:rFonts w:eastAsia="Times New Roman" w:cs="Times New Roman"/>
          <w:lang w:bidi="en-US"/>
        </w:rPr>
        <w:t>,</w:t>
      </w:r>
      <w:r w:rsidRPr="005F5731">
        <w:rPr>
          <w:rFonts w:eastAsia="Times New Roman" w:cs="Times New Roman"/>
          <w:lang w:bidi="en-US"/>
        </w:rPr>
        <w:t xml:space="preserve"> depending on the particular factual matrix.</w:t>
      </w:r>
    </w:p>
    <w:p w:rsidR="00F406B9" w:rsidRPr="005F5731" w:rsidRDefault="00F406B9" w:rsidP="00F406B9">
      <w:pPr>
        <w:pStyle w:val="ParaNoNdepar-AltN"/>
        <w:rPr>
          <w:rFonts w:eastAsia="Times New Roman" w:cs="Times New Roman"/>
          <w:lang w:bidi="en-US"/>
        </w:rPr>
      </w:pPr>
      <w:r w:rsidRPr="005F5731">
        <w:rPr>
          <w:rFonts w:eastAsia="Times New Roman" w:cs="Times New Roman"/>
          <w:lang w:bidi="en-US"/>
        </w:rPr>
        <w:lastRenderedPageBreak/>
        <w:t xml:space="preserve">The majority, on the other hand, adopted an overly broad conceptualization of circumstances. Contrary to the </w:t>
      </w:r>
      <w:r>
        <w:rPr>
          <w:rFonts w:eastAsia="Times New Roman" w:cs="Times New Roman"/>
          <w:lang w:bidi="en-US"/>
        </w:rPr>
        <w:t xml:space="preserve">majority’s </w:t>
      </w:r>
      <w:r w:rsidRPr="005F5731">
        <w:rPr>
          <w:rFonts w:eastAsia="Times New Roman" w:cs="Times New Roman"/>
          <w:lang w:bidi="en-US"/>
        </w:rPr>
        <w:t>conclusion, Mr. Goforth’s “alleged lack of involvement in providing necessaries for the girls” is not a circumstance in which the reasonabl</w:t>
      </w:r>
      <w:r>
        <w:rPr>
          <w:rFonts w:eastAsia="Times New Roman" w:cs="Times New Roman"/>
          <w:lang w:bidi="en-US"/>
        </w:rPr>
        <w:t xml:space="preserve">e </w:t>
      </w:r>
      <w:r w:rsidRPr="005F5731">
        <w:rPr>
          <w:rFonts w:eastAsia="Times New Roman" w:cs="Times New Roman"/>
          <w:lang w:bidi="en-US"/>
        </w:rPr>
        <w:t>person needed to be placed</w:t>
      </w:r>
      <w:r>
        <w:rPr>
          <w:rFonts w:eastAsia="Times New Roman" w:cs="Times New Roman"/>
          <w:lang w:bidi="en-US"/>
        </w:rPr>
        <w:t xml:space="preserve"> (C.A. reasons, at para. 199)</w:t>
      </w:r>
      <w:r w:rsidRPr="005F5731">
        <w:rPr>
          <w:rFonts w:eastAsia="Times New Roman" w:cs="Times New Roman"/>
          <w:lang w:bidi="en-US"/>
        </w:rPr>
        <w:t xml:space="preserve">. Indeed, given that Mr. Goforth was physically in the </w:t>
      </w:r>
      <w:r>
        <w:rPr>
          <w:rFonts w:eastAsia="Times New Roman" w:cs="Times New Roman"/>
          <w:lang w:bidi="en-US"/>
        </w:rPr>
        <w:t xml:space="preserve">children’s </w:t>
      </w:r>
      <w:r w:rsidRPr="005F5731">
        <w:rPr>
          <w:rFonts w:eastAsia="Times New Roman" w:cs="Times New Roman"/>
          <w:lang w:bidi="en-US"/>
        </w:rPr>
        <w:t>presence on a daily basis, his alleged lack of involvement in providing necessaries for the</w:t>
      </w:r>
      <w:r>
        <w:rPr>
          <w:rFonts w:eastAsia="Times New Roman" w:cs="Times New Roman"/>
          <w:lang w:bidi="en-US"/>
        </w:rPr>
        <w:t>m</w:t>
      </w:r>
      <w:r w:rsidRPr="005F5731">
        <w:rPr>
          <w:rFonts w:eastAsia="Times New Roman" w:cs="Times New Roman"/>
          <w:lang w:bidi="en-US"/>
        </w:rPr>
        <w:t xml:space="preserve"> cannot be characterized as a circumstance. Rather, it constitute</w:t>
      </w:r>
      <w:r>
        <w:rPr>
          <w:rFonts w:eastAsia="Times New Roman" w:cs="Times New Roman"/>
          <w:lang w:bidi="en-US"/>
        </w:rPr>
        <w:t>s</w:t>
      </w:r>
      <w:r w:rsidRPr="005F5731">
        <w:rPr>
          <w:rFonts w:eastAsia="Times New Roman" w:cs="Times New Roman"/>
          <w:lang w:bidi="en-US"/>
        </w:rPr>
        <w:t xml:space="preserve"> an essential element of the </w:t>
      </w:r>
      <w:r w:rsidRPr="005F5731">
        <w:rPr>
          <w:rFonts w:eastAsia="Times New Roman" w:cs="Times New Roman"/>
          <w:i/>
          <w:lang w:bidi="en-US"/>
        </w:rPr>
        <w:t xml:space="preserve">actus </w:t>
      </w:r>
      <w:proofErr w:type="gramStart"/>
      <w:r w:rsidRPr="005F5731">
        <w:rPr>
          <w:rFonts w:eastAsia="Times New Roman" w:cs="Times New Roman"/>
          <w:i/>
          <w:lang w:bidi="en-US"/>
        </w:rPr>
        <w:t>reus</w:t>
      </w:r>
      <w:proofErr w:type="gramEnd"/>
      <w:r w:rsidRPr="005F5731">
        <w:rPr>
          <w:rFonts w:eastAsia="Times New Roman" w:cs="Times New Roman"/>
          <w:lang w:bidi="en-US"/>
        </w:rPr>
        <w:t xml:space="preserve">. Mr. Goforth had a duty to provide </w:t>
      </w:r>
      <w:r>
        <w:rPr>
          <w:rFonts w:eastAsia="Times New Roman" w:cs="Times New Roman"/>
          <w:lang w:bidi="en-US"/>
        </w:rPr>
        <w:t>necessaries of</w:t>
      </w:r>
      <w:r w:rsidRPr="005F5731">
        <w:rPr>
          <w:rFonts w:eastAsia="Times New Roman" w:cs="Times New Roman"/>
          <w:lang w:bidi="en-US"/>
        </w:rPr>
        <w:t xml:space="preserve"> life to the children</w:t>
      </w:r>
      <w:r w:rsidRPr="00C6191D">
        <w:rPr>
          <w:rFonts w:eastAsia="Times New Roman" w:cs="Times New Roman"/>
          <w:lang w:bidi="en-US"/>
        </w:rPr>
        <w:t>.</w:t>
      </w:r>
      <w:r w:rsidRPr="005F5731">
        <w:rPr>
          <w:rFonts w:eastAsia="Times New Roman" w:cs="Times New Roman"/>
          <w:i/>
          <w:lang w:bidi="en-US"/>
        </w:rPr>
        <w:t xml:space="preserve"> </w:t>
      </w:r>
      <w:r w:rsidRPr="005F5731">
        <w:rPr>
          <w:rFonts w:eastAsia="Times New Roman" w:cs="Times New Roman"/>
          <w:lang w:bidi="en-US"/>
        </w:rPr>
        <w:t>His utter neglect of the</w:t>
      </w:r>
      <w:r>
        <w:rPr>
          <w:rFonts w:eastAsia="Times New Roman" w:cs="Times New Roman"/>
          <w:lang w:bidi="en-US"/>
        </w:rPr>
        <w:t>m</w:t>
      </w:r>
      <w:r w:rsidRPr="005F5731">
        <w:rPr>
          <w:rFonts w:eastAsia="Times New Roman" w:cs="Times New Roman"/>
          <w:lang w:bidi="en-US"/>
        </w:rPr>
        <w:t xml:space="preserve"> is not a circumstance that can ground his failure to foresee the risk of harm.</w:t>
      </w:r>
    </w:p>
    <w:p w:rsidR="00F406B9" w:rsidRPr="005F5731" w:rsidRDefault="00F406B9" w:rsidP="00F406B9">
      <w:pPr>
        <w:pStyle w:val="ParaNoNdepar-AltN"/>
        <w:rPr>
          <w:rFonts w:eastAsia="Times New Roman" w:cs="Times New Roman"/>
          <w:lang w:bidi="en-US"/>
        </w:rPr>
      </w:pPr>
      <w:r w:rsidRPr="005F5731">
        <w:rPr>
          <w:rFonts w:eastAsia="Times New Roman" w:cs="Times New Roman"/>
          <w:lang w:bidi="en-US"/>
        </w:rPr>
        <w:t>I acknowledge that the other four purporte</w:t>
      </w:r>
      <w:r>
        <w:rPr>
          <w:rFonts w:eastAsia="Times New Roman" w:cs="Times New Roman"/>
          <w:lang w:bidi="en-US"/>
        </w:rPr>
        <w:t xml:space="preserve">d circumstances (listed in (b) to </w:t>
      </w:r>
      <w:r w:rsidRPr="005F5731">
        <w:rPr>
          <w:rFonts w:eastAsia="Times New Roman" w:cs="Times New Roman"/>
          <w:lang w:bidi="en-US"/>
        </w:rPr>
        <w:t xml:space="preserve">(e) </w:t>
      </w:r>
      <w:r>
        <w:rPr>
          <w:rFonts w:eastAsia="Times New Roman" w:cs="Times New Roman"/>
          <w:lang w:bidi="en-US"/>
        </w:rPr>
        <w:t>at</w:t>
      </w:r>
      <w:r w:rsidRPr="005F5731">
        <w:rPr>
          <w:rFonts w:eastAsia="Times New Roman" w:cs="Times New Roman"/>
          <w:lang w:bidi="en-US"/>
        </w:rPr>
        <w:t xml:space="preserve"> para. 43, above) </w:t>
      </w:r>
      <w:r w:rsidRPr="005F5731">
        <w:rPr>
          <w:rFonts w:eastAsia="Times New Roman" w:cs="Times New Roman"/>
          <w:i/>
          <w:lang w:bidi="en-US"/>
        </w:rPr>
        <w:t>could</w:t>
      </w:r>
      <w:r w:rsidRPr="005F5731">
        <w:rPr>
          <w:rFonts w:eastAsia="Times New Roman" w:cs="Times New Roman"/>
          <w:lang w:bidi="en-US"/>
        </w:rPr>
        <w:t xml:space="preserve"> be legally relevant. However, contrary to the conclusion of the majority </w:t>
      </w:r>
      <w:r>
        <w:rPr>
          <w:rFonts w:eastAsia="Times New Roman" w:cs="Times New Roman"/>
          <w:lang w:bidi="en-US"/>
        </w:rPr>
        <w:t>of</w:t>
      </w:r>
      <w:r w:rsidRPr="005F5731">
        <w:rPr>
          <w:rFonts w:eastAsia="Times New Roman" w:cs="Times New Roman"/>
          <w:lang w:bidi="en-US"/>
        </w:rPr>
        <w:t xml:space="preserve"> the Court of Appeal, none of these circumstances were “critical” to the jury’s assessment of Mr. Goforth’s “moral culpability”. Indeed, none of these circumstances were material to the jury’s consideration </w:t>
      </w:r>
      <w:r>
        <w:rPr>
          <w:rFonts w:eastAsia="Times New Roman" w:cs="Times New Roman"/>
          <w:lang w:bidi="en-US"/>
        </w:rPr>
        <w:t>of</w:t>
      </w:r>
      <w:r w:rsidRPr="005F5731">
        <w:rPr>
          <w:rFonts w:eastAsia="Times New Roman" w:cs="Times New Roman"/>
          <w:lang w:bidi="en-US"/>
        </w:rPr>
        <w:t xml:space="preserve"> whether Mr. Goforth had the requisite foresight to be criminally liable under s. 215. In light of the evidence relating to the </w:t>
      </w:r>
      <w:r>
        <w:rPr>
          <w:rFonts w:eastAsia="Times New Roman" w:cs="Times New Roman"/>
          <w:lang w:bidi="en-US"/>
        </w:rPr>
        <w:t xml:space="preserve">children’s </w:t>
      </w:r>
      <w:r w:rsidRPr="005F5731">
        <w:rPr>
          <w:rFonts w:eastAsia="Times New Roman" w:cs="Times New Roman"/>
          <w:lang w:bidi="en-US"/>
        </w:rPr>
        <w:t xml:space="preserve">deplorable </w:t>
      </w:r>
      <w:r>
        <w:rPr>
          <w:rFonts w:eastAsia="Times New Roman" w:cs="Times New Roman"/>
          <w:lang w:bidi="en-US"/>
        </w:rPr>
        <w:t>and heart</w:t>
      </w:r>
      <w:r>
        <w:rPr>
          <w:rFonts w:eastAsia="Times New Roman" w:cs="Times New Roman"/>
          <w:lang w:bidi="en-US"/>
        </w:rPr>
        <w:noBreakHyphen/>
      </w:r>
      <w:r w:rsidRPr="005F5731">
        <w:rPr>
          <w:rFonts w:eastAsia="Times New Roman" w:cs="Times New Roman"/>
          <w:lang w:bidi="en-US"/>
        </w:rPr>
        <w:t>wrenching condition, none of these alleged circumstances could have possibly prevented Mr. Goforth from foreseeing the risk of harm to the</w:t>
      </w:r>
      <w:r>
        <w:rPr>
          <w:rFonts w:eastAsia="Times New Roman" w:cs="Times New Roman"/>
          <w:lang w:bidi="en-US"/>
        </w:rPr>
        <w:t>m</w:t>
      </w:r>
      <w:r w:rsidRPr="005F5731">
        <w:rPr>
          <w:rFonts w:eastAsia="Times New Roman" w:cs="Times New Roman"/>
          <w:lang w:bidi="en-US"/>
        </w:rPr>
        <w:t xml:space="preserve">. </w:t>
      </w:r>
      <w:r>
        <w:rPr>
          <w:rFonts w:eastAsia="Times New Roman" w:cs="Times New Roman"/>
          <w:lang w:bidi="en-US"/>
        </w:rPr>
        <w:t>According to</w:t>
      </w:r>
      <w:r w:rsidRPr="005F5731">
        <w:rPr>
          <w:rFonts w:eastAsia="Times New Roman" w:cs="Times New Roman"/>
          <w:lang w:bidi="en-US"/>
        </w:rPr>
        <w:t xml:space="preserve"> his own evidence, Mr. Goforth ate dinner with all of the children</w:t>
      </w:r>
      <w:r>
        <w:rPr>
          <w:rFonts w:eastAsia="Times New Roman" w:cs="Times New Roman"/>
          <w:lang w:bidi="en-US"/>
        </w:rPr>
        <w:t xml:space="preserve"> — the </w:t>
      </w:r>
      <w:proofErr w:type="spellStart"/>
      <w:r>
        <w:rPr>
          <w:rFonts w:eastAsia="Times New Roman" w:cs="Times New Roman"/>
          <w:lang w:bidi="en-US"/>
        </w:rPr>
        <w:t>Goforths</w:t>
      </w:r>
      <w:proofErr w:type="spellEnd"/>
      <w:r>
        <w:rPr>
          <w:rFonts w:eastAsia="Times New Roman" w:cs="Times New Roman"/>
          <w:lang w:bidi="en-US"/>
        </w:rPr>
        <w:t>’ own children and their foster children — </w:t>
      </w:r>
      <w:r w:rsidRPr="005F5731">
        <w:rPr>
          <w:rFonts w:eastAsia="Times New Roman" w:cs="Times New Roman"/>
          <w:lang w:bidi="en-US"/>
        </w:rPr>
        <w:t xml:space="preserve">almost every evening. He testified that the girls got sick </w:t>
      </w:r>
      <w:r>
        <w:rPr>
          <w:rFonts w:eastAsia="Times New Roman" w:cs="Times New Roman"/>
          <w:lang w:bidi="en-US"/>
        </w:rPr>
        <w:t xml:space="preserve">about </w:t>
      </w:r>
      <w:r w:rsidRPr="005F5731">
        <w:rPr>
          <w:rFonts w:eastAsia="Times New Roman" w:cs="Times New Roman"/>
          <w:lang w:bidi="en-US"/>
        </w:rPr>
        <w:t xml:space="preserve">twice a month but </w:t>
      </w:r>
      <w:r>
        <w:rPr>
          <w:rFonts w:eastAsia="Times New Roman" w:cs="Times New Roman"/>
          <w:lang w:bidi="en-US"/>
        </w:rPr>
        <w:t xml:space="preserve">that </w:t>
      </w:r>
      <w:r w:rsidRPr="005F5731">
        <w:rPr>
          <w:rFonts w:eastAsia="Times New Roman" w:cs="Times New Roman"/>
          <w:lang w:bidi="en-US"/>
        </w:rPr>
        <w:t xml:space="preserve">at no point did he think </w:t>
      </w:r>
      <w:r>
        <w:rPr>
          <w:rFonts w:eastAsia="Times New Roman" w:cs="Times New Roman"/>
          <w:lang w:bidi="en-US"/>
        </w:rPr>
        <w:t>he or Ms. Goforth</w:t>
      </w:r>
      <w:r w:rsidRPr="005F5731">
        <w:rPr>
          <w:rFonts w:eastAsia="Times New Roman" w:cs="Times New Roman"/>
          <w:lang w:bidi="en-US"/>
        </w:rPr>
        <w:t xml:space="preserve"> should call the doctor or the free health line. He was well</w:t>
      </w:r>
      <w:r>
        <w:rPr>
          <w:rFonts w:eastAsia="Times New Roman" w:cs="Times New Roman"/>
          <w:lang w:bidi="en-US"/>
        </w:rPr>
        <w:t xml:space="preserve"> </w:t>
      </w:r>
      <w:r w:rsidRPr="005F5731">
        <w:rPr>
          <w:rFonts w:eastAsia="Times New Roman" w:cs="Times New Roman"/>
          <w:lang w:bidi="en-US"/>
        </w:rPr>
        <w:t xml:space="preserve">positioned to observe their condition, yet he did nothing. The uncontroverted medical </w:t>
      </w:r>
      <w:r w:rsidRPr="005F5731">
        <w:rPr>
          <w:rFonts w:eastAsia="Times New Roman" w:cs="Times New Roman"/>
          <w:lang w:bidi="en-US"/>
        </w:rPr>
        <w:lastRenderedPageBreak/>
        <w:t>evidence presented at trial indicated that both girls suffered from malnutrition over a prolonged period.</w:t>
      </w:r>
    </w:p>
    <w:p w:rsidR="00F406B9" w:rsidRPr="005F5731" w:rsidRDefault="00F406B9" w:rsidP="00F406B9">
      <w:pPr>
        <w:pStyle w:val="ParaNoNdepar-AltN"/>
        <w:tabs>
          <w:tab w:val="clear" w:pos="1152"/>
          <w:tab w:val="left" w:pos="1166"/>
        </w:tabs>
        <w:rPr>
          <w:rFonts w:eastAsia="Times New Roman" w:cs="Times New Roman"/>
          <w:lang w:bidi="en-US"/>
        </w:rPr>
      </w:pPr>
      <w:r w:rsidRPr="005F5731">
        <w:rPr>
          <w:rFonts w:eastAsia="Times New Roman" w:cs="Times New Roman"/>
          <w:lang w:bidi="en-US"/>
        </w:rPr>
        <w:t>Accordingly, much of the evidence relating to Mr. Goforth’s circumstances — including his alleged reliance on his wife, his alleged limited interaction with the girls, and the girls’ alleged history of being picky eaters and suffering from illness regularly — was immaterial given the evidence of emaciation and neglect. Any reasonabl</w:t>
      </w:r>
      <w:r>
        <w:rPr>
          <w:rFonts w:eastAsia="Times New Roman" w:cs="Times New Roman"/>
          <w:lang w:bidi="en-US"/>
        </w:rPr>
        <w:t>e parent</w:t>
      </w:r>
      <w:r w:rsidRPr="005F5731">
        <w:rPr>
          <w:rFonts w:eastAsia="Times New Roman" w:cs="Times New Roman"/>
          <w:lang w:bidi="en-US"/>
        </w:rPr>
        <w:t xml:space="preserve"> in Mr. Goforth</w:t>
      </w:r>
      <w:r>
        <w:rPr>
          <w:rFonts w:eastAsia="Times New Roman" w:cs="Times New Roman"/>
          <w:lang w:bidi="en-US"/>
        </w:rPr>
        <w:t>’s circumstances</w:t>
      </w:r>
      <w:r w:rsidRPr="005F5731">
        <w:rPr>
          <w:rFonts w:eastAsia="Times New Roman" w:cs="Times New Roman"/>
          <w:lang w:bidi="en-US"/>
        </w:rPr>
        <w:t xml:space="preserve"> would have foreseen the danger and would have taken action.</w:t>
      </w:r>
    </w:p>
    <w:p w:rsidR="00F406B9" w:rsidRPr="005F5731" w:rsidRDefault="00F406B9" w:rsidP="00F406B9">
      <w:pPr>
        <w:pStyle w:val="ParaNoNdepar-AltN"/>
        <w:rPr>
          <w:rFonts w:eastAsia="Times New Roman" w:cs="Times New Roman"/>
          <w:lang w:val="en-US"/>
        </w:rPr>
      </w:pPr>
      <w:r w:rsidRPr="005F5731">
        <w:rPr>
          <w:rFonts w:eastAsia="Times New Roman" w:cs="Times New Roman"/>
          <w:lang w:val="en-US"/>
        </w:rPr>
        <w:t>In any event, the trial judge’s charge sufficiently re</w:t>
      </w:r>
      <w:r>
        <w:rPr>
          <w:rFonts w:eastAsia="Times New Roman" w:cs="Times New Roman"/>
          <w:lang w:val="en-US"/>
        </w:rPr>
        <w:t>cited</w:t>
      </w:r>
      <w:r w:rsidRPr="005F5731">
        <w:rPr>
          <w:rFonts w:eastAsia="Times New Roman" w:cs="Times New Roman"/>
          <w:lang w:val="en-US"/>
        </w:rPr>
        <w:t xml:space="preserve"> the evidence about Mr. Goforth’s alleged circumstances. As mentioned above, trial judges have a duty to “decant and simplify”</w:t>
      </w:r>
      <w:r>
        <w:rPr>
          <w:rFonts w:eastAsia="Times New Roman" w:cs="Times New Roman"/>
          <w:lang w:val="en-US"/>
        </w:rPr>
        <w:t>, and “t</w:t>
      </w:r>
      <w:r w:rsidRPr="005F5731">
        <w:rPr>
          <w:rFonts w:eastAsia="Times New Roman" w:cs="Times New Roman"/>
          <w:lang w:val="en-US"/>
        </w:rPr>
        <w:t>here is no need to state evidence twice where once will do” (</w:t>
      </w:r>
      <w:r w:rsidRPr="005F5731">
        <w:rPr>
          <w:rFonts w:eastAsia="Times New Roman" w:cs="Times New Roman"/>
          <w:i/>
          <w:lang w:val="en-US"/>
        </w:rPr>
        <w:t>Jacquard</w:t>
      </w:r>
      <w:r w:rsidRPr="005F5731">
        <w:rPr>
          <w:rFonts w:eastAsia="Times New Roman" w:cs="Times New Roman"/>
          <w:lang w:val="en-US"/>
        </w:rPr>
        <w:t>, at paras. 13</w:t>
      </w:r>
      <w:r w:rsidRPr="005F5731">
        <w:rPr>
          <w:rFonts w:eastAsia="Times New Roman" w:cs="Times New Roman"/>
          <w:lang w:val="en-US"/>
        </w:rPr>
        <w:noBreakHyphen/>
        <w:t>14).</w:t>
      </w:r>
    </w:p>
    <w:p w:rsidR="00F406B9" w:rsidRPr="005F5731" w:rsidRDefault="00F406B9" w:rsidP="00F406B9">
      <w:pPr>
        <w:pStyle w:val="ParaNoNdepar-AltN"/>
        <w:rPr>
          <w:rFonts w:eastAsia="Times New Roman" w:cs="Times New Roman"/>
          <w:lang w:val="en-US"/>
        </w:rPr>
      </w:pPr>
      <w:r w:rsidRPr="005F5731">
        <w:rPr>
          <w:rFonts w:eastAsia="Times New Roman" w:cs="Times New Roman"/>
          <w:lang w:val="en-US"/>
        </w:rPr>
        <w:t xml:space="preserve">The trial judge instructed the jury </w:t>
      </w:r>
      <w:r>
        <w:rPr>
          <w:rFonts w:eastAsia="Times New Roman" w:cs="Times New Roman"/>
          <w:lang w:val="en-US"/>
        </w:rPr>
        <w:t>multiple</w:t>
      </w:r>
      <w:r w:rsidRPr="005F5731">
        <w:rPr>
          <w:rFonts w:eastAsia="Times New Roman" w:cs="Times New Roman"/>
          <w:lang w:val="en-US"/>
        </w:rPr>
        <w:t xml:space="preserve"> times on Mr. Goforth’s evidence relating to his busy schedule and his </w:t>
      </w:r>
      <w:r>
        <w:rPr>
          <w:rFonts w:eastAsia="Times New Roman" w:cs="Times New Roman"/>
          <w:lang w:val="en-US"/>
        </w:rPr>
        <w:t>purported status</w:t>
      </w:r>
      <w:r w:rsidRPr="005F5731">
        <w:rPr>
          <w:rFonts w:eastAsia="Times New Roman" w:cs="Times New Roman"/>
          <w:lang w:val="en-US"/>
        </w:rPr>
        <w:t xml:space="preserve"> as a </w:t>
      </w:r>
      <w:r>
        <w:rPr>
          <w:rFonts w:eastAsia="Times New Roman" w:cs="Times New Roman"/>
          <w:lang w:val="en-US"/>
        </w:rPr>
        <w:t>secondary caregiver</w:t>
      </w:r>
      <w:r w:rsidRPr="005F5731">
        <w:rPr>
          <w:rFonts w:eastAsia="Times New Roman" w:cs="Times New Roman"/>
          <w:lang w:val="en-US"/>
        </w:rPr>
        <w:t xml:space="preserve">. Although the more detailed description of the evidence </w:t>
      </w:r>
      <w:r>
        <w:rPr>
          <w:rFonts w:eastAsia="Times New Roman" w:cs="Times New Roman"/>
          <w:lang w:val="en-US"/>
        </w:rPr>
        <w:t>was given</w:t>
      </w:r>
      <w:r w:rsidRPr="005F5731">
        <w:rPr>
          <w:rFonts w:eastAsia="Times New Roman" w:cs="Times New Roman"/>
          <w:lang w:val="en-US"/>
        </w:rPr>
        <w:t xml:space="preserve"> in </w:t>
      </w:r>
      <w:r>
        <w:rPr>
          <w:rFonts w:eastAsia="Times New Roman" w:cs="Times New Roman"/>
          <w:lang w:val="en-US"/>
        </w:rPr>
        <w:t>portions</w:t>
      </w:r>
      <w:r w:rsidRPr="005F5731">
        <w:rPr>
          <w:rFonts w:eastAsia="Times New Roman" w:cs="Times New Roman"/>
          <w:lang w:val="en-US"/>
        </w:rPr>
        <w:t xml:space="preserve"> of the charge that discussed the </w:t>
      </w:r>
      <w:r w:rsidRPr="005F5731">
        <w:rPr>
          <w:rFonts w:eastAsia="Times New Roman" w:cs="Times New Roman"/>
          <w:i/>
          <w:lang w:val="en-US"/>
        </w:rPr>
        <w:t xml:space="preserve">actus </w:t>
      </w:r>
      <w:proofErr w:type="gramStart"/>
      <w:r w:rsidRPr="005F5731">
        <w:rPr>
          <w:rFonts w:eastAsia="Times New Roman" w:cs="Times New Roman"/>
          <w:i/>
          <w:lang w:val="en-US"/>
        </w:rPr>
        <w:t>reus</w:t>
      </w:r>
      <w:proofErr w:type="gramEnd"/>
      <w:r w:rsidRPr="005F5731">
        <w:rPr>
          <w:rFonts w:eastAsia="Times New Roman" w:cs="Times New Roman"/>
          <w:lang w:val="en-US"/>
        </w:rPr>
        <w:t xml:space="preserve">, there is no basis to conclude that the trial judge’s comparably brief recitation of the evidence when discussing </w:t>
      </w:r>
      <w:r w:rsidRPr="005F5731">
        <w:rPr>
          <w:rFonts w:eastAsia="Times New Roman" w:cs="Times New Roman"/>
          <w:i/>
          <w:lang w:val="en-US"/>
        </w:rPr>
        <w:t>mens rea</w:t>
      </w:r>
      <w:r w:rsidRPr="005F5731">
        <w:rPr>
          <w:rFonts w:eastAsia="Times New Roman" w:cs="Times New Roman"/>
          <w:lang w:val="en-US"/>
        </w:rPr>
        <w:t xml:space="preserve"> would have caused the jury any confusion. When discussing the relevant </w:t>
      </w:r>
      <w:r w:rsidRPr="005F5731">
        <w:rPr>
          <w:rFonts w:eastAsia="Times New Roman" w:cs="Times New Roman"/>
          <w:i/>
          <w:lang w:val="en-US"/>
        </w:rPr>
        <w:t xml:space="preserve">mens rea </w:t>
      </w:r>
      <w:r w:rsidRPr="005F5731">
        <w:rPr>
          <w:rFonts w:eastAsia="Times New Roman" w:cs="Times New Roman"/>
          <w:lang w:val="en-US"/>
        </w:rPr>
        <w:t>evidence in relation to the older child, the trial judge still instructed the jury to “consider the evidence of Tammy and Kevin </w:t>
      </w:r>
      <w:r>
        <w:rPr>
          <w:rFonts w:eastAsia="Times New Roman" w:cs="Times New Roman"/>
          <w:lang w:val="en-US"/>
        </w:rPr>
        <w:t>Goforth” (</w:t>
      </w:r>
      <w:r w:rsidRPr="005F5731">
        <w:rPr>
          <w:rFonts w:eastAsia="Times New Roman" w:cs="Times New Roman"/>
          <w:lang w:val="en-US"/>
        </w:rPr>
        <w:t>A.R.</w:t>
      </w:r>
      <w:r>
        <w:rPr>
          <w:rFonts w:eastAsia="Times New Roman" w:cs="Times New Roman"/>
          <w:lang w:val="en-US"/>
        </w:rPr>
        <w:t>, v</w:t>
      </w:r>
      <w:r w:rsidRPr="005F5731">
        <w:rPr>
          <w:rFonts w:eastAsia="Times New Roman" w:cs="Times New Roman"/>
          <w:lang w:val="en-US"/>
        </w:rPr>
        <w:t>ol. </w:t>
      </w:r>
      <w:r>
        <w:rPr>
          <w:rFonts w:eastAsia="Times New Roman" w:cs="Times New Roman"/>
          <w:lang w:val="en-US"/>
        </w:rPr>
        <w:t>I</w:t>
      </w:r>
      <w:r w:rsidRPr="005F5731">
        <w:rPr>
          <w:rFonts w:eastAsia="Times New Roman" w:cs="Times New Roman"/>
          <w:lang w:val="en-US"/>
        </w:rPr>
        <w:t xml:space="preserve">, </w:t>
      </w:r>
      <w:r>
        <w:rPr>
          <w:rFonts w:eastAsia="Times New Roman" w:cs="Times New Roman"/>
          <w:lang w:val="en-US"/>
        </w:rPr>
        <w:t xml:space="preserve">at </w:t>
      </w:r>
      <w:r w:rsidRPr="005F5731">
        <w:rPr>
          <w:rFonts w:eastAsia="Times New Roman" w:cs="Times New Roman"/>
          <w:lang w:val="en-US"/>
        </w:rPr>
        <w:t>p. 173</w:t>
      </w:r>
      <w:r>
        <w:rPr>
          <w:rFonts w:eastAsia="Times New Roman" w:cs="Times New Roman"/>
          <w:lang w:val="en-US"/>
        </w:rPr>
        <w:t>)</w:t>
      </w:r>
      <w:r w:rsidRPr="005F5731">
        <w:rPr>
          <w:rFonts w:eastAsia="Times New Roman" w:cs="Times New Roman"/>
          <w:lang w:val="en-US"/>
        </w:rPr>
        <w:t xml:space="preserve">, and then briefly mentioned some of the testimonial evidence. When discussing the relevant </w:t>
      </w:r>
      <w:r w:rsidRPr="005F5731">
        <w:rPr>
          <w:rFonts w:eastAsia="Times New Roman" w:cs="Times New Roman"/>
          <w:i/>
          <w:lang w:val="en-US"/>
        </w:rPr>
        <w:t xml:space="preserve">mens rea </w:t>
      </w:r>
      <w:r w:rsidRPr="005F5731">
        <w:rPr>
          <w:rFonts w:eastAsia="Times New Roman" w:cs="Times New Roman"/>
          <w:lang w:val="en-US"/>
        </w:rPr>
        <w:lastRenderedPageBreak/>
        <w:t xml:space="preserve">evidence in relation to the younger child, the trial judge instructed the jury that “the evidence you have already considered on this issue is relevant here” </w:t>
      </w:r>
      <w:r>
        <w:rPr>
          <w:rFonts w:eastAsia="Times New Roman" w:cs="Times New Roman"/>
          <w:lang w:val="en-US"/>
        </w:rPr>
        <w:t>(</w:t>
      </w:r>
      <w:r w:rsidRPr="005F5731">
        <w:rPr>
          <w:rFonts w:eastAsia="Times New Roman" w:cs="Times New Roman"/>
          <w:lang w:val="en-US"/>
        </w:rPr>
        <w:t>p. 255</w:t>
      </w:r>
      <w:r>
        <w:rPr>
          <w:rFonts w:eastAsia="Times New Roman" w:cs="Times New Roman"/>
          <w:lang w:val="en-US"/>
        </w:rPr>
        <w:t>)</w:t>
      </w:r>
      <w:r w:rsidRPr="005F5731">
        <w:rPr>
          <w:rFonts w:eastAsia="Times New Roman" w:cs="Times New Roman"/>
          <w:lang w:val="en-US"/>
        </w:rPr>
        <w:t>. The trial judge’s brevity would not have caused the jury to conclude that only the limited subset of evidence specifically mentioned was relevant.</w:t>
      </w:r>
    </w:p>
    <w:p w:rsidR="00F406B9" w:rsidRPr="005F5731" w:rsidRDefault="00F406B9" w:rsidP="00F406B9">
      <w:pPr>
        <w:pStyle w:val="ParaNoNdepar-AltN"/>
        <w:rPr>
          <w:rFonts w:eastAsia="Times New Roman" w:cs="Times New Roman"/>
          <w:lang w:val="en-US"/>
        </w:rPr>
      </w:pPr>
      <w:r w:rsidRPr="005F5731">
        <w:rPr>
          <w:rFonts w:eastAsia="Times New Roman" w:cs="Times New Roman"/>
          <w:lang w:val="en-US"/>
        </w:rPr>
        <w:t xml:space="preserve">The trial judge also instructed the jury </w:t>
      </w:r>
      <w:r>
        <w:rPr>
          <w:rFonts w:eastAsia="Times New Roman" w:cs="Times New Roman"/>
          <w:lang w:val="en-US"/>
        </w:rPr>
        <w:t>on</w:t>
      </w:r>
      <w:r w:rsidRPr="005F5731">
        <w:rPr>
          <w:rFonts w:eastAsia="Times New Roman" w:cs="Times New Roman"/>
          <w:lang w:val="en-US"/>
        </w:rPr>
        <w:t xml:space="preserve"> Mr. Goforth’s alleged circumstances a final time when outlining the defence theory of the case at the end of her charge. </w:t>
      </w:r>
      <w:r>
        <w:rPr>
          <w:rFonts w:eastAsia="Times New Roman" w:cs="Times New Roman"/>
          <w:lang w:val="en-US"/>
        </w:rPr>
        <w:t>She</w:t>
      </w:r>
      <w:r w:rsidRPr="005F5731">
        <w:rPr>
          <w:rFonts w:eastAsia="Times New Roman" w:cs="Times New Roman"/>
          <w:lang w:val="en-US"/>
        </w:rPr>
        <w:t xml:space="preserve"> summarized Mr. Goforth’s position</w:t>
      </w:r>
      <w:r>
        <w:rPr>
          <w:rFonts w:eastAsia="Times New Roman" w:cs="Times New Roman"/>
          <w:lang w:val="en-US"/>
        </w:rPr>
        <w:t xml:space="preserve"> as follows</w:t>
      </w:r>
      <w:r w:rsidRPr="005F5731">
        <w:rPr>
          <w:rFonts w:eastAsia="Times New Roman" w:cs="Times New Roman"/>
          <w:lang w:val="en-US"/>
        </w:rPr>
        <w:t>:</w:t>
      </w:r>
    </w:p>
    <w:p w:rsidR="00F406B9" w:rsidRDefault="00F406B9" w:rsidP="00F406B9">
      <w:pPr>
        <w:pStyle w:val="Citation-AltC"/>
        <w:rPr>
          <w:lang w:val="en-US"/>
        </w:rPr>
      </w:pPr>
      <w:r w:rsidRPr="005F5731">
        <w:rPr>
          <w:lang w:val="x-none"/>
        </w:rPr>
        <w:t>Throughout the time in which the children resided with Kevin</w:t>
      </w:r>
      <w:r w:rsidRPr="005F5731">
        <w:rPr>
          <w:lang w:val="en-US"/>
        </w:rPr>
        <w:t xml:space="preserve"> </w:t>
      </w:r>
      <w:r w:rsidRPr="005F5731">
        <w:rPr>
          <w:lang w:val="x-none"/>
        </w:rPr>
        <w:t>and Tammy, Kevin was continuously employed as a carpenter in Regina</w:t>
      </w:r>
      <w:r w:rsidRPr="005F5731">
        <w:rPr>
          <w:lang w:val="en-US"/>
        </w:rPr>
        <w:t xml:space="preserve"> </w:t>
      </w:r>
      <w:r w:rsidRPr="005F5731">
        <w:rPr>
          <w:lang w:val="x-none"/>
        </w:rPr>
        <w:t>that required him to work six days per week at approximately 10</w:t>
      </w:r>
      <w:r w:rsidRPr="005F5731">
        <w:rPr>
          <w:lang w:val="x-none"/>
        </w:rPr>
        <w:noBreakHyphen/>
        <w:t>12</w:t>
      </w:r>
      <w:r w:rsidRPr="005F5731">
        <w:rPr>
          <w:lang w:val="en-US"/>
        </w:rPr>
        <w:t xml:space="preserve"> </w:t>
      </w:r>
      <w:r w:rsidRPr="005F5731">
        <w:rPr>
          <w:lang w:val="x-none"/>
        </w:rPr>
        <w:t xml:space="preserve">hours per day. Kevin was not the primary caregiver for the children. While he </w:t>
      </w:r>
      <w:proofErr w:type="spellStart"/>
      <w:r w:rsidRPr="005F5731">
        <w:rPr>
          <w:lang w:val="x-none"/>
        </w:rPr>
        <w:t>focussed</w:t>
      </w:r>
      <w:proofErr w:type="spellEnd"/>
      <w:r w:rsidRPr="005F5731">
        <w:rPr>
          <w:lang w:val="x-none"/>
        </w:rPr>
        <w:t xml:space="preserve"> on providing monetary support for the family, meals,</w:t>
      </w:r>
      <w:r w:rsidRPr="005F5731">
        <w:rPr>
          <w:lang w:val="en-US"/>
        </w:rPr>
        <w:t xml:space="preserve"> </w:t>
      </w:r>
      <w:r w:rsidRPr="005F5731">
        <w:rPr>
          <w:lang w:val="x-none"/>
        </w:rPr>
        <w:t>bathing and clothing of the children was a responsibility of Tammy</w:t>
      </w:r>
      <w:r w:rsidRPr="005F5731">
        <w:rPr>
          <w:lang w:val="en-US"/>
        </w:rPr>
        <w:t>’</w:t>
      </w:r>
      <w:r w:rsidRPr="005F5731">
        <w:rPr>
          <w:lang w:val="x-none"/>
        </w:rPr>
        <w:t>s</w:t>
      </w:r>
      <w:r w:rsidRPr="00C6191D">
        <w:rPr>
          <w:lang w:val="en-US"/>
        </w:rPr>
        <w:t>.</w:t>
      </w:r>
    </w:p>
    <w:p w:rsidR="00F406B9" w:rsidRDefault="00F406B9" w:rsidP="00F406B9">
      <w:pPr>
        <w:pStyle w:val="Citation-AltC"/>
        <w:rPr>
          <w:lang w:val="en-US"/>
        </w:rPr>
      </w:pPr>
    </w:p>
    <w:p w:rsidR="00F406B9" w:rsidRPr="005F5731" w:rsidRDefault="00F406B9" w:rsidP="00F406B9">
      <w:pPr>
        <w:pStyle w:val="Citation-AltC"/>
        <w:rPr>
          <w:lang w:val="x-none"/>
        </w:rPr>
      </w:pPr>
      <w:r>
        <w:rPr>
          <w:lang w:val="en-US"/>
        </w:rPr>
        <w:t>(</w:t>
      </w:r>
      <w:r w:rsidRPr="005F5731">
        <w:rPr>
          <w:lang w:val="en-US"/>
        </w:rPr>
        <w:t>A.R.</w:t>
      </w:r>
      <w:r>
        <w:rPr>
          <w:lang w:val="en-US"/>
        </w:rPr>
        <w:t>, v</w:t>
      </w:r>
      <w:r w:rsidRPr="005F5731">
        <w:rPr>
          <w:lang w:val="en-US"/>
        </w:rPr>
        <w:t>ol. </w:t>
      </w:r>
      <w:r>
        <w:rPr>
          <w:lang w:val="en-US"/>
        </w:rPr>
        <w:t>I</w:t>
      </w:r>
      <w:r w:rsidRPr="005F5731">
        <w:rPr>
          <w:lang w:val="en-US"/>
        </w:rPr>
        <w:t xml:space="preserve">, </w:t>
      </w:r>
      <w:r>
        <w:rPr>
          <w:lang w:val="en-US"/>
        </w:rPr>
        <w:t xml:space="preserve">at </w:t>
      </w:r>
      <w:r w:rsidRPr="005F5731">
        <w:rPr>
          <w:lang w:val="en-US"/>
        </w:rPr>
        <w:t>p. 263</w:t>
      </w:r>
      <w:r>
        <w:rPr>
          <w:lang w:val="en-US"/>
        </w:rPr>
        <w:t>)</w:t>
      </w:r>
    </w:p>
    <w:p w:rsidR="00F406B9" w:rsidRPr="005F5731" w:rsidRDefault="00F406B9" w:rsidP="00F406B9">
      <w:pPr>
        <w:pStyle w:val="ParaNoNdepar-AltN"/>
        <w:tabs>
          <w:tab w:val="clear" w:pos="1152"/>
          <w:tab w:val="left" w:pos="1166"/>
        </w:tabs>
        <w:rPr>
          <w:rFonts w:eastAsia="Times New Roman" w:cs="Times New Roman"/>
          <w:lang w:val="en-US"/>
        </w:rPr>
      </w:pPr>
      <w:r w:rsidRPr="005F5731">
        <w:rPr>
          <w:rFonts w:eastAsia="Times New Roman" w:cs="Times New Roman"/>
          <w:lang w:val="en-US"/>
        </w:rPr>
        <w:t xml:space="preserve">Again, defence counsel’s failure to object to the jury charge is significant. It belies the argument that the trial judge’s decision </w:t>
      </w:r>
      <w:r>
        <w:rPr>
          <w:rFonts w:eastAsia="Times New Roman" w:cs="Times New Roman"/>
          <w:lang w:val="en-US"/>
        </w:rPr>
        <w:t xml:space="preserve">not </w:t>
      </w:r>
      <w:r w:rsidRPr="005F5731">
        <w:rPr>
          <w:rFonts w:eastAsia="Times New Roman" w:cs="Times New Roman"/>
          <w:lang w:val="en-US"/>
        </w:rPr>
        <w:t xml:space="preserve">to repeat evidence in an already lengthy jury charge constituted an error. As Binnie J. stated in </w:t>
      </w:r>
      <w:r w:rsidRPr="005F5731">
        <w:rPr>
          <w:rFonts w:eastAsia="Times New Roman" w:cs="Times New Roman"/>
          <w:i/>
          <w:lang w:val="en-US"/>
        </w:rPr>
        <w:t xml:space="preserve">R. v. </w:t>
      </w:r>
      <w:proofErr w:type="spellStart"/>
      <w:r w:rsidRPr="005F5731">
        <w:rPr>
          <w:rFonts w:eastAsia="Times New Roman" w:cs="Times New Roman"/>
          <w:i/>
          <w:lang w:val="en-US"/>
        </w:rPr>
        <w:t>Royz</w:t>
      </w:r>
      <w:proofErr w:type="spellEnd"/>
      <w:r w:rsidRPr="005F5731">
        <w:rPr>
          <w:rFonts w:eastAsia="Times New Roman" w:cs="Times New Roman"/>
          <w:lang w:val="en-US"/>
        </w:rPr>
        <w:t>, 2009 SCC 13, [2009] 1 S.C.R. 423, at para. 3: “Lack of objection is not fatal, but it may be informative, because defence counsel would have understood that additional evidentiary matters reviewed at his request might result in the judge repeating additional portions of the evidence requested by the prosecution on the same point, which might in the end have been expected to be more prejudicial than helpful to the defence</w:t>
      </w:r>
      <w:r>
        <w:rPr>
          <w:rFonts w:eastAsia="Times New Roman" w:cs="Times New Roman"/>
          <w:lang w:val="en-US"/>
        </w:rPr>
        <w:t>.”</w:t>
      </w:r>
    </w:p>
    <w:p w:rsidR="00F406B9" w:rsidRPr="005F5731" w:rsidRDefault="00F406B9" w:rsidP="00F406B9">
      <w:pPr>
        <w:pStyle w:val="ParaNoNdepar-AltN"/>
        <w:rPr>
          <w:rFonts w:eastAsia="Times New Roman" w:cs="Times New Roman"/>
          <w:lang w:val="en-US"/>
        </w:rPr>
      </w:pPr>
      <w:r w:rsidRPr="005F5731">
        <w:rPr>
          <w:rFonts w:eastAsia="Times New Roman" w:cs="Times New Roman"/>
          <w:lang w:val="en-US"/>
        </w:rPr>
        <w:lastRenderedPageBreak/>
        <w:t xml:space="preserve">Overall, the jury was well aware of all the circumstances that Mr. Goforth argued prevented him from foreseeing the risk </w:t>
      </w:r>
      <w:r w:rsidRPr="005F5731">
        <w:rPr>
          <w:rFonts w:eastAsia="Times New Roman" w:cs="Times New Roman"/>
        </w:rPr>
        <w:t>of harm to the children.</w:t>
      </w:r>
      <w:r w:rsidRPr="005F5731">
        <w:rPr>
          <w:rFonts w:eastAsia="Times New Roman" w:cs="Times New Roman"/>
          <w:lang w:val="en-US"/>
        </w:rPr>
        <w:t xml:space="preserve"> </w:t>
      </w:r>
      <w:r w:rsidRPr="005F5731">
        <w:rPr>
          <w:rFonts w:eastAsia="Times New Roman" w:cs="Times New Roman"/>
        </w:rPr>
        <w:t>Indeed, on any reasonable view of the case</w:t>
      </w:r>
      <w:r>
        <w:rPr>
          <w:rFonts w:eastAsia="Times New Roman" w:cs="Times New Roman"/>
        </w:rPr>
        <w:t>,</w:t>
      </w:r>
      <w:r w:rsidRPr="005F5731">
        <w:rPr>
          <w:rFonts w:eastAsia="Times New Roman" w:cs="Times New Roman"/>
        </w:rPr>
        <w:t xml:space="preserve"> this, more than anything else, would appear to explain </w:t>
      </w:r>
      <w:r>
        <w:rPr>
          <w:rFonts w:eastAsia="Times New Roman" w:cs="Times New Roman"/>
        </w:rPr>
        <w:t xml:space="preserve">why </w:t>
      </w:r>
      <w:r w:rsidRPr="005F5731">
        <w:rPr>
          <w:rFonts w:eastAsia="Times New Roman" w:cs="Times New Roman"/>
        </w:rPr>
        <w:t xml:space="preserve">Ms. Goforth </w:t>
      </w:r>
      <w:r>
        <w:rPr>
          <w:rFonts w:eastAsia="Times New Roman" w:cs="Times New Roman"/>
        </w:rPr>
        <w:t>was convicted of second degree murder whereas</w:t>
      </w:r>
      <w:r w:rsidRPr="005F5731">
        <w:rPr>
          <w:rFonts w:eastAsia="Times New Roman" w:cs="Times New Roman"/>
        </w:rPr>
        <w:t xml:space="preserve"> Mr. Goforth</w:t>
      </w:r>
      <w:r>
        <w:rPr>
          <w:rFonts w:eastAsia="Times New Roman" w:cs="Times New Roman"/>
        </w:rPr>
        <w:t xml:space="preserve"> was convicted of unlawful act manslaughter</w:t>
      </w:r>
      <w:r w:rsidRPr="005F5731">
        <w:rPr>
          <w:rFonts w:eastAsia="Times New Roman" w:cs="Times New Roman"/>
        </w:rPr>
        <w:t xml:space="preserve">. I have no hesitation </w:t>
      </w:r>
      <w:r>
        <w:rPr>
          <w:rFonts w:eastAsia="Times New Roman" w:cs="Times New Roman"/>
        </w:rPr>
        <w:t xml:space="preserve">in </w:t>
      </w:r>
      <w:r w:rsidRPr="005F5731">
        <w:rPr>
          <w:rFonts w:eastAsia="Times New Roman" w:cs="Times New Roman"/>
        </w:rPr>
        <w:t xml:space="preserve">concluding that the </w:t>
      </w:r>
      <w:r w:rsidRPr="005F5731">
        <w:rPr>
          <w:rFonts w:eastAsia="Times New Roman" w:cs="Times New Roman"/>
          <w:lang w:val="en-US"/>
        </w:rPr>
        <w:t xml:space="preserve">jury was properly instructed and </w:t>
      </w:r>
      <w:r>
        <w:rPr>
          <w:rFonts w:eastAsia="Times New Roman" w:cs="Times New Roman"/>
          <w:lang w:val="en-US"/>
        </w:rPr>
        <w:t xml:space="preserve">that </w:t>
      </w:r>
      <w:r w:rsidRPr="005F5731">
        <w:rPr>
          <w:rFonts w:eastAsia="Times New Roman" w:cs="Times New Roman"/>
          <w:lang w:val="en-US"/>
        </w:rPr>
        <w:t xml:space="preserve">it rightly rejected Mr. Goforth’s defence that his circumstances prevented him from </w:t>
      </w:r>
      <w:r w:rsidRPr="005F5731">
        <w:rPr>
          <w:rFonts w:eastAsia="Times New Roman" w:cs="Times New Roman"/>
          <w:lang w:bidi="en-US"/>
        </w:rPr>
        <w:t>foreseeing the risk of harm to the children</w:t>
      </w:r>
      <w:r w:rsidRPr="005F5731">
        <w:rPr>
          <w:rFonts w:eastAsia="Times New Roman" w:cs="Times New Roman"/>
          <w:lang w:val="en-US"/>
        </w:rPr>
        <w:t>.</w:t>
      </w:r>
    </w:p>
    <w:p w:rsidR="00F406B9" w:rsidRPr="005F5731" w:rsidRDefault="00F406B9" w:rsidP="00F406B9">
      <w:pPr>
        <w:pStyle w:val="Title2LevelTitre2Niveau"/>
        <w:rPr>
          <w:rFonts w:cs="Times New Roman"/>
          <w:lang w:val="en-US"/>
        </w:rPr>
      </w:pPr>
      <w:r>
        <w:rPr>
          <w:rFonts w:cs="Times New Roman"/>
          <w:lang w:val="en-US"/>
        </w:rPr>
        <w:t>Did the Trial Judge Err by Failing to E</w:t>
      </w:r>
      <w:r w:rsidRPr="005F5731">
        <w:rPr>
          <w:rFonts w:cs="Times New Roman"/>
          <w:lang w:val="en-US"/>
        </w:rPr>
        <w:t xml:space="preserve">xplain </w:t>
      </w:r>
      <w:r>
        <w:rPr>
          <w:rFonts w:cs="Times New Roman"/>
          <w:lang w:val="en-US"/>
        </w:rPr>
        <w:t>What Is Meant by a Marked D</w:t>
      </w:r>
      <w:r w:rsidRPr="005F5731">
        <w:rPr>
          <w:rFonts w:cs="Times New Roman"/>
          <w:lang w:val="en-US"/>
        </w:rPr>
        <w:t>eparture</w:t>
      </w:r>
      <w:r>
        <w:rPr>
          <w:rFonts w:cs="Times New Roman"/>
          <w:lang w:val="en-US"/>
        </w:rPr>
        <w:t xml:space="preserve"> From the Conduct of a Reasonably Prudent Person in the Circumstances</w:t>
      </w:r>
      <w:r w:rsidRPr="005F5731">
        <w:rPr>
          <w:rFonts w:cs="Times New Roman"/>
          <w:lang w:val="en-US"/>
        </w:rPr>
        <w:t>?</w:t>
      </w:r>
    </w:p>
    <w:p w:rsidR="00F406B9" w:rsidRPr="005F5731" w:rsidRDefault="00F406B9" w:rsidP="00F406B9">
      <w:pPr>
        <w:pStyle w:val="ParaNoNdepar-AltN"/>
        <w:rPr>
          <w:rFonts w:cs="Times New Roman"/>
          <w:lang w:val="en-US"/>
        </w:rPr>
      </w:pPr>
      <w:r w:rsidRPr="005F5731">
        <w:rPr>
          <w:rFonts w:cs="Times New Roman"/>
          <w:lang w:val="en-US" w:bidi="en-US"/>
        </w:rPr>
        <w:t xml:space="preserve">On appeal to this Court, Mr. Goforth reiterates that </w:t>
      </w:r>
      <w:r>
        <w:rPr>
          <w:rFonts w:cs="Times New Roman"/>
          <w:lang w:val="en-US" w:bidi="en-US"/>
        </w:rPr>
        <w:t xml:space="preserve">the </w:t>
      </w:r>
      <w:r w:rsidRPr="005F5731">
        <w:rPr>
          <w:rFonts w:cs="Times New Roman"/>
          <w:lang w:val="en-US" w:bidi="en-US"/>
        </w:rPr>
        <w:t>trial judge’s failure to explain the meaning of the term “marked departure” also left the jury ill</w:t>
      </w:r>
      <w:r w:rsidRPr="005F5731">
        <w:rPr>
          <w:rFonts w:cs="Times New Roman"/>
          <w:lang w:val="en-US" w:bidi="en-US"/>
        </w:rPr>
        <w:noBreakHyphen/>
        <w:t xml:space="preserve">equipped to apply the </w:t>
      </w:r>
      <w:r w:rsidRPr="005F5731">
        <w:rPr>
          <w:rFonts w:cs="Times New Roman"/>
          <w:i/>
          <w:lang w:val="en-US" w:bidi="en-US"/>
        </w:rPr>
        <w:t xml:space="preserve">mens rea </w:t>
      </w:r>
      <w:r w:rsidRPr="005F5731">
        <w:rPr>
          <w:rFonts w:cs="Times New Roman"/>
          <w:lang w:val="en-US" w:bidi="en-US"/>
        </w:rPr>
        <w:t>standard. Mr. Goforth argues that this case is analogous to</w:t>
      </w:r>
      <w:r w:rsidRPr="005F5731">
        <w:rPr>
          <w:rFonts w:eastAsia="Times New Roman" w:cs="Times New Roman"/>
          <w:i/>
          <w:szCs w:val="24"/>
          <w:lang w:val="en-US" w:eastAsia="en-CA" w:bidi="en-US"/>
        </w:rPr>
        <w:t xml:space="preserve"> </w:t>
      </w:r>
      <w:r w:rsidRPr="005F5731">
        <w:rPr>
          <w:rFonts w:cs="Times New Roman"/>
          <w:i/>
          <w:lang w:val="en-US" w:bidi="en-US"/>
        </w:rPr>
        <w:t>R. v. Stephan</w:t>
      </w:r>
      <w:r w:rsidRPr="005F5731">
        <w:rPr>
          <w:rFonts w:cs="Times New Roman"/>
          <w:lang w:val="en-US" w:bidi="en-US"/>
        </w:rPr>
        <w:t xml:space="preserve">, 2017 ABCA 380, </w:t>
      </w:r>
      <w:r>
        <w:rPr>
          <w:rFonts w:cs="Times New Roman"/>
          <w:lang w:val="en-US" w:bidi="en-US"/>
        </w:rPr>
        <w:t>423 D.L.R. (4</w:t>
      </w:r>
      <w:r w:rsidRPr="00772CDB">
        <w:rPr>
          <w:rFonts w:cs="Times New Roman"/>
          <w:lang w:val="en-US" w:bidi="en-US"/>
        </w:rPr>
        <w:t>th</w:t>
      </w:r>
      <w:r>
        <w:rPr>
          <w:rFonts w:cs="Times New Roman"/>
          <w:lang w:val="en-US" w:bidi="en-US"/>
        </w:rPr>
        <w:t xml:space="preserve">) 56, </w:t>
      </w:r>
      <w:proofErr w:type="spellStart"/>
      <w:r w:rsidRPr="005F5731">
        <w:rPr>
          <w:rFonts w:cs="Times New Roman"/>
          <w:lang w:bidi="en-US"/>
        </w:rPr>
        <w:t>rev’d</w:t>
      </w:r>
      <w:proofErr w:type="spellEnd"/>
      <w:r w:rsidRPr="005F5731">
        <w:rPr>
          <w:rFonts w:cs="Times New Roman"/>
          <w:lang w:bidi="en-US"/>
        </w:rPr>
        <w:t xml:space="preserve"> 2018 SCC 21, [2018] 1 S.C.R. 633</w:t>
      </w:r>
      <w:r w:rsidRPr="005F5731">
        <w:rPr>
          <w:rFonts w:cs="Times New Roman"/>
          <w:lang w:val="en-US" w:bidi="en-US"/>
        </w:rPr>
        <w:t xml:space="preserve">. In </w:t>
      </w:r>
      <w:r w:rsidRPr="005F5731">
        <w:rPr>
          <w:rFonts w:cs="Times New Roman"/>
          <w:i/>
          <w:lang w:val="en-US" w:bidi="en-US"/>
        </w:rPr>
        <w:t>Stephan</w:t>
      </w:r>
      <w:r w:rsidRPr="005F5731">
        <w:rPr>
          <w:rFonts w:cs="Times New Roman"/>
          <w:lang w:val="en-US" w:bidi="en-US"/>
        </w:rPr>
        <w:t>, this Court ordered a new trial because the trial judge, among other things, “did not sufficiently explain the concept of marked departure in a way that the jury could understand and apply it” (para. 2).</w:t>
      </w:r>
    </w:p>
    <w:p w:rsidR="00F406B9" w:rsidRPr="005F5731" w:rsidRDefault="00F406B9" w:rsidP="00F406B9">
      <w:pPr>
        <w:pStyle w:val="ParaNoNdepar-AltN"/>
        <w:rPr>
          <w:rFonts w:cs="Times New Roman"/>
          <w:lang w:val="en-US"/>
        </w:rPr>
      </w:pPr>
      <w:r w:rsidRPr="005F5731">
        <w:rPr>
          <w:rFonts w:cs="Times New Roman"/>
          <w:lang w:val="en-US"/>
        </w:rPr>
        <w:t xml:space="preserve">I do not agree with this submission. In the circumstances of this case, a new trial is not warranted simply because the trial judge did not explain the meaning of the term “marked departure”. This case is easily distinguishable from </w:t>
      </w:r>
      <w:r w:rsidRPr="005F5731">
        <w:rPr>
          <w:rFonts w:cs="Times New Roman"/>
          <w:i/>
          <w:lang w:val="en-US"/>
        </w:rPr>
        <w:t>Stephan</w:t>
      </w:r>
      <w:r w:rsidRPr="005F5731">
        <w:rPr>
          <w:rFonts w:cs="Times New Roman"/>
          <w:lang w:val="en-US"/>
        </w:rPr>
        <w:t xml:space="preserve">, </w:t>
      </w:r>
      <w:r>
        <w:rPr>
          <w:rFonts w:cs="Times New Roman"/>
          <w:lang w:val="en-US"/>
        </w:rPr>
        <w:t>in which</w:t>
      </w:r>
      <w:r w:rsidRPr="005F5731">
        <w:rPr>
          <w:rFonts w:cs="Times New Roman"/>
          <w:lang w:val="en-US"/>
        </w:rPr>
        <w:t xml:space="preserve"> this Court agreed with O’Ferrall J.A. that the trial judge </w:t>
      </w:r>
      <w:r>
        <w:rPr>
          <w:rFonts w:cs="Times New Roman"/>
          <w:lang w:val="en-US"/>
        </w:rPr>
        <w:t xml:space="preserve">had </w:t>
      </w:r>
      <w:r w:rsidRPr="005F5731">
        <w:rPr>
          <w:rFonts w:cs="Times New Roman"/>
          <w:lang w:val="en-US"/>
        </w:rPr>
        <w:t>erred by failing to describe what is meant by th</w:t>
      </w:r>
      <w:r>
        <w:rPr>
          <w:rFonts w:cs="Times New Roman"/>
          <w:lang w:val="en-US"/>
        </w:rPr>
        <w:t>is</w:t>
      </w:r>
      <w:r w:rsidRPr="005F5731">
        <w:rPr>
          <w:rFonts w:cs="Times New Roman"/>
          <w:lang w:val="en-US"/>
        </w:rPr>
        <w:t xml:space="preserve"> term. In </w:t>
      </w:r>
      <w:r w:rsidRPr="005F5731">
        <w:rPr>
          <w:rFonts w:cs="Times New Roman"/>
          <w:i/>
          <w:lang w:val="en-US"/>
        </w:rPr>
        <w:t>Stephan</w:t>
      </w:r>
      <w:r w:rsidRPr="005F5731">
        <w:rPr>
          <w:rFonts w:cs="Times New Roman"/>
          <w:lang w:val="en-US"/>
        </w:rPr>
        <w:t xml:space="preserve">, the </w:t>
      </w:r>
      <w:r>
        <w:rPr>
          <w:rFonts w:cs="Times New Roman"/>
          <w:lang w:val="en-US"/>
        </w:rPr>
        <w:t>alleged</w:t>
      </w:r>
      <w:r w:rsidRPr="005F5731">
        <w:rPr>
          <w:rFonts w:cs="Times New Roman"/>
          <w:lang w:val="en-US"/>
        </w:rPr>
        <w:t xml:space="preserve"> marked departure pertained to the </w:t>
      </w:r>
      <w:r w:rsidRPr="005F5731">
        <w:rPr>
          <w:rFonts w:cs="Times New Roman"/>
          <w:lang w:val="en-US"/>
        </w:rPr>
        <w:lastRenderedPageBreak/>
        <w:t xml:space="preserve">conduct of parents who relied on naturopathic and home remedies to treat their child’s suspected meningitis. In that case, the trial judge was required to explain more thoroughly what a marked departure was due to the difficulty of assessing whether the parents’ conduct in the circumstances constituted a marked departure — hindsight is not the same as foresight. Moreover, there was an additional concern in </w:t>
      </w:r>
      <w:r w:rsidRPr="005F5731">
        <w:rPr>
          <w:rFonts w:cs="Times New Roman"/>
          <w:i/>
          <w:lang w:val="en-US"/>
        </w:rPr>
        <w:t>Stephan</w:t>
      </w:r>
      <w:r w:rsidRPr="005F5731">
        <w:rPr>
          <w:rFonts w:cs="Times New Roman"/>
          <w:lang w:val="en-US"/>
        </w:rPr>
        <w:t xml:space="preserve"> that the jury may have thought that a reasonabl</w:t>
      </w:r>
      <w:r>
        <w:rPr>
          <w:rFonts w:cs="Times New Roman"/>
          <w:lang w:val="en-US"/>
        </w:rPr>
        <w:t>e parent</w:t>
      </w:r>
      <w:r w:rsidRPr="005F5731">
        <w:rPr>
          <w:rFonts w:cs="Times New Roman"/>
          <w:lang w:val="en-US"/>
        </w:rPr>
        <w:t xml:space="preserve"> should react more like a medical professional since there was a large body of expert medical evidence.</w:t>
      </w:r>
    </w:p>
    <w:p w:rsidR="00F406B9" w:rsidRPr="005F5731" w:rsidRDefault="00F406B9" w:rsidP="00F406B9">
      <w:pPr>
        <w:pStyle w:val="ParaNoNdepar-AltN"/>
        <w:rPr>
          <w:rFonts w:cs="Times New Roman"/>
          <w:lang w:val="en-US"/>
        </w:rPr>
      </w:pPr>
      <w:r w:rsidRPr="005F5731">
        <w:rPr>
          <w:rFonts w:cs="Times New Roman"/>
          <w:lang w:val="en-US"/>
        </w:rPr>
        <w:t xml:space="preserve">There are no such concerns with respect to Mr. Goforth. The </w:t>
      </w:r>
      <w:r>
        <w:rPr>
          <w:rFonts w:cs="Times New Roman"/>
          <w:lang w:val="en-US"/>
        </w:rPr>
        <w:t>alleged</w:t>
      </w:r>
      <w:r w:rsidRPr="005F5731">
        <w:rPr>
          <w:rFonts w:cs="Times New Roman"/>
          <w:lang w:val="en-US"/>
        </w:rPr>
        <w:t xml:space="preserve"> marked departure in this case </w:t>
      </w:r>
      <w:r>
        <w:rPr>
          <w:rFonts w:cs="Times New Roman"/>
          <w:lang w:val="en-US"/>
        </w:rPr>
        <w:t xml:space="preserve">relates to whether a reasonable </w:t>
      </w:r>
      <w:r w:rsidRPr="005F5731">
        <w:rPr>
          <w:rFonts w:cs="Times New Roman"/>
          <w:lang w:val="en-US"/>
        </w:rPr>
        <w:t xml:space="preserve">person would have foreseen that failing to provide food </w:t>
      </w:r>
      <w:r>
        <w:rPr>
          <w:rFonts w:cs="Times New Roman"/>
          <w:lang w:val="en-US"/>
        </w:rPr>
        <w:t>or</w:t>
      </w:r>
      <w:r w:rsidRPr="005F5731">
        <w:rPr>
          <w:rFonts w:cs="Times New Roman"/>
          <w:lang w:val="en-US"/>
        </w:rPr>
        <w:t xml:space="preserve"> fluids to young children — one of whom ultimately died </w:t>
      </w:r>
      <w:r>
        <w:rPr>
          <w:rFonts w:cs="Times New Roman"/>
          <w:lang w:val="en-US"/>
        </w:rPr>
        <w:t>as a result of brain injury that developed following</w:t>
      </w:r>
      <w:r w:rsidRPr="005F5731">
        <w:rPr>
          <w:rFonts w:cs="Times New Roman"/>
          <w:lang w:val="en-US"/>
        </w:rPr>
        <w:t xml:space="preserve"> a cardiac arrest caused by malnutrition and dehydration — would result in a risk of danger to life or </w:t>
      </w:r>
      <w:r>
        <w:rPr>
          <w:rFonts w:cs="Times New Roman"/>
          <w:lang w:val="en-US"/>
        </w:rPr>
        <w:t xml:space="preserve">of </w:t>
      </w:r>
      <w:r w:rsidRPr="005F5731">
        <w:rPr>
          <w:rFonts w:cs="Times New Roman"/>
          <w:lang w:val="en-US"/>
        </w:rPr>
        <w:t xml:space="preserve">permanent endangerment to health. Given this context, the jury was easily able to assess whether the failure to provide food </w:t>
      </w:r>
      <w:r>
        <w:rPr>
          <w:rFonts w:cs="Times New Roman"/>
          <w:lang w:val="en-US"/>
        </w:rPr>
        <w:t>or fluids</w:t>
      </w:r>
      <w:r w:rsidRPr="005F5731">
        <w:rPr>
          <w:rFonts w:cs="Times New Roman"/>
          <w:lang w:val="en-US"/>
        </w:rPr>
        <w:t xml:space="preserve"> to young children constituted a marked departure from the standard of care</w:t>
      </w:r>
      <w:r>
        <w:rPr>
          <w:rFonts w:cs="Times New Roman"/>
          <w:lang w:val="en-US"/>
        </w:rPr>
        <w:t xml:space="preserve"> of a reasonably prudent</w:t>
      </w:r>
      <w:r w:rsidRPr="005F5731">
        <w:rPr>
          <w:rFonts w:cs="Times New Roman"/>
          <w:lang w:val="en-US"/>
        </w:rPr>
        <w:t xml:space="preserve"> person in the circumstances.</w:t>
      </w:r>
    </w:p>
    <w:p w:rsidR="00F406B9" w:rsidRPr="005F5731" w:rsidRDefault="00F406B9" w:rsidP="00F406B9">
      <w:pPr>
        <w:pStyle w:val="ParaNoNdepar-AltN"/>
        <w:rPr>
          <w:rFonts w:cs="Times New Roman"/>
          <w:lang w:val="en-US"/>
        </w:rPr>
      </w:pPr>
      <w:r w:rsidRPr="005F5731">
        <w:rPr>
          <w:rFonts w:cs="Times New Roman"/>
          <w:lang w:val="en-US"/>
        </w:rPr>
        <w:t xml:space="preserve">Again, the fact that Mr. Goforth failed to object to the jury charge and request an instruction on the meaning of </w:t>
      </w:r>
      <w:r>
        <w:rPr>
          <w:rFonts w:cs="Times New Roman"/>
          <w:lang w:val="en-US"/>
        </w:rPr>
        <w:t>“</w:t>
      </w:r>
      <w:r w:rsidRPr="005F5731">
        <w:rPr>
          <w:rFonts w:cs="Times New Roman"/>
          <w:lang w:val="en-US"/>
        </w:rPr>
        <w:t>marked departure</w:t>
      </w:r>
      <w:r>
        <w:rPr>
          <w:rFonts w:cs="Times New Roman"/>
          <w:lang w:val="en-US"/>
        </w:rPr>
        <w:t>”</w:t>
      </w:r>
      <w:r w:rsidRPr="005F5731">
        <w:rPr>
          <w:rFonts w:cs="Times New Roman"/>
          <w:lang w:val="en-US"/>
        </w:rPr>
        <w:t xml:space="preserve"> speaks volumes. It was simply not in his interest </w:t>
      </w:r>
      <w:r>
        <w:rPr>
          <w:rFonts w:cs="Times New Roman"/>
          <w:lang w:val="en-US"/>
        </w:rPr>
        <w:t xml:space="preserve">to do so </w:t>
      </w:r>
      <w:r w:rsidRPr="005F5731">
        <w:rPr>
          <w:rFonts w:cs="Times New Roman"/>
          <w:lang w:val="en-US"/>
        </w:rPr>
        <w:t xml:space="preserve">and it was inconsistent with his defence at trial — namely, that neither he nor his wife ever denied food </w:t>
      </w:r>
      <w:r>
        <w:rPr>
          <w:rFonts w:cs="Times New Roman"/>
          <w:lang w:val="en-US"/>
        </w:rPr>
        <w:t>or</w:t>
      </w:r>
      <w:r w:rsidRPr="005F5731">
        <w:rPr>
          <w:rFonts w:cs="Times New Roman"/>
          <w:lang w:val="en-US"/>
        </w:rPr>
        <w:t xml:space="preserve"> fluids to the children </w:t>
      </w:r>
      <w:r w:rsidRPr="005F5731">
        <w:rPr>
          <w:rFonts w:cs="Times New Roman"/>
          <w:lang w:val="en-US"/>
        </w:rPr>
        <w:lastRenderedPageBreak/>
        <w:t xml:space="preserve">and </w:t>
      </w:r>
      <w:r>
        <w:rPr>
          <w:rFonts w:cs="Times New Roman"/>
          <w:lang w:val="en-US"/>
        </w:rPr>
        <w:t xml:space="preserve">that </w:t>
      </w:r>
      <w:r w:rsidRPr="005F5731">
        <w:rPr>
          <w:rFonts w:cs="Times New Roman"/>
          <w:lang w:val="en-US"/>
        </w:rPr>
        <w:t>medical attention was not required up until the time they took the older child to the hospital.</w:t>
      </w:r>
    </w:p>
    <w:p w:rsidR="00F406B9" w:rsidRPr="005F5731" w:rsidRDefault="00F406B9" w:rsidP="00F406B9">
      <w:pPr>
        <w:pStyle w:val="ParaNoNdepar-AltN"/>
        <w:rPr>
          <w:rFonts w:cs="Times New Roman"/>
          <w:lang w:val="en-US"/>
        </w:rPr>
      </w:pPr>
      <w:r w:rsidRPr="005F5731">
        <w:rPr>
          <w:rFonts w:cs="Times New Roman"/>
          <w:lang w:val="en-US"/>
        </w:rPr>
        <w:t>My colleague is incorrect to assert that I am, in substance, applying the curative proviso. It must be remembered that the “adequacy of the jury instructions must be assessed in the context of the evidence and the trial as a whole” (</w:t>
      </w:r>
      <w:r w:rsidRPr="005F5731">
        <w:rPr>
          <w:rFonts w:cs="Times New Roman"/>
          <w:i/>
          <w:lang w:val="en-US"/>
        </w:rPr>
        <w:t>Pickton</w:t>
      </w:r>
      <w:r w:rsidRPr="005F5731">
        <w:rPr>
          <w:rFonts w:cs="Times New Roman"/>
          <w:lang w:val="en-US"/>
        </w:rPr>
        <w:t>, at para. 10). Jury charges m</w:t>
      </w:r>
      <w:r>
        <w:rPr>
          <w:rFonts w:cs="Times New Roman"/>
          <w:lang w:val="en-US"/>
        </w:rPr>
        <w:t>ay</w:t>
      </w:r>
      <w:r w:rsidRPr="005F5731">
        <w:rPr>
          <w:rFonts w:cs="Times New Roman"/>
          <w:lang w:val="en-US"/>
        </w:rPr>
        <w:t xml:space="preserve"> therefore focus on what is “actually and realistically at issue in the case” (para. 10). The charge </w:t>
      </w:r>
      <w:r>
        <w:rPr>
          <w:rFonts w:cs="Times New Roman"/>
          <w:lang w:val="en-US"/>
        </w:rPr>
        <w:t xml:space="preserve">in this case </w:t>
      </w:r>
      <w:r w:rsidRPr="005F5731">
        <w:rPr>
          <w:rFonts w:cs="Times New Roman"/>
          <w:lang w:val="en-US"/>
        </w:rPr>
        <w:t xml:space="preserve">was adequate because, based on the evidence and the trial as a whole, there was no issue </w:t>
      </w:r>
      <w:r>
        <w:rPr>
          <w:rFonts w:cs="Times New Roman"/>
          <w:lang w:val="en-US"/>
        </w:rPr>
        <w:t>as to</w:t>
      </w:r>
      <w:r w:rsidRPr="005F5731">
        <w:rPr>
          <w:rFonts w:cs="Times New Roman"/>
          <w:lang w:val="en-US"/>
        </w:rPr>
        <w:t xml:space="preserve"> whether the failure to provide food or fluids to young children constituted a marked departure — it was </w:t>
      </w:r>
      <w:r w:rsidRPr="005F5731">
        <w:rPr>
          <w:rFonts w:cs="Times New Roman"/>
          <w:i/>
          <w:lang w:val="en-US"/>
        </w:rPr>
        <w:t>not</w:t>
      </w:r>
      <w:r w:rsidRPr="005F5731">
        <w:rPr>
          <w:rFonts w:cs="Times New Roman"/>
          <w:lang w:val="en-US"/>
        </w:rPr>
        <w:t xml:space="preserve"> a “difficult concept” to understand or apply in the circumstances. Furthermore, I would reiterate what Dickson</w:t>
      </w:r>
      <w:r>
        <w:rPr>
          <w:rFonts w:cs="Times New Roman"/>
          <w:lang w:val="en-US"/>
        </w:rPr>
        <w:t> </w:t>
      </w:r>
      <w:r w:rsidRPr="005F5731">
        <w:rPr>
          <w:rFonts w:cs="Times New Roman"/>
          <w:lang w:val="en-US"/>
        </w:rPr>
        <w:t xml:space="preserve">C.J. stated in </w:t>
      </w:r>
      <w:r w:rsidRPr="005F5731">
        <w:rPr>
          <w:rFonts w:cs="Times New Roman"/>
          <w:i/>
          <w:lang w:val="en-US"/>
        </w:rPr>
        <w:t>R. v. Corbett</w:t>
      </w:r>
      <w:r w:rsidRPr="005F5731">
        <w:rPr>
          <w:rFonts w:cs="Times New Roman"/>
          <w:lang w:val="en-US"/>
        </w:rPr>
        <w:t>, [1988] 1 S.C.R. 670, at p</w:t>
      </w:r>
      <w:r>
        <w:rPr>
          <w:rFonts w:cs="Times New Roman"/>
          <w:lang w:val="en-US"/>
        </w:rPr>
        <w:t>p</w:t>
      </w:r>
      <w:r w:rsidRPr="005F5731">
        <w:rPr>
          <w:rFonts w:cs="Times New Roman"/>
          <w:lang w:val="en-US"/>
        </w:rPr>
        <w:t>. </w:t>
      </w:r>
      <w:r>
        <w:rPr>
          <w:rFonts w:cs="Times New Roman"/>
          <w:lang w:val="en-US"/>
        </w:rPr>
        <w:t>693</w:t>
      </w:r>
      <w:r>
        <w:rPr>
          <w:rFonts w:cs="Times New Roman"/>
          <w:lang w:val="en-US"/>
        </w:rPr>
        <w:noBreakHyphen/>
        <w:t>94</w:t>
      </w:r>
      <w:r w:rsidRPr="005F5731">
        <w:rPr>
          <w:rFonts w:cs="Times New Roman"/>
          <w:lang w:val="en-US"/>
        </w:rPr>
        <w:t xml:space="preserve">: </w:t>
      </w:r>
    </w:p>
    <w:p w:rsidR="00F406B9" w:rsidRPr="005F5731" w:rsidRDefault="00F406B9" w:rsidP="00F406B9">
      <w:pPr>
        <w:pStyle w:val="Citation-AltC"/>
        <w:ind w:firstLine="274"/>
        <w:rPr>
          <w:lang w:val="en-US"/>
        </w:rPr>
      </w:pPr>
      <w:r w:rsidRPr="005F5731">
        <w:t xml:space="preserve">We should maintain our strong faith in juries which have, in the words of Sir William </w:t>
      </w:r>
      <w:proofErr w:type="spellStart"/>
      <w:r w:rsidRPr="005F5731">
        <w:t>Holdsworth</w:t>
      </w:r>
      <w:proofErr w:type="spellEnd"/>
      <w:r w:rsidRPr="005F5731">
        <w:t>, “for some hundreds of years been constantly bringing the rules of law to the touchstone of contemporary common sense” (</w:t>
      </w:r>
      <w:proofErr w:type="spellStart"/>
      <w:r w:rsidRPr="005F5731">
        <w:t>Holdsworth</w:t>
      </w:r>
      <w:proofErr w:type="spellEnd"/>
      <w:r w:rsidRPr="005F5731">
        <w:t xml:space="preserve">, </w:t>
      </w:r>
      <w:r w:rsidRPr="005F5731">
        <w:rPr>
          <w:i/>
          <w:iCs/>
        </w:rPr>
        <w:t>A History of English Law</w:t>
      </w:r>
      <w:r w:rsidRPr="005F5731">
        <w:t xml:space="preserve"> (7</w:t>
      </w:r>
      <w:r w:rsidRPr="00740B57">
        <w:t>th</w:t>
      </w:r>
      <w:r>
        <w:t> </w:t>
      </w:r>
      <w:r w:rsidRPr="005F5731">
        <w:t>ed. 1956), vol. I, at p. 349).</w:t>
      </w:r>
    </w:p>
    <w:p w:rsidR="00F406B9" w:rsidRDefault="00F406B9" w:rsidP="00F406B9">
      <w:pPr>
        <w:pStyle w:val="ParaNoNdepar-AltN"/>
        <w:numPr>
          <w:ilvl w:val="0"/>
          <w:numId w:val="0"/>
        </w:numPr>
        <w:rPr>
          <w:rFonts w:cs="Times New Roman"/>
          <w:lang w:val="en-US"/>
        </w:rPr>
      </w:pPr>
      <w:r w:rsidRPr="005F5731">
        <w:rPr>
          <w:rFonts w:cs="Times New Roman"/>
          <w:lang w:val="en-US"/>
        </w:rPr>
        <w:t xml:space="preserve">Jurors do not check their common sense at the door of the deliberation room. Given the evidence and the circumstances of the trial as a whole, I am confident </w:t>
      </w:r>
      <w:r>
        <w:rPr>
          <w:rFonts w:cs="Times New Roman"/>
          <w:lang w:val="en-US"/>
        </w:rPr>
        <w:t xml:space="preserve">that </w:t>
      </w:r>
      <w:r w:rsidRPr="005F5731">
        <w:rPr>
          <w:rFonts w:cs="Times New Roman"/>
          <w:lang w:val="en-US"/>
        </w:rPr>
        <w:t>the jury</w:t>
      </w:r>
      <w:r>
        <w:rPr>
          <w:rFonts w:cs="Times New Roman"/>
          <w:lang w:val="en-US"/>
        </w:rPr>
        <w:t xml:space="preserve"> in this case</w:t>
      </w:r>
      <w:r w:rsidRPr="005F5731">
        <w:rPr>
          <w:rFonts w:cs="Times New Roman"/>
          <w:lang w:val="en-US"/>
        </w:rPr>
        <w:t xml:space="preserve"> was well</w:t>
      </w:r>
      <w:r>
        <w:rPr>
          <w:rFonts w:cs="Times New Roman"/>
          <w:lang w:val="en-US"/>
        </w:rPr>
        <w:noBreakHyphen/>
      </w:r>
      <w:r w:rsidRPr="005F5731">
        <w:rPr>
          <w:rFonts w:cs="Times New Roman"/>
          <w:lang w:val="en-US"/>
        </w:rPr>
        <w:t xml:space="preserve">equipped to </w:t>
      </w:r>
      <w:r>
        <w:rPr>
          <w:rFonts w:cs="Times New Roman"/>
          <w:lang w:val="en-US"/>
        </w:rPr>
        <w:t>make</w:t>
      </w:r>
      <w:r w:rsidRPr="005F5731">
        <w:rPr>
          <w:rFonts w:cs="Times New Roman"/>
          <w:lang w:val="en-US"/>
        </w:rPr>
        <w:t xml:space="preserve"> a common sense assessment </w:t>
      </w:r>
      <w:r>
        <w:rPr>
          <w:rFonts w:cs="Times New Roman"/>
          <w:lang w:val="en-US"/>
        </w:rPr>
        <w:t>of</w:t>
      </w:r>
      <w:r w:rsidRPr="005F5731">
        <w:rPr>
          <w:rFonts w:cs="Times New Roman"/>
          <w:lang w:val="en-US"/>
        </w:rPr>
        <w:t xml:space="preserve"> whether failing to provide food </w:t>
      </w:r>
      <w:r>
        <w:rPr>
          <w:rFonts w:cs="Times New Roman"/>
          <w:lang w:val="en-US"/>
        </w:rPr>
        <w:t>or fluids</w:t>
      </w:r>
      <w:r w:rsidRPr="005F5731">
        <w:rPr>
          <w:rFonts w:cs="Times New Roman"/>
          <w:lang w:val="en-US"/>
        </w:rPr>
        <w:t xml:space="preserve"> to young children constituted a marked departure from the co</w:t>
      </w:r>
      <w:r>
        <w:rPr>
          <w:rFonts w:cs="Times New Roman"/>
          <w:lang w:val="en-US"/>
        </w:rPr>
        <w:t>nduct of a reasonably prudent</w:t>
      </w:r>
      <w:r w:rsidRPr="005F5731">
        <w:rPr>
          <w:rFonts w:cs="Times New Roman"/>
          <w:lang w:val="en-US"/>
        </w:rPr>
        <w:t xml:space="preserve"> person.</w:t>
      </w:r>
    </w:p>
    <w:p w:rsidR="00F406B9" w:rsidRPr="005F5731" w:rsidRDefault="00F406B9" w:rsidP="00F406B9">
      <w:pPr>
        <w:pStyle w:val="Title2LevelTitre2Niveau"/>
        <w:rPr>
          <w:lang w:val="en-US"/>
        </w:rPr>
      </w:pPr>
      <w:r>
        <w:rPr>
          <w:lang w:val="en-US"/>
        </w:rPr>
        <w:t>If the Trial Judge Erred, Can the Curative Proviso Be Applied?</w:t>
      </w:r>
    </w:p>
    <w:p w:rsidR="00F406B9" w:rsidRPr="005F5731" w:rsidRDefault="00F406B9" w:rsidP="00F406B9">
      <w:pPr>
        <w:pStyle w:val="ParaNoNdepar-AltN"/>
        <w:rPr>
          <w:rFonts w:cs="Times New Roman"/>
          <w:lang w:val="en-US"/>
        </w:rPr>
      </w:pPr>
      <w:r>
        <w:rPr>
          <w:rFonts w:cs="Times New Roman"/>
          <w:lang w:val="en-US"/>
        </w:rPr>
        <w:lastRenderedPageBreak/>
        <w:t>In light of</w:t>
      </w:r>
      <w:r w:rsidRPr="005F5731">
        <w:rPr>
          <w:rFonts w:cs="Times New Roman"/>
          <w:lang w:val="en-US"/>
        </w:rPr>
        <w:t xml:space="preserve"> my conclusion that the jury charge functionally conveyed the necessary law and evidence to the jury, it is not necessary to resort to the application of the curative proviso.</w:t>
      </w:r>
    </w:p>
    <w:p w:rsidR="00F406B9" w:rsidRPr="005F5731" w:rsidRDefault="00F406B9" w:rsidP="00F406B9">
      <w:pPr>
        <w:pStyle w:val="Title1LevelTitre1Niveau-AltL"/>
        <w:rPr>
          <w:rFonts w:cs="Times New Roman"/>
          <w:lang w:val="en-US"/>
        </w:rPr>
      </w:pPr>
      <w:r w:rsidRPr="005F5731">
        <w:rPr>
          <w:rFonts w:cs="Times New Roman"/>
          <w:lang w:val="en-US"/>
        </w:rPr>
        <w:t>Disposition</w:t>
      </w:r>
    </w:p>
    <w:p w:rsidR="00F406B9" w:rsidRPr="005F5731" w:rsidRDefault="00F406B9" w:rsidP="00F406B9">
      <w:pPr>
        <w:pStyle w:val="ParaNoNdepar-AltN"/>
        <w:rPr>
          <w:rFonts w:cs="Times New Roman"/>
        </w:rPr>
      </w:pPr>
      <w:r>
        <w:rPr>
          <w:rFonts w:cs="Times New Roman"/>
        </w:rPr>
        <w:t>The appeal is allowed, the convictions are restored, and the sentence appeal is remitted to the Court of Appeal.</w:t>
      </w:r>
    </w:p>
    <w:p w:rsidR="00F406B9" w:rsidRDefault="00F406B9" w:rsidP="00475624">
      <w:pPr>
        <w:pStyle w:val="SCCNormalDoubleSpacing"/>
        <w:spacing w:after="480"/>
        <w:rPr>
          <w:rStyle w:val="SCCCounselPartyRoleChar"/>
        </w:rPr>
      </w:pPr>
    </w:p>
    <w:p w:rsidR="00F406B9" w:rsidRDefault="00F406B9" w:rsidP="004F0081">
      <w:pPr>
        <w:tabs>
          <w:tab w:val="left" w:pos="1134"/>
        </w:tabs>
        <w:jc w:val="both"/>
      </w:pPr>
      <w:r>
        <w:tab/>
      </w:r>
      <w:r w:rsidRPr="00173A02">
        <w:t xml:space="preserve">The reasons of </w:t>
      </w:r>
      <w:r w:rsidRPr="00CF1404">
        <w:t>Brown</w:t>
      </w:r>
      <w:r w:rsidRPr="00173A02">
        <w:t xml:space="preserve">, </w:t>
      </w:r>
      <w:r w:rsidRPr="00CF1404">
        <w:t>Martin</w:t>
      </w:r>
      <w:r w:rsidRPr="00173A02">
        <w:t xml:space="preserve"> and </w:t>
      </w:r>
      <w:r>
        <w:t>Jamal </w:t>
      </w:r>
      <w:r w:rsidRPr="00173A02">
        <w:t xml:space="preserve">JJ. </w:t>
      </w:r>
      <w:proofErr w:type="gramStart"/>
      <w:r w:rsidRPr="00173A02">
        <w:t>were</w:t>
      </w:r>
      <w:proofErr w:type="gramEnd"/>
      <w:r w:rsidRPr="00173A02">
        <w:t xml:space="preserve"> delivered by</w:t>
      </w:r>
    </w:p>
    <w:p w:rsidR="00F406B9" w:rsidRDefault="00F406B9" w:rsidP="00F406B9">
      <w:pPr>
        <w:jc w:val="both"/>
      </w:pPr>
    </w:p>
    <w:p w:rsidR="00F406B9" w:rsidRPr="00063B57" w:rsidRDefault="00F406B9" w:rsidP="00F406B9">
      <w:pPr>
        <w:pStyle w:val="JudgeJuge"/>
      </w:pPr>
      <w:r w:rsidRPr="00063B57">
        <w:tab/>
        <w:t xml:space="preserve">Brown J. — </w:t>
      </w:r>
    </w:p>
    <w:p w:rsidR="00F406B9" w:rsidRPr="00063B57" w:rsidRDefault="00F406B9" w:rsidP="00F406B9">
      <w:pPr>
        <w:pStyle w:val="ParaNoNdepar-AltN"/>
        <w:rPr>
          <w:lang w:val="en-US"/>
        </w:rPr>
      </w:pPr>
      <w:r w:rsidRPr="00063B57">
        <w:rPr>
          <w:lang w:val="en-US"/>
        </w:rPr>
        <w:t>I agree with my colleagues that the appeal should be allowed. But I do not accept that the jury charge, when viewed from the “functional perspective” required by the jurisprudence, “</w:t>
      </w:r>
      <w:proofErr w:type="gramStart"/>
      <w:r w:rsidRPr="00063B57">
        <w:rPr>
          <w:lang w:val="en-US"/>
        </w:rPr>
        <w:t>properly .</w:t>
      </w:r>
      <w:proofErr w:type="gramEnd"/>
      <w:r w:rsidRPr="00063B57">
        <w:rPr>
          <w:lang w:val="en-US"/>
        </w:rPr>
        <w:t> . . equipped [the jury] to decide the case” according to law</w:t>
      </w:r>
      <w:r>
        <w:rPr>
          <w:lang w:val="en-US"/>
        </w:rPr>
        <w:t xml:space="preserve"> </w:t>
      </w:r>
      <w:r w:rsidRPr="00063B57">
        <w:rPr>
          <w:lang w:val="en-US"/>
        </w:rPr>
        <w:t>(</w:t>
      </w:r>
      <w:r w:rsidRPr="00063B57">
        <w:rPr>
          <w:i/>
          <w:lang w:val="en-US"/>
        </w:rPr>
        <w:t>R. v. Barton</w:t>
      </w:r>
      <w:r w:rsidRPr="00063B57">
        <w:rPr>
          <w:lang w:val="en-US"/>
        </w:rPr>
        <w:t xml:space="preserve">, 2019 SCC 33, </w:t>
      </w:r>
      <w:r>
        <w:rPr>
          <w:lang w:val="en-US"/>
        </w:rPr>
        <w:t xml:space="preserve">[2019] 2 S.C.R. 579, </w:t>
      </w:r>
      <w:r w:rsidRPr="00063B57">
        <w:rPr>
          <w:lang w:val="en-US"/>
        </w:rPr>
        <w:t>at para. 54</w:t>
      </w:r>
      <w:r>
        <w:rPr>
          <w:lang w:val="en-US"/>
        </w:rPr>
        <w:t>)</w:t>
      </w:r>
      <w:r w:rsidRPr="00063B57">
        <w:rPr>
          <w:lang w:val="en-US"/>
        </w:rPr>
        <w:t xml:space="preserve">. </w:t>
      </w:r>
    </w:p>
    <w:p w:rsidR="00F406B9" w:rsidRPr="00063B57" w:rsidRDefault="00F406B9" w:rsidP="00F406B9">
      <w:pPr>
        <w:pStyle w:val="ParaNoNdepar-AltN"/>
        <w:rPr>
          <w:rFonts w:cs="Times New Roman"/>
          <w:lang w:val="en-US"/>
        </w:rPr>
      </w:pPr>
      <w:r w:rsidRPr="00063B57">
        <w:rPr>
          <w:rFonts w:cs="Times New Roman"/>
          <w:lang w:val="en-US"/>
        </w:rPr>
        <w:t xml:space="preserve">At many points ⸺ </w:t>
      </w:r>
      <w:r w:rsidRPr="00063B57">
        <w:rPr>
          <w:rFonts w:cs="Times New Roman"/>
          <w:i/>
          <w:lang w:val="en-US"/>
        </w:rPr>
        <w:t>five</w:t>
      </w:r>
      <w:r w:rsidRPr="00063B57">
        <w:rPr>
          <w:rFonts w:cs="Times New Roman"/>
          <w:lang w:val="en-US"/>
        </w:rPr>
        <w:t xml:space="preserve">, by my colleagues’ count, which I accept ⸺ this jury charge misstated an essential element of the offence that comprised the central issue, being whether the Crown had established the </w:t>
      </w:r>
      <w:r w:rsidRPr="00063B57">
        <w:rPr>
          <w:rFonts w:cs="Times New Roman"/>
          <w:i/>
          <w:lang w:val="en-US"/>
        </w:rPr>
        <w:t xml:space="preserve">mens rea </w:t>
      </w:r>
      <w:r w:rsidRPr="00063B57">
        <w:rPr>
          <w:rFonts w:cs="Times New Roman"/>
          <w:lang w:val="en-US"/>
        </w:rPr>
        <w:t xml:space="preserve">for the offence of failing to provide </w:t>
      </w:r>
      <w:r>
        <w:rPr>
          <w:rFonts w:cs="Times New Roman"/>
          <w:lang w:val="en-US"/>
        </w:rPr>
        <w:t xml:space="preserve">the </w:t>
      </w:r>
      <w:r w:rsidRPr="00063B57">
        <w:rPr>
          <w:rFonts w:cs="Times New Roman"/>
          <w:lang w:val="en-US"/>
        </w:rPr>
        <w:t xml:space="preserve">necessaries of life. Yet, in concluding that the charge was “functionally” adequate, my colleagues point to </w:t>
      </w:r>
      <w:r w:rsidRPr="00063B57">
        <w:rPr>
          <w:rFonts w:cs="Times New Roman"/>
          <w:i/>
          <w:lang w:val="en-US"/>
        </w:rPr>
        <w:t>a single instance</w:t>
      </w:r>
      <w:r w:rsidRPr="00063B57">
        <w:rPr>
          <w:rFonts w:cs="Times New Roman"/>
          <w:lang w:val="en-US"/>
        </w:rPr>
        <w:t xml:space="preserve">, in “a different </w:t>
      </w:r>
      <w:r>
        <w:rPr>
          <w:rFonts w:cs="Times New Roman"/>
          <w:lang w:val="en-US"/>
        </w:rPr>
        <w:t>portion</w:t>
      </w:r>
      <w:r w:rsidRPr="00063B57">
        <w:rPr>
          <w:rFonts w:cs="Times New Roman"/>
          <w:lang w:val="en-US"/>
        </w:rPr>
        <w:t xml:space="preserve"> of the </w:t>
      </w:r>
      <w:r w:rsidRPr="00063B57">
        <w:rPr>
          <w:rFonts w:cs="Times New Roman"/>
          <w:lang w:val="en-US"/>
        </w:rPr>
        <w:lastRenderedPageBreak/>
        <w:t xml:space="preserve">charge”, in which “the trial </w:t>
      </w:r>
      <w:proofErr w:type="gramStart"/>
      <w:r w:rsidRPr="00063B57">
        <w:rPr>
          <w:rFonts w:cs="Times New Roman"/>
          <w:lang w:val="en-US"/>
        </w:rPr>
        <w:t>judge .</w:t>
      </w:r>
      <w:proofErr w:type="gramEnd"/>
      <w:r w:rsidRPr="00063B57">
        <w:rPr>
          <w:rFonts w:cs="Times New Roman"/>
          <w:lang w:val="en-US"/>
        </w:rPr>
        <w:t xml:space="preserve"> . . clearly and correctly summarized the required </w:t>
      </w:r>
      <w:r w:rsidRPr="00063B57">
        <w:rPr>
          <w:rFonts w:cs="Times New Roman"/>
          <w:i/>
          <w:lang w:val="en-US"/>
        </w:rPr>
        <w:t>mens rea</w:t>
      </w:r>
      <w:r w:rsidRPr="00063B57">
        <w:rPr>
          <w:rFonts w:cs="Times New Roman"/>
          <w:lang w:val="en-US"/>
        </w:rPr>
        <w:t xml:space="preserve">” (para. 33). This, they say, was “the clearest explanation of the </w:t>
      </w:r>
      <w:r w:rsidRPr="00063B57">
        <w:rPr>
          <w:rFonts w:cs="Times New Roman"/>
          <w:i/>
          <w:lang w:val="en-US"/>
        </w:rPr>
        <w:t xml:space="preserve">mens rea </w:t>
      </w:r>
      <w:r w:rsidRPr="00063B57">
        <w:rPr>
          <w:rFonts w:cs="Times New Roman"/>
          <w:lang w:val="en-US"/>
        </w:rPr>
        <w:t>requirement” (para. 37).</w:t>
      </w:r>
    </w:p>
    <w:p w:rsidR="00F406B9" w:rsidRPr="00063B57" w:rsidRDefault="00F406B9" w:rsidP="00F406B9">
      <w:pPr>
        <w:pStyle w:val="ParaNoNdepar-AltN"/>
        <w:rPr>
          <w:rFonts w:cs="Times New Roman"/>
          <w:lang w:val="en-US"/>
        </w:rPr>
      </w:pPr>
      <w:r w:rsidRPr="00063B57">
        <w:rPr>
          <w:rFonts w:cs="Times New Roman"/>
          <w:lang w:val="en-US"/>
        </w:rPr>
        <w:t xml:space="preserve">What my colleagues do not account for, however, is that, merely because </w:t>
      </w:r>
      <w:r w:rsidRPr="00063B57">
        <w:rPr>
          <w:rFonts w:cs="Times New Roman"/>
          <w:i/>
          <w:lang w:val="en-US"/>
        </w:rPr>
        <w:t>they</w:t>
      </w:r>
      <w:r w:rsidRPr="00063B57">
        <w:rPr>
          <w:rFonts w:cs="Times New Roman"/>
          <w:lang w:val="en-US"/>
        </w:rPr>
        <w:t xml:space="preserve"> have the insight to distinguish the single correct instruction from the repeated incorrect instructions, it does not follow that </w:t>
      </w:r>
      <w:r w:rsidRPr="00063B57">
        <w:rPr>
          <w:rFonts w:cs="Times New Roman"/>
          <w:i/>
          <w:lang w:val="en-US"/>
        </w:rPr>
        <w:t>the jury</w:t>
      </w:r>
      <w:r w:rsidRPr="00063B57">
        <w:rPr>
          <w:rFonts w:cs="Times New Roman"/>
          <w:lang w:val="en-US"/>
        </w:rPr>
        <w:t xml:space="preserve"> had that insight. This charge may have been “functionally” adequate from the standpoint of a reviewing court searching for a correct instruction. But that is not the same thing as a charge that is “functionally” adequate for the purposes </w:t>
      </w:r>
      <w:r w:rsidRPr="00063B57">
        <w:rPr>
          <w:rFonts w:cs="Times New Roman"/>
          <w:i/>
          <w:lang w:val="en-US"/>
        </w:rPr>
        <w:t>of a jury</w:t>
      </w:r>
      <w:r w:rsidRPr="00063B57">
        <w:rPr>
          <w:rFonts w:cs="Times New Roman"/>
          <w:lang w:val="en-US"/>
        </w:rPr>
        <w:t xml:space="preserve"> knowing the law that it must apply to the evidence. There is no reason to suppose that this jury could possibly have known to single out that single correct instruction as the one to follow, and to ignore the five incorrect instructions as mere distractions. That my colleagues observe that the single correct instruction was “the clearest explanation” is of no significance, either, since that observation is informed by </w:t>
      </w:r>
      <w:r w:rsidRPr="00063B57">
        <w:rPr>
          <w:rFonts w:cs="Times New Roman"/>
          <w:i/>
          <w:lang w:val="en-US"/>
        </w:rPr>
        <w:t>their</w:t>
      </w:r>
      <w:r w:rsidRPr="00063B57">
        <w:rPr>
          <w:rFonts w:cs="Times New Roman"/>
          <w:lang w:val="en-US"/>
        </w:rPr>
        <w:t xml:space="preserve"> proper understanding of the law ⸺ an understanding which </w:t>
      </w:r>
      <w:r w:rsidRPr="00063B57">
        <w:rPr>
          <w:rFonts w:cs="Times New Roman"/>
          <w:i/>
          <w:lang w:val="en-US"/>
        </w:rPr>
        <w:t>this jury</w:t>
      </w:r>
      <w:r w:rsidRPr="00063B57">
        <w:rPr>
          <w:rFonts w:cs="Times New Roman"/>
          <w:lang w:val="en-US"/>
        </w:rPr>
        <w:t xml:space="preserve"> did not have, which is precisely the problem. </w:t>
      </w:r>
    </w:p>
    <w:p w:rsidR="00F406B9" w:rsidRPr="00063B57" w:rsidRDefault="00F406B9" w:rsidP="00F406B9">
      <w:pPr>
        <w:pStyle w:val="ParaNoNdepar-AltN"/>
        <w:rPr>
          <w:rFonts w:cs="Times New Roman"/>
          <w:lang w:val="en-US"/>
        </w:rPr>
      </w:pPr>
      <w:r w:rsidRPr="00063B57">
        <w:rPr>
          <w:rFonts w:cs="Times New Roman"/>
          <w:lang w:val="en-US"/>
        </w:rPr>
        <w:t xml:space="preserve">In any event, focusing on one correct instruction interspersed with five incorrect instructions fails to take a functional approach to the charge. The functional approach requires the charge to be read </w:t>
      </w:r>
      <w:r w:rsidRPr="00063B57">
        <w:rPr>
          <w:rFonts w:cs="Times New Roman"/>
          <w:i/>
          <w:lang w:val="en-US"/>
        </w:rPr>
        <w:t>as a whole</w:t>
      </w:r>
      <w:r w:rsidRPr="00063B57">
        <w:rPr>
          <w:rFonts w:cs="Times New Roman"/>
          <w:lang w:val="en-US"/>
        </w:rPr>
        <w:t xml:space="preserve"> and asks whether an appellate court can be satisfied that the jury would have adequately understood the issues involved, the law relating to the charge the accused was facing, and the evidence to be considered in resolving the issues </w:t>
      </w:r>
      <w:r>
        <w:rPr>
          <w:rFonts w:cs="Times New Roman"/>
          <w:lang w:val="en-US"/>
        </w:rPr>
        <w:t>(</w:t>
      </w:r>
      <w:r w:rsidRPr="00063B57">
        <w:rPr>
          <w:rFonts w:cs="Times New Roman"/>
          <w:i/>
          <w:lang w:val="en-US"/>
        </w:rPr>
        <w:t>R. v. Jacquard</w:t>
      </w:r>
      <w:r w:rsidRPr="00063B57">
        <w:rPr>
          <w:rFonts w:cs="Times New Roman"/>
          <w:lang w:val="en-US"/>
        </w:rPr>
        <w:t xml:space="preserve">, [1997] 1 S.C.R. 314, at para. 54; </w:t>
      </w:r>
      <w:r w:rsidRPr="00063B57">
        <w:rPr>
          <w:rFonts w:cs="Times New Roman"/>
          <w:i/>
          <w:lang w:val="en-US"/>
        </w:rPr>
        <w:t>R. v. Daley</w:t>
      </w:r>
      <w:r w:rsidRPr="00063B57">
        <w:rPr>
          <w:rFonts w:cs="Times New Roman"/>
          <w:lang w:val="en-US"/>
        </w:rPr>
        <w:t xml:space="preserve">, 2007 </w:t>
      </w:r>
      <w:r w:rsidRPr="00063B57">
        <w:rPr>
          <w:rFonts w:cs="Times New Roman"/>
          <w:lang w:val="en-US"/>
        </w:rPr>
        <w:lastRenderedPageBreak/>
        <w:t>SCC 53</w:t>
      </w:r>
      <w:r>
        <w:rPr>
          <w:rFonts w:cs="Times New Roman"/>
          <w:lang w:val="en-US"/>
        </w:rPr>
        <w:t>, [2007] 3 S.C.R. 523</w:t>
      </w:r>
      <w:r w:rsidRPr="00063B57">
        <w:rPr>
          <w:rFonts w:cs="Times New Roman"/>
          <w:lang w:val="en-US"/>
        </w:rPr>
        <w:t xml:space="preserve">, at para. 31; </w:t>
      </w:r>
      <w:r w:rsidRPr="00063B57">
        <w:rPr>
          <w:rFonts w:cs="Times New Roman"/>
          <w:i/>
          <w:lang w:val="en-US"/>
        </w:rPr>
        <w:t>R. v. Cooper</w:t>
      </w:r>
      <w:r w:rsidRPr="00063B57">
        <w:rPr>
          <w:rFonts w:cs="Times New Roman"/>
          <w:lang w:val="en-US"/>
        </w:rPr>
        <w:t xml:space="preserve">, [1993] 1 S.C.R. 146, at p. 163; </w:t>
      </w:r>
      <w:r w:rsidRPr="00063B57">
        <w:rPr>
          <w:rFonts w:cs="Times New Roman"/>
          <w:i/>
          <w:lang w:val="en-US"/>
        </w:rPr>
        <w:t>R. v. Calnen</w:t>
      </w:r>
      <w:r w:rsidRPr="00063B57">
        <w:rPr>
          <w:rFonts w:cs="Times New Roman"/>
          <w:lang w:val="en-US"/>
        </w:rPr>
        <w:t xml:space="preserve">, 2019 SCC 6, </w:t>
      </w:r>
      <w:r>
        <w:rPr>
          <w:rFonts w:cs="Times New Roman"/>
          <w:lang w:val="en-US"/>
        </w:rPr>
        <w:t xml:space="preserve">[2019] 1 S.C.R. 301, </w:t>
      </w:r>
      <w:r w:rsidRPr="00063B57">
        <w:rPr>
          <w:rFonts w:cs="Times New Roman"/>
          <w:lang w:val="en-US"/>
        </w:rPr>
        <w:t>at para. 8</w:t>
      </w:r>
      <w:r>
        <w:rPr>
          <w:rFonts w:cs="Times New Roman"/>
          <w:lang w:val="en-US"/>
        </w:rPr>
        <w:t>)</w:t>
      </w:r>
      <w:r w:rsidRPr="00063B57">
        <w:rPr>
          <w:rFonts w:cs="Times New Roman"/>
          <w:lang w:val="en-US"/>
        </w:rPr>
        <w:t xml:space="preserve">. My colleagues claim to be applying </w:t>
      </w:r>
      <w:r w:rsidRPr="00063B57">
        <w:rPr>
          <w:rFonts w:cs="Times New Roman"/>
          <w:i/>
          <w:lang w:val="en-US"/>
        </w:rPr>
        <w:t>Daley</w:t>
      </w:r>
      <w:r w:rsidRPr="00063B57">
        <w:rPr>
          <w:rFonts w:cs="Times New Roman"/>
          <w:lang w:val="en-US"/>
        </w:rPr>
        <w:t>’s “cardinal rule” that “</w:t>
      </w:r>
      <w:r w:rsidRPr="00063B57">
        <w:rPr>
          <w:rFonts w:cs="Times New Roman"/>
        </w:rPr>
        <w:t xml:space="preserve">it is </w:t>
      </w:r>
      <w:r w:rsidRPr="00063B57">
        <w:rPr>
          <w:rFonts w:cs="Times New Roman"/>
          <w:u w:val="single"/>
        </w:rPr>
        <w:t>the general sense</w:t>
      </w:r>
      <w:r w:rsidRPr="00063B57">
        <w:rPr>
          <w:rFonts w:cs="Times New Roman"/>
        </w:rPr>
        <w:t xml:space="preserve"> which the words used must have conveyed, in all probability, to the mind of the jury that matters, and not whether a particular formula was recited by the judge” (</w:t>
      </w:r>
      <w:r w:rsidRPr="00063B57">
        <w:rPr>
          <w:rFonts w:cs="Times New Roman"/>
          <w:i/>
        </w:rPr>
        <w:t>Daley</w:t>
      </w:r>
      <w:r w:rsidRPr="00063B57">
        <w:rPr>
          <w:rFonts w:cs="Times New Roman"/>
        </w:rPr>
        <w:t xml:space="preserve">, at para. 30 </w:t>
      </w:r>
      <w:r>
        <w:rPr>
          <w:rFonts w:cs="Times New Roman"/>
        </w:rPr>
        <w:t>(</w:t>
      </w:r>
      <w:r w:rsidRPr="00063B57">
        <w:rPr>
          <w:rFonts w:cs="Times New Roman"/>
        </w:rPr>
        <w:t>emphasis added</w:t>
      </w:r>
      <w:r>
        <w:rPr>
          <w:rFonts w:cs="Times New Roman"/>
        </w:rPr>
        <w:t>)</w:t>
      </w:r>
      <w:r w:rsidRPr="00063B57">
        <w:rPr>
          <w:rFonts w:cs="Times New Roman"/>
        </w:rPr>
        <w:t xml:space="preserve">). Of course, the words used in the charge need not represent some formulaic statement of the applicable law. But they must be an accurate statement of the law, and the jury must not be left to, in effect, cobble together </w:t>
      </w:r>
      <w:r w:rsidRPr="00063B57">
        <w:rPr>
          <w:rFonts w:cs="Times New Roman"/>
          <w:i/>
        </w:rPr>
        <w:t xml:space="preserve">its own </w:t>
      </w:r>
      <w:r w:rsidRPr="00063B57">
        <w:rPr>
          <w:rFonts w:cs="Times New Roman"/>
        </w:rPr>
        <w:t>charge by guessing correctly about which part of the charge to follow and which part to disregard.</w:t>
      </w:r>
      <w:r w:rsidRPr="00063B57">
        <w:rPr>
          <w:rFonts w:cs="Times New Roman"/>
          <w:lang w:val="en-US"/>
        </w:rPr>
        <w:t xml:space="preserve"> Applying </w:t>
      </w:r>
      <w:r w:rsidRPr="00063B57">
        <w:rPr>
          <w:rFonts w:cs="Times New Roman"/>
          <w:i/>
          <w:lang w:val="en-US"/>
        </w:rPr>
        <w:t>that</w:t>
      </w:r>
      <w:r w:rsidRPr="00063B57">
        <w:rPr>
          <w:rFonts w:cs="Times New Roman"/>
        </w:rPr>
        <w:t xml:space="preserve"> standard, it is simply not possible to say that this charge passes muster.</w:t>
      </w:r>
    </w:p>
    <w:p w:rsidR="00F406B9" w:rsidRPr="00063B57" w:rsidRDefault="00F406B9" w:rsidP="00F406B9">
      <w:pPr>
        <w:pStyle w:val="ParaNoNdepar-AltN"/>
        <w:rPr>
          <w:rFonts w:cs="Times New Roman"/>
          <w:lang w:val="en-US"/>
        </w:rPr>
      </w:pPr>
      <w:r w:rsidRPr="00063B57">
        <w:rPr>
          <w:rFonts w:cs="Times New Roman"/>
          <w:lang w:val="en-US"/>
        </w:rPr>
        <w:t>My colleagues also place great weight on the single use of the word “further”, in a lengthy, convoluted charge</w:t>
      </w:r>
      <w:r>
        <w:rPr>
          <w:rFonts w:cs="Times New Roman"/>
          <w:lang w:val="en-US"/>
        </w:rPr>
        <w:t xml:space="preserve"> (</w:t>
      </w:r>
      <w:r w:rsidRPr="00063B57">
        <w:rPr>
          <w:rFonts w:cs="Times New Roman"/>
          <w:lang w:val="en-US"/>
        </w:rPr>
        <w:t>para. 38</w:t>
      </w:r>
      <w:r>
        <w:rPr>
          <w:rFonts w:cs="Times New Roman"/>
          <w:lang w:val="en-US"/>
        </w:rPr>
        <w:t>)</w:t>
      </w:r>
      <w:r w:rsidRPr="00063B57">
        <w:rPr>
          <w:rFonts w:cs="Times New Roman"/>
          <w:lang w:val="en-US"/>
        </w:rPr>
        <w:t xml:space="preserve">. The significance they ascribe to it is, with respect, hardly obvious. As for their stress upon counsel not having objected to the charge, and again with respect, this Court has </w:t>
      </w:r>
      <w:r w:rsidRPr="00063B57">
        <w:rPr>
          <w:rFonts w:cs="Times New Roman"/>
          <w:i/>
          <w:lang w:val="en-US"/>
        </w:rPr>
        <w:t>repeatedly</w:t>
      </w:r>
      <w:r w:rsidRPr="00063B57">
        <w:rPr>
          <w:rFonts w:cs="Times New Roman"/>
          <w:lang w:val="en-US"/>
        </w:rPr>
        <w:t xml:space="preserve"> observed that trial counsel’s failure to object, while a consideration, is not determinative </w:t>
      </w:r>
      <w:r>
        <w:rPr>
          <w:rFonts w:cs="Times New Roman"/>
          <w:lang w:val="en-US"/>
        </w:rPr>
        <w:t>(</w:t>
      </w:r>
      <w:r w:rsidRPr="00063B57">
        <w:rPr>
          <w:rFonts w:cs="Times New Roman"/>
          <w:i/>
          <w:lang w:val="en-US"/>
        </w:rPr>
        <w:t>Barton</w:t>
      </w:r>
      <w:r w:rsidRPr="00063B57">
        <w:rPr>
          <w:rFonts w:cs="Times New Roman"/>
          <w:lang w:val="en-US"/>
        </w:rPr>
        <w:t xml:space="preserve">, at para. 48; </w:t>
      </w:r>
      <w:r w:rsidRPr="00063B57">
        <w:rPr>
          <w:rFonts w:cs="Times New Roman"/>
          <w:i/>
          <w:lang w:val="en-US"/>
        </w:rPr>
        <w:t>Daley</w:t>
      </w:r>
      <w:r w:rsidRPr="00063B57">
        <w:rPr>
          <w:rFonts w:cs="Times New Roman"/>
          <w:lang w:val="en-US"/>
        </w:rPr>
        <w:t xml:space="preserve">, at para. 58; </w:t>
      </w:r>
      <w:r w:rsidRPr="00063B57">
        <w:rPr>
          <w:rFonts w:cs="Times New Roman"/>
          <w:i/>
          <w:lang w:val="en-US"/>
        </w:rPr>
        <w:t>Jacquard</w:t>
      </w:r>
      <w:r w:rsidRPr="00063B57">
        <w:rPr>
          <w:rFonts w:cs="Times New Roman"/>
          <w:lang w:val="en-US"/>
        </w:rPr>
        <w:t xml:space="preserve">, at para. 37; </w:t>
      </w:r>
      <w:r w:rsidRPr="00063B57">
        <w:rPr>
          <w:rFonts w:cs="Times New Roman"/>
          <w:i/>
          <w:lang w:val="en-US"/>
        </w:rPr>
        <w:t xml:space="preserve">R. v. </w:t>
      </w:r>
      <w:proofErr w:type="spellStart"/>
      <w:r w:rsidRPr="00063B57">
        <w:rPr>
          <w:rFonts w:cs="Times New Roman"/>
          <w:i/>
          <w:lang w:val="en-US"/>
        </w:rPr>
        <w:t>Arcangioli</w:t>
      </w:r>
      <w:proofErr w:type="spellEnd"/>
      <w:r w:rsidRPr="00063B57">
        <w:rPr>
          <w:rFonts w:cs="Times New Roman"/>
          <w:lang w:val="en-US"/>
        </w:rPr>
        <w:t>, [1994] 1 S.C.R. 129, at pp. 142</w:t>
      </w:r>
      <w:r w:rsidRPr="00063B57">
        <w:rPr>
          <w:rFonts w:cs="Times New Roman"/>
          <w:lang w:val="en-US"/>
        </w:rPr>
        <w:noBreakHyphen/>
        <w:t xml:space="preserve">43; </w:t>
      </w:r>
      <w:r w:rsidRPr="00063B57">
        <w:rPr>
          <w:rFonts w:cs="Times New Roman"/>
          <w:i/>
          <w:lang w:val="en-US"/>
        </w:rPr>
        <w:t>Th</w:t>
      </w:r>
      <w:r>
        <w:rPr>
          <w:rFonts w:cs="Times New Roman"/>
          <w:i/>
          <w:lang w:val="en-US"/>
        </w:rPr>
        <w:t>é</w:t>
      </w:r>
      <w:r w:rsidRPr="00063B57">
        <w:rPr>
          <w:rFonts w:cs="Times New Roman"/>
          <w:i/>
          <w:lang w:val="en-US"/>
        </w:rPr>
        <w:t>riault v. The Queen</w:t>
      </w:r>
      <w:r w:rsidRPr="00063B57">
        <w:rPr>
          <w:rFonts w:cs="Times New Roman"/>
          <w:lang w:val="en-US"/>
        </w:rPr>
        <w:t>, [1981] 1 S.C.R. 336, at pp. 343</w:t>
      </w:r>
      <w:r w:rsidRPr="00063B57">
        <w:rPr>
          <w:rFonts w:cs="Times New Roman"/>
          <w:lang w:val="en-US"/>
        </w:rPr>
        <w:noBreakHyphen/>
        <w:t xml:space="preserve">44; </w:t>
      </w:r>
      <w:r w:rsidRPr="00063B57">
        <w:rPr>
          <w:rFonts w:cs="Times New Roman"/>
          <w:i/>
          <w:lang w:val="en-US"/>
        </w:rPr>
        <w:t>Cullen v. The King</w:t>
      </w:r>
      <w:r w:rsidRPr="00063B57">
        <w:rPr>
          <w:rFonts w:cs="Times New Roman"/>
          <w:lang w:val="en-US"/>
        </w:rPr>
        <w:t>, [1949] S.C.R. 658, at p. 664</w:t>
      </w:r>
      <w:r>
        <w:rPr>
          <w:rFonts w:cs="Times New Roman"/>
          <w:lang w:val="en-US"/>
        </w:rPr>
        <w:t>)</w:t>
      </w:r>
      <w:r w:rsidRPr="00063B57">
        <w:rPr>
          <w:rFonts w:cs="Times New Roman"/>
          <w:lang w:val="en-US"/>
        </w:rPr>
        <w:t xml:space="preserve">. My colleagues concede this (at para. 39), but do not acknowledge the point that underlies </w:t>
      </w:r>
      <w:r w:rsidRPr="00063B57">
        <w:rPr>
          <w:rFonts w:cs="Times New Roman"/>
          <w:i/>
          <w:lang w:val="en-US"/>
        </w:rPr>
        <w:t>why</w:t>
      </w:r>
      <w:r w:rsidRPr="00063B57">
        <w:rPr>
          <w:rFonts w:cs="Times New Roman"/>
          <w:lang w:val="en-US"/>
        </w:rPr>
        <w:t xml:space="preserve"> counsel’s failure to object is not determinative: ultimately, it is </w:t>
      </w:r>
      <w:r w:rsidRPr="00063B57">
        <w:rPr>
          <w:rFonts w:cs="Times New Roman"/>
          <w:i/>
          <w:lang w:val="en-US"/>
        </w:rPr>
        <w:t>the trial judge</w:t>
      </w:r>
      <w:r w:rsidRPr="00063B57">
        <w:rPr>
          <w:rFonts w:cs="Times New Roman"/>
          <w:lang w:val="en-US"/>
        </w:rPr>
        <w:t xml:space="preserve"> who is responsible for the charge. </w:t>
      </w:r>
    </w:p>
    <w:p w:rsidR="00F406B9" w:rsidRPr="00063B57" w:rsidRDefault="00F406B9" w:rsidP="00F406B9">
      <w:pPr>
        <w:pStyle w:val="ParaNoNdepar-AltN"/>
        <w:rPr>
          <w:rFonts w:cs="Times New Roman"/>
          <w:lang w:val="en-US"/>
        </w:rPr>
      </w:pPr>
      <w:r w:rsidRPr="00063B57">
        <w:rPr>
          <w:rFonts w:cs="Times New Roman"/>
          <w:lang w:val="en-US"/>
        </w:rPr>
        <w:lastRenderedPageBreak/>
        <w:t>Remarkably, my colleagues maintain (at paras. 55</w:t>
      </w:r>
      <w:r w:rsidRPr="00063B57">
        <w:rPr>
          <w:rFonts w:cs="Times New Roman"/>
          <w:lang w:val="en-US"/>
        </w:rPr>
        <w:noBreakHyphen/>
        <w:t xml:space="preserve">56) that this charge was adequate despite the trial judge not sufficiently explaining the concept of a marked departure for the </w:t>
      </w:r>
      <w:r w:rsidRPr="00063B57">
        <w:rPr>
          <w:rFonts w:cs="Times New Roman"/>
          <w:i/>
          <w:lang w:val="en-US"/>
        </w:rPr>
        <w:t>mens rea</w:t>
      </w:r>
      <w:r w:rsidRPr="00063B57">
        <w:rPr>
          <w:rFonts w:cs="Times New Roman"/>
          <w:lang w:val="en-US"/>
        </w:rPr>
        <w:t xml:space="preserve"> of failing to provide the necessaries of life, and despite this Court in </w:t>
      </w:r>
      <w:r w:rsidRPr="00063B57">
        <w:rPr>
          <w:rFonts w:cs="Times New Roman"/>
          <w:i/>
          <w:lang w:val="en-US"/>
        </w:rPr>
        <w:t>R. v. Stephan</w:t>
      </w:r>
      <w:r>
        <w:rPr>
          <w:rFonts w:cs="Times New Roman"/>
          <w:lang w:val="en-US"/>
        </w:rPr>
        <w:t xml:space="preserve">, </w:t>
      </w:r>
      <w:r w:rsidRPr="00063B57">
        <w:rPr>
          <w:rFonts w:cs="Times New Roman"/>
          <w:lang w:val="en-US"/>
        </w:rPr>
        <w:t>2018 SCC 21, [2018] 1 S.C.R. 633</w:t>
      </w:r>
      <w:r>
        <w:rPr>
          <w:rFonts w:cs="Times New Roman"/>
          <w:lang w:val="en-US"/>
        </w:rPr>
        <w:t xml:space="preserve">, rev’g 2017 ABCA 380, 423 D.L.R. (4th) 56, </w:t>
      </w:r>
      <w:r w:rsidRPr="00063B57">
        <w:rPr>
          <w:rFonts w:cs="Times New Roman"/>
          <w:lang w:val="en-US"/>
        </w:rPr>
        <w:t>having ordered a new trial on precisely the basis that the “difficult concept” of a marked departure had not been properly explained to the jury</w:t>
      </w:r>
      <w:r>
        <w:rPr>
          <w:rFonts w:cs="Times New Roman"/>
          <w:lang w:val="en-US"/>
        </w:rPr>
        <w:t xml:space="preserve"> (</w:t>
      </w:r>
      <w:r w:rsidRPr="0038531C">
        <w:rPr>
          <w:rFonts w:cs="Times New Roman"/>
          <w:i/>
          <w:lang w:val="en-US"/>
        </w:rPr>
        <w:t>Stephan</w:t>
      </w:r>
      <w:r>
        <w:rPr>
          <w:rFonts w:cs="Times New Roman"/>
          <w:lang w:val="en-US"/>
        </w:rPr>
        <w:t xml:space="preserve"> (C.A.), at para. 247)</w:t>
      </w:r>
      <w:r w:rsidRPr="00063B57">
        <w:rPr>
          <w:rFonts w:cs="Times New Roman"/>
          <w:lang w:val="en-US"/>
        </w:rPr>
        <w:t>. They say, however, that there is no concern here because the jury, “[g]</w:t>
      </w:r>
      <w:proofErr w:type="spellStart"/>
      <w:r w:rsidRPr="00063B57">
        <w:rPr>
          <w:rFonts w:cs="Times New Roman"/>
          <w:lang w:val="en-US"/>
        </w:rPr>
        <w:t>iven</w:t>
      </w:r>
      <w:proofErr w:type="spellEnd"/>
      <w:r w:rsidRPr="00063B57">
        <w:rPr>
          <w:rFonts w:cs="Times New Roman"/>
          <w:lang w:val="en-US"/>
        </w:rPr>
        <w:t xml:space="preserve"> the evidence and the circumstances of the trial as a whole” (para. 58), was “easily able to assess whether the failure to provide food </w:t>
      </w:r>
      <w:r>
        <w:rPr>
          <w:rFonts w:cs="Times New Roman"/>
          <w:lang w:val="en-US"/>
        </w:rPr>
        <w:t>or fluids</w:t>
      </w:r>
      <w:r w:rsidRPr="00063B57">
        <w:rPr>
          <w:rFonts w:cs="Times New Roman"/>
          <w:lang w:val="en-US"/>
        </w:rPr>
        <w:t xml:space="preserve"> to young children constituted a marked departure from the standard of care of a reasonabl</w:t>
      </w:r>
      <w:r>
        <w:rPr>
          <w:rFonts w:cs="Times New Roman"/>
          <w:lang w:val="en-US"/>
        </w:rPr>
        <w:t>y prudent</w:t>
      </w:r>
      <w:r w:rsidRPr="00063B57">
        <w:rPr>
          <w:rFonts w:cs="Times New Roman"/>
          <w:lang w:val="en-US"/>
        </w:rPr>
        <w:t xml:space="preserve"> person in the circumstances” (para. 56). But this is not the same thing as saying that the charge was adequate. In substance, and their</w:t>
      </w:r>
      <w:r>
        <w:rPr>
          <w:rFonts w:cs="Times New Roman"/>
          <w:lang w:val="en-US"/>
        </w:rPr>
        <w:t xml:space="preserve"> </w:t>
      </w:r>
      <w:r w:rsidRPr="00063B57">
        <w:rPr>
          <w:rFonts w:cs="Times New Roman"/>
          <w:lang w:val="en-US"/>
        </w:rPr>
        <w:t>protestations to the contrary notwithstanding, my colleagues are applying the curative proviso.</w:t>
      </w:r>
    </w:p>
    <w:p w:rsidR="00F406B9" w:rsidRPr="00063B57" w:rsidRDefault="00F406B9" w:rsidP="00F406B9">
      <w:pPr>
        <w:pStyle w:val="ParaNoNdepar-AltN"/>
        <w:rPr>
          <w:rFonts w:cs="Times New Roman"/>
          <w:lang w:val="en-US"/>
        </w:rPr>
      </w:pPr>
      <w:r w:rsidRPr="00063B57">
        <w:rPr>
          <w:rFonts w:cs="Times New Roman"/>
          <w:lang w:val="en-US"/>
        </w:rPr>
        <w:t>The matter comes down to this. By commingling, confusing and “routinely” and with “frequency” (to use my colleagues’ terms at paras. 35</w:t>
      </w:r>
      <w:r>
        <w:rPr>
          <w:rFonts w:cs="Times New Roman"/>
          <w:lang w:val="en-US"/>
        </w:rPr>
        <w:t xml:space="preserve"> and</w:t>
      </w:r>
      <w:r w:rsidRPr="00063B57">
        <w:rPr>
          <w:rFonts w:cs="Times New Roman"/>
          <w:lang w:val="en-US"/>
        </w:rPr>
        <w:t xml:space="preserve"> 37) substituting the differing standards of foreseeability of harm (as between manslaughter and failing to provide the necessaries of life), the trial judge left the jury equipped with a charge that, in critical sections, is not comprehensible to a legally trained reader, let alone to a layperson juror. Compounding the confusion, the jury charge addressed the </w:t>
      </w:r>
      <w:r w:rsidRPr="00063B57">
        <w:rPr>
          <w:rFonts w:cs="Times New Roman"/>
          <w:i/>
          <w:lang w:val="en-US"/>
        </w:rPr>
        <w:t>mens rea</w:t>
      </w:r>
      <w:r w:rsidRPr="00063B57">
        <w:rPr>
          <w:rFonts w:cs="Times New Roman"/>
          <w:lang w:val="en-US"/>
        </w:rPr>
        <w:t xml:space="preserve"> under a heading relating to the </w:t>
      </w:r>
      <w:r w:rsidRPr="00063B57">
        <w:rPr>
          <w:rFonts w:cs="Times New Roman"/>
          <w:i/>
          <w:lang w:val="en-US"/>
        </w:rPr>
        <w:t xml:space="preserve">actus </w:t>
      </w:r>
      <w:proofErr w:type="gramStart"/>
      <w:r w:rsidRPr="00063B57">
        <w:rPr>
          <w:rFonts w:cs="Times New Roman"/>
          <w:i/>
          <w:lang w:val="en-US"/>
        </w:rPr>
        <w:t>reus</w:t>
      </w:r>
      <w:proofErr w:type="gramEnd"/>
      <w:r w:rsidRPr="00063B57">
        <w:rPr>
          <w:rFonts w:cs="Times New Roman"/>
          <w:lang w:val="en-US"/>
        </w:rPr>
        <w:t xml:space="preserve">. It cannot plausibly be maintained that this charge left the jury equipped to do its job. </w:t>
      </w:r>
    </w:p>
    <w:p w:rsidR="00F406B9" w:rsidRPr="00063B57" w:rsidRDefault="00F406B9" w:rsidP="00F406B9">
      <w:pPr>
        <w:pStyle w:val="ParaNoNdepar-AltN"/>
        <w:rPr>
          <w:rFonts w:cs="Times New Roman"/>
        </w:rPr>
      </w:pPr>
      <w:r w:rsidRPr="00063B57">
        <w:rPr>
          <w:rFonts w:cs="Times New Roman"/>
          <w:lang w:val="en-US"/>
        </w:rPr>
        <w:lastRenderedPageBreak/>
        <w:t xml:space="preserve">On this record, however, I am persuaded of the Crown’s submission that no substantial wrong or miscarriage of justice flowed from the deficient instructions. It is inconceivable, given the extreme form which the failure to provide </w:t>
      </w:r>
      <w:r>
        <w:rPr>
          <w:rFonts w:cs="Times New Roman"/>
          <w:lang w:val="en-US"/>
        </w:rPr>
        <w:t xml:space="preserve">the </w:t>
      </w:r>
      <w:r w:rsidRPr="00063B57">
        <w:rPr>
          <w:rFonts w:cs="Times New Roman"/>
          <w:lang w:val="en-US"/>
        </w:rPr>
        <w:t xml:space="preserve">necessaries of life took in this case, that the jury would not have found that </w:t>
      </w:r>
      <w:r>
        <w:rPr>
          <w:rFonts w:cs="Times New Roman"/>
          <w:lang w:val="en-US"/>
        </w:rPr>
        <w:t xml:space="preserve">the </w:t>
      </w:r>
      <w:r w:rsidRPr="00063B57">
        <w:rPr>
          <w:rFonts w:cs="Times New Roman"/>
          <w:lang w:val="en-US"/>
        </w:rPr>
        <w:t>Crown had established the more stringent foreseeability requirement applicable to failing to provide the necessaries of life. I would apply the curative proviso, allow the appeal and restore Goforth’s convictions of manslaughter and unlawfully causing bodily harm.</w:t>
      </w:r>
    </w:p>
    <w:p w:rsidR="00F406B9" w:rsidRDefault="00F406B9" w:rsidP="00475624">
      <w:pPr>
        <w:pStyle w:val="SCCNormalDoubleSpacing"/>
        <w:spacing w:after="480"/>
        <w:rPr>
          <w:rStyle w:val="SCCCounselPartyRoleChar"/>
        </w:rPr>
      </w:pPr>
    </w:p>
    <w:p w:rsidR="009B57B3" w:rsidRPr="007F206C" w:rsidRDefault="007F206C" w:rsidP="00475624">
      <w:pPr>
        <w:pStyle w:val="SCCNormalDoubleSpacing"/>
        <w:spacing w:after="480"/>
        <w:rPr>
          <w:i/>
        </w:rPr>
      </w:pPr>
      <w:r>
        <w:tab/>
      </w:r>
      <w:r w:rsidR="00656313" w:rsidRPr="005A7E23">
        <w:rPr>
          <w:i/>
        </w:rPr>
        <w:t>Appeal</w:t>
      </w:r>
      <w:r w:rsidRPr="005A7E23">
        <w:t xml:space="preserve"> </w:t>
      </w:r>
      <w:r w:rsidRPr="005A7E23">
        <w:rPr>
          <w:i/>
        </w:rPr>
        <w:t>allowed.</w:t>
      </w:r>
    </w:p>
    <w:p w:rsidR="001F7ADC" w:rsidRDefault="007F206C" w:rsidP="00475624">
      <w:pPr>
        <w:pStyle w:val="SCCLawFirm"/>
        <w:spacing w:after="480"/>
      </w:pPr>
      <w:r>
        <w:tab/>
        <w:t>Solicitor</w:t>
      </w:r>
      <w:r w:rsidR="00B143D4">
        <w:t xml:space="preserve"> for the appellant: Attorney General </w:t>
      </w:r>
      <w:r w:rsidR="00015AE1">
        <w:t>of</w:t>
      </w:r>
      <w:r w:rsidR="00B143D4">
        <w:t xml:space="preserve"> Saskatchewan, Regina.</w:t>
      </w:r>
    </w:p>
    <w:p w:rsidR="001F7ADC" w:rsidRDefault="007F206C" w:rsidP="00475624">
      <w:pPr>
        <w:pStyle w:val="SCCLawFirm"/>
        <w:spacing w:after="480"/>
      </w:pPr>
      <w:r>
        <w:tab/>
        <w:t>Solicitors</w:t>
      </w:r>
      <w:r w:rsidR="00B143D4">
        <w:t xml:space="preserve"> for the respondent: Pfefferle Law Office, Saskatoon.</w:t>
      </w:r>
    </w:p>
    <w:sectPr w:rsidR="001F7ADC" w:rsidSect="006A19B1">
      <w:headerReference w:type="even" r:id="rId10"/>
      <w:headerReference w:type="default" r:id="rId11"/>
      <w:footerReference w:type="even" r:id="rId12"/>
      <w:footerReference w:type="default" r:id="rId13"/>
      <w:headerReference w:type="first" r:id="rId14"/>
      <w:footerReference w:type="first" r:id="rId15"/>
      <w:pgSz w:w="12240" w:h="15840"/>
      <w:pgMar w:top="1267" w:right="2160" w:bottom="720" w:left="1800" w:header="1802"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BB1" w:rsidRDefault="00577BB1">
      <w:r>
        <w:separator/>
      </w:r>
    </w:p>
  </w:endnote>
  <w:endnote w:type="continuationSeparator" w:id="0">
    <w:p w:rsidR="00577BB1" w:rsidRDefault="00577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9A7" w:rsidRDefault="00DF49A7">
    <w:pPr>
      <w:tabs>
        <w:tab w:val="left" w:pos="-1440"/>
        <w:tab w:val="left" w:pos="-720"/>
        <w:tab w:val="left" w:pos="0"/>
        <w:tab w:val="left" w:pos="1152"/>
        <w:tab w:val="left" w:pos="1570"/>
        <w:tab w:val="left" w:pos="1843"/>
        <w:tab w:val="left" w:pos="2261"/>
        <w:tab w:val="left" w:pos="64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136" w:rsidRDefault="003101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136" w:rsidRDefault="003101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BB1" w:rsidRDefault="00577BB1">
      <w:r>
        <w:separator/>
      </w:r>
    </w:p>
  </w:footnote>
  <w:footnote w:type="continuationSeparator" w:id="0">
    <w:p w:rsidR="00577BB1" w:rsidRDefault="00577B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9A7" w:rsidRDefault="00DF49A7">
    <w:pPr>
      <w:tabs>
        <w:tab w:val="left" w:pos="-1440"/>
        <w:tab w:val="left" w:pos="-720"/>
        <w:tab w:val="left" w:pos="0"/>
        <w:tab w:val="left" w:pos="1152"/>
        <w:tab w:val="left" w:pos="1570"/>
        <w:tab w:val="left" w:pos="1843"/>
        <w:tab w:val="left" w:pos="2261"/>
        <w:tab w:val="left" w:pos="648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352" w:rsidRPr="00310136" w:rsidRDefault="00450352" w:rsidP="003101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136" w:rsidRDefault="003101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40E0F"/>
    <w:multiLevelType w:val="hybridMultilevel"/>
    <w:tmpl w:val="17E6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CC2A87"/>
    <w:multiLevelType w:val="hybridMultilevel"/>
    <w:tmpl w:val="72CE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122FF5"/>
    <w:multiLevelType w:val="hybridMultilevel"/>
    <w:tmpl w:val="F3F00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6"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7"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4283EE8"/>
    <w:multiLevelType w:val="multilevel"/>
    <w:tmpl w:val="BCD6D76A"/>
    <w:lvl w:ilvl="0">
      <w:start w:val="1"/>
      <w:numFmt w:val="decimal"/>
      <w:pStyle w:val="ParaNoNdepar-AltN"/>
      <w:lvlText w:val="[%1]"/>
      <w:lvlJc w:val="left"/>
      <w:pPr>
        <w:tabs>
          <w:tab w:val="num" w:pos="1152"/>
        </w:tabs>
        <w:ind w:left="0" w:firstLine="0"/>
      </w:pPr>
      <w:rPr>
        <w:rFonts w:ascii="Times New Roman" w:hAnsi="Times New Roman" w:hint="default"/>
        <w:b w:val="0"/>
        <w:i w:val="0"/>
        <w:strike w:val="0"/>
        <w:color w:val="auto"/>
        <w:sz w:val="24"/>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DB6090F"/>
    <w:multiLevelType w:val="hybridMultilevel"/>
    <w:tmpl w:val="DDDAA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6"/>
  </w:num>
  <w:num w:numId="5">
    <w:abstractNumId w:val="7"/>
  </w:num>
  <w:num w:numId="6">
    <w:abstractNumId w:val="8"/>
  </w:num>
  <w:num w:numId="7">
    <w:abstractNumId w:val="5"/>
  </w:num>
  <w:num w:numId="8">
    <w:abstractNumId w:val="5"/>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10"/>
  </w:num>
  <w:num w:numId="10">
    <w:abstractNumId w:val="4"/>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15AE1"/>
    <w:rsid w:val="00025198"/>
    <w:rsid w:val="00027A31"/>
    <w:rsid w:val="00056BB8"/>
    <w:rsid w:val="000578A3"/>
    <w:rsid w:val="000648CC"/>
    <w:rsid w:val="000A01A7"/>
    <w:rsid w:val="000C59B8"/>
    <w:rsid w:val="000C6AF0"/>
    <w:rsid w:val="000D6F57"/>
    <w:rsid w:val="000F4886"/>
    <w:rsid w:val="00104F33"/>
    <w:rsid w:val="001108F8"/>
    <w:rsid w:val="00111DE2"/>
    <w:rsid w:val="00116B38"/>
    <w:rsid w:val="001203C5"/>
    <w:rsid w:val="00127647"/>
    <w:rsid w:val="00135406"/>
    <w:rsid w:val="00135972"/>
    <w:rsid w:val="001426A9"/>
    <w:rsid w:val="001521EB"/>
    <w:rsid w:val="00154D7C"/>
    <w:rsid w:val="001570B0"/>
    <w:rsid w:val="0015752C"/>
    <w:rsid w:val="00157737"/>
    <w:rsid w:val="00165277"/>
    <w:rsid w:val="00170592"/>
    <w:rsid w:val="00186351"/>
    <w:rsid w:val="00195D83"/>
    <w:rsid w:val="001A00C1"/>
    <w:rsid w:val="001B33E0"/>
    <w:rsid w:val="001B4573"/>
    <w:rsid w:val="001C2FD0"/>
    <w:rsid w:val="001C779F"/>
    <w:rsid w:val="001D2AC1"/>
    <w:rsid w:val="001D4E88"/>
    <w:rsid w:val="001F5EB3"/>
    <w:rsid w:val="001F7ADC"/>
    <w:rsid w:val="00204718"/>
    <w:rsid w:val="00220FC2"/>
    <w:rsid w:val="002222F4"/>
    <w:rsid w:val="00224FC0"/>
    <w:rsid w:val="00225EA4"/>
    <w:rsid w:val="00226EAF"/>
    <w:rsid w:val="00231F3A"/>
    <w:rsid w:val="00234199"/>
    <w:rsid w:val="002406EE"/>
    <w:rsid w:val="00243EC8"/>
    <w:rsid w:val="00270D93"/>
    <w:rsid w:val="002745CC"/>
    <w:rsid w:val="002B790B"/>
    <w:rsid w:val="002B7924"/>
    <w:rsid w:val="002D28C3"/>
    <w:rsid w:val="002D2CA4"/>
    <w:rsid w:val="002D39A4"/>
    <w:rsid w:val="002E6705"/>
    <w:rsid w:val="00301D08"/>
    <w:rsid w:val="0030329A"/>
    <w:rsid w:val="00310136"/>
    <w:rsid w:val="0031086F"/>
    <w:rsid w:val="0031414C"/>
    <w:rsid w:val="003149D1"/>
    <w:rsid w:val="00314E01"/>
    <w:rsid w:val="0032089D"/>
    <w:rsid w:val="003310DE"/>
    <w:rsid w:val="003323B0"/>
    <w:rsid w:val="00337D43"/>
    <w:rsid w:val="0035169A"/>
    <w:rsid w:val="0035259D"/>
    <w:rsid w:val="00364B18"/>
    <w:rsid w:val="003932BF"/>
    <w:rsid w:val="00397BE4"/>
    <w:rsid w:val="003A125D"/>
    <w:rsid w:val="003A4C70"/>
    <w:rsid w:val="003A7DE6"/>
    <w:rsid w:val="003B215F"/>
    <w:rsid w:val="003C43E4"/>
    <w:rsid w:val="003C799C"/>
    <w:rsid w:val="003D0399"/>
    <w:rsid w:val="003E1C71"/>
    <w:rsid w:val="003F327B"/>
    <w:rsid w:val="00406166"/>
    <w:rsid w:val="0040704B"/>
    <w:rsid w:val="0041039E"/>
    <w:rsid w:val="00410A55"/>
    <w:rsid w:val="00411300"/>
    <w:rsid w:val="00411665"/>
    <w:rsid w:val="00415417"/>
    <w:rsid w:val="00426659"/>
    <w:rsid w:val="00450352"/>
    <w:rsid w:val="00454BDB"/>
    <w:rsid w:val="00454C0F"/>
    <w:rsid w:val="00461802"/>
    <w:rsid w:val="00464800"/>
    <w:rsid w:val="00465132"/>
    <w:rsid w:val="0046581C"/>
    <w:rsid w:val="00475624"/>
    <w:rsid w:val="00480C90"/>
    <w:rsid w:val="0048396F"/>
    <w:rsid w:val="00493C18"/>
    <w:rsid w:val="004A600C"/>
    <w:rsid w:val="004A6118"/>
    <w:rsid w:val="004C478D"/>
    <w:rsid w:val="004E2C26"/>
    <w:rsid w:val="004F0069"/>
    <w:rsid w:val="004F0081"/>
    <w:rsid w:val="004F36FF"/>
    <w:rsid w:val="005125A8"/>
    <w:rsid w:val="0051281C"/>
    <w:rsid w:val="00521AE8"/>
    <w:rsid w:val="00527180"/>
    <w:rsid w:val="0054201E"/>
    <w:rsid w:val="00555291"/>
    <w:rsid w:val="005648A7"/>
    <w:rsid w:val="00566AD1"/>
    <w:rsid w:val="00577BB1"/>
    <w:rsid w:val="00583EDE"/>
    <w:rsid w:val="005A6079"/>
    <w:rsid w:val="005A7E23"/>
    <w:rsid w:val="005B2B50"/>
    <w:rsid w:val="005E4698"/>
    <w:rsid w:val="005F0E5C"/>
    <w:rsid w:val="005F3CAB"/>
    <w:rsid w:val="00610539"/>
    <w:rsid w:val="00613969"/>
    <w:rsid w:val="00625C35"/>
    <w:rsid w:val="00656313"/>
    <w:rsid w:val="006565F4"/>
    <w:rsid w:val="00684EEA"/>
    <w:rsid w:val="0069689B"/>
    <w:rsid w:val="006A1551"/>
    <w:rsid w:val="006A19B1"/>
    <w:rsid w:val="006A60A2"/>
    <w:rsid w:val="006B5FF5"/>
    <w:rsid w:val="006E3F36"/>
    <w:rsid w:val="006F30AF"/>
    <w:rsid w:val="00701759"/>
    <w:rsid w:val="00705C15"/>
    <w:rsid w:val="0071600E"/>
    <w:rsid w:val="007208D1"/>
    <w:rsid w:val="0074229A"/>
    <w:rsid w:val="00747140"/>
    <w:rsid w:val="00747288"/>
    <w:rsid w:val="00747DD3"/>
    <w:rsid w:val="007549C8"/>
    <w:rsid w:val="00754A0B"/>
    <w:rsid w:val="00757B54"/>
    <w:rsid w:val="00760EF0"/>
    <w:rsid w:val="0076196A"/>
    <w:rsid w:val="00766D14"/>
    <w:rsid w:val="00767A0F"/>
    <w:rsid w:val="00775EC3"/>
    <w:rsid w:val="00777BA0"/>
    <w:rsid w:val="00787F10"/>
    <w:rsid w:val="007A05F6"/>
    <w:rsid w:val="007A1AC0"/>
    <w:rsid w:val="007B6F4A"/>
    <w:rsid w:val="007E1C47"/>
    <w:rsid w:val="007E337A"/>
    <w:rsid w:val="007E5C70"/>
    <w:rsid w:val="007F206C"/>
    <w:rsid w:val="007F2FF5"/>
    <w:rsid w:val="007F3F08"/>
    <w:rsid w:val="00804CC6"/>
    <w:rsid w:val="00817190"/>
    <w:rsid w:val="00820EE5"/>
    <w:rsid w:val="008260E2"/>
    <w:rsid w:val="008322BD"/>
    <w:rsid w:val="00833E0A"/>
    <w:rsid w:val="00834F73"/>
    <w:rsid w:val="00843C0A"/>
    <w:rsid w:val="00864CF8"/>
    <w:rsid w:val="00872819"/>
    <w:rsid w:val="00874914"/>
    <w:rsid w:val="00891422"/>
    <w:rsid w:val="00892342"/>
    <w:rsid w:val="00892E1A"/>
    <w:rsid w:val="008A3F29"/>
    <w:rsid w:val="008B660A"/>
    <w:rsid w:val="008C01DA"/>
    <w:rsid w:val="008F78E9"/>
    <w:rsid w:val="00911989"/>
    <w:rsid w:val="009179F9"/>
    <w:rsid w:val="00933E5E"/>
    <w:rsid w:val="00935218"/>
    <w:rsid w:val="00937B8A"/>
    <w:rsid w:val="009403F3"/>
    <w:rsid w:val="009555B7"/>
    <w:rsid w:val="009567AA"/>
    <w:rsid w:val="00966FAA"/>
    <w:rsid w:val="00967374"/>
    <w:rsid w:val="00982483"/>
    <w:rsid w:val="009945BD"/>
    <w:rsid w:val="009A343A"/>
    <w:rsid w:val="009B2F23"/>
    <w:rsid w:val="009B3066"/>
    <w:rsid w:val="009B57B3"/>
    <w:rsid w:val="009C5B92"/>
    <w:rsid w:val="009D2920"/>
    <w:rsid w:val="009D3FAB"/>
    <w:rsid w:val="009D5AEB"/>
    <w:rsid w:val="009F0E33"/>
    <w:rsid w:val="00A030CE"/>
    <w:rsid w:val="00A03B6E"/>
    <w:rsid w:val="00A149DF"/>
    <w:rsid w:val="00A1755C"/>
    <w:rsid w:val="00A21B90"/>
    <w:rsid w:val="00A41805"/>
    <w:rsid w:val="00A42DCD"/>
    <w:rsid w:val="00A47EFA"/>
    <w:rsid w:val="00A51AB1"/>
    <w:rsid w:val="00A52AFB"/>
    <w:rsid w:val="00A548CB"/>
    <w:rsid w:val="00A5521C"/>
    <w:rsid w:val="00A61540"/>
    <w:rsid w:val="00A643E7"/>
    <w:rsid w:val="00A73C38"/>
    <w:rsid w:val="00AB670D"/>
    <w:rsid w:val="00AE4535"/>
    <w:rsid w:val="00AF03C5"/>
    <w:rsid w:val="00B000D8"/>
    <w:rsid w:val="00B00F75"/>
    <w:rsid w:val="00B143D4"/>
    <w:rsid w:val="00B145B6"/>
    <w:rsid w:val="00B22F71"/>
    <w:rsid w:val="00B279EB"/>
    <w:rsid w:val="00B50C81"/>
    <w:rsid w:val="00B557F8"/>
    <w:rsid w:val="00B55DA2"/>
    <w:rsid w:val="00B63E9D"/>
    <w:rsid w:val="00B815FC"/>
    <w:rsid w:val="00B93FBC"/>
    <w:rsid w:val="00B94DFA"/>
    <w:rsid w:val="00BA7DA0"/>
    <w:rsid w:val="00BB2EE4"/>
    <w:rsid w:val="00BC2108"/>
    <w:rsid w:val="00BC78C5"/>
    <w:rsid w:val="00BD0E9E"/>
    <w:rsid w:val="00BD1BEC"/>
    <w:rsid w:val="00BD32FF"/>
    <w:rsid w:val="00C02092"/>
    <w:rsid w:val="00C24D91"/>
    <w:rsid w:val="00C33AA7"/>
    <w:rsid w:val="00C53F14"/>
    <w:rsid w:val="00C600CF"/>
    <w:rsid w:val="00C6084F"/>
    <w:rsid w:val="00C62A66"/>
    <w:rsid w:val="00C71458"/>
    <w:rsid w:val="00C77613"/>
    <w:rsid w:val="00C828E7"/>
    <w:rsid w:val="00C86719"/>
    <w:rsid w:val="00C921DD"/>
    <w:rsid w:val="00CA6391"/>
    <w:rsid w:val="00CB7907"/>
    <w:rsid w:val="00CC34BD"/>
    <w:rsid w:val="00CE161A"/>
    <w:rsid w:val="00CE3171"/>
    <w:rsid w:val="00CF061E"/>
    <w:rsid w:val="00CF1601"/>
    <w:rsid w:val="00D0172F"/>
    <w:rsid w:val="00D068A7"/>
    <w:rsid w:val="00D17476"/>
    <w:rsid w:val="00D32086"/>
    <w:rsid w:val="00D37A3F"/>
    <w:rsid w:val="00D4431D"/>
    <w:rsid w:val="00D4667A"/>
    <w:rsid w:val="00D63A1C"/>
    <w:rsid w:val="00D7516F"/>
    <w:rsid w:val="00D8579F"/>
    <w:rsid w:val="00D95F8E"/>
    <w:rsid w:val="00DA0590"/>
    <w:rsid w:val="00DA1B8F"/>
    <w:rsid w:val="00DB7BEA"/>
    <w:rsid w:val="00DC1739"/>
    <w:rsid w:val="00DC1788"/>
    <w:rsid w:val="00DE1864"/>
    <w:rsid w:val="00DE319C"/>
    <w:rsid w:val="00DF0CA8"/>
    <w:rsid w:val="00DF2B48"/>
    <w:rsid w:val="00DF49A7"/>
    <w:rsid w:val="00E0296A"/>
    <w:rsid w:val="00E07EE2"/>
    <w:rsid w:val="00E07FD1"/>
    <w:rsid w:val="00E176D8"/>
    <w:rsid w:val="00E24573"/>
    <w:rsid w:val="00E25E1E"/>
    <w:rsid w:val="00E27EE7"/>
    <w:rsid w:val="00E35404"/>
    <w:rsid w:val="00E45109"/>
    <w:rsid w:val="00E47B7A"/>
    <w:rsid w:val="00E56A44"/>
    <w:rsid w:val="00E60269"/>
    <w:rsid w:val="00E77932"/>
    <w:rsid w:val="00E901A9"/>
    <w:rsid w:val="00E97830"/>
    <w:rsid w:val="00EE444A"/>
    <w:rsid w:val="00EE643C"/>
    <w:rsid w:val="00EE7A97"/>
    <w:rsid w:val="00EF0683"/>
    <w:rsid w:val="00EF1288"/>
    <w:rsid w:val="00EF69D2"/>
    <w:rsid w:val="00EF766E"/>
    <w:rsid w:val="00F0070C"/>
    <w:rsid w:val="00F00EB7"/>
    <w:rsid w:val="00F36AB6"/>
    <w:rsid w:val="00F37A09"/>
    <w:rsid w:val="00F406B9"/>
    <w:rsid w:val="00F409CE"/>
    <w:rsid w:val="00F41349"/>
    <w:rsid w:val="00F4379D"/>
    <w:rsid w:val="00F50D2D"/>
    <w:rsid w:val="00F5589D"/>
    <w:rsid w:val="00F56C8B"/>
    <w:rsid w:val="00F57B56"/>
    <w:rsid w:val="00F66810"/>
    <w:rsid w:val="00F83B9F"/>
    <w:rsid w:val="00F846D9"/>
    <w:rsid w:val="00F84DF4"/>
    <w:rsid w:val="00F85C97"/>
    <w:rsid w:val="00FB37D2"/>
    <w:rsid w:val="00FC4EFB"/>
    <w:rsid w:val="00FD068D"/>
    <w:rsid w:val="00FD4F28"/>
    <w:rsid w:val="00FE5A38"/>
    <w:rsid w:val="00FE63CD"/>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DA1B8F"/>
    <w:rPr>
      <w:sz w:val="16"/>
      <w:szCs w:val="16"/>
    </w:rPr>
  </w:style>
  <w:style w:type="paragraph" w:styleId="CommentText">
    <w:name w:val="annotation text"/>
    <w:basedOn w:val="Normal"/>
    <w:link w:val="CommentTextChar"/>
    <w:uiPriority w:val="99"/>
    <w:semiHidden/>
    <w:unhideWhenUsed/>
    <w:rsid w:val="00DA1B8F"/>
    <w:rPr>
      <w:sz w:val="20"/>
    </w:rPr>
  </w:style>
  <w:style w:type="character" w:customStyle="1" w:styleId="CommentTextChar">
    <w:name w:val="Comment Text Char"/>
    <w:basedOn w:val="DefaultParagraphFont"/>
    <w:link w:val="CommentText"/>
    <w:uiPriority w:val="99"/>
    <w:semiHidden/>
    <w:rsid w:val="00DA1B8F"/>
  </w:style>
  <w:style w:type="character" w:styleId="Hyperlink">
    <w:name w:val="Hyperlink"/>
    <w:basedOn w:val="DefaultParagraphFont"/>
    <w:uiPriority w:val="99"/>
    <w:unhideWhenUsed/>
    <w:rsid w:val="00027A31"/>
    <w:rPr>
      <w:color w:val="660000"/>
      <w:u w:val="none"/>
    </w:rPr>
  </w:style>
  <w:style w:type="character" w:styleId="FollowedHyperlink">
    <w:name w:val="FollowedHyperlink"/>
    <w:basedOn w:val="DefaultParagraphFont"/>
    <w:uiPriority w:val="99"/>
    <w:semiHidden/>
    <w:unhideWhenUsed/>
    <w:rsid w:val="001C2FD0"/>
    <w:rPr>
      <w:color w:val="800080" w:themeColor="followedHyperlink"/>
      <w:u w:val="single"/>
    </w:rPr>
  </w:style>
  <w:style w:type="paragraph" w:customStyle="1" w:styleId="SCCLsocOtherPartyRoleSeparator">
    <w:name w:val="SCC.Lsoc.OtherPartyRoleSeparator"/>
    <w:basedOn w:val="Normal"/>
    <w:next w:val="Normal"/>
    <w:link w:val="SCCLsocOtherPartyRoleSeparatorChar"/>
    <w:rsid w:val="00F406B9"/>
    <w:pPr>
      <w:spacing w:after="480"/>
    </w:pPr>
    <w:rPr>
      <w:rFonts w:eastAsiaTheme="minorHAnsi" w:cstheme="minorBidi"/>
      <w:szCs w:val="22"/>
      <w:lang w:eastAsia="en-US"/>
    </w:rPr>
  </w:style>
  <w:style w:type="paragraph" w:customStyle="1" w:styleId="SCCCoram">
    <w:name w:val="SCC.Coram"/>
    <w:basedOn w:val="Normal"/>
    <w:next w:val="Normal"/>
    <w:link w:val="SCCCoramChar"/>
    <w:rsid w:val="00F406B9"/>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F406B9"/>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F406B9"/>
    <w:rPr>
      <w:rFonts w:eastAsiaTheme="minorHAnsi" w:cstheme="minorBidi"/>
      <w:sz w:val="24"/>
      <w:szCs w:val="22"/>
      <w:lang w:eastAsia="en-US"/>
    </w:rPr>
  </w:style>
  <w:style w:type="character" w:customStyle="1" w:styleId="SCCBanSummaryChar">
    <w:name w:val="SCC.BanSummary Char"/>
    <w:basedOn w:val="DefaultParagraphFont"/>
    <w:link w:val="SCCBanSummary"/>
    <w:rsid w:val="00F406B9"/>
    <w:rPr>
      <w:b/>
      <w:sz w:val="24"/>
    </w:rPr>
  </w:style>
  <w:style w:type="table" w:styleId="TableGrid">
    <w:name w:val="Table Grid"/>
    <w:basedOn w:val="TableNormal"/>
    <w:uiPriority w:val="59"/>
    <w:rsid w:val="00F406B9"/>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F406B9"/>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F406B9"/>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F406B9"/>
    <w:pPr>
      <w:tabs>
        <w:tab w:val="left" w:pos="1166"/>
      </w:tabs>
      <w:spacing w:after="480" w:line="480" w:lineRule="auto"/>
    </w:pPr>
    <w:rPr>
      <w:smallCaps/>
      <w:sz w:val="24"/>
      <w:szCs w:val="24"/>
    </w:rPr>
  </w:style>
  <w:style w:type="paragraph" w:customStyle="1" w:styleId="ParaNoNdepar-AltN">
    <w:name w:val="Para. No. / Nº de par. - Alt N"/>
    <w:qFormat/>
    <w:rsid w:val="00F406B9"/>
    <w:pPr>
      <w:numPr>
        <w:numId w:val="6"/>
      </w:numPr>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F406B9"/>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F406B9"/>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787F10"/>
    <w:pPr>
      <w:numPr>
        <w:ilvl w:val="2"/>
      </w:numPr>
      <w:outlineLvl w:val="2"/>
    </w:pPr>
    <w:rPr>
      <w:u w:val="none"/>
    </w:rPr>
  </w:style>
  <w:style w:type="paragraph" w:customStyle="1" w:styleId="Title4LevelTitre4Niveau">
    <w:name w:val="Title 4 Level / Titre 4 Niveau"/>
    <w:basedOn w:val="Title3LevelTitre3Niveau"/>
    <w:next w:val="ParaNoNdepar-AltN"/>
    <w:uiPriority w:val="4"/>
    <w:qFormat/>
    <w:rsid w:val="00F406B9"/>
    <w:pPr>
      <w:numPr>
        <w:ilvl w:val="3"/>
      </w:numPr>
      <w:outlineLvl w:val="3"/>
    </w:pPr>
    <w:rPr>
      <w:i/>
    </w:rPr>
  </w:style>
  <w:style w:type="paragraph" w:customStyle="1" w:styleId="Title5LevelTitre5Niveau">
    <w:name w:val="Title 5 Level / Titre 5 Niveau"/>
    <w:basedOn w:val="Title1LevelTitre1Niveau-AltL"/>
    <w:next w:val="ParaNoNdepar-AltN"/>
    <w:uiPriority w:val="4"/>
    <w:qFormat/>
    <w:rsid w:val="00F406B9"/>
    <w:pPr>
      <w:numPr>
        <w:ilvl w:val="4"/>
      </w:numPr>
      <w:outlineLvl w:val="4"/>
    </w:pPr>
  </w:style>
  <w:style w:type="paragraph" w:styleId="TOC1">
    <w:name w:val="toc 1"/>
    <w:basedOn w:val="Normal"/>
    <w:next w:val="Normal"/>
    <w:autoRedefine/>
    <w:uiPriority w:val="39"/>
    <w:unhideWhenUsed/>
    <w:rsid w:val="00F406B9"/>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F406B9"/>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F406B9"/>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F406B9"/>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F406B9"/>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F406B9"/>
    <w:pPr>
      <w:tabs>
        <w:tab w:val="left" w:pos="2160"/>
        <w:tab w:val="right" w:leader="dot" w:pos="8270"/>
      </w:tabs>
      <w:spacing w:after="100"/>
      <w:ind w:left="1800"/>
    </w:pPr>
    <w:rPr>
      <w:noProof/>
    </w:rPr>
  </w:style>
  <w:style w:type="table" w:customStyle="1" w:styleId="TableGrid1">
    <w:name w:val="Table Grid1"/>
    <w:basedOn w:val="TableNormal"/>
    <w:uiPriority w:val="59"/>
    <w:rsid w:val="00F406B9"/>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F406B9"/>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F406B9"/>
    <w:pPr>
      <w:numPr>
        <w:ilvl w:val="5"/>
      </w:numPr>
      <w:outlineLvl w:val="5"/>
    </w:pPr>
    <w:rPr>
      <w:i/>
      <w:u w:val="none"/>
    </w:rPr>
  </w:style>
  <w:style w:type="paragraph" w:styleId="FootnoteText">
    <w:name w:val="footnote text"/>
    <w:basedOn w:val="Normal"/>
    <w:link w:val="FootnoteTextChar"/>
    <w:uiPriority w:val="99"/>
    <w:unhideWhenUsed/>
    <w:rsid w:val="00F406B9"/>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F406B9"/>
  </w:style>
  <w:style w:type="character" w:styleId="FootnoteReference">
    <w:name w:val="footnote reference"/>
    <w:basedOn w:val="DefaultParagraphFont"/>
    <w:uiPriority w:val="99"/>
    <w:semiHidden/>
    <w:unhideWhenUsed/>
    <w:rsid w:val="00F406B9"/>
    <w:rPr>
      <w:vertAlign w:val="superscript"/>
    </w:rPr>
  </w:style>
  <w:style w:type="paragraph" w:styleId="ListParagraph">
    <w:name w:val="List Paragraph"/>
    <w:basedOn w:val="Normal"/>
    <w:uiPriority w:val="34"/>
    <w:qFormat/>
    <w:rsid w:val="00F406B9"/>
    <w:pPr>
      <w:ind w:left="720"/>
      <w:contextualSpacing/>
    </w:pPr>
    <w:rPr>
      <w:rFonts w:asciiTheme="minorHAnsi" w:eastAsiaTheme="minorHAnsi" w:hAnsiTheme="minorHAnsi" w:cstheme="minorBidi"/>
      <w:sz w:val="22"/>
      <w:szCs w:val="22"/>
      <w:lang w:val="en-US" w:eastAsia="en-US"/>
    </w:rPr>
  </w:style>
  <w:style w:type="table" w:customStyle="1" w:styleId="TableGrid2">
    <w:name w:val="Table Grid2"/>
    <w:basedOn w:val="TableNormal"/>
    <w:next w:val="TableGrid"/>
    <w:uiPriority w:val="59"/>
    <w:rsid w:val="00F406B9"/>
    <w:rPr>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next w:val="TableGrid"/>
    <w:uiPriority w:val="59"/>
    <w:rsid w:val="00F406B9"/>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anlii.ca/t/jcxlh"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10532</Words>
  <Characters>52438</Characters>
  <Application>Microsoft Office Word</Application>
  <DocSecurity>0</DocSecurity>
  <Lines>436</Lines>
  <Paragraphs>125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62845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2022-06-09T22:05:00Z</dcterms:created>
  <dcterms:modified xsi:type="dcterms:W3CDTF">2022-06-09T22:45:00Z</dcterms:modified>
</cp:coreProperties>
</file>