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F04D37" w:rsidRPr="00F04D37" w14:paraId="23619165" w14:textId="77777777" w:rsidTr="009410BA">
        <w:trPr>
          <w:trHeight w:val="2103"/>
        </w:trPr>
        <w:tc>
          <w:tcPr>
            <w:tcW w:w="5000" w:type="pct"/>
            <w:gridSpan w:val="4"/>
          </w:tcPr>
          <w:p w14:paraId="1FC52936" w14:textId="77777777" w:rsidR="00F04D37" w:rsidRPr="00F04D37" w:rsidRDefault="00F04D37" w:rsidP="00F04D37">
            <w:pPr>
              <w:jc w:val="center"/>
              <w:rPr>
                <w:b/>
              </w:rPr>
            </w:pPr>
            <w:r w:rsidRPr="00F04D37">
              <w:rPr>
                <w:b/>
                <w:noProof/>
              </w:rPr>
              <w:drawing>
                <wp:inline distT="0" distB="0" distL="0" distR="0" wp14:anchorId="2D2D7C5C" wp14:editId="4508AD8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9CAC7D8" w14:textId="77777777" w:rsidR="00F04D37" w:rsidRPr="00F04D37" w:rsidRDefault="00F04D37" w:rsidP="00F04D37">
            <w:pPr>
              <w:spacing w:before="120" w:after="100" w:afterAutospacing="1"/>
              <w:jc w:val="center"/>
            </w:pPr>
            <w:r w:rsidRPr="00F04D37">
              <w:rPr>
                <w:b/>
              </w:rPr>
              <w:t>SUPREME COURT OF CANADA</w:t>
            </w:r>
          </w:p>
        </w:tc>
      </w:tr>
      <w:tr w:rsidR="00F04D37" w:rsidRPr="00F04D37" w14:paraId="593F0614" w14:textId="77777777" w:rsidTr="00F04D37">
        <w:tblPrEx>
          <w:tblCellMar>
            <w:top w:w="58" w:type="dxa"/>
            <w:left w:w="58" w:type="dxa"/>
            <w:bottom w:w="58" w:type="dxa"/>
            <w:right w:w="58" w:type="dxa"/>
          </w:tblCellMar>
        </w:tblPrEx>
        <w:trPr>
          <w:cantSplit/>
        </w:trPr>
        <w:tc>
          <w:tcPr>
            <w:tcW w:w="2078" w:type="pct"/>
            <w:gridSpan w:val="2"/>
          </w:tcPr>
          <w:p w14:paraId="7113A70E" w14:textId="77777777" w:rsidR="00F04D37" w:rsidRPr="00F04D37" w:rsidRDefault="00F04D37" w:rsidP="00F04D37">
            <w:pPr>
              <w:rPr>
                <w:b/>
                <w:smallCaps/>
              </w:rPr>
            </w:pPr>
          </w:p>
          <w:p w14:paraId="19FCBC59" w14:textId="77777777" w:rsidR="00F04D37" w:rsidRPr="00F04D37" w:rsidRDefault="00F04D37" w:rsidP="00F04D37">
            <w:pPr>
              <w:rPr>
                <w:b/>
                <w:smallCaps/>
              </w:rPr>
            </w:pPr>
            <w:r w:rsidRPr="00F04D37">
              <w:rPr>
                <w:b/>
                <w:smallCaps/>
              </w:rPr>
              <w:t>Citation:</w:t>
            </w:r>
            <w:r w:rsidRPr="00F04D37">
              <w:t xml:space="preserve"> Law Society of Saskatchewan </w:t>
            </w:r>
            <w:r w:rsidRPr="00F04D37">
              <w:rPr>
                <w:i/>
              </w:rPr>
              <w:t>v.</w:t>
            </w:r>
            <w:r w:rsidRPr="00F04D37">
              <w:t xml:space="preserve"> Abrametz, 2022 SCC 29</w:t>
            </w:r>
          </w:p>
        </w:tc>
        <w:tc>
          <w:tcPr>
            <w:tcW w:w="966" w:type="pct"/>
          </w:tcPr>
          <w:p w14:paraId="0FD26A57" w14:textId="77777777" w:rsidR="00F04D37" w:rsidRPr="00F04D37" w:rsidRDefault="00F04D37" w:rsidP="00F04D37"/>
        </w:tc>
        <w:tc>
          <w:tcPr>
            <w:tcW w:w="1956" w:type="pct"/>
          </w:tcPr>
          <w:p w14:paraId="16465470" w14:textId="77777777" w:rsidR="00F04D37" w:rsidRPr="00F04D37" w:rsidRDefault="00F04D37" w:rsidP="00F04D37">
            <w:pPr>
              <w:rPr>
                <w:b/>
                <w:smallCaps/>
              </w:rPr>
            </w:pPr>
          </w:p>
          <w:p w14:paraId="23221572" w14:textId="77777777" w:rsidR="00F04D37" w:rsidRPr="00F04D37" w:rsidRDefault="00F04D37" w:rsidP="00F04D37">
            <w:pPr>
              <w:jc w:val="both"/>
            </w:pPr>
            <w:r w:rsidRPr="00F04D37">
              <w:rPr>
                <w:b/>
                <w:smallCaps/>
              </w:rPr>
              <w:t>Appeal Heard:</w:t>
            </w:r>
            <w:r w:rsidRPr="00F04D37">
              <w:t xml:space="preserve"> November 8, 2021</w:t>
            </w:r>
          </w:p>
          <w:p w14:paraId="6D9D7833" w14:textId="77777777" w:rsidR="00F04D37" w:rsidRPr="00F04D37" w:rsidRDefault="00F04D37" w:rsidP="00F04D37">
            <w:r w:rsidRPr="00F04D37">
              <w:rPr>
                <w:b/>
                <w:smallCaps/>
              </w:rPr>
              <w:t>Judgment Rendered:</w:t>
            </w:r>
            <w:r w:rsidRPr="00F04D37">
              <w:t xml:space="preserve"> July 8, 2022</w:t>
            </w:r>
          </w:p>
          <w:p w14:paraId="4D1928CC" w14:textId="77777777" w:rsidR="00F04D37" w:rsidRPr="00F04D37" w:rsidRDefault="00F04D37" w:rsidP="00F04D37">
            <w:r w:rsidRPr="00F04D37">
              <w:rPr>
                <w:b/>
                <w:smallCaps/>
              </w:rPr>
              <w:t>Docket:</w:t>
            </w:r>
            <w:r w:rsidRPr="00F04D37">
              <w:t xml:space="preserve"> 39340</w:t>
            </w:r>
          </w:p>
        </w:tc>
      </w:tr>
      <w:tr w:rsidR="00F04D37" w:rsidRPr="00F04D37" w14:paraId="405048CE" w14:textId="77777777" w:rsidTr="009410BA">
        <w:tblPrEx>
          <w:tblCellMar>
            <w:top w:w="58" w:type="dxa"/>
            <w:left w:w="58" w:type="dxa"/>
            <w:bottom w:w="58" w:type="dxa"/>
            <w:right w:w="58" w:type="dxa"/>
          </w:tblCellMar>
        </w:tblPrEx>
        <w:trPr>
          <w:cantSplit/>
        </w:trPr>
        <w:tc>
          <w:tcPr>
            <w:tcW w:w="5000" w:type="pct"/>
            <w:gridSpan w:val="4"/>
          </w:tcPr>
          <w:p w14:paraId="61D923A7" w14:textId="77777777" w:rsidR="00F04D37" w:rsidRPr="00F04D37" w:rsidRDefault="00F04D37" w:rsidP="00F04D37"/>
          <w:p w14:paraId="62399735" w14:textId="77777777" w:rsidR="00F04D37" w:rsidRPr="00F04D37" w:rsidRDefault="00F04D37" w:rsidP="00F04D37">
            <w:pPr>
              <w:rPr>
                <w:b/>
                <w:smallCaps/>
              </w:rPr>
            </w:pPr>
            <w:r w:rsidRPr="00F04D37">
              <w:rPr>
                <w:b/>
                <w:smallCaps/>
              </w:rPr>
              <w:t>Between:</w:t>
            </w:r>
          </w:p>
          <w:p w14:paraId="566AA86A" w14:textId="77777777" w:rsidR="00F04D37" w:rsidRPr="00F04D37" w:rsidRDefault="00F04D37" w:rsidP="00F04D37"/>
          <w:p w14:paraId="54CBD461" w14:textId="77777777" w:rsidR="00F04D37" w:rsidRPr="00F04D37" w:rsidRDefault="00F04D37" w:rsidP="00F04D37">
            <w:pPr>
              <w:jc w:val="center"/>
              <w:rPr>
                <w:b/>
              </w:rPr>
            </w:pPr>
            <w:r w:rsidRPr="00F04D37">
              <w:rPr>
                <w:b/>
              </w:rPr>
              <w:t>Law Society of Saskatchewan</w:t>
            </w:r>
          </w:p>
          <w:p w14:paraId="2A9F8054" w14:textId="77777777" w:rsidR="00F04D37" w:rsidRPr="00F04D37" w:rsidRDefault="00F04D37" w:rsidP="00F04D37">
            <w:pPr>
              <w:jc w:val="center"/>
            </w:pPr>
            <w:r w:rsidRPr="00F04D37">
              <w:t>Appellant</w:t>
            </w:r>
          </w:p>
          <w:p w14:paraId="440AF05B" w14:textId="77777777" w:rsidR="00F04D37" w:rsidRPr="00F04D37" w:rsidRDefault="00F04D37" w:rsidP="00F04D37"/>
          <w:p w14:paraId="72B3A4BA" w14:textId="77777777" w:rsidR="00F04D37" w:rsidRPr="00F04D37" w:rsidRDefault="00F04D37" w:rsidP="00F04D37">
            <w:pPr>
              <w:jc w:val="center"/>
            </w:pPr>
            <w:r w:rsidRPr="00F04D37">
              <w:t>and</w:t>
            </w:r>
          </w:p>
          <w:p w14:paraId="70C37352" w14:textId="77777777" w:rsidR="00F04D37" w:rsidRPr="00F04D37" w:rsidRDefault="00F04D37" w:rsidP="00F04D37"/>
          <w:p w14:paraId="152C0575" w14:textId="77777777" w:rsidR="00F04D37" w:rsidRPr="00F04D37" w:rsidRDefault="00F04D37" w:rsidP="00F04D37">
            <w:pPr>
              <w:jc w:val="center"/>
              <w:rPr>
                <w:b/>
              </w:rPr>
            </w:pPr>
            <w:r w:rsidRPr="00F04D37">
              <w:rPr>
                <w:b/>
              </w:rPr>
              <w:t>Peter V. Abrametz</w:t>
            </w:r>
          </w:p>
          <w:p w14:paraId="54DA05EF" w14:textId="77777777" w:rsidR="00F04D37" w:rsidRPr="00F04D37" w:rsidRDefault="00F04D37" w:rsidP="00F04D37">
            <w:pPr>
              <w:jc w:val="center"/>
            </w:pPr>
            <w:r w:rsidRPr="00F04D37">
              <w:t>Respondent</w:t>
            </w:r>
          </w:p>
          <w:p w14:paraId="4B229703" w14:textId="77777777" w:rsidR="00F04D37" w:rsidRPr="00F04D37" w:rsidRDefault="00F04D37" w:rsidP="00F04D37"/>
          <w:p w14:paraId="09082B3B" w14:textId="77777777" w:rsidR="00F04D37" w:rsidRPr="00F04D37" w:rsidRDefault="00F04D37" w:rsidP="00F04D37">
            <w:pPr>
              <w:jc w:val="center"/>
            </w:pPr>
            <w:r w:rsidRPr="00F04D37">
              <w:t>- and -</w:t>
            </w:r>
          </w:p>
          <w:p w14:paraId="196F2172" w14:textId="77777777" w:rsidR="00F04D37" w:rsidRPr="00F04D37" w:rsidRDefault="00F04D37" w:rsidP="00F04D37"/>
          <w:p w14:paraId="5762CFEE" w14:textId="77777777" w:rsidR="00F04D37" w:rsidRPr="00F04D37" w:rsidRDefault="00F04D37" w:rsidP="00F04D37">
            <w:pPr>
              <w:jc w:val="center"/>
              <w:rPr>
                <w:b/>
              </w:rPr>
            </w:pPr>
            <w:r w:rsidRPr="00F04D37">
              <w:rPr>
                <w:b/>
              </w:rPr>
              <w:t>Attorney General of Ontario, Attorney General of Quebec, Attorney General of British Columbia, Attorney General of Saskatchewan, Law Society of Alberta, Law Society of Manitoba, College of Physicians and Surgeons of Ontario, College of Nurses of Ontario, Ontario College of Pharmacists, Royal College of Dental Surgeons of Ontario, Federation of Law Societies of Canada, Alberta Securities Commission, British Columbia Securities Commission, Barreau du Québec and Canadian Association of Refugee Lawyers</w:t>
            </w:r>
          </w:p>
          <w:p w14:paraId="04CFBC2D" w14:textId="77777777" w:rsidR="00F04D37" w:rsidRPr="00F04D37" w:rsidRDefault="00F04D37" w:rsidP="00F04D37">
            <w:pPr>
              <w:jc w:val="center"/>
            </w:pPr>
            <w:r w:rsidRPr="00F04D37">
              <w:t>Interveners</w:t>
            </w:r>
          </w:p>
          <w:p w14:paraId="3072AE3D" w14:textId="77777777" w:rsidR="00F04D37" w:rsidRPr="00F04D37" w:rsidRDefault="00F04D37" w:rsidP="00F04D37"/>
          <w:p w14:paraId="3A93343A" w14:textId="77777777" w:rsidR="00F04D37" w:rsidRPr="00F04D37" w:rsidRDefault="00F04D37" w:rsidP="00F04D37">
            <w:pPr>
              <w:jc w:val="center"/>
              <w:rPr>
                <w:b/>
                <w:smallCaps/>
              </w:rPr>
            </w:pPr>
          </w:p>
          <w:p w14:paraId="3C475549" w14:textId="77777777" w:rsidR="00F04D37" w:rsidRPr="00F04D37" w:rsidRDefault="00F04D37" w:rsidP="00F04D37"/>
          <w:p w14:paraId="179F9E8C" w14:textId="77777777" w:rsidR="00F04D37" w:rsidRPr="00F04D37" w:rsidRDefault="00F04D37" w:rsidP="00F04D37">
            <w:r w:rsidRPr="00F04D37">
              <w:rPr>
                <w:b/>
                <w:smallCaps/>
              </w:rPr>
              <w:t>Coram:</w:t>
            </w:r>
            <w:r w:rsidRPr="00F04D37">
              <w:t xml:space="preserve"> Wagner C.J. and Moldaver, Karakatsanis, Côté, Brown, Rowe, Martin, Kasirer and Jamal JJ.</w:t>
            </w:r>
          </w:p>
          <w:p w14:paraId="61923035" w14:textId="77777777" w:rsidR="00F04D37" w:rsidRPr="00F04D37" w:rsidRDefault="00F04D37" w:rsidP="00F04D37">
            <w:pPr>
              <w:rPr>
                <w:b/>
                <w:smallCaps/>
              </w:rPr>
            </w:pPr>
          </w:p>
        </w:tc>
      </w:tr>
      <w:tr w:rsidR="00F04D37" w:rsidRPr="00F04D37" w14:paraId="559529E4" w14:textId="77777777" w:rsidTr="009410BA">
        <w:tblPrEx>
          <w:tblCellMar>
            <w:top w:w="58" w:type="dxa"/>
            <w:left w:w="58" w:type="dxa"/>
            <w:bottom w:w="58" w:type="dxa"/>
            <w:right w:w="58" w:type="dxa"/>
          </w:tblCellMar>
        </w:tblPrEx>
        <w:trPr>
          <w:cantSplit/>
        </w:trPr>
        <w:tc>
          <w:tcPr>
            <w:tcW w:w="1231" w:type="pct"/>
          </w:tcPr>
          <w:p w14:paraId="6305E1B9" w14:textId="77777777" w:rsidR="00F04D37" w:rsidRPr="00F04D37" w:rsidRDefault="00F04D37" w:rsidP="00F04D37">
            <w:pPr>
              <w:rPr>
                <w:smallCaps/>
              </w:rPr>
            </w:pPr>
            <w:r w:rsidRPr="00F04D37">
              <w:rPr>
                <w:b/>
                <w:smallCaps/>
              </w:rPr>
              <w:lastRenderedPageBreak/>
              <w:t>Reasons for Judgment:</w:t>
            </w:r>
            <w:r w:rsidRPr="00F04D37">
              <w:rPr>
                <w:smallCaps/>
              </w:rPr>
              <w:t xml:space="preserve"> </w:t>
            </w:r>
          </w:p>
          <w:p w14:paraId="73B15CB5" w14:textId="77777777" w:rsidR="00F04D37" w:rsidRPr="00F04D37" w:rsidRDefault="00F04D37" w:rsidP="00F04D37">
            <w:r w:rsidRPr="00F04D37">
              <w:t>(paras. 1 to 127)</w:t>
            </w:r>
          </w:p>
        </w:tc>
        <w:tc>
          <w:tcPr>
            <w:tcW w:w="3769" w:type="pct"/>
            <w:gridSpan w:val="3"/>
          </w:tcPr>
          <w:p w14:paraId="763E782C" w14:textId="77777777" w:rsidR="00F04D37" w:rsidRPr="00F04D37" w:rsidRDefault="00F04D37" w:rsidP="00F04D37">
            <w:r w:rsidRPr="00F04D37">
              <w:t>Rowe J. (Wagner C.J. and Moldaver, Karakatsanis, Brown, Martin, Kasirer and Jamal JJ. concurring)</w:t>
            </w:r>
          </w:p>
        </w:tc>
      </w:tr>
      <w:tr w:rsidR="00F04D37" w:rsidRPr="00F04D37" w14:paraId="6088C565" w14:textId="77777777" w:rsidTr="009410BA">
        <w:tblPrEx>
          <w:tblCellMar>
            <w:top w:w="58" w:type="dxa"/>
            <w:left w:w="58" w:type="dxa"/>
            <w:bottom w:w="58" w:type="dxa"/>
            <w:right w:w="58" w:type="dxa"/>
          </w:tblCellMar>
        </w:tblPrEx>
        <w:trPr>
          <w:cantSplit/>
        </w:trPr>
        <w:tc>
          <w:tcPr>
            <w:tcW w:w="1231" w:type="pct"/>
          </w:tcPr>
          <w:p w14:paraId="5674FE0C" w14:textId="77777777" w:rsidR="00F04D37" w:rsidRPr="00F04D37" w:rsidRDefault="00F04D37" w:rsidP="00F04D37"/>
        </w:tc>
        <w:tc>
          <w:tcPr>
            <w:tcW w:w="3769" w:type="pct"/>
            <w:gridSpan w:val="3"/>
          </w:tcPr>
          <w:p w14:paraId="6142F39D" w14:textId="77777777" w:rsidR="00F04D37" w:rsidRPr="00F04D37" w:rsidRDefault="00F04D37" w:rsidP="00F04D37"/>
        </w:tc>
      </w:tr>
      <w:tr w:rsidR="00F04D37" w:rsidRPr="00F04D37" w14:paraId="0AFED3D5" w14:textId="77777777" w:rsidTr="009410BA">
        <w:tblPrEx>
          <w:tblCellMar>
            <w:top w:w="58" w:type="dxa"/>
            <w:left w:w="58" w:type="dxa"/>
            <w:bottom w:w="58" w:type="dxa"/>
            <w:right w:w="58" w:type="dxa"/>
          </w:tblCellMar>
        </w:tblPrEx>
        <w:trPr>
          <w:cantSplit/>
        </w:trPr>
        <w:tc>
          <w:tcPr>
            <w:tcW w:w="1231" w:type="pct"/>
          </w:tcPr>
          <w:p w14:paraId="7A099B17" w14:textId="77777777" w:rsidR="00F04D37" w:rsidRPr="00F04D37" w:rsidRDefault="00F04D37" w:rsidP="00F04D37">
            <w:pPr>
              <w:rPr>
                <w:smallCaps/>
              </w:rPr>
            </w:pPr>
            <w:r w:rsidRPr="00F04D37">
              <w:rPr>
                <w:b/>
                <w:smallCaps/>
              </w:rPr>
              <w:t>Dissenting Reasons:</w:t>
            </w:r>
            <w:r w:rsidRPr="00F04D37">
              <w:rPr>
                <w:smallCaps/>
              </w:rPr>
              <w:t xml:space="preserve"> </w:t>
            </w:r>
          </w:p>
          <w:p w14:paraId="5D8FB4AB" w14:textId="77777777" w:rsidR="00F04D37" w:rsidRPr="00F04D37" w:rsidRDefault="00F04D37" w:rsidP="00F04D37">
            <w:r w:rsidRPr="00F04D37">
              <w:t xml:space="preserve">(paras. </w:t>
            </w:r>
            <w:r w:rsidRPr="00F04D37">
              <w:rPr>
                <w:lang w:val="fr-CA"/>
              </w:rPr>
              <w:t xml:space="preserve">128 </w:t>
            </w:r>
            <w:r w:rsidRPr="00F04D37">
              <w:t xml:space="preserve">to </w:t>
            </w:r>
            <w:r w:rsidRPr="00F04D37">
              <w:rPr>
                <w:lang w:val="fr-CA"/>
              </w:rPr>
              <w:t>226</w:t>
            </w:r>
            <w:r w:rsidRPr="00F04D37">
              <w:t>)</w:t>
            </w:r>
          </w:p>
        </w:tc>
        <w:tc>
          <w:tcPr>
            <w:tcW w:w="3769" w:type="pct"/>
            <w:gridSpan w:val="3"/>
          </w:tcPr>
          <w:p w14:paraId="6D12F2F0" w14:textId="77777777" w:rsidR="00F04D37" w:rsidRPr="00F04D37" w:rsidRDefault="00F04D37" w:rsidP="00F04D37">
            <w:r w:rsidRPr="00F04D37">
              <w:t>Côté J.</w:t>
            </w:r>
          </w:p>
        </w:tc>
      </w:tr>
    </w:tbl>
    <w:p w14:paraId="6D11428E" w14:textId="77777777" w:rsidR="00F04D37" w:rsidRPr="00F04D37" w:rsidRDefault="00F04D37" w:rsidP="00F04D37">
      <w:pPr>
        <w:rPr>
          <w:rFonts w:eastAsiaTheme="minorHAnsi" w:cstheme="minorBidi"/>
          <w:szCs w:val="24"/>
          <w:lang w:eastAsia="en-US"/>
        </w:rPr>
      </w:pPr>
    </w:p>
    <w:p w14:paraId="4A3339EC" w14:textId="77777777" w:rsidR="00F04D37" w:rsidRPr="00F04D37" w:rsidRDefault="00F04D37" w:rsidP="00F04D37">
      <w:pPr>
        <w:rPr>
          <w:rFonts w:eastAsiaTheme="minorHAnsi" w:cstheme="minorBidi"/>
          <w:szCs w:val="24"/>
          <w:lang w:eastAsia="en-US"/>
        </w:rPr>
      </w:pPr>
    </w:p>
    <w:p w14:paraId="2A41E1C9" w14:textId="77777777" w:rsidR="00F04D37" w:rsidRPr="00F04D37" w:rsidRDefault="00F04D37" w:rsidP="00F04D37">
      <w:pPr>
        <w:rPr>
          <w:rFonts w:eastAsiaTheme="minorHAnsi" w:cstheme="minorBidi"/>
          <w:szCs w:val="24"/>
          <w:lang w:eastAsia="en-US"/>
        </w:rPr>
      </w:pPr>
      <w:r w:rsidRPr="00F04D37">
        <w:rPr>
          <w:rFonts w:eastAsiaTheme="minorHAnsi" w:cstheme="minorBidi"/>
          <w:b/>
          <w:smallCaps/>
          <w:szCs w:val="24"/>
          <w:lang w:eastAsia="en-US"/>
        </w:rPr>
        <w:t>Note:</w:t>
      </w:r>
      <w:r w:rsidRPr="00F04D37">
        <w:rPr>
          <w:rFonts w:eastAsiaTheme="minorHAnsi" w:cstheme="minorBidi"/>
          <w:b/>
          <w:szCs w:val="24"/>
          <w:lang w:eastAsia="en-US"/>
        </w:rPr>
        <w:t xml:space="preserve"> </w:t>
      </w:r>
      <w:r w:rsidRPr="00F04D37">
        <w:rPr>
          <w:rFonts w:eastAsiaTheme="minorHAnsi" w:cstheme="minorBidi"/>
          <w:szCs w:val="24"/>
          <w:lang w:eastAsia="en-US"/>
        </w:rPr>
        <w:t xml:space="preserve">This document is subject to editorial revision before its reproduction in final form in the </w:t>
      </w:r>
      <w:r w:rsidRPr="00F04D37">
        <w:rPr>
          <w:rFonts w:eastAsiaTheme="minorHAnsi" w:cstheme="minorBidi"/>
          <w:i/>
          <w:szCs w:val="24"/>
          <w:lang w:eastAsia="en-US"/>
        </w:rPr>
        <w:t>Canada Supreme Court Reports</w:t>
      </w:r>
      <w:r w:rsidRPr="00F04D3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F04D37" w:rsidRPr="00F04D37" w14:paraId="0FBC7294" w14:textId="77777777" w:rsidTr="009410BA">
        <w:tc>
          <w:tcPr>
            <w:tcW w:w="1500" w:type="pct"/>
            <w:tcMar>
              <w:top w:w="284" w:type="dxa"/>
            </w:tcMar>
          </w:tcPr>
          <w:p w14:paraId="3C7FA7B3" w14:textId="77777777" w:rsidR="00F04D37" w:rsidRPr="00F04D37" w:rsidRDefault="00F04D37" w:rsidP="00F04D37"/>
        </w:tc>
        <w:tc>
          <w:tcPr>
            <w:tcW w:w="2000" w:type="pct"/>
            <w:tcBorders>
              <w:bottom w:val="single" w:sz="4" w:space="0" w:color="auto"/>
            </w:tcBorders>
            <w:tcMar>
              <w:top w:w="284" w:type="dxa"/>
            </w:tcMar>
          </w:tcPr>
          <w:p w14:paraId="0851430A" w14:textId="77777777" w:rsidR="00F04D37" w:rsidRPr="00F04D37" w:rsidRDefault="00F04D37" w:rsidP="00F04D37"/>
        </w:tc>
        <w:tc>
          <w:tcPr>
            <w:tcW w:w="1500" w:type="pct"/>
            <w:tcMar>
              <w:top w:w="284" w:type="dxa"/>
            </w:tcMar>
          </w:tcPr>
          <w:p w14:paraId="30859546" w14:textId="77777777" w:rsidR="00F04D37" w:rsidRPr="00F04D37" w:rsidRDefault="00F04D37" w:rsidP="00F04D37"/>
        </w:tc>
      </w:tr>
    </w:tbl>
    <w:p w14:paraId="4B844A91" w14:textId="77777777" w:rsidR="00F04D37" w:rsidRPr="00F04D37" w:rsidRDefault="00F04D37" w:rsidP="00F04D37">
      <w:pPr>
        <w:rPr>
          <w:rFonts w:eastAsiaTheme="minorHAnsi" w:cstheme="minorBidi"/>
          <w:szCs w:val="24"/>
          <w:lang w:eastAsia="en-US"/>
        </w:rPr>
      </w:pPr>
    </w:p>
    <w:p w14:paraId="36F1D6CD" w14:textId="77777777" w:rsidR="00F04D37" w:rsidRDefault="00F04D37">
      <w:pPr>
        <w:rPr>
          <w:b/>
        </w:rPr>
      </w:pPr>
      <w:r>
        <w:br w:type="page"/>
      </w:r>
    </w:p>
    <w:p w14:paraId="3DF32F69" w14:textId="7989CFB2" w:rsidR="006F4C55" w:rsidRDefault="00D437C9" w:rsidP="00142A98">
      <w:pPr>
        <w:pStyle w:val="SCCLsocLastPartyInRole"/>
        <w:tabs>
          <w:tab w:val="clear" w:pos="8222"/>
          <w:tab w:val="right" w:pos="8280"/>
        </w:tabs>
      </w:pPr>
      <w:r>
        <w:lastRenderedPageBreak/>
        <w:t>Law Society of Saskatchewan</w:t>
      </w:r>
      <w:r>
        <w:rPr>
          <w:rStyle w:val="SCCLsocPartyRole"/>
        </w:rPr>
        <w:tab/>
        <w:t>Appellant</w:t>
      </w:r>
    </w:p>
    <w:p w14:paraId="356E9D25" w14:textId="77777777" w:rsidR="006F4C55" w:rsidRDefault="00D437C9">
      <w:pPr>
        <w:pStyle w:val="SCCLsocVersus"/>
      </w:pPr>
      <w:proofErr w:type="gramStart"/>
      <w:r>
        <w:t>v</w:t>
      </w:r>
      <w:proofErr w:type="gramEnd"/>
      <w:r>
        <w:t>.</w:t>
      </w:r>
    </w:p>
    <w:p w14:paraId="6F8F71A6" w14:textId="0851AB62" w:rsidR="006F4C55" w:rsidRDefault="00142A98" w:rsidP="00142A98">
      <w:pPr>
        <w:pStyle w:val="SCCLsocLastPartyInRole"/>
        <w:tabs>
          <w:tab w:val="clear" w:pos="8222"/>
          <w:tab w:val="right" w:pos="8280"/>
        </w:tabs>
      </w:pPr>
      <w:r>
        <w:t xml:space="preserve">Peter </w:t>
      </w:r>
      <w:r w:rsidR="00D437C9">
        <w:t>V. Abrametz</w:t>
      </w:r>
      <w:r w:rsidR="00D437C9">
        <w:rPr>
          <w:rStyle w:val="SCCLsocPartyRole"/>
        </w:rPr>
        <w:tab/>
        <w:t>Respondent</w:t>
      </w:r>
    </w:p>
    <w:p w14:paraId="6D07EC02" w14:textId="77777777" w:rsidR="006F4C55" w:rsidRDefault="00D437C9">
      <w:pPr>
        <w:pStyle w:val="SCCLsocOtherPartySeparator"/>
      </w:pPr>
      <w:proofErr w:type="gramStart"/>
      <w:r>
        <w:t>and</w:t>
      </w:r>
      <w:proofErr w:type="gramEnd"/>
    </w:p>
    <w:p w14:paraId="63F5E88F" w14:textId="77777777" w:rsidR="006F4C55" w:rsidRDefault="00D437C9">
      <w:pPr>
        <w:pStyle w:val="SCCLsocParty"/>
      </w:pPr>
      <w:r>
        <w:t>Attorney General of Ontario,</w:t>
      </w:r>
    </w:p>
    <w:p w14:paraId="6BE79C13" w14:textId="77777777" w:rsidR="006F4C55" w:rsidRDefault="00D437C9">
      <w:pPr>
        <w:pStyle w:val="SCCLsocParty"/>
      </w:pPr>
      <w:r>
        <w:t>Attorney General of Quebec,</w:t>
      </w:r>
    </w:p>
    <w:p w14:paraId="2F5B74D9" w14:textId="77777777" w:rsidR="006F4C55" w:rsidRDefault="00D437C9">
      <w:pPr>
        <w:pStyle w:val="SCCLsocParty"/>
      </w:pPr>
      <w:r>
        <w:t>Attorney General of British Columbia,</w:t>
      </w:r>
    </w:p>
    <w:p w14:paraId="629E6AB1" w14:textId="77777777" w:rsidR="006F4C55" w:rsidRDefault="00D437C9">
      <w:pPr>
        <w:pStyle w:val="SCCLsocParty"/>
      </w:pPr>
      <w:r>
        <w:t>Attorney General of Saskatchewan,</w:t>
      </w:r>
    </w:p>
    <w:p w14:paraId="726FFB8A" w14:textId="77777777" w:rsidR="006F4C55" w:rsidRDefault="00D437C9">
      <w:pPr>
        <w:pStyle w:val="SCCLsocParty"/>
      </w:pPr>
      <w:r>
        <w:t>Law Society of Alberta,</w:t>
      </w:r>
    </w:p>
    <w:p w14:paraId="4D11C4E8" w14:textId="77777777" w:rsidR="006F4C55" w:rsidRDefault="00D437C9">
      <w:pPr>
        <w:pStyle w:val="SCCLsocParty"/>
      </w:pPr>
      <w:r>
        <w:t>Law Society of Manitoba,</w:t>
      </w:r>
    </w:p>
    <w:p w14:paraId="3DBBE826" w14:textId="6F32527E" w:rsidR="002C6AEB" w:rsidRDefault="00D437C9">
      <w:pPr>
        <w:pStyle w:val="SCCLsocParty"/>
      </w:pPr>
      <w:r>
        <w:t>College of Phys</w:t>
      </w:r>
      <w:r w:rsidR="00142A98">
        <w:t>icians and Surgeons of Ontario,</w:t>
      </w:r>
    </w:p>
    <w:p w14:paraId="6CC5DAE9" w14:textId="526A9C76" w:rsidR="002C6AEB" w:rsidRDefault="00142A98">
      <w:pPr>
        <w:pStyle w:val="SCCLsocParty"/>
      </w:pPr>
      <w:r>
        <w:t>College of Nurses of Ontario,</w:t>
      </w:r>
    </w:p>
    <w:p w14:paraId="7D6C0611" w14:textId="5F014D95" w:rsidR="002C6AEB" w:rsidRDefault="00D437C9">
      <w:pPr>
        <w:pStyle w:val="SCCLsocParty"/>
      </w:pPr>
      <w:r>
        <w:t>Ontario College of Pharmacists</w:t>
      </w:r>
      <w:r w:rsidR="002C6AEB">
        <w:t>,</w:t>
      </w:r>
    </w:p>
    <w:p w14:paraId="3431A9E5" w14:textId="77777777" w:rsidR="006F4C55" w:rsidRDefault="00D437C9">
      <w:pPr>
        <w:pStyle w:val="SCCLsocParty"/>
      </w:pPr>
      <w:r>
        <w:t>Royal College of Dental Surgeons of Ontario,</w:t>
      </w:r>
    </w:p>
    <w:p w14:paraId="704F896F" w14:textId="77777777" w:rsidR="006F4C55" w:rsidRDefault="00D437C9">
      <w:pPr>
        <w:pStyle w:val="SCCLsocParty"/>
      </w:pPr>
      <w:r>
        <w:t>Federation of Law Societies of Canada,</w:t>
      </w:r>
    </w:p>
    <w:p w14:paraId="36585FF6" w14:textId="77777777" w:rsidR="002C6AEB" w:rsidRDefault="00D437C9">
      <w:pPr>
        <w:pStyle w:val="SCCLsocParty"/>
      </w:pPr>
      <w:r>
        <w:t>A</w:t>
      </w:r>
      <w:r w:rsidR="002C6AEB">
        <w:t>lberta Securities Commission,</w:t>
      </w:r>
    </w:p>
    <w:p w14:paraId="776624EC" w14:textId="77777777" w:rsidR="006F4C55" w:rsidRDefault="00D437C9">
      <w:pPr>
        <w:pStyle w:val="SCCLsocParty"/>
      </w:pPr>
      <w:r>
        <w:t>British Columbia Securities Commission,</w:t>
      </w:r>
    </w:p>
    <w:p w14:paraId="24A379A8" w14:textId="500A2A7D" w:rsidR="006F4C55" w:rsidRDefault="00145D52">
      <w:pPr>
        <w:pStyle w:val="SCCLsocParty"/>
      </w:pPr>
      <w:r>
        <w:t>Barreau du Québec and</w:t>
      </w:r>
    </w:p>
    <w:p w14:paraId="33EB2B0C" w14:textId="280461AB" w:rsidR="00A149DF" w:rsidRPr="001426A9" w:rsidRDefault="00D437C9" w:rsidP="00142A98">
      <w:pPr>
        <w:pStyle w:val="SCCLsocLastPartyInRole"/>
        <w:tabs>
          <w:tab w:val="clear" w:pos="8222"/>
          <w:tab w:val="right" w:pos="8280"/>
        </w:tabs>
      </w:pPr>
      <w:r>
        <w:t>Canadian Association of Refugee Lawyers</w:t>
      </w:r>
      <w:r>
        <w:rPr>
          <w:rStyle w:val="SCCLsocPartyRole"/>
        </w:rPr>
        <w:tab/>
        <w:t>Interveners</w:t>
      </w:r>
    </w:p>
    <w:p w14:paraId="70E7BB62" w14:textId="06089092" w:rsidR="00A149DF" w:rsidRPr="00142A98" w:rsidRDefault="00426659" w:rsidP="00142A98">
      <w:pPr>
        <w:spacing w:after="720"/>
        <w:jc w:val="both"/>
        <w:rPr>
          <w:b/>
        </w:rPr>
      </w:pPr>
      <w:r w:rsidRPr="00426659">
        <w:rPr>
          <w:b/>
        </w:rPr>
        <w:t>Indexed as:</w:t>
      </w:r>
      <w:r>
        <w:rPr>
          <w:b/>
        </w:rPr>
        <w:t xml:space="preserve"> </w:t>
      </w:r>
      <w:r>
        <w:rPr>
          <w:rStyle w:val="SCCAppellantForIndexChar"/>
        </w:rPr>
        <w:t>Law Society of Saskatchewan</w:t>
      </w:r>
      <w:r w:rsidRPr="00426659">
        <w:rPr>
          <w:b/>
        </w:rPr>
        <w:t xml:space="preserve"> </w:t>
      </w:r>
      <w:r w:rsidRPr="00426659">
        <w:rPr>
          <w:b/>
          <w:i/>
        </w:rPr>
        <w:t>v.</w:t>
      </w:r>
      <w:r w:rsidRPr="00426659">
        <w:rPr>
          <w:b/>
        </w:rPr>
        <w:t xml:space="preserve"> </w:t>
      </w:r>
      <w:r>
        <w:rPr>
          <w:rStyle w:val="SCCRespondentForIndexChar"/>
        </w:rPr>
        <w:t>Abrametz</w:t>
      </w:r>
    </w:p>
    <w:p w14:paraId="408BF040" w14:textId="50C1A364" w:rsidR="00A149DF" w:rsidRDefault="00AE4535" w:rsidP="00142A98">
      <w:pPr>
        <w:pStyle w:val="SCCSystemYear"/>
        <w:spacing w:after="720"/>
        <w:jc w:val="both"/>
      </w:pPr>
      <w:r w:rsidRPr="00C73D96">
        <w:t>202</w:t>
      </w:r>
      <w:r w:rsidR="004F744C" w:rsidRPr="00C73D96">
        <w:t>2</w:t>
      </w:r>
      <w:r w:rsidR="003D0399">
        <w:t xml:space="preserve"> </w:t>
      </w:r>
      <w:r w:rsidR="00142A98">
        <w:t xml:space="preserve">SCC </w:t>
      </w:r>
      <w:r w:rsidR="00BB04F1">
        <w:t>29</w:t>
      </w:r>
    </w:p>
    <w:p w14:paraId="0DF4C674" w14:textId="56D1B83D" w:rsidR="00A149DF" w:rsidRDefault="00057A7A" w:rsidP="00142A98">
      <w:pPr>
        <w:spacing w:after="720"/>
        <w:jc w:val="both"/>
      </w:pPr>
      <w:r>
        <w:t xml:space="preserve">File No.: </w:t>
      </w:r>
      <w:r w:rsidR="009B57B3">
        <w:t>39340</w:t>
      </w:r>
      <w:r w:rsidR="009B57B3" w:rsidRPr="001426A9">
        <w:t>.</w:t>
      </w:r>
    </w:p>
    <w:p w14:paraId="58908625" w14:textId="4907AC6A" w:rsidR="00A149DF" w:rsidRDefault="00AE4535" w:rsidP="00142A98">
      <w:pPr>
        <w:spacing w:after="720"/>
        <w:jc w:val="both"/>
      </w:pPr>
      <w:r>
        <w:t>2021: November 8</w:t>
      </w:r>
      <w:r w:rsidR="009B57B3" w:rsidRPr="001426A9">
        <w:t xml:space="preserve">; </w:t>
      </w:r>
      <w:r w:rsidR="00027A37" w:rsidRPr="00027A37">
        <w:t>2022:</w:t>
      </w:r>
      <w:r w:rsidR="00027A37">
        <w:t xml:space="preserve"> July 8</w:t>
      </w:r>
      <w:r w:rsidR="009B57B3" w:rsidRPr="001426A9">
        <w:t>.</w:t>
      </w:r>
    </w:p>
    <w:p w14:paraId="639B7246" w14:textId="5CB70A2A" w:rsidR="00E97830" w:rsidRDefault="00142A98" w:rsidP="00142A98">
      <w:pPr>
        <w:spacing w:after="720"/>
        <w:jc w:val="both"/>
      </w:pPr>
      <w:r>
        <w:lastRenderedPageBreak/>
        <w:t xml:space="preserve">Present: Wagner </w:t>
      </w:r>
      <w:r w:rsidR="009B57B3">
        <w:t xml:space="preserve">C.J. and Moldaver, Karakatsanis, Côté, Brown, </w:t>
      </w:r>
      <w:r>
        <w:t xml:space="preserve">Rowe, Martin, Kasirer and Jamal </w:t>
      </w:r>
      <w:r w:rsidR="009B57B3">
        <w:t>JJ.</w:t>
      </w:r>
    </w:p>
    <w:p w14:paraId="69FF9AC5" w14:textId="77777777" w:rsidR="008322BD" w:rsidRPr="001C779F" w:rsidRDefault="00656313" w:rsidP="00142A98">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 xml:space="preserve">court of appeal for </w:t>
      </w:r>
      <w:proofErr w:type="spellStart"/>
      <w:r w:rsidR="009B57B3">
        <w:t>saskatchewan</w:t>
      </w:r>
      <w:proofErr w:type="spellEnd"/>
    </w:p>
    <w:p w14:paraId="0A8372C5" w14:textId="523AE826" w:rsidR="00116695" w:rsidRPr="00116695" w:rsidRDefault="00116695" w:rsidP="003F4E8F">
      <w:pPr>
        <w:pStyle w:val="SCCNormalDoubleSpacing"/>
        <w:spacing w:after="480"/>
        <w:rPr>
          <w:i/>
          <w:iCs/>
          <w:lang w:val="en-GB"/>
        </w:rPr>
      </w:pPr>
      <w:r>
        <w:tab/>
      </w:r>
      <w:r w:rsidRPr="00116695">
        <w:rPr>
          <w:i/>
          <w:iCs/>
          <w:lang w:val="en-GB"/>
        </w:rPr>
        <w:t xml:space="preserve">Administrative law — Abuse of process — Delay </w:t>
      </w:r>
      <w:r w:rsidRPr="00116695">
        <w:rPr>
          <w:i/>
          <w:iCs/>
        </w:rPr>
        <w:t xml:space="preserve">— </w:t>
      </w:r>
      <w:r w:rsidRPr="00116695">
        <w:rPr>
          <w:i/>
          <w:iCs/>
          <w:lang w:val="en-GB"/>
        </w:rPr>
        <w:t xml:space="preserve">Disciplinary proceedings brought by law society against member lawyer — Lengthy delay in proceedings prompting member to apply </w:t>
      </w:r>
      <w:r w:rsidRPr="00116695">
        <w:rPr>
          <w:i/>
          <w:iCs/>
        </w:rPr>
        <w:t xml:space="preserve">for stay of proceedings on basis of inordinate delay amounting to abuse of process </w:t>
      </w:r>
      <w:r w:rsidRPr="00116695">
        <w:rPr>
          <w:i/>
          <w:iCs/>
          <w:lang w:val="en-GB"/>
        </w:rPr>
        <w:t>— Whether delay amounted to abuse of process — Whether stay of proceedings warranted.</w:t>
      </w:r>
    </w:p>
    <w:p w14:paraId="1861ECDC" w14:textId="538C190F" w:rsidR="00116695" w:rsidRPr="00116695" w:rsidRDefault="00116695" w:rsidP="003F4E8F">
      <w:pPr>
        <w:pStyle w:val="SCCNormalDoubleSpacing"/>
        <w:spacing w:after="480"/>
        <w:rPr>
          <w:i/>
          <w:iCs/>
        </w:rPr>
      </w:pPr>
      <w:r w:rsidRPr="00116695">
        <w:rPr>
          <w:i/>
          <w:iCs/>
          <w:lang w:val="en-GB"/>
        </w:rPr>
        <w:tab/>
        <w:t xml:space="preserve">Administrative law — Appeals — </w:t>
      </w:r>
      <w:proofErr w:type="gramStart"/>
      <w:r w:rsidRPr="00116695">
        <w:rPr>
          <w:i/>
          <w:iCs/>
          <w:lang w:val="en-GB"/>
        </w:rPr>
        <w:t>Standard</w:t>
      </w:r>
      <w:proofErr w:type="gramEnd"/>
      <w:r w:rsidRPr="00116695">
        <w:rPr>
          <w:i/>
          <w:iCs/>
          <w:lang w:val="en-GB"/>
        </w:rPr>
        <w:t xml:space="preserve"> of review — S</w:t>
      </w:r>
      <w:proofErr w:type="spellStart"/>
      <w:r w:rsidRPr="00116695">
        <w:rPr>
          <w:i/>
          <w:iCs/>
        </w:rPr>
        <w:t>tandard</w:t>
      </w:r>
      <w:proofErr w:type="spellEnd"/>
      <w:r w:rsidRPr="00116695">
        <w:rPr>
          <w:i/>
          <w:iCs/>
        </w:rPr>
        <w:t xml:space="preserve"> of review applicable to questions of procedural fairness and to abuse o</w:t>
      </w:r>
      <w:r w:rsidR="003F4E8F">
        <w:rPr>
          <w:i/>
          <w:iCs/>
        </w:rPr>
        <w:t>f process in statutory appeals.</w:t>
      </w:r>
    </w:p>
    <w:p w14:paraId="48FC65A7" w14:textId="3D5DC0A7" w:rsidR="00116695" w:rsidRPr="00116695" w:rsidRDefault="00116695" w:rsidP="003F4E8F">
      <w:pPr>
        <w:pStyle w:val="SCCNormalDoubleSpacing"/>
        <w:spacing w:after="480"/>
        <w:rPr>
          <w:i/>
          <w:iCs/>
        </w:rPr>
      </w:pPr>
      <w:r w:rsidRPr="00116695">
        <w:rPr>
          <w:i/>
          <w:iCs/>
          <w:lang w:val="en-GB"/>
        </w:rPr>
        <w:tab/>
      </w:r>
      <w:r w:rsidRPr="00116695">
        <w:t>The Law Society of Saskatchewan brought disciplinary proceedings against one of its member lawyers in 2012.</w:t>
      </w:r>
      <w:r w:rsidR="00BB541D">
        <w:t xml:space="preserve"> </w:t>
      </w:r>
      <w:r w:rsidRPr="00116695">
        <w:t>In 2018, the member was found guilty of four charges of conduct unbecoming a lawyer, and in 2019, disbarred without a right to apply for readmission for almost two years.</w:t>
      </w:r>
      <w:r w:rsidR="00BB541D">
        <w:t xml:space="preserve"> </w:t>
      </w:r>
      <w:r w:rsidRPr="00116695">
        <w:t xml:space="preserve">During the disciplinary proceedings, the member applied for a </w:t>
      </w:r>
      <w:bookmarkStart w:id="0" w:name="_Hlk25660985"/>
      <w:r w:rsidRPr="00116695">
        <w:t>stay of the proceedings on the basis of inordinate delay amounting to an abuse of process</w:t>
      </w:r>
      <w:bookmarkEnd w:id="0"/>
      <w:r w:rsidRPr="00116695">
        <w:t>.</w:t>
      </w:r>
      <w:r w:rsidR="00BB541D">
        <w:t xml:space="preserve"> </w:t>
      </w:r>
      <w:r w:rsidRPr="00116695">
        <w:t xml:space="preserve">His application was dismissed by the </w:t>
      </w:r>
      <w:bookmarkStart w:id="1" w:name="_Hlk25759270"/>
      <w:r w:rsidRPr="00116695">
        <w:t>Hearing Committee</w:t>
      </w:r>
      <w:bookmarkEnd w:id="1"/>
      <w:r w:rsidRPr="00116695">
        <w:t xml:space="preserve"> of the Law Society.</w:t>
      </w:r>
      <w:r w:rsidR="00BB541D">
        <w:t xml:space="preserve"> </w:t>
      </w:r>
      <w:r w:rsidRPr="00116695">
        <w:t>The Court of Appeal dismissed the member’s conduct appeal but allowed</w:t>
      </w:r>
      <w:r w:rsidR="00BB541D">
        <w:t xml:space="preserve"> </w:t>
      </w:r>
      <w:r w:rsidRPr="00116695">
        <w:t>his appeal of the stay decision.</w:t>
      </w:r>
      <w:r w:rsidR="00BB541D">
        <w:t xml:space="preserve"> </w:t>
      </w:r>
      <w:r w:rsidRPr="00116695">
        <w:t>It granted the stay,</w:t>
      </w:r>
      <w:r w:rsidR="00BB541D">
        <w:t xml:space="preserve"> </w:t>
      </w:r>
      <w:r w:rsidRPr="00116695">
        <w:t>concluding that there had been inordinate delay which resulted in significant prejudice to</w:t>
      </w:r>
      <w:r w:rsidR="00BB541D">
        <w:t xml:space="preserve"> </w:t>
      </w:r>
      <w:r w:rsidRPr="00116695">
        <w:t xml:space="preserve">the member </w:t>
      </w:r>
      <w:r w:rsidRPr="00116695">
        <w:lastRenderedPageBreak/>
        <w:t>such that the public’s sense of decency and fairness would be affected</w:t>
      </w:r>
      <w:r w:rsidR="00BB541D">
        <w:t xml:space="preserve"> </w:t>
      </w:r>
      <w:r w:rsidRPr="00116695">
        <w:t>and the Law Society’s disciplinary pr</w:t>
      </w:r>
      <w:r w:rsidR="003F4E8F">
        <w:t>ocess</w:t>
      </w:r>
      <w:r w:rsidR="00BB541D">
        <w:t xml:space="preserve"> </w:t>
      </w:r>
      <w:r w:rsidR="003F4E8F">
        <w:t>brought</w:t>
      </w:r>
      <w:r w:rsidR="00BB541D">
        <w:t xml:space="preserve"> </w:t>
      </w:r>
      <w:r w:rsidR="003F4E8F">
        <w:t>into disrepute.</w:t>
      </w:r>
    </w:p>
    <w:p w14:paraId="18E4629F" w14:textId="77777777" w:rsidR="00116695" w:rsidRPr="00116695" w:rsidRDefault="00116695" w:rsidP="003F4E8F">
      <w:pPr>
        <w:pStyle w:val="SCCNormalDoubleSpacing"/>
        <w:spacing w:after="480"/>
      </w:pPr>
      <w:r w:rsidRPr="00116695">
        <w:tab/>
      </w:r>
      <w:r w:rsidRPr="00116695">
        <w:rPr>
          <w:i/>
          <w:iCs/>
        </w:rPr>
        <w:t xml:space="preserve">Held </w:t>
      </w:r>
      <w:r w:rsidRPr="00116695">
        <w:rPr>
          <w:iCs/>
        </w:rPr>
        <w:t>(Côté J. dissenting)</w:t>
      </w:r>
      <w:r w:rsidRPr="00116695">
        <w:rPr>
          <w:i/>
          <w:iCs/>
        </w:rPr>
        <w:t>:</w:t>
      </w:r>
      <w:r w:rsidRPr="00116695">
        <w:t xml:space="preserve"> The appeal should be allowed, the judgment of the Court of Appeal set aside and the matter remitted to the Court of Appeal to address the outstanding grounds of appeal.</w:t>
      </w:r>
    </w:p>
    <w:p w14:paraId="2CD007A3" w14:textId="4B177760" w:rsidR="00116695" w:rsidRPr="00116695" w:rsidRDefault="00116695" w:rsidP="003F4E8F">
      <w:pPr>
        <w:pStyle w:val="SCCNormalDoubleSpacing"/>
        <w:spacing w:after="480"/>
        <w:rPr>
          <w:lang w:val="en-US"/>
        </w:rPr>
      </w:pPr>
      <w:r w:rsidRPr="00116695">
        <w:tab/>
      </w:r>
      <w:r w:rsidRPr="00116695">
        <w:rPr>
          <w:i/>
        </w:rPr>
        <w:t>Per</w:t>
      </w:r>
      <w:r w:rsidRPr="00116695">
        <w:t xml:space="preserve"> Wagner C.J. and Moldaver, Karakatsanis, Brown, </w:t>
      </w:r>
      <w:r w:rsidRPr="00116695">
        <w:rPr>
          <w:b/>
        </w:rPr>
        <w:t>Rowe</w:t>
      </w:r>
      <w:r w:rsidRPr="00116695">
        <w:t>,</w:t>
      </w:r>
      <w:r w:rsidR="00BB541D">
        <w:t xml:space="preserve"> Martin, Kasirer and Jamal JJ.: </w:t>
      </w:r>
      <w:r w:rsidRPr="00116695">
        <w:t>The instant</w:t>
      </w:r>
      <w:r w:rsidR="00BB541D">
        <w:t xml:space="preserve"> </w:t>
      </w:r>
      <w:r w:rsidRPr="00116695">
        <w:t>case is a statutory appeal pursuant to Saskatchewan’s</w:t>
      </w:r>
      <w:r w:rsidR="00BB541D">
        <w:t xml:space="preserve"> </w:t>
      </w:r>
      <w:r w:rsidRPr="00116695">
        <w:rPr>
          <w:i/>
        </w:rPr>
        <w:t>The Legal Profession Act, 1990</w:t>
      </w:r>
      <w:r w:rsidRPr="00116695">
        <w:t>.</w:t>
      </w:r>
      <w:r w:rsidR="00BB541D">
        <w:t xml:space="preserve"> </w:t>
      </w:r>
      <w:r w:rsidRPr="00116695">
        <w:t>Therefore, the standard of review is correctness for questions of law and palpable and overriding error for questions of fact and of mixed fact and law.</w:t>
      </w:r>
      <w:r w:rsidR="00BB541D">
        <w:t xml:space="preserve"> </w:t>
      </w:r>
      <w:r w:rsidRPr="00116695">
        <w:t>Whether there has been an abuse of process is a question of law;</w:t>
      </w:r>
      <w:r w:rsidR="00BB541D">
        <w:t xml:space="preserve"> </w:t>
      </w:r>
      <w:r w:rsidRPr="00116695">
        <w:t>thus, the applicable standard of review is correctness.</w:t>
      </w:r>
      <w:r w:rsidR="00BB541D">
        <w:t xml:space="preserve"> </w:t>
      </w:r>
      <w:r w:rsidRPr="00116695">
        <w:t>While the Court of Appeal correctly determined the standard of review, it failed to apply it properly.</w:t>
      </w:r>
      <w:r w:rsidR="00BB541D">
        <w:t xml:space="preserve"> </w:t>
      </w:r>
      <w:r w:rsidRPr="00116695">
        <w:rPr>
          <w:lang w:val="en-US"/>
        </w:rPr>
        <w:t>There was also no proper basis for the Court of Appeal to contradict the Hearing Committee’s attribution of certain delays to</w:t>
      </w:r>
      <w:r w:rsidR="00BB541D">
        <w:rPr>
          <w:lang w:val="en-US"/>
        </w:rPr>
        <w:t xml:space="preserve"> </w:t>
      </w:r>
      <w:r w:rsidRPr="00116695">
        <w:rPr>
          <w:lang w:val="en-US"/>
        </w:rPr>
        <w:t>the member,</w:t>
      </w:r>
      <w:r w:rsidR="00BB541D">
        <w:rPr>
          <w:lang w:val="en-US"/>
        </w:rPr>
        <w:t xml:space="preserve"> </w:t>
      </w:r>
      <w:r w:rsidRPr="00116695">
        <w:rPr>
          <w:lang w:val="en-US"/>
        </w:rPr>
        <w:t>and</w:t>
      </w:r>
      <w:r w:rsidR="00BB541D">
        <w:rPr>
          <w:lang w:val="en-US"/>
        </w:rPr>
        <w:t xml:space="preserve"> </w:t>
      </w:r>
      <w:r w:rsidRPr="00116695">
        <w:rPr>
          <w:lang w:val="en-US"/>
        </w:rPr>
        <w:t>no palpable and overriding error justified the Court of Appeal’s substitution of its own views for</w:t>
      </w:r>
      <w:r w:rsidR="00BB541D">
        <w:rPr>
          <w:lang w:val="en-US"/>
        </w:rPr>
        <w:t xml:space="preserve"> </w:t>
      </w:r>
      <w:r w:rsidRPr="00116695">
        <w:rPr>
          <w:lang w:val="en-US"/>
        </w:rPr>
        <w:t>the Hearing Committee’s</w:t>
      </w:r>
      <w:r w:rsidR="00BB541D">
        <w:rPr>
          <w:lang w:val="en-US"/>
        </w:rPr>
        <w:t xml:space="preserve"> </w:t>
      </w:r>
      <w:r w:rsidRPr="00116695">
        <w:rPr>
          <w:lang w:val="en-US"/>
        </w:rPr>
        <w:t>conclusions that there was no significant prejudice</w:t>
      </w:r>
      <w:r w:rsidR="00BB541D">
        <w:rPr>
          <w:lang w:val="en-US"/>
        </w:rPr>
        <w:t xml:space="preserve"> </w:t>
      </w:r>
      <w:r w:rsidRPr="00116695">
        <w:rPr>
          <w:lang w:val="en-US"/>
        </w:rPr>
        <w:t>to the member.</w:t>
      </w:r>
      <w:r w:rsidR="00BB541D">
        <w:rPr>
          <w:lang w:val="en-US"/>
        </w:rPr>
        <w:t xml:space="preserve"> </w:t>
      </w:r>
      <w:r w:rsidRPr="00116695">
        <w:rPr>
          <w:lang w:val="en-US"/>
        </w:rPr>
        <w:t>While the actions of the Law Society were not above reproach, the delay was not inordinate.</w:t>
      </w:r>
      <w:r w:rsidRPr="00116695" w:rsidDel="00CA3A1E">
        <w:rPr>
          <w:lang w:val="en-US"/>
        </w:rPr>
        <w:t xml:space="preserve"> There was no abuse of process.</w:t>
      </w:r>
    </w:p>
    <w:p w14:paraId="7E452D83" w14:textId="42D2893A" w:rsidR="00116695" w:rsidRPr="00116695" w:rsidRDefault="00116695" w:rsidP="003F4E8F">
      <w:pPr>
        <w:pStyle w:val="SCCNormalDoubleSpacing"/>
        <w:spacing w:after="480"/>
      </w:pPr>
      <w:r w:rsidRPr="00116695">
        <w:rPr>
          <w:lang w:val="en-US"/>
        </w:rPr>
        <w:tab/>
      </w:r>
      <w:r w:rsidRPr="00116695">
        <w:t xml:space="preserve">In </w:t>
      </w:r>
      <w:r w:rsidRPr="00116695">
        <w:rPr>
          <w:bCs/>
          <w:i/>
        </w:rPr>
        <w:t>Canada (Minister of Citizenship and Immigration)</w:t>
      </w:r>
      <w:r w:rsidR="003F4E8F">
        <w:rPr>
          <w:i/>
        </w:rPr>
        <w:t xml:space="preserve"> </w:t>
      </w:r>
      <w:r w:rsidRPr="00116695">
        <w:rPr>
          <w:i/>
          <w:iCs/>
        </w:rPr>
        <w:t>v.</w:t>
      </w:r>
      <w:r w:rsidR="003F4E8F">
        <w:rPr>
          <w:i/>
        </w:rPr>
        <w:t xml:space="preserve"> </w:t>
      </w:r>
      <w:r w:rsidRPr="00116695">
        <w:rPr>
          <w:i/>
        </w:rPr>
        <w:t>Vavilov</w:t>
      </w:r>
      <w:r w:rsidRPr="00116695">
        <w:t>, 2019 SCC 65, [2019] 4 S.C.R. 653, the Court held that when the legislature provides for a statutory appeal mechanism from an administrative decision maker to a court, this indicates that appellate standards are to apply.</w:t>
      </w:r>
      <w:r w:rsidR="00BB541D">
        <w:t xml:space="preserve"> </w:t>
      </w:r>
      <w:r w:rsidRPr="00116695">
        <w:t xml:space="preserve">While this proposition was stated in the context of </w:t>
      </w:r>
      <w:r w:rsidRPr="00116695">
        <w:lastRenderedPageBreak/>
        <w:t>substantive review,</w:t>
      </w:r>
      <w:r w:rsidRPr="00116695">
        <w:rPr>
          <w:lang w:val="en-US"/>
        </w:rPr>
        <w:t xml:space="preserve"> </w:t>
      </w:r>
      <w:r w:rsidRPr="00116695">
        <w:t>the direction that appeals are to be decided according to the appellate standard</w:t>
      </w:r>
      <w:r w:rsidR="00572224">
        <w:t>s</w:t>
      </w:r>
      <w:r w:rsidRPr="00116695">
        <w:t xml:space="preserve"> of review was cate</w:t>
      </w:r>
      <w:r w:rsidR="00BB541D">
        <w:t>gorical. T</w:t>
      </w:r>
      <w:r w:rsidRPr="00116695">
        <w:t>hus, where questions of procedural fairness are dealt with through a statutory appeal mechanism, they are subject to</w:t>
      </w:r>
      <w:r w:rsidR="003F4E8F">
        <w:t xml:space="preserve"> appellate standards of review.</w:t>
      </w:r>
    </w:p>
    <w:p w14:paraId="174CD14E" w14:textId="10909AD2" w:rsidR="00116695" w:rsidRPr="00116695" w:rsidRDefault="00116695" w:rsidP="003F4E8F">
      <w:pPr>
        <w:pStyle w:val="SCCNormalDoubleSpacing"/>
        <w:spacing w:after="480"/>
      </w:pPr>
      <w:r w:rsidRPr="00116695">
        <w:tab/>
        <w:t>In administrative proceedings, abuse of process is a question of procedural fairness.</w:t>
      </w:r>
      <w:r w:rsidR="00BB541D">
        <w:t xml:space="preserve"> </w:t>
      </w:r>
      <w:r w:rsidRPr="00116695">
        <w:t xml:space="preserve">The Court dealt with abuse of process as it relates to administrative delay in </w:t>
      </w:r>
      <w:r w:rsidRPr="00116695">
        <w:rPr>
          <w:i/>
        </w:rPr>
        <w:t>Blencoe v. British Columbia (Human Rights Commission)</w:t>
      </w:r>
      <w:r w:rsidRPr="00116695">
        <w:t>, 2000 SCC 44, [2000] 2 S.C.R. 307, and recognized that decision makers have, as a corollary to their duty to act fairly, the power to assess allegedly abusive delay.</w:t>
      </w:r>
      <w:r w:rsidR="00BB541D">
        <w:t xml:space="preserve"> </w:t>
      </w:r>
      <w:r w:rsidRPr="00116695">
        <w:t>Delay may constitute an abuse of process in two ways: the fairness of a hearing can be compromised where delay impairs a party’s ability to answer the complaint against them, or, even when there is no prejudice to hearing fairness,</w:t>
      </w:r>
      <w:r w:rsidR="00BB541D">
        <w:t xml:space="preserve"> </w:t>
      </w:r>
      <w:r w:rsidRPr="00116695">
        <w:t>an abuse of process may occur if significant prejudice has come about due to inordinate delay.</w:t>
      </w:r>
    </w:p>
    <w:p w14:paraId="0636C09F" w14:textId="068D47FC" w:rsidR="00116695" w:rsidRPr="00116695" w:rsidRDefault="00116695" w:rsidP="003F4E8F">
      <w:pPr>
        <w:pStyle w:val="SCCNormalDoubleSpacing"/>
        <w:spacing w:after="480"/>
      </w:pPr>
      <w:r w:rsidRPr="00116695">
        <w:tab/>
      </w:r>
      <w:r w:rsidRPr="00116695">
        <w:rPr>
          <w:i/>
        </w:rPr>
        <w:t>Blencoe</w:t>
      </w:r>
      <w:r w:rsidRPr="00116695">
        <w:t xml:space="preserve"> sets out a three-step test to determine whether delay that does not affect hearing fairness nonetheless amounts to an abuse of process.</w:t>
      </w:r>
      <w:r w:rsidR="00BB541D">
        <w:t xml:space="preserve"> </w:t>
      </w:r>
      <w:r w:rsidRPr="00116695">
        <w:t>First, the delay must be inordinate.</w:t>
      </w:r>
      <w:r w:rsidR="00BB541D">
        <w:t xml:space="preserve"> </w:t>
      </w:r>
      <w:r w:rsidRPr="00116695">
        <w:t xml:space="preserve">This is determined on an assessment of the context overall, including the nature and purpose of the proceedings, the length and causes of the delay, and the complexity of the </w:t>
      </w:r>
      <w:r w:rsidR="003F4E8F">
        <w:t>fact</w:t>
      </w:r>
      <w:r w:rsidR="00BB541D">
        <w:t xml:space="preserve">s and issues in the case. </w:t>
      </w:r>
      <w:r w:rsidRPr="00116695">
        <w:t>These factors are not exhaustive, such that additional contextual factors can be considered in a particular case.</w:t>
      </w:r>
      <w:r w:rsidR="00BB541D">
        <w:t xml:space="preserve"> </w:t>
      </w:r>
      <w:r w:rsidRPr="00116695">
        <w:t>Second, the delay must have directly caused significant prejudice.</w:t>
      </w:r>
      <w:r w:rsidR="00BB541D">
        <w:t xml:space="preserve"> </w:t>
      </w:r>
      <w:r w:rsidRPr="00116695">
        <w:t>Pr</w:t>
      </w:r>
      <w:r w:rsidR="00BB541D">
        <w:t xml:space="preserve">ejudice is a question of fact. </w:t>
      </w:r>
      <w:r w:rsidRPr="00116695">
        <w:t xml:space="preserve">Examples include significant psychological harm, stigma attached to the individual’s reputation, disruption to family life, loss of work or business opportunities, as well as </w:t>
      </w:r>
      <w:r w:rsidRPr="00116695">
        <w:lastRenderedPageBreak/>
        <w:t>extended and intrusive media attention.</w:t>
      </w:r>
      <w:r w:rsidR="00BB541D">
        <w:t xml:space="preserve"> </w:t>
      </w:r>
      <w:r w:rsidRPr="00116695">
        <w:t>When these two requirements are met, courts or tribunals will proceed to a final assessment of whether the delay amounts to an abuse of process.</w:t>
      </w:r>
      <w:r w:rsidR="00BB541D">
        <w:t xml:space="preserve"> </w:t>
      </w:r>
      <w:r w:rsidRPr="00116695">
        <w:t>Delay will amount to an abuse of process if it is manifestly unfair to a party or in some other way brings the administration of just</w:t>
      </w:r>
      <w:r w:rsidR="003F4E8F">
        <w:t>ice into disrepute.</w:t>
      </w:r>
    </w:p>
    <w:p w14:paraId="6FBA457C" w14:textId="7B7CC117" w:rsidR="00116695" w:rsidRPr="00116695" w:rsidRDefault="003F4E8F" w:rsidP="003F4E8F">
      <w:pPr>
        <w:pStyle w:val="SCCNormalDoubleSpacing"/>
        <w:spacing w:after="480"/>
      </w:pPr>
      <w:r>
        <w:tab/>
      </w:r>
      <w:r w:rsidR="00116695" w:rsidRPr="00116695">
        <w:t>When an abuse of process is found, several remedies are available.</w:t>
      </w:r>
      <w:r w:rsidR="00BB541D">
        <w:t xml:space="preserve"> </w:t>
      </w:r>
      <w:r w:rsidR="00116695" w:rsidRPr="00116695">
        <w:t>Courts and tribunals must be mindful as to appropriate remedies in the various contexts in wh</w:t>
      </w:r>
      <w:r w:rsidR="00BB541D">
        <w:t xml:space="preserve">ich abuse of process can occur. </w:t>
      </w:r>
      <w:r w:rsidR="00116695" w:rsidRPr="00116695">
        <w:t>Remedies for abuse of process can serve several purposes:</w:t>
      </w:r>
      <w:r w:rsidR="00BB541D">
        <w:t xml:space="preserve"> </w:t>
      </w:r>
      <w:r w:rsidR="00116695" w:rsidRPr="00116695">
        <w:t>they can compensate the applicant for the prejudice caused by the delay,</w:t>
      </w:r>
      <w:r w:rsidR="00BB541D">
        <w:t xml:space="preserve"> </w:t>
      </w:r>
      <w:r w:rsidR="00116695" w:rsidRPr="00116695">
        <w:t>serve as an incentive for the decision maker to address any problems of systemic delay, or</w:t>
      </w:r>
      <w:r w:rsidR="00BB541D">
        <w:t xml:space="preserve"> </w:t>
      </w:r>
      <w:r w:rsidR="00116695" w:rsidRPr="00116695">
        <w:t>express the court or the tribunal’s concern relating to delay in the administrative system.</w:t>
      </w:r>
      <w:r w:rsidR="00BB541D">
        <w:t xml:space="preserve"> </w:t>
      </w:r>
      <w:r w:rsidR="00116695" w:rsidRPr="00116695">
        <w:t>As the doctrine of abuse of process is broad, it can usefully be appreciated on a spectrum.</w:t>
      </w:r>
      <w:r w:rsidR="00BB541D">
        <w:t xml:space="preserve"> </w:t>
      </w:r>
      <w:r w:rsidR="00116695" w:rsidRPr="00116695">
        <w:t>Various remedies are available, up to and including a</w:t>
      </w:r>
      <w:r>
        <w:t xml:space="preserve"> permanent stay of proceedings.</w:t>
      </w:r>
    </w:p>
    <w:p w14:paraId="5E0FC04F" w14:textId="1ED9B1D4" w:rsidR="00116695" w:rsidRPr="00116695" w:rsidRDefault="00116695" w:rsidP="003F4E8F">
      <w:pPr>
        <w:pStyle w:val="SCCNormalDoubleSpacing"/>
        <w:spacing w:after="480"/>
      </w:pPr>
      <w:r w:rsidRPr="00116695">
        <w:tab/>
        <w:t>A stay of proceedings is the ultimate remedy for abuse of process, because it is final: the process will be permanently stayed.</w:t>
      </w:r>
      <w:r w:rsidR="00BB541D">
        <w:t xml:space="preserve"> </w:t>
      </w:r>
      <w:r w:rsidRPr="00116695">
        <w:t>In disciplinary matters, that means that charges will not be dealt with, any complaint will go unheard and the public will not be protected.</w:t>
      </w:r>
      <w:r w:rsidR="00BB541D">
        <w:t xml:space="preserve"> </w:t>
      </w:r>
      <w:r w:rsidRPr="00116695">
        <w:t>Given these consequences, a stay should be granted only in the clearest of cases, when the abuse falls at the high end of the spectrum of seriousness. The decision whether to grant a stay involves a balancing of public interests.</w:t>
      </w:r>
      <w:r w:rsidR="00BB541D">
        <w:t xml:space="preserve"> </w:t>
      </w:r>
      <w:r w:rsidRPr="00116695">
        <w:t>On one hand, the public has an interest in ensuring that a tribunal established for its protection follows fair procedures, untainted by an abuse of process.</w:t>
      </w:r>
      <w:r w:rsidR="00BB541D">
        <w:t xml:space="preserve"> </w:t>
      </w:r>
      <w:r w:rsidRPr="00116695">
        <w:t>On the other hand, the public has an interest in the resolution of administrative cases on the merits.</w:t>
      </w:r>
      <w:r w:rsidR="00BB541D">
        <w:t xml:space="preserve"> </w:t>
      </w:r>
      <w:r w:rsidRPr="00116695">
        <w:t xml:space="preserve">A balance must </w:t>
      </w:r>
      <w:r w:rsidRPr="00116695">
        <w:lastRenderedPageBreak/>
        <w:t>be struck between the public interest in a fair administrative process untainted by abuse and the competing public interest in having the complaint decided after a public hearing.</w:t>
      </w:r>
      <w:r w:rsidR="00BB541D">
        <w:t xml:space="preserve"> </w:t>
      </w:r>
      <w:r w:rsidRPr="00116695">
        <w:t>When faced with a proceeding that has resulted in abuse, the court or tribunal must ask itself</w:t>
      </w:r>
      <w:r w:rsidR="00BB541D">
        <w:t xml:space="preserve"> whether</w:t>
      </w:r>
      <w:r w:rsidRPr="00116695">
        <w:t xml:space="preserve"> going ahead with the proceeding would result in more harm to the public interest than if the proceedings were permanently halted.</w:t>
      </w:r>
      <w:r w:rsidR="00BB541D">
        <w:t xml:space="preserve"> </w:t>
      </w:r>
      <w:r w:rsidRPr="00116695">
        <w:t>If the answer is yes, then a stay of proceeding should be ordered.</w:t>
      </w:r>
      <w:r w:rsidR="00BB541D">
        <w:t xml:space="preserve"> </w:t>
      </w:r>
      <w:r w:rsidRPr="00116695">
        <w:t>Otherwise, the application for a stay should be dismissed.</w:t>
      </w:r>
      <w:r w:rsidR="00BB541D">
        <w:t xml:space="preserve"> </w:t>
      </w:r>
      <w:r w:rsidRPr="00116695">
        <w:t>In conducting this inquiry, the court or tribunal may have regard to whether other available remedies for abuse of process, short of a stay, would adequately protect the public’s interest in the pr</w:t>
      </w:r>
      <w:r w:rsidR="003F4E8F">
        <w:t>oper administration of justice.</w:t>
      </w:r>
    </w:p>
    <w:p w14:paraId="57CA5624" w14:textId="7FFC7F58" w:rsidR="00116695" w:rsidRPr="00116695" w:rsidRDefault="00116695" w:rsidP="003F4E8F">
      <w:pPr>
        <w:pStyle w:val="SCCNormalDoubleSpacing"/>
        <w:spacing w:after="480"/>
      </w:pPr>
      <w:r w:rsidRPr="00116695">
        <w:tab/>
        <w:t>When an abuse of process is established, but the abuse is not such that a stay of proceedings is warranted, other remedies may be a</w:t>
      </w:r>
      <w:r w:rsidR="003F4E8F">
        <w:t>ppropriate.</w:t>
      </w:r>
      <w:r w:rsidR="00905F97">
        <w:t xml:space="preserve"> </w:t>
      </w:r>
      <w:r w:rsidR="003F4E8F">
        <w:t xml:space="preserve">While proof of </w:t>
      </w:r>
      <w:r w:rsidRPr="00116695">
        <w:t>signi</w:t>
      </w:r>
      <w:r w:rsidR="003F4E8F">
        <w:t xml:space="preserve">ficant prejudice is required to establish an abuse of process, the remedies </w:t>
      </w:r>
      <w:r w:rsidRPr="00116695">
        <w:t>ordered</w:t>
      </w:r>
      <w:r w:rsidR="003F4E8F">
        <w:t xml:space="preserve"> </w:t>
      </w:r>
      <w:r w:rsidRPr="00116695">
        <w:t>may vary according to the degree of prejudice.</w:t>
      </w:r>
      <w:r w:rsidR="00905F97">
        <w:t xml:space="preserve"> </w:t>
      </w:r>
      <w:r w:rsidRPr="00116695">
        <w:t>A high degree o</w:t>
      </w:r>
      <w:r w:rsidR="003F4E8F">
        <w:t>f prejudice may justify a stay.</w:t>
      </w:r>
      <w:r w:rsidR="00905F97">
        <w:t xml:space="preserve"> </w:t>
      </w:r>
      <w:r w:rsidRPr="00116695">
        <w:t>Lesser, but neverthele</w:t>
      </w:r>
      <w:r w:rsidR="003F4E8F">
        <w:t xml:space="preserve">ss significant prejudice, could </w:t>
      </w:r>
      <w:r w:rsidRPr="00116695">
        <w:t>justify other remedies.</w:t>
      </w:r>
      <w:r w:rsidR="00905F97">
        <w:t xml:space="preserve"> </w:t>
      </w:r>
      <w:r w:rsidRPr="00116695">
        <w:t xml:space="preserve">In such cases, the public interest can be properly served by continuation of the proceedings, while the applicant receives some compensation for the </w:t>
      </w:r>
      <w:r w:rsidR="003F4E8F">
        <w:t>abuse that he or she suffered.</w:t>
      </w:r>
      <w:r w:rsidR="00905F97">
        <w:t xml:space="preserve"> </w:t>
      </w:r>
      <w:r w:rsidRPr="00116695">
        <w:t>In the context of a disciplinary tribunal,</w:t>
      </w:r>
      <w:r w:rsidR="00905F97">
        <w:t xml:space="preserve"> </w:t>
      </w:r>
      <w:r w:rsidRPr="00116695">
        <w:t>a stay of proceedings, a reduction in sanction, or variation of an award of costs are possible remedies.</w:t>
      </w:r>
      <w:r w:rsidR="00905F97">
        <w:t xml:space="preserve"> </w:t>
      </w:r>
      <w:r w:rsidRPr="00116695">
        <w:t>This is not an exhaustive list.</w:t>
      </w:r>
      <w:r w:rsidR="00905F97">
        <w:t xml:space="preserve"> </w:t>
      </w:r>
      <w:r w:rsidRPr="00116695">
        <w:t>Various tribunals may be empowered by their enabling statutes to grant other remedies.</w:t>
      </w:r>
      <w:r w:rsidR="00905F97">
        <w:t xml:space="preserve"> </w:t>
      </w:r>
      <w:r w:rsidRPr="00116695">
        <w:t>They should not hesitate to use such tools to combat inordinate delay amounting to an abuse of process.</w:t>
      </w:r>
    </w:p>
    <w:p w14:paraId="20D2E45D" w14:textId="293BB013" w:rsidR="00116695" w:rsidRPr="00116695" w:rsidRDefault="00116695" w:rsidP="003F4E8F">
      <w:pPr>
        <w:pStyle w:val="SCCNormalDoubleSpacing"/>
        <w:spacing w:after="480"/>
        <w:rPr>
          <w:i/>
        </w:rPr>
      </w:pPr>
      <w:r w:rsidRPr="00116695">
        <w:rPr>
          <w:i/>
        </w:rPr>
        <w:lastRenderedPageBreak/>
        <w:tab/>
        <w:t xml:space="preserve">Per </w:t>
      </w:r>
      <w:r w:rsidRPr="00116695">
        <w:rPr>
          <w:b/>
          <w:iCs/>
        </w:rPr>
        <w:t xml:space="preserve">Côté </w:t>
      </w:r>
      <w:r w:rsidRPr="00116695">
        <w:rPr>
          <w:iCs/>
        </w:rPr>
        <w:t>J. (dissenting): There is disagreement</w:t>
      </w:r>
      <w:r w:rsidR="00905F97">
        <w:rPr>
          <w:iCs/>
        </w:rPr>
        <w:t xml:space="preserve"> </w:t>
      </w:r>
      <w:r w:rsidRPr="00116695">
        <w:rPr>
          <w:iCs/>
        </w:rPr>
        <w:t>with the majority’s disposition.</w:t>
      </w:r>
      <w:r w:rsidR="00905F97">
        <w:rPr>
          <w:iCs/>
        </w:rPr>
        <w:t xml:space="preserve"> </w:t>
      </w:r>
      <w:r w:rsidRPr="00116695">
        <w:rPr>
          <w:iCs/>
        </w:rPr>
        <w:t>The delay in these proceedings amounted to an abuse of process, and the Court of Appeal did not err in quashing the penalty for professional misconduct imposed o</w:t>
      </w:r>
      <w:r w:rsidR="003F4E8F">
        <w:rPr>
          <w:iCs/>
        </w:rPr>
        <w:t xml:space="preserve">n the member. </w:t>
      </w:r>
      <w:r w:rsidRPr="00116695">
        <w:rPr>
          <w:iCs/>
        </w:rPr>
        <w:t>Disagreement with the majority</w:t>
      </w:r>
      <w:r w:rsidR="00905F97">
        <w:rPr>
          <w:iCs/>
        </w:rPr>
        <w:t xml:space="preserve"> </w:t>
      </w:r>
      <w:r w:rsidRPr="00116695">
        <w:rPr>
          <w:iCs/>
        </w:rPr>
        <w:t>also</w:t>
      </w:r>
      <w:r w:rsidR="00905F97">
        <w:rPr>
          <w:iCs/>
        </w:rPr>
        <w:t xml:space="preserve"> </w:t>
      </w:r>
      <w:r w:rsidRPr="00116695">
        <w:rPr>
          <w:iCs/>
        </w:rPr>
        <w:t>extends to the legal principles governing the assessment of inordinate delay in administrative proceedings, including</w:t>
      </w:r>
      <w:r w:rsidR="00905F97">
        <w:rPr>
          <w:iCs/>
        </w:rPr>
        <w:t xml:space="preserve"> </w:t>
      </w:r>
      <w:r w:rsidRPr="00116695">
        <w:rPr>
          <w:iCs/>
        </w:rPr>
        <w:t>the majority’s reframing of the test for whether administrative delay amounts to an abuse of process</w:t>
      </w:r>
      <w:r w:rsidR="00905F97">
        <w:rPr>
          <w:iCs/>
        </w:rPr>
        <w:t xml:space="preserve"> </w:t>
      </w:r>
      <w:r w:rsidRPr="00116695">
        <w:rPr>
          <w:iCs/>
        </w:rPr>
        <w:t>and its</w:t>
      </w:r>
      <w:r w:rsidR="00905F97">
        <w:rPr>
          <w:iCs/>
        </w:rPr>
        <w:t xml:space="preserve"> </w:t>
      </w:r>
      <w:r w:rsidRPr="00116695">
        <w:rPr>
          <w:iCs/>
        </w:rPr>
        <w:t xml:space="preserve">reliance on </w:t>
      </w:r>
      <w:r w:rsidRPr="00116695">
        <w:rPr>
          <w:i/>
          <w:iCs/>
        </w:rPr>
        <w:t>Vavilov</w:t>
      </w:r>
      <w:r w:rsidRPr="00116695">
        <w:rPr>
          <w:iCs/>
        </w:rPr>
        <w:t xml:space="preserve"> for the proposition that appellate standards of re</w:t>
      </w:r>
      <w:r w:rsidR="003F4E8F">
        <w:rPr>
          <w:iCs/>
        </w:rPr>
        <w:t>view apply in the present case.</w:t>
      </w:r>
    </w:p>
    <w:p w14:paraId="7C9FAE58" w14:textId="10EECCC5" w:rsidR="00116695" w:rsidRPr="00116695" w:rsidRDefault="00116695" w:rsidP="003F4E8F">
      <w:pPr>
        <w:pStyle w:val="SCCNormalDoubleSpacing"/>
        <w:spacing w:after="480"/>
        <w:rPr>
          <w:iCs/>
        </w:rPr>
      </w:pPr>
      <w:r w:rsidRPr="00116695">
        <w:rPr>
          <w:iCs/>
        </w:rPr>
        <w:tab/>
        <w:t xml:space="preserve">The Court recognized in </w:t>
      </w:r>
      <w:r w:rsidRPr="00116695">
        <w:rPr>
          <w:i/>
          <w:iCs/>
        </w:rPr>
        <w:t xml:space="preserve">Blencoe </w:t>
      </w:r>
      <w:r w:rsidR="003F4E8F">
        <w:rPr>
          <w:iCs/>
        </w:rPr>
        <w:t xml:space="preserve">that inordinate delay, </w:t>
      </w:r>
      <w:r w:rsidRPr="00116695">
        <w:rPr>
          <w:iCs/>
        </w:rPr>
        <w:t>on its own, is a breach of procedural fairness and thus abusive. An applicant need not demonstrate significant prejudice for unfair conduct to constitute an abuse of process; this requirement applies only where a stay of proceedings is sought. Inordinate delay risks bringing the administration of justice into disrepute. For this reason alone, courts must sanction it whenever it i</w:t>
      </w:r>
      <w:r w:rsidR="003F4E8F">
        <w:rPr>
          <w:iCs/>
        </w:rPr>
        <w:t xml:space="preserve">s brought to their attention. </w:t>
      </w:r>
      <w:r w:rsidRPr="00116695">
        <w:rPr>
          <w:iCs/>
        </w:rPr>
        <w:t xml:space="preserve">They possess </w:t>
      </w:r>
      <w:r w:rsidR="003F4E8F">
        <w:rPr>
          <w:iCs/>
        </w:rPr>
        <w:t xml:space="preserve">a wide range of remedial tools, </w:t>
      </w:r>
      <w:r w:rsidRPr="00116695">
        <w:rPr>
          <w:iCs/>
        </w:rPr>
        <w:t>including declarations, costs, orders for an expedited hearing, reductions in penalty, and stays of proceedings, to grant relief that is proport</w:t>
      </w:r>
      <w:r w:rsidR="003F4E8F">
        <w:rPr>
          <w:iCs/>
        </w:rPr>
        <w:t>ionate to the abuse of process.</w:t>
      </w:r>
    </w:p>
    <w:p w14:paraId="6458E57E" w14:textId="2E20BF29" w:rsidR="00116695" w:rsidRPr="00116695" w:rsidRDefault="00116695" w:rsidP="003F4E8F">
      <w:pPr>
        <w:pStyle w:val="SCCNormalDoubleSpacing"/>
        <w:spacing w:after="480"/>
      </w:pPr>
      <w:r w:rsidRPr="00116695">
        <w:rPr>
          <w:iCs/>
        </w:rPr>
        <w:tab/>
        <w:t xml:space="preserve">The majority purportedly relies on </w:t>
      </w:r>
      <w:r w:rsidRPr="00116695">
        <w:rPr>
          <w:i/>
          <w:iCs/>
        </w:rPr>
        <w:t>Blencoe</w:t>
      </w:r>
      <w:r w:rsidRPr="00116695">
        <w:rPr>
          <w:iCs/>
        </w:rPr>
        <w:t xml:space="preserve"> in articulating a three</w:t>
      </w:r>
      <w:r w:rsidRPr="00116695">
        <w:rPr>
          <w:iCs/>
        </w:rPr>
        <w:noBreakHyphen/>
        <w:t>step test for determining whether delay in administrative proceedings amounts to an abuse of process; however,</w:t>
      </w:r>
      <w:r w:rsidR="00905F97">
        <w:rPr>
          <w:iCs/>
        </w:rPr>
        <w:t xml:space="preserve"> </w:t>
      </w:r>
      <w:r w:rsidRPr="00116695">
        <w:rPr>
          <w:iCs/>
        </w:rPr>
        <w:t>this framework rests on a mistaken understanding of the doctrine of abuse of process.</w:t>
      </w:r>
      <w:r w:rsidR="00905F97">
        <w:rPr>
          <w:iCs/>
        </w:rPr>
        <w:t xml:space="preserve"> </w:t>
      </w:r>
      <w:r w:rsidRPr="00116695">
        <w:rPr>
          <w:iCs/>
        </w:rPr>
        <w:t xml:space="preserve">Under the majority’s approach, even inordinate delay that directly causes significant prejudice is not per se abusive, as the last </w:t>
      </w:r>
      <w:r w:rsidR="00905F97">
        <w:rPr>
          <w:iCs/>
        </w:rPr>
        <w:t xml:space="preserve">step of its test indicates. </w:t>
      </w:r>
      <w:r w:rsidRPr="00116695">
        <w:rPr>
          <w:iCs/>
        </w:rPr>
        <w:lastRenderedPageBreak/>
        <w:t>Not only is this proposition doctrinally flawed, but it results in an unduly elevated standard that is disproportionate to the remedies available for abusive delay, which range from a mere declaration to a stay of proceedings.</w:t>
      </w:r>
      <w:r w:rsidR="00905F97">
        <w:rPr>
          <w:iCs/>
        </w:rPr>
        <w:t xml:space="preserve"> </w:t>
      </w:r>
      <w:r w:rsidRPr="00116695">
        <w:rPr>
          <w:iCs/>
        </w:rPr>
        <w:t>The majority’s test is so onerous that it invites complacency in administrative proceedings.</w:t>
      </w:r>
      <w:r w:rsidR="00905F97">
        <w:rPr>
          <w:iCs/>
        </w:rPr>
        <w:t xml:space="preserve"> </w:t>
      </w:r>
      <w:r w:rsidRPr="00116695">
        <w:rPr>
          <w:iCs/>
        </w:rPr>
        <w:t xml:space="preserve">The Court rightly recognized in </w:t>
      </w:r>
      <w:r w:rsidRPr="00116695">
        <w:rPr>
          <w:i/>
          <w:iCs/>
        </w:rPr>
        <w:t>Blencoe</w:t>
      </w:r>
      <w:r w:rsidRPr="00116695">
        <w:rPr>
          <w:iCs/>
        </w:rPr>
        <w:t xml:space="preserve"> that inordinate delay, on its own, is a breach of the duty of fairness.</w:t>
      </w:r>
      <w:r w:rsidR="00905F97">
        <w:rPr>
          <w:iCs/>
        </w:rPr>
        <w:t xml:space="preserve"> </w:t>
      </w:r>
      <w:r w:rsidRPr="00116695">
        <w:rPr>
          <w:iCs/>
        </w:rPr>
        <w:t>Prejudice is not a necessary condition for delay to be inordinate, although it may contribute to such a finding.</w:t>
      </w:r>
      <w:r w:rsidR="00905F97">
        <w:rPr>
          <w:iCs/>
        </w:rPr>
        <w:t xml:space="preserve"> </w:t>
      </w:r>
      <w:r w:rsidRPr="00116695">
        <w:rPr>
          <w:iCs/>
        </w:rPr>
        <w:t>Evidence of prejudice remains highly significant at the remedial stage, since the remedy must be proportionate to the abuse of process.</w:t>
      </w:r>
      <w:r w:rsidR="00905F97">
        <w:rPr>
          <w:iCs/>
        </w:rPr>
        <w:t xml:space="preserve"> </w:t>
      </w:r>
      <w:r w:rsidRPr="00116695">
        <w:rPr>
          <w:iCs/>
        </w:rPr>
        <w:t xml:space="preserve">This is consistent with the central principle laid down by the majority in </w:t>
      </w:r>
      <w:r w:rsidRPr="00116695">
        <w:rPr>
          <w:i/>
          <w:iCs/>
        </w:rPr>
        <w:t>Blencoe</w:t>
      </w:r>
      <w:r w:rsidRPr="00116695">
        <w:rPr>
          <w:iCs/>
        </w:rPr>
        <w:t>, namely that courts may grant a stay of proceedings only in the clearest of cases, where the applicant has demonstrated significant prejudice arising from inordinate administrative delay.</w:t>
      </w:r>
    </w:p>
    <w:p w14:paraId="741014C3" w14:textId="3B89D54C" w:rsidR="00116695" w:rsidRPr="00116695" w:rsidRDefault="00116695" w:rsidP="003F4E8F">
      <w:pPr>
        <w:pStyle w:val="SCCNormalDoubleSpacing"/>
        <w:spacing w:after="480"/>
        <w:rPr>
          <w:iCs/>
        </w:rPr>
      </w:pPr>
      <w:r w:rsidRPr="00116695">
        <w:rPr>
          <w:iCs/>
        </w:rPr>
        <w:tab/>
        <w:t>Abuse of process must be disentangled analytically from a stay of proceedings, which is but one of the remedies available at common law to redress abusive conduct.</w:t>
      </w:r>
      <w:r w:rsidR="00905F97">
        <w:rPr>
          <w:iCs/>
        </w:rPr>
        <w:t xml:space="preserve"> </w:t>
      </w:r>
      <w:r w:rsidRPr="00116695">
        <w:rPr>
          <w:iCs/>
        </w:rPr>
        <w:t>It is crucial to draw this distinction because the threshold for demonstrating abusive conduct is much lower than the one for obtaining a stay of proceedings.</w:t>
      </w:r>
      <w:r w:rsidR="00905F97">
        <w:rPr>
          <w:iCs/>
        </w:rPr>
        <w:t xml:space="preserve"> </w:t>
      </w:r>
      <w:r w:rsidRPr="00116695">
        <w:rPr>
          <w:iCs/>
        </w:rPr>
        <w:t>The Court has established stringent requirements for granting a stay of proceedings.</w:t>
      </w:r>
      <w:r w:rsidR="00905F97">
        <w:rPr>
          <w:iCs/>
        </w:rPr>
        <w:t xml:space="preserve"> </w:t>
      </w:r>
      <w:r w:rsidRPr="00116695">
        <w:rPr>
          <w:iCs/>
        </w:rPr>
        <w:t>To obtain a stay, an applicant mu</w:t>
      </w:r>
      <w:r w:rsidR="003F4E8F">
        <w:rPr>
          <w:iCs/>
        </w:rPr>
        <w:t xml:space="preserve">st satisfy the following test: </w:t>
      </w:r>
      <w:r w:rsidRPr="00116695">
        <w:rPr>
          <w:iCs/>
        </w:rPr>
        <w:t xml:space="preserve">there must be prejudice to the fairness of the trial or the integrity of the justice system that will be manifested, perpetuated or aggravated through the conduct of the trial, or by its outcome; there must be no alternative remedy capable of redressing the prejudice; and where it is unclear whether a stay is warranted after the first two steps, the court is required to balance the interests in favour of granting a stay, such as denouncing misconduct and preserving the integrity of the justice system, against the interest that </w:t>
      </w:r>
      <w:r w:rsidRPr="00116695">
        <w:rPr>
          <w:iCs/>
        </w:rPr>
        <w:lastRenderedPageBreak/>
        <w:t>society has in having a final decision on the merits. This test also applies to abusive delay in administrative proceedings.</w:t>
      </w:r>
    </w:p>
    <w:p w14:paraId="261CE4C0" w14:textId="0969BB89" w:rsidR="00116695" w:rsidRPr="00116695" w:rsidRDefault="00116695" w:rsidP="003F4E8F">
      <w:pPr>
        <w:pStyle w:val="SCCNormalDoubleSpacing"/>
        <w:spacing w:after="480"/>
        <w:rPr>
          <w:iCs/>
        </w:rPr>
      </w:pPr>
      <w:r w:rsidRPr="00116695">
        <w:rPr>
          <w:iCs/>
        </w:rPr>
        <w:tab/>
        <w:t>The majority conflates the doctrine of abuse of process with the test for stays of proceedings, which are only a subset of the remedies that courts may order to sanction abusive conduct.</w:t>
      </w:r>
      <w:r w:rsidR="00905F97">
        <w:rPr>
          <w:iCs/>
        </w:rPr>
        <w:t xml:space="preserve"> </w:t>
      </w:r>
      <w:r w:rsidRPr="00116695">
        <w:rPr>
          <w:iCs/>
        </w:rPr>
        <w:t>The majority thus fails to distinguish between, on the one hand, the test for whether conduct amounts to an abuse of process and, on the other hand, the test for whether a stay of proceedings is warranted in the circumstances.</w:t>
      </w:r>
      <w:r w:rsidR="00905F97">
        <w:rPr>
          <w:iCs/>
        </w:rPr>
        <w:t xml:space="preserve"> </w:t>
      </w:r>
      <w:r w:rsidRPr="00116695">
        <w:rPr>
          <w:iCs/>
        </w:rPr>
        <w:t>The former is flexible and unencumbered by particular requirements; the court must simply determine whether the impugned conduct undermines adjudicative fairness or the integrity of the justice system.</w:t>
      </w:r>
      <w:r w:rsidR="00905F97">
        <w:rPr>
          <w:iCs/>
        </w:rPr>
        <w:t xml:space="preserve"> </w:t>
      </w:r>
      <w:r w:rsidRPr="00116695">
        <w:rPr>
          <w:iCs/>
        </w:rPr>
        <w:t>The latter establishes an onerous threshold that is met only in the clearest of cases, where the applicant satisfies sp</w:t>
      </w:r>
      <w:r w:rsidR="003F4E8F">
        <w:rPr>
          <w:iCs/>
        </w:rPr>
        <w:t>ecific, stringent requirements.</w:t>
      </w:r>
    </w:p>
    <w:p w14:paraId="03A2DC3F" w14:textId="017C56AD" w:rsidR="00116695" w:rsidRPr="00116695" w:rsidRDefault="00116695" w:rsidP="003F4E8F">
      <w:pPr>
        <w:pStyle w:val="SCCNormalDoubleSpacing"/>
        <w:spacing w:after="480"/>
        <w:rPr>
          <w:iCs/>
        </w:rPr>
      </w:pPr>
      <w:r w:rsidRPr="00116695">
        <w:rPr>
          <w:iCs/>
        </w:rPr>
        <w:tab/>
      </w:r>
      <w:r w:rsidRPr="00116695">
        <w:rPr>
          <w:iCs/>
          <w:lang w:val="en-US"/>
        </w:rPr>
        <w:t>Where the applicant has demonstrated that the delay is inordinate, the next step in the analysis is for the court to determine the appropriate remedy in the circumstances.</w:t>
      </w:r>
      <w:r w:rsidR="00905F97">
        <w:rPr>
          <w:iCs/>
          <w:lang w:val="en-US"/>
        </w:rPr>
        <w:t xml:space="preserve"> </w:t>
      </w:r>
      <w:r w:rsidRPr="00116695">
        <w:rPr>
          <w:iCs/>
          <w:lang w:val="en-US"/>
        </w:rPr>
        <w:t>Courts possess an extensive arsenal of remedial tools to sanction and redress abusive conduct that account for the circumstances of each case, ranging from a declaration to a stay of proceedings. The choice of</w:t>
      </w:r>
      <w:r w:rsidR="003F4E8F">
        <w:rPr>
          <w:iCs/>
          <w:lang w:val="en-US"/>
        </w:rPr>
        <w:t xml:space="preserve"> remedy for an abuse of process </w:t>
      </w:r>
      <w:r w:rsidRPr="00116695">
        <w:rPr>
          <w:iCs/>
          <w:lang w:val="en-US"/>
        </w:rPr>
        <w:t>falls within the trial judge’s discretion</w:t>
      </w:r>
      <w:r w:rsidRPr="00116695">
        <w:rPr>
          <w:iCs/>
        </w:rPr>
        <w:t>. A</w:t>
      </w:r>
      <w:proofErr w:type="spellStart"/>
      <w:r w:rsidRPr="00116695">
        <w:rPr>
          <w:iCs/>
          <w:lang w:val="en-US"/>
        </w:rPr>
        <w:t>pplicants</w:t>
      </w:r>
      <w:proofErr w:type="spellEnd"/>
      <w:r w:rsidRPr="00116695">
        <w:rPr>
          <w:iCs/>
          <w:lang w:val="en-US"/>
        </w:rPr>
        <w:t xml:space="preserve"> must satisfy a specific test to obtain a stay of proceedings, but other remedies are not subject to that test.</w:t>
      </w:r>
      <w:r w:rsidR="00905F97">
        <w:rPr>
          <w:iCs/>
          <w:lang w:val="en-US"/>
        </w:rPr>
        <w:t xml:space="preserve"> </w:t>
      </w:r>
      <w:r w:rsidRPr="00116695">
        <w:rPr>
          <w:iCs/>
          <w:lang w:val="en-US"/>
        </w:rPr>
        <w:t>The guiding principle in determining the appropriate remedy is proportionality.</w:t>
      </w:r>
      <w:r w:rsidR="00905F97">
        <w:rPr>
          <w:iCs/>
          <w:lang w:val="en-US"/>
        </w:rPr>
        <w:t xml:space="preserve"> </w:t>
      </w:r>
      <w:r w:rsidRPr="00116695">
        <w:rPr>
          <w:iCs/>
          <w:lang w:val="en-US"/>
        </w:rPr>
        <w:t>Courts</w:t>
      </w:r>
      <w:r w:rsidR="00905F97">
        <w:rPr>
          <w:iCs/>
          <w:lang w:val="en-US"/>
        </w:rPr>
        <w:t xml:space="preserve"> </w:t>
      </w:r>
      <w:r w:rsidRPr="00116695">
        <w:rPr>
          <w:iCs/>
          <w:lang w:val="en-US"/>
        </w:rPr>
        <w:t xml:space="preserve">must consider the nature and magnitude of the prejudice as primary factors, alongside the length and causes of the delay, in selecting a remedy proportionate to the abuse of </w:t>
      </w:r>
      <w:r w:rsidRPr="00116695">
        <w:rPr>
          <w:iCs/>
          <w:lang w:val="en-US"/>
        </w:rPr>
        <w:lastRenderedPageBreak/>
        <w:t>process.</w:t>
      </w:r>
      <w:r w:rsidR="00905F97">
        <w:rPr>
          <w:iCs/>
          <w:lang w:val="en-US"/>
        </w:rPr>
        <w:t xml:space="preserve"> </w:t>
      </w:r>
      <w:r w:rsidRPr="00116695">
        <w:rPr>
          <w:iCs/>
          <w:lang w:val="en-US"/>
        </w:rPr>
        <w:t xml:space="preserve">As mandated by </w:t>
      </w:r>
      <w:r w:rsidRPr="00116695">
        <w:rPr>
          <w:i/>
          <w:iCs/>
          <w:lang w:val="en-US"/>
        </w:rPr>
        <w:t>Blencoe</w:t>
      </w:r>
      <w:r w:rsidRPr="00116695">
        <w:rPr>
          <w:iCs/>
          <w:lang w:val="en-US"/>
        </w:rPr>
        <w:t>, the applicant must demonstrate significant prejudice to obtain a stay of proceedings for inordinate delay in the administrative law context, but this standard does not</w:t>
      </w:r>
      <w:r w:rsidR="003F4E8F">
        <w:rPr>
          <w:iCs/>
          <w:lang w:val="en-US"/>
        </w:rPr>
        <w:t xml:space="preserve"> apply to alternative remedies.</w:t>
      </w:r>
    </w:p>
    <w:p w14:paraId="782FE14A" w14:textId="790FFF01" w:rsidR="00116695" w:rsidRPr="00116695" w:rsidRDefault="00116695" w:rsidP="003F4E8F">
      <w:pPr>
        <w:pStyle w:val="SCCNormalDoubleSpacing"/>
        <w:spacing w:after="480"/>
        <w:rPr>
          <w:iCs/>
        </w:rPr>
      </w:pPr>
      <w:r w:rsidRPr="00116695">
        <w:rPr>
          <w:iCs/>
        </w:rPr>
        <w:tab/>
        <w:t>With respect to the applicable standard of review,</w:t>
      </w:r>
      <w:r w:rsidR="00905F97">
        <w:rPr>
          <w:iCs/>
        </w:rPr>
        <w:t xml:space="preserve"> </w:t>
      </w:r>
      <w:r w:rsidRPr="00116695">
        <w:rPr>
          <w:iCs/>
        </w:rPr>
        <w:t>the</w:t>
      </w:r>
      <w:r w:rsidR="00905F97">
        <w:rPr>
          <w:iCs/>
        </w:rPr>
        <w:t xml:space="preserve"> </w:t>
      </w:r>
      <w:r w:rsidRPr="00116695">
        <w:rPr>
          <w:iCs/>
        </w:rPr>
        <w:t>Court’s jurisprudence is clear: the question of whether an administrative decision maker has complied with its duty of fairness is subject to the standard of correctness, regardless of the existence of an appeal mechanism.</w:t>
      </w:r>
      <w:r w:rsidR="00905F97">
        <w:rPr>
          <w:iCs/>
        </w:rPr>
        <w:t xml:space="preserve"> </w:t>
      </w:r>
      <w:r w:rsidRPr="00116695">
        <w:rPr>
          <w:iCs/>
        </w:rPr>
        <w:t>There is</w:t>
      </w:r>
      <w:r w:rsidR="00905F97">
        <w:rPr>
          <w:iCs/>
        </w:rPr>
        <w:t xml:space="preserve"> </w:t>
      </w:r>
      <w:r w:rsidRPr="00116695">
        <w:rPr>
          <w:iCs/>
        </w:rPr>
        <w:t>no reason to revisit this well</w:t>
      </w:r>
      <w:r w:rsidRPr="00116695">
        <w:rPr>
          <w:iCs/>
        </w:rPr>
        <w:noBreakHyphen/>
        <w:t>established starting point.</w:t>
      </w:r>
      <w:r w:rsidR="00905F97">
        <w:rPr>
          <w:iCs/>
        </w:rPr>
        <w:t xml:space="preserve"> </w:t>
      </w:r>
      <w:r w:rsidRPr="00116695">
        <w:rPr>
          <w:iCs/>
        </w:rPr>
        <w:t>The majority purports to clarify the standard of review applicable to questions of procedural fairness in a statutory appeal.</w:t>
      </w:r>
      <w:r w:rsidR="00905F97">
        <w:rPr>
          <w:iCs/>
        </w:rPr>
        <w:t xml:space="preserve"> </w:t>
      </w:r>
      <w:r w:rsidRPr="00116695">
        <w:rPr>
          <w:iCs/>
        </w:rPr>
        <w:t xml:space="preserve">It does so, however, without meaningfully considering </w:t>
      </w:r>
      <w:proofErr w:type="spellStart"/>
      <w:r w:rsidRPr="00116695">
        <w:rPr>
          <w:i/>
          <w:iCs/>
        </w:rPr>
        <w:t>Khela</w:t>
      </w:r>
      <w:proofErr w:type="spellEnd"/>
      <w:r w:rsidRPr="00116695">
        <w:rPr>
          <w:iCs/>
        </w:rPr>
        <w:t>, the governing a</w:t>
      </w:r>
      <w:r w:rsidR="003F4E8F">
        <w:rPr>
          <w:iCs/>
        </w:rPr>
        <w:t xml:space="preserve">uthority on this point of law, </w:t>
      </w:r>
      <w:r w:rsidRPr="00116695">
        <w:rPr>
          <w:iCs/>
        </w:rPr>
        <w:t>or any other case relating to the duty of procedural fairness.</w:t>
      </w:r>
      <w:r w:rsidR="00905F97">
        <w:rPr>
          <w:iCs/>
        </w:rPr>
        <w:t xml:space="preserve"> </w:t>
      </w:r>
      <w:r w:rsidRPr="00116695">
        <w:rPr>
          <w:iCs/>
        </w:rPr>
        <w:t xml:space="preserve">The mere reference to </w:t>
      </w:r>
      <w:r w:rsidRPr="00116695">
        <w:rPr>
          <w:i/>
          <w:iCs/>
        </w:rPr>
        <w:t>Vavilov</w:t>
      </w:r>
      <w:r w:rsidRPr="00116695">
        <w:rPr>
          <w:iCs/>
        </w:rPr>
        <w:t xml:space="preserve">, a judgment that was rendered in a different context and that excluded procedural fairness review from its purview, does not suffice to oust </w:t>
      </w:r>
      <w:proofErr w:type="spellStart"/>
      <w:r w:rsidRPr="00116695">
        <w:rPr>
          <w:i/>
          <w:iCs/>
        </w:rPr>
        <w:t>Khela</w:t>
      </w:r>
      <w:proofErr w:type="spellEnd"/>
      <w:r w:rsidRPr="00116695">
        <w:rPr>
          <w:i/>
          <w:iCs/>
        </w:rPr>
        <w:t xml:space="preserve"> </w:t>
      </w:r>
      <w:r w:rsidRPr="00116695">
        <w:rPr>
          <w:iCs/>
        </w:rPr>
        <w:t xml:space="preserve">and other </w:t>
      </w:r>
      <w:r w:rsidR="003F4E8F">
        <w:rPr>
          <w:iCs/>
        </w:rPr>
        <w:t>directly applicable precedents.</w:t>
      </w:r>
    </w:p>
    <w:p w14:paraId="19685EEA" w14:textId="1CDD3AB0" w:rsidR="00116695" w:rsidRPr="00116695" w:rsidRDefault="00116695" w:rsidP="003F4E8F">
      <w:pPr>
        <w:pStyle w:val="SCCNormalDoubleSpacing"/>
        <w:spacing w:after="480"/>
        <w:rPr>
          <w:iCs/>
        </w:rPr>
      </w:pPr>
      <w:r w:rsidRPr="00116695">
        <w:rPr>
          <w:iCs/>
        </w:rPr>
        <w:tab/>
        <w:t>While clarifications to the framework for determining the standard of review applicable to questions of procedural fairness are warranted, the Court should draw on its existing jurisprudence to articulate a principled approach.</w:t>
      </w:r>
      <w:r w:rsidR="00905F97">
        <w:rPr>
          <w:iCs/>
        </w:rPr>
        <w:t xml:space="preserve"> </w:t>
      </w:r>
      <w:r w:rsidRPr="00116695">
        <w:rPr>
          <w:iCs/>
        </w:rPr>
        <w:t>The standard of correctness must remain the starting point of the analysis in the context of procedural fairness review.</w:t>
      </w:r>
      <w:r w:rsidR="00905F97">
        <w:rPr>
          <w:iCs/>
        </w:rPr>
        <w:t xml:space="preserve"> </w:t>
      </w:r>
      <w:r w:rsidRPr="00116695">
        <w:rPr>
          <w:iCs/>
        </w:rPr>
        <w:t>It is for the courts to provide the legal answer to procedural fairness questions. The correctness standard applies to questions of compliance with the duty of procedural fairness as defined by the common law or by statute. However,</w:t>
      </w:r>
      <w:r w:rsidR="00905F97">
        <w:rPr>
          <w:iCs/>
        </w:rPr>
        <w:t xml:space="preserve"> </w:t>
      </w:r>
      <w:r w:rsidRPr="00116695">
        <w:rPr>
          <w:iCs/>
        </w:rPr>
        <w:t xml:space="preserve">the </w:t>
      </w:r>
      <w:r w:rsidRPr="00116695">
        <w:rPr>
          <w:iCs/>
        </w:rPr>
        <w:lastRenderedPageBreak/>
        <w:t>requirements of fairness are c</w:t>
      </w:r>
      <w:r w:rsidR="003F4E8F">
        <w:rPr>
          <w:iCs/>
        </w:rPr>
        <w:t>ontext</w:t>
      </w:r>
      <w:r w:rsidR="003F4E8F">
        <w:rPr>
          <w:iCs/>
        </w:rPr>
        <w:noBreakHyphen/>
      </w:r>
      <w:r w:rsidRPr="00116695">
        <w:rPr>
          <w:iCs/>
        </w:rPr>
        <w:t xml:space="preserve">dependent, and deference is owed to the administrative decision maker’s </w:t>
      </w:r>
      <w:r w:rsidR="003F4E8F">
        <w:rPr>
          <w:iCs/>
        </w:rPr>
        <w:t>underlying findings of fact.</w:t>
      </w:r>
    </w:p>
    <w:p w14:paraId="37E8E631" w14:textId="2CC2A8CD" w:rsidR="00116695" w:rsidRPr="00116695" w:rsidRDefault="00116695" w:rsidP="003F4E8F">
      <w:pPr>
        <w:pStyle w:val="SCCNormalDoubleSpacing"/>
        <w:spacing w:after="480"/>
        <w:rPr>
          <w:iCs/>
        </w:rPr>
      </w:pPr>
      <w:r w:rsidRPr="00116695">
        <w:rPr>
          <w:iCs/>
        </w:rPr>
        <w:tab/>
        <w:t>The majority’s articulation of the standard of review in the context of inordinate administrative delay cannot be agreed with.</w:t>
      </w:r>
      <w:r w:rsidR="00905F97">
        <w:rPr>
          <w:iCs/>
        </w:rPr>
        <w:t xml:space="preserve">  </w:t>
      </w:r>
      <w:r w:rsidRPr="00116695">
        <w:rPr>
          <w:iCs/>
        </w:rPr>
        <w:t>Inordinate delay constitutes an abuse of process on its own; it is</w:t>
      </w:r>
      <w:r w:rsidRPr="00116695">
        <w:rPr>
          <w:i/>
          <w:iCs/>
        </w:rPr>
        <w:t xml:space="preserve"> </w:t>
      </w:r>
      <w:r w:rsidRPr="00116695">
        <w:rPr>
          <w:iCs/>
        </w:rPr>
        <w:t>the legal standard against which an administrative body’s conduct is measured. Courts do not owe deference to an administrative decision maker’s conclusion on whether delay is inordinate and i</w:t>
      </w:r>
      <w:r w:rsidR="00572224">
        <w:rPr>
          <w:iCs/>
        </w:rPr>
        <w:t>t</w:t>
      </w:r>
      <w:r w:rsidRPr="00116695">
        <w:rPr>
          <w:iCs/>
        </w:rPr>
        <w:t>s choice o</w:t>
      </w:r>
      <w:r w:rsidR="003F4E8F">
        <w:rPr>
          <w:iCs/>
        </w:rPr>
        <w:t>f remedy for abuse of process.</w:t>
      </w:r>
    </w:p>
    <w:p w14:paraId="5E6F5629" w14:textId="6ED67582" w:rsidR="00116695" w:rsidRPr="00116695" w:rsidRDefault="00116695" w:rsidP="003F4E8F">
      <w:pPr>
        <w:pStyle w:val="SCCNormalDoubleSpacing"/>
        <w:spacing w:after="480"/>
        <w:rPr>
          <w:iCs/>
        </w:rPr>
      </w:pPr>
      <w:r w:rsidRPr="00116695">
        <w:rPr>
          <w:iCs/>
        </w:rPr>
        <w:tab/>
        <w:t>In the case at bar, there is agreement with the an</w:t>
      </w:r>
      <w:r w:rsidR="003F4E8F">
        <w:rPr>
          <w:iCs/>
        </w:rPr>
        <w:t>alysis of the Court of Appeal.</w:t>
      </w:r>
      <w:r w:rsidRPr="00116695">
        <w:rPr>
          <w:iCs/>
        </w:rPr>
        <w:t xml:space="preserve"> The delay grossly exceeded the inherent time requirements of this case; it is plainly inordinate and, as a result, abusive. This inordinate delay caused serious prejudice to the member and his employees. In these circumstances, the Court of Appeal correctly sanctioned this abuse of process by ordering that the penalty for professional misconduct, but not the convic</w:t>
      </w:r>
      <w:r w:rsidR="003F4E8F">
        <w:rPr>
          <w:iCs/>
        </w:rPr>
        <w:t>tions themselves, be set aside.</w:t>
      </w:r>
    </w:p>
    <w:p w14:paraId="027F446E" w14:textId="77777777" w:rsidR="007E1C47" w:rsidRDefault="002E6705" w:rsidP="00142A98">
      <w:pPr>
        <w:pStyle w:val="SCCNormalDoubleSpacing"/>
        <w:widowControl w:val="0"/>
        <w:spacing w:after="720" w:line="240" w:lineRule="auto"/>
        <w:rPr>
          <w:b/>
        </w:rPr>
      </w:pPr>
      <w:r w:rsidRPr="00314E01">
        <w:rPr>
          <w:b/>
        </w:rPr>
        <w:t>Cases Cited</w:t>
      </w:r>
    </w:p>
    <w:p w14:paraId="6770D63F" w14:textId="3833C1C5" w:rsidR="00A149DF" w:rsidRPr="00613969" w:rsidRDefault="00FD7C76" w:rsidP="00142A98">
      <w:pPr>
        <w:pStyle w:val="SCCNormalDoubleSpacing"/>
        <w:widowControl w:val="0"/>
        <w:spacing w:after="720" w:line="240" w:lineRule="auto"/>
      </w:pPr>
      <w:r>
        <w:t>By Rowe J.</w:t>
      </w:r>
    </w:p>
    <w:p w14:paraId="6ED8281F" w14:textId="0D017223" w:rsidR="004E2C26" w:rsidRDefault="002E6705" w:rsidP="00142A98">
      <w:pPr>
        <w:pStyle w:val="SCCNormalDoubleSpacing"/>
        <w:widowControl w:val="0"/>
        <w:spacing w:after="480"/>
      </w:pPr>
      <w:r>
        <w:tab/>
      </w:r>
      <w:r w:rsidR="00E44667" w:rsidRPr="00E44667">
        <w:rPr>
          <w:b/>
        </w:rPr>
        <w:t>Applied:</w:t>
      </w:r>
      <w:r w:rsidR="00E44667">
        <w:t xml:space="preserve"> </w:t>
      </w:r>
      <w:r w:rsidR="00E44667" w:rsidRPr="00E44667">
        <w:rPr>
          <w:i/>
        </w:rPr>
        <w:t>Blencoe v. British Columbia (Human Rights Commission)</w:t>
      </w:r>
      <w:r w:rsidR="00E44667" w:rsidRPr="00E44667">
        <w:t xml:space="preserve">, 2000 SCC 44, [2000] 2 S.C.R. 307; </w:t>
      </w:r>
      <w:r w:rsidR="00E44667" w:rsidRPr="00E44667">
        <w:rPr>
          <w:bCs/>
          <w:i/>
        </w:rPr>
        <w:t xml:space="preserve">Canada (Minister of Citizenship and Immigration) </w:t>
      </w:r>
      <w:r w:rsidR="00E44667" w:rsidRPr="00E44667">
        <w:rPr>
          <w:i/>
          <w:iCs/>
        </w:rPr>
        <w:t xml:space="preserve">v. </w:t>
      </w:r>
      <w:r w:rsidR="00E44667" w:rsidRPr="00E44667">
        <w:rPr>
          <w:i/>
        </w:rPr>
        <w:t>Vavilov</w:t>
      </w:r>
      <w:r w:rsidR="00E44667" w:rsidRPr="00E44667">
        <w:t xml:space="preserve">, 2019 SCC 65, [2019] 4 S.C.R. 653; </w:t>
      </w:r>
      <w:r w:rsidR="00E44667" w:rsidRPr="00E44667">
        <w:rPr>
          <w:b/>
        </w:rPr>
        <w:t>distinguished:</w:t>
      </w:r>
      <w:r w:rsidR="00E44667">
        <w:t xml:space="preserve"> </w:t>
      </w:r>
      <w:r w:rsidR="00E44667" w:rsidRPr="00E44667">
        <w:rPr>
          <w:i/>
        </w:rPr>
        <w:t xml:space="preserve">Canada (Citizenship and </w:t>
      </w:r>
      <w:r w:rsidR="00E44667" w:rsidRPr="00E44667">
        <w:rPr>
          <w:i/>
        </w:rPr>
        <w:lastRenderedPageBreak/>
        <w:t xml:space="preserve">Immigration) v. </w:t>
      </w:r>
      <w:proofErr w:type="spellStart"/>
      <w:r w:rsidR="00E44667" w:rsidRPr="00E44667">
        <w:rPr>
          <w:i/>
        </w:rPr>
        <w:t>Khosa</w:t>
      </w:r>
      <w:proofErr w:type="spellEnd"/>
      <w:r w:rsidR="00E44667" w:rsidRPr="00E44667">
        <w:t xml:space="preserve">, 2009 SCC 12, [2009] 1 S.C.R. 339; </w:t>
      </w:r>
      <w:r w:rsidR="00E44667" w:rsidRPr="00E44667">
        <w:rPr>
          <w:i/>
        </w:rPr>
        <w:t xml:space="preserve">Mission Institution v. </w:t>
      </w:r>
      <w:proofErr w:type="spellStart"/>
      <w:r w:rsidR="00E44667" w:rsidRPr="00E44667">
        <w:rPr>
          <w:i/>
        </w:rPr>
        <w:t>Khela</w:t>
      </w:r>
      <w:proofErr w:type="spellEnd"/>
      <w:r w:rsidR="00E44667" w:rsidRPr="00E44667">
        <w:t xml:space="preserve">, 2014 SCC 24, [2014] 1 S.C.R. 502; </w:t>
      </w:r>
      <w:r w:rsidR="00B566D2" w:rsidRPr="00B566D2">
        <w:rPr>
          <w:b/>
        </w:rPr>
        <w:t>considered:</w:t>
      </w:r>
      <w:r w:rsidR="00B566D2">
        <w:t xml:space="preserve"> </w:t>
      </w:r>
      <w:proofErr w:type="spellStart"/>
      <w:r w:rsidR="00B566D2" w:rsidRPr="00EE2996">
        <w:rPr>
          <w:i/>
        </w:rPr>
        <w:t>Sazant</w:t>
      </w:r>
      <w:proofErr w:type="spellEnd"/>
      <w:r w:rsidR="00B566D2" w:rsidRPr="00EE2996">
        <w:rPr>
          <w:i/>
        </w:rPr>
        <w:t xml:space="preserve"> v. College of Physicians and Surgeons of Ontario</w:t>
      </w:r>
      <w:r w:rsidR="00B566D2" w:rsidRPr="00EE2996">
        <w:t>, 2012 ONCA 727</w:t>
      </w:r>
      <w:r w:rsidR="00B566D2">
        <w:t xml:space="preserve">, 113 O.R. (3d) 420, </w:t>
      </w:r>
      <w:r w:rsidR="00B566D2" w:rsidRPr="00C76FBD">
        <w:t>leave to appeal refused</w:t>
      </w:r>
      <w:r w:rsidR="00B566D2">
        <w:t xml:space="preserve">, </w:t>
      </w:r>
      <w:r w:rsidR="00B566D2" w:rsidRPr="00EE2996">
        <w:t>[201</w:t>
      </w:r>
      <w:r w:rsidR="00B566D2">
        <w:t>3</w:t>
      </w:r>
      <w:r w:rsidR="00B566D2" w:rsidRPr="00EE2996">
        <w:t xml:space="preserve">] </w:t>
      </w:r>
      <w:r w:rsidR="00B566D2">
        <w:t xml:space="preserve">2 </w:t>
      </w:r>
      <w:r w:rsidR="00B566D2" w:rsidRPr="00EE2996">
        <w:t>S.C.</w:t>
      </w:r>
      <w:r w:rsidR="00B566D2">
        <w:t xml:space="preserve">R. xii; </w:t>
      </w:r>
      <w:proofErr w:type="spellStart"/>
      <w:r w:rsidR="00B566D2" w:rsidRPr="00EE2996">
        <w:rPr>
          <w:i/>
        </w:rPr>
        <w:t>Misra</w:t>
      </w:r>
      <w:proofErr w:type="spellEnd"/>
      <w:r w:rsidR="00B566D2" w:rsidRPr="00EE2996">
        <w:rPr>
          <w:i/>
        </w:rPr>
        <w:t xml:space="preserve"> v. College of Physicians &amp; Surgeons </w:t>
      </w:r>
      <w:r w:rsidR="00B566D2">
        <w:rPr>
          <w:i/>
        </w:rPr>
        <w:t>of Saskatchewan</w:t>
      </w:r>
      <w:r w:rsidR="00B566D2" w:rsidRPr="00EE2996">
        <w:t xml:space="preserve"> </w:t>
      </w:r>
      <w:r w:rsidR="00B566D2">
        <w:t>(</w:t>
      </w:r>
      <w:r w:rsidR="00B566D2" w:rsidRPr="00EE2996">
        <w:t>1988</w:t>
      </w:r>
      <w:r w:rsidR="00B566D2">
        <w:t>),</w:t>
      </w:r>
      <w:r w:rsidR="00B566D2" w:rsidRPr="00EE2996">
        <w:t xml:space="preserve"> </w:t>
      </w:r>
      <w:r w:rsidR="00B566D2">
        <w:t xml:space="preserve">52 D.L.R. (4th) 477; </w:t>
      </w:r>
      <w:r w:rsidR="00B566D2" w:rsidRPr="00EE2996">
        <w:rPr>
          <w:i/>
        </w:rPr>
        <w:t>Investment Dealers Association of Canada v. MacBain</w:t>
      </w:r>
      <w:r w:rsidR="00B566D2" w:rsidRPr="00EE2996">
        <w:t>, 2007 SKCA 70</w:t>
      </w:r>
      <w:r w:rsidR="00B566D2">
        <w:t xml:space="preserve">, 299 Sask. R. 122; </w:t>
      </w:r>
      <w:r w:rsidR="00B566D2" w:rsidRPr="00EE2996">
        <w:rPr>
          <w:i/>
          <w:szCs w:val="24"/>
        </w:rPr>
        <w:t>Law Society of Upper Canada v. Abbott</w:t>
      </w:r>
      <w:r w:rsidR="00B566D2" w:rsidRPr="00EE2996">
        <w:rPr>
          <w:szCs w:val="24"/>
        </w:rPr>
        <w:t xml:space="preserve">, 2017 ONCA 525, </w:t>
      </w:r>
      <w:r w:rsidR="00B566D2">
        <w:rPr>
          <w:szCs w:val="24"/>
        </w:rPr>
        <w:t xml:space="preserve">139 O.R. (3d) 290, </w:t>
      </w:r>
      <w:r w:rsidR="00B566D2" w:rsidRPr="006674FC">
        <w:rPr>
          <w:szCs w:val="24"/>
        </w:rPr>
        <w:t>leave to appeal refused,</w:t>
      </w:r>
      <w:r w:rsidR="00B566D2">
        <w:rPr>
          <w:szCs w:val="24"/>
        </w:rPr>
        <w:t xml:space="preserve"> </w:t>
      </w:r>
      <w:r w:rsidR="00B566D2" w:rsidRPr="00EE2996">
        <w:t>[201</w:t>
      </w:r>
      <w:r w:rsidR="00B566D2">
        <w:t>8</w:t>
      </w:r>
      <w:r w:rsidR="00B566D2" w:rsidRPr="00EE2996">
        <w:t xml:space="preserve">] </w:t>
      </w:r>
      <w:r w:rsidR="00B566D2">
        <w:t xml:space="preserve">1 </w:t>
      </w:r>
      <w:r w:rsidR="00B566D2" w:rsidRPr="00EE2996">
        <w:t>S.C.</w:t>
      </w:r>
      <w:r w:rsidR="00B566D2">
        <w:t xml:space="preserve">R. v; </w:t>
      </w:r>
      <w:r w:rsidR="00E44667" w:rsidRPr="00E44667">
        <w:rPr>
          <w:b/>
        </w:rPr>
        <w:t>r</w:t>
      </w:r>
      <w:r w:rsidRPr="00314E01">
        <w:rPr>
          <w:b/>
        </w:rPr>
        <w:t>eferred to:</w:t>
      </w:r>
      <w:r w:rsidR="00BD0E9E" w:rsidRPr="00BD0E9E">
        <w:t xml:space="preserve"> </w:t>
      </w:r>
      <w:r w:rsidR="00637461" w:rsidRPr="00EE2996">
        <w:rPr>
          <w:i/>
        </w:rPr>
        <w:t>H</w:t>
      </w:r>
      <w:r w:rsidR="00637461" w:rsidRPr="00EE2996">
        <w:rPr>
          <w:i/>
          <w:iCs/>
        </w:rPr>
        <w:t>ousen v. Nikolaisen</w:t>
      </w:r>
      <w:r w:rsidR="00637461" w:rsidRPr="00EE2996">
        <w:t>, 2002 SCC 33, [2002] 2 S.C.R. 235</w:t>
      </w:r>
      <w:r w:rsidR="00637461">
        <w:t xml:space="preserve">; </w:t>
      </w:r>
      <w:r w:rsidR="00637461" w:rsidRPr="00EE2996">
        <w:rPr>
          <w:i/>
        </w:rPr>
        <w:t>Ward</w:t>
      </w:r>
      <w:r w:rsidR="00356E0A">
        <w:rPr>
          <w:i/>
        </w:rPr>
        <w:t xml:space="preserve"> </w:t>
      </w:r>
      <w:r w:rsidR="00637461" w:rsidRPr="00EE2996">
        <w:rPr>
          <w:i/>
          <w:iCs/>
        </w:rPr>
        <w:t>v.</w:t>
      </w:r>
      <w:r w:rsidR="00356E0A">
        <w:rPr>
          <w:i/>
          <w:iCs/>
        </w:rPr>
        <w:t xml:space="preserve"> </w:t>
      </w:r>
      <w:r w:rsidR="00637461" w:rsidRPr="00EE2996">
        <w:rPr>
          <w:i/>
        </w:rPr>
        <w:t>Quebec (Commission des droits de la personne et des droits de la jeunesse</w:t>
      </w:r>
      <w:r w:rsidR="00637461" w:rsidRPr="00EE2996">
        <w:t>), 2021 SCC 43</w:t>
      </w:r>
      <w:r w:rsidR="00637461">
        <w:t xml:space="preserve">; </w:t>
      </w:r>
      <w:r w:rsidR="006C47D6" w:rsidRPr="00EE2996">
        <w:rPr>
          <w:i/>
        </w:rPr>
        <w:t>Toronto (City) v. C.U.P.E., Local 79</w:t>
      </w:r>
      <w:r w:rsidR="006C47D6" w:rsidRPr="00EE2996">
        <w:t>, 2003 SCC 63, [2003] 3 S.C.R. 77</w:t>
      </w:r>
      <w:r w:rsidR="006C47D6">
        <w:t xml:space="preserve">; </w:t>
      </w:r>
      <w:proofErr w:type="spellStart"/>
      <w:r w:rsidR="00573C75" w:rsidRPr="00EE2996">
        <w:rPr>
          <w:i/>
        </w:rPr>
        <w:t>Behn</w:t>
      </w:r>
      <w:proofErr w:type="spellEnd"/>
      <w:r w:rsidR="00573C75" w:rsidRPr="00EE2996">
        <w:rPr>
          <w:i/>
        </w:rPr>
        <w:t xml:space="preserve"> v. Moulton Contracting Ltd</w:t>
      </w:r>
      <w:r w:rsidR="00573C75" w:rsidRPr="00471119">
        <w:rPr>
          <w:i/>
        </w:rPr>
        <w:t>.</w:t>
      </w:r>
      <w:r w:rsidR="00573C75" w:rsidRPr="00EE2996">
        <w:t>, 2013 SCC 26, [2013] 2 S.C.R. 227</w:t>
      </w:r>
      <w:r w:rsidR="00573C75">
        <w:t>;</w:t>
      </w:r>
      <w:r w:rsidR="0081016A">
        <w:t xml:space="preserve"> </w:t>
      </w:r>
      <w:r w:rsidR="0081016A" w:rsidRPr="00EE2996">
        <w:rPr>
          <w:i/>
        </w:rPr>
        <w:t>R. v. Power</w:t>
      </w:r>
      <w:r w:rsidR="0081016A" w:rsidRPr="00EE2996">
        <w:t>, [1994] 1 S.C.R. 601</w:t>
      </w:r>
      <w:r w:rsidR="0081016A">
        <w:t xml:space="preserve">; </w:t>
      </w:r>
      <w:r w:rsidR="00B9727E" w:rsidRPr="00EE2996">
        <w:rPr>
          <w:i/>
        </w:rPr>
        <w:t xml:space="preserve">R. v. </w:t>
      </w:r>
      <w:proofErr w:type="spellStart"/>
      <w:r w:rsidR="00B9727E" w:rsidRPr="000926B6">
        <w:rPr>
          <w:i/>
        </w:rPr>
        <w:t>Jewitt</w:t>
      </w:r>
      <w:proofErr w:type="spellEnd"/>
      <w:r w:rsidR="00B9727E" w:rsidRPr="000926B6">
        <w:t>,</w:t>
      </w:r>
      <w:r w:rsidR="00B9727E" w:rsidRPr="000926B6">
        <w:rPr>
          <w:i/>
        </w:rPr>
        <w:t xml:space="preserve"> </w:t>
      </w:r>
      <w:r w:rsidR="00B9727E" w:rsidRPr="000926B6">
        <w:t>[</w:t>
      </w:r>
      <w:r w:rsidR="00B9727E" w:rsidRPr="00EE2996">
        <w:t>1985] 2 S.C.R. 128</w:t>
      </w:r>
      <w:r w:rsidR="00B9727E" w:rsidRPr="006C2FE2">
        <w:t xml:space="preserve">; </w:t>
      </w:r>
      <w:r w:rsidR="00DD1330" w:rsidRPr="006C2FE2">
        <w:rPr>
          <w:i/>
        </w:rPr>
        <w:t xml:space="preserve">R. v. Young </w:t>
      </w:r>
      <w:r w:rsidR="00DD1330" w:rsidRPr="006C2FE2">
        <w:t>(1984), 40 C.R. (3d) 289;</w:t>
      </w:r>
      <w:r w:rsidR="002724A8">
        <w:t xml:space="preserve"> </w:t>
      </w:r>
      <w:r w:rsidR="00D64BDC" w:rsidRPr="00EE2996">
        <w:rPr>
          <w:i/>
        </w:rPr>
        <w:t xml:space="preserve">R. v. </w:t>
      </w:r>
      <w:proofErr w:type="spellStart"/>
      <w:r w:rsidR="00D64BDC" w:rsidRPr="00EE2996">
        <w:rPr>
          <w:i/>
        </w:rPr>
        <w:t>Cawthorne</w:t>
      </w:r>
      <w:proofErr w:type="spellEnd"/>
      <w:r w:rsidR="00D64BDC" w:rsidRPr="00EE2996">
        <w:t>, 2016 SCC 32, [2016] 1 S.C.R. 983</w:t>
      </w:r>
      <w:r w:rsidR="00D64BDC">
        <w:t xml:space="preserve">; </w:t>
      </w:r>
      <w:r w:rsidR="00D64BDC" w:rsidRPr="00EE2996">
        <w:rPr>
          <w:i/>
        </w:rPr>
        <w:t>R. v. O’Connor</w:t>
      </w:r>
      <w:r w:rsidR="00D64BDC" w:rsidRPr="00EE2996">
        <w:t>, [1995] 4 S.C.R. 411</w:t>
      </w:r>
      <w:r w:rsidR="00D64BDC">
        <w:t xml:space="preserve">; </w:t>
      </w:r>
      <w:proofErr w:type="spellStart"/>
      <w:r w:rsidR="00D64BDC" w:rsidRPr="00EE2996">
        <w:rPr>
          <w:i/>
          <w:iCs/>
        </w:rPr>
        <w:t>Canam</w:t>
      </w:r>
      <w:proofErr w:type="spellEnd"/>
      <w:r w:rsidR="00D64BDC" w:rsidRPr="00EE2996">
        <w:rPr>
          <w:i/>
          <w:iCs/>
        </w:rPr>
        <w:t xml:space="preserve"> Enterprises Inc. v. Coles</w:t>
      </w:r>
      <w:r w:rsidR="00D64BDC">
        <w:rPr>
          <w:i/>
          <w:iCs/>
        </w:rPr>
        <w:t xml:space="preserve"> </w:t>
      </w:r>
      <w:r w:rsidR="00D64BDC">
        <w:rPr>
          <w:iCs/>
        </w:rPr>
        <w:t>(2000)</w:t>
      </w:r>
      <w:r w:rsidR="00D64BDC">
        <w:rPr>
          <w:rStyle w:val="reflex3-block"/>
        </w:rPr>
        <w:t xml:space="preserve">, </w:t>
      </w:r>
      <w:r w:rsidR="00D64BDC" w:rsidRPr="006C2FE2">
        <w:rPr>
          <w:rStyle w:val="reflex3-block"/>
        </w:rPr>
        <w:t>51 O.R. (3d) 481</w:t>
      </w:r>
      <w:r w:rsidR="00D64BDC">
        <w:rPr>
          <w:rStyle w:val="reflex3-block"/>
        </w:rPr>
        <w:t xml:space="preserve">, </w:t>
      </w:r>
      <w:proofErr w:type="spellStart"/>
      <w:r w:rsidR="00D64BDC" w:rsidRPr="00EE2996">
        <w:t>rev’d</w:t>
      </w:r>
      <w:proofErr w:type="spellEnd"/>
      <w:r w:rsidR="00D64BDC" w:rsidRPr="00EE2996">
        <w:t xml:space="preserve"> </w:t>
      </w:r>
      <w:r w:rsidR="00D64BDC" w:rsidRPr="00EE2996">
        <w:rPr>
          <w:rStyle w:val="reflex3-block"/>
        </w:rPr>
        <w:t>2002 SCC 63, [2002] 3 S.C.R. 307</w:t>
      </w:r>
      <w:r w:rsidR="00D64BDC">
        <w:rPr>
          <w:rStyle w:val="reflex3-block"/>
        </w:rPr>
        <w:t xml:space="preserve">; </w:t>
      </w:r>
      <w:r w:rsidR="002724A8" w:rsidRPr="00EE2996">
        <w:rPr>
          <w:i/>
        </w:rPr>
        <w:t>R. v. Conway</w:t>
      </w:r>
      <w:r w:rsidR="002724A8" w:rsidRPr="00EE2996">
        <w:t>, [1989] 1 S.C.R. 1659</w:t>
      </w:r>
      <w:r w:rsidR="002724A8">
        <w:t xml:space="preserve">; </w:t>
      </w:r>
      <w:r w:rsidR="00655EAF" w:rsidRPr="00EE2996">
        <w:rPr>
          <w:i/>
        </w:rPr>
        <w:t>R. v. Scott</w:t>
      </w:r>
      <w:r w:rsidR="00655EAF" w:rsidRPr="00EE2996">
        <w:t>, [1990] 3 S.C.R. 979</w:t>
      </w:r>
      <w:r w:rsidR="00655EAF">
        <w:t xml:space="preserve">; </w:t>
      </w:r>
      <w:r w:rsidR="009A0930" w:rsidRPr="00EE2996">
        <w:rPr>
          <w:i/>
        </w:rPr>
        <w:t>British Columbia (Workers</w:t>
      </w:r>
      <w:r w:rsidR="009A0930">
        <w:rPr>
          <w:i/>
        </w:rPr>
        <w:t>’</w:t>
      </w:r>
      <w:r w:rsidR="009A0930" w:rsidRPr="00EE2996">
        <w:rPr>
          <w:i/>
        </w:rPr>
        <w:t xml:space="preserve"> Compensation Board) v. </w:t>
      </w:r>
      <w:proofErr w:type="spellStart"/>
      <w:r w:rsidR="009A0930" w:rsidRPr="00EE2996">
        <w:rPr>
          <w:i/>
        </w:rPr>
        <w:t>Figliola</w:t>
      </w:r>
      <w:proofErr w:type="spellEnd"/>
      <w:r w:rsidR="009A0930" w:rsidRPr="00EE2996">
        <w:t>, 2011 SCC 52, [</w:t>
      </w:r>
      <w:r w:rsidR="009A0930">
        <w:t>2011</w:t>
      </w:r>
      <w:r w:rsidR="009A0930" w:rsidRPr="00EE2996">
        <w:t>]</w:t>
      </w:r>
      <w:r w:rsidR="009A0930">
        <w:t xml:space="preserve"> 3 S.C.R. 422; </w:t>
      </w:r>
      <w:proofErr w:type="spellStart"/>
      <w:r w:rsidR="009A0930" w:rsidRPr="00EE2996">
        <w:rPr>
          <w:i/>
        </w:rPr>
        <w:t>Danyluk</w:t>
      </w:r>
      <w:proofErr w:type="spellEnd"/>
      <w:r w:rsidR="009A0930" w:rsidRPr="00EE2996">
        <w:rPr>
          <w:i/>
        </w:rPr>
        <w:t xml:space="preserve"> v. Ainsworth </w:t>
      </w:r>
      <w:r w:rsidR="009A0930" w:rsidRPr="000926B6">
        <w:rPr>
          <w:i/>
        </w:rPr>
        <w:t>Technologies Inc.</w:t>
      </w:r>
      <w:r w:rsidR="009A0930" w:rsidRPr="000926B6">
        <w:t>, 2001</w:t>
      </w:r>
      <w:r w:rsidR="009A0930" w:rsidRPr="00EE2996">
        <w:t xml:space="preserve"> SCC 44,</w:t>
      </w:r>
      <w:r w:rsidR="009A0930">
        <w:t xml:space="preserve"> </w:t>
      </w:r>
      <w:r w:rsidR="009A0930" w:rsidRPr="00EE2996">
        <w:t>[</w:t>
      </w:r>
      <w:r w:rsidR="009A0930">
        <w:t>2001</w:t>
      </w:r>
      <w:r w:rsidR="009A0930" w:rsidRPr="00EE2996">
        <w:t>]</w:t>
      </w:r>
      <w:r w:rsidR="009A0930">
        <w:t xml:space="preserve"> 2 S.C.R. 460; </w:t>
      </w:r>
      <w:r w:rsidR="005A6968">
        <w:rPr>
          <w:i/>
        </w:rPr>
        <w:t xml:space="preserve">R. </w:t>
      </w:r>
      <w:r w:rsidR="001066FE" w:rsidRPr="00EE2996">
        <w:rPr>
          <w:i/>
          <w:iCs/>
        </w:rPr>
        <w:t>v.</w:t>
      </w:r>
      <w:r w:rsidR="005A6968">
        <w:rPr>
          <w:i/>
        </w:rPr>
        <w:t xml:space="preserve"> </w:t>
      </w:r>
      <w:r w:rsidR="001066FE" w:rsidRPr="00EE2996">
        <w:rPr>
          <w:i/>
        </w:rPr>
        <w:t>Jordan</w:t>
      </w:r>
      <w:r w:rsidR="00046936">
        <w:t xml:space="preserve">, 2016 SCC </w:t>
      </w:r>
      <w:r w:rsidR="001066FE" w:rsidRPr="00EE2996">
        <w:t>27</w:t>
      </w:r>
      <w:r w:rsidR="001066FE">
        <w:t xml:space="preserve">, </w:t>
      </w:r>
      <w:r w:rsidR="001066FE" w:rsidRPr="00EE2996">
        <w:t>[</w:t>
      </w:r>
      <w:r w:rsidR="001066FE">
        <w:t>2016</w:t>
      </w:r>
      <w:r w:rsidR="001066FE" w:rsidRPr="00EE2996">
        <w:t>]</w:t>
      </w:r>
      <w:r w:rsidR="001066FE">
        <w:t xml:space="preserve"> 1 S.C.R. 631;</w:t>
      </w:r>
      <w:r w:rsidR="00A96DF8">
        <w:t xml:space="preserve"> </w:t>
      </w:r>
      <w:r w:rsidR="00A96DF8" w:rsidRPr="00EE2996">
        <w:rPr>
          <w:i/>
        </w:rPr>
        <w:t>R. v. Wigglesworth</w:t>
      </w:r>
      <w:r w:rsidR="00A96DF8" w:rsidRPr="00EE2996">
        <w:t>, [1987] 2 S.C.R. 541</w:t>
      </w:r>
      <w:r w:rsidR="00A96DF8">
        <w:t xml:space="preserve">; </w:t>
      </w:r>
      <w:r w:rsidR="00CD65D0" w:rsidRPr="00EE2996">
        <w:rPr>
          <w:i/>
        </w:rPr>
        <w:t>Pharmascience Inc. v. Binet</w:t>
      </w:r>
      <w:r w:rsidR="00CD65D0" w:rsidRPr="00EE2996">
        <w:t>, 2006 SCC 48, [2006] 2 S.C.R. 513</w:t>
      </w:r>
      <w:r w:rsidR="00CD65D0">
        <w:t xml:space="preserve">; </w:t>
      </w:r>
      <w:r w:rsidR="00CD65D0" w:rsidRPr="009E1E3F">
        <w:rPr>
          <w:i/>
          <w:lang w:val="en-US"/>
        </w:rPr>
        <w:t>Finney v. Barreau du Québec</w:t>
      </w:r>
      <w:r w:rsidR="00CD65D0" w:rsidRPr="009E1E3F">
        <w:rPr>
          <w:lang w:val="en-US"/>
        </w:rPr>
        <w:t xml:space="preserve">, 2004 SCC 36, [2004] 2 S.C.R. 17; </w:t>
      </w:r>
      <w:r w:rsidR="00D3524C" w:rsidRPr="00EE2996">
        <w:rPr>
          <w:i/>
          <w:lang w:val="en-US"/>
        </w:rPr>
        <w:t>Fortin v. Chrétien</w:t>
      </w:r>
      <w:r w:rsidR="00D3524C" w:rsidRPr="00EE2996">
        <w:rPr>
          <w:lang w:val="en-US"/>
        </w:rPr>
        <w:t>, 2001 SCC 45, [2001] 2 S.C.R. 500</w:t>
      </w:r>
      <w:r w:rsidR="00D3524C">
        <w:rPr>
          <w:lang w:val="en-US"/>
        </w:rPr>
        <w:t xml:space="preserve">; </w:t>
      </w:r>
      <w:r w:rsidR="00EC6AD4" w:rsidRPr="00EE2996">
        <w:rPr>
          <w:i/>
        </w:rPr>
        <w:t>Pearlman v. Manitoba Law Society Judicial Committee</w:t>
      </w:r>
      <w:r w:rsidR="00EC6AD4" w:rsidRPr="00EE2996">
        <w:t>, [1991] 2 S.C.R. 869</w:t>
      </w:r>
      <w:r w:rsidR="00EC6AD4">
        <w:t xml:space="preserve">; </w:t>
      </w:r>
      <w:r w:rsidR="003F0911" w:rsidRPr="00EE2996">
        <w:rPr>
          <w:i/>
        </w:rPr>
        <w:t xml:space="preserve">Béliveau </w:t>
      </w:r>
      <w:r w:rsidR="003F0911">
        <w:rPr>
          <w:i/>
        </w:rPr>
        <w:t>v</w:t>
      </w:r>
      <w:r w:rsidR="003F0911" w:rsidRPr="00EE2996">
        <w:rPr>
          <w:i/>
        </w:rPr>
        <w:t>. Barreau du Québec</w:t>
      </w:r>
      <w:r w:rsidR="00B10250">
        <w:rPr>
          <w:i/>
        </w:rPr>
        <w:t xml:space="preserve"> </w:t>
      </w:r>
      <w:r w:rsidR="00B10250">
        <w:t>(1992)</w:t>
      </w:r>
      <w:r w:rsidR="003F0911" w:rsidRPr="00EE2996">
        <w:t xml:space="preserve">, </w:t>
      </w:r>
      <w:r w:rsidR="00134CFC">
        <w:t>101 D.L.R. 324</w:t>
      </w:r>
      <w:r w:rsidR="003F0911">
        <w:t>;</w:t>
      </w:r>
      <w:r w:rsidR="00EB0C35">
        <w:t xml:space="preserve"> </w:t>
      </w:r>
      <w:r w:rsidR="00EB0C35" w:rsidRPr="00EE2996">
        <w:rPr>
          <w:i/>
        </w:rPr>
        <w:t>Canada (Attorney General) v. Whaling</w:t>
      </w:r>
      <w:r w:rsidR="00EB0C35" w:rsidRPr="00EE2996">
        <w:t>, 2014 SCC 20, [2014] 1 S.C.R. 392</w:t>
      </w:r>
      <w:r w:rsidR="00EB0C35">
        <w:t xml:space="preserve">; </w:t>
      </w:r>
      <w:proofErr w:type="spellStart"/>
      <w:r w:rsidR="001F06DD" w:rsidRPr="00872C14">
        <w:rPr>
          <w:i/>
        </w:rPr>
        <w:t>Wachtler</w:t>
      </w:r>
      <w:proofErr w:type="spellEnd"/>
      <w:r w:rsidR="001F06DD" w:rsidRPr="00872C14">
        <w:rPr>
          <w:i/>
        </w:rPr>
        <w:t xml:space="preserve"> v. College of Physicians and Surgeons </w:t>
      </w:r>
      <w:r w:rsidR="00EF7CD3" w:rsidRPr="00872C14">
        <w:rPr>
          <w:i/>
        </w:rPr>
        <w:t>(</w:t>
      </w:r>
      <w:r w:rsidR="00860184">
        <w:rPr>
          <w:i/>
        </w:rPr>
        <w:t>Al</w:t>
      </w:r>
      <w:r w:rsidR="001F06DD" w:rsidRPr="00872C14">
        <w:rPr>
          <w:i/>
        </w:rPr>
        <w:t>ta</w:t>
      </w:r>
      <w:r w:rsidR="00860184">
        <w:rPr>
          <w:i/>
        </w:rPr>
        <w:t>.</w:t>
      </w:r>
      <w:r w:rsidR="00EF7CD3">
        <w:rPr>
          <w:i/>
        </w:rPr>
        <w:t>)</w:t>
      </w:r>
      <w:r w:rsidR="001F06DD" w:rsidRPr="00EE2996">
        <w:t xml:space="preserve">, 2009 ABCA 130, </w:t>
      </w:r>
      <w:r w:rsidR="00C73D96">
        <w:t xml:space="preserve">448 A.R. </w:t>
      </w:r>
      <w:r w:rsidR="00C73D96">
        <w:lastRenderedPageBreak/>
        <w:t>317</w:t>
      </w:r>
      <w:r w:rsidR="001F06DD">
        <w:t xml:space="preserve">; </w:t>
      </w:r>
      <w:r w:rsidR="00DE3719" w:rsidRPr="00EE2996">
        <w:rPr>
          <w:i/>
        </w:rPr>
        <w:t>Irvine v. Canada (Restrictive Trade Practices Commission)</w:t>
      </w:r>
      <w:r w:rsidR="00DE3719" w:rsidRPr="00EE2996">
        <w:t>, [1987] 1 S.C.R. 1</w:t>
      </w:r>
      <w:r w:rsidR="00BA146A">
        <w:t>81</w:t>
      </w:r>
      <w:r w:rsidR="00DE3719">
        <w:t xml:space="preserve">; </w:t>
      </w:r>
      <w:r w:rsidR="001924EA" w:rsidRPr="00EE2996">
        <w:rPr>
          <w:i/>
        </w:rPr>
        <w:t xml:space="preserve">Syndicat des </w:t>
      </w:r>
      <w:r w:rsidR="00DC59C8">
        <w:rPr>
          <w:i/>
        </w:rPr>
        <w:t>e</w:t>
      </w:r>
      <w:r w:rsidR="001924EA" w:rsidRPr="00EE2996">
        <w:rPr>
          <w:i/>
        </w:rPr>
        <w:t xml:space="preserve">mployés de </w:t>
      </w:r>
      <w:r w:rsidR="00DC59C8">
        <w:rPr>
          <w:i/>
        </w:rPr>
        <w:t>p</w:t>
      </w:r>
      <w:r w:rsidR="001924EA" w:rsidRPr="00EE2996">
        <w:rPr>
          <w:i/>
        </w:rPr>
        <w:t>roduction d</w:t>
      </w:r>
      <w:r w:rsidR="001924EA">
        <w:rPr>
          <w:i/>
        </w:rPr>
        <w:t>u</w:t>
      </w:r>
      <w:r w:rsidR="001924EA" w:rsidRPr="00EE2996">
        <w:rPr>
          <w:i/>
        </w:rPr>
        <w:t xml:space="preserve"> Québec et </w:t>
      </w:r>
      <w:r w:rsidR="001924EA" w:rsidRPr="000926B6">
        <w:rPr>
          <w:i/>
        </w:rPr>
        <w:t>de</w:t>
      </w:r>
      <w:r w:rsidR="00065523" w:rsidRPr="000926B6">
        <w:rPr>
          <w:i/>
        </w:rPr>
        <w:t xml:space="preserve"> </w:t>
      </w:r>
      <w:proofErr w:type="spellStart"/>
      <w:r w:rsidR="00065523" w:rsidRPr="000926B6">
        <w:rPr>
          <w:i/>
        </w:rPr>
        <w:t>l’</w:t>
      </w:r>
      <w:r w:rsidR="001924EA" w:rsidRPr="000926B6">
        <w:rPr>
          <w:i/>
        </w:rPr>
        <w:t>Acadie</w:t>
      </w:r>
      <w:proofErr w:type="spellEnd"/>
      <w:r w:rsidR="001924EA" w:rsidRPr="00EE2996">
        <w:rPr>
          <w:i/>
        </w:rPr>
        <w:t xml:space="preserve"> v. Canada (Canadian Human Rights Commission)</w:t>
      </w:r>
      <w:r w:rsidR="001924EA" w:rsidRPr="00EE2996">
        <w:t>, [1989] 2 S.C.R. 879</w:t>
      </w:r>
      <w:r w:rsidR="001924EA">
        <w:t xml:space="preserve">; </w:t>
      </w:r>
      <w:r w:rsidR="00142A98">
        <w:rPr>
          <w:i/>
        </w:rPr>
        <w:t>Diaz</w:t>
      </w:r>
      <w:r w:rsidR="00142A98">
        <w:rPr>
          <w:i/>
        </w:rPr>
        <w:noBreakHyphen/>
      </w:r>
      <w:r w:rsidR="00D101E4" w:rsidRPr="00EE2996">
        <w:rPr>
          <w:i/>
        </w:rPr>
        <w:t>Rodriguez v. British Columbia (Police Complaint Commissioner)</w:t>
      </w:r>
      <w:r w:rsidR="00D101E4" w:rsidRPr="00EE2996">
        <w:t xml:space="preserve">, 2020 BCCA 221, </w:t>
      </w:r>
      <w:r w:rsidR="00D101E4">
        <w:t xml:space="preserve">39 B.C.L.R. (6th) 87; </w:t>
      </w:r>
      <w:proofErr w:type="spellStart"/>
      <w:r w:rsidR="002407B5" w:rsidRPr="003228CC">
        <w:rPr>
          <w:i/>
        </w:rPr>
        <w:t>Camara</w:t>
      </w:r>
      <w:proofErr w:type="spellEnd"/>
      <w:r w:rsidR="002407B5" w:rsidRPr="003228CC">
        <w:rPr>
          <w:i/>
        </w:rPr>
        <w:t xml:space="preserve"> v. Canada</w:t>
      </w:r>
      <w:r w:rsidR="002407B5" w:rsidRPr="003228CC">
        <w:t>,</w:t>
      </w:r>
      <w:r w:rsidR="002407B5" w:rsidRPr="00294E1B">
        <w:t xml:space="preserve"> 2015 FCA 43, </w:t>
      </w:r>
      <w:r w:rsidR="00294E1B">
        <w:t>91 Admin. L.R. (5th) 13</w:t>
      </w:r>
      <w:r w:rsidR="002407B5">
        <w:t xml:space="preserve">; </w:t>
      </w:r>
      <w:proofErr w:type="spellStart"/>
      <w:r w:rsidR="007D1515" w:rsidRPr="00EE2996">
        <w:rPr>
          <w:i/>
          <w:shd w:val="clear" w:color="auto" w:fill="FFFFFF"/>
        </w:rPr>
        <w:t>Hennig</w:t>
      </w:r>
      <w:proofErr w:type="spellEnd"/>
      <w:r w:rsidR="007D1515" w:rsidRPr="00EE2996">
        <w:rPr>
          <w:i/>
          <w:shd w:val="clear" w:color="auto" w:fill="FFFFFF"/>
        </w:rPr>
        <w:t xml:space="preserve"> v. Institute of Chartered Accountants</w:t>
      </w:r>
      <w:r w:rsidR="003228CC">
        <w:rPr>
          <w:i/>
          <w:shd w:val="clear" w:color="auto" w:fill="FFFFFF"/>
        </w:rPr>
        <w:t xml:space="preserve"> (Alta</w:t>
      </w:r>
      <w:r w:rsidR="000F74A7">
        <w:rPr>
          <w:i/>
          <w:shd w:val="clear" w:color="auto" w:fill="FFFFFF"/>
        </w:rPr>
        <w:t>.</w:t>
      </w:r>
      <w:r w:rsidR="003228CC">
        <w:rPr>
          <w:i/>
          <w:shd w:val="clear" w:color="auto" w:fill="FFFFFF"/>
        </w:rPr>
        <w:t>)</w:t>
      </w:r>
      <w:r w:rsidR="000A3A7F">
        <w:rPr>
          <w:shd w:val="clear" w:color="auto" w:fill="FFFFFF"/>
        </w:rPr>
        <w:t xml:space="preserve">, </w:t>
      </w:r>
      <w:r w:rsidR="007D1515" w:rsidRPr="00EE2996">
        <w:rPr>
          <w:shd w:val="clear" w:color="auto" w:fill="FFFFFF"/>
        </w:rPr>
        <w:t>2008 ABCA 241</w:t>
      </w:r>
      <w:r w:rsidR="003228CC">
        <w:rPr>
          <w:shd w:val="clear" w:color="auto" w:fill="FFFFFF"/>
        </w:rPr>
        <w:t>, 433 A.R. 221</w:t>
      </w:r>
      <w:r w:rsidR="007D1515">
        <w:rPr>
          <w:shd w:val="clear" w:color="auto" w:fill="FFFFFF"/>
        </w:rPr>
        <w:t>;</w:t>
      </w:r>
      <w:r w:rsidR="003575DA">
        <w:rPr>
          <w:shd w:val="clear" w:color="auto" w:fill="FFFFFF"/>
        </w:rPr>
        <w:t xml:space="preserve"> </w:t>
      </w:r>
      <w:r w:rsidR="00C50A36" w:rsidRPr="00EE2996">
        <w:rPr>
          <w:i/>
        </w:rPr>
        <w:t>Brown v. Assn. of Professional Engineers and Geoscientists of British Columbia</w:t>
      </w:r>
      <w:r w:rsidR="003F4E8F">
        <w:t>, [1994] B.C.J. No. </w:t>
      </w:r>
      <w:r w:rsidR="00C50A36" w:rsidRPr="00EE2996">
        <w:t>2037</w:t>
      </w:r>
      <w:r w:rsidR="00065523">
        <w:t xml:space="preserve"> </w:t>
      </w:r>
      <w:r w:rsidR="00065523" w:rsidRPr="000926B6">
        <w:t>(QL)</w:t>
      </w:r>
      <w:r w:rsidR="00C50A36" w:rsidRPr="000926B6">
        <w:t>, 1994 CarswellBC 2980</w:t>
      </w:r>
      <w:r w:rsidR="00065523" w:rsidRPr="000926B6">
        <w:t xml:space="preserve"> (WL)</w:t>
      </w:r>
      <w:r w:rsidR="00C50A36" w:rsidRPr="000926B6">
        <w:t>;</w:t>
      </w:r>
      <w:r w:rsidR="00C50A36" w:rsidRPr="00EE2996">
        <w:t xml:space="preserve"> </w:t>
      </w:r>
      <w:r w:rsidR="003575DA" w:rsidRPr="00EE2996">
        <w:rPr>
          <w:i/>
        </w:rPr>
        <w:t xml:space="preserve">Stefani v. College Of Dental Surgeons </w:t>
      </w:r>
      <w:r w:rsidR="003575DA">
        <w:rPr>
          <w:i/>
        </w:rPr>
        <w:t>(</w:t>
      </w:r>
      <w:r w:rsidR="003575DA" w:rsidRPr="00EE2996">
        <w:rPr>
          <w:i/>
        </w:rPr>
        <w:t>B</w:t>
      </w:r>
      <w:r w:rsidR="003575DA">
        <w:rPr>
          <w:i/>
        </w:rPr>
        <w:t xml:space="preserve">ritish </w:t>
      </w:r>
      <w:r w:rsidR="003575DA" w:rsidRPr="00EE2996">
        <w:rPr>
          <w:i/>
        </w:rPr>
        <w:t>C</w:t>
      </w:r>
      <w:r w:rsidR="003575DA">
        <w:rPr>
          <w:i/>
        </w:rPr>
        <w:t>olumbia)</w:t>
      </w:r>
      <w:r w:rsidR="003575DA" w:rsidRPr="00EE2996">
        <w:t xml:space="preserve"> </w:t>
      </w:r>
      <w:r w:rsidR="003575DA">
        <w:t>(</w:t>
      </w:r>
      <w:r w:rsidR="003575DA" w:rsidRPr="00EE2996">
        <w:t>1996</w:t>
      </w:r>
      <w:r w:rsidR="003575DA">
        <w:t>),</w:t>
      </w:r>
      <w:r w:rsidR="003575DA" w:rsidRPr="00EE2996">
        <w:t xml:space="preserve"> </w:t>
      </w:r>
      <w:r w:rsidR="003575DA">
        <w:t xml:space="preserve">27 B.C.L.R. (3d) 34; </w:t>
      </w:r>
      <w:r w:rsidR="008603E1" w:rsidRPr="00EE2996">
        <w:rPr>
          <w:i/>
        </w:rPr>
        <w:t>Financial and Consumer Services Commission v. Emond</w:t>
      </w:r>
      <w:r w:rsidR="008603E1" w:rsidRPr="00EE2996">
        <w:t>, 2020 NBCA 42</w:t>
      </w:r>
      <w:r w:rsidR="008603E1">
        <w:t xml:space="preserve">; </w:t>
      </w:r>
      <w:r w:rsidR="0038339F" w:rsidRPr="00EE2996">
        <w:rPr>
          <w:i/>
        </w:rPr>
        <w:t>R. v. Regan</w:t>
      </w:r>
      <w:r w:rsidR="0038339F" w:rsidRPr="003A785E">
        <w:t>,</w:t>
      </w:r>
      <w:r w:rsidR="0038339F" w:rsidRPr="00EE2996">
        <w:rPr>
          <w:i/>
        </w:rPr>
        <w:t xml:space="preserve"> </w:t>
      </w:r>
      <w:r w:rsidR="0038339F" w:rsidRPr="00EE2996">
        <w:t>2002 SCC 12, [2002] 1 S.C.R. 297</w:t>
      </w:r>
      <w:r w:rsidR="0038339F">
        <w:t xml:space="preserve">; </w:t>
      </w:r>
      <w:r w:rsidR="0038339F" w:rsidRPr="00EE2996">
        <w:rPr>
          <w:i/>
          <w:szCs w:val="24"/>
        </w:rPr>
        <w:t>Robertson v. British Columbia (Commissioner,</w:t>
      </w:r>
      <w:r w:rsidR="0038339F">
        <w:rPr>
          <w:i/>
          <w:szCs w:val="24"/>
        </w:rPr>
        <w:t xml:space="preserve"> </w:t>
      </w:r>
      <w:r w:rsidR="0038339F" w:rsidRPr="00EE2996">
        <w:rPr>
          <w:i/>
          <w:szCs w:val="24"/>
        </w:rPr>
        <w:t>Teachers Act)</w:t>
      </w:r>
      <w:r w:rsidR="0038339F" w:rsidRPr="00EE2996">
        <w:rPr>
          <w:szCs w:val="24"/>
        </w:rPr>
        <w:t xml:space="preserve">, 2014 BCCA 331, </w:t>
      </w:r>
      <w:r w:rsidR="0038339F">
        <w:rPr>
          <w:szCs w:val="24"/>
        </w:rPr>
        <w:t xml:space="preserve">64 B.C.L.R. (5th) 258; </w:t>
      </w:r>
      <w:r w:rsidR="00C51F0F" w:rsidRPr="00EE2996">
        <w:rPr>
          <w:i/>
          <w:szCs w:val="24"/>
        </w:rPr>
        <w:t xml:space="preserve">R. (J.) v. College of Psychologists </w:t>
      </w:r>
      <w:r w:rsidR="00C51F0F">
        <w:rPr>
          <w:i/>
          <w:szCs w:val="24"/>
        </w:rPr>
        <w:t>(</w:t>
      </w:r>
      <w:r w:rsidR="00C51F0F" w:rsidRPr="00EE2996">
        <w:rPr>
          <w:i/>
          <w:szCs w:val="24"/>
        </w:rPr>
        <w:t>British Columbia</w:t>
      </w:r>
      <w:r w:rsidR="00C51F0F">
        <w:rPr>
          <w:i/>
          <w:szCs w:val="24"/>
        </w:rPr>
        <w:t>)</w:t>
      </w:r>
      <w:r w:rsidR="00793EC1">
        <w:rPr>
          <w:i/>
          <w:szCs w:val="24"/>
        </w:rPr>
        <w:t xml:space="preserve"> </w:t>
      </w:r>
      <w:r w:rsidR="00793EC1">
        <w:rPr>
          <w:szCs w:val="24"/>
        </w:rPr>
        <w:t>(1995)</w:t>
      </w:r>
      <w:r w:rsidR="00C51F0F" w:rsidRPr="00EE2996">
        <w:rPr>
          <w:szCs w:val="24"/>
        </w:rPr>
        <w:t xml:space="preserve">, </w:t>
      </w:r>
      <w:r w:rsidR="00C51F0F">
        <w:rPr>
          <w:szCs w:val="24"/>
        </w:rPr>
        <w:t xml:space="preserve">33 Admin. L.R. (2d) 174; </w:t>
      </w:r>
      <w:r w:rsidR="00186C77" w:rsidRPr="00EE2996">
        <w:rPr>
          <w:i/>
        </w:rPr>
        <w:t>Adams v. Law Society of Alberta</w:t>
      </w:r>
      <w:r w:rsidR="00186C77" w:rsidRPr="00EE2996">
        <w:t xml:space="preserve">, 2000 ABCA 240, </w:t>
      </w:r>
      <w:r w:rsidR="00186C77">
        <w:t xml:space="preserve">266 A.R. 157; </w:t>
      </w:r>
      <w:proofErr w:type="spellStart"/>
      <w:r w:rsidR="00142A98">
        <w:rPr>
          <w:i/>
        </w:rPr>
        <w:t>Benhaim</w:t>
      </w:r>
      <w:proofErr w:type="spellEnd"/>
      <w:r w:rsidR="00142A98">
        <w:rPr>
          <w:i/>
        </w:rPr>
        <w:t xml:space="preserve"> v. St</w:t>
      </w:r>
      <w:r w:rsidR="00142A98">
        <w:rPr>
          <w:i/>
        </w:rPr>
        <w:noBreakHyphen/>
      </w:r>
      <w:r w:rsidR="00A3031B" w:rsidRPr="00EE2996">
        <w:rPr>
          <w:i/>
        </w:rPr>
        <w:t>Germain</w:t>
      </w:r>
      <w:r w:rsidR="00A3031B" w:rsidRPr="00EE2996">
        <w:t>, 2016 SCC 48, [2016] 2 S.C.R. 352</w:t>
      </w:r>
      <w:r w:rsidR="00A3031B">
        <w:t>;</w:t>
      </w:r>
      <w:r w:rsidR="003303C8">
        <w:t xml:space="preserve"> </w:t>
      </w:r>
      <w:r w:rsidR="00142A98">
        <w:rPr>
          <w:i/>
        </w:rPr>
        <w:t>Hydro</w:t>
      </w:r>
      <w:r w:rsidR="00142A98">
        <w:rPr>
          <w:i/>
        </w:rPr>
        <w:noBreakHyphen/>
      </w:r>
      <w:r w:rsidR="003303C8" w:rsidRPr="00EE2996">
        <w:rPr>
          <w:i/>
        </w:rPr>
        <w:t>Québec v. Matta</w:t>
      </w:r>
      <w:r w:rsidR="003303C8" w:rsidRPr="00EE2996">
        <w:t>, 2020 SCC 37</w:t>
      </w:r>
      <w:r w:rsidR="003303C8">
        <w:t xml:space="preserve">; </w:t>
      </w:r>
      <w:r w:rsidR="0031650B" w:rsidRPr="00EE2996">
        <w:rPr>
          <w:i/>
        </w:rPr>
        <w:t>H.L. v. Canada (Attorney General)</w:t>
      </w:r>
      <w:r w:rsidR="0031650B" w:rsidRPr="00EE2996">
        <w:t>, 2005 SCC 25, [2005] 1 S.C.R. 401</w:t>
      </w:r>
      <w:r w:rsidR="0031650B">
        <w:t xml:space="preserve">; </w:t>
      </w:r>
      <w:r w:rsidR="003F4E8F">
        <w:rPr>
          <w:i/>
        </w:rPr>
        <w:t>Salomon v. Matte</w:t>
      </w:r>
      <w:r w:rsidR="003F4E8F">
        <w:rPr>
          <w:i/>
        </w:rPr>
        <w:noBreakHyphen/>
      </w:r>
      <w:r w:rsidR="00C779CC" w:rsidRPr="00EE2996">
        <w:rPr>
          <w:i/>
        </w:rPr>
        <w:t>Thompson</w:t>
      </w:r>
      <w:r w:rsidR="00C779CC" w:rsidRPr="00EE2996">
        <w:t>, 2019 SCC 14, [2019] 1 S.C.R. 729</w:t>
      </w:r>
      <w:r w:rsidR="00242DFB">
        <w:t>.</w:t>
      </w:r>
    </w:p>
    <w:p w14:paraId="1786E14B" w14:textId="54A45DE0" w:rsidR="00FD7C76" w:rsidRDefault="00FD7C76" w:rsidP="00142A98">
      <w:pPr>
        <w:pStyle w:val="SCCNormalDoubleSpacing"/>
        <w:widowControl w:val="0"/>
        <w:spacing w:after="720" w:line="240" w:lineRule="auto"/>
      </w:pPr>
      <w:r>
        <w:t>By Côté J. (dissenting)</w:t>
      </w:r>
    </w:p>
    <w:p w14:paraId="7F06A224" w14:textId="531DC23E" w:rsidR="00137EB6" w:rsidRDefault="00FD7C76" w:rsidP="00142A98">
      <w:pPr>
        <w:pStyle w:val="SCCNormalDoubleSpacing"/>
        <w:widowControl w:val="0"/>
        <w:spacing w:after="480"/>
      </w:pPr>
      <w:r>
        <w:tab/>
      </w:r>
      <w:r w:rsidR="00130574" w:rsidRPr="009E5E14">
        <w:rPr>
          <w:bCs/>
          <w:i/>
        </w:rPr>
        <w:t>Canada (Minister of Citizenship and Immigration)</w:t>
      </w:r>
      <w:r w:rsidR="00142A98">
        <w:rPr>
          <w:i/>
        </w:rPr>
        <w:t xml:space="preserve"> </w:t>
      </w:r>
      <w:r w:rsidR="00130574" w:rsidRPr="00E36C9A">
        <w:rPr>
          <w:i/>
          <w:iCs/>
        </w:rPr>
        <w:t>v.</w:t>
      </w:r>
      <w:r w:rsidR="00142A98">
        <w:rPr>
          <w:i/>
        </w:rPr>
        <w:t xml:space="preserve"> </w:t>
      </w:r>
      <w:r w:rsidR="00130574" w:rsidRPr="009E5E14">
        <w:rPr>
          <w:i/>
        </w:rPr>
        <w:t>Vavilov</w:t>
      </w:r>
      <w:r w:rsidR="00130574" w:rsidRPr="00E36C9A">
        <w:t>, 2019 SCC 65</w:t>
      </w:r>
      <w:r w:rsidR="00EA38F9">
        <w:t>, [2019] 4 S.C.R. 653</w:t>
      </w:r>
      <w:r w:rsidR="00130574">
        <w:t xml:space="preserve">; </w:t>
      </w:r>
      <w:r w:rsidR="00130574" w:rsidRPr="00E1061E">
        <w:rPr>
          <w:i/>
        </w:rPr>
        <w:t>Blencoe v. British Columbia (Human Rights Commission)</w:t>
      </w:r>
      <w:r w:rsidR="00130574" w:rsidRPr="00082653">
        <w:t xml:space="preserve">, </w:t>
      </w:r>
      <w:r w:rsidR="00130574" w:rsidRPr="00F22890">
        <w:t>2000 SCC 44</w:t>
      </w:r>
      <w:r w:rsidR="00130574">
        <w:t>,</w:t>
      </w:r>
      <w:r w:rsidR="00130574" w:rsidRPr="00F22890">
        <w:t xml:space="preserve"> </w:t>
      </w:r>
      <w:r w:rsidR="00130574" w:rsidRPr="00082653">
        <w:t>[2000] 2 S.C.R. 307</w:t>
      </w:r>
      <w:r w:rsidR="00130574">
        <w:t xml:space="preserve">; </w:t>
      </w:r>
      <w:proofErr w:type="spellStart"/>
      <w:r w:rsidR="00142A98">
        <w:rPr>
          <w:i/>
          <w:color w:val="000000"/>
        </w:rPr>
        <w:t>Behn</w:t>
      </w:r>
      <w:proofErr w:type="spellEnd"/>
      <w:r w:rsidR="00142A98">
        <w:rPr>
          <w:i/>
          <w:color w:val="000000"/>
        </w:rPr>
        <w:t xml:space="preserve"> </w:t>
      </w:r>
      <w:r w:rsidR="00223EA3" w:rsidRPr="001D7FBF">
        <w:rPr>
          <w:i/>
          <w:iCs/>
          <w:color w:val="000000"/>
        </w:rPr>
        <w:t>v.</w:t>
      </w:r>
      <w:r w:rsidR="00142A98">
        <w:rPr>
          <w:i/>
          <w:color w:val="000000"/>
        </w:rPr>
        <w:t xml:space="preserve"> </w:t>
      </w:r>
      <w:r w:rsidR="00223EA3" w:rsidRPr="001D7FBF">
        <w:rPr>
          <w:i/>
          <w:color w:val="000000"/>
        </w:rPr>
        <w:t>Moulton Contracting Ltd.</w:t>
      </w:r>
      <w:r w:rsidR="00223EA3" w:rsidRPr="001D7FBF">
        <w:rPr>
          <w:color w:val="000000"/>
        </w:rPr>
        <w:t>, 2013 SCC 26, [2013] 2 S.C.R. 227</w:t>
      </w:r>
      <w:r w:rsidR="00223EA3">
        <w:rPr>
          <w:color w:val="000000"/>
        </w:rPr>
        <w:t xml:space="preserve">; </w:t>
      </w:r>
      <w:r w:rsidR="00142A98">
        <w:rPr>
          <w:i/>
          <w:color w:val="000000"/>
        </w:rPr>
        <w:t xml:space="preserve">Toronto (City) </w:t>
      </w:r>
      <w:r w:rsidR="003F205B" w:rsidRPr="001D7FBF">
        <w:rPr>
          <w:i/>
          <w:iCs/>
          <w:color w:val="000000"/>
        </w:rPr>
        <w:t>v.</w:t>
      </w:r>
      <w:r w:rsidR="00142A98">
        <w:rPr>
          <w:i/>
          <w:color w:val="000000"/>
        </w:rPr>
        <w:t xml:space="preserve"> </w:t>
      </w:r>
      <w:r w:rsidR="003F205B" w:rsidRPr="001D7FBF">
        <w:rPr>
          <w:i/>
          <w:color w:val="000000"/>
        </w:rPr>
        <w:t>C.U.P.E., Local 79</w:t>
      </w:r>
      <w:r w:rsidR="003F205B" w:rsidRPr="001D7FBF">
        <w:rPr>
          <w:color w:val="000000"/>
        </w:rPr>
        <w:t>, 2003 SCC 63, [2003] 3 S.C.R. 77</w:t>
      </w:r>
      <w:r w:rsidR="003F205B">
        <w:rPr>
          <w:color w:val="000000"/>
        </w:rPr>
        <w:t xml:space="preserve">; </w:t>
      </w:r>
      <w:r w:rsidR="00142A98">
        <w:rPr>
          <w:i/>
        </w:rPr>
        <w:t xml:space="preserve">R. </w:t>
      </w:r>
      <w:r w:rsidR="005267D5" w:rsidRPr="00E834A5">
        <w:rPr>
          <w:i/>
          <w:iCs/>
        </w:rPr>
        <w:t>v</w:t>
      </w:r>
      <w:r w:rsidR="00142A98">
        <w:rPr>
          <w:i/>
        </w:rPr>
        <w:t xml:space="preserve">. </w:t>
      </w:r>
      <w:r w:rsidR="005267D5" w:rsidRPr="00E834A5">
        <w:rPr>
          <w:i/>
        </w:rPr>
        <w:t>Regan</w:t>
      </w:r>
      <w:r w:rsidR="005267D5" w:rsidRPr="00DF7B4F">
        <w:t>, 2002 SCC 12, [2002] 1 S.C.R. 297</w:t>
      </w:r>
      <w:r w:rsidR="005267D5">
        <w:t xml:space="preserve">; </w:t>
      </w:r>
      <w:r w:rsidR="00882401" w:rsidRPr="004B6E9A">
        <w:rPr>
          <w:i/>
          <w:iCs/>
          <w:color w:val="000000"/>
        </w:rPr>
        <w:t>R. v. O’Connor</w:t>
      </w:r>
      <w:r w:rsidR="00882401" w:rsidRPr="004B6E9A">
        <w:rPr>
          <w:color w:val="000000"/>
        </w:rPr>
        <w:t xml:space="preserve">, [1995] 4 </w:t>
      </w:r>
      <w:r w:rsidR="00882401" w:rsidRPr="004B6E9A">
        <w:rPr>
          <w:color w:val="000000"/>
        </w:rPr>
        <w:lastRenderedPageBreak/>
        <w:t>S.C.R. 411</w:t>
      </w:r>
      <w:r w:rsidR="00882401">
        <w:rPr>
          <w:color w:val="000000"/>
        </w:rPr>
        <w:t xml:space="preserve">; </w:t>
      </w:r>
      <w:r w:rsidR="003E23B5" w:rsidRPr="004B6E9A">
        <w:rPr>
          <w:i/>
          <w:color w:val="000000"/>
        </w:rPr>
        <w:t>Canad</w:t>
      </w:r>
      <w:r w:rsidR="00142A98">
        <w:rPr>
          <w:i/>
          <w:color w:val="000000"/>
        </w:rPr>
        <w:t xml:space="preserve">a (Citizenship and Immigration) </w:t>
      </w:r>
      <w:r w:rsidR="00142A98">
        <w:rPr>
          <w:i/>
          <w:iCs/>
          <w:color w:val="000000"/>
        </w:rPr>
        <w:t xml:space="preserve">v. </w:t>
      </w:r>
      <w:proofErr w:type="spellStart"/>
      <w:r w:rsidR="003E23B5" w:rsidRPr="004B6E9A">
        <w:rPr>
          <w:i/>
          <w:color w:val="000000"/>
        </w:rPr>
        <w:t>Harkat</w:t>
      </w:r>
      <w:proofErr w:type="spellEnd"/>
      <w:r w:rsidR="003E23B5" w:rsidRPr="004B6E9A">
        <w:rPr>
          <w:color w:val="000000"/>
        </w:rPr>
        <w:t>, 2014 SCC 37, [2014] 2 S.C.R. 33</w:t>
      </w:r>
      <w:r w:rsidR="003E23B5">
        <w:rPr>
          <w:color w:val="000000"/>
        </w:rPr>
        <w:t xml:space="preserve">; </w:t>
      </w:r>
      <w:r w:rsidR="002F0DC7" w:rsidRPr="00142A98">
        <w:rPr>
          <w:i/>
          <w:color w:val="000000"/>
        </w:rPr>
        <w:t>R.</w:t>
      </w:r>
      <w:r w:rsidR="00142A98" w:rsidRPr="00142A98">
        <w:rPr>
          <w:bCs/>
          <w:i/>
          <w:color w:val="000000"/>
        </w:rPr>
        <w:t xml:space="preserve"> </w:t>
      </w:r>
      <w:r w:rsidR="002F0DC7" w:rsidRPr="00142A98">
        <w:rPr>
          <w:i/>
          <w:iCs/>
          <w:color w:val="000000"/>
        </w:rPr>
        <w:t>v</w:t>
      </w:r>
      <w:r w:rsidR="002F0DC7" w:rsidRPr="004B6E9A">
        <w:rPr>
          <w:i/>
          <w:iCs/>
          <w:color w:val="000000"/>
        </w:rPr>
        <w:t>.</w:t>
      </w:r>
      <w:r w:rsidR="00142A98">
        <w:rPr>
          <w:i/>
          <w:color w:val="000000"/>
        </w:rPr>
        <w:t xml:space="preserve"> </w:t>
      </w:r>
      <w:r w:rsidR="002F0DC7" w:rsidRPr="004B6E9A">
        <w:rPr>
          <w:i/>
          <w:color w:val="000000"/>
        </w:rPr>
        <w:t>Nixon</w:t>
      </w:r>
      <w:r w:rsidR="002F0DC7" w:rsidRPr="004B6E9A">
        <w:rPr>
          <w:color w:val="000000"/>
        </w:rPr>
        <w:t>, 2011 SCC 34, [2011] 2 S.C.R. 566</w:t>
      </w:r>
      <w:r w:rsidR="002F0DC7">
        <w:rPr>
          <w:color w:val="000000"/>
        </w:rPr>
        <w:t xml:space="preserve">; </w:t>
      </w:r>
      <w:r w:rsidR="00142A98">
        <w:rPr>
          <w:i/>
          <w:color w:val="000000"/>
        </w:rPr>
        <w:t xml:space="preserve">R. </w:t>
      </w:r>
      <w:r w:rsidR="00314BDC" w:rsidRPr="004B6E9A">
        <w:rPr>
          <w:i/>
          <w:iCs/>
          <w:color w:val="000000"/>
        </w:rPr>
        <w:t>v.</w:t>
      </w:r>
      <w:r w:rsidR="00142A98">
        <w:rPr>
          <w:i/>
          <w:color w:val="000000"/>
        </w:rPr>
        <w:t xml:space="preserve"> </w:t>
      </w:r>
      <w:r w:rsidR="00314BDC" w:rsidRPr="004B6E9A">
        <w:rPr>
          <w:i/>
          <w:color w:val="000000"/>
        </w:rPr>
        <w:t>Anderson</w:t>
      </w:r>
      <w:r w:rsidR="00314BDC" w:rsidRPr="00E4000C">
        <w:rPr>
          <w:bCs/>
          <w:color w:val="000000"/>
        </w:rPr>
        <w:t>,</w:t>
      </w:r>
      <w:r w:rsidR="00142A98">
        <w:rPr>
          <w:color w:val="000000"/>
        </w:rPr>
        <w:t xml:space="preserve"> </w:t>
      </w:r>
      <w:r w:rsidR="00314BDC" w:rsidRPr="004B6E9A">
        <w:rPr>
          <w:color w:val="000000"/>
        </w:rPr>
        <w:t>2014 SCC 41, [2014] 2 S.C.R. 167</w:t>
      </w:r>
      <w:r w:rsidR="00314BDC">
        <w:rPr>
          <w:color w:val="000000"/>
        </w:rPr>
        <w:t xml:space="preserve">; </w:t>
      </w:r>
      <w:r w:rsidR="00142A98">
        <w:rPr>
          <w:i/>
        </w:rPr>
        <w:t xml:space="preserve">R. </w:t>
      </w:r>
      <w:r w:rsidR="007F2FC7" w:rsidRPr="004B6E9A">
        <w:rPr>
          <w:i/>
          <w:iCs/>
        </w:rPr>
        <w:t>v.</w:t>
      </w:r>
      <w:r w:rsidR="00142A98">
        <w:rPr>
          <w:i/>
        </w:rPr>
        <w:t xml:space="preserve"> </w:t>
      </w:r>
      <w:r w:rsidR="007F2FC7" w:rsidRPr="004B6E9A">
        <w:rPr>
          <w:i/>
        </w:rPr>
        <w:t>Babos</w:t>
      </w:r>
      <w:r w:rsidR="007F2FC7" w:rsidRPr="00F735EB">
        <w:t>, 2014 SCC 16, [2014] 1 S.C.R. 309</w:t>
      </w:r>
      <w:r w:rsidR="007F2FC7">
        <w:t xml:space="preserve">; </w:t>
      </w:r>
      <w:r w:rsidR="00142A98">
        <w:rPr>
          <w:i/>
          <w:color w:val="000000"/>
        </w:rPr>
        <w:t xml:space="preserve">United States of America </w:t>
      </w:r>
      <w:r w:rsidR="00CC5366" w:rsidRPr="004B6E9A">
        <w:rPr>
          <w:i/>
          <w:iCs/>
          <w:color w:val="000000"/>
        </w:rPr>
        <w:t>v</w:t>
      </w:r>
      <w:r w:rsidR="00CC5366" w:rsidRPr="004B6E9A">
        <w:rPr>
          <w:i/>
          <w:color w:val="000000"/>
        </w:rPr>
        <w:t>.</w:t>
      </w:r>
      <w:r w:rsidR="00142A98">
        <w:rPr>
          <w:i/>
          <w:color w:val="000000"/>
        </w:rPr>
        <w:t xml:space="preserve"> </w:t>
      </w:r>
      <w:r w:rsidR="00CC5366" w:rsidRPr="004B6E9A">
        <w:rPr>
          <w:i/>
          <w:color w:val="000000"/>
        </w:rPr>
        <w:t>Cobb</w:t>
      </w:r>
      <w:r w:rsidR="00CC5366" w:rsidRPr="004B6E9A">
        <w:rPr>
          <w:color w:val="000000"/>
        </w:rPr>
        <w:t>, 2001 SCC 19, [2001] 1 S.C.R. 587</w:t>
      </w:r>
      <w:r w:rsidR="00CC5366">
        <w:rPr>
          <w:color w:val="000000"/>
        </w:rPr>
        <w:t xml:space="preserve">; </w:t>
      </w:r>
      <w:r w:rsidR="00F20E68" w:rsidRPr="004B6E9A">
        <w:rPr>
          <w:i/>
          <w:iCs/>
          <w:color w:val="000000"/>
        </w:rPr>
        <w:t>R. v. Scott</w:t>
      </w:r>
      <w:r w:rsidR="00F20E68">
        <w:rPr>
          <w:color w:val="000000"/>
        </w:rPr>
        <w:t>, [1990] 3 S.C.R. 979;</w:t>
      </w:r>
      <w:r w:rsidR="00744123" w:rsidRPr="00744123">
        <w:rPr>
          <w:i/>
          <w:iCs/>
        </w:rPr>
        <w:t xml:space="preserve"> </w:t>
      </w:r>
      <w:r w:rsidR="00744123" w:rsidRPr="004B6E9A">
        <w:rPr>
          <w:i/>
          <w:iCs/>
        </w:rPr>
        <w:t>R. v. Power</w:t>
      </w:r>
      <w:r w:rsidR="00744123">
        <w:t xml:space="preserve">, [1994] 1 S.C.R. 601; </w:t>
      </w:r>
      <w:r w:rsidR="00142A98">
        <w:rPr>
          <w:i/>
          <w:color w:val="000000"/>
        </w:rPr>
        <w:t xml:space="preserve">R. </w:t>
      </w:r>
      <w:r w:rsidR="00F14B8E" w:rsidRPr="00F15E1F">
        <w:rPr>
          <w:i/>
          <w:iCs/>
          <w:color w:val="000000"/>
        </w:rPr>
        <w:t>v</w:t>
      </w:r>
      <w:r w:rsidR="00142A98">
        <w:rPr>
          <w:i/>
          <w:color w:val="000000"/>
        </w:rPr>
        <w:t xml:space="preserve">. </w:t>
      </w:r>
      <w:proofErr w:type="spellStart"/>
      <w:r w:rsidR="00F14B8E" w:rsidRPr="00F15E1F">
        <w:rPr>
          <w:i/>
          <w:color w:val="000000"/>
        </w:rPr>
        <w:t>Carosella</w:t>
      </w:r>
      <w:proofErr w:type="spellEnd"/>
      <w:r w:rsidR="00F14B8E">
        <w:rPr>
          <w:color w:val="000000"/>
        </w:rPr>
        <w:t xml:space="preserve">, [1997] 1 S.C.R. 80; </w:t>
      </w:r>
      <w:r w:rsidR="0089451E" w:rsidRPr="00F15E1F">
        <w:rPr>
          <w:i/>
          <w:color w:val="000000"/>
        </w:rPr>
        <w:t xml:space="preserve">Canada (Minister of Citizenship and </w:t>
      </w:r>
      <w:r w:rsidR="00142A98">
        <w:rPr>
          <w:i/>
          <w:color w:val="000000"/>
        </w:rPr>
        <w:t xml:space="preserve">Immigration) </w:t>
      </w:r>
      <w:r w:rsidR="0089451E" w:rsidRPr="00F15E1F">
        <w:rPr>
          <w:i/>
          <w:iCs/>
          <w:color w:val="000000"/>
        </w:rPr>
        <w:t>v</w:t>
      </w:r>
      <w:r w:rsidR="0089451E" w:rsidRPr="00F15E1F">
        <w:rPr>
          <w:i/>
          <w:color w:val="000000"/>
        </w:rPr>
        <w:t xml:space="preserve">. </w:t>
      </w:r>
      <w:proofErr w:type="spellStart"/>
      <w:r w:rsidR="0089451E" w:rsidRPr="00F15E1F">
        <w:rPr>
          <w:i/>
          <w:color w:val="000000"/>
        </w:rPr>
        <w:t>Tobiass</w:t>
      </w:r>
      <w:proofErr w:type="spellEnd"/>
      <w:r w:rsidR="0089451E">
        <w:rPr>
          <w:color w:val="000000"/>
        </w:rPr>
        <w:t xml:space="preserve">, [1997] 3 S.C.R. 391; </w:t>
      </w:r>
      <w:r w:rsidR="00142A98">
        <w:rPr>
          <w:i/>
          <w:color w:val="000000"/>
        </w:rPr>
        <w:t xml:space="preserve">R. </w:t>
      </w:r>
      <w:r w:rsidR="00142A98">
        <w:rPr>
          <w:i/>
          <w:iCs/>
          <w:color w:val="000000"/>
        </w:rPr>
        <w:t xml:space="preserve">v. </w:t>
      </w:r>
      <w:r w:rsidR="004A49D2" w:rsidRPr="00F15E1F">
        <w:rPr>
          <w:i/>
          <w:color w:val="000000"/>
        </w:rPr>
        <w:t>Nasogaluak</w:t>
      </w:r>
      <w:r w:rsidR="004A49D2">
        <w:rPr>
          <w:color w:val="000000"/>
        </w:rPr>
        <w:t xml:space="preserve">, 2010 SCC 6, [2010] 1 S.C.R. 206; </w:t>
      </w:r>
      <w:r w:rsidR="00266DFB">
        <w:rPr>
          <w:i/>
        </w:rPr>
        <w:t>R. v. Sullivan</w:t>
      </w:r>
      <w:r w:rsidR="00266DFB">
        <w:t xml:space="preserve">, 2022 SCC 19; </w:t>
      </w:r>
      <w:r w:rsidR="00472A18">
        <w:rPr>
          <w:i/>
          <w:szCs w:val="24"/>
        </w:rPr>
        <w:t xml:space="preserve">Ontario </w:t>
      </w:r>
      <w:r w:rsidR="001E0C64" w:rsidRPr="006E0091">
        <w:rPr>
          <w:i/>
          <w:iCs/>
          <w:szCs w:val="24"/>
        </w:rPr>
        <w:t>v.</w:t>
      </w:r>
      <w:r w:rsidR="00472A18">
        <w:rPr>
          <w:i/>
          <w:szCs w:val="24"/>
        </w:rPr>
        <w:t xml:space="preserve"> </w:t>
      </w:r>
      <w:r w:rsidR="001E0C64" w:rsidRPr="006E0091">
        <w:rPr>
          <w:i/>
          <w:szCs w:val="24"/>
        </w:rPr>
        <w:t>O.P.S.E.U.</w:t>
      </w:r>
      <w:r w:rsidR="001E0C64">
        <w:rPr>
          <w:szCs w:val="24"/>
        </w:rPr>
        <w:t>, 2003 SCC 64</w:t>
      </w:r>
      <w:r w:rsidR="001E0C64" w:rsidRPr="006E0091">
        <w:rPr>
          <w:szCs w:val="24"/>
        </w:rPr>
        <w:t>, [2003] 3 S.</w:t>
      </w:r>
      <w:r w:rsidR="001E0C64">
        <w:rPr>
          <w:szCs w:val="24"/>
        </w:rPr>
        <w:t xml:space="preserve">C.R. 149; </w:t>
      </w:r>
      <w:r w:rsidR="00243693" w:rsidRPr="00E4000C">
        <w:rPr>
          <w:i/>
          <w:szCs w:val="24"/>
        </w:rPr>
        <w:t>I.A.T.S.E., Stage Local 56 v. Société de la Place des Arts de Montréal</w:t>
      </w:r>
      <w:r w:rsidR="00243693" w:rsidRPr="00E4000C">
        <w:rPr>
          <w:szCs w:val="24"/>
        </w:rPr>
        <w:t>, 2004 SCC 2, [2004] 1 S.C.R. 43</w:t>
      </w:r>
      <w:r w:rsidR="00243693">
        <w:rPr>
          <w:szCs w:val="24"/>
        </w:rPr>
        <w:t xml:space="preserve">; </w:t>
      </w:r>
      <w:r w:rsidR="007C6E88" w:rsidRPr="00317FA0">
        <w:rPr>
          <w:i/>
        </w:rPr>
        <w:t xml:space="preserve">R. v. </w:t>
      </w:r>
      <w:proofErr w:type="spellStart"/>
      <w:r w:rsidR="007C6E88" w:rsidRPr="00317FA0">
        <w:rPr>
          <w:i/>
        </w:rPr>
        <w:t>Bjelland</w:t>
      </w:r>
      <w:proofErr w:type="spellEnd"/>
      <w:r w:rsidR="007C6E88" w:rsidRPr="00317FA0">
        <w:t>, 2009 SCC 38</w:t>
      </w:r>
      <w:r w:rsidR="007C6E88">
        <w:t xml:space="preserve">, </w:t>
      </w:r>
      <w:r w:rsidR="007C6E88">
        <w:rPr>
          <w:color w:val="000000"/>
        </w:rPr>
        <w:t xml:space="preserve">[2009] 2 S.C.R. 651; </w:t>
      </w:r>
      <w:r w:rsidR="00142A98">
        <w:rPr>
          <w:i/>
          <w:color w:val="000000"/>
        </w:rPr>
        <w:t xml:space="preserve">R. </w:t>
      </w:r>
      <w:r w:rsidR="008309F3" w:rsidRPr="00E736DD">
        <w:rPr>
          <w:i/>
          <w:iCs/>
          <w:color w:val="000000"/>
        </w:rPr>
        <w:t>v.</w:t>
      </w:r>
      <w:r w:rsidR="00142A98">
        <w:rPr>
          <w:i/>
          <w:color w:val="000000"/>
        </w:rPr>
        <w:t xml:space="preserve"> </w:t>
      </w:r>
      <w:proofErr w:type="spellStart"/>
      <w:r w:rsidR="008309F3" w:rsidRPr="00E736DD">
        <w:rPr>
          <w:i/>
          <w:color w:val="000000"/>
        </w:rPr>
        <w:t>Bellusci</w:t>
      </w:r>
      <w:proofErr w:type="spellEnd"/>
      <w:r w:rsidR="008309F3" w:rsidRPr="00E736DD">
        <w:rPr>
          <w:color w:val="000000"/>
        </w:rPr>
        <w:t>, 2012 SCC 44, [2012] 2 S.C.R. 509</w:t>
      </w:r>
      <w:r w:rsidR="008309F3">
        <w:rPr>
          <w:color w:val="000000"/>
        </w:rPr>
        <w:t xml:space="preserve">; </w:t>
      </w:r>
      <w:r w:rsidR="0044642D" w:rsidRPr="00965C46">
        <w:rPr>
          <w:i/>
          <w:lang w:val="en-US"/>
        </w:rPr>
        <w:t>Vancouver (City) v. Ward</w:t>
      </w:r>
      <w:r w:rsidR="0044642D" w:rsidRPr="00965C46">
        <w:rPr>
          <w:lang w:val="en-US"/>
        </w:rPr>
        <w:t>, 2010 SCC 27, [2010] 2 S.C.R. 28</w:t>
      </w:r>
      <w:r w:rsidR="0044642D">
        <w:rPr>
          <w:lang w:val="en-US"/>
        </w:rPr>
        <w:t xml:space="preserve">; </w:t>
      </w:r>
      <w:r w:rsidR="000403D8" w:rsidRPr="00B21508">
        <w:rPr>
          <w:i/>
          <w:color w:val="000000"/>
        </w:rPr>
        <w:t xml:space="preserve">Mission Institution v. </w:t>
      </w:r>
      <w:proofErr w:type="spellStart"/>
      <w:r w:rsidR="000403D8" w:rsidRPr="00B21508">
        <w:rPr>
          <w:i/>
          <w:color w:val="000000"/>
        </w:rPr>
        <w:t>Khela</w:t>
      </w:r>
      <w:proofErr w:type="spellEnd"/>
      <w:r w:rsidR="000403D8" w:rsidRPr="00B21508">
        <w:rPr>
          <w:color w:val="000000"/>
        </w:rPr>
        <w:t>, 2014 SCC 24, [2014] 1 S.C.R. 502</w:t>
      </w:r>
      <w:r w:rsidR="000403D8">
        <w:rPr>
          <w:color w:val="000000"/>
        </w:rPr>
        <w:t xml:space="preserve">; </w:t>
      </w:r>
      <w:r w:rsidR="00CD20C6" w:rsidRPr="00E4000C">
        <w:rPr>
          <w:i/>
          <w:color w:val="000000"/>
        </w:rPr>
        <w:t>Canada (</w:t>
      </w:r>
      <w:r w:rsidR="00142A98">
        <w:rPr>
          <w:i/>
        </w:rPr>
        <w:t xml:space="preserve">Citizenship and Immigration) </w:t>
      </w:r>
      <w:r w:rsidR="00CD20C6" w:rsidRPr="00E41B24">
        <w:rPr>
          <w:i/>
          <w:iCs/>
        </w:rPr>
        <w:t>v.</w:t>
      </w:r>
      <w:r w:rsidR="00142A98">
        <w:rPr>
          <w:i/>
        </w:rPr>
        <w:t xml:space="preserve"> </w:t>
      </w:r>
      <w:proofErr w:type="spellStart"/>
      <w:r w:rsidR="00CD20C6" w:rsidRPr="00E41B24">
        <w:rPr>
          <w:i/>
        </w:rPr>
        <w:t>Khosa</w:t>
      </w:r>
      <w:proofErr w:type="spellEnd"/>
      <w:r w:rsidR="00CD20C6">
        <w:t xml:space="preserve">, 2009 SCC 12, [2009] 1 S.C.R. 339; </w:t>
      </w:r>
      <w:r w:rsidR="00142A98">
        <w:rPr>
          <w:i/>
        </w:rPr>
        <w:t xml:space="preserve">Dunsmuir </w:t>
      </w:r>
      <w:r w:rsidR="00A75BBA" w:rsidRPr="00E1061E">
        <w:rPr>
          <w:i/>
          <w:iCs/>
        </w:rPr>
        <w:t>v</w:t>
      </w:r>
      <w:r w:rsidR="00A75BBA" w:rsidRPr="00E1061E">
        <w:rPr>
          <w:i/>
        </w:rPr>
        <w:t>. New Brunswick</w:t>
      </w:r>
      <w:r w:rsidR="00A75BBA" w:rsidRPr="00E1061E">
        <w:t>, 2008 SCC 9, [2008] 1 S.C.R. 190</w:t>
      </w:r>
      <w:r w:rsidR="00A75BBA">
        <w:t xml:space="preserve">; </w:t>
      </w:r>
      <w:r w:rsidR="00142A98">
        <w:rPr>
          <w:i/>
        </w:rPr>
        <w:t xml:space="preserve">C.U.P.E. </w:t>
      </w:r>
      <w:r w:rsidR="0070074B" w:rsidRPr="009C20BB">
        <w:rPr>
          <w:i/>
          <w:iCs/>
        </w:rPr>
        <w:t>v.</w:t>
      </w:r>
      <w:r w:rsidR="00142A98">
        <w:rPr>
          <w:i/>
        </w:rPr>
        <w:t xml:space="preserve"> </w:t>
      </w:r>
      <w:r w:rsidR="0070074B" w:rsidRPr="009C20BB">
        <w:rPr>
          <w:i/>
        </w:rPr>
        <w:t>Ontario (Minister of Labour)</w:t>
      </w:r>
      <w:r w:rsidR="0070074B">
        <w:t xml:space="preserve">, 2003 SCC 29, [2003] 1 S.C.R. 539; </w:t>
      </w:r>
      <w:r w:rsidR="00BF43A9" w:rsidRPr="00E1061E">
        <w:rPr>
          <w:i/>
          <w:iCs/>
        </w:rPr>
        <w:t>Baker v. Canada (Minister of Citizenship and Immigration)</w:t>
      </w:r>
      <w:r w:rsidR="00BF43A9" w:rsidRPr="00E1061E">
        <w:rPr>
          <w:iCs/>
        </w:rPr>
        <w:t>, [1999] 2 S.C.R. 817</w:t>
      </w:r>
      <w:r w:rsidR="00BF43A9">
        <w:rPr>
          <w:iCs/>
        </w:rPr>
        <w:t xml:space="preserve">; </w:t>
      </w:r>
      <w:r w:rsidR="009064F8" w:rsidRPr="000E64EF">
        <w:rPr>
          <w:i/>
          <w:iCs/>
        </w:rPr>
        <w:t>Cardinal v. Director of Kent Institution</w:t>
      </w:r>
      <w:r w:rsidR="009064F8" w:rsidRPr="00C45428">
        <w:t>, [1985] 2 S.C.R. 643</w:t>
      </w:r>
      <w:r w:rsidR="009064F8">
        <w:t xml:space="preserve">; </w:t>
      </w:r>
      <w:r w:rsidR="000B5026" w:rsidRPr="000E64EF">
        <w:rPr>
          <w:i/>
        </w:rPr>
        <w:t xml:space="preserve">Canada (Attorney General) </w:t>
      </w:r>
      <w:r w:rsidR="000B5026" w:rsidRPr="000E64EF">
        <w:rPr>
          <w:i/>
          <w:iCs/>
        </w:rPr>
        <w:t xml:space="preserve">v. </w:t>
      </w:r>
      <w:proofErr w:type="spellStart"/>
      <w:r w:rsidR="000B5026" w:rsidRPr="000E64EF">
        <w:rPr>
          <w:i/>
        </w:rPr>
        <w:t>Mavi</w:t>
      </w:r>
      <w:proofErr w:type="spellEnd"/>
      <w:r w:rsidR="000B5026" w:rsidRPr="00C45428">
        <w:t>, 2011 SCC 30, [2011] 2 S.C.R. 504</w:t>
      </w:r>
      <w:r w:rsidR="000B5026">
        <w:t xml:space="preserve">; </w:t>
      </w:r>
      <w:r w:rsidR="00472A18">
        <w:rPr>
          <w:i/>
        </w:rPr>
        <w:t xml:space="preserve">Mount Sinai Hospital Center </w:t>
      </w:r>
      <w:r w:rsidR="000232B8" w:rsidRPr="000E64EF">
        <w:rPr>
          <w:i/>
          <w:iCs/>
        </w:rPr>
        <w:t>v</w:t>
      </w:r>
      <w:r w:rsidR="000232B8" w:rsidRPr="000E64EF">
        <w:rPr>
          <w:i/>
        </w:rPr>
        <w:t>. Quebec (Minister of Health and Social Services)</w:t>
      </w:r>
      <w:r w:rsidR="000232B8" w:rsidRPr="00C45428">
        <w:t>, 2001 SCC 41, [2001] 2 S.C.R. 281</w:t>
      </w:r>
      <w:r w:rsidR="000232B8">
        <w:t xml:space="preserve">; </w:t>
      </w:r>
      <w:r w:rsidR="008F5611" w:rsidRPr="000E64EF">
        <w:rPr>
          <w:i/>
          <w:iCs/>
        </w:rPr>
        <w:t>Ocean Port Hotel Ltd. v. British Columbia (General Manager, Liquor Control and Licensing Branch)</w:t>
      </w:r>
      <w:r w:rsidR="008F5611" w:rsidRPr="00C45428">
        <w:t>, 2001 SCC 52, [2001] 2 S.C.R. 781</w:t>
      </w:r>
      <w:r w:rsidR="008F5611">
        <w:t xml:space="preserve">; </w:t>
      </w:r>
      <w:r w:rsidR="0098204F" w:rsidRPr="00D05ED5">
        <w:rPr>
          <w:rStyle w:val="reflex"/>
          <w:i/>
          <w:iCs/>
          <w:color w:val="000000"/>
        </w:rPr>
        <w:t xml:space="preserve">Knight v. </w:t>
      </w:r>
      <w:r w:rsidR="0098204F">
        <w:rPr>
          <w:rStyle w:val="reflex"/>
          <w:i/>
          <w:iCs/>
          <w:color w:val="000000"/>
        </w:rPr>
        <w:t>Indian Head School Division No. </w:t>
      </w:r>
      <w:r w:rsidR="0098204F" w:rsidRPr="00D05ED5">
        <w:rPr>
          <w:rStyle w:val="reflex"/>
          <w:i/>
          <w:iCs/>
          <w:color w:val="000000"/>
        </w:rPr>
        <w:t>19</w:t>
      </w:r>
      <w:r w:rsidR="0098204F" w:rsidRPr="00D05ED5">
        <w:rPr>
          <w:color w:val="000000"/>
        </w:rPr>
        <w:t>, [</w:t>
      </w:r>
      <w:r w:rsidR="0098204F" w:rsidRPr="00D05ED5">
        <w:rPr>
          <w:rStyle w:val="reflex3-block"/>
          <w:color w:val="000000"/>
        </w:rPr>
        <w:t>1990] 1 S.C.R. 653</w:t>
      </w:r>
      <w:r w:rsidR="0098204F">
        <w:rPr>
          <w:rStyle w:val="reflex3-block"/>
          <w:color w:val="000000"/>
        </w:rPr>
        <w:t xml:space="preserve">; </w:t>
      </w:r>
      <w:r w:rsidR="001D1FAB" w:rsidRPr="000E64EF">
        <w:rPr>
          <w:i/>
          <w:iCs/>
        </w:rPr>
        <w:t xml:space="preserve">Martineau v. </w:t>
      </w:r>
      <w:proofErr w:type="spellStart"/>
      <w:r w:rsidR="001D1FAB" w:rsidRPr="000E64EF">
        <w:rPr>
          <w:i/>
          <w:iCs/>
        </w:rPr>
        <w:t>Matsqui</w:t>
      </w:r>
      <w:proofErr w:type="spellEnd"/>
      <w:r w:rsidR="001D1FAB" w:rsidRPr="000E64EF">
        <w:rPr>
          <w:i/>
          <w:iCs/>
        </w:rPr>
        <w:t xml:space="preserve"> Institution Disciplinary Board</w:t>
      </w:r>
      <w:r w:rsidR="001D1FAB" w:rsidRPr="00C45428">
        <w:t>, [1980] 1 S.C.R. 602</w:t>
      </w:r>
      <w:r w:rsidR="001D1FAB">
        <w:t xml:space="preserve">; </w:t>
      </w:r>
      <w:r w:rsidR="003E39FF" w:rsidRPr="000E64EF">
        <w:rPr>
          <w:i/>
          <w:iCs/>
        </w:rPr>
        <w:t xml:space="preserve">Kane v. Board of Governors </w:t>
      </w:r>
      <w:r w:rsidR="003E39FF">
        <w:rPr>
          <w:i/>
          <w:iCs/>
        </w:rPr>
        <w:t>(</w:t>
      </w:r>
      <w:r w:rsidR="003E39FF" w:rsidRPr="000E64EF">
        <w:rPr>
          <w:i/>
          <w:iCs/>
        </w:rPr>
        <w:t>University of British Columbia</w:t>
      </w:r>
      <w:r w:rsidR="003E39FF">
        <w:rPr>
          <w:i/>
          <w:iCs/>
        </w:rPr>
        <w:t>)</w:t>
      </w:r>
      <w:r w:rsidR="003E39FF" w:rsidRPr="00C45428">
        <w:t>, [1980] 1 S.C.R. 1105</w:t>
      </w:r>
      <w:r w:rsidR="003E39FF">
        <w:t xml:space="preserve">; </w:t>
      </w:r>
      <w:r w:rsidR="007376C3" w:rsidRPr="000E64EF">
        <w:rPr>
          <w:i/>
          <w:iCs/>
        </w:rPr>
        <w:t>Attorney General of Canada v. Inuit Tapirisat of Canada</w:t>
      </w:r>
      <w:r w:rsidR="007376C3" w:rsidRPr="00C45428">
        <w:t>, [1980] 2 S.C.R. 735</w:t>
      </w:r>
      <w:r w:rsidR="007376C3">
        <w:t xml:space="preserve">; </w:t>
      </w:r>
      <w:r w:rsidR="00142A98">
        <w:rPr>
          <w:i/>
          <w:iCs/>
        </w:rPr>
        <w:t xml:space="preserve">Nicholson v. </w:t>
      </w:r>
      <w:proofErr w:type="spellStart"/>
      <w:r w:rsidR="00142A98">
        <w:rPr>
          <w:i/>
          <w:iCs/>
        </w:rPr>
        <w:t>Haldimand</w:t>
      </w:r>
      <w:proofErr w:type="spellEnd"/>
      <w:r w:rsidR="00142A98">
        <w:rPr>
          <w:i/>
          <w:iCs/>
        </w:rPr>
        <w:noBreakHyphen/>
      </w:r>
      <w:r w:rsidR="00793532" w:rsidRPr="000E64EF">
        <w:rPr>
          <w:i/>
          <w:iCs/>
        </w:rPr>
        <w:t xml:space="preserve">Norfolk Regional Board of </w:t>
      </w:r>
      <w:r w:rsidR="00793532" w:rsidRPr="000E64EF">
        <w:rPr>
          <w:i/>
          <w:iCs/>
        </w:rPr>
        <w:lastRenderedPageBreak/>
        <w:t>Commissioners of Police</w:t>
      </w:r>
      <w:r w:rsidR="00142A98">
        <w:t xml:space="preserve">, </w:t>
      </w:r>
      <w:r w:rsidR="00793532" w:rsidRPr="00C45428">
        <w:t>[1979] 1 S.C.R. 31</w:t>
      </w:r>
      <w:r w:rsidR="00793532">
        <w:t xml:space="preserve">1; </w:t>
      </w:r>
      <w:r w:rsidR="0082080C">
        <w:rPr>
          <w:i/>
          <w:color w:val="000000"/>
        </w:rPr>
        <w:t xml:space="preserve">R. </w:t>
      </w:r>
      <w:r w:rsidR="0082080C" w:rsidRPr="00344EB7">
        <w:rPr>
          <w:i/>
          <w:iCs/>
          <w:color w:val="000000"/>
        </w:rPr>
        <w:t>v.</w:t>
      </w:r>
      <w:r w:rsidR="0082080C">
        <w:rPr>
          <w:i/>
          <w:color w:val="000000"/>
        </w:rPr>
        <w:t xml:space="preserve"> </w:t>
      </w:r>
      <w:r w:rsidR="0082080C" w:rsidRPr="00344EB7">
        <w:rPr>
          <w:i/>
          <w:color w:val="000000"/>
        </w:rPr>
        <w:t>Shepherd</w:t>
      </w:r>
      <w:r w:rsidR="0082080C">
        <w:rPr>
          <w:color w:val="000000"/>
        </w:rPr>
        <w:t xml:space="preserve">, 2009 SCC 35, [2009] 2 S.C.R. 527; </w:t>
      </w:r>
      <w:r w:rsidR="00900016" w:rsidRPr="002D021D">
        <w:rPr>
          <w:i/>
          <w:color w:val="000000"/>
        </w:rPr>
        <w:t>R. v. Dussault</w:t>
      </w:r>
      <w:r w:rsidR="00900016" w:rsidRPr="002D021D">
        <w:rPr>
          <w:color w:val="000000"/>
        </w:rPr>
        <w:t>, 2022 SCC 16</w:t>
      </w:r>
      <w:r w:rsidR="00900016">
        <w:rPr>
          <w:color w:val="000000"/>
        </w:rPr>
        <w:t xml:space="preserve">; </w:t>
      </w:r>
      <w:r w:rsidR="00142A98">
        <w:rPr>
          <w:i/>
          <w:color w:val="000000"/>
        </w:rPr>
        <w:t xml:space="preserve">R. </w:t>
      </w:r>
      <w:r w:rsidR="00142A98">
        <w:rPr>
          <w:i/>
          <w:iCs/>
          <w:color w:val="000000"/>
        </w:rPr>
        <w:t xml:space="preserve">v. </w:t>
      </w:r>
      <w:r w:rsidR="006C51DC" w:rsidRPr="002D021D">
        <w:rPr>
          <w:i/>
          <w:color w:val="000000"/>
        </w:rPr>
        <w:t>Le</w:t>
      </w:r>
      <w:r w:rsidR="006C51DC">
        <w:rPr>
          <w:color w:val="000000"/>
        </w:rPr>
        <w:t xml:space="preserve">, 2019 SCC 34, [2019] 2 S.C.R. 692; </w:t>
      </w:r>
      <w:r w:rsidR="00142A98">
        <w:rPr>
          <w:i/>
          <w:color w:val="000000"/>
        </w:rPr>
        <w:t xml:space="preserve">R. </w:t>
      </w:r>
      <w:r w:rsidR="00EA5D10" w:rsidRPr="002D021D">
        <w:rPr>
          <w:i/>
          <w:iCs/>
          <w:color w:val="000000"/>
        </w:rPr>
        <w:t>v.</w:t>
      </w:r>
      <w:r w:rsidR="00142A98">
        <w:rPr>
          <w:i/>
          <w:color w:val="000000"/>
        </w:rPr>
        <w:t xml:space="preserve"> </w:t>
      </w:r>
      <w:proofErr w:type="spellStart"/>
      <w:r w:rsidR="00EA5D10" w:rsidRPr="002D021D">
        <w:rPr>
          <w:i/>
          <w:color w:val="000000"/>
        </w:rPr>
        <w:t>Katigbak</w:t>
      </w:r>
      <w:proofErr w:type="spellEnd"/>
      <w:r w:rsidR="00EA5D10">
        <w:rPr>
          <w:color w:val="000000"/>
        </w:rPr>
        <w:t>, 2011 SCC 48</w:t>
      </w:r>
      <w:r w:rsidR="00EA5D10">
        <w:rPr>
          <w:caps/>
          <w:color w:val="000000"/>
        </w:rPr>
        <w:t xml:space="preserve">, [2011] 3 S.C.R. 326; </w:t>
      </w:r>
      <w:r w:rsidR="00137EB6" w:rsidRPr="00F40BC7">
        <w:rPr>
          <w:i/>
        </w:rPr>
        <w:t>Bergeron v. Canada (Attorney General)</w:t>
      </w:r>
      <w:r w:rsidR="00137EB6" w:rsidRPr="00F40BC7">
        <w:t>, 2015 FCA 160</w:t>
      </w:r>
      <w:r w:rsidR="00137EB6" w:rsidRPr="00D1564B">
        <w:t>, 474 N.R. 366</w:t>
      </w:r>
      <w:r w:rsidR="00137EB6">
        <w:t xml:space="preserve">; </w:t>
      </w:r>
      <w:r w:rsidR="00142A98">
        <w:rPr>
          <w:i/>
          <w:color w:val="000000"/>
          <w:lang w:val="en-US"/>
        </w:rPr>
        <w:t xml:space="preserve">R. </w:t>
      </w:r>
      <w:r w:rsidR="00FD6925" w:rsidRPr="000626EE">
        <w:rPr>
          <w:i/>
          <w:iCs/>
          <w:color w:val="000000"/>
          <w:lang w:val="en-US"/>
        </w:rPr>
        <w:t>v.</w:t>
      </w:r>
      <w:r w:rsidR="00142A98">
        <w:rPr>
          <w:i/>
          <w:color w:val="000000"/>
          <w:lang w:val="en-US"/>
        </w:rPr>
        <w:t xml:space="preserve"> </w:t>
      </w:r>
      <w:r w:rsidR="00FD6925" w:rsidRPr="000626EE">
        <w:rPr>
          <w:i/>
          <w:color w:val="000000"/>
          <w:lang w:val="en-US"/>
        </w:rPr>
        <w:t>Owen</w:t>
      </w:r>
      <w:r w:rsidR="00FD6925" w:rsidRPr="000626EE">
        <w:rPr>
          <w:color w:val="000000"/>
          <w:lang w:val="en-US"/>
        </w:rPr>
        <w:t>, 2003 SCC 33, [2003] 1 S.C.R. 779</w:t>
      </w:r>
      <w:r w:rsidR="00FD6925">
        <w:rPr>
          <w:color w:val="000000"/>
          <w:lang w:val="en-US"/>
        </w:rPr>
        <w:t>;</w:t>
      </w:r>
      <w:r w:rsidR="00FD6925" w:rsidRPr="00FD6925">
        <w:rPr>
          <w:i/>
          <w:iCs/>
        </w:rPr>
        <w:t xml:space="preserve"> </w:t>
      </w:r>
      <w:r w:rsidR="00FD6925" w:rsidRPr="00D05ED5">
        <w:rPr>
          <w:i/>
          <w:iCs/>
        </w:rPr>
        <w:t>Moreau</w:t>
      </w:r>
      <w:r w:rsidR="00FD6925" w:rsidRPr="00D05ED5">
        <w:rPr>
          <w:i/>
          <w:iCs/>
        </w:rPr>
        <w:noBreakHyphen/>
        <w:t>Bérubé</w:t>
      </w:r>
      <w:r w:rsidR="00FD6925" w:rsidRPr="007329B5">
        <w:rPr>
          <w:i/>
          <w:iCs/>
        </w:rPr>
        <w:t xml:space="preserve"> </w:t>
      </w:r>
      <w:r w:rsidR="00FD6925" w:rsidRPr="00D05ED5">
        <w:rPr>
          <w:i/>
          <w:iCs/>
        </w:rPr>
        <w:t>v. New Brunswick (Judicial Council)</w:t>
      </w:r>
      <w:r w:rsidR="004F004D">
        <w:t xml:space="preserve">, 2002 SCC 11, </w:t>
      </w:r>
      <w:r w:rsidR="00FD6925" w:rsidRPr="0045583A">
        <w:t>[2002] 1 S.C.R. 249</w:t>
      </w:r>
      <w:r w:rsidR="00FD6925">
        <w:t>;</w:t>
      </w:r>
      <w:r w:rsidR="00AE3785" w:rsidRPr="00AE3785">
        <w:rPr>
          <w:i/>
          <w:color w:val="000000"/>
        </w:rPr>
        <w:t xml:space="preserve"> </w:t>
      </w:r>
      <w:r w:rsidR="00AE3785" w:rsidRPr="00D05ED5">
        <w:rPr>
          <w:i/>
          <w:color w:val="000000"/>
        </w:rPr>
        <w:t>Council</w:t>
      </w:r>
      <w:r w:rsidR="00142A98">
        <w:rPr>
          <w:i/>
          <w:color w:val="000000"/>
        </w:rPr>
        <w:t xml:space="preserve"> of Canadians with Disabilities </w:t>
      </w:r>
      <w:r w:rsidR="00AE3785" w:rsidRPr="00D05ED5">
        <w:rPr>
          <w:i/>
          <w:iCs/>
          <w:color w:val="000000"/>
        </w:rPr>
        <w:t>v.</w:t>
      </w:r>
      <w:r w:rsidR="00142A98">
        <w:rPr>
          <w:i/>
          <w:color w:val="000000"/>
        </w:rPr>
        <w:t xml:space="preserve"> </w:t>
      </w:r>
      <w:r w:rsidR="00AE3785" w:rsidRPr="00D05ED5">
        <w:rPr>
          <w:i/>
          <w:color w:val="000000"/>
        </w:rPr>
        <w:t>VIA Rail Canada Inc.</w:t>
      </w:r>
      <w:r w:rsidR="00AE3785" w:rsidRPr="00D05ED5">
        <w:rPr>
          <w:color w:val="000000"/>
        </w:rPr>
        <w:t>, 2007 SCC 15, [2007] 1 S.C.R. 650</w:t>
      </w:r>
      <w:r w:rsidR="00AE3785">
        <w:rPr>
          <w:color w:val="000000"/>
        </w:rPr>
        <w:t>;</w:t>
      </w:r>
      <w:r w:rsidR="008B67CD" w:rsidRPr="008B67CD">
        <w:rPr>
          <w:i/>
        </w:rPr>
        <w:t xml:space="preserve"> </w:t>
      </w:r>
      <w:r w:rsidR="008B67CD" w:rsidRPr="00414F7A">
        <w:rPr>
          <w:i/>
        </w:rPr>
        <w:t>R. v. Yusuf</w:t>
      </w:r>
      <w:r w:rsidR="008B67CD">
        <w:t>, 2021 SCC 2</w:t>
      </w:r>
      <w:r w:rsidR="00574AF8">
        <w:rPr>
          <w:color w:val="000000"/>
        </w:rPr>
        <w:t xml:space="preserve">; </w:t>
      </w:r>
      <w:r w:rsidR="00574AF8" w:rsidRPr="00414F7A">
        <w:rPr>
          <w:i/>
        </w:rPr>
        <w:t>R. v. Pauls</w:t>
      </w:r>
      <w:r w:rsidR="00574AF8" w:rsidRPr="00AF6A03">
        <w:t>, 2020 ONCA 220</w:t>
      </w:r>
      <w:r w:rsidR="00574AF8">
        <w:t xml:space="preserve">, </w:t>
      </w:r>
      <w:r w:rsidR="00574AF8" w:rsidRPr="00812ABA">
        <w:t>149 O.R. (3d)</w:t>
      </w:r>
      <w:r w:rsidR="00574AF8">
        <w:t xml:space="preserve"> </w:t>
      </w:r>
      <w:r w:rsidR="00574AF8" w:rsidRPr="00812ABA">
        <w:t>609</w:t>
      </w:r>
      <w:r w:rsidR="00574AF8">
        <w:t xml:space="preserve">; </w:t>
      </w:r>
      <w:r w:rsidR="00574AF8" w:rsidRPr="00414F7A">
        <w:rPr>
          <w:i/>
        </w:rPr>
        <w:t>R. v. Virk</w:t>
      </w:r>
      <w:r w:rsidR="00574AF8">
        <w:t xml:space="preserve">, 2021 BCCA 58, </w:t>
      </w:r>
      <w:r w:rsidR="00574AF8" w:rsidRPr="00812ABA">
        <w:t>403 C.C.C. (3d)</w:t>
      </w:r>
      <w:r w:rsidR="00574AF8">
        <w:t xml:space="preserve"> </w:t>
      </w:r>
      <w:r w:rsidR="00574AF8" w:rsidRPr="00812ABA">
        <w:t>492</w:t>
      </w:r>
      <w:r w:rsidR="00BF347B">
        <w:t>.</w:t>
      </w:r>
    </w:p>
    <w:p w14:paraId="015C8167" w14:textId="77777777" w:rsidR="003B215F" w:rsidRDefault="002E6705" w:rsidP="00142A98">
      <w:pPr>
        <w:pStyle w:val="SCCNormalDoubleSpacing"/>
        <w:spacing w:after="720" w:line="240" w:lineRule="auto"/>
      </w:pPr>
      <w:r w:rsidRPr="00314E01">
        <w:rPr>
          <w:b/>
        </w:rPr>
        <w:t>Statutes and Regulations Cite</w:t>
      </w:r>
      <w:r w:rsidR="00A41805">
        <w:rPr>
          <w:b/>
        </w:rPr>
        <w:t>d</w:t>
      </w:r>
    </w:p>
    <w:p w14:paraId="77E7C8B8" w14:textId="06246654" w:rsidR="00D17944" w:rsidRDefault="00D17944" w:rsidP="00142A98">
      <w:pPr>
        <w:pStyle w:val="SCCNormalDoubleSpacing"/>
        <w:spacing w:after="240" w:line="240" w:lineRule="auto"/>
        <w:ind w:left="547" w:hanging="547"/>
        <w:rPr>
          <w:i/>
          <w:iCs/>
        </w:rPr>
      </w:pPr>
      <w:r w:rsidRPr="000D3E20">
        <w:rPr>
          <w:i/>
        </w:rPr>
        <w:t>Administrative Tribunals Act</w:t>
      </w:r>
      <w:r w:rsidRPr="000D3E20">
        <w:t xml:space="preserve">, </w:t>
      </w:r>
      <w:r w:rsidRPr="009D3019">
        <w:t>S</w:t>
      </w:r>
      <w:r>
        <w:t>.</w:t>
      </w:r>
      <w:r w:rsidRPr="009D3019">
        <w:t>B</w:t>
      </w:r>
      <w:r>
        <w:t>.</w:t>
      </w:r>
      <w:r w:rsidRPr="009D3019">
        <w:t>C</w:t>
      </w:r>
      <w:r>
        <w:t>.</w:t>
      </w:r>
      <w:r w:rsidRPr="009D3019">
        <w:t xml:space="preserve"> 2004, c</w:t>
      </w:r>
      <w:r>
        <w:t>.</w:t>
      </w:r>
      <w:r w:rsidRPr="009D3019">
        <w:t xml:space="preserve"> 45</w:t>
      </w:r>
      <w:r>
        <w:t>, s. </w:t>
      </w:r>
      <w:r w:rsidRPr="000D3E20">
        <w:t>58</w:t>
      </w:r>
      <w:r>
        <w:t>(2</w:t>
      </w:r>
      <w:proofErr w:type="gramStart"/>
      <w:r>
        <w:t>)(</w:t>
      </w:r>
      <w:proofErr w:type="gramEnd"/>
      <w:r>
        <w:t>b).</w:t>
      </w:r>
    </w:p>
    <w:p w14:paraId="4063D685" w14:textId="43625DB4" w:rsidR="00912675" w:rsidRDefault="00912675" w:rsidP="00142A98">
      <w:pPr>
        <w:pStyle w:val="SCCNormalDoubleSpacing"/>
        <w:spacing w:after="240" w:line="240" w:lineRule="auto"/>
        <w:ind w:left="547" w:hanging="547"/>
        <w:rPr>
          <w:iCs/>
        </w:rPr>
      </w:pPr>
      <w:r>
        <w:rPr>
          <w:i/>
          <w:iCs/>
        </w:rPr>
        <w:t>Canadian Charter of Rights and Freedoms</w:t>
      </w:r>
      <w:r>
        <w:rPr>
          <w:iCs/>
        </w:rPr>
        <w:t>, s</w:t>
      </w:r>
      <w:r w:rsidR="00DE1F4E">
        <w:rPr>
          <w:iCs/>
        </w:rPr>
        <w:t>s</w:t>
      </w:r>
      <w:r>
        <w:rPr>
          <w:iCs/>
        </w:rPr>
        <w:t>. </w:t>
      </w:r>
      <w:r w:rsidR="006540FA">
        <w:rPr>
          <w:iCs/>
        </w:rPr>
        <w:t xml:space="preserve">7, </w:t>
      </w:r>
      <w:r>
        <w:rPr>
          <w:iCs/>
        </w:rPr>
        <w:t>11</w:t>
      </w:r>
      <w:r w:rsidR="00A36309">
        <w:rPr>
          <w:iCs/>
        </w:rPr>
        <w:t>(b)</w:t>
      </w:r>
      <w:r w:rsidR="00DE1F4E">
        <w:rPr>
          <w:iCs/>
        </w:rPr>
        <w:t xml:space="preserve">, </w:t>
      </w:r>
      <w:r w:rsidR="00DE1F4E">
        <w:rPr>
          <w:szCs w:val="24"/>
        </w:rPr>
        <w:t>24(1)</w:t>
      </w:r>
      <w:r>
        <w:rPr>
          <w:iCs/>
        </w:rPr>
        <w:t>.</w:t>
      </w:r>
    </w:p>
    <w:p w14:paraId="3C3DD248" w14:textId="7CE94735" w:rsidR="00A149DF" w:rsidRDefault="008D3FF6" w:rsidP="00142A98">
      <w:pPr>
        <w:pStyle w:val="SCCNormalDoubleSpacing"/>
        <w:spacing w:after="720" w:line="240" w:lineRule="auto"/>
        <w:ind w:left="547" w:hanging="547"/>
      </w:pPr>
      <w:r w:rsidRPr="009054A5">
        <w:rPr>
          <w:i/>
          <w:iCs/>
        </w:rPr>
        <w:t>Legal Profession Act, 1990</w:t>
      </w:r>
      <w:r w:rsidRPr="009054A5">
        <w:t>, S.S.</w:t>
      </w:r>
      <w:r w:rsidR="00A240CA" w:rsidRPr="009054A5">
        <w:t xml:space="preserve"> 1990</w:t>
      </w:r>
      <w:r w:rsidR="00A240CA" w:rsidRPr="009054A5">
        <w:noBreakHyphen/>
      </w:r>
      <w:r w:rsidRPr="009054A5">
        <w:t>9</w:t>
      </w:r>
      <w:r w:rsidRPr="00EE2996">
        <w:t>1, c</w:t>
      </w:r>
      <w:r>
        <w:t>.</w:t>
      </w:r>
      <w:r w:rsidRPr="00EE2996">
        <w:t> L</w:t>
      </w:r>
      <w:r w:rsidRPr="00EE2996">
        <w:noBreakHyphen/>
        <w:t>10.1</w:t>
      </w:r>
      <w:r>
        <w:t>, s</w:t>
      </w:r>
      <w:r w:rsidR="00E25308">
        <w:t>s</w:t>
      </w:r>
      <w:r>
        <w:t>. </w:t>
      </w:r>
      <w:r w:rsidR="00C142A8">
        <w:t>3.1, 3.2</w:t>
      </w:r>
      <w:r w:rsidR="008D6D6E">
        <w:t>, 39</w:t>
      </w:r>
      <w:r w:rsidR="009325EF">
        <w:t xml:space="preserve">, </w:t>
      </w:r>
      <w:r w:rsidR="00960A6A">
        <w:t>56</w:t>
      </w:r>
      <w:r w:rsidR="00565B72">
        <w:t>, 63</w:t>
      </w:r>
      <w:r w:rsidR="00221F85">
        <w:t>.</w:t>
      </w:r>
    </w:p>
    <w:p w14:paraId="1141DBD3" w14:textId="77777777" w:rsidR="002E6705" w:rsidRDefault="002E6705" w:rsidP="00142A98">
      <w:pPr>
        <w:pStyle w:val="SCCNormalDoubleSpacing"/>
        <w:spacing w:after="720" w:line="240" w:lineRule="auto"/>
        <w:rPr>
          <w:b/>
        </w:rPr>
      </w:pPr>
      <w:r w:rsidRPr="00314E01">
        <w:rPr>
          <w:b/>
        </w:rPr>
        <w:t>Authors Cited</w:t>
      </w:r>
    </w:p>
    <w:p w14:paraId="751646C7" w14:textId="68EC91BD" w:rsidR="000538A0" w:rsidRPr="009E1E3F" w:rsidRDefault="00142A98" w:rsidP="00142A98">
      <w:pPr>
        <w:pStyle w:val="SCCNormalDoubleSpacing"/>
        <w:spacing w:after="240" w:line="240" w:lineRule="auto"/>
        <w:ind w:left="547" w:hanging="547"/>
        <w:rPr>
          <w:lang w:val="en-US"/>
        </w:rPr>
      </w:pPr>
      <w:r>
        <w:t xml:space="preserve">Brown, Donald J. M., and John </w:t>
      </w:r>
      <w:r w:rsidR="00472A18">
        <w:t>M. </w:t>
      </w:r>
      <w:r w:rsidR="00640828" w:rsidRPr="002068CC">
        <w:t>Evans, with t</w:t>
      </w:r>
      <w:r w:rsidR="00640828">
        <w:t xml:space="preserve">he assistance of David </w:t>
      </w:r>
      <w:proofErr w:type="spellStart"/>
      <w:r w:rsidR="00640828">
        <w:t>Fairlie</w:t>
      </w:r>
      <w:proofErr w:type="spellEnd"/>
      <w:r w:rsidR="00640828">
        <w:t>.</w:t>
      </w:r>
      <w:r w:rsidR="00640828" w:rsidRPr="00EE2996">
        <w:t xml:space="preserve"> </w:t>
      </w:r>
      <w:r w:rsidR="00640828" w:rsidRPr="00EE2996">
        <w:rPr>
          <w:i/>
        </w:rPr>
        <w:t xml:space="preserve">Judicial Review of Administrative Action in </w:t>
      </w:r>
      <w:r w:rsidR="00640828" w:rsidRPr="009054A5">
        <w:rPr>
          <w:i/>
        </w:rPr>
        <w:t>Canada</w:t>
      </w:r>
      <w:r w:rsidR="00640828" w:rsidRPr="009054A5">
        <w:t>.</w:t>
      </w:r>
      <w:r w:rsidR="00640828">
        <w:t xml:space="preserve"> Toronto: </w:t>
      </w:r>
      <w:r w:rsidR="00CE13EA">
        <w:t>Thomson Reuters</w:t>
      </w:r>
      <w:r w:rsidR="00640828">
        <w:t>, 1998</w:t>
      </w:r>
      <w:r w:rsidR="00640828">
        <w:rPr>
          <w:i/>
        </w:rPr>
        <w:t xml:space="preserve"> </w:t>
      </w:r>
      <w:r>
        <w:t>(loose</w:t>
      </w:r>
      <w:r>
        <w:noBreakHyphen/>
      </w:r>
      <w:r w:rsidR="00095575">
        <w:t>leaf updated June</w:t>
      </w:r>
      <w:r w:rsidR="00640828">
        <w:t xml:space="preserve"> 202</w:t>
      </w:r>
      <w:r w:rsidR="009054A5">
        <w:t>2</w:t>
      </w:r>
      <w:r w:rsidR="00C56DA0">
        <w:t>,</w:t>
      </w:r>
      <w:r>
        <w:t xml:space="preserve"> release </w:t>
      </w:r>
      <w:r w:rsidR="00095575">
        <w:t>2</w:t>
      </w:r>
      <w:r w:rsidR="00640828">
        <w:t>).</w:t>
      </w:r>
    </w:p>
    <w:p w14:paraId="1FEABFA8" w14:textId="619A13FE" w:rsidR="00086172" w:rsidRPr="0082080C" w:rsidRDefault="00B9218C" w:rsidP="00142A98">
      <w:pPr>
        <w:pStyle w:val="SCCNormalDoubleSpacing"/>
        <w:spacing w:after="240" w:line="240" w:lineRule="auto"/>
        <w:ind w:left="547" w:hanging="547"/>
        <w:rPr>
          <w:lang w:val="en-US"/>
        </w:rPr>
      </w:pPr>
      <w:r>
        <w:t>Case</w:t>
      </w:r>
      <w:r w:rsidRPr="009054A5">
        <w:t>y</w:t>
      </w:r>
      <w:r w:rsidR="00086172" w:rsidRPr="00EE2996">
        <w:t>,</w:t>
      </w:r>
      <w:r w:rsidR="00086172">
        <w:t xml:space="preserve"> </w:t>
      </w:r>
      <w:r w:rsidR="00086172" w:rsidRPr="00EE2996">
        <w:t>J</w:t>
      </w:r>
      <w:r w:rsidR="00142A98">
        <w:t xml:space="preserve">ames </w:t>
      </w:r>
      <w:r w:rsidR="00086172">
        <w:t>T.</w:t>
      </w:r>
      <w:r w:rsidR="00086172" w:rsidRPr="00EE2996">
        <w:t xml:space="preserve"> </w:t>
      </w:r>
      <w:r w:rsidR="00086172" w:rsidRPr="00EE2996">
        <w:rPr>
          <w:i/>
        </w:rPr>
        <w:t>The Regulation of Professions in Canada</w:t>
      </w:r>
      <w:r w:rsidR="00086172" w:rsidRPr="009054A5">
        <w:t>.</w:t>
      </w:r>
      <w:r w:rsidR="00086172">
        <w:t xml:space="preserve"> </w:t>
      </w:r>
      <w:r w:rsidR="00086172" w:rsidRPr="0082080C">
        <w:rPr>
          <w:lang w:val="en-US"/>
        </w:rPr>
        <w:t xml:space="preserve">Toronto: </w:t>
      </w:r>
      <w:r w:rsidR="00561198" w:rsidRPr="0082080C">
        <w:rPr>
          <w:lang w:val="en-US"/>
        </w:rPr>
        <w:t>Carswell</w:t>
      </w:r>
      <w:r w:rsidR="00086172" w:rsidRPr="0082080C">
        <w:rPr>
          <w:lang w:val="en-US"/>
        </w:rPr>
        <w:t>, 1994</w:t>
      </w:r>
      <w:r w:rsidR="00086172" w:rsidRPr="0082080C">
        <w:rPr>
          <w:i/>
          <w:lang w:val="en-US"/>
        </w:rPr>
        <w:t xml:space="preserve"> </w:t>
      </w:r>
      <w:r w:rsidR="00142A98">
        <w:rPr>
          <w:lang w:val="en-US"/>
        </w:rPr>
        <w:t>(loose</w:t>
      </w:r>
      <w:r w:rsidR="00142A98">
        <w:rPr>
          <w:lang w:val="en-US"/>
        </w:rPr>
        <w:noBreakHyphen/>
      </w:r>
      <w:r w:rsidR="00086172" w:rsidRPr="0082080C">
        <w:rPr>
          <w:lang w:val="en-US"/>
        </w:rPr>
        <w:t xml:space="preserve">leaf updated </w:t>
      </w:r>
      <w:r w:rsidR="00C5241F">
        <w:rPr>
          <w:lang w:val="en-US"/>
        </w:rPr>
        <w:t>June</w:t>
      </w:r>
      <w:r w:rsidR="00086172" w:rsidRPr="0082080C">
        <w:rPr>
          <w:lang w:val="en-US"/>
        </w:rPr>
        <w:t xml:space="preserve"> 202</w:t>
      </w:r>
      <w:r w:rsidR="00C5241F">
        <w:rPr>
          <w:lang w:val="en-US"/>
        </w:rPr>
        <w:t>2, release 4</w:t>
      </w:r>
      <w:r w:rsidR="00086172" w:rsidRPr="0082080C">
        <w:rPr>
          <w:lang w:val="en-US"/>
        </w:rPr>
        <w:t>).</w:t>
      </w:r>
    </w:p>
    <w:p w14:paraId="457B4C78" w14:textId="1A6BB5C9" w:rsidR="005C5974" w:rsidRPr="005C5974" w:rsidRDefault="005C5974" w:rsidP="00142A98">
      <w:pPr>
        <w:pStyle w:val="SCCNormalDoubleSpacing"/>
        <w:spacing w:after="240" w:line="240" w:lineRule="auto"/>
        <w:ind w:left="547" w:hanging="547"/>
        <w:rPr>
          <w:lang w:val="en-US"/>
        </w:rPr>
      </w:pPr>
      <w:r>
        <w:t>Coughlan,</w:t>
      </w:r>
      <w:r w:rsidRPr="005C5974">
        <w:t xml:space="preserve"> Steve</w:t>
      </w:r>
      <w:r>
        <w:t>. “Threading Together Abuse of Process and Exclusion of Evidence: How i</w:t>
      </w:r>
      <w:r w:rsidR="00142A98">
        <w:t>t Became Possible to Rebuke Mr. </w:t>
      </w:r>
      <w:r>
        <w:t xml:space="preserve">Big” (2015), 71 </w:t>
      </w:r>
      <w:r>
        <w:rPr>
          <w:i/>
        </w:rPr>
        <w:t xml:space="preserve">S.C.L.R. </w:t>
      </w:r>
      <w:r w:rsidRPr="001D48D8">
        <w:t>(2d)</w:t>
      </w:r>
      <w:r>
        <w:rPr>
          <w:i/>
        </w:rPr>
        <w:t xml:space="preserve"> </w:t>
      </w:r>
      <w:r>
        <w:t>415.</w:t>
      </w:r>
    </w:p>
    <w:p w14:paraId="0058CF56" w14:textId="3EEFB74C" w:rsidR="00EB1C9C" w:rsidRDefault="00EB1C9C" w:rsidP="00142A98">
      <w:pPr>
        <w:pStyle w:val="SCCNormalDoubleSpacing"/>
        <w:spacing w:after="240" w:line="240" w:lineRule="auto"/>
        <w:ind w:left="547" w:hanging="547"/>
        <w:rPr>
          <w:lang w:val="en-US"/>
        </w:rPr>
      </w:pPr>
      <w:r>
        <w:t xml:space="preserve">Evans, </w:t>
      </w:r>
      <w:r w:rsidRPr="00EB1C9C">
        <w:t>John M</w:t>
      </w:r>
      <w:r>
        <w:t xml:space="preserve">. “Fair’s Fair: Judging Administrative Procedures” (2015), 28 </w:t>
      </w:r>
      <w:r w:rsidRPr="005B61B1">
        <w:rPr>
          <w:i/>
        </w:rPr>
        <w:t xml:space="preserve">C.J.A.L.P. </w:t>
      </w:r>
      <w:r w:rsidRPr="00F15BEF">
        <w:t>111</w:t>
      </w:r>
      <w:r>
        <w:t>.</w:t>
      </w:r>
    </w:p>
    <w:p w14:paraId="6B8463D1" w14:textId="77777777" w:rsidR="00936D2F" w:rsidRPr="0081134E" w:rsidRDefault="00936D2F" w:rsidP="00142A98">
      <w:pPr>
        <w:pStyle w:val="SCCNormalDoubleSpacing"/>
        <w:spacing w:after="240" w:line="240" w:lineRule="auto"/>
        <w:ind w:left="547" w:hanging="547"/>
        <w:rPr>
          <w:lang w:val="fr-CA"/>
        </w:rPr>
      </w:pPr>
      <w:r w:rsidRPr="00046936">
        <w:rPr>
          <w:lang w:val="fr-CA"/>
        </w:rPr>
        <w:t>Gara</w:t>
      </w:r>
      <w:r w:rsidRPr="00E85A73">
        <w:rPr>
          <w:lang w:val="fr-CA"/>
        </w:rPr>
        <w:t xml:space="preserve">nt, Patrice, avec la collaboration de Philippe Garant et Jérôme Garant. </w:t>
      </w:r>
      <w:r w:rsidRPr="0081134E">
        <w:rPr>
          <w:i/>
          <w:lang w:val="fr-CA"/>
        </w:rPr>
        <w:t>Droit administratif</w:t>
      </w:r>
      <w:r w:rsidRPr="0081134E">
        <w:rPr>
          <w:lang w:val="fr-CA"/>
        </w:rPr>
        <w:t>, 7</w:t>
      </w:r>
      <w:r w:rsidRPr="0081134E">
        <w:rPr>
          <w:vertAlign w:val="superscript"/>
          <w:lang w:val="fr-CA"/>
        </w:rPr>
        <w:t>e</w:t>
      </w:r>
      <w:r w:rsidRPr="0081134E">
        <w:rPr>
          <w:lang w:val="fr-CA"/>
        </w:rPr>
        <w:t xml:space="preserve"> éd. Montréal: Yvon Blais, 2017.</w:t>
      </w:r>
    </w:p>
    <w:p w14:paraId="18D2E21D" w14:textId="7DE2B895" w:rsidR="00575791" w:rsidRPr="00612881" w:rsidRDefault="00142A98" w:rsidP="00142A98">
      <w:pPr>
        <w:pStyle w:val="SCCNormalDoubleSpacing"/>
        <w:spacing w:after="240" w:line="240" w:lineRule="auto"/>
        <w:ind w:left="547" w:hanging="547"/>
        <w:rPr>
          <w:lang w:val="en-US"/>
        </w:rPr>
      </w:pPr>
      <w:r w:rsidRPr="00B566D2">
        <w:rPr>
          <w:lang w:val="fr-CA"/>
        </w:rPr>
        <w:lastRenderedPageBreak/>
        <w:t xml:space="preserve">Jones, David Phillip, and Anne S. </w:t>
      </w:r>
      <w:r w:rsidR="00F62249" w:rsidRPr="00B566D2">
        <w:rPr>
          <w:lang w:val="fr-CA"/>
        </w:rPr>
        <w:t>de Villars.</w:t>
      </w:r>
      <w:r w:rsidR="00575791" w:rsidRPr="00B566D2">
        <w:rPr>
          <w:lang w:val="fr-CA"/>
        </w:rPr>
        <w:t xml:space="preserve"> </w:t>
      </w:r>
      <w:r w:rsidR="00575791" w:rsidRPr="00612881">
        <w:rPr>
          <w:i/>
          <w:lang w:val="en-US"/>
        </w:rPr>
        <w:t xml:space="preserve">Principles of </w:t>
      </w:r>
      <w:r w:rsidR="007C5FA6">
        <w:rPr>
          <w:i/>
          <w:lang w:val="en-US"/>
        </w:rPr>
        <w:t>A</w:t>
      </w:r>
      <w:r w:rsidR="00575791" w:rsidRPr="00612881">
        <w:rPr>
          <w:i/>
          <w:lang w:val="en-US"/>
        </w:rPr>
        <w:t xml:space="preserve">dministrative </w:t>
      </w:r>
      <w:r w:rsidR="007C5FA6">
        <w:rPr>
          <w:i/>
          <w:lang w:val="en-US"/>
        </w:rPr>
        <w:t>L</w:t>
      </w:r>
      <w:r w:rsidR="00575791" w:rsidRPr="00612881">
        <w:rPr>
          <w:i/>
          <w:lang w:val="en-US"/>
        </w:rPr>
        <w:t>aw</w:t>
      </w:r>
      <w:r w:rsidR="00575791" w:rsidRPr="00612881">
        <w:rPr>
          <w:lang w:val="en-US"/>
        </w:rPr>
        <w:t xml:space="preserve">, 7th ed. </w:t>
      </w:r>
      <w:r w:rsidR="00575791" w:rsidRPr="00612881">
        <w:t xml:space="preserve">Toronto: </w:t>
      </w:r>
      <w:r w:rsidR="00831486" w:rsidRPr="00612881">
        <w:t>Carswell</w:t>
      </w:r>
      <w:r w:rsidR="00575791" w:rsidRPr="00612881">
        <w:t>, 2020.</w:t>
      </w:r>
    </w:p>
    <w:p w14:paraId="37CBE449" w14:textId="2F7F5C0B" w:rsidR="00471E75" w:rsidRPr="00612881" w:rsidRDefault="00471E75" w:rsidP="00142A98">
      <w:pPr>
        <w:pStyle w:val="SCCNormalDoubleSpacing"/>
        <w:spacing w:after="240" w:line="240" w:lineRule="auto"/>
        <w:ind w:left="547" w:hanging="547"/>
      </w:pPr>
      <w:proofErr w:type="spellStart"/>
      <w:r w:rsidRPr="00612881">
        <w:t>Lowery</w:t>
      </w:r>
      <w:proofErr w:type="spellEnd"/>
      <w:r w:rsidRPr="00612881">
        <w:t xml:space="preserve">, Finn. “Abuse of Process: The Need for Structure” (2014), 20 </w:t>
      </w:r>
      <w:r w:rsidRPr="00612881">
        <w:rPr>
          <w:i/>
        </w:rPr>
        <w:t xml:space="preserve">Auckland U. L. Rev. </w:t>
      </w:r>
      <w:r w:rsidRPr="00612881">
        <w:t>223.</w:t>
      </w:r>
    </w:p>
    <w:p w14:paraId="310F5EBA" w14:textId="0DE3247A" w:rsidR="00D46546" w:rsidRDefault="00142A98" w:rsidP="00142A98">
      <w:pPr>
        <w:pStyle w:val="SCCNormalDoubleSpacing"/>
        <w:spacing w:after="240" w:line="240" w:lineRule="auto"/>
        <w:ind w:left="547" w:hanging="547"/>
      </w:pPr>
      <w:r>
        <w:t xml:space="preserve">Macaulay, Robert W., James </w:t>
      </w:r>
      <w:r w:rsidR="00896490" w:rsidRPr="00612881">
        <w:t>L. H. Sprague</w:t>
      </w:r>
      <w:r w:rsidR="008E4398">
        <w:t xml:space="preserve"> and</w:t>
      </w:r>
      <w:r w:rsidR="00896490" w:rsidRPr="00612881">
        <w:t xml:space="preserve"> Lorne </w:t>
      </w:r>
      <w:r w:rsidR="00F62249" w:rsidRPr="00612881">
        <w:t>Sossin.</w:t>
      </w:r>
      <w:r w:rsidR="00896490" w:rsidRPr="00612881">
        <w:t xml:space="preserve"> </w:t>
      </w:r>
      <w:r w:rsidR="00896490" w:rsidRPr="00612881">
        <w:rPr>
          <w:i/>
        </w:rPr>
        <w:t xml:space="preserve">Practice and Procedure </w:t>
      </w:r>
      <w:proofErr w:type="gramStart"/>
      <w:r w:rsidR="00896490" w:rsidRPr="00612881">
        <w:rPr>
          <w:i/>
        </w:rPr>
        <w:t>Before</w:t>
      </w:r>
      <w:proofErr w:type="gramEnd"/>
      <w:r w:rsidR="00896490" w:rsidRPr="00612881">
        <w:rPr>
          <w:i/>
        </w:rPr>
        <w:t xml:space="preserve"> Administrative Tribunals</w:t>
      </w:r>
      <w:r w:rsidR="00F62249" w:rsidRPr="00612881">
        <w:t>. Toronto:</w:t>
      </w:r>
      <w:r>
        <w:t xml:space="preserve"> Carswell, 2004 (loose</w:t>
      </w:r>
      <w:r>
        <w:noBreakHyphen/>
      </w:r>
      <w:r w:rsidR="00896490" w:rsidRPr="00612881">
        <w:t xml:space="preserve">leaf updated </w:t>
      </w:r>
      <w:r w:rsidR="0047715D">
        <w:t>June</w:t>
      </w:r>
      <w:r w:rsidR="00896490" w:rsidRPr="00612881">
        <w:t xml:space="preserve"> 2022</w:t>
      </w:r>
      <w:r w:rsidR="0047715D">
        <w:t>, release 6</w:t>
      </w:r>
      <w:r w:rsidR="00896490" w:rsidRPr="00612881">
        <w:t>).</w:t>
      </w:r>
    </w:p>
    <w:p w14:paraId="6B7207EE" w14:textId="046E8D37" w:rsidR="0029616F" w:rsidRPr="00F62249" w:rsidRDefault="00E14358" w:rsidP="00142A98">
      <w:pPr>
        <w:pStyle w:val="SCCNormalDoubleSpacing"/>
        <w:spacing w:after="240" w:line="240" w:lineRule="auto"/>
        <w:ind w:left="547" w:hanging="547"/>
        <w:rPr>
          <w:lang w:val="en-US"/>
        </w:rPr>
      </w:pPr>
      <w:r w:rsidRPr="00DB5FEA">
        <w:t>MacKenzie,</w:t>
      </w:r>
      <w:r>
        <w:t xml:space="preserve"> Gavin. </w:t>
      </w:r>
      <w:r>
        <w:rPr>
          <w:i/>
          <w:iCs/>
        </w:rPr>
        <w:t xml:space="preserve">Lawyers </w:t>
      </w:r>
      <w:r w:rsidR="00D956C4">
        <w:rPr>
          <w:i/>
          <w:iCs/>
        </w:rPr>
        <w:t>&amp;</w:t>
      </w:r>
      <w:r>
        <w:rPr>
          <w:i/>
          <w:iCs/>
        </w:rPr>
        <w:t xml:space="preserve"> Ethics</w:t>
      </w:r>
      <w:r w:rsidRPr="00DB5FEA">
        <w:rPr>
          <w:i/>
          <w:iCs/>
        </w:rPr>
        <w:t>: Professional Responsibility and Discipline</w:t>
      </w:r>
      <w:r>
        <w:t>. Toronto:</w:t>
      </w:r>
      <w:r w:rsidRPr="00DB5FEA">
        <w:t xml:space="preserve"> Carswell, </w:t>
      </w:r>
      <w:r w:rsidRPr="006F58A2">
        <w:t>2009</w:t>
      </w:r>
      <w:r w:rsidR="00142A98">
        <w:t xml:space="preserve"> (loose</w:t>
      </w:r>
      <w:r w:rsidR="00142A98">
        <w:noBreakHyphen/>
      </w:r>
      <w:r w:rsidR="004C5354">
        <w:t>leaf updated June 2022, release 2)</w:t>
      </w:r>
      <w:r w:rsidRPr="00DB5FEA">
        <w:t>.</w:t>
      </w:r>
    </w:p>
    <w:p w14:paraId="2D73C095" w14:textId="1FA50CD4" w:rsidR="00D053F4" w:rsidRDefault="00D053F4" w:rsidP="00142A98">
      <w:pPr>
        <w:pStyle w:val="SCCNormalDoubleSpacing"/>
        <w:spacing w:after="240" w:line="240" w:lineRule="auto"/>
        <w:ind w:left="547" w:hanging="547"/>
      </w:pPr>
      <w:r>
        <w:t xml:space="preserve">McKee, </w:t>
      </w:r>
      <w:r w:rsidRPr="00D053F4">
        <w:t>Derek</w:t>
      </w:r>
      <w:r>
        <w:t xml:space="preserve">. “The Standard of Review for Questions of Procedural Fairness” (2016), 41 </w:t>
      </w:r>
      <w:r w:rsidRPr="005B61B1">
        <w:rPr>
          <w:i/>
        </w:rPr>
        <w:t>Queen</w:t>
      </w:r>
      <w:r>
        <w:rPr>
          <w:i/>
        </w:rPr>
        <w:t>’</w:t>
      </w:r>
      <w:r w:rsidRPr="005B61B1">
        <w:rPr>
          <w:i/>
        </w:rPr>
        <w:t>s L.</w:t>
      </w:r>
      <w:r>
        <w:rPr>
          <w:i/>
        </w:rPr>
        <w:t>J</w:t>
      </w:r>
      <w:r w:rsidRPr="005B61B1">
        <w:rPr>
          <w:i/>
        </w:rPr>
        <w:t>.</w:t>
      </w:r>
      <w:r>
        <w:t xml:space="preserve"> 355.</w:t>
      </w:r>
    </w:p>
    <w:p w14:paraId="69BC302D" w14:textId="73634676" w:rsidR="00896490" w:rsidRPr="00197D46" w:rsidRDefault="00896490" w:rsidP="00142A98">
      <w:pPr>
        <w:pStyle w:val="SCCNormalDoubleSpacing"/>
        <w:spacing w:after="240" w:line="240" w:lineRule="auto"/>
        <w:ind w:left="547" w:hanging="547"/>
        <w:rPr>
          <w:lang w:val="en-US"/>
        </w:rPr>
      </w:pPr>
      <w:proofErr w:type="spellStart"/>
      <w:r w:rsidRPr="00EE2996">
        <w:t>Mullan</w:t>
      </w:r>
      <w:proofErr w:type="spellEnd"/>
      <w:r w:rsidR="00142A98">
        <w:t xml:space="preserve">, David </w:t>
      </w:r>
      <w:r>
        <w:t>J.,</w:t>
      </w:r>
      <w:r w:rsidRPr="00EE2996">
        <w:t xml:space="preserve"> and </w:t>
      </w:r>
      <w:r w:rsidR="00142A98">
        <w:t xml:space="preserve">Deirdre </w:t>
      </w:r>
      <w:r w:rsidR="00F62249">
        <w:t>Harrington</w:t>
      </w:r>
      <w:r w:rsidR="00F62249" w:rsidRPr="00E70C73">
        <w:t>.</w:t>
      </w:r>
      <w:r w:rsidRPr="00E70C73">
        <w:t xml:space="preserve"> </w:t>
      </w:r>
      <w:r w:rsidR="00F62249" w:rsidRPr="00E70C73">
        <w:t>“</w:t>
      </w:r>
      <w:r w:rsidRPr="00E70C73">
        <w:t xml:space="preserve">The </w:t>
      </w:r>
      <w:r w:rsidRPr="00E70C73">
        <w:rPr>
          <w:i/>
        </w:rPr>
        <w:t>Charter</w:t>
      </w:r>
      <w:r w:rsidR="00142A98">
        <w:t xml:space="preserve"> and Administrative Decision</w:t>
      </w:r>
      <w:r w:rsidR="00142A98">
        <w:noBreakHyphen/>
      </w:r>
      <w:r w:rsidRPr="00E70C73">
        <w:t xml:space="preserve">Making: The Dampening Effects of </w:t>
      </w:r>
      <w:r w:rsidRPr="00E70C73">
        <w:rPr>
          <w:i/>
        </w:rPr>
        <w:t>Blencoe</w:t>
      </w:r>
      <w:r w:rsidR="00F62249" w:rsidRPr="00E70C73">
        <w:rPr>
          <w:lang w:val="en-US"/>
        </w:rPr>
        <w:t>”</w:t>
      </w:r>
      <w:r w:rsidRPr="00EE2996">
        <w:t xml:space="preserve"> (2002), 27 </w:t>
      </w:r>
      <w:r w:rsidRPr="000071C8">
        <w:rPr>
          <w:i/>
        </w:rPr>
        <w:t>Queen’s L.J.</w:t>
      </w:r>
      <w:r w:rsidRPr="00EE2996">
        <w:t xml:space="preserve"> 879</w:t>
      </w:r>
      <w:r>
        <w:t>.</w:t>
      </w:r>
    </w:p>
    <w:p w14:paraId="60464DE2" w14:textId="7D4C197E" w:rsidR="00851B90" w:rsidRDefault="00142A98" w:rsidP="00142A98">
      <w:pPr>
        <w:pStyle w:val="SCCNormalDoubleSpacing"/>
        <w:spacing w:after="240" w:line="240" w:lineRule="auto"/>
        <w:ind w:left="547" w:hanging="547"/>
      </w:pPr>
      <w:r>
        <w:rPr>
          <w:lang w:val="en-US"/>
        </w:rPr>
        <w:t xml:space="preserve">Perell, Paul </w:t>
      </w:r>
      <w:r w:rsidR="00851B90" w:rsidRPr="00197D46">
        <w:rPr>
          <w:lang w:val="en-US"/>
        </w:rPr>
        <w:t xml:space="preserve">M. </w:t>
      </w:r>
      <w:r w:rsidR="00851B90" w:rsidRPr="00EE2996">
        <w:t>“A Su</w:t>
      </w:r>
      <w:r w:rsidR="00A41123">
        <w:t>rvey of Abuse of Process”, in Todd</w:t>
      </w:r>
      <w:r>
        <w:t xml:space="preserve"> </w:t>
      </w:r>
      <w:r w:rsidR="00851B90" w:rsidRPr="00EE2996">
        <w:t xml:space="preserve">L. Archibald and </w:t>
      </w:r>
      <w:r w:rsidR="00D97C28" w:rsidRPr="00E70C73">
        <w:t>Randall Scott</w:t>
      </w:r>
      <w:r w:rsidR="00D97C28" w:rsidRPr="00EE2996">
        <w:t xml:space="preserve"> </w:t>
      </w:r>
      <w:r w:rsidR="00851B90" w:rsidRPr="00EE2996">
        <w:t xml:space="preserve">Echlin, eds., </w:t>
      </w:r>
      <w:r w:rsidR="00851B90" w:rsidRPr="00EE2996">
        <w:rPr>
          <w:i/>
        </w:rPr>
        <w:t>Annual Review of Civil Litigation 2007</w:t>
      </w:r>
      <w:r w:rsidR="00851B90">
        <w:t>. Toronto:</w:t>
      </w:r>
      <w:r w:rsidR="00851B90" w:rsidRPr="00EE2996">
        <w:t xml:space="preserve"> </w:t>
      </w:r>
      <w:r w:rsidR="00E70C73">
        <w:t xml:space="preserve">Thomson </w:t>
      </w:r>
      <w:r w:rsidR="00851B90" w:rsidRPr="00EE2996">
        <w:t>Carswell, 2007</w:t>
      </w:r>
      <w:r w:rsidR="00851B90">
        <w:t>.</w:t>
      </w:r>
    </w:p>
    <w:p w14:paraId="1EC9E004" w14:textId="0845081F" w:rsidR="00A149DF" w:rsidRPr="009E1E3F" w:rsidRDefault="00936D2F" w:rsidP="00142A98">
      <w:pPr>
        <w:pStyle w:val="SCCNormalDoubleSpacing"/>
        <w:spacing w:after="240" w:line="240" w:lineRule="auto"/>
        <w:ind w:left="547" w:hanging="547"/>
        <w:rPr>
          <w:lang w:val="fr-CA"/>
        </w:rPr>
      </w:pPr>
      <w:r w:rsidRPr="00095575">
        <w:t>Régimbald</w:t>
      </w:r>
      <w:r>
        <w:t xml:space="preserve">, Guy. </w:t>
      </w:r>
      <w:r w:rsidRPr="00EE2996">
        <w:rPr>
          <w:i/>
        </w:rPr>
        <w:t>Canadian Administrative Law</w:t>
      </w:r>
      <w:r>
        <w:t xml:space="preserve">, 3rd ed. </w:t>
      </w:r>
      <w:r w:rsidRPr="009E1E3F">
        <w:rPr>
          <w:lang w:val="fr-CA"/>
        </w:rPr>
        <w:t xml:space="preserve">Toronto: </w:t>
      </w:r>
      <w:proofErr w:type="spellStart"/>
      <w:r w:rsidRPr="009E1E3F">
        <w:rPr>
          <w:lang w:val="fr-CA"/>
        </w:rPr>
        <w:t>LexisNexis</w:t>
      </w:r>
      <w:proofErr w:type="spellEnd"/>
      <w:r w:rsidRPr="009E1E3F">
        <w:rPr>
          <w:lang w:val="fr-CA"/>
        </w:rPr>
        <w:t>, 2021.</w:t>
      </w:r>
    </w:p>
    <w:p w14:paraId="54947C37" w14:textId="2A04D032" w:rsidR="00086172" w:rsidRPr="00F62249" w:rsidRDefault="00086172" w:rsidP="00142A98">
      <w:pPr>
        <w:pStyle w:val="SCCNormalDoubleSpacing"/>
        <w:spacing w:after="720" w:line="240" w:lineRule="auto"/>
        <w:ind w:left="547" w:hanging="547"/>
        <w:rPr>
          <w:lang w:val="fr-CA"/>
        </w:rPr>
      </w:pPr>
      <w:r w:rsidRPr="00EE2996">
        <w:rPr>
          <w:lang w:val="fr-CA"/>
        </w:rPr>
        <w:t xml:space="preserve">Villeneuve, </w:t>
      </w:r>
      <w:r w:rsidR="00142A98">
        <w:rPr>
          <w:lang w:val="fr-CA"/>
        </w:rPr>
        <w:t>Jean</w:t>
      </w:r>
      <w:r w:rsidR="00142A98">
        <w:rPr>
          <w:lang w:val="fr-CA"/>
        </w:rPr>
        <w:noBreakHyphen/>
      </w:r>
      <w:r>
        <w:rPr>
          <w:lang w:val="fr-CA"/>
        </w:rPr>
        <w:t xml:space="preserve">Guy, et </w:t>
      </w:r>
      <w:r w:rsidRPr="00E70C73">
        <w:rPr>
          <w:lang w:val="fr-CA"/>
        </w:rPr>
        <w:t>autres</w:t>
      </w:r>
      <w:r w:rsidR="00F62249" w:rsidRPr="00E70C73">
        <w:rPr>
          <w:lang w:val="fr-CA"/>
        </w:rPr>
        <w:t>.</w:t>
      </w:r>
      <w:r w:rsidRPr="00E70C73">
        <w:rPr>
          <w:lang w:val="fr-CA"/>
        </w:rPr>
        <w:t xml:space="preserve"> </w:t>
      </w:r>
      <w:r w:rsidRPr="00E70C73">
        <w:rPr>
          <w:i/>
          <w:lang w:val="fr-CA"/>
        </w:rPr>
        <w:t>Précis</w:t>
      </w:r>
      <w:r w:rsidRPr="00EE2996">
        <w:rPr>
          <w:i/>
          <w:lang w:val="fr-CA"/>
        </w:rPr>
        <w:t xml:space="preserve"> de droit professionnel</w:t>
      </w:r>
      <w:r>
        <w:rPr>
          <w:lang w:val="fr-CA"/>
        </w:rPr>
        <w:t xml:space="preserve">. </w:t>
      </w:r>
      <w:proofErr w:type="spellStart"/>
      <w:r>
        <w:rPr>
          <w:lang w:val="fr-CA"/>
        </w:rPr>
        <w:t>Cowansville</w:t>
      </w:r>
      <w:proofErr w:type="spellEnd"/>
      <w:r>
        <w:rPr>
          <w:lang w:val="fr-CA"/>
        </w:rPr>
        <w:t>, Que.: Yvon Blais,</w:t>
      </w:r>
      <w:r w:rsidRPr="00EE2996">
        <w:rPr>
          <w:lang w:val="fr-CA"/>
        </w:rPr>
        <w:t xml:space="preserve"> 2007</w:t>
      </w:r>
      <w:r>
        <w:rPr>
          <w:lang w:val="fr-CA"/>
        </w:rPr>
        <w:t>.</w:t>
      </w:r>
    </w:p>
    <w:p w14:paraId="3F5D9D02" w14:textId="2B65A12A" w:rsidR="00142A98" w:rsidRPr="00E44667" w:rsidRDefault="00AA70BF" w:rsidP="00142A98">
      <w:pPr>
        <w:pStyle w:val="SCCNormalDoubleSpacing"/>
        <w:spacing w:after="480"/>
      </w:pPr>
      <w:r w:rsidRPr="00F62249">
        <w:rPr>
          <w:lang w:val="fr-CA"/>
        </w:rPr>
        <w:tab/>
      </w:r>
      <w:r w:rsidR="009B57B3" w:rsidRPr="00143998">
        <w:rPr>
          <w:lang w:val="en-US"/>
        </w:rPr>
        <w:t>APPEAL from a judgment of the</w:t>
      </w:r>
      <w:r w:rsidRPr="00143998">
        <w:rPr>
          <w:lang w:val="en-US"/>
        </w:rPr>
        <w:t xml:space="preserve"> Saskatchewan</w:t>
      </w:r>
      <w:r w:rsidR="009B57B3" w:rsidRPr="00143998">
        <w:rPr>
          <w:lang w:val="en-US"/>
        </w:rPr>
        <w:t xml:space="preserve"> </w:t>
      </w:r>
      <w:r w:rsidRPr="00143998">
        <w:rPr>
          <w:lang w:val="en-US"/>
        </w:rPr>
        <w:t>Court of Appeal</w:t>
      </w:r>
      <w:r w:rsidR="00FC7043" w:rsidRPr="00143998">
        <w:rPr>
          <w:lang w:val="en-US"/>
        </w:rPr>
        <w:t xml:space="preserve"> (</w:t>
      </w:r>
      <w:r w:rsidR="000948A2" w:rsidRPr="00AF308D">
        <w:rPr>
          <w:lang w:val="en-US"/>
        </w:rPr>
        <w:t>Ot</w:t>
      </w:r>
      <w:r w:rsidR="00142A98">
        <w:rPr>
          <w:lang w:val="en-US"/>
        </w:rPr>
        <w:t>tenbreit, Leurer and Barrington</w:t>
      </w:r>
      <w:r w:rsidR="00142A98">
        <w:rPr>
          <w:lang w:val="en-US"/>
        </w:rPr>
        <w:noBreakHyphen/>
      </w:r>
      <w:r w:rsidR="000948A2" w:rsidRPr="00AF308D">
        <w:rPr>
          <w:lang w:val="en-US"/>
        </w:rPr>
        <w:t>Foote</w:t>
      </w:r>
      <w:r w:rsidR="00142A98">
        <w:rPr>
          <w:lang w:val="en-US"/>
        </w:rPr>
        <w:t xml:space="preserve"> </w:t>
      </w:r>
      <w:r w:rsidR="00FC7043" w:rsidRPr="00143998">
        <w:rPr>
          <w:lang w:val="en-US"/>
        </w:rPr>
        <w:t xml:space="preserve">JJ.A.), </w:t>
      </w:r>
      <w:hyperlink r:id="rId9" w:history="1">
        <w:r w:rsidR="00FC7043" w:rsidRPr="00143998">
          <w:rPr>
            <w:rStyle w:val="Hyperlink"/>
            <w:lang w:val="en-US"/>
          </w:rPr>
          <w:t>2020 SKCA 81</w:t>
        </w:r>
      </w:hyperlink>
      <w:r w:rsidR="00FC7043" w:rsidRPr="00143998">
        <w:rPr>
          <w:lang w:val="en-US"/>
        </w:rPr>
        <w:t>, [2020</w:t>
      </w:r>
      <w:r w:rsidR="00142A98">
        <w:rPr>
          <w:lang w:val="en-US"/>
        </w:rPr>
        <w:t>] S.J. No. </w:t>
      </w:r>
      <w:r w:rsidR="00FC7043" w:rsidRPr="009E1E3F">
        <w:rPr>
          <w:lang w:val="en-US"/>
        </w:rPr>
        <w:t xml:space="preserve">266 (QL), 2020 </w:t>
      </w:r>
      <w:proofErr w:type="spellStart"/>
      <w:r w:rsidR="00FC7043" w:rsidRPr="009E1E3F">
        <w:rPr>
          <w:lang w:val="en-US"/>
        </w:rPr>
        <w:t>CarswellSask</w:t>
      </w:r>
      <w:proofErr w:type="spellEnd"/>
      <w:r w:rsidR="00FC7043" w:rsidRPr="009E1E3F">
        <w:rPr>
          <w:lang w:val="en-US"/>
        </w:rPr>
        <w:t xml:space="preserve"> 336</w:t>
      </w:r>
      <w:r w:rsidR="00B83F25" w:rsidRPr="009E1E3F">
        <w:rPr>
          <w:lang w:val="en-US"/>
        </w:rPr>
        <w:t xml:space="preserve"> (WL</w:t>
      </w:r>
      <w:r w:rsidR="00FC7043" w:rsidRPr="00E44667">
        <w:rPr>
          <w:lang w:val="en-US"/>
        </w:rPr>
        <w:t>), setting aside a decision of</w:t>
      </w:r>
      <w:r w:rsidR="0086100A" w:rsidRPr="00E44667">
        <w:rPr>
          <w:lang w:val="en-US"/>
        </w:rPr>
        <w:t xml:space="preserve"> the Hearing Committee</w:t>
      </w:r>
      <w:r w:rsidR="00FC7043" w:rsidRPr="00E44667">
        <w:rPr>
          <w:lang w:val="en-US"/>
        </w:rPr>
        <w:t xml:space="preserve"> </w:t>
      </w:r>
      <w:r w:rsidR="00F200C3" w:rsidRPr="00E44667">
        <w:rPr>
          <w:lang w:val="en-US"/>
        </w:rPr>
        <w:t xml:space="preserve">for the Law Society of Saskatchewan </w:t>
      </w:r>
      <w:r w:rsidR="0086100A" w:rsidRPr="00E44667">
        <w:rPr>
          <w:lang w:val="en-US"/>
        </w:rPr>
        <w:t>(Chow, McCuskee and Sorestad)</w:t>
      </w:r>
      <w:r w:rsidR="000C5597" w:rsidRPr="00E44667">
        <w:rPr>
          <w:lang w:val="en-US"/>
        </w:rPr>
        <w:t xml:space="preserve">, </w:t>
      </w:r>
      <w:r w:rsidR="00FE652C" w:rsidRPr="00E44667">
        <w:rPr>
          <w:lang w:val="en-US"/>
        </w:rPr>
        <w:t>2018 SKLSS 8</w:t>
      </w:r>
      <w:r w:rsidR="00E44667" w:rsidRPr="00E44667">
        <w:rPr>
          <w:lang w:val="en-US"/>
        </w:rPr>
        <w:t xml:space="preserve">, [2018] L.S.D.D. No. 265 (QL). Appeal allowed, </w:t>
      </w:r>
      <w:r w:rsidR="00472FF5">
        <w:rPr>
          <w:lang w:val="en-US"/>
        </w:rPr>
        <w:t>Côté J. dissenting</w:t>
      </w:r>
      <w:r w:rsidR="00E44667" w:rsidRPr="00E44667">
        <w:rPr>
          <w:lang w:val="en-US"/>
        </w:rPr>
        <w:t>.</w:t>
      </w:r>
    </w:p>
    <w:p w14:paraId="60925AE4" w14:textId="260F3E68" w:rsidR="00142A98" w:rsidRDefault="00142A98" w:rsidP="00142A98">
      <w:pPr>
        <w:pStyle w:val="SCCNormalDoubleSpacing"/>
        <w:spacing w:after="480"/>
      </w:pPr>
      <w:r>
        <w:rPr>
          <w:rStyle w:val="SCCCounselNameChar"/>
        </w:rPr>
        <w:tab/>
        <w:t>Alyssa Tomkins</w:t>
      </w:r>
      <w:r w:rsidRPr="002467FE">
        <w:rPr>
          <w:rStyle w:val="SCCCounselNameChar"/>
          <w:i w:val="0"/>
        </w:rPr>
        <w:t>,</w:t>
      </w:r>
      <w:r w:rsidRPr="00F200C3">
        <w:rPr>
          <w:rStyle w:val="SCCCounselNameChar"/>
        </w:rPr>
        <w:t xml:space="preserve"> </w:t>
      </w:r>
      <w:r>
        <w:rPr>
          <w:rStyle w:val="SCCCounselNameChar"/>
        </w:rPr>
        <w:t xml:space="preserve">Paul Daly </w:t>
      </w:r>
      <w:r>
        <w:rPr>
          <w:rStyle w:val="SCCCounselSeparatorChar"/>
        </w:rPr>
        <w:t xml:space="preserve">and </w:t>
      </w:r>
      <w:r>
        <w:rPr>
          <w:rStyle w:val="SCCCounselNameChar"/>
        </w:rPr>
        <w:t xml:space="preserve">Charles R. </w:t>
      </w:r>
      <w:proofErr w:type="spellStart"/>
      <w:r>
        <w:rPr>
          <w:rStyle w:val="SCCCounselNameChar"/>
        </w:rPr>
        <w:t>Daoust</w:t>
      </w:r>
      <w:proofErr w:type="spellEnd"/>
      <w:r>
        <w:rPr>
          <w:rStyle w:val="SCCCounselPartyRoleChar"/>
        </w:rPr>
        <w:t>, for the appellant.</w:t>
      </w:r>
    </w:p>
    <w:p w14:paraId="002CB63F" w14:textId="5C2DE4C3" w:rsidR="00142A98" w:rsidRDefault="00142A98" w:rsidP="00142A98">
      <w:pPr>
        <w:pStyle w:val="SCCNormalDoubleSpacing"/>
        <w:spacing w:after="480"/>
      </w:pPr>
      <w:r>
        <w:rPr>
          <w:rStyle w:val="SCCCounselNameChar"/>
        </w:rPr>
        <w:lastRenderedPageBreak/>
        <w:tab/>
      </w:r>
      <w:r w:rsidR="00462B18">
        <w:rPr>
          <w:rStyle w:val="SCCCounselNameChar"/>
        </w:rPr>
        <w:t xml:space="preserve">Amanda </w:t>
      </w:r>
      <w:r>
        <w:rPr>
          <w:rStyle w:val="SCCCounselNameChar"/>
        </w:rPr>
        <w:t xml:space="preserve">M. </w:t>
      </w:r>
      <w:r w:rsidRPr="007C2FC5">
        <w:rPr>
          <w:rStyle w:val="SCCCounselNameChar"/>
        </w:rPr>
        <w:t>Quayle</w:t>
      </w:r>
      <w:r w:rsidRPr="007C2FC5">
        <w:rPr>
          <w:rStyle w:val="SCCCounselNameChar"/>
          <w:i w:val="0"/>
        </w:rPr>
        <w:t>,</w:t>
      </w:r>
      <w:r w:rsidRPr="007C2FC5">
        <w:rPr>
          <w:rStyle w:val="SCCCounselNameChar"/>
        </w:rPr>
        <w:t xml:space="preserve"> Q.C.</w:t>
      </w:r>
      <w:r w:rsidRPr="007C2FC5">
        <w:rPr>
          <w:rStyle w:val="SCCCounselNameChar"/>
          <w:i w:val="0"/>
        </w:rPr>
        <w:t>,</w:t>
      </w:r>
      <w:r w:rsidR="00462B18">
        <w:rPr>
          <w:rStyle w:val="SCCCounselNameChar"/>
        </w:rPr>
        <w:t xml:space="preserve"> Gordon </w:t>
      </w:r>
      <w:r w:rsidRPr="007C2FC5">
        <w:rPr>
          <w:rStyle w:val="SCCCounselNameChar"/>
        </w:rPr>
        <w:t>J. Kuski</w:t>
      </w:r>
      <w:r w:rsidRPr="007C2FC5">
        <w:rPr>
          <w:rStyle w:val="SCCCounselNameChar"/>
          <w:i w:val="0"/>
        </w:rPr>
        <w:t>,</w:t>
      </w:r>
      <w:r w:rsidRPr="007C2FC5">
        <w:rPr>
          <w:rStyle w:val="SCCCounselNameChar"/>
        </w:rPr>
        <w:t xml:space="preserve"> Q.C.</w:t>
      </w:r>
      <w:r w:rsidRPr="007C2FC5">
        <w:rPr>
          <w:rStyle w:val="SCCCounselNameChar"/>
          <w:i w:val="0"/>
        </w:rPr>
        <w:t>,</w:t>
      </w:r>
      <w:r w:rsidRPr="007C2FC5">
        <w:rPr>
          <w:rStyle w:val="SCCCounselSeparatorChar"/>
        </w:rPr>
        <w:t xml:space="preserve"> and</w:t>
      </w:r>
      <w:r>
        <w:rPr>
          <w:rStyle w:val="SCCCounselSeparatorChar"/>
        </w:rPr>
        <w:t xml:space="preserve"> </w:t>
      </w:r>
      <w:r w:rsidR="00462B18">
        <w:rPr>
          <w:rStyle w:val="SCCCounselSeparatorChar"/>
          <w:i/>
          <w:lang w:val="en-US"/>
        </w:rPr>
        <w:t xml:space="preserve">Lauren </w:t>
      </w:r>
      <w:r w:rsidRPr="009E1E3F">
        <w:rPr>
          <w:rStyle w:val="SCCCounselSeparatorChar"/>
          <w:i/>
          <w:lang w:val="en-US"/>
        </w:rPr>
        <w:t xml:space="preserve">J. </w:t>
      </w:r>
      <w:proofErr w:type="spellStart"/>
      <w:r w:rsidRPr="009E1E3F">
        <w:rPr>
          <w:rStyle w:val="SCCCounselSeparatorChar"/>
          <w:i/>
          <w:lang w:val="en-US"/>
        </w:rPr>
        <w:t>Wihak</w:t>
      </w:r>
      <w:proofErr w:type="spellEnd"/>
      <w:r>
        <w:rPr>
          <w:rStyle w:val="SCCCounselPartyRoleChar"/>
        </w:rPr>
        <w:t>, for the respondent.</w:t>
      </w:r>
    </w:p>
    <w:p w14:paraId="2C07CF2D" w14:textId="77777777" w:rsidR="00142A98" w:rsidRDefault="00142A98" w:rsidP="00142A98">
      <w:pPr>
        <w:pStyle w:val="SCCNormalDoubleSpacing"/>
        <w:spacing w:after="480"/>
      </w:pPr>
      <w:r>
        <w:rPr>
          <w:rStyle w:val="SCCCounselNameChar"/>
        </w:rPr>
        <w:tab/>
        <w:t>Alexandra Clark</w:t>
      </w:r>
      <w:r>
        <w:rPr>
          <w:rStyle w:val="SCCCounselSeparatorChar"/>
        </w:rPr>
        <w:t xml:space="preserve"> and </w:t>
      </w:r>
      <w:r>
        <w:rPr>
          <w:rStyle w:val="SCCCounselNameChar"/>
        </w:rPr>
        <w:t>Matthew Chung</w:t>
      </w:r>
      <w:r>
        <w:rPr>
          <w:rStyle w:val="SCCCounselPartyRoleChar"/>
        </w:rPr>
        <w:t>, for the intervener the Attorney General of Ontario.</w:t>
      </w:r>
    </w:p>
    <w:p w14:paraId="1BDFD9DA" w14:textId="77777777" w:rsidR="00142A98" w:rsidRDefault="00142A98" w:rsidP="00142A98">
      <w:pPr>
        <w:pStyle w:val="SCCNormalDoubleSpacing"/>
        <w:spacing w:after="480"/>
      </w:pPr>
      <w:r>
        <w:rPr>
          <w:rStyle w:val="SCCCounselNameChar"/>
        </w:rPr>
        <w:tab/>
        <w:t>Stéphane Rochette</w:t>
      </w:r>
      <w:r>
        <w:rPr>
          <w:rStyle w:val="SCCCounselSeparatorChar"/>
        </w:rPr>
        <w:t xml:space="preserve"> and </w:t>
      </w:r>
      <w:proofErr w:type="spellStart"/>
      <w:r>
        <w:rPr>
          <w:rStyle w:val="SCCCounselNameChar"/>
        </w:rPr>
        <w:t>Abdou</w:t>
      </w:r>
      <w:proofErr w:type="spellEnd"/>
      <w:r>
        <w:rPr>
          <w:rStyle w:val="SCCCounselNameChar"/>
        </w:rPr>
        <w:t xml:space="preserve"> </w:t>
      </w:r>
      <w:proofErr w:type="spellStart"/>
      <w:r>
        <w:rPr>
          <w:rStyle w:val="SCCCounselNameChar"/>
        </w:rPr>
        <w:t>Thiaw</w:t>
      </w:r>
      <w:proofErr w:type="spellEnd"/>
      <w:r>
        <w:rPr>
          <w:rStyle w:val="SCCCounselPartyRoleChar"/>
        </w:rPr>
        <w:t>, for the intervener the Attorney General of Quebec.</w:t>
      </w:r>
    </w:p>
    <w:p w14:paraId="4532AC25" w14:textId="77777777" w:rsidR="00142A98" w:rsidRDefault="00142A98" w:rsidP="00142A98">
      <w:pPr>
        <w:pStyle w:val="SCCNormalDoubleSpacing"/>
        <w:spacing w:after="480"/>
        <w:rPr>
          <w:rStyle w:val="SCCCounselPartyRoleChar"/>
        </w:rPr>
      </w:pPr>
      <w:r>
        <w:rPr>
          <w:rStyle w:val="SCCCounselNameChar"/>
        </w:rPr>
        <w:tab/>
      </w:r>
      <w:proofErr w:type="spellStart"/>
      <w:r>
        <w:rPr>
          <w:rStyle w:val="SCCCounselNameChar"/>
        </w:rPr>
        <w:t>Meera</w:t>
      </w:r>
      <w:proofErr w:type="spellEnd"/>
      <w:r>
        <w:rPr>
          <w:rStyle w:val="SCCCounselNameChar"/>
        </w:rPr>
        <w:t xml:space="preserve"> Bennett</w:t>
      </w:r>
      <w:r>
        <w:rPr>
          <w:rStyle w:val="SCCCounselSeparatorChar"/>
        </w:rPr>
        <w:t xml:space="preserve"> and </w:t>
      </w:r>
      <w:r>
        <w:rPr>
          <w:rStyle w:val="SCCCounselNameChar"/>
        </w:rPr>
        <w:t xml:space="preserve">Robert </w:t>
      </w:r>
      <w:proofErr w:type="spellStart"/>
      <w:r>
        <w:rPr>
          <w:rStyle w:val="SCCCounselNameChar"/>
        </w:rPr>
        <w:t>Danay</w:t>
      </w:r>
      <w:proofErr w:type="spellEnd"/>
      <w:r>
        <w:rPr>
          <w:rStyle w:val="SCCCounselPartyRoleChar"/>
        </w:rPr>
        <w:t>, for the intervener the Attorney General of British Columbia.</w:t>
      </w:r>
    </w:p>
    <w:p w14:paraId="3EAE8BA3" w14:textId="168B6678" w:rsidR="00142A98" w:rsidRPr="007C2FC5" w:rsidRDefault="00142A98" w:rsidP="00142A98">
      <w:pPr>
        <w:pStyle w:val="SCCNormalDoubleSpacing"/>
        <w:spacing w:after="480"/>
      </w:pPr>
      <w:r>
        <w:rPr>
          <w:rStyle w:val="SCCCounselPartyRoleChar"/>
        </w:rPr>
        <w:tab/>
      </w:r>
      <w:r w:rsidRPr="007C2FC5">
        <w:rPr>
          <w:rStyle w:val="SCCCounselNameChar"/>
        </w:rPr>
        <w:t xml:space="preserve">Laura </w:t>
      </w:r>
      <w:proofErr w:type="spellStart"/>
      <w:r w:rsidRPr="007C2FC5">
        <w:rPr>
          <w:rStyle w:val="SCCCounselNameChar"/>
        </w:rPr>
        <w:t>Mazenc</w:t>
      </w:r>
      <w:proofErr w:type="spellEnd"/>
      <w:r w:rsidRPr="007C2FC5">
        <w:rPr>
          <w:rStyle w:val="SCCCounselSeparatorChar"/>
        </w:rPr>
        <w:t xml:space="preserve"> and </w:t>
      </w:r>
      <w:r w:rsidR="00462B18">
        <w:rPr>
          <w:rStyle w:val="SCCCounselNameChar"/>
        </w:rPr>
        <w:t xml:space="preserve">Johnna Van </w:t>
      </w:r>
      <w:r w:rsidRPr="007C2FC5">
        <w:rPr>
          <w:rStyle w:val="SCCCounselNameChar"/>
        </w:rPr>
        <w:t>Parys</w:t>
      </w:r>
      <w:r w:rsidRPr="007C2FC5">
        <w:rPr>
          <w:rStyle w:val="SCCCounselPartyRoleChar"/>
        </w:rPr>
        <w:t>, for the intervener the Attorney General of Saskatchewan.</w:t>
      </w:r>
    </w:p>
    <w:p w14:paraId="48FBD6B0" w14:textId="3ED2C077" w:rsidR="00142A98" w:rsidRPr="007C2FC5" w:rsidRDefault="00142A98" w:rsidP="00142A98">
      <w:pPr>
        <w:pStyle w:val="SCCNormalDoubleSpacing"/>
        <w:spacing w:after="480"/>
      </w:pPr>
      <w:r w:rsidRPr="007C2FC5">
        <w:rPr>
          <w:rStyle w:val="SCCCounselNameChar"/>
        </w:rPr>
        <w:tab/>
      </w:r>
      <w:r w:rsidR="00462B18">
        <w:rPr>
          <w:rStyle w:val="SCCCounselNameChar"/>
        </w:rPr>
        <w:t xml:space="preserve">James </w:t>
      </w:r>
      <w:r w:rsidRPr="007C2FC5">
        <w:rPr>
          <w:rStyle w:val="SCCCounselNameChar"/>
        </w:rPr>
        <w:t>T. Casey</w:t>
      </w:r>
      <w:r w:rsidRPr="007C2FC5">
        <w:rPr>
          <w:rStyle w:val="SCCCounselNameChar"/>
          <w:i w:val="0"/>
        </w:rPr>
        <w:t>,</w:t>
      </w:r>
      <w:r w:rsidRPr="007C2FC5">
        <w:rPr>
          <w:rStyle w:val="SCCCounselNameChar"/>
        </w:rPr>
        <w:t xml:space="preserve"> Q.C.</w:t>
      </w:r>
      <w:r w:rsidRPr="007C2FC5">
        <w:rPr>
          <w:rStyle w:val="SCCCounselNameChar"/>
          <w:i w:val="0"/>
        </w:rPr>
        <w:t>,</w:t>
      </w:r>
      <w:r w:rsidRPr="007C2FC5">
        <w:rPr>
          <w:rStyle w:val="SCCCounselSeparatorChar"/>
        </w:rPr>
        <w:t xml:space="preserve"> and </w:t>
      </w:r>
      <w:r w:rsidRPr="007C2FC5">
        <w:rPr>
          <w:rStyle w:val="SCCCounselNameChar"/>
        </w:rPr>
        <w:t xml:space="preserve">Katrina </w:t>
      </w:r>
      <w:proofErr w:type="spellStart"/>
      <w:r w:rsidRPr="007C2FC5">
        <w:rPr>
          <w:rStyle w:val="SCCCounselNameChar"/>
        </w:rPr>
        <w:t>Haymond</w:t>
      </w:r>
      <w:proofErr w:type="spellEnd"/>
      <w:r w:rsidRPr="007C2FC5">
        <w:rPr>
          <w:rStyle w:val="SCCCounselPartyRoleChar"/>
        </w:rPr>
        <w:t>, for the intervener the Law Society of Alberta.</w:t>
      </w:r>
    </w:p>
    <w:p w14:paraId="31260D1E" w14:textId="77777777" w:rsidR="00142A98" w:rsidRPr="007C2FC5" w:rsidRDefault="00142A98" w:rsidP="00142A98">
      <w:pPr>
        <w:pStyle w:val="SCCNormalDoubleSpacing"/>
        <w:spacing w:after="480"/>
      </w:pPr>
      <w:r w:rsidRPr="007C2FC5">
        <w:rPr>
          <w:rStyle w:val="SCCCounselNameChar"/>
        </w:rPr>
        <w:tab/>
        <w:t>Ayli Klein</w:t>
      </w:r>
      <w:r w:rsidRPr="007C2FC5">
        <w:rPr>
          <w:rStyle w:val="SCCCounselPartyRoleChar"/>
        </w:rPr>
        <w:t>, for the intervener the Law Society of Manitoba.</w:t>
      </w:r>
    </w:p>
    <w:p w14:paraId="65F0D4DA" w14:textId="77777777" w:rsidR="00142A98" w:rsidRPr="007C2FC5" w:rsidRDefault="00142A98" w:rsidP="00142A98">
      <w:pPr>
        <w:pStyle w:val="SCCNormalDoubleSpacing"/>
        <w:spacing w:after="480"/>
      </w:pPr>
      <w:r w:rsidRPr="007C2FC5">
        <w:rPr>
          <w:rStyle w:val="SCCCounselNameChar"/>
        </w:rPr>
        <w:tab/>
        <w:t>Lisa Brownstone</w:t>
      </w:r>
      <w:r w:rsidRPr="007C2FC5">
        <w:rPr>
          <w:rStyle w:val="SCCCounselNameChar"/>
          <w:i w:val="0"/>
        </w:rPr>
        <w:t>,</w:t>
      </w:r>
      <w:r w:rsidRPr="007C2FC5">
        <w:rPr>
          <w:rStyle w:val="SCCCounselNameChar"/>
        </w:rPr>
        <w:t xml:space="preserve"> Amy Block </w:t>
      </w:r>
      <w:r w:rsidRPr="007C2FC5">
        <w:rPr>
          <w:rStyle w:val="SCCCounselSeparatorChar"/>
        </w:rPr>
        <w:t xml:space="preserve">and </w:t>
      </w:r>
      <w:r w:rsidRPr="007C2FC5">
        <w:rPr>
          <w:rStyle w:val="SCCCounselNameChar"/>
        </w:rPr>
        <w:t>Linda Rothstein</w:t>
      </w:r>
      <w:r w:rsidRPr="007C2FC5">
        <w:rPr>
          <w:rStyle w:val="SCCCounselPartyRoleChar"/>
        </w:rPr>
        <w:t>, for the interveners the College of Physicians and Surgeons of Ontario, the College of Nurses of Ontario, the Ontario College of Pharmacists and the Royal College of Dental Surgeons of Ontario.</w:t>
      </w:r>
    </w:p>
    <w:p w14:paraId="43C3F855" w14:textId="77777777" w:rsidR="00142A98" w:rsidRPr="007C2FC5" w:rsidRDefault="00142A98" w:rsidP="00142A98">
      <w:pPr>
        <w:pStyle w:val="SCCNormalDoubleSpacing"/>
        <w:spacing w:after="480"/>
      </w:pPr>
      <w:r w:rsidRPr="007C2FC5">
        <w:rPr>
          <w:rStyle w:val="SCCCounselNameChar"/>
        </w:rPr>
        <w:lastRenderedPageBreak/>
        <w:tab/>
      </w:r>
      <w:proofErr w:type="spellStart"/>
      <w:r w:rsidRPr="007C2FC5">
        <w:rPr>
          <w:rStyle w:val="SCCCounselNameChar"/>
        </w:rPr>
        <w:t>Ewa</w:t>
      </w:r>
      <w:proofErr w:type="spellEnd"/>
      <w:r w:rsidRPr="007C2FC5">
        <w:rPr>
          <w:rStyle w:val="SCCCounselNameChar"/>
        </w:rPr>
        <w:t xml:space="preserve"> </w:t>
      </w:r>
      <w:proofErr w:type="spellStart"/>
      <w:r w:rsidRPr="007C2FC5">
        <w:rPr>
          <w:rStyle w:val="SCCCounselNameChar"/>
        </w:rPr>
        <w:t>Krajewska</w:t>
      </w:r>
      <w:proofErr w:type="spellEnd"/>
      <w:r w:rsidRPr="007C2FC5">
        <w:rPr>
          <w:rStyle w:val="SCCCounselNameChar"/>
        </w:rPr>
        <w:t xml:space="preserve"> </w:t>
      </w:r>
      <w:r w:rsidRPr="007C2FC5">
        <w:rPr>
          <w:rStyle w:val="SCCCounselSeparatorChar"/>
        </w:rPr>
        <w:t>and</w:t>
      </w:r>
      <w:r w:rsidRPr="007C2FC5">
        <w:rPr>
          <w:rStyle w:val="SCCCounselNameChar"/>
        </w:rPr>
        <w:t xml:space="preserve"> </w:t>
      </w:r>
      <w:proofErr w:type="spellStart"/>
      <w:r w:rsidRPr="007C2FC5">
        <w:rPr>
          <w:rStyle w:val="SCCCounselNameChar"/>
        </w:rPr>
        <w:t>Mannu</w:t>
      </w:r>
      <w:proofErr w:type="spellEnd"/>
      <w:r w:rsidRPr="007C2FC5">
        <w:rPr>
          <w:rStyle w:val="SCCCounselNameChar"/>
        </w:rPr>
        <w:t xml:space="preserve"> Chowdhury</w:t>
      </w:r>
      <w:r w:rsidRPr="007C2FC5">
        <w:rPr>
          <w:rStyle w:val="SCCCounselPartyRoleChar"/>
        </w:rPr>
        <w:t>, for the intervener the Federation of Law Societies of Canada.</w:t>
      </w:r>
    </w:p>
    <w:p w14:paraId="2982A7F8" w14:textId="77777777" w:rsidR="00142A98" w:rsidRPr="007C2FC5" w:rsidRDefault="00142A98" w:rsidP="00142A98">
      <w:pPr>
        <w:pStyle w:val="SCCNormalDoubleSpacing"/>
        <w:spacing w:after="480"/>
      </w:pPr>
      <w:r w:rsidRPr="007C2FC5">
        <w:rPr>
          <w:rStyle w:val="SCCCounselNameChar"/>
        </w:rPr>
        <w:tab/>
        <w:t xml:space="preserve">Lorenz </w:t>
      </w:r>
      <w:proofErr w:type="spellStart"/>
      <w:r w:rsidRPr="007C2FC5">
        <w:rPr>
          <w:rStyle w:val="SCCCounselNameChar"/>
        </w:rPr>
        <w:t>Berner</w:t>
      </w:r>
      <w:proofErr w:type="spellEnd"/>
      <w:r w:rsidRPr="007C2FC5">
        <w:rPr>
          <w:rStyle w:val="SCCCounselNameChar"/>
          <w:i w:val="0"/>
        </w:rPr>
        <w:t>,</w:t>
      </w:r>
      <w:r w:rsidRPr="007C2FC5">
        <w:rPr>
          <w:rStyle w:val="SCCCounselNameChar"/>
        </w:rPr>
        <w:t xml:space="preserve"> Tracy Knight</w:t>
      </w:r>
      <w:r w:rsidRPr="007C2FC5">
        <w:rPr>
          <w:rStyle w:val="SCCCounselSeparatorChar"/>
        </w:rPr>
        <w:t xml:space="preserve"> and </w:t>
      </w:r>
      <w:r w:rsidRPr="007C2FC5">
        <w:rPr>
          <w:rStyle w:val="SCCCounselNameChar"/>
        </w:rPr>
        <w:t xml:space="preserve">Jennifer L. </w:t>
      </w:r>
      <w:proofErr w:type="spellStart"/>
      <w:r w:rsidRPr="007C2FC5">
        <w:rPr>
          <w:rStyle w:val="SCCCounselNameChar"/>
        </w:rPr>
        <w:t>Whately</w:t>
      </w:r>
      <w:proofErr w:type="spellEnd"/>
      <w:r w:rsidRPr="007C2FC5">
        <w:rPr>
          <w:rStyle w:val="SCCCounselPartyRoleChar"/>
        </w:rPr>
        <w:t>, for the interveners the Alberta Securities Commission and the British Columbia Securities Commission.</w:t>
      </w:r>
    </w:p>
    <w:p w14:paraId="09D9D01C" w14:textId="4DF4AED6" w:rsidR="00142A98" w:rsidRPr="007C2FC5" w:rsidRDefault="00142A98" w:rsidP="00142A98">
      <w:pPr>
        <w:pStyle w:val="SCCNormalDoubleSpacing"/>
        <w:spacing w:after="480"/>
        <w:rPr>
          <w:lang w:val="fr-CA"/>
        </w:rPr>
      </w:pPr>
      <w:r w:rsidRPr="007C2FC5">
        <w:rPr>
          <w:rStyle w:val="SCCCounselNameChar"/>
        </w:rPr>
        <w:tab/>
      </w:r>
      <w:r w:rsidRPr="007C2FC5">
        <w:rPr>
          <w:rStyle w:val="SCCCounselNameChar"/>
          <w:lang w:val="fr-CA"/>
        </w:rPr>
        <w:t>Sylvie Champagne</w:t>
      </w:r>
      <w:r w:rsidRPr="007C2FC5">
        <w:rPr>
          <w:rStyle w:val="SCCCounselNameChar"/>
          <w:i w:val="0"/>
          <w:lang w:val="fr-CA"/>
        </w:rPr>
        <w:t xml:space="preserve">, </w:t>
      </w:r>
      <w:r w:rsidRPr="007C2FC5">
        <w:rPr>
          <w:rStyle w:val="SCCCounselNameChar"/>
          <w:lang w:val="fr-CA"/>
        </w:rPr>
        <w:t>Nicolas Le Grand Alary</w:t>
      </w:r>
      <w:r w:rsidRPr="007C2FC5">
        <w:rPr>
          <w:rStyle w:val="SCCCounselSeparatorChar"/>
          <w:lang w:val="fr-CA"/>
        </w:rPr>
        <w:t xml:space="preserve"> and </w:t>
      </w:r>
      <w:r w:rsidR="00472A18">
        <w:rPr>
          <w:rStyle w:val="SCCCounselNameChar"/>
          <w:lang w:val="fr-CA"/>
        </w:rPr>
        <w:t>André</w:t>
      </w:r>
      <w:r w:rsidR="00472A18">
        <w:rPr>
          <w:rStyle w:val="SCCCounselNameChar"/>
          <w:lang w:val="fr-CA"/>
        </w:rPr>
        <w:noBreakHyphen/>
      </w:r>
      <w:r w:rsidRPr="007C2FC5">
        <w:rPr>
          <w:rStyle w:val="SCCCounselNameChar"/>
          <w:lang w:val="fr-CA"/>
        </w:rPr>
        <w:t>Philippe Mallette</w:t>
      </w:r>
      <w:r w:rsidRPr="007C2FC5">
        <w:rPr>
          <w:rStyle w:val="SCCCounselPartyRoleChar"/>
          <w:lang w:val="fr-CA"/>
        </w:rPr>
        <w:t>, for the intervener Barreau du Québec.</w:t>
      </w:r>
    </w:p>
    <w:p w14:paraId="2DE3A714" w14:textId="77777777" w:rsidR="00142A98" w:rsidRDefault="00142A98" w:rsidP="00142A98">
      <w:pPr>
        <w:pStyle w:val="SCCNormalDoubleSpacing"/>
        <w:spacing w:after="480"/>
        <w:rPr>
          <w:rStyle w:val="SCCCounselPartyRoleChar"/>
        </w:rPr>
      </w:pPr>
      <w:r w:rsidRPr="007C2FC5">
        <w:rPr>
          <w:rStyle w:val="SCCCounselNameChar"/>
          <w:lang w:val="fr-CA"/>
        </w:rPr>
        <w:tab/>
      </w:r>
      <w:r w:rsidRPr="007C2FC5">
        <w:rPr>
          <w:rStyle w:val="SCCCounselNameChar"/>
        </w:rPr>
        <w:t>Audrey Macklin</w:t>
      </w:r>
      <w:r w:rsidRPr="007C2FC5">
        <w:rPr>
          <w:rStyle w:val="SCCCounselSeparatorChar"/>
        </w:rPr>
        <w:t xml:space="preserve"> and </w:t>
      </w:r>
      <w:proofErr w:type="spellStart"/>
      <w:r w:rsidRPr="007C2FC5">
        <w:rPr>
          <w:rStyle w:val="SCCCounselNameChar"/>
        </w:rPr>
        <w:t>Prasanna</w:t>
      </w:r>
      <w:proofErr w:type="spellEnd"/>
      <w:r w:rsidRPr="007C2FC5">
        <w:rPr>
          <w:rStyle w:val="SCCCounselNameChar"/>
        </w:rPr>
        <w:t xml:space="preserve"> </w:t>
      </w:r>
      <w:proofErr w:type="spellStart"/>
      <w:r w:rsidRPr="007C2FC5">
        <w:rPr>
          <w:rStyle w:val="SCCCounselNameChar"/>
        </w:rPr>
        <w:t>Balasundaram</w:t>
      </w:r>
      <w:proofErr w:type="spellEnd"/>
      <w:r w:rsidRPr="007C2FC5">
        <w:rPr>
          <w:rStyle w:val="SCCCounselPartyRoleChar"/>
        </w:rPr>
        <w:t>, for the intervener the Canadian Association of Refugee Lawyers.</w:t>
      </w:r>
    </w:p>
    <w:p w14:paraId="1EB8877D" w14:textId="77777777" w:rsidR="00F04D37" w:rsidRDefault="00F04D37" w:rsidP="00142A98">
      <w:pPr>
        <w:pStyle w:val="SCCNormalDoubleSpacing"/>
        <w:spacing w:after="480"/>
        <w:rPr>
          <w:rStyle w:val="SCCCounselPartyRoleChar"/>
        </w:rPr>
      </w:pPr>
    </w:p>
    <w:p w14:paraId="0FE8D243" w14:textId="45E3A26C" w:rsidR="00F04D37" w:rsidRDefault="00F04D37" w:rsidP="00F670D9">
      <w:pPr>
        <w:tabs>
          <w:tab w:val="left" w:pos="1134"/>
        </w:tabs>
        <w:jc w:val="both"/>
      </w:pPr>
      <w:r>
        <w:rPr>
          <w:lang w:val="fr-CA"/>
        </w:rPr>
        <w:tab/>
      </w:r>
      <w:r w:rsidRPr="00796D65">
        <w:t>The judgment of</w:t>
      </w:r>
      <w:r>
        <w:t xml:space="preserve"> Wagner </w:t>
      </w:r>
      <w:r w:rsidRPr="00ED7B34">
        <w:t xml:space="preserve">C.J. </w:t>
      </w:r>
      <w:r>
        <w:t xml:space="preserve">and </w:t>
      </w:r>
      <w:r w:rsidRPr="00ED7B34">
        <w:t xml:space="preserve">Moldaver, Karakatsanis, Brown, </w:t>
      </w:r>
      <w:r>
        <w:t>Rowe, Martin, Kasirer and Jamal </w:t>
      </w:r>
      <w:r w:rsidRPr="00ED7B34">
        <w:t>JJ.</w:t>
      </w:r>
      <w:r w:rsidRPr="00796D65">
        <w:t xml:space="preserve"> </w:t>
      </w:r>
      <w:proofErr w:type="gramStart"/>
      <w:r w:rsidRPr="00796D65">
        <w:t>was</w:t>
      </w:r>
      <w:proofErr w:type="gramEnd"/>
      <w:r w:rsidRPr="00796D65">
        <w:t xml:space="preserve"> delivered by</w:t>
      </w:r>
    </w:p>
    <w:p w14:paraId="4A77179D" w14:textId="77777777" w:rsidR="00F04D37" w:rsidRDefault="00F04D37" w:rsidP="00F04D37">
      <w:pPr>
        <w:ind w:firstLine="1134"/>
        <w:jc w:val="both"/>
      </w:pPr>
    </w:p>
    <w:p w14:paraId="2074349B" w14:textId="77777777" w:rsidR="00F04D37" w:rsidRPr="00C43D8C" w:rsidRDefault="00F04D37" w:rsidP="00F670D9">
      <w:pPr>
        <w:pStyle w:val="JudgeJuge"/>
      </w:pPr>
      <w:r w:rsidRPr="00C43D8C">
        <w:tab/>
        <w:t xml:space="preserve">Rowe J. — </w:t>
      </w:r>
    </w:p>
    <w:p w14:paraId="2512F142" w14:textId="77777777" w:rsidR="00F04D37" w:rsidRPr="00C43D8C" w:rsidRDefault="00F04D37" w:rsidP="00F04D37">
      <w:pPr>
        <w:pStyle w:val="Title1LevelTitre1Niveau-AltL"/>
        <w:rPr>
          <w:rFonts w:cs="Times New Roman"/>
        </w:rPr>
      </w:pPr>
      <w:r w:rsidRPr="00C43D8C">
        <w:rPr>
          <w:rFonts w:cs="Times New Roman"/>
        </w:rPr>
        <w:t xml:space="preserve">Introduction </w:t>
      </w:r>
    </w:p>
    <w:p w14:paraId="62BE275F" w14:textId="77777777" w:rsidR="00F04D37" w:rsidRPr="00C43D8C" w:rsidRDefault="00F04D37" w:rsidP="00F04D37">
      <w:pPr>
        <w:pStyle w:val="ParaNoNdepar-AltN"/>
        <w:rPr>
          <w:rFonts w:cs="Times New Roman"/>
        </w:rPr>
      </w:pPr>
      <w:r w:rsidRPr="00C43D8C">
        <w:rPr>
          <w:rFonts w:cs="Times New Roman"/>
        </w:rPr>
        <w:t xml:space="preserve">This appeal arises from disciplinary proceedings pursued by the appellant, the Law Society of Saskatchewan (“Law Society”), against the respondent, Peter V. Abrametz. </w:t>
      </w:r>
      <w:r>
        <w:rPr>
          <w:rFonts w:cs="Times New Roman"/>
        </w:rPr>
        <w:t>Mr. </w:t>
      </w:r>
      <w:r w:rsidRPr="00C43D8C">
        <w:rPr>
          <w:rFonts w:cs="Times New Roman"/>
        </w:rPr>
        <w:t xml:space="preserve">Abrametz was found guilty of four charges of conduct unbecoming a lawyer, and disbarred without a right to apply for readmission for almost two years. </w:t>
      </w:r>
    </w:p>
    <w:p w14:paraId="33F962C5" w14:textId="77777777" w:rsidR="00F04D37" w:rsidRPr="00C43D8C" w:rsidRDefault="00F04D37" w:rsidP="00F04D37">
      <w:pPr>
        <w:pStyle w:val="ParaNoNdepar-AltN"/>
        <w:rPr>
          <w:rFonts w:cs="Times New Roman"/>
        </w:rPr>
      </w:pPr>
      <w:r w:rsidRPr="00C43D8C">
        <w:rPr>
          <w:rFonts w:cs="Times New Roman"/>
        </w:rPr>
        <w:lastRenderedPageBreak/>
        <w:t xml:space="preserve">During the disciplinary proceedings, </w:t>
      </w:r>
      <w:r>
        <w:rPr>
          <w:rFonts w:cs="Times New Roman"/>
        </w:rPr>
        <w:t>Mr. </w:t>
      </w:r>
      <w:r w:rsidRPr="00C43D8C">
        <w:rPr>
          <w:rFonts w:cs="Times New Roman"/>
        </w:rPr>
        <w:t xml:space="preserve">Abrametz applied for a stay of the proceedings on the basis of inordinate delay amounting to an abuse of process. His application was dismissed by the Hearing Committee for the Law Society (“Hearing Committee”), but allowed on appeal by the Court of Appeal for Saskatchewan. The Law Society appeals from that decision. </w:t>
      </w:r>
    </w:p>
    <w:p w14:paraId="014EF1B1" w14:textId="77777777" w:rsidR="00F04D37" w:rsidRPr="00C43D8C" w:rsidRDefault="00F04D37" w:rsidP="00F04D37">
      <w:pPr>
        <w:pStyle w:val="ParaNoNdepar-AltN"/>
        <w:rPr>
          <w:rFonts w:cs="Times New Roman"/>
        </w:rPr>
      </w:pPr>
      <w:r w:rsidRPr="00C43D8C">
        <w:rPr>
          <w:rFonts w:cs="Times New Roman"/>
        </w:rPr>
        <w:t xml:space="preserve">This appeal affords the Court the opportunity to address once again the doctrine of abuse of process as it relates to inordinate delay in the administrative context. This was recognized more than 20 years ago in </w:t>
      </w:r>
      <w:r w:rsidRPr="00C43D8C">
        <w:rPr>
          <w:rFonts w:cs="Times New Roman"/>
          <w:i/>
        </w:rPr>
        <w:t>Blencoe v. British Columbia (Human Rights Commission)</w:t>
      </w:r>
      <w:r w:rsidRPr="00C43D8C">
        <w:rPr>
          <w:rFonts w:cs="Times New Roman"/>
        </w:rPr>
        <w:t xml:space="preserve">, 2000 SCC 44, [2000] 2 S.C.R. 307. This appeal also allows us to clarify the standard of review applicable to questions of procedural fairness and to abuse of process in statutory appeals. </w:t>
      </w:r>
    </w:p>
    <w:p w14:paraId="4C9AC9C6" w14:textId="77777777" w:rsidR="00F04D37" w:rsidRPr="00C43D8C" w:rsidRDefault="00F04D37" w:rsidP="00F04D37">
      <w:pPr>
        <w:pStyle w:val="ParaNoNdepar-AltN"/>
        <w:rPr>
          <w:rFonts w:cs="Times New Roman"/>
        </w:rPr>
      </w:pPr>
      <w:r w:rsidRPr="00C43D8C">
        <w:rPr>
          <w:rFonts w:cs="Times New Roman"/>
        </w:rPr>
        <w:t>I would allow the appeal. While the Court of Appeal correctly determined the standard of review, it failed to apply it properly. The Hearing Committee did not err when it concluded that there was no abuse of process.</w:t>
      </w:r>
    </w:p>
    <w:p w14:paraId="693B8CCA" w14:textId="77777777" w:rsidR="00F04D37" w:rsidRPr="00C43D8C" w:rsidRDefault="00F04D37" w:rsidP="00F04D37">
      <w:pPr>
        <w:pStyle w:val="Title1LevelTitre1Niveau-AltL"/>
        <w:rPr>
          <w:rFonts w:cs="Times New Roman"/>
        </w:rPr>
      </w:pPr>
      <w:r w:rsidRPr="00C43D8C">
        <w:rPr>
          <w:rFonts w:cs="Times New Roman"/>
        </w:rPr>
        <w:t>Facts</w:t>
      </w:r>
    </w:p>
    <w:p w14:paraId="2C952136" w14:textId="77777777" w:rsidR="00F04D37" w:rsidRPr="00C43D8C" w:rsidRDefault="00F04D37" w:rsidP="00F04D37">
      <w:pPr>
        <w:pStyle w:val="ParaNoNdepar-AltN"/>
        <w:rPr>
          <w:rFonts w:cs="Times New Roman"/>
        </w:rPr>
      </w:pPr>
      <w:r>
        <w:rPr>
          <w:rFonts w:cs="Times New Roman"/>
        </w:rPr>
        <w:t>Mr. </w:t>
      </w:r>
      <w:r w:rsidRPr="00C43D8C">
        <w:rPr>
          <w:rFonts w:cs="Times New Roman"/>
        </w:rPr>
        <w:t xml:space="preserve">Abrametz is a member of the Law Society of Saskatchewan. He has practiced in Prince Albert, Saskatchewan, for 49 years. </w:t>
      </w:r>
    </w:p>
    <w:p w14:paraId="7027E9CF" w14:textId="77777777" w:rsidR="00F04D37" w:rsidRPr="00C43D8C" w:rsidRDefault="00F04D37" w:rsidP="00F04D37">
      <w:pPr>
        <w:pStyle w:val="Title2LevelTitre2Niveau"/>
        <w:rPr>
          <w:rFonts w:cs="Times New Roman"/>
        </w:rPr>
      </w:pPr>
      <w:r w:rsidRPr="00C43D8C">
        <w:rPr>
          <w:rFonts w:cs="Times New Roman"/>
        </w:rPr>
        <w:t>Pre-Charge Investigation</w:t>
      </w:r>
    </w:p>
    <w:p w14:paraId="46419832" w14:textId="77777777" w:rsidR="00F04D37" w:rsidRPr="00C43D8C" w:rsidRDefault="00F04D37" w:rsidP="00F04D37">
      <w:pPr>
        <w:pStyle w:val="ParaNoNdepar-AltN"/>
        <w:rPr>
          <w:rFonts w:cs="Times New Roman"/>
        </w:rPr>
      </w:pPr>
      <w:r w:rsidRPr="00C43D8C">
        <w:rPr>
          <w:rFonts w:cs="Times New Roman"/>
        </w:rPr>
        <w:lastRenderedPageBreak/>
        <w:t>In 2012, the Law Society commenced an audit investigation of Mr. Abrametz’s financial records due to apparent irregularities in the use of a trust account. On the eve of a visit by investigators to his office in December 2012, Mr. Abrametz self-reported to the Law Society that he had failed to promptly deposit more than $36,000 in fees into his office account.</w:t>
      </w:r>
    </w:p>
    <w:p w14:paraId="5D788284" w14:textId="77777777" w:rsidR="00F04D37" w:rsidRPr="00C43D8C" w:rsidRDefault="00F04D37" w:rsidP="00F04D37">
      <w:pPr>
        <w:pStyle w:val="ParaNoNdepar-AltN"/>
        <w:rPr>
          <w:rFonts w:cs="Times New Roman"/>
        </w:rPr>
      </w:pPr>
      <w:r w:rsidRPr="00C43D8C">
        <w:rPr>
          <w:rFonts w:cs="Times New Roman"/>
        </w:rPr>
        <w:t>The Law Society’s investigation related to eight transactions by Mr. Abrametz. In seven of these</w:t>
      </w:r>
      <w:r>
        <w:rPr>
          <w:rFonts w:cs="Times New Roman"/>
        </w:rPr>
        <w:t>, Mr. </w:t>
      </w:r>
      <w:r w:rsidRPr="00C43D8C">
        <w:rPr>
          <w:rFonts w:cs="Times New Roman"/>
        </w:rPr>
        <w:t>Abrametz had issued cheques to clients that were then endorsed by the clients</w:t>
      </w:r>
      <w:r>
        <w:rPr>
          <w:rFonts w:cs="Times New Roman"/>
        </w:rPr>
        <w:t xml:space="preserve"> and cashed by Mr. </w:t>
      </w:r>
      <w:r w:rsidRPr="00C43D8C">
        <w:rPr>
          <w:rFonts w:cs="Times New Roman"/>
        </w:rPr>
        <w:t>Abrametz. In the other case, he had issued three cheques to a fictitious person, endorsed that false name on the cheques an</w:t>
      </w:r>
      <w:r>
        <w:rPr>
          <w:rFonts w:cs="Times New Roman"/>
        </w:rPr>
        <w:t>d cashed them. In addition, Mr. </w:t>
      </w:r>
      <w:r w:rsidRPr="00C43D8C">
        <w:rPr>
          <w:rFonts w:cs="Times New Roman"/>
        </w:rPr>
        <w:t>Abrametz had on 11 occasions advanced money to clients, relating to settlement funds, charging them a flat 30 percent fee of the amount advanced, as well as a 30 percent contingency fee, and interest.</w:t>
      </w:r>
    </w:p>
    <w:p w14:paraId="7333DF50" w14:textId="77777777" w:rsidR="00F04D37" w:rsidRPr="00C43D8C" w:rsidRDefault="00F04D37" w:rsidP="00F04D37">
      <w:pPr>
        <w:pStyle w:val="ParaNoNdepar-AltN"/>
        <w:rPr>
          <w:rFonts w:cs="Times New Roman"/>
        </w:rPr>
      </w:pPr>
      <w:r w:rsidRPr="00C43D8C">
        <w:rPr>
          <w:rFonts w:cs="Times New Roman"/>
        </w:rPr>
        <w:t>The investigation also looked into whether some of these transactions were carried out to evade tax.</w:t>
      </w:r>
    </w:p>
    <w:p w14:paraId="280AE657" w14:textId="77777777" w:rsidR="00F04D37" w:rsidRPr="00C43D8C" w:rsidRDefault="00F04D37" w:rsidP="00F04D37">
      <w:pPr>
        <w:pStyle w:val="ParaNoNdepar-AltN"/>
        <w:rPr>
          <w:rFonts w:cs="Times New Roman"/>
        </w:rPr>
      </w:pPr>
      <w:r w:rsidRPr="00C43D8C">
        <w:rPr>
          <w:rFonts w:cs="Times New Roman"/>
        </w:rPr>
        <w:t xml:space="preserve">In February 2013, </w:t>
      </w:r>
      <w:r>
        <w:rPr>
          <w:rFonts w:cs="Times New Roman"/>
        </w:rPr>
        <w:t>Mr. </w:t>
      </w:r>
      <w:r w:rsidRPr="00C43D8C">
        <w:rPr>
          <w:rFonts w:cs="Times New Roman"/>
        </w:rPr>
        <w:t xml:space="preserve">Abrametz was served with a notice of intention to interim suspend. However, by agreement with the Law Society in March 2013, Mr. Abrametz was allowed to continue to practice, subject to certain conditions: Mr. Abrametz had to retain another lawyer to supervise and monitor his practice and trust account activities; he had to seek prior approval from this supervisor for withdrawals/cheques from any trust account; and he could not accept the return of trust cheques from clients, nor accept endorsed cheques to be cashed or negotiated. A second </w:t>
      </w:r>
      <w:r w:rsidRPr="00C43D8C">
        <w:rPr>
          <w:rFonts w:cs="Times New Roman"/>
        </w:rPr>
        <w:lastRenderedPageBreak/>
        <w:t>notice of intention to interim suspend was served in November 20</w:t>
      </w:r>
      <w:r>
        <w:rPr>
          <w:rFonts w:cs="Times New Roman"/>
        </w:rPr>
        <w:t>14, but the Law Society and Mr. </w:t>
      </w:r>
      <w:r w:rsidRPr="00C43D8C">
        <w:rPr>
          <w:rFonts w:cs="Times New Roman"/>
        </w:rPr>
        <w:t>Abrametz again agreed that he could continue to practice under substantially similar</w:t>
      </w:r>
      <w:r>
        <w:rPr>
          <w:rFonts w:cs="Times New Roman"/>
        </w:rPr>
        <w:t xml:space="preserve"> conditions. Mr. </w:t>
      </w:r>
      <w:r w:rsidRPr="00C43D8C">
        <w:rPr>
          <w:rFonts w:cs="Times New Roman"/>
        </w:rPr>
        <w:t xml:space="preserve">Abrametz continued to practice under these conditions without incident while the Law Society investigation continued. </w:t>
      </w:r>
    </w:p>
    <w:p w14:paraId="45336F32" w14:textId="77777777" w:rsidR="00F04D37" w:rsidRPr="00C43D8C" w:rsidRDefault="00F04D37" w:rsidP="00F04D37">
      <w:pPr>
        <w:pStyle w:val="ParaNoNdepar-AltN"/>
        <w:rPr>
          <w:rFonts w:cs="Times New Roman"/>
        </w:rPr>
      </w:pPr>
      <w:r w:rsidRPr="00C43D8C">
        <w:rPr>
          <w:rFonts w:cs="Times New Roman"/>
        </w:rPr>
        <w:t>In October 2014, the auditor submitted a final trust report to the Law Society.</w:t>
      </w:r>
    </w:p>
    <w:p w14:paraId="613DB7F7" w14:textId="77777777" w:rsidR="00F04D37" w:rsidRPr="00C43D8C" w:rsidRDefault="00F04D37" w:rsidP="00F04D37">
      <w:pPr>
        <w:pStyle w:val="ParaNoNdepar-AltN"/>
        <w:rPr>
          <w:rFonts w:cs="Times New Roman"/>
        </w:rPr>
      </w:pPr>
      <w:r w:rsidRPr="00C43D8C">
        <w:rPr>
          <w:rFonts w:cs="Times New Roman"/>
        </w:rPr>
        <w:t xml:space="preserve">In October 2015, the Law Society issued a formal complaint containing seven charges against </w:t>
      </w:r>
      <w:r>
        <w:rPr>
          <w:rFonts w:cs="Times New Roman"/>
        </w:rPr>
        <w:t>Mr. </w:t>
      </w:r>
      <w:r w:rsidRPr="00C43D8C">
        <w:rPr>
          <w:rFonts w:cs="Times New Roman"/>
        </w:rPr>
        <w:t>Abrametz and appointed a Hearing Committee.</w:t>
      </w:r>
    </w:p>
    <w:p w14:paraId="17C760AA" w14:textId="77777777" w:rsidR="00F04D37" w:rsidRPr="00C43D8C" w:rsidRDefault="00F04D37" w:rsidP="00F04D37">
      <w:pPr>
        <w:pStyle w:val="Title2LevelTitre2Niveau"/>
        <w:rPr>
          <w:rFonts w:cs="Times New Roman"/>
        </w:rPr>
      </w:pPr>
      <w:r w:rsidRPr="00C43D8C">
        <w:rPr>
          <w:rFonts w:cs="Times New Roman"/>
        </w:rPr>
        <w:t>Post-Charge Prosecution</w:t>
      </w:r>
    </w:p>
    <w:p w14:paraId="56D41CBE" w14:textId="77777777" w:rsidR="00F04D37" w:rsidRPr="00C43D8C" w:rsidRDefault="00F04D37" w:rsidP="00F04D37">
      <w:pPr>
        <w:pStyle w:val="ParaNoNdepar-AltN"/>
        <w:rPr>
          <w:rFonts w:cs="Times New Roman"/>
        </w:rPr>
      </w:pPr>
      <w:r w:rsidRPr="00C43D8C">
        <w:rPr>
          <w:rFonts w:cs="Times New Roman"/>
        </w:rPr>
        <w:t>A simu</w:t>
      </w:r>
      <w:r>
        <w:rPr>
          <w:rFonts w:cs="Times New Roman"/>
        </w:rPr>
        <w:t>ltaneous investigation into Mr. </w:t>
      </w:r>
      <w:r w:rsidRPr="00C43D8C">
        <w:rPr>
          <w:rFonts w:cs="Times New Roman"/>
        </w:rPr>
        <w:t xml:space="preserve">Abrametz’s tax situation gave rise to litigation before the Court of Queen’s Bench between the Law Society and Mr. Abrametz regarding the scope of the Law Society’s investigatory powers: 2016 SKQB 134; 2016 SKQB 320, 408 D.L.R. (4th) 134. </w:t>
      </w:r>
    </w:p>
    <w:p w14:paraId="225F8DB3" w14:textId="77777777" w:rsidR="00F04D37" w:rsidRPr="00C43D8C" w:rsidRDefault="00F04D37" w:rsidP="00F04D37">
      <w:pPr>
        <w:pStyle w:val="ParaNoNdepar-AltN"/>
        <w:rPr>
          <w:rFonts w:cs="Times New Roman"/>
        </w:rPr>
      </w:pPr>
      <w:r w:rsidRPr="00C43D8C">
        <w:rPr>
          <w:rFonts w:cs="Times New Roman"/>
        </w:rPr>
        <w:t>In March 201</w:t>
      </w:r>
      <w:r>
        <w:rPr>
          <w:rFonts w:cs="Times New Roman"/>
        </w:rPr>
        <w:t>6, Mr. </w:t>
      </w:r>
      <w:r w:rsidRPr="00C43D8C">
        <w:rPr>
          <w:rFonts w:cs="Times New Roman"/>
        </w:rPr>
        <w:t xml:space="preserve">Abrametz applied to the Hearing Committee for an interim stay of the disciplinary proceedings until the resolution of the tax investigation. The Hearing Committee dismissed the request in August 2016. </w:t>
      </w:r>
    </w:p>
    <w:p w14:paraId="46CBDC5A" w14:textId="77777777" w:rsidR="00F04D37" w:rsidRPr="00C43D8C" w:rsidRDefault="00F04D37" w:rsidP="00F04D37">
      <w:pPr>
        <w:pStyle w:val="ParaNoNdepar-AltN"/>
        <w:rPr>
          <w:rFonts w:cs="Times New Roman"/>
        </w:rPr>
      </w:pPr>
      <w:r w:rsidRPr="00C43D8C">
        <w:rPr>
          <w:rFonts w:cs="Times New Roman"/>
        </w:rPr>
        <w:t xml:space="preserve">The Hearing Committee heard the disciplinary matter on May 17-19, August 9-10 and September 29, 2017. The conduct decision was rendered on </w:t>
      </w:r>
      <w:r w:rsidRPr="00C43D8C">
        <w:rPr>
          <w:rFonts w:cs="Times New Roman"/>
        </w:rPr>
        <w:lastRenderedPageBreak/>
        <w:t>January </w:t>
      </w:r>
      <w:r>
        <w:rPr>
          <w:rFonts w:cs="Times New Roman"/>
        </w:rPr>
        <w:t>10, 2018. Mr. </w:t>
      </w:r>
      <w:r w:rsidRPr="00C43D8C">
        <w:rPr>
          <w:rFonts w:cs="Times New Roman"/>
        </w:rPr>
        <w:t>Abrametz was found guilty of four of the seven charges. The four convictions were for matters disclosed in his self-report; they related to the advances to clients on settlement funds (referred to above).</w:t>
      </w:r>
    </w:p>
    <w:p w14:paraId="15D137BF" w14:textId="77777777" w:rsidR="00F04D37" w:rsidRPr="00C43D8C" w:rsidRDefault="00F04D37" w:rsidP="00F04D37">
      <w:pPr>
        <w:pStyle w:val="ParaNoNdepar-AltN"/>
        <w:rPr>
          <w:rFonts w:cs="Times New Roman"/>
        </w:rPr>
      </w:pPr>
      <w:r>
        <w:rPr>
          <w:rFonts w:cs="Times New Roman"/>
        </w:rPr>
        <w:t>On July 13, 2018, Mr. </w:t>
      </w:r>
      <w:r w:rsidRPr="00C43D8C">
        <w:rPr>
          <w:rFonts w:cs="Times New Roman"/>
        </w:rPr>
        <w:t xml:space="preserve">Abrametz applied for a stay of proceedings on the basis that the time taken by the Law Society to investigate and decide his case constituted an abuse of process. The application was heard on September 18, 2018, at the same hearing as that for submissions regarding penalty. The stay application was dismissed on November 9, 2018, in the stay decision. </w:t>
      </w:r>
    </w:p>
    <w:p w14:paraId="16546611" w14:textId="77777777" w:rsidR="00F04D37" w:rsidRPr="00C43D8C" w:rsidRDefault="00F04D37" w:rsidP="00F04D37">
      <w:pPr>
        <w:pStyle w:val="ParaNoNdepar-AltN"/>
        <w:rPr>
          <w:rFonts w:cs="Times New Roman"/>
        </w:rPr>
      </w:pPr>
      <w:r w:rsidRPr="00C43D8C">
        <w:rPr>
          <w:rFonts w:cs="Times New Roman"/>
        </w:rPr>
        <w:t xml:space="preserve">On January 20, 2019, the penalty decision was rendered; </w:t>
      </w:r>
      <w:r>
        <w:rPr>
          <w:rFonts w:cs="Times New Roman"/>
          <w:lang w:val="en-US"/>
        </w:rPr>
        <w:t>the Committee ordered Mr. </w:t>
      </w:r>
      <w:r w:rsidRPr="00C43D8C">
        <w:rPr>
          <w:rFonts w:cs="Times New Roman"/>
          <w:lang w:val="en-US"/>
        </w:rPr>
        <w:t xml:space="preserve">Abrametz disbarred without a right to apply for readmission </w:t>
      </w:r>
      <w:r w:rsidRPr="00C43D8C">
        <w:rPr>
          <w:rFonts w:cs="Times New Roman"/>
        </w:rPr>
        <w:t xml:space="preserve">until January 1, </w:t>
      </w:r>
      <w:r w:rsidRPr="00C43D8C">
        <w:rPr>
          <w:rFonts w:cs="Times New Roman"/>
          <w:lang w:val="en-US"/>
        </w:rPr>
        <w:t>2021.</w:t>
      </w:r>
    </w:p>
    <w:p w14:paraId="3EDC5F2F" w14:textId="77777777" w:rsidR="00F04D37" w:rsidRPr="00C43D8C" w:rsidRDefault="00F04D37" w:rsidP="00F04D37">
      <w:pPr>
        <w:pStyle w:val="ParaNoNdepar-AltN"/>
        <w:rPr>
          <w:rFonts w:cs="Times New Roman"/>
        </w:rPr>
      </w:pPr>
      <w:r w:rsidRPr="00C43D8C">
        <w:rPr>
          <w:rFonts w:cs="Times New Roman"/>
        </w:rPr>
        <w:t>The conduct, stay and penalty decisions were published as one. In these reasons I address primarily the stay.</w:t>
      </w:r>
    </w:p>
    <w:p w14:paraId="273C7314" w14:textId="77777777" w:rsidR="00F04D37" w:rsidRPr="00C43D8C" w:rsidRDefault="00F04D37" w:rsidP="00F04D37">
      <w:pPr>
        <w:pStyle w:val="Title1LevelTitre1Niveau-AltL"/>
        <w:rPr>
          <w:rFonts w:cs="Times New Roman"/>
        </w:rPr>
      </w:pPr>
      <w:r w:rsidRPr="00C43D8C">
        <w:rPr>
          <w:rFonts w:cs="Times New Roman"/>
        </w:rPr>
        <w:t>Judgments Below</w:t>
      </w:r>
    </w:p>
    <w:p w14:paraId="55179A69" w14:textId="77777777" w:rsidR="00F04D37" w:rsidRPr="00C43D8C" w:rsidRDefault="00F04D37" w:rsidP="00F04D37">
      <w:pPr>
        <w:pStyle w:val="Title2LevelTitre2Niveau"/>
        <w:rPr>
          <w:rFonts w:eastAsia="Times New Roman" w:cs="Times New Roman"/>
          <w:i w:val="0"/>
          <w:lang w:val="en-US" w:bidi="en-US"/>
        </w:rPr>
      </w:pPr>
      <w:r w:rsidRPr="00C43D8C">
        <w:rPr>
          <w:rFonts w:eastAsia="Times New Roman" w:cs="Times New Roman"/>
          <w:lang w:val="en-US" w:bidi="en-US"/>
        </w:rPr>
        <w:t xml:space="preserve">Hearing Committee for the Law Society of Saskatchewan, 2018 SKLSS 8 (D. Chow, </w:t>
      </w:r>
      <w:r>
        <w:rPr>
          <w:rFonts w:eastAsia="Times New Roman" w:cs="Times New Roman"/>
          <w:lang w:val="en-US" w:bidi="en-US"/>
        </w:rPr>
        <w:t>J. </w:t>
      </w:r>
      <w:r w:rsidRPr="00C43D8C">
        <w:rPr>
          <w:rFonts w:eastAsia="Times New Roman" w:cs="Times New Roman"/>
          <w:lang w:val="en-US" w:bidi="en-US"/>
        </w:rPr>
        <w:t xml:space="preserve">McCuskee and </w:t>
      </w:r>
      <w:r>
        <w:rPr>
          <w:rFonts w:eastAsia="Times New Roman" w:cs="Times New Roman"/>
          <w:lang w:val="en-US" w:bidi="en-US"/>
        </w:rPr>
        <w:t>E. </w:t>
      </w:r>
      <w:r w:rsidRPr="00C43D8C">
        <w:rPr>
          <w:rFonts w:eastAsia="Times New Roman" w:cs="Times New Roman"/>
          <w:lang w:val="en-US" w:bidi="en-US"/>
        </w:rPr>
        <w:t>Sorestad</w:t>
      </w:r>
      <w:r w:rsidRPr="00C43D8C">
        <w:rPr>
          <w:rFonts w:eastAsia="Times New Roman" w:cs="Times New Roman"/>
          <w:i w:val="0"/>
          <w:lang w:val="en-US" w:bidi="en-US"/>
        </w:rPr>
        <w:t xml:space="preserve">) </w:t>
      </w:r>
    </w:p>
    <w:p w14:paraId="058B8750" w14:textId="77777777" w:rsidR="00F04D37" w:rsidRPr="00C43D8C" w:rsidRDefault="00F04D37" w:rsidP="00F04D37">
      <w:pPr>
        <w:pStyle w:val="ParaNoNdepar-AltN"/>
        <w:rPr>
          <w:rFonts w:cs="Times New Roman"/>
          <w:lang w:val="en-US" w:bidi="en-US"/>
        </w:rPr>
      </w:pPr>
      <w:r w:rsidRPr="00C43D8C">
        <w:rPr>
          <w:rFonts w:cs="Times New Roman"/>
        </w:rPr>
        <w:t xml:space="preserve">On the question of delay, the Hearing Committee found that </w:t>
      </w:r>
      <w:r>
        <w:rPr>
          <w:rFonts w:cs="Times New Roman"/>
        </w:rPr>
        <w:t>Mr. </w:t>
      </w:r>
      <w:r w:rsidRPr="00C43D8C">
        <w:rPr>
          <w:rFonts w:cs="Times New Roman"/>
        </w:rPr>
        <w:t xml:space="preserve">Abrametz had made extensive efforts to conceal his actions. The Committee also referred to the complexity arising from the nature and number of allegations of conduct unbecoming </w:t>
      </w:r>
      <w:r w:rsidRPr="00C43D8C">
        <w:rPr>
          <w:rFonts w:cs="Times New Roman"/>
        </w:rPr>
        <w:lastRenderedPageBreak/>
        <w:t>and the number of client files and other documents that needed to be examined. The Hearing Committee also found that a significant share of delay in the proceeding</w:t>
      </w:r>
      <w:r>
        <w:rPr>
          <w:rFonts w:cs="Times New Roman"/>
        </w:rPr>
        <w:t>s should be attributed to Mr. </w:t>
      </w:r>
      <w:r w:rsidRPr="00C43D8C">
        <w:rPr>
          <w:rFonts w:cs="Times New Roman"/>
        </w:rPr>
        <w:t>Abrametz, due to his unavailability or the unavailability of his counsel. The Hearing Committee further noted</w:t>
      </w:r>
      <w:r>
        <w:rPr>
          <w:rFonts w:cs="Times New Roman"/>
        </w:rPr>
        <w:t xml:space="preserve"> that Mr. </w:t>
      </w:r>
      <w:r w:rsidRPr="00C43D8C">
        <w:rPr>
          <w:rFonts w:cs="Times New Roman"/>
        </w:rPr>
        <w:t>Abrametz had brought an application for a temporary stay of proceedings in April 2016.</w:t>
      </w:r>
    </w:p>
    <w:p w14:paraId="54D2C162" w14:textId="77777777" w:rsidR="00F04D37" w:rsidRPr="00C43D8C" w:rsidRDefault="00F04D37" w:rsidP="00F04D37">
      <w:pPr>
        <w:pStyle w:val="ParaNoNdepar-AltN"/>
        <w:rPr>
          <w:rFonts w:cs="Times New Roman"/>
          <w:lang w:val="en-US" w:bidi="en-US"/>
        </w:rPr>
      </w:pPr>
      <w:r w:rsidRPr="00C43D8C">
        <w:rPr>
          <w:rFonts w:cs="Times New Roman"/>
          <w:lang w:val="en-US"/>
        </w:rPr>
        <w:t xml:space="preserve">The Hearing Committee found that </w:t>
      </w:r>
      <w:r w:rsidRPr="00C43D8C">
        <w:rPr>
          <w:rFonts w:cs="Times New Roman"/>
        </w:rPr>
        <w:t>the delay was neither inordinate nor unacceptable given the complexity of the case, the extent of the investigation and the d</w:t>
      </w:r>
      <w:r>
        <w:rPr>
          <w:rFonts w:cs="Times New Roman"/>
        </w:rPr>
        <w:t>elay attributed directly to Mr. </w:t>
      </w:r>
      <w:r w:rsidRPr="00C43D8C">
        <w:rPr>
          <w:rFonts w:cs="Times New Roman"/>
        </w:rPr>
        <w:t>Abrametz’s conduct. The Hearing Committee also concluded</w:t>
      </w:r>
      <w:r>
        <w:rPr>
          <w:rFonts w:cs="Times New Roman"/>
        </w:rPr>
        <w:t xml:space="preserve"> that any prejudice that Mr. </w:t>
      </w:r>
      <w:r w:rsidRPr="00C43D8C">
        <w:rPr>
          <w:rFonts w:cs="Times New Roman"/>
        </w:rPr>
        <w:t>Abrametz may have experienced as a result of the delay was not so significant that continuation of the process would be so unfair to him that the public’s sense of fairness would be harmed, having regard to the Law Society’s mandate to protect the public.</w:t>
      </w:r>
    </w:p>
    <w:p w14:paraId="3451A4B8" w14:textId="77777777" w:rsidR="00F04D37" w:rsidRPr="00C43D8C" w:rsidRDefault="00F04D37" w:rsidP="00F04D37">
      <w:pPr>
        <w:pStyle w:val="Title2LevelTitre2Niveau"/>
        <w:rPr>
          <w:rFonts w:cs="Times New Roman"/>
        </w:rPr>
      </w:pPr>
      <w:bookmarkStart w:id="2" w:name="_Toc320021606"/>
      <w:bookmarkStart w:id="3" w:name="_Toc86419437"/>
      <w:r w:rsidRPr="00C43D8C">
        <w:rPr>
          <w:rFonts w:cs="Times New Roman"/>
        </w:rPr>
        <w:t>Court of Appeal</w:t>
      </w:r>
      <w:bookmarkEnd w:id="2"/>
      <w:r w:rsidRPr="00C43D8C">
        <w:rPr>
          <w:rFonts w:cs="Times New Roman"/>
        </w:rPr>
        <w:t xml:space="preserve"> for Saskatchewan, 2020 SKCA 81 (Ottenbreit, Leurer and Barrington-Foote</w:t>
      </w:r>
      <w:r>
        <w:rPr>
          <w:rFonts w:cs="Times New Roman"/>
        </w:rPr>
        <w:t> </w:t>
      </w:r>
      <w:r w:rsidRPr="00C43D8C">
        <w:rPr>
          <w:rFonts w:cs="Times New Roman"/>
        </w:rPr>
        <w:t>JJ.A.)</w:t>
      </w:r>
      <w:bookmarkEnd w:id="3"/>
    </w:p>
    <w:p w14:paraId="3B28F1B3" w14:textId="77777777" w:rsidR="00F04D37" w:rsidRPr="00C43D8C" w:rsidRDefault="00F04D37" w:rsidP="00F04D37">
      <w:pPr>
        <w:pStyle w:val="ParaNoNdepar-AltN"/>
        <w:rPr>
          <w:rFonts w:cs="Times New Roman"/>
        </w:rPr>
      </w:pPr>
      <w:r w:rsidRPr="00C43D8C">
        <w:rPr>
          <w:rFonts w:cs="Times New Roman"/>
        </w:rPr>
        <w:t>Mr.</w:t>
      </w:r>
      <w:r>
        <w:rPr>
          <w:rFonts w:cs="Times New Roman"/>
        </w:rPr>
        <w:t> </w:t>
      </w:r>
      <w:r w:rsidRPr="00C43D8C">
        <w:rPr>
          <w:rFonts w:cs="Times New Roman"/>
        </w:rPr>
        <w:t xml:space="preserve">Abrametz appealed the conduct, penalty and stay decisions to the Court of Appeal pursuant to s. 56(1) of </w:t>
      </w:r>
      <w:r w:rsidRPr="00C43D8C">
        <w:rPr>
          <w:rFonts w:cs="Times New Roman"/>
          <w:i/>
        </w:rPr>
        <w:t>The Legal Profession Act,</w:t>
      </w:r>
      <w:r w:rsidRPr="00C43D8C">
        <w:rPr>
          <w:rFonts w:cs="Times New Roman"/>
          <w:i/>
          <w:iCs/>
        </w:rPr>
        <w:t xml:space="preserve"> 1990</w:t>
      </w:r>
      <w:r w:rsidRPr="00C43D8C">
        <w:rPr>
          <w:rFonts w:cs="Times New Roman"/>
        </w:rPr>
        <w:t>, S.S. 1990-91, c. L</w:t>
      </w:r>
      <w:r w:rsidRPr="00C43D8C">
        <w:rPr>
          <w:rFonts w:cs="Times New Roman"/>
        </w:rPr>
        <w:noBreakHyphen/>
        <w:t xml:space="preserve">10.1. </w:t>
      </w:r>
      <w:bookmarkStart w:id="4" w:name="_ftnref1"/>
    </w:p>
    <w:bookmarkEnd w:id="4"/>
    <w:p w14:paraId="2CCD251D" w14:textId="77777777" w:rsidR="00F04D37" w:rsidRPr="00C43D8C" w:rsidRDefault="00F04D37" w:rsidP="00F04D37">
      <w:pPr>
        <w:pStyle w:val="ParaNoNdepar-AltN"/>
        <w:rPr>
          <w:rFonts w:cs="Times New Roman"/>
        </w:rPr>
      </w:pPr>
      <w:r w:rsidRPr="00C43D8C">
        <w:rPr>
          <w:rFonts w:cs="Times New Roman"/>
        </w:rPr>
        <w:t>The Court of Appeal dismissed Mr.</w:t>
      </w:r>
      <w:r>
        <w:rPr>
          <w:rFonts w:cs="Times New Roman"/>
        </w:rPr>
        <w:t> </w:t>
      </w:r>
      <w:r w:rsidRPr="00C43D8C">
        <w:rPr>
          <w:rFonts w:cs="Times New Roman"/>
        </w:rPr>
        <w:t xml:space="preserve">Abrametz’s conduct appeal but allowed the stay appeal. </w:t>
      </w:r>
    </w:p>
    <w:p w14:paraId="55158F25" w14:textId="77777777" w:rsidR="00F04D37" w:rsidRPr="00C43D8C" w:rsidRDefault="00F04D37" w:rsidP="00F04D37">
      <w:pPr>
        <w:pStyle w:val="ParaNoNdepar-AltN"/>
        <w:rPr>
          <w:rFonts w:cs="Times New Roman"/>
        </w:rPr>
      </w:pPr>
      <w:r w:rsidRPr="00C43D8C">
        <w:rPr>
          <w:rFonts w:cs="Times New Roman"/>
        </w:rPr>
        <w:lastRenderedPageBreak/>
        <w:t>The Court of Appeal held that whether there had been delay constituting an abuse of process is a question of law, reviewable on the basis of correctness; the findings of fact underlying the stay decision are reviewable on the standard of palpable and overriding error.</w:t>
      </w:r>
    </w:p>
    <w:p w14:paraId="37214E77" w14:textId="77777777" w:rsidR="00F04D37" w:rsidRPr="00C43D8C" w:rsidRDefault="00F04D37" w:rsidP="00F04D37">
      <w:pPr>
        <w:pStyle w:val="ParaNoNdepar-AltN"/>
        <w:rPr>
          <w:rFonts w:cs="Times New Roman"/>
        </w:rPr>
      </w:pPr>
      <w:r w:rsidRPr="00C43D8C">
        <w:rPr>
          <w:rFonts w:cs="Times New Roman"/>
          <w:lang w:val="en"/>
        </w:rPr>
        <w:t xml:space="preserve">The Court of Appeal stated that </w:t>
      </w:r>
      <w:r w:rsidRPr="00C43D8C">
        <w:rPr>
          <w:rFonts w:cs="Times New Roman"/>
          <w:i/>
          <w:iCs/>
          <w:lang w:val="en"/>
        </w:rPr>
        <w:t>Blencoe</w:t>
      </w:r>
      <w:r w:rsidRPr="00C43D8C">
        <w:rPr>
          <w:rFonts w:cs="Times New Roman"/>
          <w:lang w:val="en"/>
        </w:rPr>
        <w:t xml:space="preserve"> set a high threshold for finding an abuse of process where hearing fairness had not been compromised. The Court of Appeal concluded, nonetheless, that Mr. Abrametz was entitled to a stay. </w:t>
      </w:r>
    </w:p>
    <w:p w14:paraId="13CC04C6" w14:textId="77777777" w:rsidR="00F04D37" w:rsidRPr="00C43D8C" w:rsidRDefault="00F04D37" w:rsidP="00F04D37">
      <w:pPr>
        <w:pStyle w:val="ParaNoNdepar-AltN"/>
        <w:rPr>
          <w:rFonts w:cs="Times New Roman"/>
        </w:rPr>
      </w:pPr>
      <w:r w:rsidRPr="00C43D8C">
        <w:rPr>
          <w:rFonts w:cs="Times New Roman"/>
        </w:rPr>
        <w:t>The Court of Appeal concluded that there were significant periods that were not adequately explained and that could not be justified by the scale and complexity of the proceedings. T</w:t>
      </w:r>
      <w:r w:rsidRPr="00C43D8C">
        <w:rPr>
          <w:rFonts w:cs="Times New Roman"/>
          <w:lang w:val="en"/>
        </w:rPr>
        <w:t>he Court of Appeal concluded that of the 53-month period in issue, only 18 months were inhe</w:t>
      </w:r>
      <w:r>
        <w:rPr>
          <w:rFonts w:cs="Times New Roman"/>
          <w:lang w:val="en"/>
        </w:rPr>
        <w:t>rent to the process, and only 2 ½ months were attributable to Mr. </w:t>
      </w:r>
      <w:r w:rsidRPr="00C43D8C">
        <w:rPr>
          <w:rFonts w:cs="Times New Roman"/>
          <w:lang w:val="en"/>
        </w:rPr>
        <w:t>Abram</w:t>
      </w:r>
      <w:r>
        <w:rPr>
          <w:rFonts w:cs="Times New Roman"/>
          <w:lang w:val="en"/>
        </w:rPr>
        <w:t xml:space="preserve">etz. The remainder, totaling 32 ½ </w:t>
      </w:r>
      <w:r w:rsidRPr="00C43D8C">
        <w:rPr>
          <w:rFonts w:cs="Times New Roman"/>
          <w:lang w:val="en"/>
        </w:rPr>
        <w:t>months, the Court of Appeal concluded, was undue delay. The Hearing Committee’s failure to reach that conclusion was the result of palpable and overriding errors (as referred to), and the Hearing Committee’s failure to apply the law correctly to the facts.</w:t>
      </w:r>
    </w:p>
    <w:p w14:paraId="14DFD5BB" w14:textId="77777777" w:rsidR="00F04D37" w:rsidRPr="00C43D8C" w:rsidRDefault="00F04D37" w:rsidP="00F04D37">
      <w:pPr>
        <w:pStyle w:val="ParaNoNdepar-AltN"/>
        <w:rPr>
          <w:rFonts w:cs="Times New Roman"/>
        </w:rPr>
      </w:pPr>
      <w:r w:rsidRPr="00C43D8C">
        <w:rPr>
          <w:rFonts w:cs="Times New Roman"/>
        </w:rPr>
        <w:t>The Court of Appeal concluded that there had been inordinate delay which resulted in significant prejudice to Mr.</w:t>
      </w:r>
      <w:r>
        <w:rPr>
          <w:rFonts w:cs="Times New Roman"/>
        </w:rPr>
        <w:t> </w:t>
      </w:r>
      <w:r w:rsidRPr="00C43D8C">
        <w:rPr>
          <w:rFonts w:cs="Times New Roman"/>
        </w:rPr>
        <w:t xml:space="preserve">Abrametz, such that the public’s sense of decency and fairness would be affected. </w:t>
      </w:r>
      <w:r w:rsidRPr="00C43D8C">
        <w:rPr>
          <w:rFonts w:cs="Times New Roman"/>
          <w:lang w:val="en"/>
        </w:rPr>
        <w:t xml:space="preserve">It concluded </w:t>
      </w:r>
      <w:r w:rsidRPr="00C43D8C">
        <w:rPr>
          <w:rFonts w:cs="Times New Roman"/>
        </w:rPr>
        <w:t>that this inordinate delay would bring the Law Society’s disciplinary process into disrepute.</w:t>
      </w:r>
      <w:bookmarkStart w:id="5" w:name="_Hlk41492122"/>
      <w:r w:rsidRPr="00C43D8C">
        <w:rPr>
          <w:rFonts w:cs="Times New Roman"/>
        </w:rPr>
        <w:t xml:space="preserve"> Mr. Abrametz’s application for a stay should have been granted by the Hearing Committee.</w:t>
      </w:r>
      <w:bookmarkEnd w:id="5"/>
    </w:p>
    <w:p w14:paraId="6A172A71" w14:textId="77777777" w:rsidR="00F04D37" w:rsidRPr="00C43D8C" w:rsidRDefault="00F04D37" w:rsidP="00F04D37">
      <w:pPr>
        <w:pStyle w:val="Title1LevelTitre1Niveau-AltL"/>
        <w:rPr>
          <w:rFonts w:cs="Times New Roman"/>
        </w:rPr>
      </w:pPr>
      <w:r w:rsidRPr="00C43D8C">
        <w:rPr>
          <w:rFonts w:cs="Times New Roman"/>
        </w:rPr>
        <w:lastRenderedPageBreak/>
        <w:t>Analysis</w:t>
      </w:r>
    </w:p>
    <w:p w14:paraId="15C42425" w14:textId="77777777" w:rsidR="00F04D37" w:rsidRPr="00C43D8C" w:rsidRDefault="00F04D37" w:rsidP="00F04D37">
      <w:pPr>
        <w:pStyle w:val="Title2LevelTitre2Niveau"/>
        <w:rPr>
          <w:rFonts w:cs="Times New Roman"/>
        </w:rPr>
      </w:pPr>
      <w:r w:rsidRPr="00C43D8C">
        <w:rPr>
          <w:rFonts w:cs="Times New Roman"/>
        </w:rPr>
        <w:t>Standard of Review</w:t>
      </w:r>
    </w:p>
    <w:p w14:paraId="20AB52EB" w14:textId="77777777" w:rsidR="00F04D37" w:rsidRPr="00C43D8C" w:rsidRDefault="00F04D37" w:rsidP="00F04D37">
      <w:pPr>
        <w:pStyle w:val="ParaNoNdepar-AltN"/>
        <w:rPr>
          <w:rFonts w:cs="Times New Roman"/>
        </w:rPr>
      </w:pPr>
      <w:r w:rsidRPr="00C43D8C">
        <w:rPr>
          <w:rFonts w:cs="Times New Roman"/>
        </w:rPr>
        <w:t>This case allows the Court to clarify the standard of review applicable to questions of procedural fairness and abuse of process in a statutory appeal. The Court received submissions from the parties and interveners on this point.</w:t>
      </w:r>
    </w:p>
    <w:p w14:paraId="6798D30A" w14:textId="77777777" w:rsidR="00F04D37" w:rsidRPr="00C43D8C" w:rsidRDefault="00F04D37" w:rsidP="00F04D37">
      <w:pPr>
        <w:pStyle w:val="ParaNoNdepar-AltN"/>
        <w:rPr>
          <w:rFonts w:cs="Times New Roman"/>
        </w:rPr>
      </w:pPr>
      <w:r w:rsidRPr="00C43D8C">
        <w:rPr>
          <w:rFonts w:cs="Times New Roman"/>
        </w:rPr>
        <w:t xml:space="preserve">In </w:t>
      </w:r>
      <w:r w:rsidRPr="00C43D8C">
        <w:rPr>
          <w:rFonts w:cs="Times New Roman"/>
          <w:bCs/>
          <w:i/>
        </w:rPr>
        <w:t>Canada (Minister of Citizenship and Immigration)</w:t>
      </w:r>
      <w:r>
        <w:rPr>
          <w:rFonts w:cs="Times New Roman"/>
          <w:bCs/>
          <w:i/>
        </w:rPr>
        <w:t xml:space="preserve"> </w:t>
      </w:r>
      <w:r w:rsidRPr="00C43D8C">
        <w:rPr>
          <w:rFonts w:cs="Times New Roman"/>
          <w:i/>
          <w:iCs/>
        </w:rPr>
        <w:t>v.</w:t>
      </w:r>
      <w:r>
        <w:rPr>
          <w:rFonts w:cs="Times New Roman"/>
          <w:i/>
          <w:iCs/>
        </w:rPr>
        <w:t xml:space="preserve"> </w:t>
      </w:r>
      <w:r w:rsidRPr="00C43D8C">
        <w:rPr>
          <w:rFonts w:cs="Times New Roman"/>
          <w:i/>
        </w:rPr>
        <w:t>Vavilov</w:t>
      </w:r>
      <w:r w:rsidRPr="00C43D8C">
        <w:rPr>
          <w:rFonts w:cs="Times New Roman"/>
        </w:rPr>
        <w:t>, 2019 SCC 65, [2019] 4 S.C.R. 653, the Court held that when the legislature provides for a statutory appeal mechanism from an administrative decision maker to a court, this indicates that appellate standards are to apply: paras.</w:t>
      </w:r>
      <w:r>
        <w:rPr>
          <w:rFonts w:cs="Times New Roman"/>
        </w:rPr>
        <w:t> </w:t>
      </w:r>
      <w:r w:rsidRPr="00C43D8C">
        <w:rPr>
          <w:rFonts w:cs="Times New Roman"/>
        </w:rPr>
        <w:t>33 and 36-52. While this proposition was stated in the context of substantive review,</w:t>
      </w:r>
      <w:r w:rsidRPr="00C43D8C">
        <w:rPr>
          <w:rFonts w:cs="Times New Roman"/>
          <w:lang w:val="en-US"/>
        </w:rPr>
        <w:t xml:space="preserve"> </w:t>
      </w:r>
      <w:r w:rsidRPr="00C43D8C">
        <w:rPr>
          <w:rFonts w:cs="Times New Roman"/>
        </w:rPr>
        <w:t xml:space="preserve">the direction that appeals are to be decided according to the appellate standards of review was categorical. Thus, where questions of procedural fairness are dealt with through a statutory appeal mechanism, they are subject to appellate standards of review. </w:t>
      </w:r>
    </w:p>
    <w:p w14:paraId="6CE52662" w14:textId="77777777" w:rsidR="00F04D37" w:rsidRPr="00C43D8C" w:rsidRDefault="00F04D37" w:rsidP="00F04D37">
      <w:pPr>
        <w:pStyle w:val="ParaNoNdepar-AltN"/>
        <w:rPr>
          <w:rFonts w:cs="Times New Roman"/>
        </w:rPr>
      </w:pPr>
      <w:r w:rsidRPr="00C43D8C">
        <w:rPr>
          <w:rFonts w:cs="Times New Roman"/>
        </w:rPr>
        <w:t xml:space="preserve">This does not depart from </w:t>
      </w:r>
      <w:r w:rsidRPr="00C43D8C">
        <w:rPr>
          <w:rFonts w:cs="Times New Roman"/>
          <w:i/>
        </w:rPr>
        <w:t xml:space="preserve">Canada (Citizenship and Immigration) v. </w:t>
      </w:r>
      <w:proofErr w:type="spellStart"/>
      <w:r w:rsidRPr="00C43D8C">
        <w:rPr>
          <w:rFonts w:cs="Times New Roman"/>
          <w:i/>
        </w:rPr>
        <w:t>Khosa</w:t>
      </w:r>
      <w:proofErr w:type="spellEnd"/>
      <w:r w:rsidRPr="00C43D8C">
        <w:rPr>
          <w:rFonts w:cs="Times New Roman"/>
        </w:rPr>
        <w:t xml:space="preserve">, 2009 SCC 12, [2009] 1 S.C.R. 339, and </w:t>
      </w:r>
      <w:r w:rsidRPr="00C43D8C">
        <w:rPr>
          <w:rFonts w:cs="Times New Roman"/>
          <w:i/>
        </w:rPr>
        <w:t xml:space="preserve">Mission Institution v. </w:t>
      </w:r>
      <w:proofErr w:type="spellStart"/>
      <w:r w:rsidRPr="00C43D8C">
        <w:rPr>
          <w:rFonts w:cs="Times New Roman"/>
          <w:i/>
        </w:rPr>
        <w:t>Khela</w:t>
      </w:r>
      <w:proofErr w:type="spellEnd"/>
      <w:r w:rsidRPr="00C43D8C">
        <w:rPr>
          <w:rFonts w:cs="Times New Roman"/>
        </w:rPr>
        <w:t xml:space="preserve">, 2014 SCC 24, [2014] 1 S.C.R. 502, as those decisions related to judicial review and to the granting of prerogative writs. Here, we are dealing with a statutory appeal. As our Court has stated in </w:t>
      </w:r>
      <w:r w:rsidRPr="00C43D8C">
        <w:rPr>
          <w:rFonts w:cs="Times New Roman"/>
          <w:i/>
        </w:rPr>
        <w:t>Vavilov</w:t>
      </w:r>
      <w:r w:rsidRPr="00C43D8C">
        <w:rPr>
          <w:rFonts w:cs="Times New Roman"/>
        </w:rPr>
        <w:t>, at para.</w:t>
      </w:r>
      <w:r>
        <w:rPr>
          <w:rFonts w:cs="Times New Roman"/>
        </w:rPr>
        <w:t> </w:t>
      </w:r>
      <w:r w:rsidRPr="00C43D8C">
        <w:rPr>
          <w:rFonts w:cs="Times New Roman"/>
        </w:rPr>
        <w:t xml:space="preserve">36, “[w]here a legislature has provided that parties may appeal from an administrative decision to a court, either as of right or with leave, it has subjected </w:t>
      </w:r>
      <w:r w:rsidRPr="00C43D8C">
        <w:rPr>
          <w:rFonts w:cs="Times New Roman"/>
        </w:rPr>
        <w:lastRenderedPageBreak/>
        <w:t xml:space="preserve">the administrative regime to appellate oversight and indicated that it expects the court to scrutinize such administrative decisions on an appellate basis.” </w:t>
      </w:r>
    </w:p>
    <w:p w14:paraId="2DFE7231" w14:textId="77777777" w:rsidR="00F04D37" w:rsidRPr="00C43D8C" w:rsidRDefault="00F04D37" w:rsidP="00F04D37">
      <w:pPr>
        <w:pStyle w:val="ParaNoNdepar-AltN"/>
        <w:rPr>
          <w:rFonts w:cs="Times New Roman"/>
        </w:rPr>
      </w:pPr>
      <w:r w:rsidRPr="00C43D8C">
        <w:rPr>
          <w:rFonts w:cs="Times New Roman"/>
        </w:rPr>
        <w:t xml:space="preserve">This case is a statutory appeal pursuant to </w:t>
      </w:r>
      <w:r w:rsidRPr="00C43D8C">
        <w:rPr>
          <w:rFonts w:cs="Times New Roman"/>
          <w:i/>
        </w:rPr>
        <w:t>The Legal Profession Act, 1990</w:t>
      </w:r>
      <w:r w:rsidRPr="00C43D8C">
        <w:rPr>
          <w:rFonts w:cs="Times New Roman"/>
        </w:rPr>
        <w:t xml:space="preserve">. Therefore, the standard of review is correctness for questions of law and palpable and overriding error for questions of fact and of mixed fact and law: </w:t>
      </w:r>
      <w:r w:rsidRPr="00C43D8C">
        <w:rPr>
          <w:rFonts w:cs="Times New Roman"/>
          <w:i/>
        </w:rPr>
        <w:t>H</w:t>
      </w:r>
      <w:r w:rsidRPr="00C43D8C">
        <w:rPr>
          <w:rFonts w:cs="Times New Roman"/>
          <w:i/>
          <w:iCs/>
        </w:rPr>
        <w:t>ousen v. Nikolaisen</w:t>
      </w:r>
      <w:r w:rsidRPr="00C43D8C">
        <w:rPr>
          <w:rFonts w:cs="Times New Roman"/>
        </w:rPr>
        <w:t xml:space="preserve">, 2002 SCC 33, [2002] 2 S.C.R. 235; </w:t>
      </w:r>
      <w:r w:rsidRPr="00C43D8C">
        <w:rPr>
          <w:rFonts w:cs="Times New Roman"/>
          <w:i/>
        </w:rPr>
        <w:t>Ward</w:t>
      </w:r>
      <w:r>
        <w:rPr>
          <w:rFonts w:cs="Times New Roman"/>
          <w:i/>
        </w:rPr>
        <w:t xml:space="preserve"> </w:t>
      </w:r>
      <w:r w:rsidRPr="00C43D8C">
        <w:rPr>
          <w:rFonts w:cs="Times New Roman"/>
          <w:i/>
          <w:iCs/>
        </w:rPr>
        <w:t>v.</w:t>
      </w:r>
      <w:r>
        <w:rPr>
          <w:rFonts w:cs="Times New Roman"/>
          <w:i/>
          <w:iCs/>
        </w:rPr>
        <w:t xml:space="preserve"> </w:t>
      </w:r>
      <w:r w:rsidRPr="00C43D8C">
        <w:rPr>
          <w:rFonts w:cs="Times New Roman"/>
          <w:i/>
        </w:rPr>
        <w:t xml:space="preserve">Quebec (Commission des droits de la personne </w:t>
      </w:r>
      <w:proofErr w:type="gramStart"/>
      <w:r w:rsidRPr="00C43D8C">
        <w:rPr>
          <w:rFonts w:cs="Times New Roman"/>
          <w:i/>
        </w:rPr>
        <w:t>et</w:t>
      </w:r>
      <w:proofErr w:type="gramEnd"/>
      <w:r w:rsidRPr="00C43D8C">
        <w:rPr>
          <w:rFonts w:cs="Times New Roman"/>
          <w:i/>
        </w:rPr>
        <w:t xml:space="preserve"> des droits de la jeunesse</w:t>
      </w:r>
      <w:r w:rsidRPr="00C43D8C">
        <w:rPr>
          <w:rFonts w:cs="Times New Roman"/>
        </w:rPr>
        <w:t>), 2021 SCC 43, at paras.</w:t>
      </w:r>
      <w:r>
        <w:rPr>
          <w:rFonts w:cs="Times New Roman"/>
        </w:rPr>
        <w:t> </w:t>
      </w:r>
      <w:r w:rsidRPr="00C43D8C">
        <w:rPr>
          <w:rFonts w:cs="Times New Roman"/>
        </w:rPr>
        <w:t xml:space="preserve">24-25. </w:t>
      </w:r>
    </w:p>
    <w:p w14:paraId="156F8D8E" w14:textId="77777777" w:rsidR="00F04D37" w:rsidRPr="00C43D8C" w:rsidRDefault="00F04D37" w:rsidP="00F04D37">
      <w:pPr>
        <w:pStyle w:val="ParaNoNdepar-AltN"/>
        <w:rPr>
          <w:rFonts w:cs="Times New Roman"/>
        </w:rPr>
      </w:pPr>
      <w:r w:rsidRPr="00C43D8C">
        <w:rPr>
          <w:rFonts w:cs="Times New Roman"/>
        </w:rPr>
        <w:t>Whether there has been an abuse of process is a question of law. Thus, the applicable standard of review is correctness.</w:t>
      </w:r>
    </w:p>
    <w:p w14:paraId="73964C8F" w14:textId="77777777" w:rsidR="00F04D37" w:rsidRPr="00C43D8C" w:rsidRDefault="00F04D37" w:rsidP="00F04D37">
      <w:pPr>
        <w:pStyle w:val="Title2LevelTitre2Niveau"/>
        <w:rPr>
          <w:rFonts w:cs="Times New Roman"/>
        </w:rPr>
      </w:pPr>
      <w:r w:rsidRPr="00C43D8C">
        <w:rPr>
          <w:rFonts w:cs="Times New Roman"/>
        </w:rPr>
        <w:t>Inordinate Delay in Administrative Law</w:t>
      </w:r>
    </w:p>
    <w:p w14:paraId="68041131" w14:textId="77777777" w:rsidR="00F04D37" w:rsidRPr="00C43D8C" w:rsidRDefault="00F04D37" w:rsidP="00F04D37">
      <w:pPr>
        <w:pStyle w:val="Title3LevelTitre3Niveau"/>
        <w:rPr>
          <w:rFonts w:cs="Times New Roman"/>
        </w:rPr>
      </w:pPr>
      <w:r w:rsidRPr="00C43D8C">
        <w:rPr>
          <w:rFonts w:cs="Times New Roman"/>
        </w:rPr>
        <w:t xml:space="preserve">Introduction </w:t>
      </w:r>
    </w:p>
    <w:p w14:paraId="7F147FC1" w14:textId="77777777" w:rsidR="00F04D37" w:rsidRPr="00C43D8C" w:rsidRDefault="00F04D37" w:rsidP="00F04D37">
      <w:pPr>
        <w:pStyle w:val="ParaNoNdepar-AltN"/>
        <w:rPr>
          <w:rFonts w:cs="Times New Roman"/>
        </w:rPr>
      </w:pPr>
      <w:r w:rsidRPr="00C43D8C">
        <w:rPr>
          <w:rFonts w:cs="Times New Roman"/>
        </w:rPr>
        <w:t xml:space="preserve">Administrative decision makers regularly decide issues that affect individuals’ rights, privileges and interests. This Court recognized the important role of administrative decision makers in </w:t>
      </w:r>
      <w:r w:rsidRPr="00C43D8C">
        <w:rPr>
          <w:rFonts w:cs="Times New Roman"/>
          <w:i/>
        </w:rPr>
        <w:t>Vavilov</w:t>
      </w:r>
      <w:r w:rsidRPr="00C43D8C">
        <w:rPr>
          <w:rFonts w:cs="Times New Roman"/>
        </w:rPr>
        <w:t>, at para.</w:t>
      </w:r>
      <w:r>
        <w:rPr>
          <w:rFonts w:cs="Times New Roman"/>
        </w:rPr>
        <w:t> </w:t>
      </w:r>
      <w:r w:rsidRPr="00C43D8C">
        <w:rPr>
          <w:rFonts w:cs="Times New Roman"/>
        </w:rPr>
        <w:t>4:</w:t>
      </w:r>
    </w:p>
    <w:p w14:paraId="50761216" w14:textId="77777777" w:rsidR="00F04D37" w:rsidRPr="00C43D8C" w:rsidRDefault="00F04D37" w:rsidP="00F04D37">
      <w:pPr>
        <w:pStyle w:val="Citation-AltC"/>
      </w:pPr>
      <w:r w:rsidRPr="00C43D8C">
        <w:t xml:space="preserve">This area of the law concerns matters which are fundamental to our legal and constitutional order, and seeks to navigate the proper relationship between administrative decision makers, the courts and individuals in our society. In parallel with the law, the role of administrative decision making in Canada has also evolved. Today, the administration of countless public bodies and regulatory regimes has been entrusted to statutory delegates with decision-making power. The number, diversity and importance of the matters that come before such delegates has made administrative decision </w:t>
      </w:r>
      <w:r w:rsidRPr="00C43D8C">
        <w:lastRenderedPageBreak/>
        <w:t xml:space="preserve">making one of the principal manifestations of state power in the lives of Canadians. </w:t>
      </w:r>
    </w:p>
    <w:p w14:paraId="5CA0C350" w14:textId="77777777" w:rsidR="00F04D37" w:rsidRPr="00C43D8C" w:rsidRDefault="00F04D37" w:rsidP="00F04D37">
      <w:pPr>
        <w:pStyle w:val="ParaNoNdepar-AltN"/>
        <w:rPr>
          <w:rFonts w:cs="Times New Roman"/>
        </w:rPr>
      </w:pPr>
      <w:r w:rsidRPr="00C43D8C">
        <w:rPr>
          <w:rFonts w:cs="Times New Roman"/>
        </w:rPr>
        <w:t xml:space="preserve">Legislatures delegate authority to administrative decision makers because of their proximity and responsiveness to stakeholders, their ability to render decisions promptly, flexibly and efficiently, and their ability to provide simplified and streamlined proceedings that can promote access to justice: </w:t>
      </w:r>
      <w:r w:rsidRPr="00C43D8C">
        <w:rPr>
          <w:rFonts w:cs="Times New Roman"/>
          <w:i/>
        </w:rPr>
        <w:t>Vavilov</w:t>
      </w:r>
      <w:r w:rsidRPr="00C43D8C">
        <w:rPr>
          <w:rFonts w:cs="Times New Roman"/>
        </w:rPr>
        <w:t>, at para.</w:t>
      </w:r>
      <w:r>
        <w:rPr>
          <w:rFonts w:cs="Times New Roman"/>
        </w:rPr>
        <w:t> </w:t>
      </w:r>
      <w:r w:rsidRPr="00C43D8C">
        <w:rPr>
          <w:rFonts w:cs="Times New Roman"/>
        </w:rPr>
        <w:t xml:space="preserve">29. </w:t>
      </w:r>
    </w:p>
    <w:p w14:paraId="1E71AE6E" w14:textId="77777777" w:rsidR="00F04D37" w:rsidRPr="00C43D8C" w:rsidRDefault="00F04D37" w:rsidP="00F04D37">
      <w:pPr>
        <w:pStyle w:val="Title3LevelTitre3Niveau"/>
        <w:rPr>
          <w:rFonts w:cs="Times New Roman"/>
        </w:rPr>
      </w:pPr>
      <w:r w:rsidRPr="00C43D8C">
        <w:rPr>
          <w:rFonts w:cs="Times New Roman"/>
        </w:rPr>
        <w:t xml:space="preserve">The Doctrine of Abuse of Process </w:t>
      </w:r>
    </w:p>
    <w:p w14:paraId="0A3D67B0" w14:textId="77777777" w:rsidR="00F04D37" w:rsidRPr="00C43D8C" w:rsidRDefault="00F04D37" w:rsidP="00F04D37">
      <w:pPr>
        <w:pStyle w:val="ParaNoNdepar-AltN"/>
        <w:rPr>
          <w:rFonts w:cs="Times New Roman"/>
        </w:rPr>
      </w:pPr>
      <w:r>
        <w:rPr>
          <w:rFonts w:cs="Times New Roman"/>
        </w:rPr>
        <w:t xml:space="preserve">The doctrine of </w:t>
      </w:r>
      <w:r w:rsidRPr="00C43D8C">
        <w:rPr>
          <w:rStyle w:val="solexhl"/>
          <w:rFonts w:cs="Times New Roman"/>
        </w:rPr>
        <w:t>abuse</w:t>
      </w:r>
      <w:r>
        <w:rPr>
          <w:rStyle w:val="solexhl"/>
          <w:rFonts w:cs="Times New Roman"/>
        </w:rPr>
        <w:t xml:space="preserve"> </w:t>
      </w:r>
      <w:r w:rsidRPr="00C43D8C">
        <w:rPr>
          <w:rFonts w:cs="Times New Roman"/>
        </w:rPr>
        <w:t>of process is rooted in a court’s inherent and residual discretion to prevent</w:t>
      </w:r>
      <w:r>
        <w:rPr>
          <w:rFonts w:cs="Times New Roman"/>
        </w:rPr>
        <w:t xml:space="preserve"> </w:t>
      </w:r>
      <w:r w:rsidRPr="00C43D8C">
        <w:rPr>
          <w:rStyle w:val="solexhl"/>
          <w:rFonts w:cs="Times New Roman"/>
        </w:rPr>
        <w:t>abuse</w:t>
      </w:r>
      <w:r>
        <w:rPr>
          <w:rFonts w:cs="Times New Roman"/>
        </w:rPr>
        <w:t xml:space="preserve"> </w:t>
      </w:r>
      <w:r w:rsidRPr="00C43D8C">
        <w:rPr>
          <w:rFonts w:cs="Times New Roman"/>
        </w:rPr>
        <w:t xml:space="preserve">of its process: </w:t>
      </w:r>
      <w:r w:rsidRPr="00C43D8C">
        <w:rPr>
          <w:rFonts w:cs="Times New Roman"/>
          <w:i/>
        </w:rPr>
        <w:t>Toronto (City) v. C.U.P.E., Local 79</w:t>
      </w:r>
      <w:r w:rsidRPr="00C43D8C">
        <w:rPr>
          <w:rFonts w:cs="Times New Roman"/>
        </w:rPr>
        <w:t>, 2003 SCC 63, [2003] 3 S.C.R. 77, at para.</w:t>
      </w:r>
      <w:r>
        <w:rPr>
          <w:rFonts w:cs="Times New Roman"/>
        </w:rPr>
        <w:t> </w:t>
      </w:r>
      <w:r w:rsidRPr="00C43D8C">
        <w:rPr>
          <w:rFonts w:cs="Times New Roman"/>
        </w:rPr>
        <w:t xml:space="preserve">35; </w:t>
      </w:r>
      <w:proofErr w:type="spellStart"/>
      <w:r w:rsidRPr="00C43D8C">
        <w:rPr>
          <w:rFonts w:cs="Times New Roman"/>
          <w:i/>
        </w:rPr>
        <w:t>Behn</w:t>
      </w:r>
      <w:proofErr w:type="spellEnd"/>
      <w:r w:rsidRPr="00C43D8C">
        <w:rPr>
          <w:rFonts w:cs="Times New Roman"/>
          <w:i/>
        </w:rPr>
        <w:t xml:space="preserve"> v. Moulton Contracting Ltd.</w:t>
      </w:r>
      <w:r w:rsidRPr="00C43D8C">
        <w:rPr>
          <w:rFonts w:cs="Times New Roman"/>
        </w:rPr>
        <w:t>, 2013 SCC 26, [2013] 2 S.C.R. 227, at para.</w:t>
      </w:r>
      <w:r>
        <w:rPr>
          <w:rFonts w:cs="Times New Roman"/>
        </w:rPr>
        <w:t> </w:t>
      </w:r>
      <w:r w:rsidRPr="00C43D8C">
        <w:rPr>
          <w:rFonts w:cs="Times New Roman"/>
        </w:rPr>
        <w:t xml:space="preserve">39; </w:t>
      </w:r>
      <w:r w:rsidRPr="00C43D8C">
        <w:rPr>
          <w:rFonts w:cs="Times New Roman"/>
          <w:i/>
        </w:rPr>
        <w:t>R. v. Power</w:t>
      </w:r>
      <w:r w:rsidRPr="00C43D8C">
        <w:rPr>
          <w:rFonts w:cs="Times New Roman"/>
        </w:rPr>
        <w:t>, [1994] 1 S.C.R. 601, at p.</w:t>
      </w:r>
      <w:r>
        <w:rPr>
          <w:rFonts w:cs="Times New Roman"/>
        </w:rPr>
        <w:t> </w:t>
      </w:r>
      <w:r w:rsidRPr="00C43D8C">
        <w:rPr>
          <w:rFonts w:cs="Times New Roman"/>
        </w:rPr>
        <w:t>612; P. </w:t>
      </w:r>
      <w:r>
        <w:rPr>
          <w:rFonts w:cs="Times New Roman"/>
        </w:rPr>
        <w:t>M. </w:t>
      </w:r>
      <w:r w:rsidRPr="00C43D8C">
        <w:rPr>
          <w:rFonts w:cs="Times New Roman"/>
        </w:rPr>
        <w:t>Perell, “A Survey</w:t>
      </w:r>
      <w:r>
        <w:rPr>
          <w:rFonts w:cs="Times New Roman"/>
        </w:rPr>
        <w:t xml:space="preserve"> of Abuse of Process”, in T. L. </w:t>
      </w:r>
      <w:r w:rsidRPr="00C43D8C">
        <w:rPr>
          <w:rFonts w:cs="Times New Roman"/>
        </w:rPr>
        <w:t>Archibald and R. </w:t>
      </w:r>
      <w:r>
        <w:rPr>
          <w:rFonts w:cs="Times New Roman"/>
        </w:rPr>
        <w:t>S. </w:t>
      </w:r>
      <w:r w:rsidRPr="00C43D8C">
        <w:rPr>
          <w:rFonts w:cs="Times New Roman"/>
        </w:rPr>
        <w:t xml:space="preserve">Echlin, eds., </w:t>
      </w:r>
      <w:r w:rsidRPr="00C43D8C">
        <w:rPr>
          <w:rFonts w:cs="Times New Roman"/>
          <w:i/>
        </w:rPr>
        <w:t>Annual Review of Civil Litigation 2007</w:t>
      </w:r>
      <w:r w:rsidRPr="00C43D8C">
        <w:rPr>
          <w:rFonts w:cs="Times New Roman"/>
        </w:rPr>
        <w:t xml:space="preserve"> (2007), 243, at p.</w:t>
      </w:r>
      <w:r>
        <w:rPr>
          <w:rFonts w:cs="Times New Roman"/>
        </w:rPr>
        <w:t> </w:t>
      </w:r>
      <w:r w:rsidRPr="00C43D8C">
        <w:rPr>
          <w:rFonts w:cs="Times New Roman"/>
        </w:rPr>
        <w:t xml:space="preserve">243. The doctrine was recognized in </w:t>
      </w:r>
      <w:r w:rsidRPr="00C43D8C">
        <w:rPr>
          <w:rFonts w:cs="Times New Roman"/>
          <w:i/>
        </w:rPr>
        <w:t xml:space="preserve">R. v. </w:t>
      </w:r>
      <w:proofErr w:type="spellStart"/>
      <w:r w:rsidRPr="00C43D8C">
        <w:rPr>
          <w:rFonts w:cs="Times New Roman"/>
          <w:i/>
        </w:rPr>
        <w:t>Jewitt</w:t>
      </w:r>
      <w:proofErr w:type="spellEnd"/>
      <w:r w:rsidRPr="00C43D8C">
        <w:rPr>
          <w:rFonts w:cs="Times New Roman"/>
        </w:rPr>
        <w:t>,</w:t>
      </w:r>
      <w:r w:rsidRPr="00C43D8C">
        <w:rPr>
          <w:rFonts w:cs="Times New Roman"/>
          <w:i/>
        </w:rPr>
        <w:t xml:space="preserve"> </w:t>
      </w:r>
      <w:r w:rsidRPr="00C43D8C">
        <w:rPr>
          <w:rFonts w:cs="Times New Roman"/>
        </w:rPr>
        <w:t>[1985] 2 S.C.R. 128,</w:t>
      </w:r>
      <w:r w:rsidRPr="00C43D8C">
        <w:rPr>
          <w:rFonts w:cs="Times New Roman"/>
          <w:i/>
        </w:rPr>
        <w:t xml:space="preserve"> </w:t>
      </w:r>
      <w:r w:rsidRPr="00C43D8C">
        <w:rPr>
          <w:rFonts w:cs="Times New Roman"/>
        </w:rPr>
        <w:t>at pp.</w:t>
      </w:r>
      <w:r>
        <w:rPr>
          <w:rFonts w:cs="Times New Roman"/>
        </w:rPr>
        <w:t> </w:t>
      </w:r>
      <w:r w:rsidRPr="00C43D8C">
        <w:rPr>
          <w:rFonts w:cs="Times New Roman"/>
        </w:rPr>
        <w:t xml:space="preserve">135-37, where the Court drew from </w:t>
      </w:r>
      <w:proofErr w:type="spellStart"/>
      <w:r w:rsidRPr="00C43D8C">
        <w:rPr>
          <w:rFonts w:cs="Times New Roman"/>
        </w:rPr>
        <w:t>Dubin</w:t>
      </w:r>
      <w:proofErr w:type="spellEnd"/>
      <w:r w:rsidRPr="00C43D8C">
        <w:rPr>
          <w:rFonts w:cs="Times New Roman"/>
        </w:rPr>
        <w:t xml:space="preserve"> J.A. in </w:t>
      </w:r>
      <w:r w:rsidRPr="00C43D8C">
        <w:rPr>
          <w:rFonts w:cs="Times New Roman"/>
          <w:i/>
        </w:rPr>
        <w:t>R. v. Young</w:t>
      </w:r>
      <w:r w:rsidRPr="00C43D8C">
        <w:rPr>
          <w:rFonts w:cs="Times New Roman"/>
        </w:rPr>
        <w:t xml:space="preserve"> (1984), 40 C.R. (3d) 289 (Ont. C.A.), at p.</w:t>
      </w:r>
      <w:r>
        <w:rPr>
          <w:rFonts w:cs="Times New Roman"/>
        </w:rPr>
        <w:t> </w:t>
      </w:r>
      <w:r w:rsidRPr="00C43D8C">
        <w:rPr>
          <w:rFonts w:cs="Times New Roman"/>
        </w:rPr>
        <w:t xml:space="preserve">329, where he stated that </w:t>
      </w:r>
    </w:p>
    <w:p w14:paraId="70BF877A" w14:textId="77777777" w:rsidR="00F04D37" w:rsidRPr="00C43D8C" w:rsidRDefault="00F04D37" w:rsidP="00F04D37">
      <w:pPr>
        <w:pStyle w:val="Citation-AltC"/>
        <w:ind w:firstLine="274"/>
      </w:pPr>
      <w:r w:rsidRPr="00C43D8C">
        <w:t xml:space="preserve">there is a residual discretion in a trial court judge to stay proceedings where compelling an accused to stand trial would violate those fundamental principles of justice which underlie </w:t>
      </w:r>
      <w:r w:rsidRPr="00C43D8C">
        <w:rPr>
          <w:u w:val="single"/>
        </w:rPr>
        <w:t>the community’s sense of fair play and decency and to prevent the abuse of a court’s process through oppressive or vexatious proceedings</w:t>
      </w:r>
      <w:r w:rsidRPr="00C43D8C">
        <w:t>. [Emphasis added; p.</w:t>
      </w:r>
      <w:r>
        <w:t> </w:t>
      </w:r>
      <w:r w:rsidRPr="00C43D8C">
        <w:t>135.]</w:t>
      </w:r>
    </w:p>
    <w:p w14:paraId="7EBD4A87" w14:textId="77777777" w:rsidR="00F04D37" w:rsidRPr="00C43D8C" w:rsidRDefault="00F04D37" w:rsidP="00F04D37">
      <w:pPr>
        <w:pStyle w:val="ParaNoNdepar-AltN"/>
        <w:rPr>
          <w:rFonts w:cs="Times New Roman"/>
        </w:rPr>
      </w:pPr>
      <w:r w:rsidRPr="00C43D8C">
        <w:rPr>
          <w:rFonts w:cs="Times New Roman"/>
        </w:rPr>
        <w:lastRenderedPageBreak/>
        <w:t xml:space="preserve">Abuse of process is a broad concept that applies in various contexts: </w:t>
      </w:r>
      <w:r w:rsidRPr="00C43D8C">
        <w:rPr>
          <w:rFonts w:cs="Times New Roman"/>
          <w:i/>
        </w:rPr>
        <w:t>C.U.P.E.</w:t>
      </w:r>
      <w:r w:rsidRPr="00C43D8C">
        <w:rPr>
          <w:rFonts w:cs="Times New Roman"/>
        </w:rPr>
        <w:t>,</w:t>
      </w:r>
      <w:r w:rsidRPr="00C43D8C">
        <w:rPr>
          <w:rFonts w:cs="Times New Roman"/>
          <w:i/>
        </w:rPr>
        <w:t xml:space="preserve"> </w:t>
      </w:r>
      <w:r w:rsidRPr="00C43D8C">
        <w:rPr>
          <w:rFonts w:cs="Times New Roman"/>
        </w:rPr>
        <w:t>at para.</w:t>
      </w:r>
      <w:r>
        <w:rPr>
          <w:rFonts w:cs="Times New Roman"/>
        </w:rPr>
        <w:t> </w:t>
      </w:r>
      <w:r w:rsidRPr="00C43D8C">
        <w:rPr>
          <w:rFonts w:cs="Times New Roman"/>
        </w:rPr>
        <w:t xml:space="preserve">36; </w:t>
      </w:r>
      <w:proofErr w:type="spellStart"/>
      <w:r w:rsidRPr="00C43D8C">
        <w:rPr>
          <w:rFonts w:cs="Times New Roman"/>
          <w:i/>
        </w:rPr>
        <w:t>Behn</w:t>
      </w:r>
      <w:proofErr w:type="spellEnd"/>
      <w:r w:rsidRPr="00C43D8C">
        <w:rPr>
          <w:rFonts w:cs="Times New Roman"/>
        </w:rPr>
        <w:t>, at para.</w:t>
      </w:r>
      <w:r>
        <w:rPr>
          <w:rFonts w:cs="Times New Roman"/>
        </w:rPr>
        <w:t> </w:t>
      </w:r>
      <w:r w:rsidRPr="00C43D8C">
        <w:rPr>
          <w:rFonts w:cs="Times New Roman"/>
        </w:rPr>
        <w:t xml:space="preserve">39. In criminal proceedings, unfair or oppressive treatment of an accused can constitute an abuse of the court’s process and warrant judicial intervention: </w:t>
      </w:r>
      <w:r w:rsidRPr="00C43D8C">
        <w:rPr>
          <w:rFonts w:cs="Times New Roman"/>
          <w:i/>
        </w:rPr>
        <w:t xml:space="preserve">R. v. </w:t>
      </w:r>
      <w:proofErr w:type="spellStart"/>
      <w:r w:rsidRPr="00C43D8C">
        <w:rPr>
          <w:rFonts w:cs="Times New Roman"/>
          <w:i/>
        </w:rPr>
        <w:t>Cawthorne</w:t>
      </w:r>
      <w:proofErr w:type="spellEnd"/>
      <w:r w:rsidRPr="00C43D8C">
        <w:rPr>
          <w:rFonts w:cs="Times New Roman"/>
        </w:rPr>
        <w:t>, 2016 SCC 32, [2016] 1 S.C.R. 983, at para.</w:t>
      </w:r>
      <w:r>
        <w:rPr>
          <w:rFonts w:cs="Times New Roman"/>
        </w:rPr>
        <w:t> </w:t>
      </w:r>
      <w:r w:rsidRPr="00C43D8C">
        <w:rPr>
          <w:rFonts w:cs="Times New Roman"/>
        </w:rPr>
        <w:t xml:space="preserve">25, citing </w:t>
      </w:r>
      <w:r w:rsidRPr="00C43D8C">
        <w:rPr>
          <w:rFonts w:cs="Times New Roman"/>
          <w:i/>
        </w:rPr>
        <w:t>Power</w:t>
      </w:r>
      <w:r w:rsidRPr="00C43D8C">
        <w:rPr>
          <w:rFonts w:cs="Times New Roman"/>
        </w:rPr>
        <w:t>,</w:t>
      </w:r>
      <w:r w:rsidRPr="00C43D8C">
        <w:rPr>
          <w:rFonts w:cs="Times New Roman"/>
          <w:i/>
        </w:rPr>
        <w:t xml:space="preserve"> </w:t>
      </w:r>
      <w:r w:rsidRPr="00C43D8C">
        <w:rPr>
          <w:rFonts w:cs="Times New Roman"/>
        </w:rPr>
        <w:t>at pp.</w:t>
      </w:r>
      <w:r>
        <w:rPr>
          <w:rFonts w:cs="Times New Roman"/>
        </w:rPr>
        <w:t> </w:t>
      </w:r>
      <w:r w:rsidRPr="00C43D8C">
        <w:rPr>
          <w:rFonts w:cs="Times New Roman"/>
        </w:rPr>
        <w:t>612-15;</w:t>
      </w:r>
      <w:r w:rsidRPr="00C43D8C">
        <w:rPr>
          <w:rFonts w:cs="Times New Roman"/>
          <w:i/>
        </w:rPr>
        <w:t xml:space="preserve"> </w:t>
      </w:r>
      <w:proofErr w:type="spellStart"/>
      <w:r w:rsidRPr="00C43D8C">
        <w:rPr>
          <w:rFonts w:cs="Times New Roman"/>
          <w:i/>
        </w:rPr>
        <w:t>Jewitt</w:t>
      </w:r>
      <w:proofErr w:type="spellEnd"/>
      <w:r w:rsidRPr="00C43D8C">
        <w:rPr>
          <w:rFonts w:cs="Times New Roman"/>
        </w:rPr>
        <w:t>,</w:t>
      </w:r>
      <w:r w:rsidRPr="00C43D8C">
        <w:rPr>
          <w:rFonts w:cs="Times New Roman"/>
          <w:i/>
        </w:rPr>
        <w:t xml:space="preserve"> </w:t>
      </w:r>
      <w:r>
        <w:rPr>
          <w:rFonts w:cs="Times New Roman"/>
        </w:rPr>
        <w:t>at pp. </w:t>
      </w:r>
      <w:r w:rsidRPr="00C43D8C">
        <w:rPr>
          <w:rFonts w:cs="Times New Roman"/>
        </w:rPr>
        <w:t>136-37;</w:t>
      </w:r>
      <w:r w:rsidRPr="00C43D8C">
        <w:rPr>
          <w:rFonts w:cs="Times New Roman"/>
          <w:i/>
        </w:rPr>
        <w:t xml:space="preserve"> R. v. O’Connor</w:t>
      </w:r>
      <w:r w:rsidRPr="00C43D8C">
        <w:rPr>
          <w:rFonts w:cs="Times New Roman"/>
        </w:rPr>
        <w:t>, [1995] 4 S.C.R. 411, at para.</w:t>
      </w:r>
      <w:r>
        <w:rPr>
          <w:rFonts w:cs="Times New Roman"/>
        </w:rPr>
        <w:t> </w:t>
      </w:r>
      <w:r w:rsidRPr="00C43D8C">
        <w:rPr>
          <w:rFonts w:cs="Times New Roman"/>
        </w:rPr>
        <w:t xml:space="preserve">59. In civil matters, it can warrant granting a motion to strike pleadings or to preclude relitigation of an issue: see </w:t>
      </w:r>
      <w:proofErr w:type="spellStart"/>
      <w:r w:rsidRPr="00C43D8C">
        <w:rPr>
          <w:rFonts w:cs="Times New Roman"/>
          <w:i/>
        </w:rPr>
        <w:t>Behn</w:t>
      </w:r>
      <w:proofErr w:type="spellEnd"/>
      <w:r w:rsidRPr="00C43D8C">
        <w:rPr>
          <w:rFonts w:cs="Times New Roman"/>
        </w:rPr>
        <w:t xml:space="preserve">; </w:t>
      </w:r>
      <w:proofErr w:type="spellStart"/>
      <w:r w:rsidRPr="00C43D8C">
        <w:rPr>
          <w:rFonts w:cs="Times New Roman"/>
          <w:i/>
          <w:iCs/>
        </w:rPr>
        <w:t>Canam</w:t>
      </w:r>
      <w:proofErr w:type="spellEnd"/>
      <w:r w:rsidRPr="00C43D8C">
        <w:rPr>
          <w:rFonts w:cs="Times New Roman"/>
          <w:i/>
          <w:iCs/>
        </w:rPr>
        <w:t xml:space="preserve"> Enterprises Inc. v. Coles</w:t>
      </w:r>
      <w:r w:rsidRPr="00C43D8C">
        <w:rPr>
          <w:rStyle w:val="reflex3-block"/>
          <w:rFonts w:cs="Times New Roman"/>
        </w:rPr>
        <w:t xml:space="preserve"> (2000), 51 O.R. (3d) 481 (C.A.), </w:t>
      </w:r>
      <w:proofErr w:type="spellStart"/>
      <w:r w:rsidRPr="00C43D8C">
        <w:rPr>
          <w:rStyle w:val="reflex3-block"/>
          <w:rFonts w:cs="Times New Roman"/>
        </w:rPr>
        <w:t>rev’d</w:t>
      </w:r>
      <w:proofErr w:type="spellEnd"/>
      <w:r w:rsidRPr="00C43D8C">
        <w:rPr>
          <w:rStyle w:val="reflex3-block"/>
          <w:rFonts w:cs="Times New Roman"/>
        </w:rPr>
        <w:t xml:space="preserve"> 2022 SCC 63, [2002] 3 S.C.R. 307</w:t>
      </w:r>
      <w:r w:rsidRPr="00C43D8C">
        <w:rPr>
          <w:rFonts w:cs="Times New Roman"/>
          <w:iCs/>
        </w:rPr>
        <w:t>.</w:t>
      </w:r>
    </w:p>
    <w:p w14:paraId="3EE11CF2" w14:textId="77777777" w:rsidR="00F04D37" w:rsidRPr="00C43D8C" w:rsidRDefault="00F04D37" w:rsidP="00F04D37">
      <w:pPr>
        <w:pStyle w:val="ParaNoNdepar-AltN"/>
        <w:rPr>
          <w:rFonts w:cs="Times New Roman"/>
        </w:rPr>
      </w:pPr>
      <w:r w:rsidRPr="00C43D8C">
        <w:rPr>
          <w:rFonts w:cs="Times New Roman"/>
          <w:iCs/>
        </w:rPr>
        <w:t xml:space="preserve">It is also </w:t>
      </w:r>
      <w:r w:rsidRPr="00C43D8C">
        <w:rPr>
          <w:rFonts w:cs="Times New Roman"/>
        </w:rPr>
        <w:t>characterized by its flexibility. It is not encumbered by specific requirements, unlike the concepts of </w:t>
      </w:r>
      <w:r w:rsidRPr="00C43D8C">
        <w:rPr>
          <w:rFonts w:cs="Times New Roman"/>
          <w:i/>
          <w:iCs/>
        </w:rPr>
        <w:t>res judicata</w:t>
      </w:r>
      <w:r w:rsidRPr="00C43D8C">
        <w:rPr>
          <w:rFonts w:cs="Times New Roman"/>
        </w:rPr>
        <w:t xml:space="preserve"> and issue estoppel: </w:t>
      </w:r>
      <w:proofErr w:type="spellStart"/>
      <w:r w:rsidRPr="00C43D8C">
        <w:rPr>
          <w:rFonts w:cs="Times New Roman"/>
          <w:i/>
        </w:rPr>
        <w:t>Behn</w:t>
      </w:r>
      <w:proofErr w:type="spellEnd"/>
      <w:r w:rsidRPr="00C43D8C">
        <w:rPr>
          <w:rFonts w:cs="Times New Roman"/>
        </w:rPr>
        <w:t>, at para.</w:t>
      </w:r>
      <w:r>
        <w:rPr>
          <w:rFonts w:cs="Times New Roman"/>
        </w:rPr>
        <w:t> </w:t>
      </w:r>
      <w:r w:rsidRPr="00C43D8C">
        <w:rPr>
          <w:rFonts w:cs="Times New Roman"/>
        </w:rPr>
        <w:t xml:space="preserve">40; </w:t>
      </w:r>
      <w:r w:rsidRPr="00C43D8C">
        <w:rPr>
          <w:rFonts w:cs="Times New Roman"/>
          <w:i/>
        </w:rPr>
        <w:t>C.U.P.E.</w:t>
      </w:r>
      <w:r w:rsidRPr="00C43D8C">
        <w:rPr>
          <w:rFonts w:cs="Times New Roman"/>
        </w:rPr>
        <w:t>, at paras.</w:t>
      </w:r>
      <w:r>
        <w:rPr>
          <w:rFonts w:cs="Times New Roman"/>
        </w:rPr>
        <w:t> </w:t>
      </w:r>
      <w:r w:rsidRPr="00C43D8C">
        <w:rPr>
          <w:rFonts w:cs="Times New Roman"/>
        </w:rPr>
        <w:t xml:space="preserve">37-38. In </w:t>
      </w:r>
      <w:proofErr w:type="spellStart"/>
      <w:r w:rsidRPr="00C43D8C">
        <w:rPr>
          <w:rFonts w:cs="Times New Roman"/>
          <w:i/>
        </w:rPr>
        <w:t>Behn</w:t>
      </w:r>
      <w:proofErr w:type="spellEnd"/>
      <w:r w:rsidRPr="00C43D8C">
        <w:rPr>
          <w:rFonts w:cs="Times New Roman"/>
        </w:rPr>
        <w:t>, at para.</w:t>
      </w:r>
      <w:r>
        <w:rPr>
          <w:rFonts w:cs="Times New Roman"/>
        </w:rPr>
        <w:t> </w:t>
      </w:r>
      <w:r w:rsidRPr="00C43D8C">
        <w:rPr>
          <w:rFonts w:cs="Times New Roman"/>
        </w:rPr>
        <w:t>40, LeBel</w:t>
      </w:r>
      <w:r>
        <w:rPr>
          <w:rFonts w:cs="Times New Roman"/>
        </w:rPr>
        <w:t> </w:t>
      </w:r>
      <w:r w:rsidRPr="00C43D8C">
        <w:rPr>
          <w:rFonts w:cs="Times New Roman"/>
        </w:rPr>
        <w:t xml:space="preserve">J. referred with approval to </w:t>
      </w:r>
      <w:proofErr w:type="spellStart"/>
      <w:r w:rsidRPr="00C43D8C">
        <w:rPr>
          <w:rFonts w:cs="Times New Roman"/>
        </w:rPr>
        <w:t>Goudge</w:t>
      </w:r>
      <w:proofErr w:type="spellEnd"/>
      <w:r>
        <w:rPr>
          <w:rFonts w:cs="Times New Roman"/>
        </w:rPr>
        <w:t> </w:t>
      </w:r>
      <w:r w:rsidRPr="00C43D8C">
        <w:rPr>
          <w:rFonts w:cs="Times New Roman"/>
        </w:rPr>
        <w:t xml:space="preserve">J.A., dissenting, in </w:t>
      </w:r>
      <w:proofErr w:type="spellStart"/>
      <w:r w:rsidRPr="00C43D8C">
        <w:rPr>
          <w:rFonts w:cs="Times New Roman"/>
          <w:i/>
          <w:iCs/>
        </w:rPr>
        <w:t>Canam</w:t>
      </w:r>
      <w:proofErr w:type="spellEnd"/>
      <w:r w:rsidRPr="00C43D8C">
        <w:rPr>
          <w:rFonts w:cs="Times New Roman"/>
          <w:i/>
          <w:iCs/>
        </w:rPr>
        <w:t xml:space="preserve"> Enterprises Inc. </w:t>
      </w:r>
      <w:r w:rsidRPr="00C43D8C">
        <w:rPr>
          <w:rFonts w:cs="Times New Roman"/>
        </w:rPr>
        <w:t xml:space="preserve">(C.A.), where </w:t>
      </w:r>
      <w:proofErr w:type="spellStart"/>
      <w:r w:rsidRPr="00C43D8C">
        <w:rPr>
          <w:rFonts w:cs="Times New Roman"/>
        </w:rPr>
        <w:t>Goudge</w:t>
      </w:r>
      <w:proofErr w:type="spellEnd"/>
      <w:r>
        <w:rPr>
          <w:rFonts w:cs="Times New Roman"/>
        </w:rPr>
        <w:t> </w:t>
      </w:r>
      <w:r w:rsidRPr="00C43D8C">
        <w:rPr>
          <w:rFonts w:cs="Times New Roman"/>
        </w:rPr>
        <w:t xml:space="preserve">J.A. explained that the doctrine of abuse of process </w:t>
      </w:r>
    </w:p>
    <w:p w14:paraId="5D204C26" w14:textId="77777777" w:rsidR="00F04D37" w:rsidRPr="00C43D8C" w:rsidRDefault="00F04D37" w:rsidP="00F04D37">
      <w:pPr>
        <w:pStyle w:val="Citation-AltC"/>
        <w:ind w:firstLine="274"/>
      </w:pPr>
      <w:proofErr w:type="gramStart"/>
      <w:r w:rsidRPr="00C43D8C">
        <w:t>engages</w:t>
      </w:r>
      <w:proofErr w:type="gramEnd"/>
      <w:r w:rsidRPr="00C43D8C">
        <w:t xml:space="preserve"> the inherent power of the court to prevent the misuse of its procedure, in a way that would be manifestly unfair to a party to the litigation before it or would in some other way bring the administration of justice into disrepute. It is a </w:t>
      </w:r>
      <w:r w:rsidRPr="00C43D8C">
        <w:rPr>
          <w:u w:val="single"/>
        </w:rPr>
        <w:t>flexible doctrine</w:t>
      </w:r>
      <w:r w:rsidRPr="00C43D8C">
        <w:t xml:space="preserve"> unencumbered by the specific requirements of concepts such as issue estoppel. [Emphasis added; para. 55.]</w:t>
      </w:r>
    </w:p>
    <w:p w14:paraId="3B163EA6" w14:textId="77777777" w:rsidR="00F04D37" w:rsidRPr="00C43D8C" w:rsidRDefault="00F04D37" w:rsidP="00F04D37">
      <w:pPr>
        <w:pStyle w:val="ParaNoNdepar-AltN"/>
        <w:numPr>
          <w:ilvl w:val="0"/>
          <w:numId w:val="0"/>
        </w:numPr>
        <w:rPr>
          <w:rFonts w:cs="Times New Roman"/>
        </w:rPr>
      </w:pPr>
      <w:r w:rsidRPr="00C43D8C">
        <w:rPr>
          <w:rFonts w:cs="Times New Roman"/>
        </w:rPr>
        <w:t xml:space="preserve">Such flexibility is important in the administrative law context, given the wide variety of circumstances in which delegated authority is exercised. </w:t>
      </w:r>
    </w:p>
    <w:p w14:paraId="5F6E2EE9" w14:textId="77777777" w:rsidR="00F04D37" w:rsidRPr="00C43D8C" w:rsidRDefault="00F04D37" w:rsidP="00F04D37">
      <w:pPr>
        <w:pStyle w:val="ParaNoNdepar-AltN"/>
        <w:rPr>
          <w:rFonts w:cs="Times New Roman"/>
        </w:rPr>
      </w:pPr>
      <w:r w:rsidRPr="00C43D8C">
        <w:rPr>
          <w:rFonts w:cs="Times New Roman"/>
        </w:rPr>
        <w:t>T</w:t>
      </w:r>
      <w:r w:rsidRPr="00C43D8C">
        <w:rPr>
          <w:rFonts w:cs="Times New Roman"/>
          <w:szCs w:val="24"/>
        </w:rPr>
        <w:t xml:space="preserve">he primary focus is the integrity of courts’ adjudicative functions, and less on the interests of parties: </w:t>
      </w:r>
      <w:r w:rsidRPr="00C43D8C">
        <w:rPr>
          <w:rFonts w:cs="Times New Roman"/>
          <w:i/>
        </w:rPr>
        <w:t>C.U.P.E.</w:t>
      </w:r>
      <w:r w:rsidRPr="00C43D8C">
        <w:rPr>
          <w:rFonts w:cs="Times New Roman"/>
          <w:szCs w:val="24"/>
        </w:rPr>
        <w:t xml:space="preserve">, </w:t>
      </w:r>
      <w:r w:rsidRPr="00C43D8C">
        <w:rPr>
          <w:rFonts w:cs="Times New Roman"/>
        </w:rPr>
        <w:t>at para.</w:t>
      </w:r>
      <w:r>
        <w:rPr>
          <w:rFonts w:cs="Times New Roman"/>
        </w:rPr>
        <w:t> </w:t>
      </w:r>
      <w:r w:rsidRPr="00C43D8C">
        <w:rPr>
          <w:rFonts w:cs="Times New Roman"/>
          <w:szCs w:val="24"/>
        </w:rPr>
        <w:t xml:space="preserve">43; </w:t>
      </w:r>
      <w:r w:rsidRPr="00C43D8C">
        <w:rPr>
          <w:rFonts w:cs="Times New Roman"/>
          <w:i/>
          <w:szCs w:val="24"/>
        </w:rPr>
        <w:t xml:space="preserve">R. v. </w:t>
      </w:r>
      <w:r w:rsidRPr="00C43D8C">
        <w:rPr>
          <w:rFonts w:cs="Times New Roman"/>
          <w:i/>
        </w:rPr>
        <w:t>Conway</w:t>
      </w:r>
      <w:r w:rsidRPr="00C43D8C">
        <w:rPr>
          <w:rFonts w:cs="Times New Roman"/>
        </w:rPr>
        <w:t xml:space="preserve">, [1989] 1 S.C.R. </w:t>
      </w:r>
      <w:r w:rsidRPr="00C43D8C">
        <w:rPr>
          <w:rFonts w:cs="Times New Roman"/>
        </w:rPr>
        <w:lastRenderedPageBreak/>
        <w:t>1659, at p.</w:t>
      </w:r>
      <w:r>
        <w:rPr>
          <w:rFonts w:cs="Times New Roman"/>
        </w:rPr>
        <w:t> </w:t>
      </w:r>
      <w:r w:rsidRPr="00C43D8C">
        <w:rPr>
          <w:rFonts w:cs="Times New Roman"/>
        </w:rPr>
        <w:t>1667</w:t>
      </w:r>
      <w:r w:rsidRPr="00C43D8C">
        <w:rPr>
          <w:rFonts w:cs="Times New Roman"/>
          <w:spacing w:val="-3"/>
        </w:rPr>
        <w:t xml:space="preserve">; </w:t>
      </w:r>
      <w:r w:rsidRPr="00C43D8C">
        <w:rPr>
          <w:rFonts w:cs="Times New Roman"/>
          <w:i/>
          <w:spacing w:val="-3"/>
        </w:rPr>
        <w:t>R. v. Scott</w:t>
      </w:r>
      <w:r w:rsidRPr="00C43D8C">
        <w:rPr>
          <w:rFonts w:cs="Times New Roman"/>
          <w:spacing w:val="-3"/>
        </w:rPr>
        <w:t>, [1990] 3 S.C.R. 979,</w:t>
      </w:r>
      <w:r w:rsidRPr="00C43D8C">
        <w:rPr>
          <w:rFonts w:cs="Times New Roman"/>
          <w:i/>
          <w:spacing w:val="-3"/>
        </w:rPr>
        <w:t xml:space="preserve"> </w:t>
      </w:r>
      <w:r w:rsidRPr="00C43D8C">
        <w:rPr>
          <w:rFonts w:cs="Times New Roman"/>
          <w:spacing w:val="-3"/>
        </w:rPr>
        <w:t>at p.</w:t>
      </w:r>
      <w:r>
        <w:rPr>
          <w:rFonts w:cs="Times New Roman"/>
          <w:spacing w:val="-3"/>
        </w:rPr>
        <w:t> </w:t>
      </w:r>
      <w:r w:rsidRPr="00C43D8C">
        <w:rPr>
          <w:rFonts w:cs="Times New Roman"/>
          <w:spacing w:val="-3"/>
        </w:rPr>
        <w:t xml:space="preserve">1007. </w:t>
      </w:r>
      <w:r w:rsidRPr="00C43D8C">
        <w:rPr>
          <w:rFonts w:cs="Times New Roman"/>
        </w:rPr>
        <w:t xml:space="preserve">The proper administration of justice and ensuring fairness are central to the doctrine: </w:t>
      </w:r>
      <w:proofErr w:type="spellStart"/>
      <w:r w:rsidRPr="00C43D8C">
        <w:rPr>
          <w:rFonts w:cs="Times New Roman"/>
          <w:i/>
        </w:rPr>
        <w:t>Behn</w:t>
      </w:r>
      <w:proofErr w:type="spellEnd"/>
      <w:r w:rsidRPr="00C43D8C">
        <w:rPr>
          <w:rFonts w:cs="Times New Roman"/>
        </w:rPr>
        <w:t>, at para.</w:t>
      </w:r>
      <w:r>
        <w:rPr>
          <w:rFonts w:cs="Times New Roman"/>
        </w:rPr>
        <w:t> </w:t>
      </w:r>
      <w:r w:rsidRPr="00C43D8C">
        <w:rPr>
          <w:rFonts w:cs="Times New Roman"/>
        </w:rPr>
        <w:t xml:space="preserve">41; </w:t>
      </w:r>
      <w:r w:rsidRPr="00C43D8C">
        <w:rPr>
          <w:rFonts w:cs="Times New Roman"/>
          <w:i/>
        </w:rPr>
        <w:t xml:space="preserve">British Columbia (Workers’ Compensation Board) v. </w:t>
      </w:r>
      <w:proofErr w:type="spellStart"/>
      <w:r w:rsidRPr="00C43D8C">
        <w:rPr>
          <w:rFonts w:cs="Times New Roman"/>
          <w:i/>
        </w:rPr>
        <w:t>Figliola</w:t>
      </w:r>
      <w:proofErr w:type="spellEnd"/>
      <w:r w:rsidRPr="00C43D8C">
        <w:rPr>
          <w:rFonts w:cs="Times New Roman"/>
        </w:rPr>
        <w:t>, 2011 SCC 52, [2011] 3 S.C.R. 422, at paras.</w:t>
      </w:r>
      <w:r>
        <w:rPr>
          <w:rFonts w:cs="Times New Roman"/>
        </w:rPr>
        <w:t> </w:t>
      </w:r>
      <w:r w:rsidRPr="00C43D8C">
        <w:rPr>
          <w:rFonts w:cs="Times New Roman"/>
        </w:rPr>
        <w:t xml:space="preserve">24-25 and 31. It aims to prevent unfairness by precluding “abuse of the decision-making process”: </w:t>
      </w:r>
      <w:proofErr w:type="spellStart"/>
      <w:r w:rsidRPr="00C43D8C">
        <w:rPr>
          <w:rFonts w:cs="Times New Roman"/>
          <w:i/>
        </w:rPr>
        <w:t>Figliola</w:t>
      </w:r>
      <w:proofErr w:type="spellEnd"/>
      <w:r w:rsidRPr="00C43D8C">
        <w:rPr>
          <w:rFonts w:cs="Times New Roman"/>
        </w:rPr>
        <w:t>, at para.</w:t>
      </w:r>
      <w:r>
        <w:rPr>
          <w:rFonts w:cs="Times New Roman"/>
        </w:rPr>
        <w:t> </w:t>
      </w:r>
      <w:r w:rsidRPr="00C43D8C">
        <w:rPr>
          <w:rFonts w:cs="Times New Roman"/>
        </w:rPr>
        <w:t xml:space="preserve">34, citing </w:t>
      </w:r>
      <w:proofErr w:type="spellStart"/>
      <w:r w:rsidRPr="00C43D8C">
        <w:rPr>
          <w:rFonts w:cs="Times New Roman"/>
          <w:i/>
        </w:rPr>
        <w:t>Danyluk</w:t>
      </w:r>
      <w:proofErr w:type="spellEnd"/>
      <w:r w:rsidRPr="00C43D8C">
        <w:rPr>
          <w:rFonts w:cs="Times New Roman"/>
          <w:i/>
        </w:rPr>
        <w:t xml:space="preserve"> v. Ainsworth Technologies Inc.</w:t>
      </w:r>
      <w:r w:rsidRPr="00C43D8C">
        <w:rPr>
          <w:rFonts w:cs="Times New Roman"/>
        </w:rPr>
        <w:t>, 2001 SCC 44, [2001] 2 S.C.R. 460, at para.</w:t>
      </w:r>
      <w:r>
        <w:rPr>
          <w:rFonts w:cs="Times New Roman"/>
        </w:rPr>
        <w:t> </w:t>
      </w:r>
      <w:r w:rsidRPr="00C43D8C">
        <w:rPr>
          <w:rFonts w:cs="Times New Roman"/>
        </w:rPr>
        <w:t xml:space="preserve">20. </w:t>
      </w:r>
    </w:p>
    <w:p w14:paraId="210A7ADC" w14:textId="77777777" w:rsidR="00F04D37" w:rsidRPr="00C43D8C" w:rsidRDefault="00F04D37" w:rsidP="00F04D37">
      <w:pPr>
        <w:pStyle w:val="ParaNoNdepar-AltN"/>
        <w:rPr>
          <w:rFonts w:cs="Times New Roman"/>
        </w:rPr>
      </w:pPr>
      <w:r w:rsidRPr="00C43D8C">
        <w:rPr>
          <w:rFonts w:cs="Times New Roman"/>
        </w:rPr>
        <w:t xml:space="preserve">Such considerations underlie the courts’ concern with inordinate delay in the administrative context. </w:t>
      </w:r>
    </w:p>
    <w:p w14:paraId="2A181813" w14:textId="77777777" w:rsidR="00F04D37" w:rsidRPr="00C43D8C" w:rsidRDefault="00F04D37" w:rsidP="00F04D37">
      <w:pPr>
        <w:pStyle w:val="Title3LevelTitre3Niveau"/>
        <w:rPr>
          <w:rFonts w:cs="Times New Roman"/>
        </w:rPr>
      </w:pPr>
      <w:r w:rsidRPr="00C43D8C">
        <w:rPr>
          <w:rFonts w:cs="Times New Roman"/>
        </w:rPr>
        <w:t>Abuse of Process in Administrative Proceedings</w:t>
      </w:r>
    </w:p>
    <w:p w14:paraId="796055AF" w14:textId="77777777" w:rsidR="00F04D37" w:rsidRPr="00C43D8C" w:rsidRDefault="00F04D37" w:rsidP="00F04D37">
      <w:pPr>
        <w:pStyle w:val="ParaNoNdepar-AltN"/>
        <w:rPr>
          <w:rFonts w:cs="Times New Roman"/>
        </w:rPr>
      </w:pPr>
      <w:r w:rsidRPr="00C43D8C">
        <w:rPr>
          <w:rFonts w:cs="Times New Roman"/>
        </w:rPr>
        <w:t xml:space="preserve">In administrative proceedings, abuse of process is a question of procedural fairness: </w:t>
      </w:r>
      <w:r w:rsidRPr="00C43D8C">
        <w:rPr>
          <w:rFonts w:cs="Times New Roman"/>
          <w:i/>
        </w:rPr>
        <w:t>Blencoe</w:t>
      </w:r>
      <w:r w:rsidRPr="00C43D8C">
        <w:rPr>
          <w:rFonts w:cs="Times New Roman"/>
        </w:rPr>
        <w:t>, at paras.</w:t>
      </w:r>
      <w:r>
        <w:rPr>
          <w:rFonts w:cs="Times New Roman"/>
        </w:rPr>
        <w:t> </w:t>
      </w:r>
      <w:r w:rsidRPr="00C43D8C">
        <w:rPr>
          <w:rFonts w:cs="Times New Roman"/>
        </w:rPr>
        <w:t>105-7 and 121; G.</w:t>
      </w:r>
      <w:r>
        <w:rPr>
          <w:rFonts w:cs="Times New Roman"/>
        </w:rPr>
        <w:t> </w:t>
      </w:r>
      <w:r w:rsidRPr="00C43D8C">
        <w:rPr>
          <w:rFonts w:cs="Times New Roman"/>
        </w:rPr>
        <w:t xml:space="preserve">Régimbald, </w:t>
      </w:r>
      <w:r w:rsidRPr="00C43D8C">
        <w:rPr>
          <w:rFonts w:cs="Times New Roman"/>
          <w:i/>
        </w:rPr>
        <w:t>Canadian Administrative Law</w:t>
      </w:r>
      <w:r w:rsidRPr="00C43D8C">
        <w:rPr>
          <w:rFonts w:cs="Times New Roman"/>
        </w:rPr>
        <w:t xml:space="preserve"> (3rd ed. 2021), at pp.</w:t>
      </w:r>
      <w:r>
        <w:rPr>
          <w:rFonts w:cs="Times New Roman"/>
        </w:rPr>
        <w:t> </w:t>
      </w:r>
      <w:r w:rsidRPr="00C43D8C">
        <w:rPr>
          <w:rFonts w:cs="Times New Roman"/>
        </w:rPr>
        <w:t>344-350; P.</w:t>
      </w:r>
      <w:r>
        <w:rPr>
          <w:rFonts w:cs="Times New Roman"/>
        </w:rPr>
        <w:t> </w:t>
      </w:r>
      <w:proofErr w:type="spellStart"/>
      <w:r w:rsidRPr="00C43D8C">
        <w:rPr>
          <w:rFonts w:cs="Times New Roman"/>
        </w:rPr>
        <w:t>Garant</w:t>
      </w:r>
      <w:proofErr w:type="spellEnd"/>
      <w:r w:rsidRPr="00C43D8C">
        <w:rPr>
          <w:rFonts w:cs="Times New Roman"/>
        </w:rPr>
        <w:t>, with P.</w:t>
      </w:r>
      <w:r>
        <w:rPr>
          <w:rFonts w:cs="Times New Roman"/>
        </w:rPr>
        <w:t> </w:t>
      </w:r>
      <w:proofErr w:type="spellStart"/>
      <w:r w:rsidRPr="00C43D8C">
        <w:rPr>
          <w:rFonts w:cs="Times New Roman"/>
        </w:rPr>
        <w:t>Garant</w:t>
      </w:r>
      <w:proofErr w:type="spellEnd"/>
      <w:r w:rsidRPr="00C43D8C">
        <w:rPr>
          <w:rFonts w:cs="Times New Roman"/>
        </w:rPr>
        <w:t xml:space="preserve"> and J.</w:t>
      </w:r>
      <w:r>
        <w:rPr>
          <w:rFonts w:cs="Times New Roman"/>
        </w:rPr>
        <w:t> </w:t>
      </w:r>
      <w:proofErr w:type="spellStart"/>
      <w:r w:rsidRPr="00C43D8C">
        <w:rPr>
          <w:rFonts w:cs="Times New Roman"/>
        </w:rPr>
        <w:t>Garant</w:t>
      </w:r>
      <w:proofErr w:type="spellEnd"/>
      <w:r w:rsidRPr="00C43D8C">
        <w:rPr>
          <w:rFonts w:cs="Times New Roman"/>
        </w:rPr>
        <w:t xml:space="preserve">, </w:t>
      </w:r>
      <w:r w:rsidRPr="00C43D8C">
        <w:rPr>
          <w:rFonts w:cs="Times New Roman"/>
          <w:i/>
        </w:rPr>
        <w:t>Droit administratif</w:t>
      </w:r>
      <w:r w:rsidRPr="00C43D8C">
        <w:rPr>
          <w:rFonts w:cs="Times New Roman"/>
        </w:rPr>
        <w:t xml:space="preserve"> (7th ed. 2017), at pp.</w:t>
      </w:r>
      <w:r>
        <w:rPr>
          <w:rFonts w:cs="Times New Roman"/>
        </w:rPr>
        <w:t> </w:t>
      </w:r>
      <w:r w:rsidRPr="00C43D8C">
        <w:rPr>
          <w:rFonts w:cs="Times New Roman"/>
        </w:rPr>
        <w:t xml:space="preserve">766-67). This Court dealt with abuse of process as it relates to administrative delay in </w:t>
      </w:r>
      <w:r w:rsidRPr="00C43D8C">
        <w:rPr>
          <w:rFonts w:cs="Times New Roman"/>
          <w:i/>
        </w:rPr>
        <w:t>Blencoe</w:t>
      </w:r>
      <w:r w:rsidRPr="00C43D8C">
        <w:rPr>
          <w:rFonts w:cs="Times New Roman"/>
        </w:rPr>
        <w:t>. Our Court recognized that decision makers have, as a corollary to their duty to act fairly, the power to assess allegedly abusive delay.</w:t>
      </w:r>
    </w:p>
    <w:p w14:paraId="7FC41108" w14:textId="77777777" w:rsidR="00F04D37" w:rsidRPr="00C43D8C" w:rsidRDefault="00F04D37" w:rsidP="00F04D37">
      <w:pPr>
        <w:pStyle w:val="ParaNoNdepar-AltN"/>
        <w:rPr>
          <w:rFonts w:cs="Times New Roman"/>
        </w:rPr>
      </w:pPr>
      <w:r>
        <w:rPr>
          <w:rFonts w:cs="Times New Roman"/>
        </w:rPr>
        <w:t>Mr. </w:t>
      </w:r>
      <w:r w:rsidRPr="00C43D8C">
        <w:rPr>
          <w:rFonts w:cs="Times New Roman"/>
        </w:rPr>
        <w:t>Blencoe, a former British Columbia Cabinet Minister, was accused by several women of sexual harassment. They filed complaints with the then British Columbia Council of Human Rights. Hearings were scheduled more than 30 months after the initial complaints were filed. Mr.</w:t>
      </w:r>
      <w:r>
        <w:rPr>
          <w:rFonts w:cs="Times New Roman"/>
        </w:rPr>
        <w:t> </w:t>
      </w:r>
      <w:r w:rsidRPr="00C43D8C">
        <w:rPr>
          <w:rFonts w:cs="Times New Roman"/>
        </w:rPr>
        <w:t xml:space="preserve">Blencoe applied to have the proceedings </w:t>
      </w:r>
      <w:r w:rsidRPr="00C43D8C">
        <w:rPr>
          <w:rFonts w:cs="Times New Roman"/>
        </w:rPr>
        <w:lastRenderedPageBreak/>
        <w:t xml:space="preserve">stayed on the basis of abuse of process. While this Court declined to do so, it described circumstances when a stay could be ordered. </w:t>
      </w:r>
    </w:p>
    <w:p w14:paraId="1FCE66DB" w14:textId="77777777" w:rsidR="00F04D37" w:rsidRPr="00C43D8C" w:rsidRDefault="00F04D37" w:rsidP="00F04D37">
      <w:pPr>
        <w:pStyle w:val="ParaNoNdepar-AltN"/>
        <w:rPr>
          <w:rFonts w:cs="Times New Roman"/>
        </w:rPr>
      </w:pPr>
      <w:r w:rsidRPr="00C43D8C">
        <w:rPr>
          <w:rFonts w:cs="Times New Roman"/>
        </w:rPr>
        <w:t>The Court explained two ways in which delay may constitute an abuse of process.</w:t>
      </w:r>
    </w:p>
    <w:p w14:paraId="4C4C9847" w14:textId="77777777" w:rsidR="00F04D37" w:rsidRPr="00C43D8C" w:rsidRDefault="00F04D37" w:rsidP="00F04D37">
      <w:pPr>
        <w:pStyle w:val="ParaNoNdepar-AltN"/>
        <w:spacing w:before="240"/>
        <w:rPr>
          <w:rFonts w:cs="Times New Roman"/>
          <w:lang w:val="en-US"/>
        </w:rPr>
      </w:pPr>
      <w:r w:rsidRPr="00C43D8C">
        <w:rPr>
          <w:rFonts w:cs="Times New Roman"/>
        </w:rPr>
        <w:t xml:space="preserve">The first concerns hearing fairness. The fairness of a hearing can be compromised where delay impairs a party’s ability to answer the complaint against them, such as when memories have faded, essential witnesses are unavailable or evidence has been lost: </w:t>
      </w:r>
      <w:r w:rsidRPr="00C43D8C">
        <w:rPr>
          <w:rFonts w:cs="Times New Roman"/>
          <w:i/>
        </w:rPr>
        <w:t>Blencoe</w:t>
      </w:r>
      <w:r w:rsidRPr="00C43D8C">
        <w:rPr>
          <w:rFonts w:cs="Times New Roman"/>
        </w:rPr>
        <w:t>, at para.</w:t>
      </w:r>
      <w:r>
        <w:rPr>
          <w:rFonts w:cs="Times New Roman"/>
        </w:rPr>
        <w:t> </w:t>
      </w:r>
      <w:r w:rsidRPr="00C43D8C">
        <w:rPr>
          <w:rFonts w:cs="Times New Roman"/>
        </w:rPr>
        <w:t>102; D. J. M.</w:t>
      </w:r>
      <w:r>
        <w:rPr>
          <w:rFonts w:cs="Times New Roman"/>
        </w:rPr>
        <w:t> </w:t>
      </w:r>
      <w:r w:rsidRPr="00C43D8C">
        <w:rPr>
          <w:rFonts w:cs="Times New Roman"/>
        </w:rPr>
        <w:t>Brown and J. M.</w:t>
      </w:r>
      <w:r>
        <w:rPr>
          <w:rFonts w:cs="Times New Roman"/>
        </w:rPr>
        <w:t> </w:t>
      </w:r>
      <w:r w:rsidRPr="00C43D8C">
        <w:rPr>
          <w:rFonts w:cs="Times New Roman"/>
        </w:rPr>
        <w:t>Evans, with the assistance of D.</w:t>
      </w:r>
      <w:r>
        <w:rPr>
          <w:rFonts w:cs="Times New Roman"/>
        </w:rPr>
        <w:t> </w:t>
      </w:r>
      <w:proofErr w:type="spellStart"/>
      <w:r w:rsidRPr="00C43D8C">
        <w:rPr>
          <w:rFonts w:cs="Times New Roman"/>
        </w:rPr>
        <w:t>Fairlie</w:t>
      </w:r>
      <w:proofErr w:type="spellEnd"/>
      <w:r w:rsidRPr="00C43D8C">
        <w:rPr>
          <w:rFonts w:cs="Times New Roman"/>
        </w:rPr>
        <w:t xml:space="preserve">, </w:t>
      </w:r>
      <w:r w:rsidRPr="00C43D8C">
        <w:rPr>
          <w:rFonts w:cs="Times New Roman"/>
          <w:i/>
        </w:rPr>
        <w:t>Judicial Review of Administrative Action in Canada</w:t>
      </w:r>
      <w:r w:rsidRPr="00C43D8C">
        <w:rPr>
          <w:rFonts w:cs="Times New Roman"/>
        </w:rPr>
        <w:t xml:space="preserve"> (loose-leaf), at §</w:t>
      </w:r>
      <w:r>
        <w:rPr>
          <w:rFonts w:cs="Times New Roman"/>
        </w:rPr>
        <w:t> </w:t>
      </w:r>
      <w:r w:rsidRPr="00C43D8C">
        <w:rPr>
          <w:rFonts w:cs="Times New Roman"/>
        </w:rPr>
        <w:t xml:space="preserve">9:57. </w:t>
      </w:r>
    </w:p>
    <w:p w14:paraId="317AC8E4" w14:textId="77777777" w:rsidR="00F04D37" w:rsidRPr="00C43D8C" w:rsidRDefault="00F04D37" w:rsidP="00F04D37">
      <w:pPr>
        <w:pStyle w:val="ParaNoNdepar-AltN"/>
        <w:rPr>
          <w:rFonts w:cs="Times New Roman"/>
        </w:rPr>
      </w:pPr>
      <w:r w:rsidRPr="00C43D8C">
        <w:rPr>
          <w:rFonts w:cs="Times New Roman"/>
        </w:rPr>
        <w:t xml:space="preserve">This is not what is in issue in this appeal. Rather, the Court is concerned with a second category of abuse of process. Even when there is no prejudice to hearing fairness, an abuse of process may occur if significant prejudice has come about due to inordinate delay: </w:t>
      </w:r>
      <w:r w:rsidRPr="00C43D8C">
        <w:rPr>
          <w:rFonts w:cs="Times New Roman"/>
          <w:i/>
        </w:rPr>
        <w:t>Blencoe</w:t>
      </w:r>
      <w:r w:rsidRPr="00C43D8C">
        <w:rPr>
          <w:rFonts w:cs="Times New Roman"/>
        </w:rPr>
        <w:t>, at paras.</w:t>
      </w:r>
      <w:r>
        <w:rPr>
          <w:rFonts w:cs="Times New Roman"/>
        </w:rPr>
        <w:t> </w:t>
      </w:r>
      <w:r w:rsidRPr="00C43D8C">
        <w:rPr>
          <w:rFonts w:cs="Times New Roman"/>
        </w:rPr>
        <w:t>122 and 132.</w:t>
      </w:r>
    </w:p>
    <w:p w14:paraId="4E799849" w14:textId="77777777" w:rsidR="00F04D37" w:rsidRPr="00C43D8C" w:rsidRDefault="00F04D37" w:rsidP="00F04D37">
      <w:pPr>
        <w:pStyle w:val="ParaNoNdepar-AltN"/>
        <w:rPr>
          <w:rFonts w:cs="Times New Roman"/>
          <w:lang w:val="en-US"/>
        </w:rPr>
      </w:pPr>
      <w:r w:rsidRPr="00C43D8C">
        <w:rPr>
          <w:rFonts w:cs="Times New Roman"/>
          <w:i/>
        </w:rPr>
        <w:t>Blencoe</w:t>
      </w:r>
      <w:r w:rsidRPr="00C43D8C">
        <w:rPr>
          <w:rFonts w:cs="Times New Roman"/>
        </w:rPr>
        <w:t xml:space="preserve"> sets out a three-step test to determine whether delay that does not affect hearing fairness nonetheless amounts to an abuse of process. First, the delay must be inordinate. Second, the delay must have directly caused significant prejudice. When these two requirements are met, courts or tribunals will proceed to a final assessment of whether the delay amounts to an abuse of process. Delay will amount to an abuse of </w:t>
      </w:r>
      <w:r w:rsidRPr="00C43D8C">
        <w:rPr>
          <w:rFonts w:cs="Times New Roman"/>
        </w:rPr>
        <w:lastRenderedPageBreak/>
        <w:t xml:space="preserve">process if it is manifestly unfair to a party or in some other way brings the administration of justice into disrepute: </w:t>
      </w:r>
      <w:proofErr w:type="spellStart"/>
      <w:r w:rsidRPr="00C43D8C">
        <w:rPr>
          <w:rFonts w:cs="Times New Roman"/>
          <w:i/>
        </w:rPr>
        <w:t>Behn</w:t>
      </w:r>
      <w:proofErr w:type="spellEnd"/>
      <w:r w:rsidRPr="00C43D8C">
        <w:rPr>
          <w:rFonts w:cs="Times New Roman"/>
        </w:rPr>
        <w:t>, at paras.</w:t>
      </w:r>
      <w:r>
        <w:rPr>
          <w:rFonts w:cs="Times New Roman"/>
        </w:rPr>
        <w:t> </w:t>
      </w:r>
      <w:r w:rsidRPr="00C43D8C">
        <w:rPr>
          <w:rFonts w:cs="Times New Roman"/>
        </w:rPr>
        <w:t xml:space="preserve">40-41. </w:t>
      </w:r>
    </w:p>
    <w:p w14:paraId="29D410F9" w14:textId="77777777" w:rsidR="00F04D37" w:rsidRPr="00C43D8C" w:rsidRDefault="00F04D37" w:rsidP="00F04D37">
      <w:pPr>
        <w:pStyle w:val="ParaNoNdepar-AltN"/>
        <w:rPr>
          <w:rFonts w:cs="Times New Roman"/>
          <w:lang w:val="en-US"/>
        </w:rPr>
      </w:pPr>
      <w:r w:rsidRPr="00C43D8C">
        <w:rPr>
          <w:rFonts w:cs="Times New Roman"/>
        </w:rPr>
        <w:t xml:space="preserve">The minority reasons in </w:t>
      </w:r>
      <w:r w:rsidRPr="00C43D8C">
        <w:rPr>
          <w:rFonts w:cs="Times New Roman"/>
          <w:i/>
        </w:rPr>
        <w:t>Blencoe</w:t>
      </w:r>
      <w:r w:rsidRPr="00C43D8C">
        <w:rPr>
          <w:rFonts w:cs="Times New Roman"/>
        </w:rPr>
        <w:t xml:space="preserve"> concluded that there was an abuse of process, although the appropriate remedy was not a stay but rather an order for an expedited hearing and costs. In my view, the two sets of reasons in </w:t>
      </w:r>
      <w:r w:rsidRPr="00C43D8C">
        <w:rPr>
          <w:rFonts w:cs="Times New Roman"/>
          <w:i/>
        </w:rPr>
        <w:t>Blencoe</w:t>
      </w:r>
      <w:r w:rsidRPr="00C43D8C">
        <w:rPr>
          <w:rFonts w:cs="Times New Roman"/>
        </w:rPr>
        <w:t xml:space="preserve"> can be read as complementing each other and expressing a coherent set of principles. The majority reasons set a higher threshold only for an abuse of process requiring a stay, and accepted that lesser remedies continue to be available where a stay is not warranted. With respect to when a stay of proceedings is warranted, the minority reasons recognized that a threshold of “shocking abuse” is necessary to justify a stay of proceedings (para.</w:t>
      </w:r>
      <w:r>
        <w:rPr>
          <w:rFonts w:cs="Times New Roman"/>
        </w:rPr>
        <w:t> </w:t>
      </w:r>
      <w:r w:rsidRPr="00C43D8C">
        <w:rPr>
          <w:rFonts w:cs="Times New Roman"/>
        </w:rPr>
        <w:t>155). Moreover, the minority reasons set a lower threshold for an abuse of process which might call for a lesser remedy, such as an order for an expedited hearing or costs.</w:t>
      </w:r>
    </w:p>
    <w:p w14:paraId="479BDBE0" w14:textId="77777777" w:rsidR="00F04D37" w:rsidRPr="00C43D8C" w:rsidRDefault="00F04D37" w:rsidP="00F04D37">
      <w:pPr>
        <w:pStyle w:val="Title3LevelTitre3Niveau"/>
        <w:rPr>
          <w:rFonts w:cs="Times New Roman"/>
        </w:rPr>
      </w:pPr>
      <w:r w:rsidRPr="00C43D8C">
        <w:rPr>
          <w:rFonts w:cs="Times New Roman"/>
        </w:rPr>
        <w:t>Calls to “</w:t>
      </w:r>
      <w:proofErr w:type="spellStart"/>
      <w:r w:rsidRPr="00C43D8C">
        <w:rPr>
          <w:rFonts w:cs="Times New Roman"/>
          <w:i/>
        </w:rPr>
        <w:t>Jordanize</w:t>
      </w:r>
      <w:proofErr w:type="spellEnd"/>
      <w:r w:rsidRPr="00C43D8C">
        <w:rPr>
          <w:rFonts w:cs="Times New Roman"/>
        </w:rPr>
        <w:t xml:space="preserve">” </w:t>
      </w:r>
      <w:r w:rsidRPr="00C43D8C">
        <w:rPr>
          <w:rFonts w:cs="Times New Roman"/>
          <w:i/>
        </w:rPr>
        <w:t>Blencoe</w:t>
      </w:r>
    </w:p>
    <w:p w14:paraId="414EFBCA" w14:textId="77777777" w:rsidR="00F04D37" w:rsidRPr="00C43D8C" w:rsidRDefault="00F04D37" w:rsidP="00F04D37">
      <w:pPr>
        <w:pStyle w:val="ParaNoNdepar-AltN"/>
        <w:rPr>
          <w:rFonts w:cs="Times New Roman"/>
        </w:rPr>
      </w:pPr>
      <w:r w:rsidRPr="00C43D8C">
        <w:rPr>
          <w:rFonts w:cs="Times New Roman"/>
        </w:rPr>
        <w:t xml:space="preserve">The Court received submissions to the effect that since </w:t>
      </w:r>
      <w:r w:rsidRPr="00C43D8C">
        <w:rPr>
          <w:rFonts w:cs="Times New Roman"/>
          <w:i/>
        </w:rPr>
        <w:t>Blencoe</w:t>
      </w:r>
      <w:r w:rsidRPr="00C43D8C">
        <w:rPr>
          <w:rFonts w:cs="Times New Roman"/>
        </w:rPr>
        <w:t xml:space="preserve">, it has become more active in addressing institutional delays in criminal proceedings: see </w:t>
      </w:r>
      <w:r w:rsidRPr="00C43D8C">
        <w:rPr>
          <w:rFonts w:cs="Times New Roman"/>
          <w:i/>
        </w:rPr>
        <w:t>R.</w:t>
      </w:r>
      <w:r>
        <w:rPr>
          <w:rFonts w:cs="Times New Roman"/>
          <w:i/>
        </w:rPr>
        <w:t xml:space="preserve"> </w:t>
      </w:r>
      <w:r w:rsidRPr="00C43D8C">
        <w:rPr>
          <w:rFonts w:cs="Times New Roman"/>
          <w:i/>
          <w:iCs/>
        </w:rPr>
        <w:t>v.</w:t>
      </w:r>
      <w:r>
        <w:rPr>
          <w:rFonts w:cs="Times New Roman"/>
          <w:i/>
          <w:iCs/>
        </w:rPr>
        <w:t xml:space="preserve"> </w:t>
      </w:r>
      <w:r w:rsidRPr="00C43D8C">
        <w:rPr>
          <w:rFonts w:cs="Times New Roman"/>
          <w:i/>
        </w:rPr>
        <w:t>Jordan</w:t>
      </w:r>
      <w:r w:rsidRPr="00C43D8C">
        <w:rPr>
          <w:rFonts w:cs="Times New Roman"/>
        </w:rPr>
        <w:t>, 2016 SCC</w:t>
      </w:r>
      <w:r>
        <w:rPr>
          <w:rFonts w:cs="Times New Roman"/>
        </w:rPr>
        <w:t xml:space="preserve"> </w:t>
      </w:r>
      <w:r w:rsidRPr="00C43D8C">
        <w:rPr>
          <w:rFonts w:cs="Times New Roman"/>
        </w:rPr>
        <w:t xml:space="preserve">27, </w:t>
      </w:r>
      <w:r w:rsidRPr="00C43D8C">
        <w:rPr>
          <w:rFonts w:cs="Times New Roman"/>
          <w:lang w:val="en-US"/>
        </w:rPr>
        <w:t>[2016] 1 S.C.R. 631</w:t>
      </w:r>
      <w:r w:rsidRPr="00C43D8C">
        <w:rPr>
          <w:rFonts w:cs="Times New Roman"/>
        </w:rPr>
        <w:t>. Mr.</w:t>
      </w:r>
      <w:r>
        <w:rPr>
          <w:rFonts w:cs="Times New Roman"/>
        </w:rPr>
        <w:t> </w:t>
      </w:r>
      <w:r w:rsidRPr="00C43D8C">
        <w:rPr>
          <w:rFonts w:cs="Times New Roman"/>
        </w:rPr>
        <w:t xml:space="preserve">Abrametz and some of the interveners argue the </w:t>
      </w:r>
      <w:r w:rsidRPr="00C43D8C">
        <w:rPr>
          <w:rFonts w:cs="Times New Roman"/>
          <w:i/>
        </w:rPr>
        <w:t>Blencoe</w:t>
      </w:r>
      <w:r w:rsidRPr="00C43D8C">
        <w:rPr>
          <w:rFonts w:cs="Times New Roman"/>
        </w:rPr>
        <w:t xml:space="preserve"> test needs to be revisited to bring it into conformity with contemporary approaches to delay. Mr.</w:t>
      </w:r>
      <w:r>
        <w:rPr>
          <w:rFonts w:cs="Times New Roman"/>
        </w:rPr>
        <w:t> </w:t>
      </w:r>
      <w:r w:rsidRPr="00C43D8C">
        <w:rPr>
          <w:rFonts w:cs="Times New Roman"/>
        </w:rPr>
        <w:t xml:space="preserve">Abrametz refers to the “culture of complacency” in the criminal justice system addressed in </w:t>
      </w:r>
      <w:r w:rsidRPr="00C43D8C">
        <w:rPr>
          <w:rFonts w:cs="Times New Roman"/>
          <w:i/>
        </w:rPr>
        <w:t>Jordan</w:t>
      </w:r>
      <w:r w:rsidRPr="00C43D8C">
        <w:rPr>
          <w:rFonts w:cs="Times New Roman"/>
        </w:rPr>
        <w:t>: R.F., at paras.</w:t>
      </w:r>
      <w:r>
        <w:rPr>
          <w:rFonts w:cs="Times New Roman"/>
        </w:rPr>
        <w:t> </w:t>
      </w:r>
      <w:r w:rsidRPr="00C43D8C">
        <w:rPr>
          <w:rFonts w:cs="Times New Roman"/>
        </w:rPr>
        <w:t xml:space="preserve">88-104. </w:t>
      </w:r>
      <w:proofErr w:type="gramStart"/>
      <w:r w:rsidRPr="00C43D8C">
        <w:rPr>
          <w:rFonts w:cs="Times New Roman"/>
        </w:rPr>
        <w:t>Without</w:t>
      </w:r>
      <w:proofErr w:type="gramEnd"/>
      <w:r w:rsidRPr="00C43D8C">
        <w:rPr>
          <w:rFonts w:cs="Times New Roman"/>
        </w:rPr>
        <w:t xml:space="preserve"> asking for the direct adoption of the </w:t>
      </w:r>
      <w:r w:rsidRPr="00C43D8C">
        <w:rPr>
          <w:rFonts w:cs="Times New Roman"/>
          <w:i/>
        </w:rPr>
        <w:t>Jordan</w:t>
      </w:r>
      <w:r w:rsidRPr="00C43D8C">
        <w:rPr>
          <w:rFonts w:cs="Times New Roman"/>
        </w:rPr>
        <w:t xml:space="preserve"> framework in administrative </w:t>
      </w:r>
      <w:r w:rsidRPr="00C43D8C">
        <w:rPr>
          <w:rFonts w:cs="Times New Roman"/>
        </w:rPr>
        <w:lastRenderedPageBreak/>
        <w:t>law, Mr.</w:t>
      </w:r>
      <w:r>
        <w:rPr>
          <w:rFonts w:cs="Times New Roman"/>
        </w:rPr>
        <w:t> </w:t>
      </w:r>
      <w:r w:rsidRPr="00C43D8C">
        <w:rPr>
          <w:rFonts w:cs="Times New Roman"/>
        </w:rPr>
        <w:t xml:space="preserve">Abrametz sought to have this Court recognize inordinate delay as prejudicial in and of itself. </w:t>
      </w:r>
    </w:p>
    <w:p w14:paraId="0E1E3EF1" w14:textId="77777777" w:rsidR="00F04D37" w:rsidRPr="00C43D8C" w:rsidRDefault="00F04D37" w:rsidP="00F04D37">
      <w:pPr>
        <w:pStyle w:val="ParaNoNdepar-AltN"/>
        <w:rPr>
          <w:rFonts w:cs="Times New Roman"/>
        </w:rPr>
      </w:pPr>
      <w:r w:rsidRPr="00C43D8C">
        <w:rPr>
          <w:rFonts w:cs="Times New Roman"/>
          <w:szCs w:val="24"/>
        </w:rPr>
        <w:t>Inordinate delay in administrative proceedings, as in other legal proceedings, is contrary to the interests of society.</w:t>
      </w:r>
      <w:r w:rsidRPr="00C43D8C">
        <w:rPr>
          <w:rFonts w:cs="Times New Roman"/>
        </w:rPr>
        <w:t xml:space="preserve"> Decisions by administrative decision makers need to be rendered promptly and efficiently. Administrative delay undermines a key purpose for which such decision-making authority was delegated — expeditious and efficient decision-making.</w:t>
      </w:r>
    </w:p>
    <w:p w14:paraId="39614CC3" w14:textId="77777777" w:rsidR="00F04D37" w:rsidRPr="00C43D8C" w:rsidRDefault="00F04D37" w:rsidP="00F04D37">
      <w:pPr>
        <w:pStyle w:val="ParaNoNdepar-AltN"/>
        <w:rPr>
          <w:rFonts w:cs="Times New Roman"/>
        </w:rPr>
      </w:pPr>
      <w:r w:rsidRPr="00C43D8C">
        <w:rPr>
          <w:rFonts w:cs="Times New Roman"/>
          <w:szCs w:val="24"/>
        </w:rPr>
        <w:t xml:space="preserve">However, there are important reasons why </w:t>
      </w:r>
      <w:r w:rsidRPr="00C43D8C">
        <w:rPr>
          <w:rFonts w:cs="Times New Roman"/>
          <w:i/>
          <w:szCs w:val="24"/>
        </w:rPr>
        <w:t>Jordan</w:t>
      </w:r>
      <w:r w:rsidRPr="00C43D8C">
        <w:rPr>
          <w:rFonts w:cs="Times New Roman"/>
          <w:szCs w:val="24"/>
        </w:rPr>
        <w:t xml:space="preserve"> does not apply to administrative proceedings. </w:t>
      </w:r>
      <w:r w:rsidRPr="00C43D8C">
        <w:rPr>
          <w:rFonts w:cs="Times New Roman"/>
          <w:i/>
        </w:rPr>
        <w:t>Jordan</w:t>
      </w:r>
      <w:r w:rsidRPr="00C43D8C">
        <w:rPr>
          <w:rFonts w:cs="Times New Roman"/>
        </w:rPr>
        <w:t xml:space="preserve"> deals with the right to be tried within a reasonable time under s.</w:t>
      </w:r>
      <w:r>
        <w:rPr>
          <w:rFonts w:cs="Times New Roman"/>
        </w:rPr>
        <w:t> </w:t>
      </w:r>
      <w:r w:rsidRPr="00C43D8C">
        <w:rPr>
          <w:rFonts w:cs="Times New Roman"/>
        </w:rPr>
        <w:t xml:space="preserve">11(b) of the </w:t>
      </w:r>
      <w:r w:rsidRPr="00C43D8C">
        <w:rPr>
          <w:rFonts w:cs="Times New Roman"/>
          <w:i/>
        </w:rPr>
        <w:t>Canadian Charter of Rights and Freedom</w:t>
      </w:r>
      <w:r w:rsidRPr="00C43D8C">
        <w:rPr>
          <w:rFonts w:cs="Times New Roman"/>
        </w:rPr>
        <w:t xml:space="preserve">. No such </w:t>
      </w:r>
      <w:r w:rsidRPr="00C43D8C">
        <w:rPr>
          <w:rFonts w:cs="Times New Roman"/>
          <w:i/>
        </w:rPr>
        <w:t>Charter</w:t>
      </w:r>
      <w:r w:rsidRPr="00C43D8C">
        <w:rPr>
          <w:rFonts w:cs="Times New Roman"/>
        </w:rPr>
        <w:t xml:space="preserve"> right applies to administrative proceedings. As such, there is no constitutional right outside the criminal context to be “tried” within a reasonable time. </w:t>
      </w:r>
    </w:p>
    <w:p w14:paraId="64CAAAEE" w14:textId="77777777" w:rsidR="00F04D37" w:rsidRPr="00C43D8C" w:rsidRDefault="00F04D37" w:rsidP="00F04D37">
      <w:pPr>
        <w:pStyle w:val="ParaNoNdepar-AltN"/>
        <w:rPr>
          <w:rFonts w:cs="Times New Roman"/>
        </w:rPr>
      </w:pPr>
      <w:r w:rsidRPr="00C43D8C">
        <w:rPr>
          <w:rFonts w:cs="Times New Roman"/>
        </w:rPr>
        <w:t xml:space="preserve">There are fundamental differences between criminal and administrative proceedings: </w:t>
      </w:r>
      <w:r w:rsidRPr="00C43D8C">
        <w:rPr>
          <w:rFonts w:cs="Times New Roman"/>
          <w:i/>
        </w:rPr>
        <w:t>Blencoe</w:t>
      </w:r>
      <w:r w:rsidRPr="00C43D8C">
        <w:rPr>
          <w:rFonts w:cs="Times New Roman"/>
        </w:rPr>
        <w:t>, at paras.</w:t>
      </w:r>
      <w:r>
        <w:rPr>
          <w:rFonts w:cs="Times New Roman"/>
        </w:rPr>
        <w:t> </w:t>
      </w:r>
      <w:r w:rsidRPr="00C43D8C">
        <w:rPr>
          <w:rFonts w:cs="Times New Roman"/>
        </w:rPr>
        <w:t xml:space="preserve">88-96. </w:t>
      </w:r>
      <w:proofErr w:type="gramStart"/>
      <w:r w:rsidRPr="00C43D8C">
        <w:rPr>
          <w:rFonts w:cs="Times New Roman"/>
        </w:rPr>
        <w:t>A</w:t>
      </w:r>
      <w:proofErr w:type="gramEnd"/>
      <w:r w:rsidRPr="00C43D8C">
        <w:rPr>
          <w:rFonts w:cs="Times New Roman"/>
        </w:rPr>
        <w:t xml:space="preserve"> human rights body’s investigation is aimed at determining what took place and seeks to settle the matter in a non-adversarial manner. The purpose of human rights proceedings is to eradicate discrimination, rather than to punish an offender: </w:t>
      </w:r>
      <w:r w:rsidRPr="00C43D8C">
        <w:rPr>
          <w:rFonts w:cs="Times New Roman"/>
          <w:i/>
        </w:rPr>
        <w:t>Blencoe</w:t>
      </w:r>
      <w:r w:rsidRPr="00C43D8C">
        <w:rPr>
          <w:rFonts w:cs="Times New Roman"/>
        </w:rPr>
        <w:t>, at paras.</w:t>
      </w:r>
      <w:r>
        <w:rPr>
          <w:rFonts w:cs="Times New Roman"/>
        </w:rPr>
        <w:t> </w:t>
      </w:r>
      <w:r w:rsidRPr="00C43D8C">
        <w:rPr>
          <w:rFonts w:cs="Times New Roman"/>
        </w:rPr>
        <w:t>94 and 126. Similar distinctions can be drawn between d</w:t>
      </w:r>
      <w:r w:rsidRPr="00C43D8C">
        <w:rPr>
          <w:rFonts w:cs="Times New Roman"/>
          <w:iCs/>
        </w:rPr>
        <w:t xml:space="preserve">isciplinary and criminal matters. While the former are intended to regulate professional conduct within a limited private sphere of activity, the latter is intended to maintain public order and welfare for the broad public: </w:t>
      </w:r>
      <w:r w:rsidRPr="00C43D8C">
        <w:rPr>
          <w:rFonts w:cs="Times New Roman"/>
          <w:i/>
        </w:rPr>
        <w:t>R. v. Wigglesworth</w:t>
      </w:r>
      <w:r w:rsidRPr="00C43D8C">
        <w:rPr>
          <w:rFonts w:cs="Times New Roman"/>
        </w:rPr>
        <w:t>, [1987] 2 S.C.R. 541, at p.</w:t>
      </w:r>
      <w:r>
        <w:rPr>
          <w:rFonts w:cs="Times New Roman"/>
        </w:rPr>
        <w:t> </w:t>
      </w:r>
      <w:r w:rsidRPr="00C43D8C">
        <w:rPr>
          <w:rFonts w:cs="Times New Roman"/>
        </w:rPr>
        <w:t>560.</w:t>
      </w:r>
    </w:p>
    <w:p w14:paraId="4E0C6159" w14:textId="77777777" w:rsidR="00F04D37" w:rsidRPr="00C43D8C" w:rsidRDefault="00F04D37" w:rsidP="00F04D37">
      <w:pPr>
        <w:pStyle w:val="ParaNoNdepar-AltN"/>
        <w:rPr>
          <w:rFonts w:cs="Times New Roman"/>
        </w:rPr>
      </w:pPr>
      <w:r w:rsidRPr="00C43D8C">
        <w:rPr>
          <w:rFonts w:cs="Times New Roman"/>
        </w:rPr>
        <w:lastRenderedPageBreak/>
        <w:t xml:space="preserve">I will now deal more fully with the application of the doctrine of abuse of process to administrative delays. </w:t>
      </w:r>
    </w:p>
    <w:p w14:paraId="4BFF7AF5" w14:textId="77777777" w:rsidR="00F04D37" w:rsidRPr="00C43D8C" w:rsidRDefault="00F04D37" w:rsidP="00F04D37">
      <w:pPr>
        <w:pStyle w:val="Title3LevelTitre3Niveau"/>
        <w:rPr>
          <w:rFonts w:cs="Times New Roman"/>
        </w:rPr>
      </w:pPr>
      <w:r w:rsidRPr="00C43D8C">
        <w:rPr>
          <w:rFonts w:cs="Times New Roman"/>
        </w:rPr>
        <w:t xml:space="preserve">First Requirement: Whether the Delay is Inordinate </w:t>
      </w:r>
    </w:p>
    <w:p w14:paraId="231CEADD" w14:textId="77777777" w:rsidR="00F04D37" w:rsidRPr="00C43D8C" w:rsidRDefault="00F04D37" w:rsidP="00F04D37">
      <w:pPr>
        <w:pStyle w:val="ParaNoNdepar-AltN"/>
        <w:rPr>
          <w:rFonts w:cs="Times New Roman"/>
        </w:rPr>
      </w:pPr>
      <w:r w:rsidRPr="00C43D8C">
        <w:rPr>
          <w:rFonts w:cs="Times New Roman"/>
        </w:rPr>
        <w:t>That a process took considerable time does not in itself amount to inordinate delay. Rather, one must consider the time in light of the circumstances of the case (Brown and Evans, at §</w:t>
      </w:r>
      <w:r>
        <w:rPr>
          <w:rFonts w:cs="Times New Roman"/>
        </w:rPr>
        <w:t> </w:t>
      </w:r>
      <w:r w:rsidRPr="00C43D8C">
        <w:rPr>
          <w:rFonts w:cs="Times New Roman"/>
        </w:rPr>
        <w:t>9:57-9:58; R. W.</w:t>
      </w:r>
      <w:r>
        <w:rPr>
          <w:rFonts w:cs="Times New Roman"/>
        </w:rPr>
        <w:t> </w:t>
      </w:r>
      <w:r w:rsidRPr="00C43D8C">
        <w:rPr>
          <w:rFonts w:cs="Times New Roman"/>
        </w:rPr>
        <w:t>Macaulay, J. L. H.</w:t>
      </w:r>
      <w:r>
        <w:rPr>
          <w:rFonts w:cs="Times New Roman"/>
        </w:rPr>
        <w:t> </w:t>
      </w:r>
      <w:r w:rsidRPr="00C43D8C">
        <w:rPr>
          <w:rFonts w:cs="Times New Roman"/>
        </w:rPr>
        <w:t>Sprague and L.</w:t>
      </w:r>
      <w:r>
        <w:rPr>
          <w:rFonts w:cs="Times New Roman"/>
        </w:rPr>
        <w:t> </w:t>
      </w:r>
      <w:r w:rsidRPr="00C43D8C">
        <w:rPr>
          <w:rFonts w:cs="Times New Roman"/>
        </w:rPr>
        <w:t xml:space="preserve">Sossin, </w:t>
      </w:r>
      <w:r w:rsidRPr="00C43D8C">
        <w:rPr>
          <w:rFonts w:cs="Times New Roman"/>
          <w:i/>
        </w:rPr>
        <w:t>Practice and Procedure Before Administrative Tribunals</w:t>
      </w:r>
      <w:r>
        <w:rPr>
          <w:rFonts w:cs="Times New Roman"/>
          <w:i/>
        </w:rPr>
        <w:t xml:space="preserve"> </w:t>
      </w:r>
      <w:r>
        <w:rPr>
          <w:rFonts w:cs="Times New Roman"/>
        </w:rPr>
        <w:t>(loose-leaf), at</w:t>
      </w:r>
      <w:r w:rsidRPr="00C43D8C">
        <w:rPr>
          <w:rFonts w:cs="Times New Roman"/>
        </w:rPr>
        <w:t xml:space="preserve"> §</w:t>
      </w:r>
      <w:r>
        <w:rPr>
          <w:rFonts w:cs="Times New Roman"/>
        </w:rPr>
        <w:t> </w:t>
      </w:r>
      <w:r w:rsidRPr="00C43D8C">
        <w:rPr>
          <w:rFonts w:cs="Times New Roman"/>
        </w:rPr>
        <w:t xml:space="preserve">16:81; </w:t>
      </w:r>
      <w:r w:rsidRPr="00C43D8C">
        <w:rPr>
          <w:rFonts w:cs="Times New Roman"/>
          <w:i/>
        </w:rPr>
        <w:t>Blencoe</w:t>
      </w:r>
      <w:r w:rsidRPr="00C43D8C">
        <w:rPr>
          <w:rFonts w:cs="Times New Roman"/>
        </w:rPr>
        <w:t>, at para.</w:t>
      </w:r>
      <w:r>
        <w:rPr>
          <w:rFonts w:cs="Times New Roman"/>
        </w:rPr>
        <w:t> </w:t>
      </w:r>
      <w:r w:rsidRPr="00C43D8C">
        <w:rPr>
          <w:rFonts w:cs="Times New Roman"/>
        </w:rPr>
        <w:t xml:space="preserve">122). A process that seems lengthy may be justified </w:t>
      </w:r>
      <w:r w:rsidRPr="00C43D8C">
        <w:rPr>
          <w:rFonts w:cs="Times New Roman"/>
          <w:i/>
        </w:rPr>
        <w:t>on the basis of fairness</w:t>
      </w:r>
      <w:r w:rsidRPr="00C43D8C">
        <w:rPr>
          <w:rFonts w:cs="Times New Roman"/>
        </w:rPr>
        <w:t xml:space="preserve">. </w:t>
      </w:r>
    </w:p>
    <w:p w14:paraId="276ADC4E" w14:textId="77777777" w:rsidR="00F04D37" w:rsidRPr="00C43D8C" w:rsidRDefault="00F04D37" w:rsidP="00F04D37">
      <w:pPr>
        <w:pStyle w:val="ParaNoNdepar-AltN"/>
        <w:rPr>
          <w:rFonts w:cs="Times New Roman"/>
        </w:rPr>
      </w:pPr>
      <w:r w:rsidRPr="00C43D8C">
        <w:rPr>
          <w:rFonts w:cs="Times New Roman"/>
        </w:rPr>
        <w:t xml:space="preserve">In determining whether delay is inordinate, the court or tribunal should consider the following contextual factors: (a) the nature and purpose of the proceedings, (b) the length and causes of the delay, and (c) the complexity of the facts and issues in the case. These factors are not exhaustive, such that additional contextual factors can be considered in a particular case. </w:t>
      </w:r>
    </w:p>
    <w:p w14:paraId="499262C5" w14:textId="77777777" w:rsidR="00F04D37" w:rsidRPr="00C43D8C" w:rsidRDefault="00F04D37" w:rsidP="00F04D37">
      <w:pPr>
        <w:pStyle w:val="Title4LevelTitre4Niveau"/>
        <w:rPr>
          <w:rFonts w:cs="Times New Roman"/>
        </w:rPr>
      </w:pPr>
      <w:r w:rsidRPr="00C43D8C">
        <w:rPr>
          <w:rFonts w:cs="Times New Roman"/>
        </w:rPr>
        <w:t>The Nature and Purpose of the Proceedings</w:t>
      </w:r>
    </w:p>
    <w:p w14:paraId="0FE3EF85" w14:textId="77777777" w:rsidR="00F04D37" w:rsidRPr="00C43D8C" w:rsidRDefault="00F04D37" w:rsidP="00F04D37">
      <w:pPr>
        <w:pStyle w:val="Title5LevelTitre5Niveau"/>
        <w:tabs>
          <w:tab w:val="clear" w:pos="1728"/>
        </w:tabs>
        <w:ind w:left="1170"/>
        <w:rPr>
          <w:rFonts w:cs="Times New Roman"/>
        </w:rPr>
      </w:pPr>
      <w:r w:rsidRPr="00C43D8C">
        <w:rPr>
          <w:rFonts w:cs="Times New Roman"/>
        </w:rPr>
        <w:t>Introduction</w:t>
      </w:r>
    </w:p>
    <w:p w14:paraId="36686D86" w14:textId="77777777" w:rsidR="00F04D37" w:rsidRPr="00C43D8C" w:rsidRDefault="00F04D37" w:rsidP="00F04D37">
      <w:pPr>
        <w:pStyle w:val="ParaNoNdepar-AltN"/>
        <w:rPr>
          <w:rFonts w:cs="Times New Roman"/>
        </w:rPr>
      </w:pPr>
      <w:r w:rsidRPr="00C43D8C">
        <w:rPr>
          <w:rFonts w:eastAsia="Times New Roman" w:cs="Times New Roman"/>
          <w:szCs w:val="24"/>
        </w:rPr>
        <w:t xml:space="preserve">Many public bodies and regulatory agencies have been </w:t>
      </w:r>
      <w:r w:rsidRPr="00C43D8C">
        <w:rPr>
          <w:rFonts w:cs="Times New Roman"/>
        </w:rPr>
        <w:t xml:space="preserve">entrusted with decision-making authority as statutory delegates: </w:t>
      </w:r>
      <w:r w:rsidRPr="00C43D8C">
        <w:rPr>
          <w:rFonts w:cs="Times New Roman"/>
          <w:i/>
        </w:rPr>
        <w:t>Vavilov</w:t>
      </w:r>
      <w:r w:rsidRPr="00C43D8C">
        <w:rPr>
          <w:rFonts w:cs="Times New Roman"/>
        </w:rPr>
        <w:t>, at paras.</w:t>
      </w:r>
      <w:r>
        <w:rPr>
          <w:rFonts w:cs="Times New Roman"/>
        </w:rPr>
        <w:t> </w:t>
      </w:r>
      <w:r w:rsidRPr="00C43D8C">
        <w:rPr>
          <w:rFonts w:cs="Times New Roman"/>
        </w:rPr>
        <w:t>4 and 88</w:t>
      </w:r>
      <w:r w:rsidRPr="00C43D8C">
        <w:rPr>
          <w:rFonts w:eastAsia="Times New Roman" w:cs="Times New Roman"/>
          <w:szCs w:val="24"/>
        </w:rPr>
        <w:t xml:space="preserve">. </w:t>
      </w:r>
      <w:r w:rsidRPr="00C43D8C">
        <w:rPr>
          <w:rFonts w:cs="Times New Roman"/>
        </w:rPr>
        <w:t xml:space="preserve">Their decisions vary in complexity and significance. Sometimes they involve technical </w:t>
      </w:r>
      <w:r w:rsidRPr="00C43D8C">
        <w:rPr>
          <w:rFonts w:cs="Times New Roman"/>
        </w:rPr>
        <w:lastRenderedPageBreak/>
        <w:t xml:space="preserve">considerations. Other times, common sense and an understanding of the practicalities of ordinary life suffice: </w:t>
      </w:r>
      <w:r w:rsidRPr="00C43D8C">
        <w:rPr>
          <w:rFonts w:cs="Times New Roman"/>
          <w:i/>
        </w:rPr>
        <w:t>Vavilov</w:t>
      </w:r>
      <w:r w:rsidRPr="00C43D8C">
        <w:rPr>
          <w:rFonts w:cs="Times New Roman"/>
        </w:rPr>
        <w:t>, at para.</w:t>
      </w:r>
      <w:r>
        <w:rPr>
          <w:rFonts w:cs="Times New Roman"/>
        </w:rPr>
        <w:t> </w:t>
      </w:r>
      <w:r w:rsidRPr="00C43D8C">
        <w:rPr>
          <w:rFonts w:cs="Times New Roman"/>
        </w:rPr>
        <w:t xml:space="preserve">88. Of necessity, time requirements inherent to each of these kinds of proceedings will vary. </w:t>
      </w:r>
    </w:p>
    <w:p w14:paraId="5F3E8DF6" w14:textId="77777777" w:rsidR="00F04D37" w:rsidRPr="00C43D8C" w:rsidRDefault="00F04D37" w:rsidP="00F04D37">
      <w:pPr>
        <w:pStyle w:val="Title5LevelTitre5Niveau"/>
        <w:tabs>
          <w:tab w:val="clear" w:pos="1728"/>
        </w:tabs>
        <w:ind w:left="1170" w:hanging="630"/>
        <w:rPr>
          <w:rFonts w:cs="Times New Roman"/>
        </w:rPr>
      </w:pPr>
      <w:r w:rsidRPr="00C43D8C">
        <w:rPr>
          <w:rFonts w:cs="Times New Roman"/>
        </w:rPr>
        <w:t>Disciplinary Proceedings</w:t>
      </w:r>
    </w:p>
    <w:p w14:paraId="7DD8FFDD" w14:textId="77777777" w:rsidR="00F04D37" w:rsidRPr="00C43D8C" w:rsidRDefault="00F04D37" w:rsidP="00F04D37">
      <w:pPr>
        <w:pStyle w:val="ParaNoNdepar-AltN"/>
        <w:rPr>
          <w:rFonts w:cs="Times New Roman"/>
        </w:rPr>
      </w:pPr>
      <w:r w:rsidRPr="00C43D8C">
        <w:rPr>
          <w:rFonts w:cs="Times New Roman"/>
        </w:rPr>
        <w:t>The purposes of disciplinary bodies are to protect the public, to regulate the profession and to preserve public confidence in the profession:</w:t>
      </w:r>
      <w:r w:rsidRPr="00C43D8C">
        <w:rPr>
          <w:rStyle w:val="Emphasis"/>
          <w:rFonts w:cs="Times New Roman"/>
          <w:shd w:val="clear" w:color="auto" w:fill="FFFFFF"/>
        </w:rPr>
        <w:t xml:space="preserve"> The Legal Profession Act, 1990</w:t>
      </w:r>
      <w:r w:rsidRPr="00C43D8C">
        <w:rPr>
          <w:rFonts w:cs="Times New Roman"/>
          <w:shd w:val="clear" w:color="auto" w:fill="FFFFFF"/>
        </w:rPr>
        <w:t>,</w:t>
      </w:r>
      <w:r w:rsidRPr="00C43D8C">
        <w:rPr>
          <w:rFonts w:cs="Times New Roman"/>
        </w:rPr>
        <w:t xml:space="preserve"> ss.</w:t>
      </w:r>
      <w:r>
        <w:rPr>
          <w:rFonts w:cs="Times New Roman"/>
        </w:rPr>
        <w:t> </w:t>
      </w:r>
      <w:r w:rsidRPr="00C43D8C">
        <w:rPr>
          <w:rFonts w:cs="Times New Roman"/>
        </w:rPr>
        <w:t xml:space="preserve">3.1 and 3.2; </w:t>
      </w:r>
      <w:r w:rsidRPr="00C43D8C">
        <w:rPr>
          <w:rFonts w:cs="Times New Roman"/>
          <w:i/>
        </w:rPr>
        <w:t>Pharmascience Inc. v. Binet</w:t>
      </w:r>
      <w:r w:rsidRPr="00C43D8C">
        <w:rPr>
          <w:rFonts w:cs="Times New Roman"/>
        </w:rPr>
        <w:t>, 2006 SCC 48, [2006] 2 S.C.R. 513, at para.</w:t>
      </w:r>
      <w:r>
        <w:rPr>
          <w:rFonts w:cs="Times New Roman"/>
        </w:rPr>
        <w:t> </w:t>
      </w:r>
      <w:r w:rsidRPr="007B44D5">
        <w:rPr>
          <w:rFonts w:cs="Times New Roman"/>
          <w:lang w:val="fr-CA"/>
        </w:rPr>
        <w:t xml:space="preserve">36; </w:t>
      </w:r>
      <w:proofErr w:type="spellStart"/>
      <w:r w:rsidRPr="007B44D5">
        <w:rPr>
          <w:rFonts w:cs="Times New Roman"/>
          <w:i/>
          <w:lang w:val="fr-CA"/>
        </w:rPr>
        <w:t>Finney</w:t>
      </w:r>
      <w:proofErr w:type="spellEnd"/>
      <w:r w:rsidRPr="007B44D5">
        <w:rPr>
          <w:rFonts w:cs="Times New Roman"/>
          <w:i/>
          <w:lang w:val="fr-CA"/>
        </w:rPr>
        <w:t xml:space="preserve"> v. Barreau du Québec</w:t>
      </w:r>
      <w:r w:rsidRPr="007B44D5">
        <w:rPr>
          <w:rFonts w:cs="Times New Roman"/>
          <w:lang w:val="fr-CA"/>
        </w:rPr>
        <w:t>, 2004 SCC 36, [2004] 2 S.C.R. 17, at para. </w:t>
      </w:r>
      <w:r w:rsidRPr="00C43D8C">
        <w:rPr>
          <w:rFonts w:cs="Times New Roman"/>
          <w:lang w:val="en-US"/>
        </w:rPr>
        <w:t xml:space="preserve">16; </w:t>
      </w:r>
      <w:r w:rsidRPr="00C43D8C">
        <w:rPr>
          <w:rFonts w:cs="Times New Roman"/>
          <w:i/>
          <w:lang w:val="en-US"/>
        </w:rPr>
        <w:t>Fortin v. Chrétien</w:t>
      </w:r>
      <w:r w:rsidRPr="00C43D8C">
        <w:rPr>
          <w:rFonts w:cs="Times New Roman"/>
          <w:lang w:val="en-US"/>
        </w:rPr>
        <w:t>, 2001 SCC 45, [2001] 2 S.C.R. 500, at para. </w:t>
      </w:r>
      <w:r w:rsidRPr="00C43D8C">
        <w:rPr>
          <w:rFonts w:cs="Times New Roman"/>
        </w:rPr>
        <w:t xml:space="preserve">17; </w:t>
      </w:r>
      <w:r w:rsidRPr="00C43D8C">
        <w:rPr>
          <w:rFonts w:cs="Times New Roman"/>
          <w:i/>
        </w:rPr>
        <w:t>Pearlman v. Manitoba Law Society Judicial Committee</w:t>
      </w:r>
      <w:r w:rsidRPr="00C43D8C">
        <w:rPr>
          <w:rFonts w:cs="Times New Roman"/>
        </w:rPr>
        <w:t xml:space="preserve">, [1991] 2 S.C.R. 869, at pp. 887-88; </w:t>
      </w:r>
      <w:r w:rsidRPr="00C43D8C">
        <w:rPr>
          <w:rFonts w:cs="Times New Roman"/>
          <w:i/>
        </w:rPr>
        <w:t>Wigglesworth</w:t>
      </w:r>
      <w:r w:rsidRPr="00C43D8C">
        <w:rPr>
          <w:rFonts w:cs="Times New Roman"/>
        </w:rPr>
        <w:t>, at p.</w:t>
      </w:r>
      <w:r>
        <w:rPr>
          <w:rFonts w:cs="Times New Roman"/>
        </w:rPr>
        <w:t> </w:t>
      </w:r>
      <w:r w:rsidRPr="00C43D8C">
        <w:rPr>
          <w:rFonts w:cs="Times New Roman"/>
        </w:rPr>
        <w:t>560; G.</w:t>
      </w:r>
      <w:r>
        <w:rPr>
          <w:rFonts w:cs="Times New Roman"/>
        </w:rPr>
        <w:t> </w:t>
      </w:r>
      <w:r w:rsidRPr="00C43D8C">
        <w:rPr>
          <w:rFonts w:cs="Times New Roman"/>
        </w:rPr>
        <w:t xml:space="preserve">MacKenzie, </w:t>
      </w:r>
      <w:r w:rsidRPr="00C43D8C">
        <w:rPr>
          <w:rFonts w:cs="Times New Roman"/>
          <w:i/>
          <w:iCs/>
        </w:rPr>
        <w:t>Lawyers &amp; Ethics: Professional Responsibility and Discipline</w:t>
      </w:r>
      <w:r w:rsidRPr="00C43D8C">
        <w:rPr>
          <w:rFonts w:cs="Times New Roman"/>
          <w:iCs/>
        </w:rPr>
        <w:t xml:space="preserve"> (loose-leaf), at </w:t>
      </w:r>
      <w:r w:rsidRPr="00C43D8C">
        <w:rPr>
          <w:rFonts w:cs="Times New Roman"/>
        </w:rPr>
        <w:t>§</w:t>
      </w:r>
      <w:r>
        <w:rPr>
          <w:rFonts w:cs="Times New Roman"/>
        </w:rPr>
        <w:t> </w:t>
      </w:r>
      <w:r w:rsidRPr="00C43D8C">
        <w:rPr>
          <w:rFonts w:cs="Times New Roman"/>
          <w:iCs/>
        </w:rPr>
        <w:t>26:1</w:t>
      </w:r>
      <w:r w:rsidRPr="00C43D8C">
        <w:rPr>
          <w:rFonts w:cs="Times New Roman"/>
        </w:rPr>
        <w:t xml:space="preserve">. The client or patient is often in a vulnerable position in the professional relationship: </w:t>
      </w:r>
      <w:r w:rsidRPr="00C43D8C">
        <w:rPr>
          <w:rFonts w:cs="Times New Roman"/>
          <w:i/>
        </w:rPr>
        <w:t>Pharmascience Inc.</w:t>
      </w:r>
      <w:r w:rsidRPr="00C43D8C">
        <w:rPr>
          <w:rFonts w:cs="Times New Roman"/>
        </w:rPr>
        <w:t>, at para.</w:t>
      </w:r>
      <w:r>
        <w:rPr>
          <w:rFonts w:cs="Times New Roman"/>
        </w:rPr>
        <w:t> </w:t>
      </w:r>
      <w:r w:rsidRPr="00C43D8C">
        <w:rPr>
          <w:rFonts w:cs="Times New Roman"/>
        </w:rPr>
        <w:t xml:space="preserve">36; </w:t>
      </w:r>
      <w:r w:rsidRPr="00C43D8C">
        <w:rPr>
          <w:rFonts w:cs="Times New Roman"/>
          <w:i/>
        </w:rPr>
        <w:t>Fortin</w:t>
      </w:r>
      <w:r w:rsidRPr="00C43D8C">
        <w:rPr>
          <w:rFonts w:cs="Times New Roman"/>
        </w:rPr>
        <w:t>,</w:t>
      </w:r>
      <w:r w:rsidRPr="00C43D8C">
        <w:rPr>
          <w:rFonts w:cs="Times New Roman"/>
          <w:i/>
        </w:rPr>
        <w:t xml:space="preserve"> </w:t>
      </w:r>
      <w:r w:rsidRPr="00C43D8C">
        <w:rPr>
          <w:rFonts w:cs="Times New Roman"/>
        </w:rPr>
        <w:t>at para.</w:t>
      </w:r>
      <w:r>
        <w:rPr>
          <w:rFonts w:cs="Times New Roman"/>
        </w:rPr>
        <w:t> </w:t>
      </w:r>
      <w:r w:rsidRPr="00C43D8C">
        <w:rPr>
          <w:rFonts w:cs="Times New Roman"/>
        </w:rPr>
        <w:t xml:space="preserve">17. The public places great trust in the advice and services of professionals: </w:t>
      </w:r>
      <w:r w:rsidRPr="00C43D8C">
        <w:rPr>
          <w:rFonts w:cs="Times New Roman"/>
          <w:i/>
        </w:rPr>
        <w:t>Pharmascience Inc.</w:t>
      </w:r>
      <w:r w:rsidRPr="00C43D8C">
        <w:rPr>
          <w:rFonts w:cs="Times New Roman"/>
        </w:rPr>
        <w:t>, at para.</w:t>
      </w:r>
      <w:r>
        <w:rPr>
          <w:rFonts w:cs="Times New Roman"/>
        </w:rPr>
        <w:t> </w:t>
      </w:r>
      <w:r w:rsidRPr="00C43D8C">
        <w:rPr>
          <w:rFonts w:cs="Times New Roman"/>
        </w:rPr>
        <w:t xml:space="preserve">36. </w:t>
      </w:r>
    </w:p>
    <w:p w14:paraId="08DCB7E6" w14:textId="77777777" w:rsidR="00F04D37" w:rsidRPr="00C43D8C" w:rsidRDefault="00F04D37" w:rsidP="00F04D37">
      <w:pPr>
        <w:pStyle w:val="ParaNoNdepar-AltN"/>
        <w:rPr>
          <w:rFonts w:cs="Times New Roman"/>
        </w:rPr>
      </w:pPr>
      <w:r w:rsidRPr="00C43D8C">
        <w:rPr>
          <w:rFonts w:cs="Times New Roman"/>
        </w:rPr>
        <w:t xml:space="preserve">Disciplinary proceedings are neither civil nor criminal, but rather </w:t>
      </w:r>
      <w:r w:rsidRPr="00C43D8C">
        <w:rPr>
          <w:rFonts w:cs="Times New Roman"/>
          <w:i/>
        </w:rPr>
        <w:t>sui generis</w:t>
      </w:r>
      <w:r w:rsidRPr="00C43D8C">
        <w:rPr>
          <w:rFonts w:cs="Times New Roman"/>
        </w:rPr>
        <w:t>: MacKenzie, at §</w:t>
      </w:r>
      <w:r>
        <w:rPr>
          <w:rFonts w:cs="Times New Roman"/>
        </w:rPr>
        <w:t> </w:t>
      </w:r>
      <w:r w:rsidRPr="00C43D8C">
        <w:rPr>
          <w:rFonts w:cs="Times New Roman"/>
        </w:rPr>
        <w:t xml:space="preserve">26:2; </w:t>
      </w:r>
      <w:r w:rsidRPr="00C43D8C">
        <w:rPr>
          <w:rFonts w:cs="Times New Roman"/>
          <w:i/>
        </w:rPr>
        <w:t>Béliveau v. Barreau du Québec</w:t>
      </w:r>
      <w:r w:rsidRPr="00C43D8C">
        <w:rPr>
          <w:rFonts w:cs="Times New Roman"/>
        </w:rPr>
        <w:t xml:space="preserve"> (1992), 101 D.L.R. (4th) 324 (Que. C.A.). They maintain discipline within a limited sphere of private activity. Thus, as stated before, they differ from criminal matters, which are of a public nature, intended to promote order and welfare within a public sphere of activity: </w:t>
      </w:r>
      <w:r w:rsidRPr="00C43D8C">
        <w:rPr>
          <w:rFonts w:cs="Times New Roman"/>
          <w:i/>
        </w:rPr>
        <w:lastRenderedPageBreak/>
        <w:t>Wigglesworth</w:t>
      </w:r>
      <w:r w:rsidRPr="00C43D8C">
        <w:rPr>
          <w:rFonts w:cs="Times New Roman"/>
        </w:rPr>
        <w:t xml:space="preserve">, at p. 560; </w:t>
      </w:r>
      <w:r w:rsidRPr="00C43D8C">
        <w:rPr>
          <w:rFonts w:cs="Times New Roman"/>
          <w:i/>
        </w:rPr>
        <w:t>Canada (Attorney General) v. Whaling</w:t>
      </w:r>
      <w:r w:rsidRPr="00C43D8C">
        <w:rPr>
          <w:rFonts w:cs="Times New Roman"/>
        </w:rPr>
        <w:t>, 2014 SCC 20, [2014] 1 S.C.R. 392, at para.</w:t>
      </w:r>
      <w:r>
        <w:rPr>
          <w:rFonts w:cs="Times New Roman"/>
        </w:rPr>
        <w:t> </w:t>
      </w:r>
      <w:r w:rsidRPr="00C43D8C">
        <w:rPr>
          <w:rFonts w:cs="Times New Roman"/>
        </w:rPr>
        <w:t xml:space="preserve">45. </w:t>
      </w:r>
    </w:p>
    <w:p w14:paraId="1687BAB7" w14:textId="77777777" w:rsidR="00F04D37" w:rsidRPr="00C43D8C" w:rsidRDefault="00F04D37" w:rsidP="00F04D37">
      <w:pPr>
        <w:pStyle w:val="ParaNoNdepar-AltN"/>
        <w:rPr>
          <w:rFonts w:cs="Times New Roman"/>
        </w:rPr>
      </w:pPr>
      <w:r w:rsidRPr="00C43D8C">
        <w:rPr>
          <w:rFonts w:cs="Times New Roman"/>
        </w:rPr>
        <w:t>In disciplinary proceedings, inordinate delay can be harmful to members of professional bodies, complainants and the public in general. Allegations of misconduct against a member can weigh heavily on that person. They can overshadow his or her professional reputation, career and personal life. Anxiety and stress caused by the uncertainty of the outcome and the stigma attached to outstanding complaints are good reasons to investigate and prosecute in a timely way. Disciplinary bodies have a duty to deal fairly with members whose livelihood and reputation are affected by such proceedings: MacKenzie</w:t>
      </w:r>
      <w:r w:rsidRPr="00C43D8C">
        <w:rPr>
          <w:rFonts w:cs="Times New Roman"/>
          <w:iCs/>
        </w:rPr>
        <w:t xml:space="preserve">, at </w:t>
      </w:r>
      <w:r w:rsidRPr="00C43D8C">
        <w:rPr>
          <w:rFonts w:cs="Times New Roman"/>
        </w:rPr>
        <w:t>§</w:t>
      </w:r>
      <w:r>
        <w:rPr>
          <w:rFonts w:cs="Times New Roman"/>
        </w:rPr>
        <w:t> </w:t>
      </w:r>
      <w:r w:rsidRPr="00C43D8C">
        <w:rPr>
          <w:rFonts w:cs="Times New Roman"/>
          <w:iCs/>
        </w:rPr>
        <w:t>26:1.</w:t>
      </w:r>
      <w:r w:rsidRPr="00C43D8C">
        <w:rPr>
          <w:rFonts w:cs="Times New Roman"/>
        </w:rPr>
        <w:t xml:space="preserve"> </w:t>
      </w:r>
    </w:p>
    <w:p w14:paraId="7012AEE2" w14:textId="77777777" w:rsidR="00F04D37" w:rsidRPr="00C43D8C" w:rsidRDefault="00F04D37" w:rsidP="00F04D37">
      <w:pPr>
        <w:pStyle w:val="ParaNoNdepar-AltN"/>
        <w:rPr>
          <w:rFonts w:cs="Times New Roman"/>
        </w:rPr>
      </w:pPr>
      <w:r w:rsidRPr="00C43D8C">
        <w:rPr>
          <w:rFonts w:cs="Times New Roman"/>
        </w:rPr>
        <w:t xml:space="preserve">Complainants, whether patients or clients, benefit from having their case proceed promptly, so that they can be heard and move on to put the matter behind them. Finally, the public at large expects professionals guilty of misconduct to be effectively regulated and properly sanctioned. Given their role to protect the public from harmful professional conduct, disciplinary bodies must ensure that the public’s concerns are addressed on a timely basis: </w:t>
      </w:r>
      <w:proofErr w:type="spellStart"/>
      <w:r w:rsidRPr="00C43D8C">
        <w:rPr>
          <w:rFonts w:cs="Times New Roman"/>
          <w:i/>
        </w:rPr>
        <w:t>Wachtler</w:t>
      </w:r>
      <w:proofErr w:type="spellEnd"/>
      <w:r w:rsidRPr="00C43D8C">
        <w:rPr>
          <w:rFonts w:cs="Times New Roman"/>
          <w:i/>
        </w:rPr>
        <w:t xml:space="preserve"> v. College of Physicians and Surgeons (Alta.)</w:t>
      </w:r>
      <w:r w:rsidRPr="00C43D8C">
        <w:rPr>
          <w:rFonts w:cs="Times New Roman"/>
        </w:rPr>
        <w:t>, 2009 ABCA 130, 448 A.R. 317, at paras.</w:t>
      </w:r>
      <w:r>
        <w:rPr>
          <w:rFonts w:cs="Times New Roman"/>
        </w:rPr>
        <w:t> </w:t>
      </w:r>
      <w:r w:rsidRPr="00C43D8C">
        <w:rPr>
          <w:rFonts w:cs="Times New Roman"/>
        </w:rPr>
        <w:t xml:space="preserve">46-47.  </w:t>
      </w:r>
    </w:p>
    <w:p w14:paraId="17CBFAFB" w14:textId="77777777" w:rsidR="00F04D37" w:rsidRPr="00C43D8C" w:rsidRDefault="00F04D37" w:rsidP="00F04D37">
      <w:pPr>
        <w:pStyle w:val="Title4LevelTitre4Niveau"/>
        <w:rPr>
          <w:rFonts w:cs="Times New Roman"/>
        </w:rPr>
      </w:pPr>
      <w:r w:rsidRPr="00C43D8C">
        <w:rPr>
          <w:rFonts w:cs="Times New Roman"/>
        </w:rPr>
        <w:t>The Length and Causes of the Delay</w:t>
      </w:r>
    </w:p>
    <w:p w14:paraId="076831CC" w14:textId="77777777" w:rsidR="00F04D37" w:rsidRPr="00C43D8C" w:rsidRDefault="00F04D37" w:rsidP="00F04D37">
      <w:pPr>
        <w:pStyle w:val="ParaNoNdepar-AltN"/>
        <w:rPr>
          <w:rFonts w:eastAsia="Times New Roman" w:cs="Times New Roman"/>
          <w:szCs w:val="24"/>
        </w:rPr>
      </w:pPr>
      <w:r w:rsidRPr="00C43D8C">
        <w:rPr>
          <w:rFonts w:cs="Times New Roman"/>
        </w:rPr>
        <w:lastRenderedPageBreak/>
        <w:t xml:space="preserve">When an applicant submits that inordinate delay amounts to an abuse of process, courts and tribunals are called on first to ascertain the length and causes </w:t>
      </w:r>
      <w:r w:rsidRPr="00C43D8C">
        <w:rPr>
          <w:rFonts w:eastAsia="Times New Roman" w:cs="Times New Roman"/>
          <w:szCs w:val="24"/>
        </w:rPr>
        <w:t xml:space="preserve">of the delay: </w:t>
      </w:r>
      <w:r w:rsidRPr="00C43D8C">
        <w:rPr>
          <w:rFonts w:eastAsia="Times New Roman" w:cs="Times New Roman"/>
          <w:i/>
          <w:szCs w:val="24"/>
        </w:rPr>
        <w:t>Blencoe</w:t>
      </w:r>
      <w:r w:rsidRPr="00C43D8C">
        <w:rPr>
          <w:rFonts w:eastAsia="Times New Roman" w:cs="Times New Roman"/>
          <w:szCs w:val="24"/>
        </w:rPr>
        <w:t>, at para.</w:t>
      </w:r>
      <w:r>
        <w:rPr>
          <w:rFonts w:eastAsia="Times New Roman" w:cs="Times New Roman"/>
          <w:szCs w:val="24"/>
        </w:rPr>
        <w:t> </w:t>
      </w:r>
      <w:r w:rsidRPr="00C43D8C">
        <w:rPr>
          <w:rFonts w:eastAsia="Times New Roman" w:cs="Times New Roman"/>
          <w:szCs w:val="24"/>
        </w:rPr>
        <w:t xml:space="preserve">122. </w:t>
      </w:r>
    </w:p>
    <w:p w14:paraId="434B24F1" w14:textId="77777777" w:rsidR="00F04D37" w:rsidRPr="00C43D8C" w:rsidRDefault="00F04D37" w:rsidP="00F04D37">
      <w:pPr>
        <w:pStyle w:val="ParaNoNdepar-AltN"/>
        <w:rPr>
          <w:rFonts w:cs="Times New Roman"/>
        </w:rPr>
      </w:pPr>
      <w:r w:rsidRPr="00C43D8C">
        <w:rPr>
          <w:rFonts w:cs="Times New Roman"/>
        </w:rPr>
        <w:t>The duty to be fair is relevant at all stages of administrative proceedings, including the investigative stage: D.</w:t>
      </w:r>
      <w:r>
        <w:rPr>
          <w:rFonts w:cs="Times New Roman"/>
        </w:rPr>
        <w:t> </w:t>
      </w:r>
      <w:r w:rsidRPr="00C43D8C">
        <w:rPr>
          <w:rFonts w:cs="Times New Roman"/>
        </w:rPr>
        <w:t>P.</w:t>
      </w:r>
      <w:r>
        <w:rPr>
          <w:rFonts w:cs="Times New Roman"/>
        </w:rPr>
        <w:t> </w:t>
      </w:r>
      <w:r w:rsidRPr="00C43D8C">
        <w:rPr>
          <w:rFonts w:cs="Times New Roman"/>
        </w:rPr>
        <w:t>Jones and A.</w:t>
      </w:r>
      <w:r>
        <w:rPr>
          <w:rFonts w:cs="Times New Roman"/>
        </w:rPr>
        <w:t> </w:t>
      </w:r>
      <w:r w:rsidRPr="00C43D8C">
        <w:rPr>
          <w:rFonts w:cs="Times New Roman"/>
        </w:rPr>
        <w:t>S.</w:t>
      </w:r>
      <w:r>
        <w:rPr>
          <w:rFonts w:cs="Times New Roman"/>
        </w:rPr>
        <w:t> </w:t>
      </w:r>
      <w:r w:rsidRPr="00C43D8C">
        <w:rPr>
          <w:rFonts w:cs="Times New Roman"/>
        </w:rPr>
        <w:t>de</w:t>
      </w:r>
      <w:r>
        <w:rPr>
          <w:rFonts w:cs="Times New Roman"/>
        </w:rPr>
        <w:t> </w:t>
      </w:r>
      <w:r w:rsidRPr="00C43D8C">
        <w:rPr>
          <w:rFonts w:cs="Times New Roman"/>
        </w:rPr>
        <w:t xml:space="preserve">Villars, </w:t>
      </w:r>
      <w:r w:rsidRPr="00C43D8C">
        <w:rPr>
          <w:rFonts w:cs="Times New Roman"/>
          <w:i/>
        </w:rPr>
        <w:t>Principles of Administrative Law</w:t>
      </w:r>
      <w:r w:rsidRPr="00C43D8C">
        <w:rPr>
          <w:rFonts w:cs="Times New Roman"/>
        </w:rPr>
        <w:t xml:space="preserve"> (7th ed. 2020), at p.</w:t>
      </w:r>
      <w:r>
        <w:rPr>
          <w:rFonts w:cs="Times New Roman"/>
        </w:rPr>
        <w:t> </w:t>
      </w:r>
      <w:r w:rsidRPr="00C43D8C">
        <w:rPr>
          <w:rFonts w:cs="Times New Roman"/>
        </w:rPr>
        <w:t xml:space="preserve">285; </w:t>
      </w:r>
      <w:proofErr w:type="spellStart"/>
      <w:r w:rsidRPr="00C43D8C">
        <w:rPr>
          <w:rFonts w:cs="Times New Roman"/>
        </w:rPr>
        <w:t>Garant</w:t>
      </w:r>
      <w:proofErr w:type="spellEnd"/>
      <w:r w:rsidRPr="00C43D8C">
        <w:rPr>
          <w:rFonts w:cs="Times New Roman"/>
        </w:rPr>
        <w:t>, at pp.</w:t>
      </w:r>
      <w:r>
        <w:rPr>
          <w:rFonts w:cs="Times New Roman"/>
        </w:rPr>
        <w:t> </w:t>
      </w:r>
      <w:r w:rsidRPr="00C43D8C">
        <w:rPr>
          <w:rFonts w:cs="Times New Roman"/>
        </w:rPr>
        <w:t xml:space="preserve">655-57; </w:t>
      </w:r>
      <w:r w:rsidRPr="00C43D8C">
        <w:rPr>
          <w:rFonts w:cs="Times New Roman"/>
          <w:i/>
        </w:rPr>
        <w:t>Irvine v. Canada (Restrictive Trade Practices Commission)</w:t>
      </w:r>
      <w:r w:rsidRPr="00C43D8C">
        <w:rPr>
          <w:rFonts w:cs="Times New Roman"/>
        </w:rPr>
        <w:t xml:space="preserve">, [1987] 1 S.C.R. 181; </w:t>
      </w:r>
      <w:r w:rsidRPr="00C43D8C">
        <w:rPr>
          <w:rFonts w:cs="Times New Roman"/>
          <w:i/>
        </w:rPr>
        <w:t xml:space="preserve">Syndicat des employés </w:t>
      </w:r>
      <w:r>
        <w:rPr>
          <w:rFonts w:cs="Times New Roman"/>
          <w:i/>
        </w:rPr>
        <w:t>de p</w:t>
      </w:r>
      <w:r w:rsidRPr="00C43D8C">
        <w:rPr>
          <w:rFonts w:cs="Times New Roman"/>
          <w:i/>
        </w:rPr>
        <w:t xml:space="preserve">roduction du Québec et de </w:t>
      </w:r>
      <w:proofErr w:type="spellStart"/>
      <w:r w:rsidRPr="00C43D8C">
        <w:rPr>
          <w:rFonts w:cs="Times New Roman"/>
          <w:i/>
        </w:rPr>
        <w:t>l’Acadie</w:t>
      </w:r>
      <w:proofErr w:type="spellEnd"/>
      <w:r w:rsidRPr="00C43D8C">
        <w:rPr>
          <w:rFonts w:cs="Times New Roman"/>
          <w:i/>
        </w:rPr>
        <w:t xml:space="preserve"> v. Canada (Canadian Human Rights Commission)</w:t>
      </w:r>
      <w:r w:rsidRPr="00C43D8C">
        <w:rPr>
          <w:rFonts w:cs="Times New Roman"/>
        </w:rPr>
        <w:t xml:space="preserve">, [1989] 2 S.C.R. 879; see, for example, </w:t>
      </w:r>
      <w:r w:rsidRPr="00C43D8C">
        <w:rPr>
          <w:rFonts w:cs="Times New Roman"/>
          <w:i/>
        </w:rPr>
        <w:t>Blencoe</w:t>
      </w:r>
      <w:r w:rsidRPr="00C43D8C">
        <w:rPr>
          <w:rFonts w:cs="Times New Roman"/>
        </w:rPr>
        <w:t>, at para.</w:t>
      </w:r>
      <w:r>
        <w:rPr>
          <w:rFonts w:cs="Times New Roman"/>
        </w:rPr>
        <w:t> </w:t>
      </w:r>
      <w:r w:rsidRPr="00C43D8C">
        <w:rPr>
          <w:rFonts w:cs="Times New Roman"/>
        </w:rPr>
        <w:t>123. When assessing the actual time period of delay, the starting point should be</w:t>
      </w:r>
      <w:r w:rsidRPr="00C43D8C">
        <w:rPr>
          <w:rFonts w:cs="Times New Roman"/>
          <w:szCs w:val="24"/>
        </w:rPr>
        <w:t xml:space="preserve"> when the administrative decision maker</w:t>
      </w:r>
      <w:r w:rsidRPr="00C43D8C">
        <w:rPr>
          <w:rFonts w:cs="Times New Roman"/>
        </w:rPr>
        <w:t xml:space="preserve">’s obligations, as well as the interests of the public and the parties in a timely process are engaged. It should end when the proceeding is completed, including the time taken to render a decision. </w:t>
      </w:r>
    </w:p>
    <w:p w14:paraId="34D5167B" w14:textId="77777777" w:rsidR="00F04D37" w:rsidRPr="00C43D8C" w:rsidRDefault="00F04D37" w:rsidP="00F04D37">
      <w:pPr>
        <w:pStyle w:val="ParaNoNdepar-AltN"/>
        <w:rPr>
          <w:rFonts w:cs="Times New Roman"/>
        </w:rPr>
      </w:pPr>
      <w:r w:rsidRPr="00C43D8C">
        <w:rPr>
          <w:rFonts w:cs="Times New Roman"/>
        </w:rPr>
        <w:t xml:space="preserve">As noted, a lengthy delay is not </w:t>
      </w:r>
      <w:r w:rsidRPr="00C43D8C">
        <w:rPr>
          <w:rFonts w:cs="Times New Roman"/>
          <w:i/>
        </w:rPr>
        <w:t>per se</w:t>
      </w:r>
      <w:r w:rsidRPr="00C43D8C">
        <w:rPr>
          <w:rFonts w:cs="Times New Roman"/>
        </w:rPr>
        <w:t xml:space="preserve"> inordinate; it may be justifiable when considered in context. </w:t>
      </w:r>
      <w:r w:rsidRPr="00C43D8C">
        <w:rPr>
          <w:rFonts w:eastAsia="Times New Roman" w:cs="Times New Roman"/>
        </w:rPr>
        <w:t xml:space="preserve">For instance, a case will sometimes involve parallel criminal and administrative proceedings. Some disciplinary proceedings involve allegations of conduct that may be criminal, such as sexual misconduct, fraud and obstruction of justice: </w:t>
      </w:r>
      <w:r w:rsidRPr="00C43D8C">
        <w:rPr>
          <w:rFonts w:cs="Times New Roman"/>
        </w:rPr>
        <w:t>MacKenzie</w:t>
      </w:r>
      <w:r w:rsidRPr="00C43D8C">
        <w:rPr>
          <w:rFonts w:cs="Times New Roman"/>
          <w:iCs/>
        </w:rPr>
        <w:t xml:space="preserve">, at </w:t>
      </w:r>
      <w:r w:rsidRPr="00C43D8C">
        <w:rPr>
          <w:rFonts w:cs="Times New Roman"/>
        </w:rPr>
        <w:t>§</w:t>
      </w:r>
      <w:r>
        <w:rPr>
          <w:rFonts w:cs="Times New Roman"/>
        </w:rPr>
        <w:t> </w:t>
      </w:r>
      <w:r w:rsidRPr="00C43D8C">
        <w:rPr>
          <w:rFonts w:cs="Times New Roman"/>
        </w:rPr>
        <w:t>2</w:t>
      </w:r>
      <w:r w:rsidRPr="00C43D8C">
        <w:rPr>
          <w:rFonts w:cs="Times New Roman"/>
          <w:iCs/>
        </w:rPr>
        <w:t>6:5</w:t>
      </w:r>
      <w:r w:rsidRPr="00C43D8C">
        <w:rPr>
          <w:rFonts w:eastAsia="Times New Roman" w:cs="Times New Roman"/>
        </w:rPr>
        <w:t>. In some circumstances, d</w:t>
      </w:r>
      <w:r w:rsidRPr="00C43D8C">
        <w:rPr>
          <w:rFonts w:eastAsia="Times New Roman" w:cs="Times New Roman"/>
          <w:szCs w:val="24"/>
        </w:rPr>
        <w:t xml:space="preserve">isciplinary bodies will proceed while the criminal proceeding are outstanding. </w:t>
      </w:r>
      <w:r w:rsidRPr="00C43D8C">
        <w:rPr>
          <w:rFonts w:cs="Times New Roman"/>
        </w:rPr>
        <w:t>In other circumstances,</w:t>
      </w:r>
      <w:r w:rsidRPr="00C43D8C">
        <w:rPr>
          <w:rFonts w:eastAsia="Times New Roman" w:cs="Times New Roman"/>
        </w:rPr>
        <w:t xml:space="preserve"> suspension of the disciplinary proceedings to await the conclusion of criminal proceedings can be justified. This can be consistent with procedural fairness and not constitute an abuse of process, even if the delay that results is lengthy. </w:t>
      </w:r>
    </w:p>
    <w:p w14:paraId="6DCC39DB" w14:textId="77777777" w:rsidR="00F04D37" w:rsidRPr="00C43D8C" w:rsidRDefault="00F04D37" w:rsidP="00F04D37">
      <w:pPr>
        <w:pStyle w:val="ParaNoNdepar-AltN"/>
        <w:rPr>
          <w:rFonts w:cs="Times New Roman"/>
        </w:rPr>
      </w:pPr>
      <w:r w:rsidRPr="00C43D8C">
        <w:rPr>
          <w:rFonts w:eastAsia="Times New Roman" w:cs="Times New Roman"/>
        </w:rPr>
        <w:lastRenderedPageBreak/>
        <w:t xml:space="preserve">In </w:t>
      </w:r>
      <w:proofErr w:type="spellStart"/>
      <w:r w:rsidRPr="00C43D8C">
        <w:rPr>
          <w:rFonts w:eastAsia="Times New Roman" w:cs="Times New Roman"/>
          <w:i/>
        </w:rPr>
        <w:t>Sazant</w:t>
      </w:r>
      <w:proofErr w:type="spellEnd"/>
      <w:r w:rsidRPr="00C43D8C">
        <w:rPr>
          <w:rFonts w:eastAsia="Times New Roman" w:cs="Times New Roman"/>
          <w:i/>
        </w:rPr>
        <w:t xml:space="preserve"> v. College of Physicians and Surgeons of Ontario</w:t>
      </w:r>
      <w:r w:rsidRPr="00C43D8C">
        <w:rPr>
          <w:rFonts w:eastAsia="Times New Roman" w:cs="Times New Roman"/>
        </w:rPr>
        <w:t xml:space="preserve">, 2012 ONCA 727, 113 O.R. (3d) 420 </w:t>
      </w:r>
      <w:r w:rsidRPr="00C43D8C">
        <w:rPr>
          <w:rFonts w:cs="Times New Roman"/>
        </w:rPr>
        <w:t xml:space="preserve">(leave to appeal refused, [2013] 2 S.C.R. xii), </w:t>
      </w:r>
      <w:r w:rsidRPr="00C43D8C">
        <w:rPr>
          <w:rFonts w:eastAsia="Times New Roman" w:cs="Times New Roman"/>
        </w:rPr>
        <w:t>for example, allegations against the member involved multiple complainants who were likely to be called as similar fact witnesses in criminal proceedings. The College monitored progress of the criminal proceedings and proceeded to investigate when the criminal charges were stayed. This added to the time for the disciplinary process. However, as the Court of Appeal concluded, it would have been impractical and unfair to the member for the College to pursue disciplinary proceedings arising from the allegations of misconduct against him without waiting for the criminal proceedings to be resolved: para.</w:t>
      </w:r>
      <w:r>
        <w:rPr>
          <w:rFonts w:eastAsia="Times New Roman" w:cs="Times New Roman"/>
        </w:rPr>
        <w:t> </w:t>
      </w:r>
      <w:r w:rsidRPr="00C43D8C">
        <w:rPr>
          <w:rFonts w:eastAsia="Times New Roman" w:cs="Times New Roman"/>
        </w:rPr>
        <w:t>245.</w:t>
      </w:r>
    </w:p>
    <w:p w14:paraId="4ED48A35" w14:textId="77777777" w:rsidR="00F04D37" w:rsidRPr="00C43D8C" w:rsidRDefault="00F04D37" w:rsidP="00F04D37">
      <w:pPr>
        <w:pStyle w:val="ParaNoNdepar-AltN"/>
        <w:rPr>
          <w:rFonts w:cs="Times New Roman"/>
        </w:rPr>
      </w:pPr>
      <w:r w:rsidRPr="00C43D8C">
        <w:rPr>
          <w:rFonts w:eastAsia="Times New Roman" w:cs="Times New Roman"/>
          <w:szCs w:val="24"/>
        </w:rPr>
        <w:t xml:space="preserve">Besides considering the duration of the delay, the court or tribunal should consider the causes of the delay. This includes whether the applicant contributed to or waived parts of the delay: </w:t>
      </w:r>
      <w:r w:rsidRPr="00C43D8C">
        <w:rPr>
          <w:rFonts w:eastAsia="Times New Roman" w:cs="Times New Roman"/>
          <w:i/>
          <w:szCs w:val="24"/>
        </w:rPr>
        <w:t>Blencoe</w:t>
      </w:r>
      <w:r w:rsidRPr="00C43D8C">
        <w:rPr>
          <w:rFonts w:eastAsia="Times New Roman" w:cs="Times New Roman"/>
          <w:szCs w:val="24"/>
        </w:rPr>
        <w:t>, at para.</w:t>
      </w:r>
      <w:r>
        <w:rPr>
          <w:rFonts w:eastAsia="Times New Roman" w:cs="Times New Roman"/>
          <w:szCs w:val="24"/>
        </w:rPr>
        <w:t> </w:t>
      </w:r>
      <w:r w:rsidRPr="00C43D8C">
        <w:rPr>
          <w:rFonts w:eastAsia="Times New Roman" w:cs="Times New Roman"/>
          <w:szCs w:val="24"/>
        </w:rPr>
        <w:t xml:space="preserve">122. </w:t>
      </w:r>
    </w:p>
    <w:p w14:paraId="4AC6F2A3" w14:textId="77777777" w:rsidR="00F04D37" w:rsidRPr="00C43D8C" w:rsidRDefault="00F04D37" w:rsidP="00F04D37">
      <w:pPr>
        <w:pStyle w:val="ParaNoNdepar-AltN"/>
        <w:rPr>
          <w:rFonts w:cs="Times New Roman"/>
        </w:rPr>
      </w:pPr>
      <w:r w:rsidRPr="00C43D8C">
        <w:rPr>
          <w:rFonts w:cs="Times New Roman"/>
        </w:rPr>
        <w:t xml:space="preserve">If the delay was caused by the party who complains of that delay, it </w:t>
      </w:r>
      <w:r w:rsidRPr="00C43D8C">
        <w:rPr>
          <w:rFonts w:cs="Times New Roman"/>
          <w:i/>
        </w:rPr>
        <w:t>cannot</w:t>
      </w:r>
      <w:r w:rsidRPr="00C43D8C">
        <w:rPr>
          <w:rFonts w:cs="Times New Roman"/>
        </w:rPr>
        <w:t xml:space="preserve"> amount to an abuse of process: </w:t>
      </w:r>
      <w:r w:rsidRPr="00C43D8C">
        <w:rPr>
          <w:rFonts w:cs="Times New Roman"/>
          <w:i/>
        </w:rPr>
        <w:t>Blencoe</w:t>
      </w:r>
      <w:r w:rsidRPr="00C43D8C">
        <w:rPr>
          <w:rFonts w:cs="Times New Roman"/>
        </w:rPr>
        <w:t>, at para.</w:t>
      </w:r>
      <w:r>
        <w:rPr>
          <w:rFonts w:cs="Times New Roman"/>
        </w:rPr>
        <w:t> </w:t>
      </w:r>
      <w:r w:rsidRPr="00C43D8C">
        <w:rPr>
          <w:rFonts w:cs="Times New Roman"/>
        </w:rPr>
        <w:t xml:space="preserve">125; </w:t>
      </w:r>
      <w:r w:rsidRPr="00C43D8C">
        <w:rPr>
          <w:rFonts w:cs="Times New Roman"/>
          <w:i/>
        </w:rPr>
        <w:t>Diaz-Rodriguez v. British Columbia (Police Complaint Commissioner)</w:t>
      </w:r>
      <w:r w:rsidRPr="00C43D8C">
        <w:rPr>
          <w:rFonts w:cs="Times New Roman"/>
        </w:rPr>
        <w:t>, 2020 BCCA 221, 39 B.C.L.R. (6th) 87, at para.</w:t>
      </w:r>
      <w:r>
        <w:rPr>
          <w:rFonts w:cs="Times New Roman"/>
        </w:rPr>
        <w:t> </w:t>
      </w:r>
      <w:r w:rsidRPr="00C43D8C">
        <w:rPr>
          <w:rFonts w:cs="Times New Roman"/>
        </w:rPr>
        <w:t xml:space="preserve">50; </w:t>
      </w:r>
      <w:proofErr w:type="spellStart"/>
      <w:r w:rsidRPr="00C43D8C">
        <w:rPr>
          <w:rFonts w:cs="Times New Roman"/>
          <w:i/>
        </w:rPr>
        <w:t>Camara</w:t>
      </w:r>
      <w:proofErr w:type="spellEnd"/>
      <w:r w:rsidRPr="00C43D8C">
        <w:rPr>
          <w:rFonts w:cs="Times New Roman"/>
          <w:i/>
        </w:rPr>
        <w:t xml:space="preserve"> v. Canada</w:t>
      </w:r>
      <w:r w:rsidRPr="00C43D8C">
        <w:rPr>
          <w:rFonts w:cs="Times New Roman"/>
        </w:rPr>
        <w:t>, 2015 FCA 43, 91 Admin. L.R. (5th) 13, at paras.</w:t>
      </w:r>
      <w:r>
        <w:rPr>
          <w:rFonts w:cs="Times New Roman"/>
        </w:rPr>
        <w:t> </w:t>
      </w:r>
      <w:r w:rsidRPr="00C43D8C">
        <w:rPr>
          <w:rFonts w:cs="Times New Roman"/>
        </w:rPr>
        <w:t xml:space="preserve">13-14. </w:t>
      </w:r>
      <w:proofErr w:type="gramStart"/>
      <w:r w:rsidRPr="00C43D8C">
        <w:rPr>
          <w:rFonts w:cs="Times New Roman"/>
        </w:rPr>
        <w:t>Nor</w:t>
      </w:r>
      <w:proofErr w:type="gramEnd"/>
      <w:r w:rsidRPr="00C43D8C">
        <w:rPr>
          <w:rFonts w:cs="Times New Roman"/>
        </w:rPr>
        <w:t xml:space="preserve"> will there be unfairness if the delay is an inherent part of a fair process.</w:t>
      </w:r>
    </w:p>
    <w:p w14:paraId="4D5739D2" w14:textId="77777777" w:rsidR="00F04D37" w:rsidRPr="00C43D8C" w:rsidRDefault="00F04D37" w:rsidP="00F04D37">
      <w:pPr>
        <w:pStyle w:val="ParaNoNdepar-AltN"/>
        <w:rPr>
          <w:rFonts w:cs="Times New Roman"/>
        </w:rPr>
      </w:pPr>
      <w:r w:rsidRPr="00C43D8C">
        <w:rPr>
          <w:rFonts w:cs="Times New Roman"/>
        </w:rPr>
        <w:t xml:space="preserve">Delay can be waived. This can be explicit or implicit. Thus, if the applicant asked for suspension of the proceedings, or did not object to a suspension of proceedings while other investigations proceeded and acted in a way that unequivocally </w:t>
      </w:r>
      <w:r w:rsidRPr="00C43D8C">
        <w:rPr>
          <w:rFonts w:cs="Times New Roman"/>
        </w:rPr>
        <w:lastRenderedPageBreak/>
        <w:t>suggests they acquiesced to such delay, it can constitute a waiver</w:t>
      </w:r>
      <w:r w:rsidRPr="00C43D8C">
        <w:rPr>
          <w:rFonts w:eastAsia="Times New Roman" w:cs="Times New Roman"/>
          <w:szCs w:val="24"/>
        </w:rPr>
        <w:t xml:space="preserve">: </w:t>
      </w:r>
      <w:r w:rsidRPr="00C43D8C">
        <w:rPr>
          <w:rFonts w:eastAsia="Times New Roman" w:cs="Times New Roman"/>
          <w:i/>
          <w:szCs w:val="24"/>
        </w:rPr>
        <w:t>Diaz-Rodriguez</w:t>
      </w:r>
      <w:r w:rsidRPr="00C43D8C">
        <w:rPr>
          <w:rFonts w:eastAsia="Times New Roman" w:cs="Times New Roman"/>
          <w:szCs w:val="24"/>
        </w:rPr>
        <w:t>, at para.</w:t>
      </w:r>
      <w:r>
        <w:rPr>
          <w:rFonts w:eastAsia="Times New Roman" w:cs="Times New Roman"/>
          <w:szCs w:val="24"/>
        </w:rPr>
        <w:t> </w:t>
      </w:r>
      <w:r w:rsidRPr="00C43D8C">
        <w:rPr>
          <w:rFonts w:eastAsia="Times New Roman" w:cs="Times New Roman"/>
          <w:szCs w:val="24"/>
        </w:rPr>
        <w:t xml:space="preserve">51. </w:t>
      </w:r>
    </w:p>
    <w:p w14:paraId="265208A1" w14:textId="77777777" w:rsidR="00F04D37" w:rsidRPr="00C43D8C" w:rsidRDefault="00F04D37" w:rsidP="00F04D37">
      <w:pPr>
        <w:pStyle w:val="ParaNoNdepar-AltN"/>
        <w:rPr>
          <w:rFonts w:cs="Times New Roman"/>
        </w:rPr>
      </w:pPr>
      <w:r w:rsidRPr="00C43D8C">
        <w:rPr>
          <w:rFonts w:cs="Times New Roman"/>
        </w:rPr>
        <w:t>Finally, whether the administrative body used its resources efficiently should be considered in the analysis of inordinate delay. That said, i</w:t>
      </w:r>
      <w:r w:rsidRPr="00C43D8C">
        <w:rPr>
          <w:rFonts w:eastAsia="Times New Roman" w:cs="Times New Roman"/>
          <w:szCs w:val="24"/>
        </w:rPr>
        <w:t xml:space="preserve">nsufficient agency resources cannot excuse inordinate delay in any case: </w:t>
      </w:r>
      <w:r w:rsidRPr="00C43D8C">
        <w:rPr>
          <w:rFonts w:eastAsia="Times New Roman" w:cs="Times New Roman"/>
          <w:i/>
          <w:szCs w:val="24"/>
        </w:rPr>
        <w:t>Blencoe</w:t>
      </w:r>
      <w:r w:rsidRPr="00C43D8C">
        <w:rPr>
          <w:rFonts w:eastAsia="Times New Roman" w:cs="Times New Roman"/>
          <w:szCs w:val="24"/>
        </w:rPr>
        <w:t>, at para.</w:t>
      </w:r>
      <w:r>
        <w:rPr>
          <w:rFonts w:eastAsia="Times New Roman" w:cs="Times New Roman"/>
          <w:szCs w:val="24"/>
        </w:rPr>
        <w:t> </w:t>
      </w:r>
      <w:r w:rsidRPr="00C43D8C">
        <w:rPr>
          <w:rFonts w:eastAsia="Times New Roman" w:cs="Times New Roman"/>
          <w:szCs w:val="24"/>
        </w:rPr>
        <w:t xml:space="preserve">135. </w:t>
      </w:r>
      <w:r w:rsidRPr="00C43D8C">
        <w:rPr>
          <w:rFonts w:cs="Times New Roman"/>
          <w:shd w:val="clear" w:color="auto" w:fill="FFFFFF"/>
        </w:rPr>
        <w:t xml:space="preserve">Administrative tribunals have a duty to devote adequate resources to ensure the integrity of the process: see </w:t>
      </w:r>
      <w:proofErr w:type="spellStart"/>
      <w:r w:rsidRPr="00C43D8C">
        <w:rPr>
          <w:rFonts w:cs="Times New Roman"/>
          <w:i/>
          <w:shd w:val="clear" w:color="auto" w:fill="FFFFFF"/>
        </w:rPr>
        <w:t>Hennig</w:t>
      </w:r>
      <w:proofErr w:type="spellEnd"/>
      <w:r w:rsidRPr="00C43D8C">
        <w:rPr>
          <w:rFonts w:cs="Times New Roman"/>
          <w:i/>
          <w:shd w:val="clear" w:color="auto" w:fill="FFFFFF"/>
        </w:rPr>
        <w:t xml:space="preserve"> v. Institute of Chartered Accountants (Alta.)</w:t>
      </w:r>
      <w:r w:rsidRPr="00C43D8C">
        <w:rPr>
          <w:rFonts w:cs="Times New Roman"/>
          <w:shd w:val="clear" w:color="auto" w:fill="FFFFFF"/>
        </w:rPr>
        <w:t>,</w:t>
      </w:r>
      <w:r>
        <w:rPr>
          <w:rFonts w:cs="Times New Roman"/>
          <w:shd w:val="clear" w:color="auto" w:fill="FFFFFF"/>
        </w:rPr>
        <w:t xml:space="preserve"> </w:t>
      </w:r>
      <w:r w:rsidRPr="00C43D8C">
        <w:rPr>
          <w:rFonts w:cs="Times New Roman"/>
          <w:shd w:val="clear" w:color="auto" w:fill="FFFFFF"/>
        </w:rPr>
        <w:t>2008 ABCA 241, 433 A.R. 221, at para.</w:t>
      </w:r>
      <w:r>
        <w:rPr>
          <w:rFonts w:cs="Times New Roman"/>
          <w:shd w:val="clear" w:color="auto" w:fill="FFFFFF"/>
        </w:rPr>
        <w:t> </w:t>
      </w:r>
      <w:r w:rsidRPr="00C43D8C">
        <w:rPr>
          <w:rFonts w:cs="Times New Roman"/>
          <w:shd w:val="clear" w:color="auto" w:fill="FFFFFF"/>
        </w:rPr>
        <w:t>31.</w:t>
      </w:r>
    </w:p>
    <w:p w14:paraId="3421CC13" w14:textId="77777777" w:rsidR="00F04D37" w:rsidRPr="00C43D8C" w:rsidRDefault="00F04D37" w:rsidP="00F04D37">
      <w:pPr>
        <w:pStyle w:val="ParaNoNdepar-AltN"/>
        <w:rPr>
          <w:rFonts w:cs="Times New Roman"/>
        </w:rPr>
      </w:pPr>
      <w:r w:rsidRPr="00C43D8C">
        <w:rPr>
          <w:rFonts w:eastAsia="Times New Roman" w:cs="Times New Roman"/>
        </w:rPr>
        <w:t xml:space="preserve">In sum, the requirements of procedural fairness sometimes slow the pace at which the proceedings progress. Whether the resulting delays are justified will depend on the circumstances of each case. </w:t>
      </w:r>
    </w:p>
    <w:p w14:paraId="0F9EC89A" w14:textId="77777777" w:rsidR="00F04D37" w:rsidRPr="00C43D8C" w:rsidRDefault="00F04D37" w:rsidP="00F04D37">
      <w:pPr>
        <w:pStyle w:val="Title4LevelTitre4Niveau"/>
        <w:rPr>
          <w:rFonts w:cs="Times New Roman"/>
        </w:rPr>
      </w:pPr>
      <w:r w:rsidRPr="00C43D8C">
        <w:rPr>
          <w:rFonts w:cs="Times New Roman"/>
        </w:rPr>
        <w:t>The Complexity of the Facts and Issues in the Case</w:t>
      </w:r>
    </w:p>
    <w:p w14:paraId="59826B4C" w14:textId="77777777" w:rsidR="00F04D37" w:rsidRPr="00C43D8C" w:rsidRDefault="00F04D37" w:rsidP="00F04D37">
      <w:pPr>
        <w:pStyle w:val="ParaNoNdepar-AltN"/>
        <w:rPr>
          <w:rFonts w:cs="Times New Roman"/>
        </w:rPr>
      </w:pPr>
      <w:r w:rsidRPr="00C43D8C">
        <w:rPr>
          <w:rFonts w:cs="Times New Roman"/>
        </w:rPr>
        <w:t xml:space="preserve">The complexity of the facts and issues in a case will affect the time required to decide the matter. For example, sexual abuse allegations might entail difficult and time-consuming investigations. By contrast, large numbers of documents do not necessarily entail complexity, especially in a routine case dealing with issues in which the tribunal has experience. Assessing inordinate delay must account for the wide range of contexts in the administrative system. </w:t>
      </w:r>
    </w:p>
    <w:p w14:paraId="7B5B3B04" w14:textId="77777777" w:rsidR="00F04D37" w:rsidRPr="00C43D8C" w:rsidRDefault="00F04D37" w:rsidP="00F04D37">
      <w:pPr>
        <w:pStyle w:val="Title3LevelTitre3Niveau"/>
        <w:rPr>
          <w:rFonts w:cs="Times New Roman"/>
        </w:rPr>
      </w:pPr>
      <w:r w:rsidRPr="00C43D8C">
        <w:rPr>
          <w:rFonts w:cs="Times New Roman"/>
        </w:rPr>
        <w:t>Second Requirement: Significant Prejudice</w:t>
      </w:r>
    </w:p>
    <w:p w14:paraId="75F404AE" w14:textId="77777777" w:rsidR="00F04D37" w:rsidRPr="00C43D8C" w:rsidRDefault="00F04D37" w:rsidP="00F04D37">
      <w:pPr>
        <w:pStyle w:val="ParaNoNdepar-AltN"/>
        <w:rPr>
          <w:rFonts w:cs="Times New Roman"/>
        </w:rPr>
      </w:pPr>
      <w:r w:rsidRPr="00C43D8C">
        <w:rPr>
          <w:rFonts w:cs="Times New Roman"/>
        </w:rPr>
        <w:lastRenderedPageBreak/>
        <w:t xml:space="preserve">The requirement for significant prejudice is grounded in the foundations of the doctrine of abuse of process in administrative law. If delay alone was sufficient to lead to an abuse of process, it would be “tantamount to imposing a judicially created limitation period”: </w:t>
      </w:r>
      <w:r w:rsidRPr="00C43D8C">
        <w:rPr>
          <w:rFonts w:cs="Times New Roman"/>
          <w:i/>
        </w:rPr>
        <w:t>Blencoe</w:t>
      </w:r>
      <w:r w:rsidRPr="00C43D8C">
        <w:rPr>
          <w:rFonts w:cs="Times New Roman"/>
        </w:rPr>
        <w:t>, at para.</w:t>
      </w:r>
      <w:r>
        <w:rPr>
          <w:rFonts w:cs="Times New Roman"/>
        </w:rPr>
        <w:t> </w:t>
      </w:r>
      <w:r w:rsidRPr="00C43D8C">
        <w:rPr>
          <w:rFonts w:cs="Times New Roman"/>
        </w:rPr>
        <w:t>101. It is only where there is</w:t>
      </w:r>
      <w:r w:rsidRPr="00C43D8C">
        <w:rPr>
          <w:rFonts w:cs="Times New Roman"/>
          <w:i/>
        </w:rPr>
        <w:t xml:space="preserve"> detriment</w:t>
      </w:r>
      <w:r w:rsidRPr="00C43D8C">
        <w:rPr>
          <w:rFonts w:cs="Times New Roman"/>
        </w:rPr>
        <w:t xml:space="preserve"> to an individual that a court or a tribunal will conclude that there has been an abuse of process: </w:t>
      </w:r>
      <w:r w:rsidRPr="00C43D8C">
        <w:rPr>
          <w:rFonts w:cs="Times New Roman"/>
          <w:i/>
        </w:rPr>
        <w:t>Blencoe</w:t>
      </w:r>
      <w:r w:rsidRPr="00C43D8C">
        <w:rPr>
          <w:rFonts w:cs="Times New Roman"/>
        </w:rPr>
        <w:t>, at para.</w:t>
      </w:r>
      <w:r>
        <w:rPr>
          <w:rFonts w:cs="Times New Roman"/>
        </w:rPr>
        <w:t> </w:t>
      </w:r>
      <w:r w:rsidRPr="00C43D8C">
        <w:rPr>
          <w:rFonts w:cs="Times New Roman"/>
        </w:rPr>
        <w:t xml:space="preserve">109; </w:t>
      </w:r>
      <w:r w:rsidRPr="00C43D8C">
        <w:rPr>
          <w:rFonts w:cs="Times New Roman"/>
          <w:i/>
        </w:rPr>
        <w:t>Brown v. Assn. of Professional Engineers and Geoscientists of British Columbia</w:t>
      </w:r>
      <w:r w:rsidRPr="00C43D8C">
        <w:rPr>
          <w:rFonts w:cs="Times New Roman"/>
        </w:rPr>
        <w:t xml:space="preserve">, [1994] B.C.J. No. 2037 (QL), 1994 CarswellBC 2980 (WL); </w:t>
      </w:r>
      <w:r w:rsidRPr="00C43D8C">
        <w:rPr>
          <w:rFonts w:cs="Times New Roman"/>
          <w:i/>
        </w:rPr>
        <w:t>Stefani v. College of Dental Surgeons (British Columbia)</w:t>
      </w:r>
      <w:r w:rsidRPr="00C43D8C">
        <w:rPr>
          <w:rFonts w:cs="Times New Roman"/>
        </w:rPr>
        <w:t xml:space="preserve"> (1996), 27 B.C.L.R. (3d) 34 (S.C.); </w:t>
      </w:r>
      <w:proofErr w:type="spellStart"/>
      <w:r w:rsidRPr="00C43D8C">
        <w:rPr>
          <w:rFonts w:cs="Times New Roman"/>
          <w:i/>
        </w:rPr>
        <w:t>Misra</w:t>
      </w:r>
      <w:proofErr w:type="spellEnd"/>
      <w:r w:rsidRPr="00C43D8C">
        <w:rPr>
          <w:rFonts w:cs="Times New Roman"/>
          <w:i/>
        </w:rPr>
        <w:t xml:space="preserve"> v. College of Physicians &amp; Surgeons of Saskatchewan</w:t>
      </w:r>
      <w:r w:rsidRPr="00C43D8C">
        <w:rPr>
          <w:rFonts w:cs="Times New Roman"/>
        </w:rPr>
        <w:t xml:space="preserve">, (1988), 52 D.L.R. 477 (Sask. C.A.). Furthermore, in some cases, delay by itself may be beneficial to the affected party. </w:t>
      </w:r>
      <w:r w:rsidRPr="00C43D8C">
        <w:rPr>
          <w:rFonts w:cs="Times New Roman"/>
          <w:lang w:val="en-US"/>
        </w:rPr>
        <w:t xml:space="preserve">For example, if the affected party is facing the penalty of disbarment, delay in the administrative process might be welcomed by the affected party, insofar as it enables him or her to continue practicing. These are some of the reasons why the doctrine of abuse of process </w:t>
      </w:r>
      <w:r w:rsidRPr="00C43D8C">
        <w:rPr>
          <w:rFonts w:cs="Times New Roman"/>
        </w:rPr>
        <w:t>as it relates to administrative delay</w:t>
      </w:r>
      <w:r w:rsidRPr="00C43D8C">
        <w:rPr>
          <w:rFonts w:cs="Times New Roman"/>
          <w:lang w:val="en-US"/>
        </w:rPr>
        <w:t xml:space="preserve"> requires proof of significant prejudice. </w:t>
      </w:r>
    </w:p>
    <w:p w14:paraId="2D648DB5" w14:textId="77777777" w:rsidR="00F04D37" w:rsidRPr="00C43D8C" w:rsidRDefault="00F04D37" w:rsidP="00F04D37">
      <w:pPr>
        <w:pStyle w:val="ParaNoNdepar-AltN"/>
        <w:rPr>
          <w:rFonts w:cs="Times New Roman"/>
        </w:rPr>
      </w:pPr>
      <w:r w:rsidRPr="00C43D8C">
        <w:rPr>
          <w:rFonts w:cs="Times New Roman"/>
        </w:rPr>
        <w:t xml:space="preserve">The reality is that an investigation or proceeding against an individual tends to disrupt his or her life. This was so in </w:t>
      </w:r>
      <w:r w:rsidRPr="00C43D8C">
        <w:rPr>
          <w:rFonts w:cs="Times New Roman"/>
          <w:i/>
        </w:rPr>
        <w:t>Blencoe</w:t>
      </w:r>
      <w:r w:rsidRPr="00C43D8C">
        <w:rPr>
          <w:rFonts w:cs="Times New Roman"/>
        </w:rPr>
        <w:t>, where the majority acknowledged that Mr.</w:t>
      </w:r>
      <w:r>
        <w:rPr>
          <w:rFonts w:cs="Times New Roman"/>
        </w:rPr>
        <w:t> </w:t>
      </w:r>
      <w:r w:rsidRPr="00C43D8C">
        <w:rPr>
          <w:rFonts w:cs="Times New Roman"/>
        </w:rPr>
        <w:t>Blencoe and his family had suffered prejudice from the moment that sexual harassment allegations against him were made public. The Court concluded, however, that such prejudice could not be said to result directly from the delay in the human rights proceedings, but rather it resulted from the fact that such proceedings were undertaken: para.</w:t>
      </w:r>
      <w:r>
        <w:rPr>
          <w:rFonts w:cs="Times New Roman"/>
        </w:rPr>
        <w:t> </w:t>
      </w:r>
      <w:r w:rsidRPr="00C43D8C">
        <w:rPr>
          <w:rFonts w:cs="Times New Roman"/>
        </w:rPr>
        <w:t xml:space="preserve">133. It is the prejudice caused by inordinate delay that is relevant to the abuse of process analysis. That said, prejudice caused by the </w:t>
      </w:r>
      <w:r w:rsidRPr="00C43D8C">
        <w:rPr>
          <w:rFonts w:cs="Times New Roman"/>
        </w:rPr>
        <w:lastRenderedPageBreak/>
        <w:t>investigation of or proceedings against an individual can be exacerbated by inordinate delay. That is to be taken into account: paras.</w:t>
      </w:r>
      <w:r>
        <w:rPr>
          <w:rFonts w:cs="Times New Roman"/>
        </w:rPr>
        <w:t> </w:t>
      </w:r>
      <w:r w:rsidRPr="00C43D8C">
        <w:rPr>
          <w:rFonts w:cs="Times New Roman"/>
        </w:rPr>
        <w:t xml:space="preserve">68-73 and 133. </w:t>
      </w:r>
    </w:p>
    <w:p w14:paraId="059D3465" w14:textId="77777777" w:rsidR="00F04D37" w:rsidRPr="00C43D8C" w:rsidRDefault="00F04D37" w:rsidP="00F04D37">
      <w:pPr>
        <w:pStyle w:val="ParaNoNdepar-AltN"/>
        <w:rPr>
          <w:rFonts w:cs="Times New Roman"/>
        </w:rPr>
      </w:pPr>
      <w:r w:rsidRPr="00C43D8C">
        <w:rPr>
          <w:rFonts w:cs="Times New Roman"/>
        </w:rPr>
        <w:t>Prejudice is a question of fact. Examples include significant psychological harm, stigma attached to the individual’s reputation, disruption to family life, loss of work or business opportunities, as well as extended and intrusive media attention, especially given technological developments, the speed at which information can travel today and how easy it is to access.</w:t>
      </w:r>
    </w:p>
    <w:p w14:paraId="7AEFBFC9" w14:textId="77777777" w:rsidR="00F04D37" w:rsidRPr="00C43D8C" w:rsidRDefault="00F04D37" w:rsidP="00F04D37">
      <w:pPr>
        <w:pStyle w:val="ParaNoNdepar-AltN"/>
        <w:rPr>
          <w:rFonts w:cs="Times New Roman"/>
        </w:rPr>
      </w:pPr>
      <w:r w:rsidRPr="00C43D8C">
        <w:rPr>
          <w:rFonts w:cs="Times New Roman"/>
        </w:rPr>
        <w:t xml:space="preserve">In </w:t>
      </w:r>
      <w:proofErr w:type="spellStart"/>
      <w:r w:rsidRPr="00C43D8C">
        <w:rPr>
          <w:rFonts w:cs="Times New Roman"/>
          <w:i/>
        </w:rPr>
        <w:t>Misra</w:t>
      </w:r>
      <w:proofErr w:type="spellEnd"/>
      <w:r w:rsidRPr="00C43D8C">
        <w:rPr>
          <w:rFonts w:cs="Times New Roman"/>
        </w:rPr>
        <w:t>, a doctor was suspended from practice for almost six years, while the College of Physicians and Surgeons chose to wait for years for the completion of criminal proceedings against him before proceeding with the disciplinary process. The criminal proceedings were eventually abandoned. Dr.</w:t>
      </w:r>
      <w:r>
        <w:rPr>
          <w:rFonts w:cs="Times New Roman"/>
        </w:rPr>
        <w:t> </w:t>
      </w:r>
      <w:proofErr w:type="spellStart"/>
      <w:r w:rsidRPr="00C43D8C">
        <w:rPr>
          <w:rFonts w:cs="Times New Roman"/>
        </w:rPr>
        <w:t>Misra’s</w:t>
      </w:r>
      <w:proofErr w:type="spellEnd"/>
      <w:r w:rsidRPr="00C43D8C">
        <w:rPr>
          <w:rFonts w:cs="Times New Roman"/>
        </w:rPr>
        <w:t xml:space="preserve"> reputation had suffered; he had been unable to practice his profession; his professional prospects were diminished.</w:t>
      </w:r>
    </w:p>
    <w:p w14:paraId="5A9D6B98" w14:textId="77777777" w:rsidR="00F04D37" w:rsidRPr="00C43D8C" w:rsidRDefault="00F04D37" w:rsidP="00F04D37">
      <w:pPr>
        <w:pStyle w:val="ParaNoNdepar-AltN"/>
        <w:rPr>
          <w:rFonts w:cs="Times New Roman"/>
        </w:rPr>
      </w:pPr>
      <w:r w:rsidRPr="00C43D8C">
        <w:rPr>
          <w:rFonts w:cs="Times New Roman"/>
        </w:rPr>
        <w:t xml:space="preserve">In </w:t>
      </w:r>
      <w:r w:rsidRPr="00C43D8C">
        <w:rPr>
          <w:rFonts w:cs="Times New Roman"/>
          <w:i/>
        </w:rPr>
        <w:t>Investment Dealers Association of Canada v. MacBain</w:t>
      </w:r>
      <w:r w:rsidRPr="00C43D8C">
        <w:rPr>
          <w:rFonts w:cs="Times New Roman"/>
        </w:rPr>
        <w:t>, 2007 SKCA 70, 299 Sask. R. 122, lengthy delays exacerbated the harm to the applicant’s reputation by publicity from a disciplinary investigation. Profits from his business collapsed, then recovered to some degree as publicity around the initial investigation faded, only to be threatened again after the negative publicity around his business was revived years later when the notices of hearing were finally issued: paras.</w:t>
      </w:r>
      <w:r>
        <w:rPr>
          <w:rFonts w:cs="Times New Roman"/>
        </w:rPr>
        <w:t> </w:t>
      </w:r>
      <w:r w:rsidRPr="00C43D8C">
        <w:rPr>
          <w:rFonts w:cs="Times New Roman"/>
        </w:rPr>
        <w:t xml:space="preserve">40-41; see also </w:t>
      </w:r>
      <w:r w:rsidRPr="00C43D8C">
        <w:rPr>
          <w:rFonts w:cs="Times New Roman"/>
          <w:i/>
        </w:rPr>
        <w:t>Financial and Consumer Services Commission v. Emond</w:t>
      </w:r>
      <w:r w:rsidRPr="00C43D8C">
        <w:rPr>
          <w:rFonts w:cs="Times New Roman"/>
        </w:rPr>
        <w:t xml:space="preserve">, 2020 NBCA 42. This is the type of significant prejudice contemplated in </w:t>
      </w:r>
      <w:r w:rsidRPr="00C43D8C">
        <w:rPr>
          <w:rFonts w:cs="Times New Roman"/>
          <w:i/>
        </w:rPr>
        <w:t>Blencoe</w:t>
      </w:r>
      <w:r w:rsidRPr="00C43D8C">
        <w:rPr>
          <w:rFonts w:cs="Times New Roman"/>
        </w:rPr>
        <w:t xml:space="preserve">. </w:t>
      </w:r>
    </w:p>
    <w:p w14:paraId="64357D82" w14:textId="77777777" w:rsidR="00F04D37" w:rsidRPr="00C43D8C" w:rsidRDefault="00F04D37" w:rsidP="00F04D37">
      <w:pPr>
        <w:pStyle w:val="Title3LevelTitre3Niveau"/>
        <w:rPr>
          <w:rFonts w:cs="Times New Roman"/>
        </w:rPr>
      </w:pPr>
      <w:r w:rsidRPr="00C43D8C">
        <w:rPr>
          <w:rFonts w:cs="Times New Roman"/>
        </w:rPr>
        <w:lastRenderedPageBreak/>
        <w:t>Conclusion: A Final Assessment</w:t>
      </w:r>
    </w:p>
    <w:p w14:paraId="731CD584" w14:textId="77777777" w:rsidR="00F04D37" w:rsidRPr="00C43D8C" w:rsidRDefault="00F04D37" w:rsidP="00F04D37">
      <w:pPr>
        <w:pStyle w:val="ParaNoNdepar-AltN"/>
        <w:rPr>
          <w:rFonts w:cs="Times New Roman"/>
        </w:rPr>
      </w:pPr>
      <w:r w:rsidRPr="00C43D8C">
        <w:rPr>
          <w:rFonts w:cs="Times New Roman"/>
        </w:rPr>
        <w:t xml:space="preserve">The test for whether delay amounts to an abuse of process has three steps. First, the delay must be inordinate. This is determined on an assessment of the context overall. Second, the delay must have caused significant prejudice. When these two requirements are met, the court or tribunal is to conduct a final assessment as to whether abuse of process is established. This will be so when the delay is manifestly unfair to the party to the proceedings or in some other way brings the administration of justice into disrepute: </w:t>
      </w:r>
      <w:proofErr w:type="spellStart"/>
      <w:r w:rsidRPr="00C43D8C">
        <w:rPr>
          <w:rFonts w:cs="Times New Roman"/>
          <w:i/>
        </w:rPr>
        <w:t>Behn</w:t>
      </w:r>
      <w:proofErr w:type="spellEnd"/>
      <w:r w:rsidRPr="00C43D8C">
        <w:rPr>
          <w:rFonts w:cs="Times New Roman"/>
        </w:rPr>
        <w:t>, at paras.</w:t>
      </w:r>
      <w:r>
        <w:rPr>
          <w:rFonts w:cs="Times New Roman"/>
        </w:rPr>
        <w:t> </w:t>
      </w:r>
      <w:r w:rsidRPr="00C43D8C">
        <w:rPr>
          <w:rFonts w:cs="Times New Roman"/>
        </w:rPr>
        <w:t>40-41.</w:t>
      </w:r>
    </w:p>
    <w:p w14:paraId="34381B5F" w14:textId="77777777" w:rsidR="00F04D37" w:rsidRPr="00C43D8C" w:rsidRDefault="00F04D37" w:rsidP="00F04D37">
      <w:pPr>
        <w:pStyle w:val="ParaNoNdepar-AltN"/>
        <w:rPr>
          <w:rFonts w:cs="Times New Roman"/>
        </w:rPr>
      </w:pPr>
      <w:r w:rsidRPr="00C43D8C">
        <w:rPr>
          <w:rFonts w:cs="Times New Roman"/>
        </w:rPr>
        <w:t>When an abuse of process is found, several remedies are available.</w:t>
      </w:r>
    </w:p>
    <w:p w14:paraId="677ECD12" w14:textId="77777777" w:rsidR="00F04D37" w:rsidRPr="00C43D8C" w:rsidRDefault="00F04D37" w:rsidP="00F04D37">
      <w:pPr>
        <w:pStyle w:val="Title2LevelTitre2Niveau"/>
        <w:rPr>
          <w:rFonts w:cs="Times New Roman"/>
        </w:rPr>
      </w:pPr>
      <w:r w:rsidRPr="00C43D8C">
        <w:rPr>
          <w:rFonts w:cs="Times New Roman"/>
        </w:rPr>
        <w:t>Remedies</w:t>
      </w:r>
    </w:p>
    <w:p w14:paraId="068E2946" w14:textId="77777777" w:rsidR="00F04D37" w:rsidRPr="00C43D8C" w:rsidRDefault="00F04D37" w:rsidP="00F04D37">
      <w:pPr>
        <w:pStyle w:val="Title3LevelTitre3Niveau"/>
        <w:rPr>
          <w:rFonts w:cs="Times New Roman"/>
        </w:rPr>
      </w:pPr>
      <w:r w:rsidRPr="00C43D8C">
        <w:rPr>
          <w:rFonts w:cs="Times New Roman"/>
        </w:rPr>
        <w:t>Introduction to Remedies for Abuse of Process</w:t>
      </w:r>
    </w:p>
    <w:p w14:paraId="16D20DF7" w14:textId="77777777" w:rsidR="00F04D37" w:rsidRPr="00C43D8C" w:rsidRDefault="00F04D37" w:rsidP="00F04D37">
      <w:pPr>
        <w:pStyle w:val="ParaNoNdepar-AltN"/>
        <w:rPr>
          <w:rFonts w:cs="Times New Roman"/>
        </w:rPr>
      </w:pPr>
      <w:r w:rsidRPr="00C43D8C">
        <w:rPr>
          <w:rFonts w:cs="Times New Roman"/>
        </w:rPr>
        <w:t xml:space="preserve">Courts and tribunals must be mindful as to appropriate remedies in the various contexts in which abuse of process can occur: </w:t>
      </w:r>
      <w:r w:rsidRPr="00C43D8C">
        <w:rPr>
          <w:rFonts w:cs="Times New Roman"/>
          <w:i/>
        </w:rPr>
        <w:t>Blencoe</w:t>
      </w:r>
      <w:r w:rsidRPr="00C43D8C">
        <w:rPr>
          <w:rFonts w:cs="Times New Roman"/>
        </w:rPr>
        <w:t>, at para.</w:t>
      </w:r>
      <w:r>
        <w:rPr>
          <w:rFonts w:cs="Times New Roman"/>
        </w:rPr>
        <w:t> </w:t>
      </w:r>
      <w:r w:rsidRPr="00C43D8C">
        <w:rPr>
          <w:rFonts w:cs="Times New Roman"/>
        </w:rPr>
        <w:t xml:space="preserve">117; </w:t>
      </w:r>
      <w:r w:rsidRPr="00C43D8C">
        <w:rPr>
          <w:rFonts w:cs="Times New Roman"/>
          <w:i/>
        </w:rPr>
        <w:t>O’Connor</w:t>
      </w:r>
      <w:r w:rsidRPr="00C43D8C">
        <w:rPr>
          <w:rFonts w:cs="Times New Roman"/>
        </w:rPr>
        <w:t>, at para.</w:t>
      </w:r>
      <w:r>
        <w:rPr>
          <w:rFonts w:cs="Times New Roman"/>
        </w:rPr>
        <w:t> </w:t>
      </w:r>
      <w:r w:rsidRPr="00C43D8C">
        <w:rPr>
          <w:rFonts w:cs="Times New Roman"/>
        </w:rPr>
        <w:t>66, per L’Heureux-Dubé</w:t>
      </w:r>
      <w:r>
        <w:rPr>
          <w:rFonts w:cs="Times New Roman"/>
        </w:rPr>
        <w:t> </w:t>
      </w:r>
      <w:r w:rsidRPr="00C43D8C">
        <w:rPr>
          <w:rFonts w:cs="Times New Roman"/>
        </w:rPr>
        <w:t xml:space="preserve">J., writing for a unanimous Court on this point. In this judgment, I will address the main remedies. The list that follows is not intended to be exhaustive.  </w:t>
      </w:r>
    </w:p>
    <w:p w14:paraId="136E84AA" w14:textId="77777777" w:rsidR="00F04D37" w:rsidRPr="00C43D8C" w:rsidRDefault="00F04D37" w:rsidP="00F04D37">
      <w:pPr>
        <w:pStyle w:val="ParaNoNdepar-AltN"/>
        <w:rPr>
          <w:rFonts w:cs="Times New Roman"/>
        </w:rPr>
      </w:pPr>
      <w:r w:rsidRPr="00C43D8C">
        <w:rPr>
          <w:rFonts w:cs="Times New Roman"/>
        </w:rPr>
        <w:t xml:space="preserve">Remedies for abuse of process can serve several purposes. They can compensate the applicant for the prejudice caused by the delay. They can serve as an incentive for the decision maker to address any problems of systemic delay. Remedies </w:t>
      </w:r>
      <w:r w:rsidRPr="00C43D8C">
        <w:rPr>
          <w:rFonts w:cs="Times New Roman"/>
        </w:rPr>
        <w:lastRenderedPageBreak/>
        <w:t>can also express the court or the tribunal’s concern relating to delay in the administrative system.</w:t>
      </w:r>
    </w:p>
    <w:p w14:paraId="11E42F9F" w14:textId="77777777" w:rsidR="00F04D37" w:rsidRPr="00C43D8C" w:rsidRDefault="00F04D37" w:rsidP="00F04D37">
      <w:pPr>
        <w:pStyle w:val="ParaNoNdepar-AltN"/>
        <w:rPr>
          <w:rFonts w:cs="Times New Roman"/>
        </w:rPr>
      </w:pPr>
      <w:r w:rsidRPr="00C43D8C">
        <w:rPr>
          <w:rFonts w:cs="Times New Roman"/>
        </w:rPr>
        <w:t xml:space="preserve">As noted, the doctrine of abuse of process is broad; it can usefully be appreciated on a spectrum: see, in criminal matters, </w:t>
      </w:r>
      <w:r w:rsidRPr="00C43D8C">
        <w:rPr>
          <w:rFonts w:cs="Times New Roman"/>
          <w:i/>
        </w:rPr>
        <w:t>R. v. Regan</w:t>
      </w:r>
      <w:r w:rsidRPr="00C43D8C">
        <w:rPr>
          <w:rFonts w:cs="Times New Roman"/>
        </w:rPr>
        <w:t>,</w:t>
      </w:r>
      <w:r w:rsidRPr="00C43D8C">
        <w:rPr>
          <w:rFonts w:cs="Times New Roman"/>
          <w:i/>
        </w:rPr>
        <w:t xml:space="preserve"> </w:t>
      </w:r>
      <w:r w:rsidRPr="00C43D8C">
        <w:rPr>
          <w:rFonts w:cs="Times New Roman"/>
        </w:rPr>
        <w:t>2002 SCC 12, [2002] 1 S.C.R. 297, at para.</w:t>
      </w:r>
      <w:r>
        <w:rPr>
          <w:rFonts w:cs="Times New Roman"/>
        </w:rPr>
        <w:t> </w:t>
      </w:r>
      <w:r w:rsidRPr="00C43D8C">
        <w:rPr>
          <w:rFonts w:cs="Times New Roman"/>
        </w:rPr>
        <w:t>107. Various remedies are available, up to and including a permanent stay of proceedings. However, when this high threshold is not met, when there is inordinate delay and resulting prejudice, but it is “not significant enough that proceeding in its wake would, in and of itself, shock the community’s sense of fairness and decency” (</w:t>
      </w:r>
      <w:r w:rsidRPr="00C43D8C">
        <w:rPr>
          <w:rFonts w:cs="Times New Roman"/>
          <w:i/>
        </w:rPr>
        <w:t>Regan</w:t>
      </w:r>
      <w:r w:rsidRPr="00C43D8C">
        <w:rPr>
          <w:rFonts w:cs="Times New Roman"/>
        </w:rPr>
        <w:t>, at para.</w:t>
      </w:r>
      <w:r>
        <w:rPr>
          <w:rFonts w:cs="Times New Roman"/>
        </w:rPr>
        <w:t> </w:t>
      </w:r>
      <w:r w:rsidRPr="00C43D8C">
        <w:rPr>
          <w:rFonts w:cs="Times New Roman"/>
        </w:rPr>
        <w:t>107), then other remedies are available.</w:t>
      </w:r>
    </w:p>
    <w:p w14:paraId="7A03B3A3" w14:textId="77777777" w:rsidR="00F04D37" w:rsidRPr="00C43D8C" w:rsidRDefault="00F04D37" w:rsidP="00F04D37">
      <w:pPr>
        <w:pStyle w:val="ParaNoNdepar-AltN"/>
        <w:rPr>
          <w:rFonts w:cs="Times New Roman"/>
        </w:rPr>
      </w:pPr>
      <w:r w:rsidRPr="00C43D8C">
        <w:rPr>
          <w:rFonts w:cs="Times New Roman"/>
        </w:rPr>
        <w:t xml:space="preserve">Before addressing various remedies for delay amounting to abuse of process, I would make two preliminary points. </w:t>
      </w:r>
    </w:p>
    <w:p w14:paraId="7B0F5BFD" w14:textId="77777777" w:rsidR="00F04D37" w:rsidRPr="00C43D8C" w:rsidRDefault="00F04D37" w:rsidP="00F04D37">
      <w:pPr>
        <w:pStyle w:val="Title4LevelTitre4Niveau"/>
        <w:rPr>
          <w:rFonts w:cs="Times New Roman"/>
        </w:rPr>
      </w:pPr>
      <w:r w:rsidRPr="00C43D8C">
        <w:rPr>
          <w:rFonts w:cs="Times New Roman"/>
        </w:rPr>
        <w:t>Internal tribunal procedure</w:t>
      </w:r>
    </w:p>
    <w:p w14:paraId="1748E8C8" w14:textId="77777777" w:rsidR="00F04D37" w:rsidRPr="00C43D8C" w:rsidRDefault="00F04D37" w:rsidP="00F04D37">
      <w:pPr>
        <w:pStyle w:val="ParaNoNdepar-AltN"/>
        <w:rPr>
          <w:rFonts w:cs="Times New Roman"/>
        </w:rPr>
      </w:pPr>
      <w:r w:rsidRPr="00C43D8C">
        <w:rPr>
          <w:rFonts w:cs="Times New Roman"/>
        </w:rPr>
        <w:t xml:space="preserve">Addressing delay is an obligation on all parties. As soon as delay becomes a concern, the affected party should seek to use all available procedures to move matters forward. The tribunal may often have internal procedures for dealing with delay; the party complaining of delay should avail itself of these. Even if there are no such procedures, the affected party should raise the issue of delay on the record, by means such as correspondence or oral submissions. </w:t>
      </w:r>
    </w:p>
    <w:p w14:paraId="6316FB79" w14:textId="77777777" w:rsidR="00F04D37" w:rsidRPr="00C43D8C" w:rsidRDefault="00F04D37" w:rsidP="00F04D37">
      <w:pPr>
        <w:pStyle w:val="ParaNoNdepar-AltN"/>
        <w:rPr>
          <w:rFonts w:cs="Times New Roman"/>
        </w:rPr>
      </w:pPr>
      <w:r w:rsidRPr="00C43D8C">
        <w:rPr>
          <w:rFonts w:cs="Times New Roman"/>
        </w:rPr>
        <w:lastRenderedPageBreak/>
        <w:t xml:space="preserve">In most cases, the affected party should avail itself of the tribunal procedures first. If the affected party does not act in a timely manner to raise concerns about delay, this may be considered in determining the relevant remedy. That said, in considering whether an affected party has sought to move matters forward, one has to be mindful of practical impediments to doing so: see, for example, </w:t>
      </w:r>
      <w:proofErr w:type="spellStart"/>
      <w:r w:rsidRPr="00C43D8C">
        <w:rPr>
          <w:rFonts w:cs="Times New Roman"/>
          <w:i/>
        </w:rPr>
        <w:t>Wachtler</w:t>
      </w:r>
      <w:proofErr w:type="spellEnd"/>
      <w:r w:rsidRPr="00C43D8C">
        <w:rPr>
          <w:rFonts w:cs="Times New Roman"/>
        </w:rPr>
        <w:t>, at para. 44. There may be exceptional cases where the affected party may ask the courts to step in, in accordance with the existing rules.</w:t>
      </w:r>
    </w:p>
    <w:p w14:paraId="03BA415A" w14:textId="77777777" w:rsidR="00F04D37" w:rsidRPr="00C43D8C" w:rsidRDefault="00F04D37" w:rsidP="00F04D37">
      <w:pPr>
        <w:pStyle w:val="Title4LevelTitre4Niveau"/>
        <w:rPr>
          <w:rFonts w:cs="Times New Roman"/>
        </w:rPr>
      </w:pPr>
      <w:r w:rsidRPr="00C43D8C">
        <w:rPr>
          <w:rFonts w:cs="Times New Roman"/>
        </w:rPr>
        <w:t>Mandamus</w:t>
      </w:r>
    </w:p>
    <w:p w14:paraId="1B69DEDB" w14:textId="77777777" w:rsidR="00F04D37" w:rsidRPr="00C43D8C" w:rsidRDefault="00F04D37" w:rsidP="00F04D37">
      <w:pPr>
        <w:pStyle w:val="ParaNoNdepar-AltN"/>
        <w:rPr>
          <w:rFonts w:cs="Times New Roman"/>
        </w:rPr>
      </w:pPr>
      <w:r w:rsidRPr="00C43D8C">
        <w:rPr>
          <w:rFonts w:cs="Times New Roman"/>
          <w:i/>
        </w:rPr>
        <w:t>Mandamus</w:t>
      </w:r>
      <w:r w:rsidRPr="00C43D8C">
        <w:rPr>
          <w:rFonts w:cs="Times New Roman"/>
        </w:rPr>
        <w:t xml:space="preserve"> can be sought to compel administrative decision makers to carry out their duties and, in so doing, to limit delay in administrative proceedings: </w:t>
      </w:r>
      <w:r w:rsidRPr="00C43D8C">
        <w:rPr>
          <w:rFonts w:cs="Times New Roman"/>
          <w:i/>
        </w:rPr>
        <w:t>Blencoe</w:t>
      </w:r>
      <w:r w:rsidRPr="00C43D8C">
        <w:rPr>
          <w:rFonts w:cs="Times New Roman"/>
        </w:rPr>
        <w:t>, at para.</w:t>
      </w:r>
      <w:r>
        <w:rPr>
          <w:rFonts w:cs="Times New Roman"/>
        </w:rPr>
        <w:t> </w:t>
      </w:r>
      <w:r w:rsidRPr="00C43D8C">
        <w:rPr>
          <w:rFonts w:cs="Times New Roman"/>
        </w:rPr>
        <w:t xml:space="preserve">150. A party who believes he or she is facing undue delay can seek such a remedy, or an order for an expedited hearing, even before an abuse of process exists, rather than “waiting in the weeds” in the hopes of obtaining a stay at some future point: </w:t>
      </w:r>
      <w:r w:rsidRPr="00C43D8C">
        <w:rPr>
          <w:rFonts w:cs="Times New Roman"/>
          <w:i/>
        </w:rPr>
        <w:t>Blencoe</w:t>
      </w:r>
      <w:r w:rsidRPr="00C43D8C">
        <w:rPr>
          <w:rFonts w:cs="Times New Roman"/>
        </w:rPr>
        <w:t>, at para</w:t>
      </w:r>
      <w:r>
        <w:rPr>
          <w:rFonts w:cs="Times New Roman"/>
        </w:rPr>
        <w:t>. </w:t>
      </w:r>
      <w:r w:rsidRPr="00C43D8C">
        <w:rPr>
          <w:rFonts w:cs="Times New Roman"/>
        </w:rPr>
        <w:t xml:space="preserve">182. </w:t>
      </w:r>
      <w:r w:rsidRPr="00C43D8C">
        <w:rPr>
          <w:rFonts w:cs="Times New Roman"/>
          <w:i/>
        </w:rPr>
        <w:t>Mandamus</w:t>
      </w:r>
      <w:r w:rsidRPr="00C43D8C">
        <w:rPr>
          <w:rFonts w:cs="Times New Roman"/>
        </w:rPr>
        <w:t xml:space="preserve"> may also be ordered as a remedy for an abuse of process if one is found.</w:t>
      </w:r>
    </w:p>
    <w:p w14:paraId="47974423" w14:textId="77777777" w:rsidR="00F04D37" w:rsidRPr="00C43D8C" w:rsidRDefault="00F04D37" w:rsidP="00F04D37">
      <w:pPr>
        <w:pStyle w:val="ParaNoNdepar-AltN"/>
        <w:rPr>
          <w:rFonts w:cs="Times New Roman"/>
        </w:rPr>
      </w:pPr>
      <w:r w:rsidRPr="00C43D8C">
        <w:rPr>
          <w:rFonts w:cs="Times New Roman"/>
        </w:rPr>
        <w:t xml:space="preserve">My comments here do not intend to change any of the standards applicable for obtaining an order of </w:t>
      </w:r>
      <w:r w:rsidRPr="00C43D8C">
        <w:rPr>
          <w:rFonts w:cs="Times New Roman"/>
          <w:i/>
        </w:rPr>
        <w:t>mandamus</w:t>
      </w:r>
      <w:r w:rsidRPr="00C43D8C">
        <w:rPr>
          <w:rFonts w:cs="Times New Roman"/>
        </w:rPr>
        <w:t xml:space="preserve"> generally. They merely affirm that it may also be an appropriate tool to prevent and address abuse of process.</w:t>
      </w:r>
    </w:p>
    <w:p w14:paraId="111DBE9F" w14:textId="77777777" w:rsidR="00F04D37" w:rsidRPr="00C43D8C" w:rsidRDefault="00F04D37" w:rsidP="00F04D37">
      <w:pPr>
        <w:pStyle w:val="ParaNoNdepar-AltN"/>
        <w:rPr>
          <w:rFonts w:cs="Times New Roman"/>
        </w:rPr>
      </w:pPr>
      <w:r w:rsidRPr="00C43D8C">
        <w:rPr>
          <w:rFonts w:cs="Times New Roman"/>
        </w:rPr>
        <w:t xml:space="preserve">Also, if used at the right moment, the remedy of an expedited hearing can protect the interests of all parties: </w:t>
      </w:r>
      <w:r w:rsidRPr="00C43D8C">
        <w:rPr>
          <w:rFonts w:cs="Times New Roman"/>
          <w:i/>
        </w:rPr>
        <w:t>Blencoe</w:t>
      </w:r>
      <w:r w:rsidRPr="00C43D8C">
        <w:rPr>
          <w:rFonts w:cs="Times New Roman"/>
        </w:rPr>
        <w:t>, at para.</w:t>
      </w:r>
      <w:r>
        <w:rPr>
          <w:rFonts w:cs="Times New Roman"/>
        </w:rPr>
        <w:t> </w:t>
      </w:r>
      <w:r w:rsidRPr="00C43D8C">
        <w:rPr>
          <w:rFonts w:cs="Times New Roman"/>
        </w:rPr>
        <w:t>182; D.</w:t>
      </w:r>
      <w:r>
        <w:rPr>
          <w:rFonts w:cs="Times New Roman"/>
        </w:rPr>
        <w:t> </w:t>
      </w:r>
      <w:r w:rsidRPr="00C43D8C">
        <w:rPr>
          <w:rFonts w:cs="Times New Roman"/>
        </w:rPr>
        <w:t>J.</w:t>
      </w:r>
      <w:r>
        <w:rPr>
          <w:rFonts w:cs="Times New Roman"/>
        </w:rPr>
        <w:t> </w:t>
      </w:r>
      <w:proofErr w:type="spellStart"/>
      <w:r w:rsidRPr="00C43D8C">
        <w:rPr>
          <w:rFonts w:cs="Times New Roman"/>
        </w:rPr>
        <w:t>Mullan</w:t>
      </w:r>
      <w:proofErr w:type="spellEnd"/>
      <w:r w:rsidRPr="00C43D8C">
        <w:rPr>
          <w:rFonts w:cs="Times New Roman"/>
        </w:rPr>
        <w:t xml:space="preserve"> and </w:t>
      </w:r>
      <w:r w:rsidRPr="00C43D8C">
        <w:rPr>
          <w:rFonts w:cs="Times New Roman"/>
        </w:rPr>
        <w:lastRenderedPageBreak/>
        <w:t>D.</w:t>
      </w:r>
      <w:r>
        <w:rPr>
          <w:rFonts w:cs="Times New Roman"/>
        </w:rPr>
        <w:t> </w:t>
      </w:r>
      <w:r w:rsidRPr="00C43D8C">
        <w:rPr>
          <w:rFonts w:cs="Times New Roman"/>
        </w:rPr>
        <w:t xml:space="preserve">Harrington, “The </w:t>
      </w:r>
      <w:r w:rsidRPr="00C43D8C">
        <w:rPr>
          <w:rFonts w:cs="Times New Roman"/>
          <w:i/>
        </w:rPr>
        <w:t>Charter</w:t>
      </w:r>
      <w:r w:rsidRPr="00C43D8C">
        <w:rPr>
          <w:rFonts w:cs="Times New Roman"/>
        </w:rPr>
        <w:t xml:space="preserve"> and Administrative Decision-Making: The Dampening Effects of </w:t>
      </w:r>
      <w:r w:rsidRPr="00C43D8C">
        <w:rPr>
          <w:rFonts w:cs="Times New Roman"/>
          <w:i/>
        </w:rPr>
        <w:t>Blencoe</w:t>
      </w:r>
      <w:r w:rsidRPr="00C43D8C">
        <w:rPr>
          <w:rFonts w:cs="Times New Roman"/>
        </w:rPr>
        <w:t xml:space="preserve">” (2002), 27 </w:t>
      </w:r>
      <w:r w:rsidRPr="00C43D8C">
        <w:rPr>
          <w:rFonts w:cs="Times New Roman"/>
          <w:i/>
        </w:rPr>
        <w:t>Queen’s L.J.</w:t>
      </w:r>
      <w:r w:rsidRPr="00C43D8C">
        <w:rPr>
          <w:rFonts w:cs="Times New Roman"/>
        </w:rPr>
        <w:t xml:space="preserve"> 879 (QL), at pp. 908-9.</w:t>
      </w:r>
    </w:p>
    <w:p w14:paraId="3D268D50" w14:textId="77777777" w:rsidR="00F04D37" w:rsidRPr="00C43D8C" w:rsidRDefault="00F04D37" w:rsidP="00F04D37">
      <w:pPr>
        <w:pStyle w:val="Title3LevelTitre3Niveau"/>
        <w:rPr>
          <w:rFonts w:cs="Times New Roman"/>
        </w:rPr>
      </w:pPr>
      <w:r w:rsidRPr="00C43D8C">
        <w:rPr>
          <w:rFonts w:cs="Times New Roman"/>
        </w:rPr>
        <w:t>Stay of Proceedings</w:t>
      </w:r>
    </w:p>
    <w:p w14:paraId="0B080EB5" w14:textId="77777777" w:rsidR="00F04D37" w:rsidRPr="00C43D8C" w:rsidRDefault="00F04D37" w:rsidP="00F04D37">
      <w:pPr>
        <w:pStyle w:val="ParaNoNdepar-AltN"/>
        <w:rPr>
          <w:rFonts w:cs="Times New Roman"/>
        </w:rPr>
      </w:pPr>
      <w:r w:rsidRPr="00C43D8C">
        <w:rPr>
          <w:rFonts w:cs="Times New Roman"/>
        </w:rPr>
        <w:t xml:space="preserve">A stay of proceedings is the ultimate remedy for abuse of process. It is “ultimate” because it is “final”; the process will be permanently stayed: </w:t>
      </w:r>
      <w:r w:rsidRPr="00C43D8C">
        <w:rPr>
          <w:rFonts w:cs="Times New Roman"/>
          <w:i/>
        </w:rPr>
        <w:t>Regan</w:t>
      </w:r>
      <w:r w:rsidRPr="00C43D8C">
        <w:rPr>
          <w:rFonts w:cs="Times New Roman"/>
        </w:rPr>
        <w:t>, at para. 53. In disciplinary matters</w:t>
      </w:r>
      <w:r w:rsidRPr="00C43D8C">
        <w:rPr>
          <w:rFonts w:cs="Times New Roman"/>
          <w:szCs w:val="24"/>
        </w:rPr>
        <w:t xml:space="preserve">, that means that charges will not be dealt with, any complaint will go unheard and the public will not be protected. Given these consequences, a stay should </w:t>
      </w:r>
      <w:r w:rsidRPr="00C43D8C">
        <w:rPr>
          <w:rFonts w:cs="Times New Roman"/>
        </w:rPr>
        <w:t>be granted only in the “clearest of cases”, when the abuse falls at the high end of the spectrum of seriousness:</w:t>
      </w:r>
      <w:r w:rsidRPr="00C43D8C">
        <w:rPr>
          <w:rFonts w:cs="Times New Roman"/>
          <w:i/>
        </w:rPr>
        <w:t xml:space="preserve"> Blencoe</w:t>
      </w:r>
      <w:r w:rsidRPr="00C43D8C">
        <w:rPr>
          <w:rFonts w:cs="Times New Roman"/>
        </w:rPr>
        <w:t>, at para.</w:t>
      </w:r>
      <w:r>
        <w:rPr>
          <w:rFonts w:cs="Times New Roman"/>
        </w:rPr>
        <w:t> </w:t>
      </w:r>
      <w:r w:rsidRPr="00C43D8C">
        <w:rPr>
          <w:rFonts w:cs="Times New Roman"/>
        </w:rPr>
        <w:t xml:space="preserve">120, citing </w:t>
      </w:r>
      <w:r w:rsidRPr="00C43D8C">
        <w:rPr>
          <w:rFonts w:cs="Times New Roman"/>
          <w:i/>
        </w:rPr>
        <w:t>Power</w:t>
      </w:r>
      <w:r w:rsidRPr="00C43D8C">
        <w:rPr>
          <w:rFonts w:cs="Times New Roman"/>
        </w:rPr>
        <w:t>, at p.</w:t>
      </w:r>
      <w:r>
        <w:rPr>
          <w:rFonts w:cs="Times New Roman"/>
        </w:rPr>
        <w:t> </w:t>
      </w:r>
      <w:r w:rsidRPr="00C43D8C">
        <w:rPr>
          <w:rFonts w:cs="Times New Roman"/>
        </w:rPr>
        <w:t xml:space="preserve">616. </w:t>
      </w:r>
    </w:p>
    <w:p w14:paraId="4F28E4A9" w14:textId="77777777" w:rsidR="00F04D37" w:rsidRPr="00C43D8C" w:rsidRDefault="00F04D37" w:rsidP="00F04D37">
      <w:pPr>
        <w:pStyle w:val="ParaNoNdepar-AltN"/>
        <w:rPr>
          <w:rFonts w:cs="Times New Roman"/>
        </w:rPr>
      </w:pPr>
      <w:r w:rsidRPr="00C43D8C">
        <w:rPr>
          <w:rFonts w:cs="Times New Roman"/>
        </w:rPr>
        <w:t>The decision whether to grant a stay involves a balancing of public interests. On one hand, t</w:t>
      </w:r>
      <w:r w:rsidRPr="00C43D8C">
        <w:rPr>
          <w:rFonts w:cs="Times New Roman"/>
          <w:shd w:val="clear" w:color="auto" w:fill="FFFFFF"/>
        </w:rPr>
        <w:t xml:space="preserve">he public has an interest in ensuring that a tribunal established for its protection follows fair procedures, untainted by an abuse of process. On the other hand, the public has an interest in the resolution of administrative cases on the merits. </w:t>
      </w:r>
      <w:r w:rsidRPr="00C43D8C">
        <w:rPr>
          <w:rFonts w:cs="Times New Roman"/>
        </w:rPr>
        <w:t xml:space="preserve">A </w:t>
      </w:r>
      <w:r w:rsidRPr="00C43D8C">
        <w:rPr>
          <w:rFonts w:cs="Times New Roman"/>
          <w:szCs w:val="24"/>
        </w:rPr>
        <w:t xml:space="preserve">balance must be struck between the public interest in a </w:t>
      </w:r>
      <w:r w:rsidRPr="00C43D8C">
        <w:rPr>
          <w:rFonts w:cs="Times New Roman"/>
          <w:i/>
          <w:szCs w:val="24"/>
        </w:rPr>
        <w:t xml:space="preserve">fair administrative process untainted by abuse </w:t>
      </w:r>
      <w:r w:rsidRPr="00C43D8C">
        <w:rPr>
          <w:rFonts w:cs="Times New Roman"/>
          <w:szCs w:val="24"/>
        </w:rPr>
        <w:t xml:space="preserve">and the competing public interest in having the </w:t>
      </w:r>
      <w:r w:rsidRPr="00C43D8C">
        <w:rPr>
          <w:rFonts w:cs="Times New Roman"/>
          <w:i/>
          <w:szCs w:val="24"/>
        </w:rPr>
        <w:t>complaint decided on its merits</w:t>
      </w:r>
      <w:r w:rsidRPr="00C43D8C">
        <w:rPr>
          <w:rFonts w:cs="Times New Roman"/>
          <w:szCs w:val="24"/>
        </w:rPr>
        <w:t xml:space="preserve">: </w:t>
      </w:r>
      <w:r w:rsidRPr="00C43D8C">
        <w:rPr>
          <w:rFonts w:cs="Times New Roman"/>
          <w:i/>
          <w:szCs w:val="24"/>
        </w:rPr>
        <w:t>Blencoe</w:t>
      </w:r>
      <w:r w:rsidRPr="00C43D8C">
        <w:rPr>
          <w:rFonts w:cs="Times New Roman"/>
          <w:szCs w:val="24"/>
        </w:rPr>
        <w:t>, at paras.</w:t>
      </w:r>
      <w:r>
        <w:rPr>
          <w:rFonts w:cs="Times New Roman"/>
          <w:szCs w:val="24"/>
        </w:rPr>
        <w:t> </w:t>
      </w:r>
      <w:r w:rsidRPr="00C43D8C">
        <w:rPr>
          <w:rFonts w:cs="Times New Roman"/>
          <w:szCs w:val="24"/>
        </w:rPr>
        <w:t xml:space="preserve">118-21 and 154; </w:t>
      </w:r>
      <w:r w:rsidRPr="00C43D8C">
        <w:rPr>
          <w:rFonts w:cs="Times New Roman"/>
          <w:i/>
          <w:szCs w:val="24"/>
        </w:rPr>
        <w:t>Conway</w:t>
      </w:r>
      <w:r w:rsidRPr="00C43D8C">
        <w:rPr>
          <w:rFonts w:cs="Times New Roman"/>
          <w:szCs w:val="24"/>
        </w:rPr>
        <w:t>, at p.</w:t>
      </w:r>
      <w:r>
        <w:rPr>
          <w:rFonts w:cs="Times New Roman"/>
          <w:szCs w:val="24"/>
        </w:rPr>
        <w:t> </w:t>
      </w:r>
      <w:r w:rsidRPr="00C43D8C">
        <w:rPr>
          <w:rFonts w:cs="Times New Roman"/>
          <w:szCs w:val="24"/>
        </w:rPr>
        <w:t xml:space="preserve">1667; </w:t>
      </w:r>
      <w:r w:rsidRPr="00C43D8C">
        <w:rPr>
          <w:rFonts w:cs="Times New Roman"/>
          <w:i/>
          <w:szCs w:val="24"/>
        </w:rPr>
        <w:t>Robertson v. British Columbia (Commissioner, Teachers Act)</w:t>
      </w:r>
      <w:r w:rsidRPr="00C43D8C">
        <w:rPr>
          <w:rFonts w:cs="Times New Roman"/>
          <w:szCs w:val="24"/>
        </w:rPr>
        <w:t>, 2014 BCCA 331, 64 B.C.L.R. (5th) 258, at paras.</w:t>
      </w:r>
      <w:r>
        <w:rPr>
          <w:rFonts w:cs="Times New Roman"/>
          <w:szCs w:val="24"/>
        </w:rPr>
        <w:t> </w:t>
      </w:r>
      <w:r w:rsidRPr="00C43D8C">
        <w:rPr>
          <w:rFonts w:cs="Times New Roman"/>
          <w:szCs w:val="24"/>
        </w:rPr>
        <w:t xml:space="preserve">78-80; </w:t>
      </w:r>
      <w:r w:rsidRPr="00C43D8C">
        <w:rPr>
          <w:rFonts w:cs="Times New Roman"/>
          <w:i/>
        </w:rPr>
        <w:t>Diaz-Rodriguez</w:t>
      </w:r>
      <w:r w:rsidRPr="00C43D8C">
        <w:rPr>
          <w:rFonts w:cs="Times New Roman"/>
        </w:rPr>
        <w:t>, at paras</w:t>
      </w:r>
      <w:r>
        <w:rPr>
          <w:rFonts w:cs="Times New Roman"/>
        </w:rPr>
        <w:t>. </w:t>
      </w:r>
      <w:r w:rsidRPr="00C43D8C">
        <w:rPr>
          <w:rFonts w:cs="Times New Roman"/>
        </w:rPr>
        <w:t>71-73</w:t>
      </w:r>
      <w:r w:rsidRPr="00C43D8C">
        <w:rPr>
          <w:rFonts w:cs="Times New Roman"/>
          <w:szCs w:val="24"/>
        </w:rPr>
        <w:t xml:space="preserve">; </w:t>
      </w:r>
      <w:r w:rsidRPr="00C43D8C">
        <w:rPr>
          <w:rFonts w:cs="Times New Roman"/>
          <w:i/>
          <w:szCs w:val="24"/>
        </w:rPr>
        <w:t>Law Society of Upper Canada v. Abbott</w:t>
      </w:r>
      <w:r w:rsidRPr="00C43D8C">
        <w:rPr>
          <w:rFonts w:cs="Times New Roman"/>
          <w:szCs w:val="24"/>
        </w:rPr>
        <w:t xml:space="preserve">, 2017 ONCA 525, 139 O.R. (3d) 290, at </w:t>
      </w:r>
      <w:r>
        <w:rPr>
          <w:rFonts w:cs="Times New Roman"/>
          <w:szCs w:val="24"/>
        </w:rPr>
        <w:t>paras. </w:t>
      </w:r>
      <w:r w:rsidRPr="00C43D8C">
        <w:rPr>
          <w:rFonts w:cs="Times New Roman"/>
          <w:szCs w:val="24"/>
        </w:rPr>
        <w:t xml:space="preserve">61-63 </w:t>
      </w:r>
      <w:r w:rsidRPr="00C43D8C">
        <w:rPr>
          <w:rFonts w:cs="Times New Roman"/>
        </w:rPr>
        <w:t>(leave to appeal refused, [2018] 1 S.C.R. v)</w:t>
      </w:r>
      <w:r w:rsidRPr="00C43D8C">
        <w:rPr>
          <w:rFonts w:cs="Times New Roman"/>
          <w:szCs w:val="24"/>
        </w:rPr>
        <w:t xml:space="preserve">. </w:t>
      </w:r>
    </w:p>
    <w:p w14:paraId="6ED8F5FE" w14:textId="77777777" w:rsidR="00F04D37" w:rsidRPr="00C43D8C" w:rsidRDefault="00F04D37" w:rsidP="00F04D37">
      <w:pPr>
        <w:pStyle w:val="ParaNoNdepar-AltN"/>
        <w:rPr>
          <w:rFonts w:cs="Times New Roman"/>
        </w:rPr>
      </w:pPr>
      <w:r w:rsidRPr="00C43D8C">
        <w:rPr>
          <w:rFonts w:cs="Times New Roman"/>
          <w:szCs w:val="24"/>
        </w:rPr>
        <w:lastRenderedPageBreak/>
        <w:t xml:space="preserve">When faced with a proceeding that has resulted in abuse, the court or tribunal must ask itself: would going ahead with the proceeding result in more harm to the public interest than if the proceedings were permanently halted? </w:t>
      </w:r>
      <w:r w:rsidRPr="00C43D8C">
        <w:rPr>
          <w:rFonts w:cs="Times New Roman"/>
        </w:rPr>
        <w:t xml:space="preserve">If the answer is </w:t>
      </w:r>
      <w:r w:rsidRPr="00C43D8C">
        <w:rPr>
          <w:rFonts w:cs="Times New Roman"/>
          <w:i/>
        </w:rPr>
        <w:t>yes</w:t>
      </w:r>
      <w:r w:rsidRPr="00C43D8C">
        <w:rPr>
          <w:rFonts w:cs="Times New Roman"/>
        </w:rPr>
        <w:t xml:space="preserve">, then a stay of proceeding should be ordered. Otherwise, the application for a stay should be dismissed. In conducting this inquiry, the court or tribunal may have regard to whether other available remedies for abuse of process, short of a stay, would adequately protect the public’s interest in the proper administration of justice. </w:t>
      </w:r>
    </w:p>
    <w:p w14:paraId="1461FFDF" w14:textId="77777777" w:rsidR="00F04D37" w:rsidRPr="00C43D8C" w:rsidRDefault="00F04D37" w:rsidP="00F04D37">
      <w:pPr>
        <w:pStyle w:val="ParaNoNdepar-AltN"/>
        <w:rPr>
          <w:rFonts w:cs="Times New Roman"/>
        </w:rPr>
      </w:pPr>
      <w:r w:rsidRPr="00C43D8C">
        <w:rPr>
          <w:rFonts w:cs="Times New Roman"/>
          <w:shd w:val="clear" w:color="auto" w:fill="FFFFFF"/>
        </w:rPr>
        <w:t>A</w:t>
      </w:r>
      <w:r w:rsidRPr="00C43D8C">
        <w:rPr>
          <w:rFonts w:cs="Times New Roman"/>
        </w:rPr>
        <w:t xml:space="preserve"> stay will be more difficult to obtain where the charges are more serious. For example, in </w:t>
      </w:r>
      <w:r w:rsidRPr="00C43D8C">
        <w:rPr>
          <w:rFonts w:cs="Times New Roman"/>
          <w:i/>
        </w:rPr>
        <w:t>Diaz-Rodriguez</w:t>
      </w:r>
      <w:r w:rsidRPr="00C43D8C">
        <w:rPr>
          <w:rFonts w:cs="Times New Roman"/>
        </w:rPr>
        <w:t>, a police officer faced disciplinary proceedings because he used a police baton to repeatedly strike a young man on the head. He also attempted, after the fact, to lay (apparently) unfounded charges, including assaulting a police officer; being intoxicated in a public place; and causing a disturbance: para. 72. The Court of Appeal concluded that in this context, the public interest in fairness in the administrative process did not outweigh the public interest in having the matter proceed to a resolution on its merits: para.</w:t>
      </w:r>
      <w:r>
        <w:rPr>
          <w:rFonts w:cs="Times New Roman"/>
        </w:rPr>
        <w:t> 73 (s</w:t>
      </w:r>
      <w:r w:rsidRPr="00C43D8C">
        <w:rPr>
          <w:rFonts w:cs="Times New Roman"/>
        </w:rPr>
        <w:t>ee also</w:t>
      </w:r>
      <w:r>
        <w:rPr>
          <w:rFonts w:cs="Times New Roman"/>
        </w:rPr>
        <w:t>:</w:t>
      </w:r>
      <w:r w:rsidRPr="00C43D8C">
        <w:rPr>
          <w:rFonts w:cs="Times New Roman"/>
        </w:rPr>
        <w:t xml:space="preserve"> </w:t>
      </w:r>
      <w:r w:rsidRPr="00C43D8C">
        <w:rPr>
          <w:rFonts w:cs="Times New Roman"/>
          <w:i/>
          <w:szCs w:val="24"/>
        </w:rPr>
        <w:t>Robertson</w:t>
      </w:r>
      <w:r w:rsidRPr="00C43D8C">
        <w:rPr>
          <w:rFonts w:cs="Times New Roman"/>
          <w:szCs w:val="24"/>
        </w:rPr>
        <w:t>, at paras.</w:t>
      </w:r>
      <w:r>
        <w:rPr>
          <w:rFonts w:cs="Times New Roman"/>
          <w:szCs w:val="24"/>
        </w:rPr>
        <w:t> </w:t>
      </w:r>
      <w:r w:rsidRPr="00C43D8C">
        <w:rPr>
          <w:rFonts w:cs="Times New Roman"/>
          <w:szCs w:val="24"/>
        </w:rPr>
        <w:t xml:space="preserve">79-80; </w:t>
      </w:r>
      <w:r w:rsidRPr="00C43D8C">
        <w:rPr>
          <w:rFonts w:cs="Times New Roman"/>
          <w:i/>
          <w:szCs w:val="24"/>
        </w:rPr>
        <w:t>R. (J.) v. College of Psychologists (British Columbia)</w:t>
      </w:r>
      <w:r w:rsidRPr="00C43D8C">
        <w:rPr>
          <w:rFonts w:cs="Times New Roman"/>
          <w:szCs w:val="24"/>
        </w:rPr>
        <w:t xml:space="preserve"> (1995), 33 Admin. L.R. 2(d) 174 (B.C.S.C.), at para. 10</w:t>
      </w:r>
      <w:r>
        <w:rPr>
          <w:rFonts w:cs="Times New Roman"/>
          <w:szCs w:val="24"/>
        </w:rPr>
        <w:t>)</w:t>
      </w:r>
      <w:r w:rsidRPr="00C43D8C">
        <w:rPr>
          <w:rFonts w:cs="Times New Roman"/>
          <w:szCs w:val="24"/>
        </w:rPr>
        <w:t xml:space="preserve">. </w:t>
      </w:r>
      <w:proofErr w:type="gramStart"/>
      <w:r w:rsidRPr="00C43D8C">
        <w:rPr>
          <w:rFonts w:cs="Times New Roman"/>
        </w:rPr>
        <w:t>The</w:t>
      </w:r>
      <w:proofErr w:type="gramEnd"/>
      <w:r w:rsidRPr="00C43D8C">
        <w:rPr>
          <w:rFonts w:cs="Times New Roman"/>
        </w:rPr>
        <w:t xml:space="preserve"> same was also true in </w:t>
      </w:r>
      <w:proofErr w:type="spellStart"/>
      <w:r w:rsidRPr="00C43D8C">
        <w:rPr>
          <w:rFonts w:cs="Times New Roman"/>
          <w:i/>
        </w:rPr>
        <w:t>Sazant</w:t>
      </w:r>
      <w:proofErr w:type="spellEnd"/>
      <w:r w:rsidRPr="00C43D8C">
        <w:rPr>
          <w:rFonts w:cs="Times New Roman"/>
        </w:rPr>
        <w:t xml:space="preserve">, in which Dr. </w:t>
      </w:r>
      <w:proofErr w:type="spellStart"/>
      <w:r w:rsidRPr="00C43D8C">
        <w:rPr>
          <w:rFonts w:cs="Times New Roman"/>
        </w:rPr>
        <w:t>Sazant</w:t>
      </w:r>
      <w:proofErr w:type="spellEnd"/>
      <w:r w:rsidRPr="00C43D8C">
        <w:rPr>
          <w:rFonts w:cs="Times New Roman"/>
        </w:rPr>
        <w:t xml:space="preserve"> faced allegations of sexual misconduct against children. There was a strong public interest in having the case considered on the merits, despite the length of the delay: para.</w:t>
      </w:r>
      <w:r>
        <w:rPr>
          <w:rFonts w:cs="Times New Roman"/>
        </w:rPr>
        <w:t> </w:t>
      </w:r>
      <w:r w:rsidRPr="00C43D8C">
        <w:rPr>
          <w:rFonts w:cs="Times New Roman"/>
        </w:rPr>
        <w:t>248.</w:t>
      </w:r>
    </w:p>
    <w:p w14:paraId="0EA1C563" w14:textId="77777777" w:rsidR="00F04D37" w:rsidRPr="00C43D8C" w:rsidRDefault="00F04D37" w:rsidP="00F04D37">
      <w:pPr>
        <w:pStyle w:val="ParaNoNdepar-AltN"/>
        <w:rPr>
          <w:rFonts w:cs="Times New Roman"/>
        </w:rPr>
      </w:pPr>
      <w:r w:rsidRPr="00C43D8C">
        <w:rPr>
          <w:rFonts w:cs="Times New Roman"/>
        </w:rPr>
        <w:t xml:space="preserve">Even if rare, stays of proceedings are sometimes warranted. An example is </w:t>
      </w:r>
      <w:r w:rsidRPr="00C43D8C">
        <w:rPr>
          <w:rFonts w:cs="Times New Roman"/>
          <w:i/>
        </w:rPr>
        <w:t xml:space="preserve">MacBain </w:t>
      </w:r>
      <w:r w:rsidRPr="00C43D8C">
        <w:rPr>
          <w:rFonts w:cs="Times New Roman"/>
        </w:rPr>
        <w:t xml:space="preserve">where the charge against an investment dealer did not involve complex factual or legal issues, and he did not contribute to or waive the delay. As well, the </w:t>
      </w:r>
      <w:r w:rsidRPr="00C43D8C">
        <w:rPr>
          <w:rFonts w:cs="Times New Roman"/>
        </w:rPr>
        <w:lastRenderedPageBreak/>
        <w:t>Investment Dealers Association failed to provide an explanation for the delay (three years and eight months). When the Court of Appeal heard the case, almost seven years had passed since the commencement of the investigation. Moreover, the member was seriously affected, his business declined greatly, and his personal life was adversely impacted: para.</w:t>
      </w:r>
      <w:r>
        <w:rPr>
          <w:rFonts w:cs="Times New Roman"/>
        </w:rPr>
        <w:t> </w:t>
      </w:r>
      <w:r w:rsidRPr="00C43D8C">
        <w:rPr>
          <w:rFonts w:cs="Times New Roman"/>
        </w:rPr>
        <w:t xml:space="preserve">41. </w:t>
      </w:r>
    </w:p>
    <w:p w14:paraId="6F1E235B" w14:textId="77777777" w:rsidR="00F04D37" w:rsidRPr="00C43D8C" w:rsidRDefault="00F04D37" w:rsidP="00F04D37">
      <w:pPr>
        <w:pStyle w:val="ParaNoNdepar-AltN"/>
        <w:rPr>
          <w:rFonts w:cs="Times New Roman"/>
        </w:rPr>
      </w:pPr>
      <w:r w:rsidRPr="00C43D8C">
        <w:rPr>
          <w:rFonts w:cs="Times New Roman"/>
        </w:rPr>
        <w:t>Finally, in the present case, the Court of Appeal considered that the absence of complainants was relevant in the weighing of competing interests; in effect, the absence of complainants favoured for a stay: paras.</w:t>
      </w:r>
      <w:r>
        <w:rPr>
          <w:rFonts w:cs="Times New Roman"/>
        </w:rPr>
        <w:t> </w:t>
      </w:r>
      <w:r w:rsidRPr="00C43D8C">
        <w:rPr>
          <w:rFonts w:cs="Times New Roman"/>
        </w:rPr>
        <w:t xml:space="preserve">209-10. I cannot agree. The </w:t>
      </w:r>
      <w:r w:rsidRPr="00C43D8C">
        <w:rPr>
          <w:rFonts w:cs="Times New Roman"/>
          <w:i/>
        </w:rPr>
        <w:t>absence</w:t>
      </w:r>
      <w:r w:rsidRPr="00C43D8C">
        <w:rPr>
          <w:rFonts w:cs="Times New Roman"/>
        </w:rPr>
        <w:t xml:space="preserve"> of a complainant is a neutral factor.</w:t>
      </w:r>
      <w:r>
        <w:rPr>
          <w:rFonts w:cs="Times New Roman"/>
        </w:rPr>
        <w:t xml:space="preserve"> </w:t>
      </w:r>
      <w:r w:rsidRPr="00C43D8C">
        <w:rPr>
          <w:rFonts w:cs="Times New Roman"/>
        </w:rPr>
        <w:t xml:space="preserve">The public at large expects a professional who is guilty of misconduct to be effectively regulated and properly sanctioned. A professional misconduct hearing involves more than the interests of those affected; rather one needs to consider “the effect of the individual’s misconduct on both the individual client and generally on the profession in question. This public dimension is of critical significance to the mandate of professional disciplinary bodies”: </w:t>
      </w:r>
      <w:r w:rsidRPr="00C43D8C">
        <w:rPr>
          <w:rFonts w:cs="Times New Roman"/>
          <w:i/>
        </w:rPr>
        <w:t>Adams v. Law Society of Alberta</w:t>
      </w:r>
      <w:r w:rsidRPr="00C43D8C">
        <w:rPr>
          <w:rFonts w:cs="Times New Roman"/>
        </w:rPr>
        <w:t xml:space="preserve">, 2000 ABCA 240, 266 A.R. 157, </w:t>
      </w:r>
      <w:r>
        <w:rPr>
          <w:rFonts w:cs="Times New Roman"/>
        </w:rPr>
        <w:t>at para. </w:t>
      </w:r>
      <w:r w:rsidRPr="00C43D8C">
        <w:rPr>
          <w:rFonts w:cs="Times New Roman"/>
        </w:rPr>
        <w:t>6.</w:t>
      </w:r>
    </w:p>
    <w:p w14:paraId="723F4355" w14:textId="77777777" w:rsidR="00F04D37" w:rsidRPr="00C43D8C" w:rsidRDefault="00F04D37" w:rsidP="00F04D37">
      <w:pPr>
        <w:pStyle w:val="Title3LevelTitre3Niveau"/>
        <w:rPr>
          <w:rFonts w:cs="Times New Roman"/>
        </w:rPr>
      </w:pPr>
      <w:r w:rsidRPr="00C43D8C">
        <w:rPr>
          <w:rFonts w:cs="Times New Roman"/>
        </w:rPr>
        <w:t>Other Remedies: Reduction in Sanction and Costs</w:t>
      </w:r>
    </w:p>
    <w:p w14:paraId="0006F5AA" w14:textId="77777777" w:rsidR="00F04D37" w:rsidRPr="00C43D8C" w:rsidRDefault="00F04D37" w:rsidP="00F04D37">
      <w:pPr>
        <w:pStyle w:val="ParaNoNdepar-AltN"/>
        <w:rPr>
          <w:rFonts w:cs="Times New Roman"/>
        </w:rPr>
      </w:pPr>
      <w:r w:rsidRPr="00C43D8C">
        <w:rPr>
          <w:rFonts w:cs="Times New Roman"/>
        </w:rPr>
        <w:t xml:space="preserve">When an abuse of process is established, but the abuse is not such that a stay of proceedings is warranted, other remedies may be appropriate: </w:t>
      </w:r>
      <w:r w:rsidRPr="00C43D8C">
        <w:rPr>
          <w:rFonts w:cs="Times New Roman"/>
          <w:i/>
        </w:rPr>
        <w:t>Blencoe</w:t>
      </w:r>
      <w:r w:rsidRPr="00C43D8C">
        <w:rPr>
          <w:rFonts w:cs="Times New Roman"/>
        </w:rPr>
        <w:t>, at para. 117; Brown and Evans, at</w:t>
      </w:r>
      <w:r>
        <w:rPr>
          <w:rFonts w:cs="Times New Roman"/>
        </w:rPr>
        <w:t xml:space="preserve"> § </w:t>
      </w:r>
      <w:r w:rsidRPr="00C43D8C">
        <w:rPr>
          <w:rFonts w:cs="Times New Roman"/>
        </w:rPr>
        <w:t xml:space="preserve">9:60. </w:t>
      </w:r>
    </w:p>
    <w:p w14:paraId="260B2FE2" w14:textId="77777777" w:rsidR="00F04D37" w:rsidRPr="00C43D8C" w:rsidRDefault="00F04D37" w:rsidP="00F04D37">
      <w:pPr>
        <w:pStyle w:val="ParaNoNdepar-AltN"/>
        <w:rPr>
          <w:rFonts w:cs="Times New Roman"/>
        </w:rPr>
      </w:pPr>
      <w:r w:rsidRPr="00C43D8C">
        <w:rPr>
          <w:rFonts w:cs="Times New Roman"/>
        </w:rPr>
        <w:lastRenderedPageBreak/>
        <w:t>The threshold to grant such remedies will be lower than that required for a stay. While proof of</w:t>
      </w:r>
      <w:r>
        <w:rPr>
          <w:rFonts w:cs="Times New Roman"/>
        </w:rPr>
        <w:t xml:space="preserve"> </w:t>
      </w:r>
      <w:r w:rsidRPr="00C43D8C">
        <w:rPr>
          <w:rFonts w:cs="Times New Roman"/>
        </w:rPr>
        <w:t>significant prejudice is required to</w:t>
      </w:r>
      <w:r>
        <w:rPr>
          <w:rFonts w:cs="Times New Roman"/>
        </w:rPr>
        <w:t xml:space="preserve"> </w:t>
      </w:r>
      <w:r w:rsidRPr="00C43D8C">
        <w:rPr>
          <w:rFonts w:cs="Times New Roman"/>
        </w:rPr>
        <w:t>establish an abuse of process,</w:t>
      </w:r>
      <w:r>
        <w:rPr>
          <w:rFonts w:cs="Times New Roman"/>
        </w:rPr>
        <w:t xml:space="preserve"> </w:t>
      </w:r>
      <w:r w:rsidRPr="00C43D8C">
        <w:rPr>
          <w:rFonts w:cs="Times New Roman"/>
        </w:rPr>
        <w:t>the remedies</w:t>
      </w:r>
      <w:r>
        <w:rPr>
          <w:rFonts w:cs="Times New Roman"/>
        </w:rPr>
        <w:t xml:space="preserve"> ordered </w:t>
      </w:r>
      <w:r w:rsidRPr="00C43D8C">
        <w:rPr>
          <w:rFonts w:cs="Times New Roman"/>
        </w:rPr>
        <w:t>may vary according to the degree of prejudice. A high degree o</w:t>
      </w:r>
      <w:r>
        <w:rPr>
          <w:rFonts w:cs="Times New Roman"/>
        </w:rPr>
        <w:t xml:space="preserve">f prejudice may justify a stay. </w:t>
      </w:r>
      <w:r w:rsidRPr="00C43D8C">
        <w:rPr>
          <w:rFonts w:cs="Times New Roman"/>
        </w:rPr>
        <w:t>Lesser, but nevertheless significant prejudice, could</w:t>
      </w:r>
      <w:r>
        <w:rPr>
          <w:rFonts w:cs="Times New Roman"/>
        </w:rPr>
        <w:t xml:space="preserve"> </w:t>
      </w:r>
      <w:r w:rsidRPr="00C43D8C">
        <w:rPr>
          <w:rFonts w:cs="Times New Roman"/>
        </w:rPr>
        <w:t>justify other remedies. In such cases, the public interest can be properly served by continuation of the proceedings, while the applicant receives some compensation for the abuse that he or she suffered.</w:t>
      </w:r>
    </w:p>
    <w:p w14:paraId="1638C2A1" w14:textId="77777777" w:rsidR="00F04D37" w:rsidRPr="00C43D8C" w:rsidRDefault="00F04D37" w:rsidP="00F04D37">
      <w:pPr>
        <w:pStyle w:val="ParaNoNdepar-AltN"/>
        <w:rPr>
          <w:rFonts w:cs="Times New Roman"/>
        </w:rPr>
      </w:pPr>
      <w:r w:rsidRPr="00C43D8C">
        <w:rPr>
          <w:rFonts w:cs="Times New Roman"/>
        </w:rPr>
        <w:t xml:space="preserve">In the context of a disciplinary tribunal, I will address two further remedies: a reduction in sanction and/or costs. </w:t>
      </w:r>
    </w:p>
    <w:p w14:paraId="1A8F4D38" w14:textId="77777777" w:rsidR="00F04D37" w:rsidRPr="00C43D8C" w:rsidRDefault="00F04D37" w:rsidP="00F04D37">
      <w:pPr>
        <w:pStyle w:val="Title4LevelTitre4Niveau"/>
        <w:rPr>
          <w:rFonts w:cs="Times New Roman"/>
        </w:rPr>
      </w:pPr>
      <w:r w:rsidRPr="00C43D8C">
        <w:rPr>
          <w:rFonts w:cs="Times New Roman"/>
        </w:rPr>
        <w:t>Reduction in Sanction</w:t>
      </w:r>
    </w:p>
    <w:p w14:paraId="06920FB3" w14:textId="77777777" w:rsidR="00F04D37" w:rsidRPr="00C43D8C" w:rsidRDefault="00F04D37" w:rsidP="00F04D37">
      <w:pPr>
        <w:pStyle w:val="ParaNoNdepar-AltN"/>
        <w:rPr>
          <w:rFonts w:cs="Times New Roman"/>
        </w:rPr>
      </w:pPr>
      <w:r w:rsidRPr="00C43D8C">
        <w:rPr>
          <w:rFonts w:cs="Times New Roman"/>
        </w:rPr>
        <w:t xml:space="preserve">When a member is found guilty of professional misconduct, the tribunal must determine the appropriate sanction. </w:t>
      </w:r>
    </w:p>
    <w:p w14:paraId="2C70FBE7" w14:textId="77777777" w:rsidR="00F04D37" w:rsidRPr="00C43D8C" w:rsidRDefault="00F04D37" w:rsidP="00F04D37">
      <w:pPr>
        <w:pStyle w:val="ParaNoNdepar-AltN"/>
        <w:rPr>
          <w:rFonts w:cs="Times New Roman"/>
        </w:rPr>
      </w:pPr>
      <w:r w:rsidRPr="00C43D8C">
        <w:rPr>
          <w:rFonts w:cs="Times New Roman"/>
        </w:rPr>
        <w:t>As noted, the Law Society’s disciplinary process has as its purposes the protection of the public, regulation of the profession and preservation of public confidence in the legal profession. These purposes are relevant to deciding the sanction to be imposed.</w:t>
      </w:r>
    </w:p>
    <w:p w14:paraId="057C9767" w14:textId="77777777" w:rsidR="00F04D37" w:rsidRPr="00C43D8C" w:rsidRDefault="00F04D37" w:rsidP="00F04D37">
      <w:pPr>
        <w:pStyle w:val="ParaNoNdepar-AltN"/>
        <w:rPr>
          <w:rFonts w:cs="Times New Roman"/>
        </w:rPr>
      </w:pPr>
      <w:r w:rsidRPr="00C43D8C">
        <w:rPr>
          <w:rFonts w:cs="Times New Roman"/>
        </w:rPr>
        <w:t xml:space="preserve">A wide range of penalties is possible, from a reprimand to a lifetime revocation of a licence to practice. Various factors, including the presence of an abuse of process, can be considered when determining the appropriate sanction (see </w:t>
      </w:r>
      <w:r w:rsidRPr="00C43D8C">
        <w:rPr>
          <w:rFonts w:cs="Times New Roman"/>
        </w:rPr>
        <w:lastRenderedPageBreak/>
        <w:t>J.</w:t>
      </w:r>
      <w:r>
        <w:rPr>
          <w:rFonts w:cs="Times New Roman"/>
        </w:rPr>
        <w:t> </w:t>
      </w:r>
      <w:r w:rsidRPr="00C43D8C">
        <w:rPr>
          <w:rFonts w:cs="Times New Roman"/>
        </w:rPr>
        <w:t>T.</w:t>
      </w:r>
      <w:r>
        <w:rPr>
          <w:rFonts w:cs="Times New Roman"/>
        </w:rPr>
        <w:t> </w:t>
      </w:r>
      <w:r w:rsidRPr="00C43D8C">
        <w:rPr>
          <w:rFonts w:cs="Times New Roman"/>
        </w:rPr>
        <w:t xml:space="preserve">Casey, </w:t>
      </w:r>
      <w:r w:rsidRPr="00C43D8C">
        <w:rPr>
          <w:rFonts w:cs="Times New Roman"/>
          <w:i/>
        </w:rPr>
        <w:t>The Regulation of Professions in Canada</w:t>
      </w:r>
      <w:r w:rsidRPr="00C43D8C">
        <w:rPr>
          <w:rFonts w:cs="Times New Roman"/>
        </w:rPr>
        <w:t xml:space="preserve"> (loose-leaf), at §</w:t>
      </w:r>
      <w:r>
        <w:rPr>
          <w:rFonts w:cs="Times New Roman"/>
        </w:rPr>
        <w:t> </w:t>
      </w:r>
      <w:r w:rsidRPr="00C43D8C">
        <w:rPr>
          <w:rFonts w:cs="Times New Roman"/>
          <w:lang w:val="en-US"/>
        </w:rPr>
        <w:t>14:3; J.</w:t>
      </w:r>
      <w:r>
        <w:rPr>
          <w:rFonts w:cs="Times New Roman"/>
          <w:lang w:val="en-US"/>
        </w:rPr>
        <w:t xml:space="preserve">  </w:t>
      </w:r>
      <w:r w:rsidRPr="001417AD">
        <w:rPr>
          <w:rFonts w:cs="Times New Roman"/>
          <w:lang w:val="fr-CA"/>
        </w:rPr>
        <w:t xml:space="preserve">G. Villeneuve et </w:t>
      </w:r>
      <w:proofErr w:type="gramStart"/>
      <w:r w:rsidRPr="001417AD">
        <w:rPr>
          <w:rFonts w:cs="Times New Roman"/>
          <w:lang w:val="fr-CA"/>
        </w:rPr>
        <w:t>al.,</w:t>
      </w:r>
      <w:proofErr w:type="gramEnd"/>
      <w:r w:rsidRPr="001417AD">
        <w:rPr>
          <w:rFonts w:cs="Times New Roman"/>
          <w:lang w:val="fr-CA"/>
        </w:rPr>
        <w:t xml:space="preserve"> </w:t>
      </w:r>
      <w:r w:rsidRPr="001417AD">
        <w:rPr>
          <w:rFonts w:cs="Times New Roman"/>
          <w:i/>
          <w:lang w:val="fr-CA"/>
        </w:rPr>
        <w:t>Précis de droit professionnel</w:t>
      </w:r>
      <w:r w:rsidRPr="001417AD">
        <w:rPr>
          <w:rFonts w:cs="Times New Roman"/>
          <w:lang w:val="fr-CA"/>
        </w:rPr>
        <w:t xml:space="preserve"> (2007), at pp. 246-49; MacKenzie, </w:t>
      </w:r>
      <w:r w:rsidRPr="001417AD">
        <w:rPr>
          <w:rFonts w:cs="Times New Roman"/>
          <w:iCs/>
          <w:lang w:val="fr-CA"/>
        </w:rPr>
        <w:t xml:space="preserve">at </w:t>
      </w:r>
      <w:r w:rsidRPr="001417AD">
        <w:rPr>
          <w:rFonts w:cs="Times New Roman"/>
          <w:lang w:val="fr-CA"/>
        </w:rPr>
        <w:t>§</w:t>
      </w:r>
      <w:r>
        <w:rPr>
          <w:rFonts w:cs="Times New Roman"/>
          <w:lang w:val="fr-CA"/>
        </w:rPr>
        <w:t> </w:t>
      </w:r>
      <w:r w:rsidRPr="001417AD">
        <w:rPr>
          <w:rFonts w:cs="Times New Roman"/>
          <w:iCs/>
          <w:lang w:val="fr-CA"/>
        </w:rPr>
        <w:t>26:18</w:t>
      </w:r>
      <w:r w:rsidRPr="001417AD">
        <w:rPr>
          <w:rFonts w:cs="Times New Roman"/>
          <w:lang w:val="fr-CA"/>
        </w:rPr>
        <w:t xml:space="preserve">). </w:t>
      </w:r>
      <w:r w:rsidRPr="00C43D8C">
        <w:rPr>
          <w:rFonts w:cs="Times New Roman"/>
        </w:rPr>
        <w:t xml:space="preserve">Since </w:t>
      </w:r>
      <w:r w:rsidRPr="00C43D8C">
        <w:rPr>
          <w:rFonts w:cs="Times New Roman"/>
          <w:i/>
        </w:rPr>
        <w:t>Blencoe</w:t>
      </w:r>
      <w:r w:rsidRPr="00C43D8C">
        <w:rPr>
          <w:rFonts w:cs="Times New Roman"/>
        </w:rPr>
        <w:t>, numerous tribunals and courts have taken abuse of process into account as an attenuating factor in deciding an appropriate sanction.</w:t>
      </w:r>
    </w:p>
    <w:p w14:paraId="17C8ECAA" w14:textId="77777777" w:rsidR="00F04D37" w:rsidRPr="00C43D8C" w:rsidRDefault="00F04D37" w:rsidP="00F04D37">
      <w:pPr>
        <w:pStyle w:val="ParaNoNdepar-AltN"/>
        <w:rPr>
          <w:rFonts w:cs="Times New Roman"/>
        </w:rPr>
      </w:pPr>
      <w:proofErr w:type="spellStart"/>
      <w:r w:rsidRPr="00C43D8C">
        <w:rPr>
          <w:rFonts w:cs="Times New Roman"/>
          <w:i/>
          <w:lang w:val="en-US"/>
        </w:rPr>
        <w:t>Wachtler</w:t>
      </w:r>
      <w:proofErr w:type="spellEnd"/>
      <w:r w:rsidRPr="00C43D8C">
        <w:rPr>
          <w:rFonts w:cs="Times New Roman"/>
          <w:i/>
          <w:lang w:val="en-US"/>
        </w:rPr>
        <w:t xml:space="preserve"> </w:t>
      </w:r>
      <w:r w:rsidRPr="00C43D8C">
        <w:rPr>
          <w:rFonts w:cs="Times New Roman"/>
        </w:rPr>
        <w:t>provides an example of how delay can be a factor in determining what disciplinary sanctions should be imposed. The Court of Appeal reduced the member’s penalty given the length of the proceedings. The member had received a penalty including a three-month suspension and a costs award against him following disciplinary proceedings by the College of Physicians and Surgeons: paras.</w:t>
      </w:r>
      <w:r>
        <w:rPr>
          <w:rFonts w:cs="Times New Roman"/>
        </w:rPr>
        <w:t> </w:t>
      </w:r>
      <w:r w:rsidRPr="00C43D8C">
        <w:rPr>
          <w:rFonts w:cs="Times New Roman"/>
        </w:rPr>
        <w:t>9-10. The Court of Appeal found that the College had failed to properly consider the lengthy delay in the case. The Court of Appeal concluded that although the member had shown that he suffered some prejudice, he was unable to demonstrate that the prejudice was such as would justify a stay: para.</w:t>
      </w:r>
      <w:r>
        <w:rPr>
          <w:rFonts w:cs="Times New Roman"/>
        </w:rPr>
        <w:t> </w:t>
      </w:r>
      <w:r w:rsidRPr="00C43D8C">
        <w:rPr>
          <w:rFonts w:cs="Times New Roman"/>
        </w:rPr>
        <w:t xml:space="preserve">36. Instead, the Court of Appeal reduced the sentence to a one-month suspension (which had already been served) and set aside the costs award: </w:t>
      </w:r>
      <w:r>
        <w:rPr>
          <w:rFonts w:cs="Times New Roman"/>
        </w:rPr>
        <w:t>paras. </w:t>
      </w:r>
      <w:r w:rsidRPr="00C43D8C">
        <w:rPr>
          <w:rFonts w:cs="Times New Roman"/>
        </w:rPr>
        <w:t>45-46 and 49.</w:t>
      </w:r>
    </w:p>
    <w:p w14:paraId="122BE99C" w14:textId="77777777" w:rsidR="00F04D37" w:rsidRPr="00C43D8C" w:rsidRDefault="00F04D37" w:rsidP="00F04D37">
      <w:pPr>
        <w:pStyle w:val="ParaNoNdepar-AltN"/>
        <w:rPr>
          <w:rFonts w:cs="Times New Roman"/>
        </w:rPr>
      </w:pPr>
      <w:r w:rsidRPr="00C43D8C">
        <w:rPr>
          <w:rFonts w:cs="Times New Roman"/>
        </w:rPr>
        <w:t xml:space="preserve">The threshold for a reduction in the sanction will be particularly high when the presumptive penalty is licence revocation. Given the gravity of the misconduct generally required for such a penalty to be imposed, setting it </w:t>
      </w:r>
      <w:r w:rsidRPr="00C43D8C">
        <w:rPr>
          <w:rFonts w:cs="Times New Roman"/>
          <w:lang w:val="en-US"/>
        </w:rPr>
        <w:t xml:space="preserve">aside might imperil </w:t>
      </w:r>
      <w:r w:rsidRPr="00C43D8C">
        <w:rPr>
          <w:rFonts w:cs="Times New Roman"/>
        </w:rPr>
        <w:t>public confidence in the administration of justice, rather than enhance it.</w:t>
      </w:r>
    </w:p>
    <w:p w14:paraId="39ADD3D3" w14:textId="77777777" w:rsidR="00F04D37" w:rsidRPr="00C43D8C" w:rsidRDefault="00F04D37" w:rsidP="00F04D37">
      <w:pPr>
        <w:pStyle w:val="ParaNoNdepar-AltN"/>
        <w:rPr>
          <w:rFonts w:cs="Times New Roman"/>
          <w:lang w:val="en-US"/>
        </w:rPr>
      </w:pPr>
      <w:r w:rsidRPr="00C43D8C">
        <w:rPr>
          <w:rFonts w:cs="Times New Roman"/>
        </w:rPr>
        <w:t xml:space="preserve">For example, in </w:t>
      </w:r>
      <w:r w:rsidRPr="00C43D8C">
        <w:rPr>
          <w:rFonts w:cs="Times New Roman"/>
          <w:i/>
        </w:rPr>
        <w:t>Abbott</w:t>
      </w:r>
      <w:r w:rsidRPr="00C43D8C">
        <w:rPr>
          <w:rFonts w:cs="Times New Roman"/>
        </w:rPr>
        <w:t>, the Court of Appeal dealt with a lawyer who had engaged in professional misconduct where l</w:t>
      </w:r>
      <w:proofErr w:type="spellStart"/>
      <w:r w:rsidRPr="00C43D8C">
        <w:rPr>
          <w:rFonts w:cs="Times New Roman"/>
          <w:lang w:val="en-US"/>
        </w:rPr>
        <w:t>icence</w:t>
      </w:r>
      <w:proofErr w:type="spellEnd"/>
      <w:r w:rsidRPr="00C43D8C">
        <w:rPr>
          <w:rFonts w:cs="Times New Roman"/>
          <w:lang w:val="en-US"/>
        </w:rPr>
        <w:t xml:space="preserve"> revocation was the presumptive </w:t>
      </w:r>
      <w:r w:rsidRPr="00C43D8C">
        <w:rPr>
          <w:rFonts w:cs="Times New Roman"/>
          <w:lang w:val="en-US"/>
        </w:rPr>
        <w:lastRenderedPageBreak/>
        <w:t>penalty, as he had knowingly partic</w:t>
      </w:r>
      <w:r>
        <w:rPr>
          <w:rFonts w:cs="Times New Roman"/>
          <w:lang w:val="en-US"/>
        </w:rPr>
        <w:t>ipated in mortgage fraud: para. </w:t>
      </w:r>
      <w:r w:rsidRPr="00C43D8C">
        <w:rPr>
          <w:rFonts w:cs="Times New Roman"/>
          <w:lang w:val="en-US"/>
        </w:rPr>
        <w:t xml:space="preserve">17. The Hearing Division of the Law Society Tribunal revoked the lawyer’s licence to practice. Given the lengthy delay in the proceedings, the Appeal Division of the Law Society Tribunal reversed this decision, set aside the penalty of licence revocation and substituted a two-year suspension. The Divisional Court dismissed the appeal from the Appeal Division. The Court of Appeal allowed the appeal and reinstated the penalty of licence revocation: see </w:t>
      </w:r>
      <w:r>
        <w:rPr>
          <w:rFonts w:cs="Times New Roman"/>
          <w:lang w:val="en-US"/>
        </w:rPr>
        <w:t>paras. </w:t>
      </w:r>
      <w:r w:rsidRPr="00C43D8C">
        <w:rPr>
          <w:rFonts w:cs="Times New Roman"/>
          <w:lang w:val="en-US"/>
        </w:rPr>
        <w:t xml:space="preserve">88-90 and 98. </w:t>
      </w:r>
    </w:p>
    <w:p w14:paraId="5CA40A6F" w14:textId="77777777" w:rsidR="00F04D37" w:rsidRPr="00C43D8C" w:rsidRDefault="00F04D37" w:rsidP="00F04D37">
      <w:pPr>
        <w:pStyle w:val="ParaNoNdepar-AltN"/>
        <w:rPr>
          <w:rFonts w:cs="Times New Roman"/>
          <w:lang w:val="en-US"/>
        </w:rPr>
      </w:pPr>
      <w:r w:rsidRPr="00C43D8C">
        <w:rPr>
          <w:rFonts w:cs="Times New Roman"/>
          <w:lang w:val="en-US"/>
        </w:rPr>
        <w:t xml:space="preserve">As noted, abuse of process can be viewed on a spectrum. To convert a presumptive licence revocation into a lesser penalty requires a significant abuse of process, one </w:t>
      </w:r>
      <w:r w:rsidRPr="00C43D8C">
        <w:rPr>
          <w:rFonts w:cs="Times New Roman"/>
        </w:rPr>
        <w:t>at the high end of the spectrum</w:t>
      </w:r>
      <w:r w:rsidRPr="00C43D8C">
        <w:rPr>
          <w:rFonts w:cs="Times New Roman"/>
          <w:lang w:val="en-US"/>
        </w:rPr>
        <w:t xml:space="preserve">. Moreover, under no circumstances should the adjustment of the penalty undermine the purposes of the disciplinary process, notably the </w:t>
      </w:r>
      <w:r w:rsidRPr="00C43D8C">
        <w:rPr>
          <w:rFonts w:cs="Times New Roman"/>
        </w:rPr>
        <w:t xml:space="preserve">protection of the public and its confidence in the administration of justice. </w:t>
      </w:r>
      <w:r w:rsidRPr="00C43D8C">
        <w:rPr>
          <w:rFonts w:cs="Times New Roman"/>
          <w:szCs w:val="24"/>
        </w:rPr>
        <w:t xml:space="preserve">For these reasons, a remedy that substitutes a licence revocation for a lesser penalty will generally be as difficult to receive as a stay. Both may equally undermine a professional body’s responsibility to regulate the profession.  </w:t>
      </w:r>
    </w:p>
    <w:p w14:paraId="1C313ACA" w14:textId="77777777" w:rsidR="00F04D37" w:rsidRPr="00C43D8C" w:rsidRDefault="00F04D37" w:rsidP="00F04D37">
      <w:pPr>
        <w:pStyle w:val="Title4LevelTitre4Niveau"/>
        <w:rPr>
          <w:rFonts w:cs="Times New Roman"/>
        </w:rPr>
      </w:pPr>
      <w:r w:rsidRPr="00C43D8C">
        <w:rPr>
          <w:rFonts w:cs="Times New Roman"/>
        </w:rPr>
        <w:t xml:space="preserve">Costs </w:t>
      </w:r>
    </w:p>
    <w:p w14:paraId="27A91187" w14:textId="77777777" w:rsidR="00F04D37" w:rsidRPr="00C43D8C" w:rsidRDefault="00F04D37" w:rsidP="00F04D37">
      <w:pPr>
        <w:pStyle w:val="ParaNoNdepar-AltN"/>
        <w:rPr>
          <w:rFonts w:cs="Times New Roman"/>
        </w:rPr>
      </w:pPr>
      <w:r w:rsidRPr="00C43D8C">
        <w:rPr>
          <w:rFonts w:cs="Times New Roman"/>
        </w:rPr>
        <w:t xml:space="preserve">Courts faced with applications for review of administrative delay have the discretion to set aside an order of costs against a party or to order costs against the administrative agency. This can be done in the exercise of the court’s discretion relating to costs. As </w:t>
      </w:r>
      <w:r w:rsidRPr="00C43D8C">
        <w:rPr>
          <w:rFonts w:cs="Times New Roman"/>
          <w:i/>
        </w:rPr>
        <w:t>Blencoe</w:t>
      </w:r>
      <w:r w:rsidRPr="00C43D8C">
        <w:rPr>
          <w:rFonts w:cs="Times New Roman"/>
        </w:rPr>
        <w:t xml:space="preserve"> illustrates, even where inordinate delay does not amount to abuse of process, it may still justify an award of costs aga</w:t>
      </w:r>
      <w:r>
        <w:rPr>
          <w:rFonts w:cs="Times New Roman"/>
        </w:rPr>
        <w:t>inst the agency: para. </w:t>
      </w:r>
      <w:r w:rsidRPr="00C43D8C">
        <w:rPr>
          <w:rFonts w:cs="Times New Roman"/>
        </w:rPr>
        <w:t>136.</w:t>
      </w:r>
    </w:p>
    <w:p w14:paraId="1C124016" w14:textId="77777777" w:rsidR="00F04D37" w:rsidRPr="00C43D8C" w:rsidRDefault="00F04D37" w:rsidP="00F04D37">
      <w:pPr>
        <w:pStyle w:val="Title3LevelTitre3Niveau"/>
        <w:rPr>
          <w:rFonts w:cs="Times New Roman"/>
        </w:rPr>
      </w:pPr>
      <w:r w:rsidRPr="00C43D8C">
        <w:rPr>
          <w:rFonts w:cs="Times New Roman"/>
        </w:rPr>
        <w:lastRenderedPageBreak/>
        <w:t>Conclusion</w:t>
      </w:r>
    </w:p>
    <w:p w14:paraId="03314FE2" w14:textId="77777777" w:rsidR="00F04D37" w:rsidRPr="00C43D8C" w:rsidRDefault="00F04D37" w:rsidP="00F04D37">
      <w:pPr>
        <w:pStyle w:val="ParaNoNdepar-AltN"/>
        <w:rPr>
          <w:rFonts w:cs="Times New Roman"/>
        </w:rPr>
      </w:pPr>
      <w:r w:rsidRPr="00C43D8C">
        <w:rPr>
          <w:rFonts w:cs="Times New Roman"/>
        </w:rPr>
        <w:t xml:space="preserve">A stay of proceedings, a reduction in sanction, or variation of an award of costs are possible remedies. This is not an exhaustive list. Various tribunals may be empowered by their enabling statutes to grant other remedies. They should not hesitate to use such tools to combat inordinate delay amounting to an abuse of process.  </w:t>
      </w:r>
    </w:p>
    <w:p w14:paraId="15D233F2" w14:textId="77777777" w:rsidR="00F04D37" w:rsidRPr="00C43D8C" w:rsidRDefault="00F04D37" w:rsidP="00F04D37">
      <w:pPr>
        <w:pStyle w:val="Title1LevelTitre1Niveau-AltL"/>
        <w:rPr>
          <w:rFonts w:cs="Times New Roman"/>
        </w:rPr>
      </w:pPr>
      <w:r w:rsidRPr="00C43D8C">
        <w:rPr>
          <w:rFonts w:cs="Times New Roman"/>
        </w:rPr>
        <w:t>Summary</w:t>
      </w:r>
    </w:p>
    <w:p w14:paraId="3C1F9027" w14:textId="77777777" w:rsidR="00F04D37" w:rsidRPr="00C43D8C" w:rsidRDefault="00F04D37" w:rsidP="00F04D37">
      <w:pPr>
        <w:pStyle w:val="ParaNoNdepar-AltN"/>
        <w:rPr>
          <w:rFonts w:cs="Times New Roman"/>
        </w:rPr>
      </w:pPr>
      <w:r w:rsidRPr="00C43D8C">
        <w:rPr>
          <w:rFonts w:cs="Times New Roman"/>
        </w:rPr>
        <w:t xml:space="preserve">Where delay has not affected the fairness of a hearing, the test to determine if the delay amounts to an abuse of process has three steps: </w:t>
      </w:r>
    </w:p>
    <w:p w14:paraId="21E9EC5B" w14:textId="77777777" w:rsidR="00F04D37" w:rsidRPr="00C43D8C" w:rsidRDefault="00F04D37" w:rsidP="00F04D37">
      <w:pPr>
        <w:pStyle w:val="ParaNoNdepar-AltN"/>
        <w:numPr>
          <w:ilvl w:val="0"/>
          <w:numId w:val="14"/>
        </w:numPr>
        <w:ind w:left="1800" w:hanging="630"/>
        <w:rPr>
          <w:rFonts w:cs="Times New Roman"/>
        </w:rPr>
      </w:pPr>
      <w:r w:rsidRPr="00C43D8C">
        <w:rPr>
          <w:rFonts w:cs="Times New Roman"/>
        </w:rPr>
        <w:t>First, the delay must be inordinate. This is determined on an assessment of the context overall, including the nature and purpose of the proceedings, the length and causes of the delay, and the complexity of the facts and issues in the case; and</w:t>
      </w:r>
    </w:p>
    <w:p w14:paraId="261D1DC7" w14:textId="77777777" w:rsidR="00F04D37" w:rsidRPr="00C43D8C" w:rsidRDefault="00F04D37" w:rsidP="00F04D37">
      <w:pPr>
        <w:pStyle w:val="ParaNoNdepar-AltN"/>
        <w:numPr>
          <w:ilvl w:val="0"/>
          <w:numId w:val="14"/>
        </w:numPr>
        <w:ind w:left="1800" w:hanging="630"/>
        <w:rPr>
          <w:rFonts w:cs="Times New Roman"/>
        </w:rPr>
      </w:pPr>
      <w:r w:rsidRPr="00C43D8C">
        <w:rPr>
          <w:rFonts w:cs="Times New Roman"/>
        </w:rPr>
        <w:t>Second, the delay itself must have caused significant prejudice;</w:t>
      </w:r>
    </w:p>
    <w:p w14:paraId="460C100B" w14:textId="77777777" w:rsidR="00F04D37" w:rsidRPr="00C43D8C" w:rsidRDefault="00F04D37" w:rsidP="00F04D37">
      <w:pPr>
        <w:pStyle w:val="ParaNoNdepar-AltN"/>
        <w:numPr>
          <w:ilvl w:val="0"/>
          <w:numId w:val="14"/>
        </w:numPr>
        <w:ind w:left="1800" w:hanging="630"/>
        <w:rPr>
          <w:rFonts w:cs="Times New Roman"/>
        </w:rPr>
      </w:pPr>
      <w:r w:rsidRPr="00C43D8C">
        <w:rPr>
          <w:rFonts w:cs="Times New Roman"/>
        </w:rPr>
        <w:t>When these two requirements are met, the court or tribunal should conduct a final assessment as to whether abuse of process is established. This will be so when the delay is manifestly unfair to a party to the litigation or in some other way brings the administration of justice into disrepute.</w:t>
      </w:r>
    </w:p>
    <w:p w14:paraId="57D04B0A" w14:textId="77777777" w:rsidR="00F04D37" w:rsidRPr="00C43D8C" w:rsidRDefault="00F04D37" w:rsidP="00F04D37">
      <w:pPr>
        <w:pStyle w:val="ParaNoNdepar-AltN"/>
        <w:rPr>
          <w:rFonts w:cs="Times New Roman"/>
        </w:rPr>
      </w:pPr>
      <w:r w:rsidRPr="00C43D8C">
        <w:rPr>
          <w:rFonts w:cs="Times New Roman"/>
        </w:rPr>
        <w:lastRenderedPageBreak/>
        <w:t xml:space="preserve">When an abuse of process is found, various remedies are available. In rare cases, </w:t>
      </w:r>
      <w:r w:rsidRPr="00C43D8C">
        <w:rPr>
          <w:rFonts w:cs="Times New Roman"/>
          <w:szCs w:val="24"/>
        </w:rPr>
        <w:t xml:space="preserve">where going ahead with the proceeding results in more harm to the public interest than if the proceedings were halted, </w:t>
      </w:r>
      <w:r w:rsidRPr="00C43D8C">
        <w:rPr>
          <w:rFonts w:cs="Times New Roman"/>
        </w:rPr>
        <w:t>a permanent stay of proceedings will be justified. When this threshold is not met, other remedies exist, including reduction of sanction and a variation in any award of costs.</w:t>
      </w:r>
    </w:p>
    <w:p w14:paraId="6CDB9EB0" w14:textId="77777777" w:rsidR="00F04D37" w:rsidRPr="00C43D8C" w:rsidRDefault="00F04D37" w:rsidP="00F04D37">
      <w:pPr>
        <w:pStyle w:val="Title1LevelTitre1Niveau-AltL"/>
        <w:rPr>
          <w:rFonts w:cs="Times New Roman"/>
        </w:rPr>
      </w:pPr>
      <w:r w:rsidRPr="00C43D8C">
        <w:rPr>
          <w:rFonts w:cs="Times New Roman"/>
        </w:rPr>
        <w:t>Application to the Present Case</w:t>
      </w:r>
    </w:p>
    <w:p w14:paraId="4063C0E5" w14:textId="77777777" w:rsidR="00F04D37" w:rsidRPr="00C43D8C" w:rsidRDefault="00F04D37" w:rsidP="00F04D37">
      <w:pPr>
        <w:pStyle w:val="ParaNoNdepar-AltN"/>
        <w:rPr>
          <w:rFonts w:cs="Times New Roman"/>
        </w:rPr>
      </w:pPr>
      <w:r w:rsidRPr="00C43D8C">
        <w:rPr>
          <w:rFonts w:cs="Times New Roman"/>
        </w:rPr>
        <w:t>The Hearing Committee found that the delay did not amount to an abuse of process given the complexity of the case, the scale of the investigation and the delay that coul</w:t>
      </w:r>
      <w:r>
        <w:rPr>
          <w:rFonts w:cs="Times New Roman"/>
        </w:rPr>
        <w:t>d be attributed directly to Mr. </w:t>
      </w:r>
      <w:r w:rsidRPr="00C43D8C">
        <w:rPr>
          <w:rFonts w:cs="Times New Roman"/>
        </w:rPr>
        <w:t>Abrametz’s conduct. The Hearing Committee also concluded th</w:t>
      </w:r>
      <w:r>
        <w:rPr>
          <w:rFonts w:cs="Times New Roman"/>
        </w:rPr>
        <w:t>at Mr. </w:t>
      </w:r>
      <w:r w:rsidRPr="00C43D8C">
        <w:rPr>
          <w:rFonts w:cs="Times New Roman"/>
        </w:rPr>
        <w:t xml:space="preserve">Abrametz failed to demonstrate that he suffered significant prejudice from the delay. </w:t>
      </w:r>
    </w:p>
    <w:p w14:paraId="4DEBEDE1" w14:textId="77777777" w:rsidR="00F04D37" w:rsidRPr="00C43D8C" w:rsidRDefault="00F04D37" w:rsidP="00F04D37">
      <w:pPr>
        <w:pStyle w:val="ParaNoNdepar-AltN"/>
        <w:rPr>
          <w:rFonts w:cs="Times New Roman"/>
        </w:rPr>
      </w:pPr>
      <w:r w:rsidRPr="00C43D8C">
        <w:rPr>
          <w:rFonts w:cs="Times New Roman"/>
        </w:rPr>
        <w:t xml:space="preserve">The Court of Appeal substituted its own views with respect to the foregoing, and concluded that there had been an abuse of process such that a stay was warranted. </w:t>
      </w:r>
    </w:p>
    <w:p w14:paraId="6F119EA9" w14:textId="77777777" w:rsidR="00F04D37" w:rsidRPr="00C43D8C" w:rsidRDefault="00F04D37" w:rsidP="00F04D37">
      <w:pPr>
        <w:pStyle w:val="ParaNoNdepar-AltN"/>
        <w:rPr>
          <w:rFonts w:cs="Times New Roman"/>
        </w:rPr>
      </w:pPr>
      <w:r w:rsidRPr="00C43D8C">
        <w:rPr>
          <w:rFonts w:cs="Times New Roman"/>
        </w:rPr>
        <w:t>The Court of Appeal did not err in identifying the applicable</w:t>
      </w:r>
      <w:r>
        <w:rPr>
          <w:rFonts w:cs="Times New Roman"/>
        </w:rPr>
        <w:t xml:space="preserve"> standard of review: paras. </w:t>
      </w:r>
      <w:r w:rsidRPr="00C43D8C">
        <w:rPr>
          <w:rFonts w:cs="Times New Roman"/>
        </w:rPr>
        <w:t xml:space="preserve">71-75. However, it failed to apply it properly. Deference should have been accorded to the Hearing Committee as to its findings of fact and of mixed fact and law. It was not. Instead, the Court of Appeal made its own findings of fact. With respect, this was not open to them. </w:t>
      </w:r>
    </w:p>
    <w:p w14:paraId="1200B601" w14:textId="77777777" w:rsidR="00F04D37" w:rsidRPr="00C43D8C" w:rsidRDefault="00F04D37" w:rsidP="00F04D37">
      <w:pPr>
        <w:pStyle w:val="ParaNoNdepar-AltN"/>
        <w:rPr>
          <w:rFonts w:cs="Times New Roman"/>
        </w:rPr>
      </w:pPr>
      <w:r w:rsidRPr="00C43D8C">
        <w:rPr>
          <w:rFonts w:cs="Times New Roman"/>
        </w:rPr>
        <w:lastRenderedPageBreak/>
        <w:t>Regarding the remedy, the Court of Appeal purported to stay the proceedings; however, while it set aside the penalty and costs award imposed by the penalty decision, it allowed the findings of professional misconduct to stand: para.</w:t>
      </w:r>
      <w:r>
        <w:rPr>
          <w:rFonts w:cs="Times New Roman"/>
        </w:rPr>
        <w:t> </w:t>
      </w:r>
      <w:r w:rsidRPr="00C43D8C">
        <w:rPr>
          <w:rFonts w:cs="Times New Roman"/>
        </w:rPr>
        <w:t>217. This unusual result is more akin to a reduction in sanction, rather than a stay. Nonetheless, such an order could only have been made if there was an abuse of process in Mr.</w:t>
      </w:r>
      <w:r>
        <w:rPr>
          <w:rFonts w:cs="Times New Roman"/>
        </w:rPr>
        <w:t> </w:t>
      </w:r>
      <w:r w:rsidRPr="00C43D8C">
        <w:rPr>
          <w:rFonts w:cs="Times New Roman"/>
        </w:rPr>
        <w:t xml:space="preserve">Abrametz’s case. The three-step test I have previously described to determine if delay amounts to an abuse of process applies. As I will explain, none of the requirements were met. </w:t>
      </w:r>
    </w:p>
    <w:p w14:paraId="4052FA89" w14:textId="77777777" w:rsidR="00F04D37" w:rsidRPr="00C43D8C" w:rsidRDefault="00F04D37" w:rsidP="00F04D37">
      <w:pPr>
        <w:pStyle w:val="Title2LevelTitre2Niveau"/>
        <w:ind w:left="567"/>
        <w:rPr>
          <w:rFonts w:cs="Times New Roman"/>
        </w:rPr>
      </w:pPr>
      <w:r w:rsidRPr="00C43D8C">
        <w:rPr>
          <w:rFonts w:cs="Times New Roman"/>
        </w:rPr>
        <w:t>The Delay Was Long, But Not Inordinate</w:t>
      </w:r>
    </w:p>
    <w:p w14:paraId="4A62401F" w14:textId="77777777" w:rsidR="00F04D37" w:rsidRPr="00C43D8C" w:rsidRDefault="00F04D37" w:rsidP="00F04D37">
      <w:pPr>
        <w:pStyle w:val="ParaNoNdepar-AltN"/>
        <w:rPr>
          <w:rFonts w:cs="Times New Roman"/>
        </w:rPr>
      </w:pPr>
      <w:r w:rsidRPr="00C43D8C">
        <w:rPr>
          <w:rFonts w:cs="Times New Roman"/>
        </w:rPr>
        <w:t>The audit started on December 4, 2012. The Hearing Committee heard the disciplinary matter between May and September of 2017, and rendered the conduct decision on January 10, 2018. Mr. Abrametz applied for a stay of proceedings on July 13, 2018, that is after the conduct decision, but before the Penalty Hearing was scheduled. The Penalty Hearing took place on September 18, 2018. In the same hearing, the Hearing Committee dealt with the application for a stay. The stay decision was rendered on November 9, 2018.</w:t>
      </w:r>
    </w:p>
    <w:p w14:paraId="3642C3BF" w14:textId="77777777" w:rsidR="00F04D37" w:rsidRPr="00C43D8C" w:rsidRDefault="00F04D37" w:rsidP="00F04D37">
      <w:pPr>
        <w:pStyle w:val="ParaNoNdepar-AltN"/>
        <w:rPr>
          <w:rFonts w:cs="Times New Roman"/>
        </w:rPr>
      </w:pPr>
      <w:r w:rsidRPr="00C43D8C">
        <w:rPr>
          <w:rFonts w:cs="Times New Roman"/>
        </w:rPr>
        <w:t xml:space="preserve">From the start of the audit in December 4, 2012, to the stay decision, on November 9, 2018, about 71 months passed. This delay gives rise to serious concern. However, considered contextually, the delay was not inordinate. </w:t>
      </w:r>
    </w:p>
    <w:p w14:paraId="3A5C521A" w14:textId="77777777" w:rsidR="00F04D37" w:rsidRPr="00C43D8C" w:rsidRDefault="00F04D37" w:rsidP="00F04D37">
      <w:pPr>
        <w:pStyle w:val="ParaNoNdepar-AltN"/>
        <w:rPr>
          <w:rFonts w:cs="Times New Roman"/>
        </w:rPr>
      </w:pPr>
      <w:r w:rsidRPr="00C43D8C">
        <w:rPr>
          <w:rFonts w:cs="Times New Roman"/>
        </w:rPr>
        <w:lastRenderedPageBreak/>
        <w:t>The Hearing Committee found that the delay in preparing the report was reasonable. In so doing it had regard to the complexity of the case and the scale of the investigation: at paras.</w:t>
      </w:r>
      <w:r>
        <w:rPr>
          <w:rFonts w:cs="Times New Roman"/>
        </w:rPr>
        <w:t> </w:t>
      </w:r>
      <w:r w:rsidRPr="00C43D8C">
        <w:rPr>
          <w:rFonts w:cs="Times New Roman"/>
        </w:rPr>
        <w:t>357 and 364. Further it found that the delay was caused largely by Mr.</w:t>
      </w:r>
      <w:r>
        <w:rPr>
          <w:rFonts w:cs="Times New Roman"/>
        </w:rPr>
        <w:t> </w:t>
      </w:r>
      <w:r w:rsidRPr="00C43D8C">
        <w:rPr>
          <w:rFonts w:cs="Times New Roman"/>
        </w:rPr>
        <w:t>Abrametz; it noted that 14</w:t>
      </w:r>
      <w:r>
        <w:rPr>
          <w:rFonts w:cs="Times New Roman"/>
        </w:rPr>
        <w:t xml:space="preserve"> ½ </w:t>
      </w:r>
      <w:r w:rsidRPr="00C43D8C">
        <w:rPr>
          <w:rFonts w:cs="Times New Roman"/>
        </w:rPr>
        <w:t>months of delay were attributable to Mr. Abrametz or his counsel’s unavailability: para.</w:t>
      </w:r>
      <w:r>
        <w:rPr>
          <w:rFonts w:cs="Times New Roman"/>
        </w:rPr>
        <w:t> </w:t>
      </w:r>
      <w:r w:rsidRPr="00C43D8C">
        <w:rPr>
          <w:rFonts w:cs="Times New Roman"/>
        </w:rPr>
        <w:t>360. It also considered Mr. Abrametz’s application to put proceedings on hold pending a different matter before the Court of Queen’s Bench, as well as Mr.</w:t>
      </w:r>
      <w:r>
        <w:rPr>
          <w:rFonts w:cs="Times New Roman"/>
        </w:rPr>
        <w:t> </w:t>
      </w:r>
      <w:r w:rsidRPr="00C43D8C">
        <w:rPr>
          <w:rFonts w:cs="Times New Roman"/>
        </w:rPr>
        <w:t>Abrametz’s</w:t>
      </w:r>
      <w:r>
        <w:rPr>
          <w:rFonts w:cs="Times New Roman"/>
        </w:rPr>
        <w:t xml:space="preserve"> complaint against Mr. </w:t>
      </w:r>
      <w:r w:rsidRPr="00C43D8C">
        <w:rPr>
          <w:rFonts w:cs="Times New Roman"/>
        </w:rPr>
        <w:t>Huber, the Law Society’s disciplinary counsel, as contributing to delay: paras.</w:t>
      </w:r>
      <w:r>
        <w:rPr>
          <w:rFonts w:cs="Times New Roman"/>
        </w:rPr>
        <w:t> </w:t>
      </w:r>
      <w:r w:rsidRPr="00C43D8C">
        <w:rPr>
          <w:rFonts w:cs="Times New Roman"/>
        </w:rPr>
        <w:t xml:space="preserve">360-61. </w:t>
      </w:r>
    </w:p>
    <w:p w14:paraId="02C66F83" w14:textId="77777777" w:rsidR="00F04D37" w:rsidRPr="00C43D8C" w:rsidRDefault="00F04D37" w:rsidP="00F04D37">
      <w:pPr>
        <w:pStyle w:val="ParaNoNdepar-AltN"/>
        <w:rPr>
          <w:rFonts w:cs="Times New Roman"/>
        </w:rPr>
      </w:pPr>
      <w:r w:rsidRPr="00C43D8C">
        <w:rPr>
          <w:rFonts w:cs="Times New Roman"/>
        </w:rPr>
        <w:t xml:space="preserve">While the Court of Appeal acknowledged that it should defer to the Hearing Committee’s findings of fact, it proceeded to do otherwise, on the basis that the Committee has made a series of palpable and overriding errors. </w:t>
      </w:r>
    </w:p>
    <w:p w14:paraId="11B0B3AF" w14:textId="77777777" w:rsidR="00F04D37" w:rsidRPr="00C43D8C" w:rsidRDefault="00F04D37" w:rsidP="00F04D37">
      <w:pPr>
        <w:pStyle w:val="ParaNoNdepar-AltN"/>
        <w:rPr>
          <w:rFonts w:cs="Times New Roman"/>
        </w:rPr>
      </w:pPr>
      <w:r w:rsidRPr="00C43D8C">
        <w:rPr>
          <w:rFonts w:cs="Times New Roman"/>
        </w:rPr>
        <w:t>The Court of Appeal concluded that the Hearing Committee committed such errors of fact both as to the scale and complexity of the investigation. In arriving at this conclusion, the Court of Appeal reviewed in detail the evidence presented before the Hearing Committee. The court acknowledged that the auditor, Mr.</w:t>
      </w:r>
      <w:r>
        <w:rPr>
          <w:rFonts w:cs="Times New Roman"/>
        </w:rPr>
        <w:t> </w:t>
      </w:r>
      <w:r w:rsidRPr="00C43D8C">
        <w:rPr>
          <w:rFonts w:cs="Times New Roman"/>
        </w:rPr>
        <w:t>Allen, described his investigation as “considerable” and said it was “exceptionally difficult” and that he produced a final report of more than a thousand pages. However, it concluded that “volume and complexity are not the same”. It found that there is little evidence of what Mr.</w:t>
      </w:r>
      <w:r>
        <w:rPr>
          <w:rFonts w:cs="Times New Roman"/>
        </w:rPr>
        <w:t> </w:t>
      </w:r>
      <w:r w:rsidRPr="00C43D8C">
        <w:rPr>
          <w:rFonts w:cs="Times New Roman"/>
        </w:rPr>
        <w:t>Allen did during certain periods. The Court determined that Mr.</w:t>
      </w:r>
      <w:r>
        <w:rPr>
          <w:rFonts w:cs="Times New Roman"/>
        </w:rPr>
        <w:t> </w:t>
      </w:r>
      <w:r w:rsidRPr="00C43D8C">
        <w:rPr>
          <w:rFonts w:cs="Times New Roman"/>
        </w:rPr>
        <w:t>Allen should have finished his report by June 2013 based on the draft report (specifically its page count), the lack of “particulars” of what Mr.</w:t>
      </w:r>
      <w:r>
        <w:rPr>
          <w:rFonts w:cs="Times New Roman"/>
        </w:rPr>
        <w:t> </w:t>
      </w:r>
      <w:r w:rsidRPr="00C43D8C">
        <w:rPr>
          <w:rFonts w:cs="Times New Roman"/>
        </w:rPr>
        <w:t>Allen did other than complete his trust report, and Mr.</w:t>
      </w:r>
      <w:r>
        <w:rPr>
          <w:rFonts w:cs="Times New Roman"/>
        </w:rPr>
        <w:t> </w:t>
      </w:r>
      <w:r w:rsidRPr="00C43D8C">
        <w:rPr>
          <w:rFonts w:cs="Times New Roman"/>
        </w:rPr>
        <w:t>Huber’s time records: paras.</w:t>
      </w:r>
      <w:r>
        <w:rPr>
          <w:rFonts w:cs="Times New Roman"/>
        </w:rPr>
        <w:t> </w:t>
      </w:r>
      <w:r w:rsidRPr="00C43D8C">
        <w:rPr>
          <w:rFonts w:cs="Times New Roman"/>
        </w:rPr>
        <w:t>182-88.</w:t>
      </w:r>
    </w:p>
    <w:p w14:paraId="42E9F1CE" w14:textId="77777777" w:rsidR="00F04D37" w:rsidRPr="00C43D8C" w:rsidRDefault="00F04D37" w:rsidP="00F04D37">
      <w:pPr>
        <w:pStyle w:val="ParaNoNdepar-AltN"/>
        <w:rPr>
          <w:rFonts w:cs="Times New Roman"/>
        </w:rPr>
      </w:pPr>
      <w:r w:rsidRPr="00C43D8C">
        <w:rPr>
          <w:rFonts w:cs="Times New Roman"/>
        </w:rPr>
        <w:lastRenderedPageBreak/>
        <w:t xml:space="preserve">The Court of Appeal further proceeded to make its own findings by analyzing the evidence and, based on this, characterizing each time period so as to determine the time it considered to be undue delay. </w:t>
      </w:r>
    </w:p>
    <w:p w14:paraId="23EE4347" w14:textId="77777777" w:rsidR="00F04D37" w:rsidRPr="00C43D8C" w:rsidRDefault="00F04D37" w:rsidP="00F04D37">
      <w:pPr>
        <w:pStyle w:val="ParaNoNdepar-AltN"/>
        <w:rPr>
          <w:rFonts w:cs="Times New Roman"/>
        </w:rPr>
      </w:pPr>
      <w:r w:rsidRPr="00C43D8C">
        <w:rPr>
          <w:rFonts w:cs="Times New Roman"/>
        </w:rPr>
        <w:t xml:space="preserve">One must ask, under a deferential standard of review, is this what appellate courts are called on to do? The “primary role” of the Hearing Committee was “to weigh and assess voluminous quantities of evidence”: </w:t>
      </w:r>
      <w:r w:rsidRPr="00C43D8C">
        <w:rPr>
          <w:rFonts w:cs="Times New Roman"/>
          <w:i/>
        </w:rPr>
        <w:t>Housen</w:t>
      </w:r>
      <w:r w:rsidRPr="00C43D8C">
        <w:rPr>
          <w:rFonts w:cs="Times New Roman"/>
        </w:rPr>
        <w:t>, at para.</w:t>
      </w:r>
      <w:r>
        <w:rPr>
          <w:rFonts w:cs="Times New Roman"/>
        </w:rPr>
        <w:t> </w:t>
      </w:r>
      <w:r w:rsidRPr="00C43D8C">
        <w:rPr>
          <w:rFonts w:cs="Times New Roman"/>
        </w:rPr>
        <w:t>18. An appellate court is not free to interfere with factual conclusions merely because it disagrees with the weight to be assigned to the underlying evidence: para.</w:t>
      </w:r>
      <w:r>
        <w:rPr>
          <w:rFonts w:cs="Times New Roman"/>
        </w:rPr>
        <w:t> </w:t>
      </w:r>
      <w:r w:rsidRPr="00C43D8C">
        <w:rPr>
          <w:rFonts w:cs="Times New Roman"/>
        </w:rPr>
        <w:t xml:space="preserve">23; </w:t>
      </w:r>
      <w:proofErr w:type="spellStart"/>
      <w:r w:rsidRPr="00C43D8C">
        <w:rPr>
          <w:rFonts w:cs="Times New Roman"/>
          <w:i/>
        </w:rPr>
        <w:t>Benhaim</w:t>
      </w:r>
      <w:proofErr w:type="spellEnd"/>
      <w:r w:rsidRPr="00C43D8C">
        <w:rPr>
          <w:rFonts w:cs="Times New Roman"/>
          <w:i/>
        </w:rPr>
        <w:t xml:space="preserve"> v. St‑Germain</w:t>
      </w:r>
      <w:r w:rsidRPr="00C43D8C">
        <w:rPr>
          <w:rFonts w:cs="Times New Roman"/>
        </w:rPr>
        <w:t xml:space="preserve">, 2016 SCC 48, [2016] 2 S.C.R. 352; </w:t>
      </w:r>
      <w:r w:rsidRPr="00C43D8C">
        <w:rPr>
          <w:rFonts w:cs="Times New Roman"/>
          <w:i/>
        </w:rPr>
        <w:t>Hydro-Québec v. Matta</w:t>
      </w:r>
      <w:r w:rsidRPr="00C43D8C">
        <w:rPr>
          <w:rFonts w:cs="Times New Roman"/>
        </w:rPr>
        <w:t>, 2020 SCC 37, at para.</w:t>
      </w:r>
      <w:r>
        <w:rPr>
          <w:rFonts w:cs="Times New Roman"/>
        </w:rPr>
        <w:t> </w:t>
      </w:r>
      <w:r w:rsidRPr="00C43D8C">
        <w:rPr>
          <w:rFonts w:cs="Times New Roman"/>
        </w:rPr>
        <w:t xml:space="preserve">33. An error is </w:t>
      </w:r>
      <w:r w:rsidRPr="00C43D8C">
        <w:rPr>
          <w:rFonts w:cs="Times New Roman"/>
          <w:i/>
        </w:rPr>
        <w:t>palpable</w:t>
      </w:r>
      <w:r w:rsidRPr="00C43D8C">
        <w:rPr>
          <w:rFonts w:cs="Times New Roman"/>
        </w:rPr>
        <w:t xml:space="preserve"> if it is plainly seen and if all the evidence need not be reconsidered in order to identify it, and is </w:t>
      </w:r>
      <w:r w:rsidRPr="00C43D8C">
        <w:rPr>
          <w:rFonts w:cs="Times New Roman"/>
          <w:i/>
        </w:rPr>
        <w:t>overriding</w:t>
      </w:r>
      <w:r w:rsidRPr="00C43D8C">
        <w:rPr>
          <w:rFonts w:cs="Times New Roman"/>
        </w:rPr>
        <w:t xml:space="preserve"> if it has affected the result: </w:t>
      </w:r>
      <w:r w:rsidRPr="00C43D8C">
        <w:rPr>
          <w:rFonts w:cs="Times New Roman"/>
          <w:i/>
        </w:rPr>
        <w:t>Hydro-Québec</w:t>
      </w:r>
      <w:r w:rsidRPr="00C43D8C">
        <w:rPr>
          <w:rFonts w:cs="Times New Roman"/>
        </w:rPr>
        <w:t>, at para.</w:t>
      </w:r>
      <w:r>
        <w:rPr>
          <w:rFonts w:cs="Times New Roman"/>
        </w:rPr>
        <w:t> </w:t>
      </w:r>
      <w:r w:rsidRPr="00C43D8C">
        <w:rPr>
          <w:rFonts w:cs="Times New Roman"/>
        </w:rPr>
        <w:t xml:space="preserve">33; </w:t>
      </w:r>
      <w:r w:rsidRPr="00C43D8C">
        <w:rPr>
          <w:rFonts w:cs="Times New Roman"/>
          <w:i/>
        </w:rPr>
        <w:t>H.L. v. Canada (Attorney General)</w:t>
      </w:r>
      <w:r w:rsidRPr="00C43D8C">
        <w:rPr>
          <w:rFonts w:cs="Times New Roman"/>
        </w:rPr>
        <w:t>, 2005 SCC 25, [2005] 1 S.C.R. 401, at paras.</w:t>
      </w:r>
      <w:r>
        <w:rPr>
          <w:rFonts w:cs="Times New Roman"/>
        </w:rPr>
        <w:t> </w:t>
      </w:r>
      <w:r w:rsidRPr="00C43D8C">
        <w:rPr>
          <w:rFonts w:cs="Times New Roman"/>
        </w:rPr>
        <w:t xml:space="preserve">55‑56 and 69‑70; </w:t>
      </w:r>
      <w:r w:rsidRPr="00C43D8C">
        <w:rPr>
          <w:rFonts w:cs="Times New Roman"/>
          <w:i/>
        </w:rPr>
        <w:t>Salomon v. Matte‑Thompson</w:t>
      </w:r>
      <w:r w:rsidRPr="00C43D8C">
        <w:rPr>
          <w:rFonts w:cs="Times New Roman"/>
        </w:rPr>
        <w:t>, 2019 SCC 14, [2019] 1 S.C.R. 729, at para.</w:t>
      </w:r>
      <w:r>
        <w:rPr>
          <w:rFonts w:cs="Times New Roman"/>
        </w:rPr>
        <w:t> </w:t>
      </w:r>
      <w:r w:rsidRPr="00C43D8C">
        <w:rPr>
          <w:rFonts w:cs="Times New Roman"/>
        </w:rPr>
        <w:t>33.</w:t>
      </w:r>
    </w:p>
    <w:p w14:paraId="0697D3A9" w14:textId="77777777" w:rsidR="00F04D37" w:rsidRPr="00C43D8C" w:rsidRDefault="00F04D37" w:rsidP="00F04D37">
      <w:pPr>
        <w:pStyle w:val="ParaNoNdepar-AltN"/>
        <w:rPr>
          <w:rFonts w:cs="Times New Roman"/>
        </w:rPr>
      </w:pPr>
      <w:r w:rsidRPr="00C43D8C">
        <w:rPr>
          <w:rFonts w:cs="Times New Roman"/>
        </w:rPr>
        <w:t>The Court of Appeal departed from its proper role when it substituted its own findings of fact, notably on the scale and the complexity of the investigation. The Hearing Committee’s conclusions were grounded in the evidence before it, in particular, the affidavit of the auditor of the Law Society, Mr.</w:t>
      </w:r>
      <w:r>
        <w:rPr>
          <w:rFonts w:cs="Times New Roman"/>
        </w:rPr>
        <w:t> </w:t>
      </w:r>
      <w:r w:rsidRPr="00C43D8C">
        <w:rPr>
          <w:rFonts w:cs="Times New Roman"/>
        </w:rPr>
        <w:t xml:space="preserve">Allen. The Court of Appeal gave no deference to the Hearing Committee’s findings, and simply reweighed this evidence and substituted its own findings. </w:t>
      </w:r>
    </w:p>
    <w:p w14:paraId="099FBE35" w14:textId="77777777" w:rsidR="00F04D37" w:rsidRPr="00C43D8C" w:rsidRDefault="00F04D37" w:rsidP="00F04D37">
      <w:pPr>
        <w:pStyle w:val="ParaNoNdepar-AltN"/>
        <w:rPr>
          <w:rFonts w:cs="Times New Roman"/>
        </w:rPr>
      </w:pPr>
      <w:r w:rsidRPr="00C43D8C">
        <w:rPr>
          <w:rFonts w:cs="Times New Roman"/>
        </w:rPr>
        <w:lastRenderedPageBreak/>
        <w:t>The Court of Appeal found that there were errors in the Hearing Committee’s conclusions regarding the delay attributable to Mr.</w:t>
      </w:r>
      <w:r>
        <w:rPr>
          <w:rFonts w:cs="Times New Roman"/>
        </w:rPr>
        <w:t> </w:t>
      </w:r>
      <w:r w:rsidRPr="00C43D8C">
        <w:rPr>
          <w:rFonts w:cs="Times New Roman"/>
        </w:rPr>
        <w:t>Abrametz: para.</w:t>
      </w:r>
      <w:r>
        <w:rPr>
          <w:rFonts w:cs="Times New Roman"/>
        </w:rPr>
        <w:t> </w:t>
      </w:r>
      <w:r w:rsidRPr="00C43D8C">
        <w:rPr>
          <w:rFonts w:cs="Times New Roman"/>
        </w:rPr>
        <w:t>193. However, the Hearing Committee’s finding that, at a certain point, Mr.</w:t>
      </w:r>
      <w:r>
        <w:rPr>
          <w:rFonts w:cs="Times New Roman"/>
        </w:rPr>
        <w:t> </w:t>
      </w:r>
      <w:r w:rsidRPr="00C43D8C">
        <w:rPr>
          <w:rFonts w:cs="Times New Roman"/>
        </w:rPr>
        <w:t>Abrametz stopped cooperating in the investigation was supported by uncontroverted evidence. There was no proper basis for the Court of Appeal to contradict the Hearing Committee’s attribution of certain delays to Mr.</w:t>
      </w:r>
      <w:r>
        <w:rPr>
          <w:rFonts w:cs="Times New Roman"/>
        </w:rPr>
        <w:t> </w:t>
      </w:r>
      <w:r w:rsidRPr="00C43D8C">
        <w:rPr>
          <w:rFonts w:cs="Times New Roman"/>
        </w:rPr>
        <w:t xml:space="preserve">Abrametz. </w:t>
      </w:r>
    </w:p>
    <w:p w14:paraId="5050B97D" w14:textId="77777777" w:rsidR="00F04D37" w:rsidRPr="00C43D8C" w:rsidRDefault="00F04D37" w:rsidP="00F04D37">
      <w:pPr>
        <w:pStyle w:val="ParaNoNdepar-AltN"/>
        <w:rPr>
          <w:rFonts w:cs="Times New Roman"/>
        </w:rPr>
      </w:pPr>
      <w:r w:rsidRPr="00C43D8C">
        <w:rPr>
          <w:rFonts w:cs="Times New Roman"/>
        </w:rPr>
        <w:t>In short, applying the standard of palpable and overriding error, there was no proper basis for the Court of Appeal to set aside the Hearing Committee’s findings that the delay was not inordinate.</w:t>
      </w:r>
    </w:p>
    <w:p w14:paraId="43E8E021" w14:textId="77777777" w:rsidR="00F04D37" w:rsidRPr="00C43D8C" w:rsidRDefault="00F04D37" w:rsidP="00F04D37">
      <w:pPr>
        <w:pStyle w:val="Title2LevelTitre2Niveau"/>
        <w:ind w:left="567"/>
        <w:rPr>
          <w:rFonts w:cs="Times New Roman"/>
        </w:rPr>
      </w:pPr>
      <w:r w:rsidRPr="00C43D8C">
        <w:rPr>
          <w:rFonts w:cs="Times New Roman"/>
        </w:rPr>
        <w:t>There Was No Significant Prejudice to Mr.</w:t>
      </w:r>
      <w:r>
        <w:rPr>
          <w:rFonts w:cs="Times New Roman"/>
        </w:rPr>
        <w:t> </w:t>
      </w:r>
      <w:r w:rsidRPr="00C43D8C">
        <w:rPr>
          <w:rFonts w:cs="Times New Roman"/>
        </w:rPr>
        <w:t>Abrametz</w:t>
      </w:r>
    </w:p>
    <w:p w14:paraId="57EB2528" w14:textId="77777777" w:rsidR="00F04D37" w:rsidRPr="00C43D8C" w:rsidRDefault="00F04D37" w:rsidP="00F04D37">
      <w:pPr>
        <w:pStyle w:val="ParaNoNdepar-AltN"/>
        <w:rPr>
          <w:rFonts w:cs="Times New Roman"/>
        </w:rPr>
      </w:pPr>
      <w:r w:rsidRPr="00C43D8C">
        <w:rPr>
          <w:rFonts w:cs="Times New Roman"/>
        </w:rPr>
        <w:t>Mr.</w:t>
      </w:r>
      <w:r>
        <w:rPr>
          <w:rFonts w:cs="Times New Roman"/>
        </w:rPr>
        <w:t> </w:t>
      </w:r>
      <w:r w:rsidRPr="00C43D8C">
        <w:rPr>
          <w:rFonts w:cs="Times New Roman"/>
        </w:rPr>
        <w:t xml:space="preserve">Abrametz identified four types of prejudice that he said were caused by the delay: the media attention; the practice conditions; the impact on his health; and the impact on his family and employees. </w:t>
      </w:r>
      <w:r w:rsidRPr="00C43D8C">
        <w:rPr>
          <w:rFonts w:cs="Times New Roman"/>
          <w:lang w:val="en-US"/>
        </w:rPr>
        <w:t xml:space="preserve">The </w:t>
      </w:r>
      <w:r w:rsidRPr="00C43D8C">
        <w:rPr>
          <w:rFonts w:cs="Times New Roman"/>
        </w:rPr>
        <w:t xml:space="preserve">Hearing </w:t>
      </w:r>
      <w:r w:rsidRPr="00C43D8C">
        <w:rPr>
          <w:rFonts w:cs="Times New Roman"/>
          <w:lang w:val="en-US"/>
        </w:rPr>
        <w:t>Committee concluded that none of these claims, individually or cumulatively,</w:t>
      </w:r>
      <w:r w:rsidRPr="00C43D8C">
        <w:rPr>
          <w:rFonts w:cs="Times New Roman"/>
        </w:rPr>
        <w:t xml:space="preserve"> </w:t>
      </w:r>
      <w:r w:rsidRPr="00C43D8C">
        <w:rPr>
          <w:rFonts w:cs="Times New Roman"/>
          <w:lang w:val="en-US"/>
        </w:rPr>
        <w:t>amounted to significant prejudice that was caused by the delay.</w:t>
      </w:r>
      <w:r w:rsidRPr="00C43D8C">
        <w:rPr>
          <w:rFonts w:cs="Times New Roman"/>
        </w:rPr>
        <w:t xml:space="preserve"> </w:t>
      </w:r>
      <w:r w:rsidRPr="00C43D8C">
        <w:rPr>
          <w:rFonts w:cs="Times New Roman"/>
          <w:lang w:val="en-US"/>
        </w:rPr>
        <w:t xml:space="preserve">The Court of Appeal disagreed; it concluded that Mr. Abrametz suffered significant prejudice. </w:t>
      </w:r>
    </w:p>
    <w:p w14:paraId="72FD6132" w14:textId="77777777" w:rsidR="00F04D37" w:rsidRPr="00C43D8C" w:rsidRDefault="00F04D37" w:rsidP="00F04D37">
      <w:pPr>
        <w:pStyle w:val="Title3LevelTitre3Niveau"/>
        <w:rPr>
          <w:rFonts w:cs="Times New Roman"/>
        </w:rPr>
      </w:pPr>
      <w:r w:rsidRPr="00C43D8C">
        <w:rPr>
          <w:rFonts w:cs="Times New Roman"/>
        </w:rPr>
        <w:t xml:space="preserve">Media Attention </w:t>
      </w:r>
    </w:p>
    <w:p w14:paraId="7D86AA0E" w14:textId="77777777" w:rsidR="00F04D37" w:rsidRPr="00C43D8C" w:rsidRDefault="00F04D37" w:rsidP="00F04D37">
      <w:pPr>
        <w:pStyle w:val="ParaNoNdepar-AltN"/>
        <w:rPr>
          <w:rFonts w:cs="Times New Roman"/>
        </w:rPr>
      </w:pPr>
      <w:r w:rsidRPr="00C43D8C">
        <w:rPr>
          <w:rFonts w:cs="Times New Roman"/>
        </w:rPr>
        <w:t xml:space="preserve">The Hearing Committee accepted that </w:t>
      </w:r>
      <w:r w:rsidRPr="00C43D8C">
        <w:rPr>
          <w:rFonts w:cs="Times New Roman"/>
          <w:lang w:val="en-US"/>
        </w:rPr>
        <w:t xml:space="preserve">Mr. Abrametz’s </w:t>
      </w:r>
      <w:r w:rsidRPr="00C43D8C">
        <w:rPr>
          <w:rFonts w:cs="Times New Roman"/>
        </w:rPr>
        <w:t xml:space="preserve">reputation suffered as a result of media attention, but concluded that he had failed to demonstrate that this </w:t>
      </w:r>
      <w:r w:rsidRPr="00C43D8C">
        <w:rPr>
          <w:rFonts w:cs="Times New Roman"/>
        </w:rPr>
        <w:lastRenderedPageBreak/>
        <w:t xml:space="preserve">arose from the delay rather than the fact that he was subject to investigation and prosecution. The adverse publicity occurred over a short period early in 2018. The Hearing Committee found that the hearing gave rise to media attention, rather than the period of the investigation which preceded it. </w:t>
      </w:r>
    </w:p>
    <w:p w14:paraId="3236D4B2" w14:textId="77777777" w:rsidR="00F04D37" w:rsidRPr="00C43D8C" w:rsidRDefault="00F04D37" w:rsidP="00F04D37">
      <w:pPr>
        <w:pStyle w:val="ParaNoNdepar-AltN"/>
        <w:rPr>
          <w:rFonts w:cs="Times New Roman"/>
        </w:rPr>
      </w:pPr>
      <w:r w:rsidRPr="00C43D8C">
        <w:rPr>
          <w:rFonts w:cs="Times New Roman"/>
        </w:rPr>
        <w:t>The Court of Appeal concluded that the Hearing Committee erred by failing to consider that Mr.</w:t>
      </w:r>
      <w:r>
        <w:rPr>
          <w:rFonts w:cs="Times New Roman"/>
        </w:rPr>
        <w:t> </w:t>
      </w:r>
      <w:r w:rsidRPr="00C43D8C">
        <w:rPr>
          <w:rFonts w:cs="Times New Roman"/>
        </w:rPr>
        <w:t xml:space="preserve">Abrametz practiced under a cloud of suspicion for more than four years. It considered, in particular, that members of the bar and Mr. Abrametz’s staff knew that he was being investigated and was practicing under supervision as a result of misconduct allegations. This was so because the Law Society publishes information relating to disciplinary proceedings on its website. </w:t>
      </w:r>
    </w:p>
    <w:p w14:paraId="7C8A8302" w14:textId="77777777" w:rsidR="00F04D37" w:rsidRPr="00C43D8C" w:rsidRDefault="00F04D37" w:rsidP="00F04D37">
      <w:pPr>
        <w:pStyle w:val="ParaNoNdepar-AltN"/>
        <w:rPr>
          <w:rFonts w:cs="Times New Roman"/>
        </w:rPr>
      </w:pPr>
      <w:r w:rsidRPr="00C43D8C">
        <w:rPr>
          <w:rFonts w:cs="Times New Roman"/>
        </w:rPr>
        <w:t>With respect, the issue is not whether the proceedings were disclosed as they were, but whether Mr.</w:t>
      </w:r>
      <w:r>
        <w:rPr>
          <w:rFonts w:cs="Times New Roman"/>
        </w:rPr>
        <w:t> </w:t>
      </w:r>
      <w:r w:rsidRPr="00C43D8C">
        <w:rPr>
          <w:rFonts w:cs="Times New Roman"/>
        </w:rPr>
        <w:t>Abrametz suffered significant prejudice from such disclosure. The Hearing Committee found he suffered “some degree of stress”, but not significant prejudice: para.</w:t>
      </w:r>
      <w:r>
        <w:rPr>
          <w:rFonts w:cs="Times New Roman"/>
        </w:rPr>
        <w:t> </w:t>
      </w:r>
      <w:r w:rsidRPr="00C43D8C">
        <w:rPr>
          <w:rFonts w:cs="Times New Roman"/>
        </w:rPr>
        <w:t>335. In all this, no palpable and overriding error was identified that warranted the Court of Appeal’s substitution of its own view.</w:t>
      </w:r>
    </w:p>
    <w:p w14:paraId="68D0D577" w14:textId="77777777" w:rsidR="00F04D37" w:rsidRPr="00C43D8C" w:rsidRDefault="00F04D37" w:rsidP="00F04D37">
      <w:pPr>
        <w:pStyle w:val="Title3LevelTitre3Niveau"/>
        <w:rPr>
          <w:rFonts w:cs="Times New Roman"/>
        </w:rPr>
      </w:pPr>
      <w:r w:rsidRPr="00C43D8C">
        <w:rPr>
          <w:rFonts w:cs="Times New Roman"/>
          <w:u w:val="none"/>
        </w:rPr>
        <w:t xml:space="preserve"> </w:t>
      </w:r>
      <w:r w:rsidRPr="00C43D8C">
        <w:rPr>
          <w:rFonts w:cs="Times New Roman"/>
        </w:rPr>
        <w:t>Practice Conditions</w:t>
      </w:r>
    </w:p>
    <w:p w14:paraId="2E9A2C3E" w14:textId="77777777" w:rsidR="00F04D37" w:rsidRPr="00C43D8C" w:rsidRDefault="00F04D37" w:rsidP="00F04D37">
      <w:pPr>
        <w:pStyle w:val="ParaNoNdepar-AltN"/>
        <w:rPr>
          <w:rFonts w:cs="Times New Roman"/>
        </w:rPr>
      </w:pPr>
      <w:r w:rsidRPr="00C43D8C">
        <w:rPr>
          <w:rFonts w:cs="Times New Roman"/>
        </w:rPr>
        <w:t>Regarding the practice conditions, the Hearing Committee did not accept Mr.</w:t>
      </w:r>
      <w:r>
        <w:rPr>
          <w:rFonts w:cs="Times New Roman"/>
        </w:rPr>
        <w:t> </w:t>
      </w:r>
      <w:r w:rsidRPr="00C43D8C">
        <w:rPr>
          <w:rFonts w:cs="Times New Roman"/>
        </w:rPr>
        <w:t xml:space="preserve">Abrametz’s submission that these caused him significant prejudice; the Hearing Committee did so based on the fact that </w:t>
      </w:r>
      <w:r>
        <w:rPr>
          <w:rFonts w:cs="Times New Roman"/>
        </w:rPr>
        <w:t>Mr. </w:t>
      </w:r>
      <w:r w:rsidRPr="00C43D8C">
        <w:rPr>
          <w:rFonts w:cs="Times New Roman"/>
        </w:rPr>
        <w:t xml:space="preserve">Abrametz consented to the conditions, they were not overly restrictive of his practice and they were consistent with the Law </w:t>
      </w:r>
      <w:r w:rsidRPr="00C43D8C">
        <w:rPr>
          <w:rFonts w:cs="Times New Roman"/>
        </w:rPr>
        <w:lastRenderedPageBreak/>
        <w:t xml:space="preserve">Society’s mandate to protect the public. It also noted that most of the allegations </w:t>
      </w:r>
      <w:r>
        <w:rPr>
          <w:rFonts w:cs="Times New Roman"/>
        </w:rPr>
        <w:t>against Mr. </w:t>
      </w:r>
      <w:r w:rsidRPr="00C43D8C">
        <w:rPr>
          <w:rFonts w:cs="Times New Roman"/>
        </w:rPr>
        <w:t>Abrametz were determined to be well founded. The Hearing Committee held that Mr.</w:t>
      </w:r>
      <w:r>
        <w:rPr>
          <w:rFonts w:cs="Times New Roman"/>
        </w:rPr>
        <w:t> </w:t>
      </w:r>
      <w:r w:rsidRPr="00C43D8C">
        <w:rPr>
          <w:rFonts w:cs="Times New Roman"/>
        </w:rPr>
        <w:t>Abrametz had been unable to provide evidence that he suffered from the conditions in the five years before the disciplinary hearing. He had not argued that the practice conditions impacted his billings or his caseload or the time typically required by him to process his files. Thus, he had provided no evidence that the practice conditions significantly impacted the viability or profitability of his practice.</w:t>
      </w:r>
    </w:p>
    <w:p w14:paraId="6BA02395" w14:textId="77777777" w:rsidR="00F04D37" w:rsidRPr="00C43D8C" w:rsidRDefault="00F04D37" w:rsidP="00F04D37">
      <w:pPr>
        <w:pStyle w:val="ParaNoNdepar-AltN"/>
        <w:rPr>
          <w:rFonts w:cs="Times New Roman"/>
        </w:rPr>
      </w:pPr>
      <w:r w:rsidRPr="00C43D8C">
        <w:rPr>
          <w:rFonts w:cs="Times New Roman"/>
        </w:rPr>
        <w:t>The Court of Appeal took the view that neither Mr.</w:t>
      </w:r>
      <w:r>
        <w:rPr>
          <w:rFonts w:cs="Times New Roman"/>
        </w:rPr>
        <w:t> </w:t>
      </w:r>
      <w:r w:rsidRPr="00C43D8C">
        <w:rPr>
          <w:rFonts w:cs="Times New Roman"/>
        </w:rPr>
        <w:t>Abrametz’s consent to the conditions nor the fact that he was found guilty of most of the charges were relevant. However, the court failed to address the core of the Hearing Committee’s analysis on this point, which turned on the lack of evidence of any prejudice resulting from the conditions. Mr.</w:t>
      </w:r>
      <w:r>
        <w:rPr>
          <w:rFonts w:cs="Times New Roman"/>
        </w:rPr>
        <w:t> </w:t>
      </w:r>
      <w:r w:rsidRPr="00C43D8C">
        <w:rPr>
          <w:rFonts w:cs="Times New Roman"/>
        </w:rPr>
        <w:t>Abrametz was not suspended and he continued to practice until the hearing. Thus, the Court of Appeal failed to set out a proper basis for interfering with the finding that Mr.</w:t>
      </w:r>
      <w:r>
        <w:rPr>
          <w:rFonts w:cs="Times New Roman"/>
        </w:rPr>
        <w:t> </w:t>
      </w:r>
      <w:r w:rsidRPr="00C43D8C">
        <w:rPr>
          <w:rFonts w:cs="Times New Roman"/>
        </w:rPr>
        <w:t>Abrametz did not suffer significant prejudice from the conditions on his practice.</w:t>
      </w:r>
    </w:p>
    <w:p w14:paraId="7981FBE5" w14:textId="77777777" w:rsidR="00F04D37" w:rsidRPr="00C43D8C" w:rsidRDefault="00F04D37" w:rsidP="00F04D37">
      <w:pPr>
        <w:pStyle w:val="Title3LevelTitre3Niveau"/>
        <w:rPr>
          <w:rFonts w:cs="Times New Roman"/>
        </w:rPr>
      </w:pPr>
      <w:r w:rsidRPr="00C43D8C">
        <w:rPr>
          <w:rFonts w:cs="Times New Roman"/>
          <w:u w:val="none"/>
        </w:rPr>
        <w:t xml:space="preserve"> </w:t>
      </w:r>
      <w:r w:rsidRPr="00C43D8C">
        <w:rPr>
          <w:rFonts w:cs="Times New Roman"/>
        </w:rPr>
        <w:t>The Impact on Mr.</w:t>
      </w:r>
      <w:r>
        <w:rPr>
          <w:rFonts w:cs="Times New Roman"/>
        </w:rPr>
        <w:t> </w:t>
      </w:r>
      <w:r w:rsidRPr="00C43D8C">
        <w:rPr>
          <w:rFonts w:cs="Times New Roman"/>
        </w:rPr>
        <w:t>Abrametz’s Health, Family and Employees</w:t>
      </w:r>
    </w:p>
    <w:p w14:paraId="0AA96845" w14:textId="77777777" w:rsidR="00F04D37" w:rsidRPr="00C43D8C" w:rsidRDefault="00F04D37" w:rsidP="00F04D37">
      <w:pPr>
        <w:pStyle w:val="ParaNoNdepar-AltN"/>
        <w:rPr>
          <w:rFonts w:cs="Times New Roman"/>
          <w:lang w:val="en-US"/>
        </w:rPr>
      </w:pPr>
      <w:r w:rsidRPr="00C43D8C">
        <w:rPr>
          <w:rFonts w:cs="Times New Roman"/>
          <w:lang w:val="en-US"/>
        </w:rPr>
        <w:t xml:space="preserve">The </w:t>
      </w:r>
      <w:r w:rsidRPr="00C43D8C">
        <w:rPr>
          <w:rFonts w:cs="Times New Roman"/>
        </w:rPr>
        <w:t>Hearing Committee was not persuaded that the minor medical condition</w:t>
      </w:r>
      <w:r w:rsidRPr="00C43D8C">
        <w:rPr>
          <w:rFonts w:cs="Times New Roman"/>
          <w:lang w:val="en-US"/>
        </w:rPr>
        <w:t xml:space="preserve"> complained of by Mr.</w:t>
      </w:r>
      <w:r>
        <w:rPr>
          <w:rFonts w:cs="Times New Roman"/>
          <w:lang w:val="en-US"/>
        </w:rPr>
        <w:t> </w:t>
      </w:r>
      <w:r w:rsidRPr="00C43D8C">
        <w:rPr>
          <w:rFonts w:cs="Times New Roman"/>
          <w:lang w:val="en-US"/>
        </w:rPr>
        <w:t xml:space="preserve">Abrametz and the stress experienced by his family and employees were connected to the delay. Here again, no palpable and overriding error was identified that would justify the Court of Appeal’s substitution of its own views. </w:t>
      </w:r>
    </w:p>
    <w:p w14:paraId="2011DE15" w14:textId="77777777" w:rsidR="00F04D37" w:rsidRPr="00C43D8C" w:rsidRDefault="00F04D37" w:rsidP="00F04D37">
      <w:pPr>
        <w:pStyle w:val="Title3LevelTitre3Niveau"/>
        <w:rPr>
          <w:rFonts w:cs="Times New Roman"/>
          <w:lang w:val="en-US"/>
        </w:rPr>
      </w:pPr>
      <w:r w:rsidRPr="00C43D8C">
        <w:rPr>
          <w:rFonts w:cs="Times New Roman"/>
          <w:u w:val="none"/>
          <w:lang w:val="en-US"/>
        </w:rPr>
        <w:lastRenderedPageBreak/>
        <w:t xml:space="preserve"> </w:t>
      </w:r>
      <w:r w:rsidRPr="00C43D8C">
        <w:rPr>
          <w:rFonts w:cs="Times New Roman"/>
          <w:lang w:val="en-US"/>
        </w:rPr>
        <w:t>Conclusion on the Requirement of Significant Prejudice</w:t>
      </w:r>
    </w:p>
    <w:p w14:paraId="68819C40" w14:textId="77777777" w:rsidR="00F04D37" w:rsidRPr="00C43D8C" w:rsidRDefault="00F04D37" w:rsidP="00F04D37">
      <w:pPr>
        <w:pStyle w:val="ParaNoNdepar-AltN"/>
        <w:rPr>
          <w:rFonts w:cs="Times New Roman"/>
          <w:lang w:val="en-US"/>
        </w:rPr>
      </w:pPr>
      <w:r w:rsidRPr="00C43D8C">
        <w:rPr>
          <w:rFonts w:cs="Times New Roman"/>
          <w:lang w:val="en-US"/>
        </w:rPr>
        <w:t xml:space="preserve">It was not shown that the Hearing Committee committed </w:t>
      </w:r>
      <w:r w:rsidRPr="00C43D8C">
        <w:rPr>
          <w:rFonts w:cs="Times New Roman"/>
        </w:rPr>
        <w:t xml:space="preserve">any palpable and overriding error when it concluded that </w:t>
      </w:r>
      <w:r w:rsidRPr="00C43D8C">
        <w:rPr>
          <w:rFonts w:cs="Times New Roman"/>
          <w:lang w:val="en-US"/>
        </w:rPr>
        <w:t>Mr. Abrametz failed to demonstrate any significant prejudice</w:t>
      </w:r>
      <w:r w:rsidRPr="00C43D8C">
        <w:rPr>
          <w:rFonts w:cs="Times New Roman"/>
        </w:rPr>
        <w:t>. The Court of Appeal erred by interfering with its findings of fact and findings of mixed fact and law</w:t>
      </w:r>
      <w:r w:rsidRPr="00C43D8C">
        <w:rPr>
          <w:rFonts w:cs="Times New Roman"/>
          <w:lang w:val="en-US"/>
        </w:rPr>
        <w:t xml:space="preserve">. Even if one could view the remedy ordered by the Court of Appeal as a reduction in sanction, </w:t>
      </w:r>
      <w:r w:rsidRPr="00C43D8C">
        <w:rPr>
          <w:rFonts w:cs="Times New Roman"/>
        </w:rPr>
        <w:t>and although the threshold to grant such remedy is lower than that required for a stay, proof of</w:t>
      </w:r>
      <w:r>
        <w:rPr>
          <w:rFonts w:cs="Times New Roman"/>
        </w:rPr>
        <w:t xml:space="preserve"> </w:t>
      </w:r>
      <w:r w:rsidRPr="00C43D8C">
        <w:rPr>
          <w:rFonts w:cs="Times New Roman"/>
        </w:rPr>
        <w:t>significant prejudice is nonetheless required as part of the three-step</w:t>
      </w:r>
      <w:r>
        <w:rPr>
          <w:rFonts w:cs="Times New Roman"/>
        </w:rPr>
        <w:t xml:space="preserve"> test to </w:t>
      </w:r>
      <w:r w:rsidRPr="00C43D8C">
        <w:rPr>
          <w:rFonts w:cs="Times New Roman"/>
        </w:rPr>
        <w:t xml:space="preserve">establish an abuse of process. There was no such proof in this case. </w:t>
      </w:r>
    </w:p>
    <w:p w14:paraId="4F542E2C" w14:textId="77777777" w:rsidR="00F04D37" w:rsidRPr="00C43D8C" w:rsidRDefault="00F04D37" w:rsidP="00F04D37">
      <w:pPr>
        <w:pStyle w:val="Title2LevelTitre2Niveau"/>
        <w:ind w:left="567"/>
        <w:rPr>
          <w:rFonts w:cs="Times New Roman"/>
          <w:lang w:val="en-US"/>
        </w:rPr>
      </w:pPr>
      <w:r w:rsidRPr="00C43D8C">
        <w:rPr>
          <w:rFonts w:cs="Times New Roman"/>
          <w:lang w:val="en-US"/>
        </w:rPr>
        <w:t>Conclusion on Abuse of Process</w:t>
      </w:r>
    </w:p>
    <w:p w14:paraId="6B7C2F8A" w14:textId="77777777" w:rsidR="00F04D37" w:rsidRPr="00C43D8C" w:rsidRDefault="00F04D37" w:rsidP="00F04D37">
      <w:pPr>
        <w:pStyle w:val="ParaNoNdepar-AltN"/>
        <w:rPr>
          <w:rFonts w:cs="Times New Roman"/>
          <w:lang w:val="en-US"/>
        </w:rPr>
      </w:pPr>
      <w:r w:rsidRPr="00C43D8C">
        <w:rPr>
          <w:rFonts w:cs="Times New Roman"/>
          <w:lang w:val="en-US"/>
        </w:rPr>
        <w:t xml:space="preserve">Since the Hearing Committee has not been shown to have erred in its finding that there was no inordinate delay </w:t>
      </w:r>
      <w:r>
        <w:rPr>
          <w:rFonts w:cs="Times New Roman"/>
          <w:lang w:val="en-US"/>
        </w:rPr>
        <w:t>or significant prejudice to Mr. </w:t>
      </w:r>
      <w:r w:rsidRPr="00C43D8C">
        <w:rPr>
          <w:rFonts w:cs="Times New Roman"/>
          <w:lang w:val="en-US"/>
        </w:rPr>
        <w:t xml:space="preserve">Abrametz, there is no basis to set aside its conclusion that there was no abuse of process in this case. Consequently, it is not necessary to proceed to the next step and consider what remedy should be ordered. </w:t>
      </w:r>
    </w:p>
    <w:p w14:paraId="1638AE02" w14:textId="77777777" w:rsidR="00F04D37" w:rsidRPr="00C43D8C" w:rsidRDefault="00F04D37" w:rsidP="00F04D37">
      <w:pPr>
        <w:pStyle w:val="ParaNoNdepar-AltN"/>
        <w:rPr>
          <w:rFonts w:cs="Times New Roman"/>
          <w:lang w:val="en-US"/>
        </w:rPr>
      </w:pPr>
      <w:r w:rsidRPr="00C43D8C">
        <w:rPr>
          <w:rFonts w:cs="Times New Roman"/>
        </w:rPr>
        <w:t xml:space="preserve">Notwithstanding the foregoing, the actions of the Law Society were not above reproach. The Law Society is entrusted with self-regulation of the profession, and by extension an aspect of the rule of law. The Law Society should be keenly aware of the importance of justice being done in a timely way; it should make every effort to </w:t>
      </w:r>
      <w:r w:rsidRPr="00C43D8C">
        <w:rPr>
          <w:rFonts w:cs="Times New Roman"/>
        </w:rPr>
        <w:lastRenderedPageBreak/>
        <w:t>safeguard procedural fairness. In all this, the Law Society should set an example for its own members.</w:t>
      </w:r>
    </w:p>
    <w:p w14:paraId="1778335C" w14:textId="77777777" w:rsidR="00F04D37" w:rsidRPr="00C43D8C" w:rsidRDefault="00F04D37" w:rsidP="00F04D37">
      <w:pPr>
        <w:pStyle w:val="Title1LevelTitre1Niveau-AltL"/>
        <w:rPr>
          <w:rFonts w:cs="Times New Roman"/>
        </w:rPr>
      </w:pPr>
      <w:r w:rsidRPr="00C43D8C">
        <w:rPr>
          <w:rFonts w:cs="Times New Roman"/>
        </w:rPr>
        <w:t>Conclusion</w:t>
      </w:r>
    </w:p>
    <w:p w14:paraId="7956FF79" w14:textId="77777777" w:rsidR="00F04D37" w:rsidRPr="00C43D8C" w:rsidRDefault="00F04D37" w:rsidP="00F04D37">
      <w:pPr>
        <w:pStyle w:val="ParaNoNdepar-AltN"/>
        <w:rPr>
          <w:rFonts w:cs="Times New Roman"/>
        </w:rPr>
      </w:pPr>
      <w:r w:rsidRPr="00C43D8C">
        <w:rPr>
          <w:rFonts w:cs="Times New Roman"/>
        </w:rPr>
        <w:t xml:space="preserve">I would allow the appeal, set aside the judgment of the Court of Appeal and remit the matter to the Court of Appeal to address the outstanding grounds of appeal. Costs are awarded to the Law Society in this Court and in the Court of Appeal. </w:t>
      </w:r>
    </w:p>
    <w:p w14:paraId="28328307" w14:textId="77777777" w:rsidR="00F04D37" w:rsidRDefault="00F04D37" w:rsidP="00142A98">
      <w:pPr>
        <w:pStyle w:val="SCCNormalDoubleSpacing"/>
        <w:spacing w:after="480"/>
        <w:rPr>
          <w:rStyle w:val="SCCCounselPartyRoleChar"/>
        </w:rPr>
      </w:pPr>
    </w:p>
    <w:p w14:paraId="3EFC625C" w14:textId="77777777" w:rsidR="00F04D37" w:rsidRDefault="00F04D37" w:rsidP="00F04D37">
      <w:pPr>
        <w:ind w:firstLine="1134"/>
        <w:jc w:val="both"/>
      </w:pPr>
      <w:r w:rsidRPr="00796D65">
        <w:t>The following are the reasons delivered by</w:t>
      </w:r>
    </w:p>
    <w:p w14:paraId="6B00FA17" w14:textId="77777777" w:rsidR="00F04D37" w:rsidRDefault="00F04D37" w:rsidP="00F04D37">
      <w:pPr>
        <w:ind w:firstLine="1134"/>
        <w:jc w:val="both"/>
      </w:pPr>
    </w:p>
    <w:p w14:paraId="4D6D196F" w14:textId="77777777" w:rsidR="00F04D37" w:rsidRPr="008C0A23" w:rsidRDefault="00F04D37" w:rsidP="00F04D37">
      <w:pPr>
        <w:pStyle w:val="JudgeJuge"/>
      </w:pPr>
      <w:r w:rsidRPr="008C0A23">
        <w:tab/>
        <w:t xml:space="preserve">Côté J. — </w:t>
      </w:r>
    </w:p>
    <w:p w14:paraId="6D7598F4" w14:textId="77777777" w:rsidR="00F04D37" w:rsidRPr="00F670D9" w:rsidRDefault="00F04D37" w:rsidP="00F670D9">
      <w:pPr>
        <w:pStyle w:val="Title1LevelTitre1Niveau-AltL"/>
        <w:numPr>
          <w:ilvl w:val="0"/>
          <w:numId w:val="20"/>
        </w:numPr>
        <w:rPr>
          <w:rFonts w:cs="Times New Roman"/>
        </w:rPr>
      </w:pPr>
      <w:r w:rsidRPr="00F670D9">
        <w:rPr>
          <w:rFonts w:cs="Times New Roman"/>
        </w:rPr>
        <w:t>Overview</w:t>
      </w:r>
    </w:p>
    <w:p w14:paraId="5379BC7B" w14:textId="77777777" w:rsidR="00F04D37" w:rsidRPr="008C0A23" w:rsidRDefault="00F04D37" w:rsidP="00F04D37">
      <w:pPr>
        <w:pStyle w:val="ParaNoNdepar-AltN"/>
        <w:tabs>
          <w:tab w:val="clear" w:pos="1166"/>
          <w:tab w:val="num" w:pos="1152"/>
        </w:tabs>
      </w:pPr>
      <w:r w:rsidRPr="008C0A23">
        <w:t>I have had the opportunity to read the reasons of my colleague Rowe J. I disagree with the majority’s disposition of this appeal. In my view, the delay in these proceedings amounted to an abuse of process, and the Saskatchewan Court of Appeal did not err in quashing the penalty for professional misconduct imposed on the respondent, Peter</w:t>
      </w:r>
      <w:r>
        <w:t> V. </w:t>
      </w:r>
      <w:r w:rsidRPr="008C0A23">
        <w:t>Abrametz</w:t>
      </w:r>
      <w:r>
        <w:t xml:space="preserve"> (2020 SKCA 81)</w:t>
      </w:r>
      <w:r w:rsidRPr="008C0A23">
        <w:t>. My disagreement with the majority, however, also extends to the legal principles governing the assessment of inordinate delay in administrative proceedings.</w:t>
      </w:r>
    </w:p>
    <w:p w14:paraId="00408DA2"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lastRenderedPageBreak/>
        <w:t xml:space="preserve">Without referring to any precedents on procedural fairness review, my colleague relies on </w:t>
      </w:r>
      <w:r w:rsidRPr="008C0A23">
        <w:rPr>
          <w:rFonts w:cs="Times New Roman"/>
          <w:bCs/>
          <w:i/>
        </w:rPr>
        <w:t>Canada (Minister of Citizenship and Immigration)</w:t>
      </w:r>
      <w:r w:rsidRPr="008C0A23">
        <w:rPr>
          <w:rFonts w:cs="Times New Roman"/>
          <w:i/>
        </w:rPr>
        <w:t> </w:t>
      </w:r>
      <w:r w:rsidRPr="008C0A23">
        <w:rPr>
          <w:rFonts w:cs="Times New Roman"/>
          <w:i/>
          <w:iCs/>
        </w:rPr>
        <w:t>v.</w:t>
      </w:r>
      <w:r w:rsidRPr="008C0A23">
        <w:rPr>
          <w:rFonts w:cs="Times New Roman"/>
          <w:i/>
        </w:rPr>
        <w:t> Vavilov</w:t>
      </w:r>
      <w:r w:rsidRPr="008C0A23">
        <w:rPr>
          <w:rFonts w:cs="Times New Roman"/>
        </w:rPr>
        <w:t xml:space="preserve">, 2019 SCC 65, </w:t>
      </w:r>
      <w:r>
        <w:rPr>
          <w:rFonts w:cs="Times New Roman"/>
        </w:rPr>
        <w:t xml:space="preserve">[2019] 4 S.C.R. 653, </w:t>
      </w:r>
      <w:r w:rsidRPr="008C0A23">
        <w:rPr>
          <w:rFonts w:cs="Times New Roman"/>
        </w:rPr>
        <w:t>for the proposition that appellate standards of review apply in the present case. Yet our Court’s jurisprudence is clear: the question of whether an administrative decision maker has complied with its duty of fairness is subject to the standard of correctness — regardless of the existence of an appeal mechanism. I see no reason to revisit this well</w:t>
      </w:r>
      <w:r w:rsidRPr="008C0A23">
        <w:rPr>
          <w:rFonts w:cs="Times New Roman"/>
        </w:rPr>
        <w:noBreakHyphen/>
        <w:t>established starting point.</w:t>
      </w:r>
    </w:p>
    <w:p w14:paraId="47863640"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Nor do I agree with the majority’s reframing of the test for whether administrative delay amounts to an abuse of process. This Court recognized in </w:t>
      </w:r>
      <w:r w:rsidRPr="008C0A23">
        <w:rPr>
          <w:rFonts w:cs="Times New Roman"/>
          <w:i/>
        </w:rPr>
        <w:t>Blencoe v. British Columbia (Human Rights Commission)</w:t>
      </w:r>
      <w:r w:rsidRPr="008C0A23">
        <w:rPr>
          <w:rFonts w:cs="Times New Roman"/>
        </w:rPr>
        <w:t xml:space="preserve">, </w:t>
      </w:r>
      <w:r>
        <w:rPr>
          <w:rFonts w:cs="Times New Roman"/>
        </w:rPr>
        <w:t xml:space="preserve">2000 SCC 44, </w:t>
      </w:r>
      <w:r w:rsidRPr="008C0A23">
        <w:rPr>
          <w:rFonts w:cs="Times New Roman"/>
        </w:rPr>
        <w:t>[2000] 2 S.C.R. 307,</w:t>
      </w:r>
      <w:r w:rsidRPr="008C0A23">
        <w:rPr>
          <w:rFonts w:cs="Times New Roman"/>
          <w:i/>
        </w:rPr>
        <w:t xml:space="preserve"> </w:t>
      </w:r>
      <w:r w:rsidRPr="008C0A23">
        <w:rPr>
          <w:rFonts w:cs="Times New Roman"/>
        </w:rPr>
        <w:t>that inordinate delay — on its own — is a breach of procedural fairness and thus abusive. An applicant need not demonstrate “significant prejudice” for unfair conduct to constitute an abuse of process; this requirement applies only where a stay of proceedings is sought.</w:t>
      </w:r>
    </w:p>
    <w:p w14:paraId="02DC0A26"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The case law on abuse of process confirms that this common law doctrine focuses on the integrity of the justice system rather than the particular interests of litigants. Inordinate delay, I stress, risks bringing the administration of justice into disrepute. For this reason alone, courts must sanction it whenever it is brought to their attention. They possess a wide range of remedial tools — including declarations, costs, orders for an expedited hearing, reductions in penalty, and stays of proceedings — to grant relief that is proportionate to the abuse of process. In determining the appropriate </w:t>
      </w:r>
      <w:r w:rsidRPr="008C0A23">
        <w:rPr>
          <w:rFonts w:cs="Times New Roman"/>
        </w:rPr>
        <w:lastRenderedPageBreak/>
        <w:t>remedy, courts must consider the length, causes, and effects of delay as well as the public interest.</w:t>
      </w:r>
    </w:p>
    <w:p w14:paraId="4E7E0DF3"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Applying this framework to the case at bar, I agree with the analysis of the Court of Appeal. The appellant, the Law Society of Saskatchewan, subjected Mr. Abrametz to disciplinary proceedings spanning a period of more than 6 years, 32 </w:t>
      </w:r>
      <w:r>
        <w:rPr>
          <w:rFonts w:cs="Times New Roman"/>
        </w:rPr>
        <w:t>½ </w:t>
      </w:r>
      <w:r w:rsidRPr="008C0A23">
        <w:rPr>
          <w:rFonts w:cs="Times New Roman"/>
        </w:rPr>
        <w:t>months of which remain unexplained. The delay grossly exceeded the inherent time requirements of this case; it is plainly inordinate and, as a result, abusive. This undue delay caused serious prejudice to Mr. Abrametz and also affected his employees, all of whom experienced additional stress from the unjustified extension of the proceedings.</w:t>
      </w:r>
    </w:p>
    <w:p w14:paraId="54E9FB52"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In these circumstances, the Court of Appeal rightly sanctioned the Law Society’s abuse of process by ordering that the penalty for Mr. Abrametz’s professional misconduct be set aside. I would accordingly dismiss the appeal.</w:t>
      </w:r>
    </w:p>
    <w:p w14:paraId="2F5B53AE" w14:textId="77777777" w:rsidR="00F04D37" w:rsidRPr="008C0A23" w:rsidRDefault="00F04D37" w:rsidP="00F04D37">
      <w:pPr>
        <w:pStyle w:val="Title1LevelTitre1Niveau-AltL"/>
        <w:ind w:left="578" w:hanging="578"/>
        <w:rPr>
          <w:rFonts w:cs="Times New Roman"/>
        </w:rPr>
      </w:pPr>
      <w:r w:rsidRPr="008C0A23">
        <w:rPr>
          <w:rFonts w:cs="Times New Roman"/>
        </w:rPr>
        <w:t>Abuse of Process and Inordinate Delay in Administrative Proceedings</w:t>
      </w:r>
    </w:p>
    <w:p w14:paraId="5DA5FA59"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 begin my analysis by discussing the framework for assessing abuse of process resulting from inordinate delay in administrative proceedings. I do so because the standard of review depends on the parameters of the test for abuse of process arising from administrative delay. Here, the majority posits that the final assessment of whether delay constitutes an abuse of process is a question of law subject to correctness review, but that findings made with respect to the “requirements” of this test, including </w:t>
      </w:r>
      <w:r w:rsidRPr="008C0A23">
        <w:rPr>
          <w:rFonts w:cs="Times New Roman"/>
        </w:rPr>
        <w:lastRenderedPageBreak/>
        <w:t>inordinate delay, are entitled to deference. Yet as I explain, the doctrine of abuse of process is unencumbered by specific requirements at common law. Inordinate delay is one of the manifestations of abusive conduct that undermines the integrity of the justice system. Therefore, the test for abuse of process arising from administrative delay is based entirely on the “inordinate delay” standard, the application of which is a question of law.</w:t>
      </w:r>
    </w:p>
    <w:p w14:paraId="438214C1"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To be more specific, the majority purportedly relies on </w:t>
      </w:r>
      <w:r w:rsidRPr="008C0A23">
        <w:rPr>
          <w:rFonts w:cs="Times New Roman"/>
          <w:i/>
        </w:rPr>
        <w:t>Blencoe</w:t>
      </w:r>
      <w:r w:rsidRPr="008C0A23">
        <w:rPr>
          <w:rFonts w:cs="Times New Roman"/>
        </w:rPr>
        <w:t xml:space="preserve"> in articulating a three</w:t>
      </w:r>
      <w:r w:rsidRPr="008C0A23">
        <w:rPr>
          <w:rFonts w:cs="Times New Roman"/>
        </w:rPr>
        <w:noBreakHyphen/>
        <w:t>step test for determining whether delay in administrative proceedings amounts to an abuse of process. The test begins with two requirements:</w:t>
      </w:r>
      <w:r>
        <w:rPr>
          <w:rFonts w:cs="Times New Roman"/>
        </w:rPr>
        <w:t xml:space="preserve"> </w:t>
      </w:r>
      <w:r w:rsidRPr="008C0A23">
        <w:rPr>
          <w:rFonts w:cs="Times New Roman"/>
        </w:rPr>
        <w:t>inordinate delay and significant prejudice caused by the delay. Where both requirements are met, there is a final step at which the court must assess whether the delay amounts to an abuse of process because it is manifestly unfair to a party or otherwise brings the administration of justice into disrepute.</w:t>
      </w:r>
    </w:p>
    <w:p w14:paraId="70630395"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With respect, I am of the view that this framework rests on a mistaken understanding of the doctrine of abuse of process. Under the majority’s approach, even inordinate delay that directly causes significant prejudice is not</w:t>
      </w:r>
      <w:r w:rsidRPr="008C0A23">
        <w:rPr>
          <w:rFonts w:cs="Times New Roman"/>
          <w:i/>
        </w:rPr>
        <w:t xml:space="preserve"> per se </w:t>
      </w:r>
      <w:r w:rsidRPr="008C0A23">
        <w:rPr>
          <w:rFonts w:cs="Times New Roman"/>
        </w:rPr>
        <w:t>abusive, as the last step of its test indicates. Not only is this proposition doctrinally flawed, but it results in an unduly elevated standard that is disproportionate to the remedies available for abusive delay, which range from a mere declaration to a stay of proceedings. Simply put, the majority’s test is so onerous that it invites complacency in administrative proceedings</w:t>
      </w:r>
      <w:r>
        <w:rPr>
          <w:rFonts w:cs="Times New Roman"/>
        </w:rPr>
        <w:t>.</w:t>
      </w:r>
    </w:p>
    <w:p w14:paraId="218D524F"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lastRenderedPageBreak/>
        <w:t xml:space="preserve">This Court rightly recognized in </w:t>
      </w:r>
      <w:r w:rsidRPr="008C0A23">
        <w:rPr>
          <w:rFonts w:cs="Times New Roman"/>
          <w:i/>
        </w:rPr>
        <w:t>Blencoe</w:t>
      </w:r>
      <w:r w:rsidRPr="008C0A23">
        <w:rPr>
          <w:rFonts w:cs="Times New Roman"/>
        </w:rPr>
        <w:t xml:space="preserve"> that inordinate delay — on its own — is a breach of the duty of fairness. In my view, courts should distance themselves from such procedural unfairness by calling it what it is: an abuse of process. Prejudice is not a necessary condition for delay to be inordinate, although it may contribute to such a finding. Evidence of prejudice, I add, remains highly significant at the remedial stage, since the remedy must be proportionate to the abuse of process. This is consistent with the central principle laid down by the majority in </w:t>
      </w:r>
      <w:r w:rsidRPr="008C0A23">
        <w:rPr>
          <w:rFonts w:cs="Times New Roman"/>
          <w:i/>
        </w:rPr>
        <w:t>Blencoe</w:t>
      </w:r>
      <w:r w:rsidRPr="008C0A23">
        <w:rPr>
          <w:rFonts w:cs="Times New Roman"/>
        </w:rPr>
        <w:t> — namely that courts may grant a stay of proceedings only in the “clearest of cases”, where the applicant has demonstrated significant prejudice arising from inordinate administrative delay.</w:t>
      </w:r>
    </w:p>
    <w:p w14:paraId="459B58D2" w14:textId="77777777" w:rsidR="00F04D37" w:rsidRPr="008C0A23" w:rsidRDefault="00F04D37" w:rsidP="00F04D37">
      <w:pPr>
        <w:pStyle w:val="Title2LevelTitre2Niveau"/>
        <w:ind w:left="578" w:hanging="578"/>
        <w:rPr>
          <w:rFonts w:cs="Times New Roman"/>
        </w:rPr>
      </w:pPr>
      <w:r w:rsidRPr="008C0A23">
        <w:rPr>
          <w:rFonts w:cs="Times New Roman"/>
        </w:rPr>
        <w:t>Doctrine of Abuse of Process at Common Law</w:t>
      </w:r>
    </w:p>
    <w:p w14:paraId="73AB4C00"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doctrine of abuse of process “has its roots in a judge’s inherent and residual discretion to prevent abuse of the court’s process” (</w:t>
      </w:r>
      <w:proofErr w:type="spellStart"/>
      <w:r w:rsidRPr="008C0A23">
        <w:rPr>
          <w:rFonts w:cs="Times New Roman"/>
          <w:i/>
        </w:rPr>
        <w:t>Behn</w:t>
      </w:r>
      <w:proofErr w:type="spellEnd"/>
      <w:r w:rsidRPr="008C0A23">
        <w:rPr>
          <w:rFonts w:cs="Times New Roman"/>
          <w:i/>
        </w:rPr>
        <w:t> </w:t>
      </w:r>
      <w:r w:rsidRPr="008C0A23">
        <w:rPr>
          <w:rFonts w:cs="Times New Roman"/>
          <w:i/>
          <w:iCs/>
        </w:rPr>
        <w:t>v.</w:t>
      </w:r>
      <w:r w:rsidRPr="008C0A23">
        <w:rPr>
          <w:rFonts w:cs="Times New Roman"/>
          <w:i/>
        </w:rPr>
        <w:t> Moulton Contracting Ltd.</w:t>
      </w:r>
      <w:r w:rsidRPr="008C0A23">
        <w:rPr>
          <w:rFonts w:cs="Times New Roman"/>
        </w:rPr>
        <w:t xml:space="preserve">, 2013 SCC 26, [2013] 2 S.C.R. 227, at para. 39; </w:t>
      </w:r>
      <w:r w:rsidRPr="008C0A23">
        <w:rPr>
          <w:rFonts w:cs="Times New Roman"/>
          <w:i/>
        </w:rPr>
        <w:t>Toronto (City) </w:t>
      </w:r>
      <w:r w:rsidRPr="008C0A23">
        <w:rPr>
          <w:rFonts w:cs="Times New Roman"/>
          <w:i/>
          <w:iCs/>
        </w:rPr>
        <w:t>v.</w:t>
      </w:r>
      <w:r w:rsidRPr="008C0A23">
        <w:rPr>
          <w:rFonts w:cs="Times New Roman"/>
          <w:i/>
        </w:rPr>
        <w:t> C.U.P.E., Local 79</w:t>
      </w:r>
      <w:r w:rsidRPr="008C0A23">
        <w:rPr>
          <w:rFonts w:cs="Times New Roman"/>
        </w:rPr>
        <w:t xml:space="preserve">, </w:t>
      </w:r>
      <w:r>
        <w:rPr>
          <w:rFonts w:cs="Times New Roman"/>
        </w:rPr>
        <w:t xml:space="preserve">2003 SCC 63, </w:t>
      </w:r>
      <w:r w:rsidRPr="008C0A23">
        <w:rPr>
          <w:rFonts w:cs="Times New Roman"/>
        </w:rPr>
        <w:t xml:space="preserve">[2003] 3 S.C.R. 77, at para. 35). This </w:t>
      </w:r>
      <w:r w:rsidRPr="008C0A23">
        <w:rPr>
          <w:rFonts w:cs="Times New Roman"/>
          <w:szCs w:val="24"/>
        </w:rPr>
        <w:t>common law doctrine “is used in a variety of legal contexts” (</w:t>
      </w:r>
      <w:r w:rsidRPr="008C0A23">
        <w:rPr>
          <w:rFonts w:cs="Times New Roman"/>
          <w:i/>
          <w:szCs w:val="24"/>
        </w:rPr>
        <w:t>Toronto v. C.U.P.E.</w:t>
      </w:r>
      <w:r w:rsidRPr="008C0A23">
        <w:rPr>
          <w:rFonts w:cs="Times New Roman"/>
          <w:szCs w:val="24"/>
        </w:rPr>
        <w:t xml:space="preserve">, at para. 36; see also </w:t>
      </w:r>
      <w:proofErr w:type="spellStart"/>
      <w:r w:rsidRPr="008C0A23">
        <w:rPr>
          <w:rFonts w:cs="Times New Roman"/>
          <w:i/>
          <w:szCs w:val="24"/>
        </w:rPr>
        <w:t>Behn</w:t>
      </w:r>
      <w:proofErr w:type="spellEnd"/>
      <w:r w:rsidRPr="008C0A23">
        <w:rPr>
          <w:rFonts w:cs="Times New Roman"/>
          <w:szCs w:val="24"/>
        </w:rPr>
        <w:t xml:space="preserve">, at para. 39). Moreover, the analysis of abuse of process at common law “dovetail[s]” with that of the procedural rights guaranteed in the </w:t>
      </w:r>
      <w:r w:rsidRPr="008C0A23">
        <w:rPr>
          <w:rFonts w:cs="Times New Roman"/>
          <w:i/>
          <w:szCs w:val="24"/>
        </w:rPr>
        <w:t>Canadian Charter of Rights and Freedoms</w:t>
      </w:r>
      <w:r w:rsidRPr="008C0A23">
        <w:rPr>
          <w:rFonts w:cs="Times New Roman"/>
          <w:szCs w:val="24"/>
        </w:rPr>
        <w:t xml:space="preserve"> (</w:t>
      </w:r>
      <w:r w:rsidRPr="008C0A23">
        <w:rPr>
          <w:rFonts w:cs="Times New Roman"/>
          <w:i/>
        </w:rPr>
        <w:t>R. </w:t>
      </w:r>
      <w:r w:rsidRPr="008C0A23">
        <w:rPr>
          <w:rFonts w:cs="Times New Roman"/>
          <w:i/>
          <w:iCs/>
        </w:rPr>
        <w:t>v</w:t>
      </w:r>
      <w:r w:rsidRPr="008C0A23">
        <w:rPr>
          <w:rFonts w:cs="Times New Roman"/>
          <w:i/>
        </w:rPr>
        <w:t>. Regan</w:t>
      </w:r>
      <w:r w:rsidRPr="008C0A23">
        <w:rPr>
          <w:rFonts w:cs="Times New Roman"/>
        </w:rPr>
        <w:t xml:space="preserve">, </w:t>
      </w:r>
      <w:r>
        <w:rPr>
          <w:rFonts w:cs="Times New Roman"/>
        </w:rPr>
        <w:t xml:space="preserve">2002 SCC 12, </w:t>
      </w:r>
      <w:r w:rsidRPr="008C0A23">
        <w:rPr>
          <w:rFonts w:cs="Times New Roman"/>
        </w:rPr>
        <w:t xml:space="preserve">[2002] 1 S.C.R. 297, </w:t>
      </w:r>
      <w:r w:rsidRPr="008C0A23">
        <w:rPr>
          <w:rFonts w:cs="Times New Roman"/>
          <w:szCs w:val="24"/>
        </w:rPr>
        <w:t xml:space="preserve">at para. 50; see also </w:t>
      </w:r>
      <w:r w:rsidRPr="008C0A23">
        <w:rPr>
          <w:rFonts w:cs="Times New Roman"/>
          <w:i/>
          <w:iCs/>
        </w:rPr>
        <w:t>R. v. O’Connor</w:t>
      </w:r>
      <w:r w:rsidRPr="008C0A23">
        <w:rPr>
          <w:rFonts w:cs="Times New Roman"/>
        </w:rPr>
        <w:t>, [1995] 4 S.C.R. 411</w:t>
      </w:r>
      <w:r w:rsidRPr="008C0A23">
        <w:rPr>
          <w:rFonts w:cs="Times New Roman"/>
          <w:szCs w:val="24"/>
        </w:rPr>
        <w:t xml:space="preserve">, at para. 71). The remedies for abuse of process at common law may, however, diverge from those available under s. 24(1) of the </w:t>
      </w:r>
      <w:r w:rsidRPr="008C0A23">
        <w:rPr>
          <w:rFonts w:cs="Times New Roman"/>
          <w:i/>
          <w:szCs w:val="24"/>
        </w:rPr>
        <w:t xml:space="preserve">Charter </w:t>
      </w:r>
      <w:r w:rsidRPr="008C0A23">
        <w:rPr>
          <w:rFonts w:cs="Times New Roman"/>
          <w:szCs w:val="24"/>
        </w:rPr>
        <w:t>(</w:t>
      </w:r>
      <w:r w:rsidRPr="008C0A23">
        <w:rPr>
          <w:rFonts w:cs="Times New Roman"/>
          <w:i/>
          <w:szCs w:val="24"/>
        </w:rPr>
        <w:t>O’Connor</w:t>
      </w:r>
      <w:r w:rsidRPr="008C0A23">
        <w:rPr>
          <w:rFonts w:cs="Times New Roman"/>
          <w:szCs w:val="24"/>
        </w:rPr>
        <w:t>, at para. 68).</w:t>
      </w:r>
    </w:p>
    <w:p w14:paraId="0D8F826E" w14:textId="77777777" w:rsidR="00F04D37" w:rsidRPr="008C0A23" w:rsidRDefault="00F04D37" w:rsidP="00F04D37">
      <w:pPr>
        <w:pStyle w:val="ParaNoNdepar-AltN"/>
        <w:tabs>
          <w:tab w:val="clear" w:pos="1166"/>
          <w:tab w:val="num" w:pos="1152"/>
        </w:tabs>
        <w:rPr>
          <w:rFonts w:cs="Times New Roman"/>
        </w:rPr>
      </w:pPr>
      <w:r w:rsidRPr="008C0A23">
        <w:rPr>
          <w:rFonts w:cs="Times New Roman"/>
          <w:szCs w:val="24"/>
        </w:rPr>
        <w:lastRenderedPageBreak/>
        <w:t>The doctrine of abuse of process</w:t>
      </w:r>
      <w:r w:rsidRPr="008C0A23">
        <w:rPr>
          <w:rFonts w:cs="Times New Roman"/>
        </w:rPr>
        <w:t xml:space="preserve"> “is characterized by its flexibility” and “is unencumbered by specific requirements” (</w:t>
      </w:r>
      <w:proofErr w:type="spellStart"/>
      <w:r w:rsidRPr="008C0A23">
        <w:rPr>
          <w:rFonts w:cs="Times New Roman"/>
          <w:i/>
        </w:rPr>
        <w:t>Behn</w:t>
      </w:r>
      <w:proofErr w:type="spellEnd"/>
      <w:r w:rsidRPr="008C0A23">
        <w:rPr>
          <w:rFonts w:cs="Times New Roman"/>
        </w:rPr>
        <w:t xml:space="preserve">, at para. 40; see also </w:t>
      </w:r>
      <w:r w:rsidRPr="008C0A23">
        <w:rPr>
          <w:rFonts w:cs="Times New Roman"/>
          <w:i/>
          <w:szCs w:val="24"/>
        </w:rPr>
        <w:t>Toronto v. C.U.P.E.</w:t>
      </w:r>
      <w:r w:rsidRPr="008369A2">
        <w:rPr>
          <w:rFonts w:cs="Times New Roman"/>
        </w:rPr>
        <w:t>,</w:t>
      </w:r>
      <w:r w:rsidRPr="008C0A23">
        <w:rPr>
          <w:rFonts w:cs="Times New Roman"/>
        </w:rPr>
        <w:t xml:space="preserve"> at para. 42). The test for abuse of process — in all of its applications — is whether the impugned conduct affects adjudicative fairness or would otherwise bring the administration of justice into disrepute (</w:t>
      </w:r>
      <w:r w:rsidRPr="008C0A23">
        <w:rPr>
          <w:rFonts w:cs="Times New Roman"/>
          <w:i/>
        </w:rPr>
        <w:t>Blencoe</w:t>
      </w:r>
      <w:r w:rsidRPr="008C0A23">
        <w:rPr>
          <w:rFonts w:cs="Times New Roman"/>
        </w:rPr>
        <w:t xml:space="preserve">, at para. 115; </w:t>
      </w:r>
      <w:r w:rsidRPr="008C0A23">
        <w:rPr>
          <w:rFonts w:cs="Times New Roman"/>
          <w:i/>
        </w:rPr>
        <w:t>Canada (Citizenship and Immigration) </w:t>
      </w:r>
      <w:r w:rsidRPr="008C0A23">
        <w:rPr>
          <w:rFonts w:cs="Times New Roman"/>
          <w:i/>
          <w:iCs/>
        </w:rPr>
        <w:t>v. </w:t>
      </w:r>
      <w:proofErr w:type="spellStart"/>
      <w:r w:rsidRPr="008C0A23">
        <w:rPr>
          <w:rFonts w:cs="Times New Roman"/>
          <w:i/>
        </w:rPr>
        <w:t>Harkat</w:t>
      </w:r>
      <w:proofErr w:type="spellEnd"/>
      <w:r w:rsidRPr="008C0A23">
        <w:rPr>
          <w:rFonts w:cs="Times New Roman"/>
        </w:rPr>
        <w:t xml:space="preserve">, 2014 SCC 37, [2014] 2 S.C.R. 33, at para. 106; </w:t>
      </w:r>
      <w:r w:rsidRPr="008C0A23">
        <w:rPr>
          <w:rFonts w:cs="Times New Roman"/>
          <w:i/>
        </w:rPr>
        <w:t>R.</w:t>
      </w:r>
      <w:r w:rsidRPr="008C0A23">
        <w:rPr>
          <w:rFonts w:cs="Times New Roman"/>
          <w:b/>
          <w:bCs/>
          <w:i/>
        </w:rPr>
        <w:t> </w:t>
      </w:r>
      <w:r w:rsidRPr="008C0A23">
        <w:rPr>
          <w:rFonts w:cs="Times New Roman"/>
          <w:i/>
          <w:iCs/>
        </w:rPr>
        <w:t>v.</w:t>
      </w:r>
      <w:r w:rsidRPr="008C0A23">
        <w:rPr>
          <w:rFonts w:cs="Times New Roman"/>
          <w:i/>
        </w:rPr>
        <w:t> Nixon</w:t>
      </w:r>
      <w:r w:rsidRPr="008C0A23">
        <w:rPr>
          <w:rFonts w:cs="Times New Roman"/>
        </w:rPr>
        <w:t xml:space="preserve">, 2011 SCC 34, [2011] 2 S.C.R. 566, at para. 68; </w:t>
      </w:r>
      <w:r w:rsidRPr="008C0A23">
        <w:rPr>
          <w:rFonts w:cs="Times New Roman"/>
          <w:i/>
        </w:rPr>
        <w:t>R. </w:t>
      </w:r>
      <w:r w:rsidRPr="008C0A23">
        <w:rPr>
          <w:rFonts w:cs="Times New Roman"/>
          <w:i/>
          <w:iCs/>
        </w:rPr>
        <w:t>v.</w:t>
      </w:r>
      <w:r w:rsidRPr="008C0A23">
        <w:rPr>
          <w:rFonts w:cs="Times New Roman"/>
          <w:i/>
        </w:rPr>
        <w:t> Anderson</w:t>
      </w:r>
      <w:r w:rsidRPr="008369A2">
        <w:rPr>
          <w:rFonts w:cs="Times New Roman"/>
          <w:bCs/>
        </w:rPr>
        <w:t>,</w:t>
      </w:r>
      <w:r>
        <w:rPr>
          <w:rFonts w:cs="Times New Roman"/>
        </w:rPr>
        <w:t xml:space="preserve"> </w:t>
      </w:r>
      <w:r w:rsidRPr="008C0A23">
        <w:rPr>
          <w:rFonts w:cs="Times New Roman"/>
        </w:rPr>
        <w:t>2014 SCC 41, [2</w:t>
      </w:r>
      <w:r>
        <w:rPr>
          <w:rFonts w:cs="Times New Roman"/>
        </w:rPr>
        <w:t>014] 2 S.C.R. 167, at paras. 49</w:t>
      </w:r>
      <w:r>
        <w:rPr>
          <w:rFonts w:cs="Times New Roman"/>
        </w:rPr>
        <w:noBreakHyphen/>
      </w:r>
      <w:r w:rsidRPr="008C0A23">
        <w:rPr>
          <w:rFonts w:cs="Times New Roman"/>
        </w:rPr>
        <w:t xml:space="preserve">50; </w:t>
      </w:r>
      <w:r w:rsidRPr="008C0A23">
        <w:rPr>
          <w:rFonts w:cs="Times New Roman"/>
          <w:i/>
          <w:iCs/>
        </w:rPr>
        <w:t>O’Connor</w:t>
      </w:r>
      <w:r>
        <w:rPr>
          <w:rFonts w:cs="Times New Roman"/>
        </w:rPr>
        <w:t>, at paras. 60</w:t>
      </w:r>
      <w:r>
        <w:rPr>
          <w:rFonts w:cs="Times New Roman"/>
        </w:rPr>
        <w:noBreakHyphen/>
      </w:r>
      <w:r w:rsidRPr="008C0A23">
        <w:rPr>
          <w:rFonts w:cs="Times New Roman"/>
        </w:rPr>
        <w:t xml:space="preserve">64; </w:t>
      </w:r>
      <w:r w:rsidRPr="008C0A23">
        <w:rPr>
          <w:rFonts w:cs="Times New Roman"/>
          <w:i/>
        </w:rPr>
        <w:t>R. </w:t>
      </w:r>
      <w:r w:rsidRPr="008C0A23">
        <w:rPr>
          <w:rFonts w:cs="Times New Roman"/>
          <w:i/>
          <w:iCs/>
        </w:rPr>
        <w:t>v.</w:t>
      </w:r>
      <w:r w:rsidRPr="008C0A23">
        <w:rPr>
          <w:rFonts w:cs="Times New Roman"/>
          <w:i/>
        </w:rPr>
        <w:t> Babos</w:t>
      </w:r>
      <w:r w:rsidRPr="008C0A23">
        <w:rPr>
          <w:rFonts w:cs="Times New Roman"/>
        </w:rPr>
        <w:t xml:space="preserve">, 2014 SCC 16, [2014] 1 S.C.R. 309, at para. 31; </w:t>
      </w:r>
      <w:r w:rsidRPr="008C0A23">
        <w:rPr>
          <w:rFonts w:cs="Times New Roman"/>
          <w:i/>
        </w:rPr>
        <w:t>Regan</w:t>
      </w:r>
      <w:r w:rsidRPr="008C0A23">
        <w:rPr>
          <w:rFonts w:cs="Times New Roman"/>
        </w:rPr>
        <w:t>, at para. 4</w:t>
      </w:r>
      <w:r>
        <w:rPr>
          <w:rFonts w:cs="Times New Roman"/>
        </w:rPr>
        <w:t>9;</w:t>
      </w:r>
      <w:r w:rsidRPr="008C0A23">
        <w:rPr>
          <w:rFonts w:cs="Times New Roman"/>
        </w:rPr>
        <w:t xml:space="preserve"> </w:t>
      </w:r>
      <w:proofErr w:type="spellStart"/>
      <w:r w:rsidRPr="008C0A23">
        <w:rPr>
          <w:rFonts w:cs="Times New Roman"/>
          <w:i/>
        </w:rPr>
        <w:t>Behn</w:t>
      </w:r>
      <w:proofErr w:type="spellEnd"/>
      <w:r w:rsidRPr="008C0A23">
        <w:rPr>
          <w:rFonts w:cs="Times New Roman"/>
        </w:rPr>
        <w:t xml:space="preserve">, at para. 39; </w:t>
      </w:r>
      <w:r w:rsidRPr="008C0A23">
        <w:rPr>
          <w:rFonts w:cs="Times New Roman"/>
          <w:i/>
        </w:rPr>
        <w:t>United States of America </w:t>
      </w:r>
      <w:r w:rsidRPr="008C0A23">
        <w:rPr>
          <w:rFonts w:cs="Times New Roman"/>
          <w:i/>
          <w:iCs/>
        </w:rPr>
        <w:t>v</w:t>
      </w:r>
      <w:r w:rsidRPr="008C0A23">
        <w:rPr>
          <w:rFonts w:cs="Times New Roman"/>
          <w:i/>
        </w:rPr>
        <w:t>. Cobb</w:t>
      </w:r>
      <w:r w:rsidRPr="008C0A23">
        <w:rPr>
          <w:rFonts w:cs="Times New Roman"/>
        </w:rPr>
        <w:t xml:space="preserve">, </w:t>
      </w:r>
      <w:r>
        <w:rPr>
          <w:rFonts w:cs="Times New Roman"/>
        </w:rPr>
        <w:t xml:space="preserve">2001 SCC 19, </w:t>
      </w:r>
      <w:r w:rsidRPr="008C0A23">
        <w:rPr>
          <w:rFonts w:cs="Times New Roman"/>
        </w:rPr>
        <w:t>[2001] 1 S.C.R. 587, at paras. 36</w:t>
      </w:r>
      <w:r>
        <w:rPr>
          <w:rFonts w:cs="Times New Roman"/>
        </w:rPr>
        <w:noBreakHyphen/>
      </w:r>
      <w:r w:rsidRPr="008C0A23">
        <w:rPr>
          <w:rFonts w:cs="Times New Roman"/>
        </w:rPr>
        <w:t xml:space="preserve">40; </w:t>
      </w:r>
      <w:r w:rsidRPr="008C0A23">
        <w:rPr>
          <w:rFonts w:cs="Times New Roman"/>
          <w:i/>
          <w:iCs/>
        </w:rPr>
        <w:t>R. v. Scott</w:t>
      </w:r>
      <w:r w:rsidRPr="008C0A23">
        <w:rPr>
          <w:rFonts w:cs="Times New Roman"/>
        </w:rPr>
        <w:t>, [1990] 3 S.C.R. 979, at p. 1007;</w:t>
      </w:r>
      <w:r w:rsidRPr="008C0A23">
        <w:rPr>
          <w:rFonts w:cs="Times New Roman"/>
          <w:i/>
        </w:rPr>
        <w:t xml:space="preserve"> </w:t>
      </w:r>
      <w:r w:rsidRPr="008C0A23">
        <w:rPr>
          <w:rFonts w:cs="Times New Roman"/>
          <w:i/>
          <w:iCs/>
        </w:rPr>
        <w:t>R. v. Power</w:t>
      </w:r>
      <w:r w:rsidRPr="008C0A23">
        <w:rPr>
          <w:rFonts w:cs="Times New Roman"/>
        </w:rPr>
        <w:t>, [1994] 1 S.C.R. 601, at p. 616). In sum, an abuse of process may arise from two often interrelated categories: adjudicative unfairness and harm to the integrity of the justice system.</w:t>
      </w:r>
    </w:p>
    <w:p w14:paraId="558B7520"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Abuse of process must be disentangled analytically from a stay of proceedings, which is but one of the remedies available at common law to redress abusive conduct (</w:t>
      </w:r>
      <w:r w:rsidRPr="008C0A23">
        <w:rPr>
          <w:rFonts w:cs="Times New Roman"/>
          <w:i/>
        </w:rPr>
        <w:t>Regan</w:t>
      </w:r>
      <w:r w:rsidRPr="008C0A23">
        <w:rPr>
          <w:rFonts w:cs="Times New Roman"/>
        </w:rPr>
        <w:t xml:space="preserve">, at para. 53; </w:t>
      </w:r>
      <w:r w:rsidRPr="008C0A23">
        <w:rPr>
          <w:rFonts w:cs="Times New Roman"/>
          <w:i/>
        </w:rPr>
        <w:t>Blencoe</w:t>
      </w:r>
      <w:r w:rsidRPr="008C0A23">
        <w:rPr>
          <w:rFonts w:cs="Times New Roman"/>
        </w:rPr>
        <w:t>, at para. 117;</w:t>
      </w:r>
      <w:r w:rsidRPr="008C0A23">
        <w:rPr>
          <w:rFonts w:cs="Times New Roman"/>
          <w:i/>
        </w:rPr>
        <w:t xml:space="preserve"> </w:t>
      </w:r>
      <w:r w:rsidRPr="008C0A23">
        <w:rPr>
          <w:rFonts w:cs="Times New Roman"/>
        </w:rPr>
        <w:t>see also S</w:t>
      </w:r>
      <w:r>
        <w:rPr>
          <w:rFonts w:cs="Times New Roman"/>
        </w:rPr>
        <w:t>. </w:t>
      </w:r>
      <w:r w:rsidRPr="008C0A23">
        <w:rPr>
          <w:rFonts w:cs="Times New Roman"/>
        </w:rPr>
        <w:t xml:space="preserve">Coughlan, “Threading Together Abuse of Process and Exclusion of Evidence: How it Became Possible to Rebuke Mr. Big” (2015), 71 </w:t>
      </w:r>
      <w:r w:rsidRPr="008C0A23">
        <w:rPr>
          <w:rFonts w:cs="Times New Roman"/>
          <w:i/>
        </w:rPr>
        <w:t xml:space="preserve">S.C.L.R. </w:t>
      </w:r>
      <w:r w:rsidRPr="008C0A23">
        <w:rPr>
          <w:rFonts w:cs="Times New Roman"/>
        </w:rPr>
        <w:t>(2d)</w:t>
      </w:r>
      <w:r w:rsidRPr="008C0A23">
        <w:rPr>
          <w:rFonts w:cs="Times New Roman"/>
          <w:i/>
        </w:rPr>
        <w:t xml:space="preserve"> </w:t>
      </w:r>
      <w:r w:rsidRPr="008C0A23">
        <w:rPr>
          <w:rFonts w:cs="Times New Roman"/>
        </w:rPr>
        <w:t>415, at pp. 425</w:t>
      </w:r>
      <w:r>
        <w:rPr>
          <w:rFonts w:cs="Times New Roman"/>
        </w:rPr>
        <w:noBreakHyphen/>
      </w:r>
      <w:r w:rsidRPr="008C0A23">
        <w:rPr>
          <w:rFonts w:cs="Times New Roman"/>
        </w:rPr>
        <w:t>29; F</w:t>
      </w:r>
      <w:r>
        <w:rPr>
          <w:rFonts w:cs="Times New Roman"/>
        </w:rPr>
        <w:t>. </w:t>
      </w:r>
      <w:proofErr w:type="spellStart"/>
      <w:r w:rsidRPr="008C0A23">
        <w:rPr>
          <w:rFonts w:cs="Times New Roman"/>
        </w:rPr>
        <w:t>Lowery</w:t>
      </w:r>
      <w:proofErr w:type="spellEnd"/>
      <w:r w:rsidRPr="008C0A23">
        <w:rPr>
          <w:rFonts w:cs="Times New Roman"/>
        </w:rPr>
        <w:t xml:space="preserve">, “Abuse of Process: The Need for Structure” (2014), 20 </w:t>
      </w:r>
      <w:r w:rsidRPr="008C0A23">
        <w:rPr>
          <w:rFonts w:cs="Times New Roman"/>
          <w:i/>
        </w:rPr>
        <w:t>Auckland U</w:t>
      </w:r>
      <w:r>
        <w:rPr>
          <w:rFonts w:cs="Times New Roman"/>
          <w:i/>
        </w:rPr>
        <w:t>.</w:t>
      </w:r>
      <w:r w:rsidRPr="008C0A23">
        <w:rPr>
          <w:rFonts w:cs="Times New Roman"/>
          <w:i/>
        </w:rPr>
        <w:t xml:space="preserve"> L.</w:t>
      </w:r>
      <w:r>
        <w:rPr>
          <w:rFonts w:cs="Times New Roman"/>
          <w:i/>
        </w:rPr>
        <w:t xml:space="preserve"> </w:t>
      </w:r>
      <w:r w:rsidRPr="008C0A23">
        <w:rPr>
          <w:rFonts w:cs="Times New Roman"/>
          <w:i/>
        </w:rPr>
        <w:t>R</w:t>
      </w:r>
      <w:r>
        <w:rPr>
          <w:rFonts w:cs="Times New Roman"/>
          <w:i/>
        </w:rPr>
        <w:t>ev</w:t>
      </w:r>
      <w:r w:rsidRPr="008C0A23">
        <w:rPr>
          <w:rFonts w:cs="Times New Roman"/>
          <w:i/>
        </w:rPr>
        <w:t xml:space="preserve">. </w:t>
      </w:r>
      <w:r w:rsidRPr="008C0A23">
        <w:rPr>
          <w:rFonts w:cs="Times New Roman"/>
        </w:rPr>
        <w:t>223, at pp. 234</w:t>
      </w:r>
      <w:r>
        <w:rPr>
          <w:rFonts w:cs="Times New Roman"/>
        </w:rPr>
        <w:t xml:space="preserve"> et seq.</w:t>
      </w:r>
      <w:r w:rsidRPr="008C0A23">
        <w:rPr>
          <w:rFonts w:cs="Times New Roman"/>
        </w:rPr>
        <w:t>). It is crucial to draw this distinction because the threshold for demonstrating abusive conduct is much lower than the one for obtaining a stay of proceedings.</w:t>
      </w:r>
    </w:p>
    <w:p w14:paraId="62192B2F"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lastRenderedPageBreak/>
        <w:t>This Court has established stringent requirements for granting a stay of proceedings due to the “drastic” nature of this remedy (</w:t>
      </w:r>
      <w:r w:rsidRPr="008C0A23">
        <w:rPr>
          <w:rFonts w:cs="Times New Roman"/>
          <w:i/>
        </w:rPr>
        <w:t>Regan</w:t>
      </w:r>
      <w:r w:rsidRPr="008C0A23">
        <w:rPr>
          <w:rFonts w:cs="Times New Roman"/>
        </w:rPr>
        <w:t>, at para. 53). It is only in the “clearest of cases” that courts may stay proceedings (</w:t>
      </w:r>
      <w:r w:rsidRPr="008C0A23">
        <w:rPr>
          <w:rFonts w:cs="Times New Roman"/>
          <w:i/>
        </w:rPr>
        <w:t>O’Connor</w:t>
      </w:r>
      <w:r w:rsidRPr="008C0A23">
        <w:rPr>
          <w:rFonts w:cs="Times New Roman"/>
        </w:rPr>
        <w:t>, at paras. 68</w:t>
      </w:r>
      <w:r>
        <w:rPr>
          <w:rFonts w:cs="Times New Roman"/>
        </w:rPr>
        <w:t xml:space="preserve"> and</w:t>
      </w:r>
      <w:r w:rsidRPr="008C0A23">
        <w:rPr>
          <w:rFonts w:cs="Times New Roman"/>
        </w:rPr>
        <w:t xml:space="preserve"> 82; </w:t>
      </w:r>
      <w:r w:rsidRPr="008C0A23">
        <w:rPr>
          <w:rFonts w:cs="Times New Roman"/>
          <w:i/>
        </w:rPr>
        <w:t>R. </w:t>
      </w:r>
      <w:r w:rsidRPr="008C0A23">
        <w:rPr>
          <w:rFonts w:cs="Times New Roman"/>
          <w:i/>
          <w:iCs/>
        </w:rPr>
        <w:t>v</w:t>
      </w:r>
      <w:r w:rsidRPr="008C0A23">
        <w:rPr>
          <w:rFonts w:cs="Times New Roman"/>
          <w:i/>
        </w:rPr>
        <w:t>. </w:t>
      </w:r>
      <w:proofErr w:type="spellStart"/>
      <w:r w:rsidRPr="008C0A23">
        <w:rPr>
          <w:rFonts w:cs="Times New Roman"/>
          <w:i/>
        </w:rPr>
        <w:t>Carosella</w:t>
      </w:r>
      <w:proofErr w:type="spellEnd"/>
      <w:r w:rsidRPr="008C0A23">
        <w:rPr>
          <w:rFonts w:cs="Times New Roman"/>
        </w:rPr>
        <w:t xml:space="preserve">, [1997] 1 S.C.R. 80, at para. 52; </w:t>
      </w:r>
      <w:r w:rsidRPr="008C0A23">
        <w:rPr>
          <w:rFonts w:cs="Times New Roman"/>
          <w:i/>
        </w:rPr>
        <w:t>Canada (Minister of Citizenship and Immigration) </w:t>
      </w:r>
      <w:r w:rsidRPr="008C0A23">
        <w:rPr>
          <w:rFonts w:cs="Times New Roman"/>
          <w:i/>
          <w:iCs/>
        </w:rPr>
        <w:t>v</w:t>
      </w:r>
      <w:r w:rsidRPr="008C0A23">
        <w:rPr>
          <w:rFonts w:cs="Times New Roman"/>
          <w:i/>
        </w:rPr>
        <w:t xml:space="preserve">. </w:t>
      </w:r>
      <w:proofErr w:type="spellStart"/>
      <w:r w:rsidRPr="008C0A23">
        <w:rPr>
          <w:rFonts w:cs="Times New Roman"/>
          <w:i/>
        </w:rPr>
        <w:t>Tobiass</w:t>
      </w:r>
      <w:proofErr w:type="spellEnd"/>
      <w:r w:rsidRPr="008C0A23">
        <w:rPr>
          <w:rFonts w:cs="Times New Roman"/>
        </w:rPr>
        <w:t xml:space="preserve">, [1997] 3 S.C.R. 391, at para. 59; </w:t>
      </w:r>
      <w:r w:rsidRPr="008C0A23">
        <w:rPr>
          <w:rFonts w:cs="Times New Roman"/>
          <w:i/>
        </w:rPr>
        <w:t>Blencoe</w:t>
      </w:r>
      <w:r w:rsidRPr="008C0A23">
        <w:rPr>
          <w:rFonts w:cs="Times New Roman"/>
        </w:rPr>
        <w:t>, at para. 118;</w:t>
      </w:r>
      <w:r w:rsidRPr="008C0A23">
        <w:rPr>
          <w:rFonts w:cs="Times New Roman"/>
          <w:i/>
        </w:rPr>
        <w:t xml:space="preserve"> Regan</w:t>
      </w:r>
      <w:r w:rsidRPr="008C0A23">
        <w:rPr>
          <w:rFonts w:cs="Times New Roman"/>
        </w:rPr>
        <w:t xml:space="preserve">, at para. 53; </w:t>
      </w:r>
      <w:r w:rsidRPr="008C0A23">
        <w:rPr>
          <w:rFonts w:cs="Times New Roman"/>
          <w:i/>
        </w:rPr>
        <w:t>R. </w:t>
      </w:r>
      <w:r w:rsidRPr="008C0A23">
        <w:rPr>
          <w:rFonts w:cs="Times New Roman"/>
          <w:i/>
          <w:iCs/>
        </w:rPr>
        <w:t>v. </w:t>
      </w:r>
      <w:r w:rsidRPr="008C0A23">
        <w:rPr>
          <w:rFonts w:cs="Times New Roman"/>
          <w:i/>
        </w:rPr>
        <w:t>Nasogaluak</w:t>
      </w:r>
      <w:r w:rsidRPr="008C0A23">
        <w:rPr>
          <w:rFonts w:cs="Times New Roman"/>
        </w:rPr>
        <w:t xml:space="preserve">, 2010 SCC 6, [2010] 1 S.C.R. 206, at para. 17; </w:t>
      </w:r>
      <w:r w:rsidRPr="008C0A23">
        <w:rPr>
          <w:rFonts w:cs="Times New Roman"/>
          <w:i/>
        </w:rPr>
        <w:t>Babos</w:t>
      </w:r>
      <w:r w:rsidRPr="008C0A23">
        <w:rPr>
          <w:rFonts w:cs="Times New Roman"/>
        </w:rPr>
        <w:t xml:space="preserve">, at para. 31; </w:t>
      </w:r>
      <w:r w:rsidRPr="008C0A23">
        <w:rPr>
          <w:rFonts w:cs="Times New Roman"/>
          <w:i/>
        </w:rPr>
        <w:t>R. v. Sullivan</w:t>
      </w:r>
      <w:r w:rsidRPr="008C0A23">
        <w:rPr>
          <w:rFonts w:cs="Times New Roman"/>
        </w:rPr>
        <w:t>, 2022 SCC 19, at para. 95). An applicant must satisfy the following test to obtain a stay:</w:t>
      </w:r>
    </w:p>
    <w:p w14:paraId="7A9A8CC0" w14:textId="77777777" w:rsidR="00F04D37" w:rsidRPr="008C0A23" w:rsidRDefault="00F04D37" w:rsidP="00F04D37">
      <w:pPr>
        <w:pStyle w:val="citation-altc0"/>
        <w:tabs>
          <w:tab w:val="left" w:pos="1843"/>
        </w:tabs>
        <w:spacing w:before="0" w:beforeAutospacing="0" w:after="480" w:afterAutospacing="0" w:line="480" w:lineRule="auto"/>
        <w:ind w:left="1888" w:hanging="720"/>
        <w:jc w:val="both"/>
      </w:pPr>
      <w:r w:rsidRPr="008C0A23">
        <w:t>(1)</w:t>
      </w:r>
      <w:r w:rsidRPr="008C0A23">
        <w:tab/>
      </w:r>
      <w:proofErr w:type="gramStart"/>
      <w:r w:rsidRPr="008C0A23">
        <w:t>there</w:t>
      </w:r>
      <w:proofErr w:type="gramEnd"/>
      <w:r w:rsidRPr="008C0A23">
        <w:t xml:space="preserve"> must be prejudice to the fairness of the trial or the integrity of the justice system that will be manifested, perpetuated or aggravated through the conduct of the trial, or by its outcome;</w:t>
      </w:r>
    </w:p>
    <w:p w14:paraId="1616AA6C" w14:textId="77777777" w:rsidR="00F04D37" w:rsidRPr="008C0A23" w:rsidRDefault="00F04D37" w:rsidP="00F04D37">
      <w:pPr>
        <w:pStyle w:val="citation-altc0"/>
        <w:spacing w:before="0" w:beforeAutospacing="0" w:after="480" w:afterAutospacing="0" w:line="480" w:lineRule="auto"/>
        <w:ind w:left="1888" w:hanging="720"/>
        <w:jc w:val="both"/>
      </w:pPr>
      <w:r w:rsidRPr="008C0A23">
        <w:t>(2)</w:t>
      </w:r>
      <w:r w:rsidRPr="008C0A23">
        <w:tab/>
      </w:r>
      <w:proofErr w:type="gramStart"/>
      <w:r w:rsidRPr="008C0A23">
        <w:t>there</w:t>
      </w:r>
      <w:proofErr w:type="gramEnd"/>
      <w:r w:rsidRPr="008C0A23">
        <w:t xml:space="preserve"> must be no alternative remedy capable of redressing the prejudice; and</w:t>
      </w:r>
    </w:p>
    <w:p w14:paraId="7E94B0B2" w14:textId="77777777" w:rsidR="00F04D37" w:rsidRPr="008C0A23" w:rsidRDefault="00F04D37" w:rsidP="00F04D37">
      <w:pPr>
        <w:pStyle w:val="citation-altc0"/>
        <w:spacing w:before="0" w:beforeAutospacing="0" w:after="480" w:afterAutospacing="0" w:line="480" w:lineRule="auto"/>
        <w:ind w:left="1888" w:hanging="720"/>
        <w:jc w:val="both"/>
      </w:pPr>
      <w:r w:rsidRPr="008C0A23">
        <w:t>(3)</w:t>
      </w:r>
      <w:r w:rsidRPr="008C0A23">
        <w:tab/>
        <w:t>where it is unclear whether a stay is warranted after the first two steps, the court is required to balance the interests in favour of granting a stay, such as denouncing misconduct and preserving the integrity of the justice system, against the interest that society has in having a final decision on the merits</w:t>
      </w:r>
      <w:r>
        <w:t xml:space="preserve"> </w:t>
      </w:r>
      <w:r w:rsidRPr="008C0A23">
        <w:t>(</w:t>
      </w:r>
      <w:r w:rsidRPr="008C0A23">
        <w:rPr>
          <w:i/>
        </w:rPr>
        <w:t>Sullivan</w:t>
      </w:r>
      <w:r w:rsidRPr="008C0A23">
        <w:t xml:space="preserve">, at para. 95; </w:t>
      </w:r>
      <w:r w:rsidRPr="008C0A23">
        <w:rPr>
          <w:rFonts w:eastAsiaTheme="minorEastAsia"/>
          <w:i/>
          <w:lang w:eastAsia="en-US"/>
        </w:rPr>
        <w:t>Babos</w:t>
      </w:r>
      <w:r w:rsidRPr="008C0A23">
        <w:rPr>
          <w:rFonts w:eastAsiaTheme="minorEastAsia"/>
          <w:lang w:eastAsia="en-US"/>
        </w:rPr>
        <w:t xml:space="preserve">, at para. 32; </w:t>
      </w:r>
      <w:r w:rsidRPr="008C0A23">
        <w:rPr>
          <w:rFonts w:eastAsiaTheme="minorEastAsia"/>
          <w:i/>
        </w:rPr>
        <w:t>Regan</w:t>
      </w:r>
      <w:r w:rsidRPr="008C0A23">
        <w:rPr>
          <w:rFonts w:eastAsiaTheme="minorEastAsia"/>
        </w:rPr>
        <w:t>, at paras. 54</w:t>
      </w:r>
      <w:r>
        <w:rPr>
          <w:rFonts w:eastAsiaTheme="minorEastAsia"/>
        </w:rPr>
        <w:noBreakHyphen/>
      </w:r>
      <w:r w:rsidRPr="008C0A23">
        <w:rPr>
          <w:rFonts w:eastAsiaTheme="minorEastAsia"/>
        </w:rPr>
        <w:t xml:space="preserve">57; </w:t>
      </w:r>
      <w:proofErr w:type="spellStart"/>
      <w:r w:rsidRPr="008C0A23">
        <w:rPr>
          <w:rFonts w:eastAsiaTheme="minorEastAsia"/>
          <w:i/>
        </w:rPr>
        <w:t>Tobiass</w:t>
      </w:r>
      <w:proofErr w:type="spellEnd"/>
      <w:r w:rsidRPr="008C0A23">
        <w:rPr>
          <w:rFonts w:eastAsiaTheme="minorEastAsia"/>
        </w:rPr>
        <w:t>, at paras. 90</w:t>
      </w:r>
      <w:r>
        <w:rPr>
          <w:rFonts w:eastAsiaTheme="minorEastAsia"/>
        </w:rPr>
        <w:noBreakHyphen/>
      </w:r>
      <w:r w:rsidRPr="008C0A23">
        <w:rPr>
          <w:rFonts w:eastAsiaTheme="minorEastAsia"/>
        </w:rPr>
        <w:t xml:space="preserve">92; </w:t>
      </w:r>
      <w:r w:rsidRPr="008C0A23">
        <w:rPr>
          <w:rFonts w:eastAsiaTheme="minorEastAsia"/>
          <w:i/>
        </w:rPr>
        <w:t>O’Connor</w:t>
      </w:r>
      <w:r w:rsidRPr="008C0A23">
        <w:rPr>
          <w:rFonts w:eastAsiaTheme="minorEastAsia"/>
        </w:rPr>
        <w:t>, at paras. 75</w:t>
      </w:r>
      <w:r>
        <w:rPr>
          <w:rFonts w:eastAsiaTheme="minorEastAsia"/>
        </w:rPr>
        <w:noBreakHyphen/>
      </w:r>
      <w:r w:rsidRPr="008C0A23">
        <w:rPr>
          <w:rFonts w:eastAsiaTheme="minorEastAsia"/>
        </w:rPr>
        <w:t>82).</w:t>
      </w:r>
    </w:p>
    <w:p w14:paraId="294B9719" w14:textId="77777777" w:rsidR="00F04D37" w:rsidRPr="008C0A23" w:rsidRDefault="00F04D37" w:rsidP="00F04D37">
      <w:pPr>
        <w:pStyle w:val="ContinueParaSuitedupar-AltP"/>
        <w:rPr>
          <w:rFonts w:cs="Times New Roman"/>
        </w:rPr>
      </w:pPr>
      <w:r w:rsidRPr="008C0A23">
        <w:rPr>
          <w:rFonts w:cs="Times New Roman"/>
        </w:rPr>
        <w:lastRenderedPageBreak/>
        <w:t xml:space="preserve">This test also applies to abusive delay in administrative proceedings, as indicated by Bastarache J.’s references to the “clearest of cases” threshold in </w:t>
      </w:r>
      <w:r w:rsidRPr="008C0A23">
        <w:rPr>
          <w:rFonts w:cs="Times New Roman"/>
          <w:i/>
        </w:rPr>
        <w:t>Blencoe</w:t>
      </w:r>
      <w:r w:rsidRPr="008C0A23">
        <w:rPr>
          <w:rFonts w:cs="Times New Roman"/>
        </w:rPr>
        <w:t>, at paras. 118 and 120.</w:t>
      </w:r>
    </w:p>
    <w:p w14:paraId="53F06C6D"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With respect, I am of the view that the majority’s reasons conflate the doctrine of abuse of process with the test for stays of proceedings, which are only a subset of the remedies that courts may order to sanction abusive conduct. The majority thus fails to distinguish between, on the one hand, the test for whether conduct amounts to an abuse of process and, on the other hand, the test for whether a stay of proceedings is warranted in the circumstances (</w:t>
      </w:r>
      <w:r w:rsidRPr="008C0A23">
        <w:rPr>
          <w:rFonts w:cs="Times New Roman"/>
          <w:i/>
        </w:rPr>
        <w:t>O’Connor</w:t>
      </w:r>
      <w:r w:rsidRPr="008C0A23">
        <w:rPr>
          <w:rFonts w:cs="Times New Roman"/>
        </w:rPr>
        <w:t>, at para. 72). The former is flexible and unencumbered by particular requirements; the court must simply determine whether the impugned conduct undermines adjudicative fairness or the integrity of the justice system. The latter establishes an onerous threshold that is met only in the clearest of cases, where the applicant satisfies specific, stringent requirements.</w:t>
      </w:r>
    </w:p>
    <w:p w14:paraId="497C8357" w14:textId="77777777" w:rsidR="00F04D37" w:rsidRPr="008C0A23" w:rsidRDefault="00F04D37" w:rsidP="00F04D37">
      <w:pPr>
        <w:pStyle w:val="ParaNoNdepar-AltN"/>
        <w:tabs>
          <w:tab w:val="clear" w:pos="1166"/>
          <w:tab w:val="num" w:pos="1152"/>
        </w:tabs>
        <w:rPr>
          <w:rFonts w:cs="Times New Roman"/>
        </w:rPr>
      </w:pPr>
      <w:r w:rsidRPr="008C0A23">
        <w:rPr>
          <w:rFonts w:cs="Times New Roman"/>
          <w:szCs w:val="24"/>
        </w:rPr>
        <w:t xml:space="preserve">One final point concerning abuse of process is in order. This common law doctrine has always focused on the </w:t>
      </w:r>
      <w:r w:rsidRPr="008C0A23">
        <w:rPr>
          <w:rFonts w:cs="Times New Roman"/>
          <w:i/>
          <w:szCs w:val="24"/>
        </w:rPr>
        <w:t xml:space="preserve">integrity of the justice system </w:t>
      </w:r>
      <w:r w:rsidRPr="008C0A23">
        <w:rPr>
          <w:rFonts w:cs="Times New Roman"/>
          <w:szCs w:val="24"/>
        </w:rPr>
        <w:t xml:space="preserve">rather than the interests of particular litigants, as Arbour J. underscored in </w:t>
      </w:r>
      <w:r w:rsidRPr="008C0A23">
        <w:rPr>
          <w:rFonts w:cs="Times New Roman"/>
          <w:i/>
          <w:szCs w:val="24"/>
        </w:rPr>
        <w:t>Toronto v. C.U.P.E.</w:t>
      </w:r>
      <w:r w:rsidRPr="008C0A23">
        <w:rPr>
          <w:rFonts w:cs="Times New Roman"/>
          <w:szCs w:val="24"/>
        </w:rPr>
        <w:t>, at para. 43:</w:t>
      </w:r>
    </w:p>
    <w:p w14:paraId="48C7701B" w14:textId="77777777" w:rsidR="00F04D37" w:rsidRPr="008C0A23" w:rsidRDefault="00F04D37" w:rsidP="00F04D37">
      <w:pPr>
        <w:pStyle w:val="Citation-AltC"/>
      </w:pPr>
      <w:r w:rsidRPr="008C0A23">
        <w:rPr>
          <w:u w:val="single"/>
        </w:rPr>
        <w:t>In all of its applications, the primary focus of the doctrine of abuse of process is the integrity of the ad</w:t>
      </w:r>
      <w:r>
        <w:rPr>
          <w:u w:val="single"/>
        </w:rPr>
        <w:t>judicative functions of courts.</w:t>
      </w:r>
      <w:r w:rsidRPr="008C0A23">
        <w:rPr>
          <w:u w:val="single"/>
        </w:rPr>
        <w:t xml:space="preserve"> Whether it serves to disentitle the Crown from proceeding because of undue delays</w:t>
      </w:r>
      <w:r>
        <w:t xml:space="preserve"> (see </w:t>
      </w:r>
      <w:r w:rsidRPr="008C0A23">
        <w:rPr>
          <w:i/>
          <w:iCs/>
        </w:rPr>
        <w:t>Blencoe</w:t>
      </w:r>
      <w:r w:rsidRPr="008C0A23">
        <w:t>,</w:t>
      </w:r>
      <w:r>
        <w:t xml:space="preserve"> </w:t>
      </w:r>
      <w:r w:rsidRPr="008C0A23">
        <w:rPr>
          <w:i/>
          <w:iCs/>
        </w:rPr>
        <w:t>supra</w:t>
      </w:r>
      <w:r w:rsidRPr="008C0A23">
        <w:t>), or whether it prevents a civil party from using the cour</w:t>
      </w:r>
      <w:r>
        <w:t xml:space="preserve">ts for an improper purpose (see </w:t>
      </w:r>
      <w:r w:rsidRPr="008C0A23">
        <w:rPr>
          <w:i/>
          <w:iCs/>
        </w:rPr>
        <w:t>Hunter</w:t>
      </w:r>
      <w:r>
        <w:t xml:space="preserve">, </w:t>
      </w:r>
      <w:r w:rsidRPr="008C0A23">
        <w:rPr>
          <w:i/>
          <w:iCs/>
        </w:rPr>
        <w:t>supra</w:t>
      </w:r>
      <w:r>
        <w:t xml:space="preserve">, and </w:t>
      </w:r>
      <w:r w:rsidRPr="008C0A23">
        <w:rPr>
          <w:i/>
          <w:iCs/>
        </w:rPr>
        <w:t>Demeter</w:t>
      </w:r>
      <w:r>
        <w:t xml:space="preserve">, </w:t>
      </w:r>
      <w:r w:rsidRPr="008C0A23">
        <w:rPr>
          <w:i/>
          <w:iCs/>
        </w:rPr>
        <w:t>supra</w:t>
      </w:r>
      <w:r w:rsidRPr="008C0A23">
        <w:t xml:space="preserve">), </w:t>
      </w:r>
      <w:r w:rsidRPr="008C0A23">
        <w:rPr>
          <w:u w:val="single"/>
        </w:rPr>
        <w:t xml:space="preserve">the focus is less on the interest </w:t>
      </w:r>
      <w:r>
        <w:rPr>
          <w:u w:val="single"/>
        </w:rPr>
        <w:t xml:space="preserve">of </w:t>
      </w:r>
      <w:r w:rsidRPr="008C0A23">
        <w:rPr>
          <w:u w:val="single"/>
        </w:rPr>
        <w:t>parties and more on the integrity of judicial decision making as a branch of the administration of justice</w:t>
      </w:r>
      <w:r w:rsidRPr="008C0A23">
        <w:t xml:space="preserve">. In a case such as the present one, it is that concern that compels a bar against </w:t>
      </w:r>
      <w:r w:rsidRPr="008C0A23">
        <w:lastRenderedPageBreak/>
        <w:t>relitigation, more than any sense of unfairness to a party being called twice to put its case forward, for example. When that is understood, the parameters of the doctrine become easier to define, and the exercise of discretion is better anchored in principle. [Emphasis added</w:t>
      </w:r>
      <w:r>
        <w:t>.</w:t>
      </w:r>
      <w:r w:rsidRPr="008C0A23">
        <w:t>]</w:t>
      </w:r>
    </w:p>
    <w:p w14:paraId="26248AEF" w14:textId="77777777" w:rsidR="00F04D37" w:rsidRPr="008C0A23" w:rsidRDefault="00F04D37" w:rsidP="00F04D37">
      <w:pPr>
        <w:pStyle w:val="ContinueParaSuitedupar-AltP"/>
        <w:rPr>
          <w:rFonts w:cs="Times New Roman"/>
          <w:szCs w:val="24"/>
          <w:lang w:val="fr-CA"/>
        </w:rPr>
      </w:pPr>
      <w:r w:rsidRPr="008C0A23">
        <w:rPr>
          <w:rFonts w:cs="Times New Roman"/>
          <w:szCs w:val="24"/>
        </w:rPr>
        <w:t>Stated differently, the doctrine of abuse of process “</w:t>
      </w:r>
      <w:r w:rsidRPr="008C0A23">
        <w:rPr>
          <w:rFonts w:cs="Times New Roman"/>
          <w:szCs w:val="24"/>
          <w:u w:val="single"/>
        </w:rPr>
        <w:t>transcends the interests of litigants</w:t>
      </w:r>
      <w:r w:rsidRPr="008C0A23">
        <w:rPr>
          <w:rFonts w:cs="Times New Roman"/>
          <w:szCs w:val="24"/>
        </w:rPr>
        <w:t xml:space="preserve"> and focuses on the integrity of the entire system” (</w:t>
      </w:r>
      <w:r w:rsidRPr="008C0A23">
        <w:rPr>
          <w:rFonts w:cs="Times New Roman"/>
          <w:i/>
          <w:szCs w:val="24"/>
        </w:rPr>
        <w:t>Ontario </w:t>
      </w:r>
      <w:r w:rsidRPr="008C0A23">
        <w:rPr>
          <w:rFonts w:cs="Times New Roman"/>
          <w:i/>
          <w:iCs/>
          <w:szCs w:val="24"/>
        </w:rPr>
        <w:t>v.</w:t>
      </w:r>
      <w:r w:rsidRPr="008C0A23">
        <w:rPr>
          <w:rFonts w:cs="Times New Roman"/>
          <w:i/>
          <w:szCs w:val="24"/>
        </w:rPr>
        <w:t> O.P.S.E.U.</w:t>
      </w:r>
      <w:r w:rsidRPr="008C0A23">
        <w:rPr>
          <w:rFonts w:cs="Times New Roman"/>
          <w:szCs w:val="24"/>
        </w:rPr>
        <w:t xml:space="preserve">, </w:t>
      </w:r>
      <w:r>
        <w:rPr>
          <w:rFonts w:cs="Times New Roman"/>
          <w:szCs w:val="24"/>
        </w:rPr>
        <w:t xml:space="preserve">2003 SCC 64, </w:t>
      </w:r>
      <w:r w:rsidRPr="008C0A23">
        <w:rPr>
          <w:rFonts w:cs="Times New Roman"/>
          <w:szCs w:val="24"/>
        </w:rPr>
        <w:t>[2003] 3 S.C.R. 149, at para. </w:t>
      </w:r>
      <w:r w:rsidRPr="003C5711">
        <w:rPr>
          <w:rFonts w:cs="Times New Roman"/>
          <w:szCs w:val="24"/>
        </w:rPr>
        <w:t xml:space="preserve">12 (emphasis added); see also </w:t>
      </w:r>
      <w:r w:rsidRPr="003C5711">
        <w:rPr>
          <w:rFonts w:cs="Times New Roman"/>
          <w:i/>
          <w:szCs w:val="24"/>
        </w:rPr>
        <w:t>I.A.T.S.E., Stage Local 56 v. Société de la Place des Arts de Montréal</w:t>
      </w:r>
      <w:r w:rsidRPr="003C5711">
        <w:rPr>
          <w:rFonts w:cs="Times New Roman"/>
          <w:szCs w:val="24"/>
        </w:rPr>
        <w:t>, 2004 SCC 2, [2004] 1 S.C.R. 43, at para. </w:t>
      </w:r>
      <w:r w:rsidRPr="008C0A23">
        <w:rPr>
          <w:rFonts w:cs="Times New Roman"/>
          <w:szCs w:val="24"/>
          <w:lang w:val="fr-CA"/>
        </w:rPr>
        <w:t>16).</w:t>
      </w:r>
    </w:p>
    <w:p w14:paraId="62F2C578"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In other words, courts must condemn conduct that, if left unsanctioned, would “leave the impression that the justice system condones conduct that offends society’s sense of fair play and decency” (</w:t>
      </w:r>
      <w:r w:rsidRPr="008C0A23">
        <w:rPr>
          <w:rFonts w:cs="Times New Roman"/>
          <w:i/>
        </w:rPr>
        <w:t>Babos</w:t>
      </w:r>
      <w:r w:rsidRPr="008C0A23">
        <w:rPr>
          <w:rFonts w:cs="Times New Roman"/>
        </w:rPr>
        <w:t xml:space="preserve">, at para. 35; see also </w:t>
      </w:r>
      <w:r w:rsidRPr="008C0A23">
        <w:rPr>
          <w:rFonts w:cs="Times New Roman"/>
          <w:i/>
          <w:szCs w:val="24"/>
        </w:rPr>
        <w:t>Toronto v. C.U.P.E.</w:t>
      </w:r>
      <w:r w:rsidRPr="008C0A23">
        <w:rPr>
          <w:rFonts w:cs="Times New Roman"/>
        </w:rPr>
        <w:t>, at para. 43). This is the primary concern addressed by the doctrine of abuse of process at common law, and it is independent of any prejudice suffered by litigants subject to such abusive conduct.</w:t>
      </w:r>
      <w:bookmarkStart w:id="6" w:name="_GoBack"/>
      <w:bookmarkEnd w:id="6"/>
    </w:p>
    <w:p w14:paraId="168E73D9" w14:textId="77777777" w:rsidR="00F04D37" w:rsidRPr="008C0A23" w:rsidRDefault="00F04D37" w:rsidP="00F04D37">
      <w:pPr>
        <w:pStyle w:val="Title2LevelTitre2Niveau"/>
        <w:ind w:left="578" w:hanging="578"/>
        <w:rPr>
          <w:rFonts w:cs="Times New Roman"/>
        </w:rPr>
      </w:pPr>
      <w:r w:rsidRPr="008C0A23">
        <w:rPr>
          <w:rFonts w:cs="Times New Roman"/>
        </w:rPr>
        <w:t>Abusive Delay in Administrative Proceedings</w:t>
      </w:r>
    </w:p>
    <w:p w14:paraId="71FF0AD8" w14:textId="77777777" w:rsidR="00F04D37" w:rsidRPr="008C0A23" w:rsidRDefault="00F04D37" w:rsidP="00F04D37">
      <w:pPr>
        <w:pStyle w:val="Title3LevelTitre3Niveau"/>
        <w:ind w:left="1156" w:hanging="578"/>
        <w:rPr>
          <w:rFonts w:cs="Times New Roman"/>
        </w:rPr>
      </w:pPr>
      <w:r w:rsidRPr="008C0A23">
        <w:rPr>
          <w:rFonts w:cs="Times New Roman"/>
        </w:rPr>
        <w:t xml:space="preserve">Overview of the </w:t>
      </w:r>
      <w:r w:rsidRPr="008C0A23">
        <w:rPr>
          <w:rFonts w:cs="Times New Roman"/>
          <w:i/>
        </w:rPr>
        <w:t xml:space="preserve">Blencoe </w:t>
      </w:r>
      <w:r w:rsidRPr="008C0A23">
        <w:rPr>
          <w:rFonts w:cs="Times New Roman"/>
        </w:rPr>
        <w:t>Framework</w:t>
      </w:r>
    </w:p>
    <w:p w14:paraId="604FF774" w14:textId="77777777" w:rsidR="00F04D37" w:rsidRPr="008C0A23" w:rsidRDefault="00F04D37" w:rsidP="00F04D37">
      <w:pPr>
        <w:pStyle w:val="ParaNoNdepar-AltN"/>
        <w:tabs>
          <w:tab w:val="clear" w:pos="1166"/>
          <w:tab w:val="num" w:pos="1152"/>
        </w:tabs>
        <w:rPr>
          <w:rFonts w:cs="Times New Roman"/>
          <w:i/>
        </w:rPr>
      </w:pPr>
      <w:r w:rsidRPr="008C0A23">
        <w:rPr>
          <w:rFonts w:cs="Times New Roman"/>
        </w:rPr>
        <w:t xml:space="preserve">This Court’s decision in </w:t>
      </w:r>
      <w:r w:rsidRPr="008C0A23">
        <w:rPr>
          <w:rFonts w:cs="Times New Roman"/>
          <w:i/>
        </w:rPr>
        <w:t xml:space="preserve">Blencoe </w:t>
      </w:r>
      <w:r w:rsidRPr="008C0A23">
        <w:rPr>
          <w:rFonts w:cs="Times New Roman"/>
        </w:rPr>
        <w:t>was a significant jurisprudential step in addressing the issue of delay in administrative proceedings. In that case, Bastarache J., writing for a five</w:t>
      </w:r>
      <w:r w:rsidRPr="008C0A23">
        <w:rPr>
          <w:rFonts w:cs="Times New Roman"/>
        </w:rPr>
        <w:noBreakHyphen/>
        <w:t xml:space="preserve">judge majority, and LeBel J., dissenting in part, both recognized that inordinate administrative delay amounts to an abuse of process, even when the hearing </w:t>
      </w:r>
      <w:r w:rsidRPr="008C0A23">
        <w:rPr>
          <w:rFonts w:cs="Times New Roman"/>
        </w:rPr>
        <w:lastRenderedPageBreak/>
        <w:t xml:space="preserve">is not unfair to the applicant. Bastarache and LeBel JJ. </w:t>
      </w:r>
      <w:proofErr w:type="gramStart"/>
      <w:r w:rsidRPr="008C0A23">
        <w:rPr>
          <w:rFonts w:cs="Times New Roman"/>
        </w:rPr>
        <w:t>further</w:t>
      </w:r>
      <w:proofErr w:type="gramEnd"/>
      <w:r w:rsidRPr="008C0A23">
        <w:rPr>
          <w:rFonts w:cs="Times New Roman"/>
        </w:rPr>
        <w:t xml:space="preserve"> agreed that courts possess multiple remedial options to sanction abusive delay under administrative law principles. In my view, their opinions broadly complement each other, and their teachings should be reaffirmed in the present case.</w:t>
      </w:r>
    </w:p>
    <w:p w14:paraId="76D5080F" w14:textId="77777777" w:rsidR="00F04D37" w:rsidRPr="008C0A23" w:rsidRDefault="00F04D37" w:rsidP="00F04D37">
      <w:pPr>
        <w:pStyle w:val="ParaNoNdepar-AltN"/>
        <w:tabs>
          <w:tab w:val="clear" w:pos="1166"/>
          <w:tab w:val="num" w:pos="1152"/>
        </w:tabs>
        <w:rPr>
          <w:rFonts w:cs="Times New Roman"/>
          <w:i/>
        </w:rPr>
      </w:pPr>
      <w:r w:rsidRPr="008C0A23">
        <w:rPr>
          <w:rFonts w:cs="Times New Roman"/>
        </w:rPr>
        <w:t>As the following passage makes clear, Bastarache J.’s majority opinion focused on the high threshold to be met for an applicant to obtain a stay of proceedings — the only remedy sought by the applicant in that case:</w:t>
      </w:r>
    </w:p>
    <w:p w14:paraId="65A32F5E" w14:textId="77777777" w:rsidR="00F04D37" w:rsidRPr="008C0A23" w:rsidRDefault="00F04D37" w:rsidP="00F04D37">
      <w:pPr>
        <w:pStyle w:val="Citation-AltC"/>
        <w:ind w:firstLine="274"/>
      </w:pPr>
      <w:r w:rsidRPr="008C0A23">
        <w:t>In my view, there are appropriate remedies available in the administrative law context to deal with state-caused delay in human rights proceedings.</w:t>
      </w:r>
      <w:r>
        <w:t xml:space="preserve"> However, </w:t>
      </w:r>
      <w:r w:rsidRPr="008C0A23">
        <w:rPr>
          <w:u w:val="single"/>
        </w:rPr>
        <w:t>delay, without more, will not warrant a stay of proceedings as an abuse of process at common law</w:t>
      </w:r>
      <w:r w:rsidRPr="008C0A23">
        <w:t xml:space="preserve">. Staying proceedings for the mere passage of time would be tantamount to imposing a judicially created limitation period. In the administrative law context, </w:t>
      </w:r>
      <w:r w:rsidRPr="008C0A23">
        <w:rPr>
          <w:u w:val="single"/>
        </w:rPr>
        <w:t>there must be proof of significant prejudice which results from an unacceptable delay</w:t>
      </w:r>
      <w:r w:rsidRPr="008C0A23">
        <w:t xml:space="preserve">. [Emphasis added; </w:t>
      </w:r>
      <w:r>
        <w:t>citations</w:t>
      </w:r>
      <w:r w:rsidRPr="008C0A23">
        <w:t xml:space="preserve"> omitted; para. 101.]</w:t>
      </w:r>
    </w:p>
    <w:p w14:paraId="405D162B" w14:textId="77777777" w:rsidR="00F04D37" w:rsidRPr="008C0A23" w:rsidRDefault="00F04D37" w:rsidP="00F04D37">
      <w:pPr>
        <w:pStyle w:val="ContinueParaSuitedupar-AltP"/>
        <w:rPr>
          <w:rFonts w:cs="Times New Roman"/>
        </w:rPr>
      </w:pPr>
      <w:r w:rsidRPr="008C0A23">
        <w:rPr>
          <w:rFonts w:cs="Times New Roman"/>
        </w:rPr>
        <w:t xml:space="preserve">Relying on the jurisprudence on stays of proceedings, Bastarache J. reaffirmed that the “power [to order a stay] can be exercised only in the ‘clearest of cases’” (para. 118). I note that the guidance provided by Bastarache J. concerning the “clearest of cases” threshold for obtaining a </w:t>
      </w:r>
      <w:r w:rsidRPr="008C0A23">
        <w:rPr>
          <w:rFonts w:cs="Times New Roman"/>
          <w:i/>
        </w:rPr>
        <w:t>stay of proceedings</w:t>
      </w:r>
      <w:r w:rsidRPr="008C0A23">
        <w:rPr>
          <w:rFonts w:cs="Times New Roman"/>
        </w:rPr>
        <w:t xml:space="preserve"> corresponds precisely to the test for </w:t>
      </w:r>
      <w:r w:rsidRPr="008C0A23">
        <w:rPr>
          <w:rFonts w:cs="Times New Roman"/>
          <w:i/>
        </w:rPr>
        <w:t>abuse of process</w:t>
      </w:r>
      <w:r w:rsidRPr="008C0A23">
        <w:rPr>
          <w:rFonts w:cs="Times New Roman"/>
        </w:rPr>
        <w:t xml:space="preserve"> laid down by the majority in this case.</w:t>
      </w:r>
    </w:p>
    <w:p w14:paraId="4E285479"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The threshold for obtaining a stay of proceedings set out in </w:t>
      </w:r>
      <w:r w:rsidRPr="008C0A23">
        <w:rPr>
          <w:rFonts w:cs="Times New Roman"/>
          <w:i/>
        </w:rPr>
        <w:t>Blencoe</w:t>
      </w:r>
      <w:r w:rsidRPr="008C0A23">
        <w:rPr>
          <w:rFonts w:cs="Times New Roman"/>
        </w:rPr>
        <w:t xml:space="preserve"> may be summarized as follows. First, the delay must be “unreasonable or inordinate” so as to constitute a breach of the duty of fairness (para. 121). Bastarache J. stressed that “[t]here is no abuse of process by delay </w:t>
      </w:r>
      <w:r w:rsidRPr="008C0A23">
        <w:rPr>
          <w:rFonts w:cs="Times New Roman"/>
          <w:i/>
          <w:iCs/>
        </w:rPr>
        <w:t>per se</w:t>
      </w:r>
      <w:r w:rsidRPr="008C0A23">
        <w:rPr>
          <w:rFonts w:cs="Times New Roman"/>
        </w:rPr>
        <w:t xml:space="preserve">” (para. 121); the delay must be “clearly </w:t>
      </w:r>
      <w:r w:rsidRPr="008C0A23">
        <w:rPr>
          <w:rFonts w:cs="Times New Roman"/>
        </w:rPr>
        <w:lastRenderedPageBreak/>
        <w:t>unacceptable” in the circumstances of the case (para. 115). To determine whether the delay is inordinate, the court must undertake a contextual assessment of “the nature of the case and its complexity, the facts and issues, the purpose and nature of the proceedings, whether the respondent contributed to the delay or waived the delay, and other circumstances of the case” (para. 122). Second, the delay must “have directly caused a significant prejudice” (para. 115). Where both requirements are met, the court must consider whether the public interest favours halting the proceedings (para. 120).</w:t>
      </w:r>
    </w:p>
    <w:p w14:paraId="7C3D9286"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LeBel J., for his part, took a more holistic approach to abuse of process </w:t>
      </w:r>
      <w:r w:rsidRPr="008C0A23">
        <w:rPr>
          <w:rFonts w:cs="Times New Roman"/>
          <w:szCs w:val="24"/>
        </w:rPr>
        <w:t>arising from inordinate delay in administrative proceedings. While he noted that “[w]</w:t>
      </w:r>
      <w:proofErr w:type="spellStart"/>
      <w:r w:rsidRPr="008C0A23">
        <w:rPr>
          <w:rFonts w:cs="Times New Roman"/>
          <w:szCs w:val="24"/>
        </w:rPr>
        <w:t>hoever</w:t>
      </w:r>
      <w:proofErr w:type="spellEnd"/>
      <w:r w:rsidRPr="008C0A23">
        <w:rPr>
          <w:rFonts w:cs="Times New Roman"/>
          <w:szCs w:val="24"/>
        </w:rPr>
        <w:t xml:space="preserve"> asks for a stay of proceedings carries a heavy burden” (para. 180),</w:t>
      </w:r>
      <w:r w:rsidRPr="008C0A23">
        <w:rPr>
          <w:rFonts w:cs="Times New Roman"/>
        </w:rPr>
        <w:t xml:space="preserve"> he focused on the “lower threshold of unreasonable delay that might warrant some kind of judicial action and different, less radical, remedies than a stay in the administrative proceedings” (para. 155). Indeed, LeBel J. stressed that inordinate delay is a breach of procedural fairness and thus abusive. He discussed three possible remedies for abusive delay in administrative proceedings: a stay of proceedings, an order for an expedited hearing, and costs (para. 179).</w:t>
      </w:r>
    </w:p>
    <w:p w14:paraId="612B2673"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Under LeBel J.’s approach, the court must first balance three contextual factors (as opposed to requirements) in assessing whether the delay is inordinate, at para. 160:</w:t>
      </w:r>
    </w:p>
    <w:p w14:paraId="4F6EE8B6" w14:textId="77777777" w:rsidR="00F04D37" w:rsidRDefault="00F04D37" w:rsidP="00F04D37">
      <w:pPr>
        <w:pStyle w:val="Citation-AltC"/>
        <w:numPr>
          <w:ilvl w:val="3"/>
          <w:numId w:val="6"/>
        </w:numPr>
        <w:ind w:left="1077" w:firstLine="0"/>
      </w:pPr>
      <w:r w:rsidRPr="008C0A23">
        <w:t>the time taken compared to the inherent t</w:t>
      </w:r>
      <w:r>
        <w:t>ime requirements of the matter . . .;</w:t>
      </w:r>
    </w:p>
    <w:p w14:paraId="6CE26D46" w14:textId="77777777" w:rsidR="00F04D37" w:rsidRPr="008C0A23" w:rsidRDefault="00F04D37" w:rsidP="00F04D37">
      <w:pPr>
        <w:pStyle w:val="Citation-AltC"/>
        <w:ind w:left="1080"/>
      </w:pPr>
    </w:p>
    <w:p w14:paraId="45870A7E" w14:textId="77777777" w:rsidR="00F04D37" w:rsidRDefault="00F04D37" w:rsidP="00F04D37">
      <w:pPr>
        <w:pStyle w:val="Citation-AltC"/>
        <w:numPr>
          <w:ilvl w:val="3"/>
          <w:numId w:val="6"/>
        </w:numPr>
        <w:ind w:left="1077" w:firstLine="0"/>
      </w:pPr>
      <w:r w:rsidRPr="008C0A23">
        <w:lastRenderedPageBreak/>
        <w:t>the causes of delay beyond the inherent time requirements of the matter</w:t>
      </w:r>
      <w:r>
        <w:t> . . .</w:t>
      </w:r>
      <w:r w:rsidRPr="008C0A23">
        <w:t>; and</w:t>
      </w:r>
    </w:p>
    <w:p w14:paraId="68AA6B8C" w14:textId="77777777" w:rsidR="00F04D37" w:rsidRPr="008C0A23" w:rsidRDefault="00F04D37" w:rsidP="00F04D37">
      <w:pPr>
        <w:pStyle w:val="Citation-AltC"/>
        <w:ind w:left="1440"/>
      </w:pPr>
    </w:p>
    <w:p w14:paraId="6CECC9A6" w14:textId="77777777" w:rsidR="00F04D37" w:rsidRPr="008C0A23" w:rsidRDefault="00F04D37" w:rsidP="00F04D37">
      <w:pPr>
        <w:pStyle w:val="Citation-AltC"/>
        <w:ind w:left="1077"/>
        <w:rPr>
          <w:szCs w:val="22"/>
        </w:rPr>
      </w:pPr>
      <w:r w:rsidRPr="008C0A23">
        <w:t xml:space="preserve">(3) </w:t>
      </w:r>
      <w:proofErr w:type="gramStart"/>
      <w:r w:rsidRPr="008C0A23">
        <w:t>the</w:t>
      </w:r>
      <w:proofErr w:type="gramEnd"/>
      <w:r w:rsidRPr="008C0A23">
        <w:t xml:space="preserve"> impact of the delay, considered as encompassing both prejudice in an evidentiary sense and other harms to the lives of real people impacted by the ongoing delay.</w:t>
      </w:r>
      <w:r>
        <w:t xml:space="preserve"> [Emphasis deleted.]</w:t>
      </w:r>
    </w:p>
    <w:p w14:paraId="5300E5CE" w14:textId="77777777" w:rsidR="00F04D37" w:rsidRPr="008C0A23" w:rsidRDefault="00F04D37" w:rsidP="00F04D37">
      <w:pPr>
        <w:pStyle w:val="ContinueParaSuitedupar-AltP"/>
        <w:rPr>
          <w:rFonts w:cs="Times New Roman"/>
        </w:rPr>
      </w:pPr>
      <w:r w:rsidRPr="008C0A23">
        <w:rPr>
          <w:rFonts w:cs="Times New Roman"/>
        </w:rPr>
        <w:t>Where the court concludes that the delay is inordinate, it must turn its attention to the appropriate remedy in the circumstances. The selection of the remedy requires the court to weigh the three contextual factors listed above as well as other competing interests — including those of the community and, where applicable, of other private litigants (para. 178).</w:t>
      </w:r>
    </w:p>
    <w:p w14:paraId="647CFD74" w14:textId="77777777" w:rsidR="00F04D37" w:rsidRPr="008C0A23" w:rsidRDefault="00F04D37" w:rsidP="00F04D37">
      <w:pPr>
        <w:pStyle w:val="Title3LevelTitre3Niveau"/>
        <w:ind w:left="1156" w:hanging="578"/>
        <w:rPr>
          <w:rFonts w:cs="Times New Roman"/>
        </w:rPr>
      </w:pPr>
      <w:r w:rsidRPr="008C0A23">
        <w:rPr>
          <w:rFonts w:cs="Times New Roman"/>
        </w:rPr>
        <w:t xml:space="preserve">Inordinate Delay </w:t>
      </w:r>
      <w:r>
        <w:rPr>
          <w:rFonts w:cs="Times New Roman"/>
        </w:rPr>
        <w:t>I</w:t>
      </w:r>
      <w:r w:rsidRPr="008C0A23">
        <w:rPr>
          <w:rFonts w:cs="Times New Roman"/>
        </w:rPr>
        <w:t>s Abusive — Irrespective of Prejudice</w:t>
      </w:r>
    </w:p>
    <w:p w14:paraId="2A144161"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As noted above, </w:t>
      </w:r>
      <w:r w:rsidRPr="008C0A23">
        <w:rPr>
          <w:rFonts w:cs="Times New Roman"/>
          <w:i/>
          <w:szCs w:val="24"/>
        </w:rPr>
        <w:t>Toronto v. C.U.P.E.</w:t>
      </w:r>
      <w:r w:rsidRPr="008C0A23">
        <w:rPr>
          <w:rFonts w:cs="Times New Roman"/>
          <w:i/>
        </w:rPr>
        <w:t xml:space="preserve"> </w:t>
      </w:r>
      <w:r w:rsidRPr="008C0A23">
        <w:rPr>
          <w:rFonts w:cs="Times New Roman"/>
        </w:rPr>
        <w:t>confirms that inordinate delay in administrative proceedings belongs to the category of abusive conduct that undermines the integrity of the administration of justice — regardless of its effects on the interests of litigants (para. 43). It follows that courts may condemn administrative delay as abusive even where there is no evidence of prejudice. However, prejudice remains a highly significant consideration in determining the appropriate remedy.</w:t>
      </w:r>
    </w:p>
    <w:p w14:paraId="661CF1D7"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The majority in this case proffers two reasons for its position that “significant prejudice” is required for an abuse of process to arise from administrative delay. Its first justification is that sanctioning abuse of process in the absence of significant prejudice would be “tantamount to imposing a judicially created limitation period” (para. 67, citing </w:t>
      </w:r>
      <w:r w:rsidRPr="008C0A23">
        <w:rPr>
          <w:rFonts w:cs="Times New Roman"/>
          <w:i/>
        </w:rPr>
        <w:t>Blencoe</w:t>
      </w:r>
      <w:r w:rsidRPr="008C0A23">
        <w:rPr>
          <w:rFonts w:cs="Times New Roman"/>
        </w:rPr>
        <w:t xml:space="preserve">, at para. 101, where Bastarache J. referred to stays of </w:t>
      </w:r>
      <w:r w:rsidRPr="008C0A23">
        <w:rPr>
          <w:rFonts w:cs="Times New Roman"/>
        </w:rPr>
        <w:lastRenderedPageBreak/>
        <w:t xml:space="preserve">proceedings only). With respect, this assertion is plainly wrong, and it is symptomatic of the conflation of abuse of process with the remedy of a stay of proceedings. Far from establishing a limitation period, alternative remedies </w:t>
      </w:r>
      <w:r w:rsidRPr="008C0A23">
        <w:rPr>
          <w:rFonts w:cs="Times New Roman"/>
          <w:i/>
        </w:rPr>
        <w:t xml:space="preserve">allow </w:t>
      </w:r>
      <w:r w:rsidRPr="008C0A23">
        <w:rPr>
          <w:rFonts w:cs="Times New Roman"/>
        </w:rPr>
        <w:t xml:space="preserve">the claim to proceed but </w:t>
      </w:r>
      <w:r w:rsidRPr="008C0A23">
        <w:rPr>
          <w:rFonts w:cs="Times New Roman"/>
          <w:i/>
        </w:rPr>
        <w:t xml:space="preserve">condemn </w:t>
      </w:r>
      <w:r w:rsidRPr="008C0A23">
        <w:rPr>
          <w:rFonts w:cs="Times New Roman"/>
        </w:rPr>
        <w:t xml:space="preserve">state conduct that undermines the integrity of the justice system. Indeed, I cannot help but mention the irony in the proposition that LeBel J.’s proposed remedy for abusive delay in </w:t>
      </w:r>
      <w:r w:rsidRPr="008C0A23">
        <w:rPr>
          <w:rFonts w:cs="Times New Roman"/>
          <w:i/>
        </w:rPr>
        <w:t>Blencoe</w:t>
      </w:r>
      <w:r w:rsidRPr="008C0A23">
        <w:rPr>
          <w:rFonts w:cs="Times New Roman"/>
        </w:rPr>
        <w:t> — an order for an expedited hearing — is akin to a statutory limitation period.</w:t>
      </w:r>
    </w:p>
    <w:p w14:paraId="7F76A981"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 am troubled, to say the least, by the second justification offered by the majority — namely that “delay by itself may be beneficial to the affected party. </w:t>
      </w:r>
      <w:r w:rsidRPr="008C0A23">
        <w:rPr>
          <w:rFonts w:cs="Times New Roman"/>
          <w:lang w:val="en-US"/>
        </w:rPr>
        <w:t>For example, if the affected party is facing the penalty of disbarment, delay in the administrative process might be welcomed by the affected party, insofar as it enables him or her to continue practicing” (para. 67). It is trite law that professional bodies bear the onus of proving the misconduct of persons subject to their jurisdiction. Those who have done nothing wrong will not “benefit” from administrative delay, even if they are allowed to maintain their practice. It is thus improper for courts to consider the unproven “benefits” flowing from administrative delay, since to do so assumes that applicants are guilty of the disciplinary charges brought against them.</w:t>
      </w:r>
    </w:p>
    <w:p w14:paraId="0651C95B" w14:textId="77777777" w:rsidR="00F04D37" w:rsidRPr="008C0A23" w:rsidRDefault="00F04D37" w:rsidP="00F04D37">
      <w:pPr>
        <w:pStyle w:val="ParaNoNdepar-AltN"/>
        <w:tabs>
          <w:tab w:val="clear" w:pos="1166"/>
          <w:tab w:val="num" w:pos="1152"/>
        </w:tabs>
        <w:rPr>
          <w:rFonts w:cs="Times New Roman"/>
        </w:rPr>
      </w:pPr>
      <w:r w:rsidRPr="008C0A23">
        <w:rPr>
          <w:rFonts w:cs="Times New Roman"/>
          <w:lang w:val="en-US"/>
        </w:rPr>
        <w:t xml:space="preserve">In any event, the additional stress caused by inordinately long administrative proceedings may very well be prejudicial, regardless of whether the applicant prevails on the merits. I reiterate that professional bodies, like other administrative decision makers, owe a </w:t>
      </w:r>
      <w:r w:rsidRPr="008C0A23">
        <w:rPr>
          <w:rFonts w:cs="Times New Roman"/>
          <w:i/>
          <w:lang w:val="en-US"/>
        </w:rPr>
        <w:t xml:space="preserve">duty </w:t>
      </w:r>
      <w:r w:rsidRPr="008C0A23">
        <w:rPr>
          <w:rFonts w:cs="Times New Roman"/>
          <w:lang w:val="en-US"/>
        </w:rPr>
        <w:t xml:space="preserve">of fairness to professionals subject to disciplinary proceedings. The existence and scope of this duty are independent of the </w:t>
      </w:r>
      <w:r w:rsidRPr="008C0A23">
        <w:rPr>
          <w:rFonts w:cs="Times New Roman"/>
          <w:lang w:val="en-US"/>
        </w:rPr>
        <w:lastRenderedPageBreak/>
        <w:t xml:space="preserve">outcome of the adjudication. Inordinate delay — in </w:t>
      </w:r>
      <w:r w:rsidRPr="008C0A23">
        <w:rPr>
          <w:rFonts w:cs="Times New Roman"/>
          <w:i/>
          <w:lang w:val="en-US"/>
        </w:rPr>
        <w:t>all</w:t>
      </w:r>
      <w:r w:rsidRPr="008C0A23">
        <w:rPr>
          <w:rFonts w:cs="Times New Roman"/>
          <w:lang w:val="en-US"/>
        </w:rPr>
        <w:t xml:space="preserve"> cases — is procedurally unfair and thus abusive.</w:t>
      </w:r>
    </w:p>
    <w:p w14:paraId="0AA6558B" w14:textId="77777777" w:rsidR="00F04D37" w:rsidRPr="008C0A23" w:rsidRDefault="00F04D37" w:rsidP="00F04D37">
      <w:pPr>
        <w:pStyle w:val="Title3LevelTitre3Niveau"/>
        <w:ind w:left="1156" w:hanging="578"/>
        <w:rPr>
          <w:rFonts w:cs="Times New Roman"/>
        </w:rPr>
      </w:pPr>
      <w:r w:rsidRPr="008C0A23">
        <w:rPr>
          <w:rFonts w:cs="Times New Roman"/>
        </w:rPr>
        <w:t>Remedies at Common Law</w:t>
      </w:r>
    </w:p>
    <w:p w14:paraId="2A2C72CA" w14:textId="77777777" w:rsidR="00F04D37" w:rsidRPr="008C0A23" w:rsidRDefault="00F04D37" w:rsidP="00F04D37">
      <w:pPr>
        <w:pStyle w:val="ParaNoNdepar-AltN"/>
        <w:tabs>
          <w:tab w:val="clear" w:pos="1166"/>
          <w:tab w:val="num" w:pos="1152"/>
        </w:tabs>
        <w:rPr>
          <w:rFonts w:cs="Times New Roman"/>
        </w:rPr>
      </w:pPr>
      <w:r w:rsidRPr="008C0A23">
        <w:rPr>
          <w:rFonts w:cs="Times New Roman"/>
          <w:lang w:val="en-US"/>
        </w:rPr>
        <w:t xml:space="preserve">Where the applicant has demonstrated that the delay is inordinate, the next step in the analysis is for the court to determine the appropriate remedy in the circumstances. Courts possess an extensive arsenal of remedial tools to sanction and redress abusive conduct, ranging from a declaration to a stay of proceedings. The choice of remedy for an abuse of process — be it at common law or under s. 24(1) of the </w:t>
      </w:r>
      <w:r w:rsidRPr="008C0A23">
        <w:rPr>
          <w:rFonts w:cs="Times New Roman"/>
          <w:i/>
          <w:lang w:val="en-US"/>
        </w:rPr>
        <w:t>Charter </w:t>
      </w:r>
      <w:r w:rsidRPr="008C0A23">
        <w:rPr>
          <w:rFonts w:cs="Times New Roman"/>
          <w:lang w:val="en-US"/>
        </w:rPr>
        <w:t>— falls within the trial judge’s discretion (</w:t>
      </w:r>
      <w:proofErr w:type="spellStart"/>
      <w:r w:rsidRPr="008C0A23">
        <w:rPr>
          <w:rFonts w:cs="Times New Roman"/>
          <w:i/>
          <w:lang w:val="en-US"/>
        </w:rPr>
        <w:t>Tobiass</w:t>
      </w:r>
      <w:proofErr w:type="spellEnd"/>
      <w:r w:rsidRPr="008C0A23">
        <w:rPr>
          <w:rFonts w:cs="Times New Roman"/>
          <w:lang w:val="en-US"/>
        </w:rPr>
        <w:t xml:space="preserve">, at para. 87; </w:t>
      </w:r>
      <w:r w:rsidRPr="008C0A23">
        <w:rPr>
          <w:rFonts w:cs="Times New Roman"/>
          <w:i/>
          <w:lang w:val="en-US"/>
        </w:rPr>
        <w:t>Regan</w:t>
      </w:r>
      <w:r w:rsidRPr="008C0A23">
        <w:rPr>
          <w:rFonts w:cs="Times New Roman"/>
          <w:lang w:val="en-US"/>
        </w:rPr>
        <w:t xml:space="preserve">, at para. 117; </w:t>
      </w:r>
      <w:r w:rsidRPr="008C0A23">
        <w:rPr>
          <w:rFonts w:cs="Times New Roman"/>
          <w:i/>
        </w:rPr>
        <w:t>R.</w:t>
      </w:r>
      <w:r>
        <w:rPr>
          <w:rFonts w:cs="Times New Roman"/>
          <w:i/>
        </w:rPr>
        <w:t> v. </w:t>
      </w:r>
      <w:proofErr w:type="spellStart"/>
      <w:r w:rsidRPr="008C0A23">
        <w:rPr>
          <w:rFonts w:cs="Times New Roman"/>
          <w:i/>
        </w:rPr>
        <w:t>Bjelland</w:t>
      </w:r>
      <w:proofErr w:type="spellEnd"/>
      <w:r w:rsidRPr="008C0A23">
        <w:rPr>
          <w:rFonts w:cs="Times New Roman"/>
        </w:rPr>
        <w:t>, 2009 SCC 38, [2009] 2 S.C.R. 651, at para</w:t>
      </w:r>
      <w:r>
        <w:rPr>
          <w:rFonts w:cs="Times New Roman"/>
        </w:rPr>
        <w:t>s</w:t>
      </w:r>
      <w:r w:rsidRPr="008C0A23">
        <w:rPr>
          <w:rFonts w:cs="Times New Roman"/>
        </w:rPr>
        <w:t>. 15</w:t>
      </w:r>
      <w:r>
        <w:rPr>
          <w:rFonts w:cs="Times New Roman"/>
        </w:rPr>
        <w:t xml:space="preserve"> and 51</w:t>
      </w:r>
      <w:r w:rsidRPr="008C0A23">
        <w:rPr>
          <w:rFonts w:cs="Times New Roman"/>
        </w:rPr>
        <w:t xml:space="preserve">; </w:t>
      </w:r>
      <w:r w:rsidRPr="008C0A23">
        <w:rPr>
          <w:rFonts w:cs="Times New Roman"/>
          <w:i/>
        </w:rPr>
        <w:t>R. </w:t>
      </w:r>
      <w:r w:rsidRPr="008C0A23">
        <w:rPr>
          <w:rFonts w:cs="Times New Roman"/>
          <w:i/>
          <w:iCs/>
        </w:rPr>
        <w:t>v.</w:t>
      </w:r>
      <w:r w:rsidRPr="008C0A23">
        <w:rPr>
          <w:rFonts w:cs="Times New Roman"/>
          <w:i/>
        </w:rPr>
        <w:t> </w:t>
      </w:r>
      <w:proofErr w:type="spellStart"/>
      <w:r w:rsidRPr="008C0A23">
        <w:rPr>
          <w:rFonts w:cs="Times New Roman"/>
          <w:i/>
        </w:rPr>
        <w:t>Bellusci</w:t>
      </w:r>
      <w:proofErr w:type="spellEnd"/>
      <w:r w:rsidRPr="008C0A23">
        <w:rPr>
          <w:rFonts w:cs="Times New Roman"/>
        </w:rPr>
        <w:t>, 2012 SCC 44, [2012] 2 S.C.R. 509, at paras. 17</w:t>
      </w:r>
      <w:r>
        <w:rPr>
          <w:rFonts w:cs="Times New Roman"/>
        </w:rPr>
        <w:noBreakHyphen/>
      </w:r>
      <w:r w:rsidRPr="008C0A23">
        <w:rPr>
          <w:rFonts w:cs="Times New Roman"/>
        </w:rPr>
        <w:t xml:space="preserve">18; </w:t>
      </w:r>
      <w:r w:rsidRPr="008C0A23">
        <w:rPr>
          <w:rFonts w:cs="Times New Roman"/>
          <w:i/>
        </w:rPr>
        <w:t>Babos</w:t>
      </w:r>
      <w:r w:rsidRPr="008C0A23">
        <w:rPr>
          <w:rFonts w:cs="Times New Roman"/>
        </w:rPr>
        <w:t xml:space="preserve">, at para. 48). </w:t>
      </w:r>
      <w:r w:rsidRPr="008C0A23">
        <w:rPr>
          <w:rFonts w:cs="Times New Roman"/>
          <w:lang w:val="en-US"/>
        </w:rPr>
        <w:t>As noted above, applicants must satisfy a specific test to obtain a stay of proceedings, but other remedies are not subject to that test</w:t>
      </w:r>
      <w:r>
        <w:rPr>
          <w:rFonts w:cs="Times New Roman"/>
          <w:lang w:val="en-US"/>
        </w:rPr>
        <w:t>.</w:t>
      </w:r>
    </w:p>
    <w:p w14:paraId="063C7931"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Originally, a stay of proceedings was seen as the only remedy available for an abuse of process at </w:t>
      </w:r>
      <w:r w:rsidRPr="008C0A23">
        <w:rPr>
          <w:rFonts w:cs="Times New Roman"/>
          <w:szCs w:val="24"/>
        </w:rPr>
        <w:t>common law (see</w:t>
      </w:r>
      <w:r>
        <w:rPr>
          <w:rFonts w:cs="Times New Roman"/>
          <w:szCs w:val="24"/>
        </w:rPr>
        <w:t>,</w:t>
      </w:r>
      <w:r w:rsidRPr="008C0A23">
        <w:rPr>
          <w:rFonts w:cs="Times New Roman"/>
          <w:szCs w:val="24"/>
        </w:rPr>
        <w:t xml:space="preserve"> </w:t>
      </w:r>
      <w:r w:rsidRPr="00192B3A">
        <w:rPr>
          <w:rFonts w:cs="Times New Roman"/>
          <w:szCs w:val="24"/>
        </w:rPr>
        <w:t>e.g.</w:t>
      </w:r>
      <w:r>
        <w:rPr>
          <w:rFonts w:cs="Times New Roman"/>
          <w:szCs w:val="24"/>
        </w:rPr>
        <w:t>, L’Heureux</w:t>
      </w:r>
      <w:r>
        <w:rPr>
          <w:rFonts w:cs="Times New Roman"/>
          <w:szCs w:val="24"/>
        </w:rPr>
        <w:noBreakHyphen/>
        <w:t>Dubé </w:t>
      </w:r>
      <w:r w:rsidRPr="008C0A23">
        <w:rPr>
          <w:rFonts w:cs="Times New Roman"/>
          <w:szCs w:val="24"/>
        </w:rPr>
        <w:t xml:space="preserve">J.’s </w:t>
      </w:r>
      <w:r w:rsidRPr="008C0A23">
        <w:rPr>
          <w:rFonts w:cs="Times New Roman"/>
          <w:i/>
          <w:szCs w:val="24"/>
        </w:rPr>
        <w:t xml:space="preserve">obiter dictum </w:t>
      </w:r>
      <w:r w:rsidRPr="008C0A23">
        <w:rPr>
          <w:rFonts w:cs="Times New Roman"/>
          <w:szCs w:val="24"/>
        </w:rPr>
        <w:t>in</w:t>
      </w:r>
      <w:r>
        <w:rPr>
          <w:rFonts w:cs="Times New Roman"/>
          <w:i/>
          <w:szCs w:val="24"/>
        </w:rPr>
        <w:t xml:space="preserve"> O’</w:t>
      </w:r>
      <w:r w:rsidRPr="008C0A23">
        <w:rPr>
          <w:rFonts w:cs="Times New Roman"/>
          <w:i/>
          <w:szCs w:val="24"/>
        </w:rPr>
        <w:t>Connor</w:t>
      </w:r>
      <w:r w:rsidRPr="008C0A23">
        <w:rPr>
          <w:rFonts w:cs="Times New Roman"/>
          <w:szCs w:val="24"/>
        </w:rPr>
        <w:t xml:space="preserve">, at para. 68). However, in </w:t>
      </w:r>
      <w:r w:rsidRPr="008C0A23">
        <w:rPr>
          <w:rFonts w:cs="Times New Roman"/>
          <w:i/>
          <w:szCs w:val="24"/>
        </w:rPr>
        <w:t>Blencoe</w:t>
      </w:r>
      <w:r w:rsidRPr="008C0A23">
        <w:rPr>
          <w:rFonts w:cs="Times New Roman"/>
          <w:szCs w:val="24"/>
        </w:rPr>
        <w:t>, Bastarache J. rightly noted that there is “no support for the notion that a stay is the only remedy available in administrative law proceedings”, and he stressed that “[o]</w:t>
      </w:r>
      <w:proofErr w:type="spellStart"/>
      <w:r w:rsidRPr="008C0A23">
        <w:rPr>
          <w:rFonts w:cs="Times New Roman"/>
          <w:szCs w:val="24"/>
        </w:rPr>
        <w:t>ther</w:t>
      </w:r>
      <w:proofErr w:type="spellEnd"/>
      <w:r w:rsidRPr="008C0A23">
        <w:rPr>
          <w:rFonts w:cs="Times New Roman"/>
          <w:szCs w:val="24"/>
        </w:rPr>
        <w:t xml:space="preserve"> remedies are available”</w:t>
      </w:r>
      <w:r w:rsidRPr="008C0A23">
        <w:rPr>
          <w:rFonts w:cs="Times New Roman"/>
        </w:rPr>
        <w:t>, without elaborating on them (para. 117). In the context of inordinate delay, LeBel J. mentioned orders for costs and orders for an expedited hearing as alternative remedies.</w:t>
      </w:r>
    </w:p>
    <w:p w14:paraId="5901FD0E"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lastRenderedPageBreak/>
        <w:t xml:space="preserve">There exist other remedial options at common law to redress abusive administrative delay, including reductions in sanction, orders for the exclusion of evidence, and declarations. Traditional prerogative writs such as </w:t>
      </w:r>
      <w:r w:rsidRPr="008C0A23">
        <w:rPr>
          <w:rFonts w:cs="Times New Roman"/>
          <w:i/>
        </w:rPr>
        <w:t xml:space="preserve">mandamus </w:t>
      </w:r>
      <w:r w:rsidRPr="008C0A23">
        <w:rPr>
          <w:rFonts w:cs="Times New Roman"/>
        </w:rPr>
        <w:t>may of course complement these remedies. In short, courts have a wide discretion to grant remedies for abusive conduct that account for the circumstances of each case.</w:t>
      </w:r>
    </w:p>
    <w:p w14:paraId="3C55DB07" w14:textId="77777777" w:rsidR="00F04D37" w:rsidRPr="008C0A23" w:rsidRDefault="00F04D37" w:rsidP="00F04D37">
      <w:pPr>
        <w:pStyle w:val="ParaNoNdepar-AltN"/>
        <w:tabs>
          <w:tab w:val="clear" w:pos="1166"/>
          <w:tab w:val="num" w:pos="1152"/>
        </w:tabs>
        <w:rPr>
          <w:rFonts w:cs="Times New Roman"/>
        </w:rPr>
      </w:pPr>
      <w:r w:rsidRPr="008C0A23">
        <w:rPr>
          <w:rFonts w:cs="Times New Roman"/>
          <w:lang w:val="en-US"/>
        </w:rPr>
        <w:t xml:space="preserve">The guiding principle in determining the appropriate remedy is proportionality. LeBel J.’s approach in </w:t>
      </w:r>
      <w:r w:rsidRPr="008C0A23">
        <w:rPr>
          <w:rFonts w:cs="Times New Roman"/>
          <w:i/>
          <w:lang w:val="en-US"/>
        </w:rPr>
        <w:t xml:space="preserve">Blencoe </w:t>
      </w:r>
      <w:r w:rsidRPr="008C0A23">
        <w:rPr>
          <w:rFonts w:cs="Times New Roman"/>
          <w:lang w:val="en-US"/>
        </w:rPr>
        <w:t xml:space="preserve">requires courts to consider the nature and magnitude of the prejudice as primary factors — alongside the length and causes of the delay — in selecting a remedy proportionate to the abuse of process. As mandated by </w:t>
      </w:r>
      <w:r w:rsidRPr="008C0A23">
        <w:rPr>
          <w:rFonts w:cs="Times New Roman"/>
          <w:i/>
          <w:lang w:val="en-US"/>
        </w:rPr>
        <w:t>Blencoe</w:t>
      </w:r>
      <w:r w:rsidRPr="008C0A23">
        <w:rPr>
          <w:rFonts w:cs="Times New Roman"/>
          <w:lang w:val="en-US"/>
        </w:rPr>
        <w:t>, the applicant must demonstrate “significant prejudice” to obtain a stay of proceedings for inordinate delay in the administrative law context (para. 101), but this standard does not apply to alternative remedies.</w:t>
      </w:r>
    </w:p>
    <w:p w14:paraId="44C06652"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Under LeBel J.’s approach, </w:t>
      </w:r>
      <w:r w:rsidRPr="008C0A23">
        <w:rPr>
          <w:rFonts w:cs="Times New Roman"/>
          <w:lang w:val="en-US"/>
        </w:rPr>
        <w:t>prejudice remains an integral part of the analysis in that it dictates the proper judicial response to the abuse of process. The absence of any prejudice entails that, in certain cases, a declaration of abuse of process may be the only appropriate redress. Although less drastic than other remedies, declaratory relief allows the judiciary to distance itself from abusive conduct and to deter administrative decision makers from ignoring delays in subsequent proceedings (</w:t>
      </w:r>
      <w:r w:rsidRPr="008C0A23">
        <w:rPr>
          <w:rFonts w:cs="Times New Roman"/>
          <w:i/>
          <w:lang w:val="en-US"/>
        </w:rPr>
        <w:t>Vancouver (City) v. Ward</w:t>
      </w:r>
      <w:r w:rsidRPr="008C0A23">
        <w:rPr>
          <w:rFonts w:cs="Times New Roman"/>
          <w:lang w:val="en-US"/>
        </w:rPr>
        <w:t>, 2010 SCC 27, [2010] 2 S.C.R. 28, at para. 37).</w:t>
      </w:r>
    </w:p>
    <w:p w14:paraId="24223C45" w14:textId="77777777" w:rsidR="00F04D37" w:rsidRPr="008C0A23" w:rsidRDefault="00F04D37" w:rsidP="00F04D37">
      <w:pPr>
        <w:pStyle w:val="ParaNoNdepar-AltN"/>
        <w:tabs>
          <w:tab w:val="clear" w:pos="1166"/>
          <w:tab w:val="num" w:pos="1152"/>
        </w:tabs>
        <w:rPr>
          <w:rFonts w:cs="Times New Roman"/>
        </w:rPr>
      </w:pPr>
      <w:r w:rsidRPr="008C0A23">
        <w:rPr>
          <w:rFonts w:cs="Times New Roman"/>
          <w:lang w:val="en-US"/>
        </w:rPr>
        <w:t xml:space="preserve">In the final analysis, this approach avoids the unfortunate inference that courts condone inordinate delay where the applicant fails to meet the high threshold of </w:t>
      </w:r>
      <w:r w:rsidRPr="008C0A23">
        <w:rPr>
          <w:rFonts w:cs="Times New Roman"/>
          <w:lang w:val="en-US"/>
        </w:rPr>
        <w:lastRenderedPageBreak/>
        <w:t xml:space="preserve">“significant prejudice”. I echo LeBel J.’s vehement criticism of avoidable delays in </w:t>
      </w:r>
      <w:r w:rsidRPr="008C0A23">
        <w:rPr>
          <w:rFonts w:cs="Times New Roman"/>
          <w:i/>
          <w:lang w:val="en-US"/>
        </w:rPr>
        <w:t>Blencoe</w:t>
      </w:r>
      <w:r w:rsidRPr="008C0A23">
        <w:rPr>
          <w:rFonts w:cs="Times New Roman"/>
          <w:lang w:val="en-US"/>
        </w:rPr>
        <w:t>: “</w:t>
      </w:r>
      <w:r w:rsidRPr="008C0A23">
        <w:rPr>
          <w:rFonts w:cs="Times New Roman"/>
        </w:rPr>
        <w:t xml:space="preserve">Unreasonable delay in administrative proceedings is </w:t>
      </w:r>
      <w:r w:rsidRPr="008C0A23">
        <w:rPr>
          <w:rFonts w:cs="Times New Roman"/>
          <w:u w:val="single"/>
        </w:rPr>
        <w:t>illegal</w:t>
      </w:r>
      <w:r w:rsidRPr="008C0A23">
        <w:rPr>
          <w:rFonts w:cs="Times New Roman"/>
        </w:rPr>
        <w:t xml:space="preserve"> under administrative law” (para. 162</w:t>
      </w:r>
      <w:r>
        <w:rPr>
          <w:rFonts w:cs="Times New Roman"/>
        </w:rPr>
        <w:t xml:space="preserve"> (emphasis added)</w:t>
      </w:r>
      <w:r w:rsidRPr="008C0A23">
        <w:rPr>
          <w:rFonts w:cs="Times New Roman"/>
        </w:rPr>
        <w:t>). In my view, it is incumbent on courts to condemn such conduct as an abuse of process whenever it is brought to their attention.</w:t>
      </w:r>
    </w:p>
    <w:p w14:paraId="506EECCC" w14:textId="77777777" w:rsidR="00F04D37" w:rsidRPr="008C0A23" w:rsidRDefault="00F04D37" w:rsidP="00F04D37">
      <w:pPr>
        <w:pStyle w:val="Title1LevelTitre1Niveau-AltL"/>
        <w:ind w:left="578" w:hanging="578"/>
        <w:rPr>
          <w:rFonts w:cs="Times New Roman"/>
        </w:rPr>
      </w:pPr>
      <w:r w:rsidRPr="008C0A23">
        <w:rPr>
          <w:rFonts w:cs="Times New Roman"/>
        </w:rPr>
        <w:t>Standard of Review</w:t>
      </w:r>
    </w:p>
    <w:p w14:paraId="4A7F1DC2" w14:textId="77777777" w:rsidR="00F04D37" w:rsidRPr="008C0A23" w:rsidRDefault="00F04D37" w:rsidP="00F04D37">
      <w:pPr>
        <w:pStyle w:val="Title2LevelTitre2Niveau"/>
        <w:ind w:left="578" w:hanging="578"/>
        <w:rPr>
          <w:rFonts w:cs="Times New Roman"/>
        </w:rPr>
      </w:pPr>
      <w:r w:rsidRPr="008C0A23">
        <w:rPr>
          <w:rFonts w:cs="Times New Roman"/>
        </w:rPr>
        <w:t xml:space="preserve">Inconsistency </w:t>
      </w:r>
      <w:r>
        <w:rPr>
          <w:rFonts w:cs="Times New Roman"/>
        </w:rPr>
        <w:t>W</w:t>
      </w:r>
      <w:r w:rsidRPr="008C0A23">
        <w:rPr>
          <w:rFonts w:cs="Times New Roman"/>
        </w:rPr>
        <w:t>ith</w:t>
      </w:r>
      <w:r w:rsidRPr="008C0A23">
        <w:rPr>
          <w:rFonts w:cs="Times New Roman"/>
          <w:i w:val="0"/>
        </w:rPr>
        <w:t xml:space="preserve"> </w:t>
      </w:r>
      <w:proofErr w:type="spellStart"/>
      <w:r w:rsidRPr="00C93D3A">
        <w:rPr>
          <w:rFonts w:cs="Times New Roman"/>
        </w:rPr>
        <w:t>Khela</w:t>
      </w:r>
      <w:proofErr w:type="spellEnd"/>
    </w:p>
    <w:p w14:paraId="09A5788B"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The majority purports to “clarify” the standard of review applicable to questions of procedural fairness in a statutory appeal. It does so, however, without meaningfully considering </w:t>
      </w:r>
      <w:r w:rsidRPr="008C0A23">
        <w:rPr>
          <w:rFonts w:cs="Times New Roman"/>
          <w:i/>
        </w:rPr>
        <w:t xml:space="preserve">Mission Institution v. </w:t>
      </w:r>
      <w:proofErr w:type="spellStart"/>
      <w:r w:rsidRPr="008C0A23">
        <w:rPr>
          <w:rFonts w:cs="Times New Roman"/>
          <w:i/>
        </w:rPr>
        <w:t>Khela</w:t>
      </w:r>
      <w:proofErr w:type="spellEnd"/>
      <w:r w:rsidRPr="008C0A23">
        <w:rPr>
          <w:rFonts w:cs="Times New Roman"/>
        </w:rPr>
        <w:t xml:space="preserve">, 2014 SCC 24, [2014] 1 S.C.R. 502 — the governing authority on this point of law — or any other case relating to the duty of procedural fairness. I see no reason to revisit the foundations of </w:t>
      </w:r>
      <w:proofErr w:type="spellStart"/>
      <w:r w:rsidRPr="008C0A23">
        <w:rPr>
          <w:rFonts w:cs="Times New Roman"/>
          <w:i/>
        </w:rPr>
        <w:t>Khela</w:t>
      </w:r>
      <w:proofErr w:type="spellEnd"/>
      <w:r w:rsidRPr="008C0A23">
        <w:rPr>
          <w:rFonts w:cs="Times New Roman"/>
        </w:rPr>
        <w:t>.</w:t>
      </w:r>
    </w:p>
    <w:p w14:paraId="2C0E108A"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In </w:t>
      </w:r>
      <w:proofErr w:type="spellStart"/>
      <w:r w:rsidRPr="008C0A23">
        <w:rPr>
          <w:rFonts w:cs="Times New Roman"/>
          <w:i/>
        </w:rPr>
        <w:t>Khela</w:t>
      </w:r>
      <w:proofErr w:type="spellEnd"/>
      <w:r w:rsidRPr="008C0A23">
        <w:rPr>
          <w:rFonts w:cs="Times New Roman"/>
        </w:rPr>
        <w:t xml:space="preserve">, LeBel J. unambiguously confirmed for a unanimous court that “the standard for determining whether the decision maker complied with the duty of procedural fairness will continue to be ‘correctness’” (para. 79; see also </w:t>
      </w:r>
      <w:r w:rsidRPr="008C0A23">
        <w:rPr>
          <w:rFonts w:cs="Times New Roman"/>
          <w:i/>
        </w:rPr>
        <w:t>C</w:t>
      </w:r>
      <w:r>
        <w:rPr>
          <w:rFonts w:cs="Times New Roman"/>
          <w:i/>
        </w:rPr>
        <w:t>anada (C</w:t>
      </w:r>
      <w:r w:rsidRPr="008C0A23">
        <w:rPr>
          <w:rFonts w:cs="Times New Roman"/>
          <w:i/>
        </w:rPr>
        <w:t>itizenship and Immigration) </w:t>
      </w:r>
      <w:r w:rsidRPr="008C0A23">
        <w:rPr>
          <w:rFonts w:cs="Times New Roman"/>
          <w:i/>
          <w:iCs/>
        </w:rPr>
        <w:t>v.</w:t>
      </w:r>
      <w:r w:rsidRPr="008C0A23">
        <w:rPr>
          <w:rFonts w:cs="Times New Roman"/>
          <w:i/>
        </w:rPr>
        <w:t> </w:t>
      </w:r>
      <w:proofErr w:type="spellStart"/>
      <w:r w:rsidRPr="008C0A23">
        <w:rPr>
          <w:rFonts w:cs="Times New Roman"/>
          <w:i/>
        </w:rPr>
        <w:t>Khosa</w:t>
      </w:r>
      <w:proofErr w:type="spellEnd"/>
      <w:r w:rsidRPr="008C0A23">
        <w:rPr>
          <w:rFonts w:cs="Times New Roman"/>
        </w:rPr>
        <w:t xml:space="preserve">, 2009 SCC 12, [2009] 1 S.C.R. 339, at para. 43, referring to </w:t>
      </w:r>
      <w:r w:rsidRPr="008C0A23">
        <w:rPr>
          <w:rFonts w:cs="Times New Roman"/>
          <w:i/>
        </w:rPr>
        <w:t>Dunsmuir </w:t>
      </w:r>
      <w:r w:rsidRPr="008C0A23">
        <w:rPr>
          <w:rFonts w:cs="Times New Roman"/>
          <w:i/>
          <w:iCs/>
        </w:rPr>
        <w:t>v</w:t>
      </w:r>
      <w:r>
        <w:rPr>
          <w:rFonts w:cs="Times New Roman"/>
          <w:i/>
        </w:rPr>
        <w:t>. </w:t>
      </w:r>
      <w:r w:rsidRPr="008C0A23">
        <w:rPr>
          <w:rFonts w:cs="Times New Roman"/>
          <w:i/>
        </w:rPr>
        <w:t>New Brunswick</w:t>
      </w:r>
      <w:r w:rsidRPr="008C0A23">
        <w:rPr>
          <w:rFonts w:cs="Times New Roman"/>
        </w:rPr>
        <w:t>, 2008 SCC 9</w:t>
      </w:r>
      <w:r>
        <w:rPr>
          <w:rFonts w:cs="Times New Roman"/>
        </w:rPr>
        <w:t>,</w:t>
      </w:r>
      <w:r w:rsidRPr="008C0A23">
        <w:rPr>
          <w:rFonts w:cs="Times New Roman"/>
        </w:rPr>
        <w:t xml:space="preserve"> </w:t>
      </w:r>
      <w:r>
        <w:rPr>
          <w:rFonts w:cs="Times New Roman"/>
        </w:rPr>
        <w:t>[2008] 1 S.C.R. 190</w:t>
      </w:r>
      <w:r w:rsidRPr="008C0A23">
        <w:rPr>
          <w:rFonts w:cs="Times New Roman"/>
        </w:rPr>
        <w:t xml:space="preserve">; </w:t>
      </w:r>
      <w:r w:rsidRPr="008C0A23">
        <w:rPr>
          <w:rFonts w:cs="Times New Roman"/>
          <w:i/>
        </w:rPr>
        <w:t>C.U.P.E. </w:t>
      </w:r>
      <w:r w:rsidRPr="008C0A23">
        <w:rPr>
          <w:rFonts w:cs="Times New Roman"/>
          <w:i/>
          <w:iCs/>
        </w:rPr>
        <w:t>v.</w:t>
      </w:r>
      <w:r w:rsidRPr="008C0A23">
        <w:rPr>
          <w:rFonts w:cs="Times New Roman"/>
          <w:i/>
        </w:rPr>
        <w:t> Ontario (Minister of Labour)</w:t>
      </w:r>
      <w:r w:rsidRPr="008C0A23">
        <w:rPr>
          <w:rFonts w:cs="Times New Roman"/>
        </w:rPr>
        <w:t xml:space="preserve">, 2003 SCC 29, [2003] 1 S.C.R. 539, at para. 100; </w:t>
      </w:r>
      <w:r w:rsidRPr="008C0A23">
        <w:rPr>
          <w:rFonts w:cs="Times New Roman"/>
          <w:i/>
          <w:szCs w:val="24"/>
        </w:rPr>
        <w:t>Toronto v. C.U.P.E.</w:t>
      </w:r>
      <w:r w:rsidRPr="008C0A23">
        <w:rPr>
          <w:rFonts w:cs="Times New Roman"/>
        </w:rPr>
        <w:t xml:space="preserve">, at para. 15 (applying the correctness standard to the issue of abuse of process); </w:t>
      </w:r>
      <w:r w:rsidRPr="008C0A23">
        <w:rPr>
          <w:rFonts w:cs="Times New Roman"/>
          <w:i/>
          <w:iCs/>
        </w:rPr>
        <w:t>Baker v. Canada (Minister of Citizenship and Immigration)</w:t>
      </w:r>
      <w:r w:rsidRPr="008C0A23">
        <w:rPr>
          <w:rFonts w:cs="Times New Roman"/>
          <w:iCs/>
        </w:rPr>
        <w:t xml:space="preserve">, </w:t>
      </w:r>
      <w:r w:rsidRPr="008C0A23">
        <w:rPr>
          <w:rFonts w:cs="Times New Roman"/>
          <w:iCs/>
        </w:rPr>
        <w:lastRenderedPageBreak/>
        <w:t>[1</w:t>
      </w:r>
      <w:r>
        <w:rPr>
          <w:rFonts w:cs="Times New Roman"/>
          <w:iCs/>
        </w:rPr>
        <w:t>999] 2 S.C.R. 817, at paras. 55</w:t>
      </w:r>
      <w:r>
        <w:rPr>
          <w:rFonts w:cs="Times New Roman"/>
          <w:iCs/>
        </w:rPr>
        <w:noBreakHyphen/>
      </w:r>
      <w:r w:rsidRPr="008C0A23">
        <w:rPr>
          <w:rFonts w:cs="Times New Roman"/>
          <w:iCs/>
        </w:rPr>
        <w:t xml:space="preserve">62 (applying the reasonableness standard to the “substantive aspects” of </w:t>
      </w:r>
      <w:r>
        <w:rPr>
          <w:rFonts w:cs="Times New Roman"/>
          <w:iCs/>
        </w:rPr>
        <w:t>the</w:t>
      </w:r>
      <w:r w:rsidRPr="008C0A23">
        <w:rPr>
          <w:rFonts w:cs="Times New Roman"/>
          <w:iCs/>
        </w:rPr>
        <w:t xml:space="preserve"> decision only</w:t>
      </w:r>
      <w:r w:rsidRPr="008C0A23">
        <w:rPr>
          <w:rFonts w:cs="Times New Roman"/>
        </w:rPr>
        <w:t>)</w:t>
      </w:r>
      <w:r>
        <w:rPr>
          <w:rFonts w:cs="Times New Roman"/>
        </w:rPr>
        <w:t>)</w:t>
      </w:r>
      <w:r w:rsidRPr="008C0A23">
        <w:rPr>
          <w:rFonts w:cs="Times New Roman"/>
        </w:rPr>
        <w:t>. Moreover, the framework articulated by this Court for assessing questions of procedural fairness applies irrespective of any appeal mechanism, although the existence of appeal rights is a relevant consideration in determining the content of the common law duty of fairness (</w:t>
      </w:r>
      <w:r w:rsidRPr="008C0A23">
        <w:rPr>
          <w:rFonts w:cs="Times New Roman"/>
          <w:i/>
        </w:rPr>
        <w:t>Baker</w:t>
      </w:r>
      <w:r w:rsidRPr="008C0A23">
        <w:rPr>
          <w:rFonts w:cs="Times New Roman"/>
        </w:rPr>
        <w:t>,</w:t>
      </w:r>
      <w:r w:rsidRPr="008C0A23">
        <w:rPr>
          <w:rFonts w:cs="Times New Roman"/>
          <w:i/>
        </w:rPr>
        <w:t xml:space="preserve"> </w:t>
      </w:r>
      <w:r w:rsidRPr="008C0A23">
        <w:rPr>
          <w:rFonts w:cs="Times New Roman"/>
        </w:rPr>
        <w:t>at para. 24).</w:t>
      </w:r>
    </w:p>
    <w:p w14:paraId="329D3FC5"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Despite this clear statement in </w:t>
      </w:r>
      <w:proofErr w:type="spellStart"/>
      <w:r w:rsidRPr="008C0A23">
        <w:rPr>
          <w:rFonts w:cs="Times New Roman"/>
          <w:i/>
        </w:rPr>
        <w:t>Khela</w:t>
      </w:r>
      <w:proofErr w:type="spellEnd"/>
      <w:r w:rsidRPr="008C0A23">
        <w:rPr>
          <w:rFonts w:cs="Times New Roman"/>
        </w:rPr>
        <w:t xml:space="preserve">, the majority asserts that “where questions of procedural fairness are dealt with through a statutory appeal mechanism, they are subject to appellate standards of review” (para. 27). This is so, in its view, because of this Court’s categorical direction in </w:t>
      </w:r>
      <w:r w:rsidRPr="008C0A23">
        <w:rPr>
          <w:rFonts w:cs="Times New Roman"/>
          <w:i/>
        </w:rPr>
        <w:t xml:space="preserve">Vavilov </w:t>
      </w:r>
      <w:r w:rsidRPr="008C0A23">
        <w:rPr>
          <w:rFonts w:cs="Times New Roman"/>
        </w:rPr>
        <w:t>that appeals are to be decided according to appellate standards of review.</w:t>
      </w:r>
    </w:p>
    <w:p w14:paraId="55A446E6"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But the assertion on which the majority relies was made in the context of </w:t>
      </w:r>
      <w:r w:rsidRPr="008C0A23">
        <w:rPr>
          <w:rFonts w:cs="Times New Roman"/>
          <w:i/>
        </w:rPr>
        <w:t xml:space="preserve">substantive </w:t>
      </w:r>
      <w:r w:rsidRPr="008C0A23">
        <w:rPr>
          <w:rFonts w:cs="Times New Roman"/>
        </w:rPr>
        <w:t xml:space="preserve">review — in which the presumptive standard of review is reasonableness, by contrast with </w:t>
      </w:r>
      <w:proofErr w:type="spellStart"/>
      <w:r w:rsidRPr="008C0A23">
        <w:rPr>
          <w:rFonts w:cs="Times New Roman"/>
          <w:i/>
        </w:rPr>
        <w:t>Khela</w:t>
      </w:r>
      <w:proofErr w:type="spellEnd"/>
      <w:r w:rsidRPr="008C0A23">
        <w:rPr>
          <w:rFonts w:cs="Times New Roman"/>
        </w:rPr>
        <w:t xml:space="preserve">. Indeed, the passages of </w:t>
      </w:r>
      <w:r w:rsidRPr="008C0A23">
        <w:rPr>
          <w:rFonts w:cs="Times New Roman"/>
          <w:i/>
        </w:rPr>
        <w:t xml:space="preserve">Vavilov </w:t>
      </w:r>
      <w:r w:rsidRPr="008C0A23">
        <w:rPr>
          <w:rFonts w:cs="Times New Roman"/>
        </w:rPr>
        <w:t>cited by my colleague (at paras</w:t>
      </w:r>
      <w:r>
        <w:rPr>
          <w:rFonts w:cs="Times New Roman"/>
        </w:rPr>
        <w:t>. 27</w:t>
      </w:r>
      <w:r>
        <w:rPr>
          <w:rFonts w:cs="Times New Roman"/>
        </w:rPr>
        <w:noBreakHyphen/>
      </w:r>
      <w:r w:rsidRPr="008C0A23">
        <w:rPr>
          <w:rFonts w:cs="Times New Roman"/>
        </w:rPr>
        <w:t xml:space="preserve">28) established the principle that “[the legislature] may direct that </w:t>
      </w:r>
      <w:r w:rsidRPr="008C0A23">
        <w:rPr>
          <w:rFonts w:cs="Times New Roman"/>
          <w:u w:val="single"/>
        </w:rPr>
        <w:t>derogation from the presumption of reasonableness review</w:t>
      </w:r>
      <w:r w:rsidRPr="008C0A23">
        <w:rPr>
          <w:rFonts w:cs="Times New Roman"/>
        </w:rPr>
        <w:t xml:space="preserve"> is appropriate by providing for a statutory appeal mechanism from an administrative decision maker to a court, thereby signalling the application of appellate standards” (</w:t>
      </w:r>
      <w:r w:rsidRPr="008C0A23">
        <w:rPr>
          <w:rFonts w:cs="Times New Roman"/>
          <w:i/>
        </w:rPr>
        <w:t>Vavilov</w:t>
      </w:r>
      <w:r w:rsidRPr="008C0A23">
        <w:rPr>
          <w:rFonts w:cs="Times New Roman"/>
        </w:rPr>
        <w:t>, at para. 33</w:t>
      </w:r>
      <w:r>
        <w:rPr>
          <w:rFonts w:cs="Times New Roman"/>
        </w:rPr>
        <w:t xml:space="preserve"> (</w:t>
      </w:r>
      <w:r w:rsidRPr="008C0A23">
        <w:rPr>
          <w:rFonts w:cs="Times New Roman"/>
        </w:rPr>
        <w:t>emphasis added</w:t>
      </w:r>
      <w:r>
        <w:rPr>
          <w:rFonts w:cs="Times New Roman"/>
        </w:rPr>
        <w:t>)</w:t>
      </w:r>
      <w:r w:rsidRPr="008C0A23">
        <w:rPr>
          <w:rFonts w:cs="Times New Roman"/>
        </w:rPr>
        <w:t>; see also para. 36).</w:t>
      </w:r>
    </w:p>
    <w:p w14:paraId="1A40D9B2"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With respect, the mere reference to </w:t>
      </w:r>
      <w:r w:rsidRPr="008C0A23">
        <w:rPr>
          <w:rFonts w:cs="Times New Roman"/>
          <w:i/>
        </w:rPr>
        <w:t>Vavilov </w:t>
      </w:r>
      <w:r w:rsidRPr="008C0A23">
        <w:rPr>
          <w:rFonts w:cs="Times New Roman"/>
        </w:rPr>
        <w:t xml:space="preserve">— a judgment that was rendered in a different context and that excluded procedural fairness review from its purview — does not suffice to oust </w:t>
      </w:r>
      <w:proofErr w:type="spellStart"/>
      <w:r w:rsidRPr="008C0A23">
        <w:rPr>
          <w:rFonts w:cs="Times New Roman"/>
          <w:i/>
        </w:rPr>
        <w:t>Khela</w:t>
      </w:r>
      <w:proofErr w:type="spellEnd"/>
      <w:r w:rsidRPr="008C0A23">
        <w:rPr>
          <w:rFonts w:cs="Times New Roman"/>
          <w:i/>
        </w:rPr>
        <w:t xml:space="preserve"> </w:t>
      </w:r>
      <w:r w:rsidRPr="008C0A23">
        <w:rPr>
          <w:rFonts w:cs="Times New Roman"/>
        </w:rPr>
        <w:t xml:space="preserve">and other directly applicable precedents. </w:t>
      </w:r>
      <w:r w:rsidRPr="008C0A23">
        <w:rPr>
          <w:rFonts w:cs="Times New Roman"/>
        </w:rPr>
        <w:lastRenderedPageBreak/>
        <w:t xml:space="preserve">Indeed, in </w:t>
      </w:r>
      <w:r w:rsidRPr="008C0A23">
        <w:rPr>
          <w:rFonts w:cs="Times New Roman"/>
          <w:i/>
        </w:rPr>
        <w:t>Vavilov</w:t>
      </w:r>
      <w:r w:rsidRPr="008C0A23">
        <w:rPr>
          <w:rFonts w:cs="Times New Roman"/>
        </w:rPr>
        <w:t xml:space="preserve">, at para. 23, this Court expressly excluded issues of procedural fairness from the framework developed in that case — and rightly so. The central “conceptual basis” for the presumption of reasonableness review in the </w:t>
      </w:r>
      <w:r w:rsidRPr="008C0A23">
        <w:rPr>
          <w:rFonts w:cs="Times New Roman"/>
          <w:i/>
        </w:rPr>
        <w:t xml:space="preserve">Vavilov </w:t>
      </w:r>
      <w:r w:rsidRPr="008C0A23">
        <w:rPr>
          <w:rFonts w:cs="Times New Roman"/>
        </w:rPr>
        <w:t>framework</w:t>
      </w:r>
      <w:r w:rsidRPr="008C0A23">
        <w:rPr>
          <w:rFonts w:cs="Times New Roman"/>
          <w:i/>
        </w:rPr>
        <w:t xml:space="preserve"> </w:t>
      </w:r>
      <w:r w:rsidRPr="008C0A23">
        <w:rPr>
          <w:rFonts w:cs="Times New Roman"/>
        </w:rPr>
        <w:t xml:space="preserve">is “respect for the legislature’s institutional design choice to delegate certain matters to non-judicial decision makers through statute” (para. 26). Moreover, “the consideration of expertise is folded into the new starting </w:t>
      </w:r>
      <w:proofErr w:type="gramStart"/>
      <w:r w:rsidRPr="008C0A23">
        <w:rPr>
          <w:rFonts w:cs="Times New Roman"/>
        </w:rPr>
        <w:t>point .</w:t>
      </w:r>
      <w:proofErr w:type="gramEnd"/>
      <w:r w:rsidRPr="008C0A23">
        <w:rPr>
          <w:rFonts w:cs="Times New Roman"/>
        </w:rPr>
        <w:t> . ., namely the presumption of reasonableness review” (para. 58). Neither of these considerations applies where procedural fairness is in issue.</w:t>
      </w:r>
    </w:p>
    <w:p w14:paraId="44EC49F8"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First, the duty of procedural fairness exists independently of statutorily confined administrative regimes. It is a “general common law principle” incrementally developed by courts over multiple decades of jurisprudence (</w:t>
      </w:r>
      <w:r w:rsidRPr="008C0A23">
        <w:rPr>
          <w:rFonts w:cs="Times New Roman"/>
          <w:i/>
          <w:iCs/>
        </w:rPr>
        <w:t>Cardinal v. Director of Kent Institution</w:t>
      </w:r>
      <w:r w:rsidRPr="008C0A23">
        <w:rPr>
          <w:rFonts w:cs="Times New Roman"/>
        </w:rPr>
        <w:t xml:space="preserve">, [1985] 2 S.C.R. 643, </w:t>
      </w:r>
      <w:r>
        <w:rPr>
          <w:rFonts w:cs="Times New Roman"/>
        </w:rPr>
        <w:t xml:space="preserve">at </w:t>
      </w:r>
      <w:r w:rsidRPr="008C0A23">
        <w:rPr>
          <w:rFonts w:cs="Times New Roman"/>
        </w:rPr>
        <w:t xml:space="preserve">p. 653; see also </w:t>
      </w:r>
      <w:proofErr w:type="spellStart"/>
      <w:r w:rsidRPr="008C0A23">
        <w:rPr>
          <w:rFonts w:cs="Times New Roman"/>
          <w:i/>
        </w:rPr>
        <w:t>Khela</w:t>
      </w:r>
      <w:proofErr w:type="spellEnd"/>
      <w:r w:rsidRPr="008C0A23">
        <w:rPr>
          <w:rFonts w:cs="Times New Roman"/>
        </w:rPr>
        <w:t>, at para. 82;</w:t>
      </w:r>
      <w:r w:rsidRPr="008C0A23">
        <w:rPr>
          <w:rFonts w:cs="Times New Roman"/>
          <w:i/>
        </w:rPr>
        <w:t xml:space="preserve"> Canada (Attorney General) </w:t>
      </w:r>
      <w:r w:rsidRPr="008C0A23">
        <w:rPr>
          <w:rFonts w:cs="Times New Roman"/>
          <w:i/>
          <w:iCs/>
        </w:rPr>
        <w:t xml:space="preserve">v. </w:t>
      </w:r>
      <w:proofErr w:type="spellStart"/>
      <w:r w:rsidRPr="008C0A23">
        <w:rPr>
          <w:rFonts w:cs="Times New Roman"/>
          <w:i/>
        </w:rPr>
        <w:t>Mavi</w:t>
      </w:r>
      <w:proofErr w:type="spellEnd"/>
      <w:r w:rsidRPr="008C0A23">
        <w:rPr>
          <w:rFonts w:cs="Times New Roman"/>
        </w:rPr>
        <w:t xml:space="preserve">, 2011 SCC 30, [2011] 2 S.C.R. 504, at para. 38; </w:t>
      </w:r>
      <w:r w:rsidRPr="008C0A23">
        <w:rPr>
          <w:rFonts w:cs="Times New Roman"/>
          <w:i/>
        </w:rPr>
        <w:t>Dunsmuir</w:t>
      </w:r>
      <w:r w:rsidRPr="008C0A23">
        <w:rPr>
          <w:rFonts w:cs="Times New Roman"/>
        </w:rPr>
        <w:t xml:space="preserve">, at para. 87; </w:t>
      </w:r>
      <w:r w:rsidRPr="008C0A23">
        <w:rPr>
          <w:rFonts w:cs="Times New Roman"/>
          <w:i/>
        </w:rPr>
        <w:t>Mount Sinai Hospital Center </w:t>
      </w:r>
      <w:r w:rsidRPr="008C0A23">
        <w:rPr>
          <w:rFonts w:cs="Times New Roman"/>
          <w:i/>
          <w:iCs/>
        </w:rPr>
        <w:t>v</w:t>
      </w:r>
      <w:r>
        <w:rPr>
          <w:rFonts w:cs="Times New Roman"/>
          <w:i/>
        </w:rPr>
        <w:t>. </w:t>
      </w:r>
      <w:r w:rsidRPr="008C0A23">
        <w:rPr>
          <w:rFonts w:cs="Times New Roman"/>
          <w:i/>
        </w:rPr>
        <w:t>Quebec (Minister of Health and Social Services)</w:t>
      </w:r>
      <w:r w:rsidRPr="008C0A23">
        <w:rPr>
          <w:rFonts w:cs="Times New Roman"/>
        </w:rPr>
        <w:t xml:space="preserve">, 2001 SCC 41, [2001] 2 S.C.R. 281, at para. 22; </w:t>
      </w:r>
      <w:r w:rsidRPr="008C0A23">
        <w:rPr>
          <w:rFonts w:cs="Times New Roman"/>
          <w:i/>
          <w:iCs/>
        </w:rPr>
        <w:t>Ocean Port Hotel Ltd. v. British Columbia (General Manager, Liquor Control and Licensing Branch)</w:t>
      </w:r>
      <w:r w:rsidRPr="008C0A23">
        <w:rPr>
          <w:rFonts w:cs="Times New Roman"/>
        </w:rPr>
        <w:t>, 2001 SCC 52, [2001] 2 S.C.R. 781, at paras. 18</w:t>
      </w:r>
      <w:r>
        <w:rPr>
          <w:rFonts w:cs="Times New Roman"/>
        </w:rPr>
        <w:noBreakHyphen/>
      </w:r>
      <w:r w:rsidRPr="008C0A23">
        <w:rPr>
          <w:rFonts w:cs="Times New Roman"/>
        </w:rPr>
        <w:t xml:space="preserve">22; </w:t>
      </w:r>
      <w:r w:rsidRPr="008C0A23">
        <w:rPr>
          <w:rFonts w:cs="Times New Roman"/>
          <w:i/>
        </w:rPr>
        <w:t>Baker</w:t>
      </w:r>
      <w:r w:rsidRPr="008C0A23">
        <w:rPr>
          <w:rFonts w:cs="Times New Roman"/>
        </w:rPr>
        <w:t>, at paras. 20</w:t>
      </w:r>
      <w:r>
        <w:rPr>
          <w:rFonts w:cs="Times New Roman"/>
        </w:rPr>
        <w:noBreakHyphen/>
      </w:r>
      <w:r w:rsidRPr="008C0A23">
        <w:rPr>
          <w:rFonts w:cs="Times New Roman"/>
        </w:rPr>
        <w:t xml:space="preserve">28; </w:t>
      </w:r>
      <w:r w:rsidRPr="008C0A23">
        <w:rPr>
          <w:rStyle w:val="reflex"/>
          <w:rFonts w:cs="Times New Roman"/>
          <w:i/>
          <w:iCs/>
        </w:rPr>
        <w:t>Knight</w:t>
      </w:r>
      <w:r>
        <w:rPr>
          <w:rStyle w:val="reflex"/>
          <w:rFonts w:cs="Times New Roman"/>
          <w:i/>
          <w:iCs/>
        </w:rPr>
        <w:t> v. </w:t>
      </w:r>
      <w:r w:rsidRPr="008C0A23">
        <w:rPr>
          <w:rStyle w:val="reflex"/>
          <w:rFonts w:cs="Times New Roman"/>
          <w:i/>
          <w:iCs/>
        </w:rPr>
        <w:t>Indian Head School Division No. 19</w:t>
      </w:r>
      <w:r w:rsidRPr="008C0A23">
        <w:rPr>
          <w:rFonts w:cs="Times New Roman"/>
        </w:rPr>
        <w:t>, [</w:t>
      </w:r>
      <w:r w:rsidRPr="008C0A23">
        <w:rPr>
          <w:rStyle w:val="reflex3-block"/>
          <w:rFonts w:cs="Times New Roman"/>
        </w:rPr>
        <w:t>1990] 1 S.C.R. 653</w:t>
      </w:r>
      <w:r w:rsidRPr="008C0A23">
        <w:rPr>
          <w:rFonts w:cs="Times New Roman"/>
        </w:rPr>
        <w:t xml:space="preserve">, at p. 669; </w:t>
      </w:r>
      <w:r w:rsidRPr="008C0A23">
        <w:rPr>
          <w:rFonts w:cs="Times New Roman"/>
          <w:i/>
          <w:iCs/>
        </w:rPr>
        <w:t>Martineau</w:t>
      </w:r>
      <w:r>
        <w:rPr>
          <w:rFonts w:cs="Times New Roman"/>
          <w:i/>
          <w:iCs/>
        </w:rPr>
        <w:t> v. </w:t>
      </w:r>
      <w:proofErr w:type="spellStart"/>
      <w:r w:rsidRPr="008C0A23">
        <w:rPr>
          <w:rFonts w:cs="Times New Roman"/>
          <w:i/>
          <w:iCs/>
        </w:rPr>
        <w:t>Matsqui</w:t>
      </w:r>
      <w:proofErr w:type="spellEnd"/>
      <w:r w:rsidRPr="008C0A23">
        <w:rPr>
          <w:rFonts w:cs="Times New Roman"/>
          <w:i/>
          <w:iCs/>
        </w:rPr>
        <w:t xml:space="preserve"> Institution Disciplinary Board</w:t>
      </w:r>
      <w:r w:rsidRPr="008C0A23">
        <w:rPr>
          <w:rFonts w:cs="Times New Roman"/>
        </w:rPr>
        <w:t xml:space="preserve">, [1980] 1 S.C.R. 602; </w:t>
      </w:r>
      <w:r w:rsidRPr="008C0A23">
        <w:rPr>
          <w:rFonts w:cs="Times New Roman"/>
          <w:i/>
          <w:iCs/>
        </w:rPr>
        <w:t>Kane</w:t>
      </w:r>
      <w:r>
        <w:rPr>
          <w:rFonts w:cs="Times New Roman"/>
          <w:i/>
          <w:iCs/>
        </w:rPr>
        <w:t> v. </w:t>
      </w:r>
      <w:r w:rsidRPr="008C0A23">
        <w:rPr>
          <w:rFonts w:cs="Times New Roman"/>
          <w:i/>
          <w:iCs/>
        </w:rPr>
        <w:t xml:space="preserve">Board of Governors </w:t>
      </w:r>
      <w:r>
        <w:rPr>
          <w:rFonts w:cs="Times New Roman"/>
          <w:i/>
          <w:iCs/>
        </w:rPr>
        <w:t>(</w:t>
      </w:r>
      <w:r w:rsidRPr="008C0A23">
        <w:rPr>
          <w:rFonts w:cs="Times New Roman"/>
          <w:i/>
          <w:iCs/>
        </w:rPr>
        <w:t>University of British Columbia</w:t>
      </w:r>
      <w:r>
        <w:rPr>
          <w:rFonts w:cs="Times New Roman"/>
          <w:i/>
          <w:iCs/>
        </w:rPr>
        <w:t>)</w:t>
      </w:r>
      <w:r w:rsidRPr="008C0A23">
        <w:rPr>
          <w:rFonts w:cs="Times New Roman"/>
        </w:rPr>
        <w:t>, [1980] 1 S.C.R. 1105;</w:t>
      </w:r>
      <w:r w:rsidRPr="008C0A23">
        <w:rPr>
          <w:rFonts w:cs="Times New Roman"/>
          <w:i/>
          <w:iCs/>
        </w:rPr>
        <w:t xml:space="preserve"> Attorney General of Canada v. Inuit Tapirisat of Canada</w:t>
      </w:r>
      <w:r>
        <w:rPr>
          <w:rFonts w:cs="Times New Roman"/>
        </w:rPr>
        <w:t>, [1980] 2 S.C.R. 735</w:t>
      </w:r>
      <w:r w:rsidRPr="008C0A23">
        <w:rPr>
          <w:rFonts w:cs="Times New Roman"/>
        </w:rPr>
        <w:t xml:space="preserve">; </w:t>
      </w:r>
      <w:r>
        <w:rPr>
          <w:rFonts w:cs="Times New Roman"/>
          <w:i/>
          <w:iCs/>
        </w:rPr>
        <w:t>Nicholson v. </w:t>
      </w:r>
      <w:proofErr w:type="spellStart"/>
      <w:r>
        <w:rPr>
          <w:rFonts w:cs="Times New Roman"/>
          <w:i/>
          <w:iCs/>
        </w:rPr>
        <w:t>Haldimand</w:t>
      </w:r>
      <w:proofErr w:type="spellEnd"/>
      <w:r>
        <w:rPr>
          <w:rFonts w:cs="Times New Roman"/>
          <w:i/>
          <w:iCs/>
        </w:rPr>
        <w:noBreakHyphen/>
      </w:r>
      <w:r w:rsidRPr="008C0A23">
        <w:rPr>
          <w:rFonts w:cs="Times New Roman"/>
          <w:i/>
          <w:iCs/>
        </w:rPr>
        <w:t>Norfolk Regional Board of Commissioners of Police</w:t>
      </w:r>
      <w:r w:rsidRPr="008C0A23">
        <w:rPr>
          <w:rFonts w:cs="Times New Roman"/>
        </w:rPr>
        <w:t>, [1979] 1 S.C.R. 31</w:t>
      </w:r>
      <w:r>
        <w:rPr>
          <w:rFonts w:cs="Times New Roman"/>
        </w:rPr>
        <w:t>1)</w:t>
      </w:r>
      <w:r w:rsidRPr="008C0A23">
        <w:rPr>
          <w:rFonts w:cs="Times New Roman"/>
        </w:rPr>
        <w:t>.</w:t>
      </w:r>
    </w:p>
    <w:p w14:paraId="37DE93CC"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lastRenderedPageBreak/>
        <w:t xml:space="preserve">The legislature’s delegation of authority to make decisions within a given administrative regime has little to do with the question of whether the process conforms to fairness requirements at common law, or whether such requirements have been ousted expressly or by necessary implication by the enabling statute (see </w:t>
      </w:r>
      <w:r w:rsidRPr="008C0A23">
        <w:rPr>
          <w:rFonts w:cs="Times New Roman"/>
          <w:i/>
        </w:rPr>
        <w:t>Baker</w:t>
      </w:r>
      <w:r w:rsidRPr="008C0A23">
        <w:rPr>
          <w:rFonts w:cs="Times New Roman"/>
        </w:rPr>
        <w:t>, at paras. 21</w:t>
      </w:r>
      <w:r w:rsidRPr="008C0A23">
        <w:rPr>
          <w:rFonts w:cs="Times New Roman"/>
        </w:rPr>
        <w:noBreakHyphen/>
        <w:t>28;</w:t>
      </w:r>
      <w:r w:rsidRPr="008C0A23">
        <w:rPr>
          <w:rFonts w:cs="Times New Roman"/>
          <w:i/>
        </w:rPr>
        <w:t xml:space="preserve"> Ocean Port</w:t>
      </w:r>
      <w:r w:rsidRPr="008C0A23">
        <w:rPr>
          <w:rFonts w:cs="Times New Roman"/>
        </w:rPr>
        <w:t xml:space="preserve">, at para. 22). Using </w:t>
      </w:r>
      <w:r w:rsidRPr="008C0A23">
        <w:rPr>
          <w:rFonts w:cs="Times New Roman"/>
          <w:i/>
        </w:rPr>
        <w:t>Baker</w:t>
      </w:r>
      <w:r w:rsidRPr="008C0A23">
        <w:rPr>
          <w:rFonts w:cs="Times New Roman"/>
        </w:rPr>
        <w:t xml:space="preserve"> as a concrete example, I reject the proposition that an immigration officer empowered by the </w:t>
      </w:r>
      <w:r w:rsidRPr="008C0A23">
        <w:rPr>
          <w:rFonts w:cs="Times New Roman"/>
          <w:i/>
        </w:rPr>
        <w:t>Immigration Act</w:t>
      </w:r>
      <w:r>
        <w:rPr>
          <w:rFonts w:cs="Times New Roman"/>
        </w:rPr>
        <w:t>, R.S.C. 1985, c. I</w:t>
      </w:r>
      <w:r>
        <w:rPr>
          <w:rFonts w:cs="Times New Roman"/>
        </w:rPr>
        <w:noBreakHyphen/>
        <w:t>2,</w:t>
      </w:r>
      <w:r w:rsidRPr="008C0A23">
        <w:rPr>
          <w:rFonts w:cs="Times New Roman"/>
        </w:rPr>
        <w:t xml:space="preserve"> to make administrative decisions was entitled to deference from a court applying the common law test for impartiality. In that case, L’Heureux</w:t>
      </w:r>
      <w:r>
        <w:rPr>
          <w:rFonts w:cs="Times New Roman"/>
        </w:rPr>
        <w:noBreakHyphen/>
      </w:r>
      <w:r w:rsidRPr="008C0A23">
        <w:rPr>
          <w:rFonts w:cs="Times New Roman"/>
        </w:rPr>
        <w:t>Dubé J. rightly circumscribed the scope of deference to the “substantive aspects” of the decision (paras. 55</w:t>
      </w:r>
      <w:r>
        <w:rPr>
          <w:rFonts w:cs="Times New Roman"/>
        </w:rPr>
        <w:t xml:space="preserve"> and</w:t>
      </w:r>
      <w:r w:rsidRPr="008C0A23">
        <w:rPr>
          <w:rFonts w:cs="Times New Roman"/>
        </w:rPr>
        <w:t xml:space="preserve"> 62).</w:t>
      </w:r>
    </w:p>
    <w:p w14:paraId="70D8D7BE"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In my view, deference to substantive decisions presupposes</w:t>
      </w:r>
      <w:r w:rsidRPr="008C0A23">
        <w:rPr>
          <w:rFonts w:cs="Times New Roman"/>
          <w:i/>
        </w:rPr>
        <w:t xml:space="preserve"> </w:t>
      </w:r>
      <w:r w:rsidRPr="008C0A23">
        <w:rPr>
          <w:rFonts w:cs="Times New Roman"/>
        </w:rPr>
        <w:t xml:space="preserve">that the administrative process is fair and thus subject to review by courts on a correctness standard. The proposition that procedural fairness underlies reasonableness review is ingrained in the </w:t>
      </w:r>
      <w:r w:rsidRPr="008C0A23">
        <w:rPr>
          <w:rFonts w:cs="Times New Roman"/>
          <w:i/>
        </w:rPr>
        <w:t xml:space="preserve">Vavilov </w:t>
      </w:r>
      <w:r w:rsidRPr="008C0A23">
        <w:rPr>
          <w:rFonts w:cs="Times New Roman"/>
        </w:rPr>
        <w:t xml:space="preserve">framework itself. This Court emphasized in </w:t>
      </w:r>
      <w:r w:rsidRPr="008C0A23">
        <w:rPr>
          <w:rFonts w:cs="Times New Roman"/>
          <w:i/>
        </w:rPr>
        <w:t>Vavilov</w:t>
      </w:r>
      <w:r w:rsidRPr="008C0A23">
        <w:rPr>
          <w:rFonts w:cs="Times New Roman"/>
        </w:rPr>
        <w:t xml:space="preserve"> that “the focus of reasonableness review must be on the decision actually made by the decision maker, including both the decision maker’s reasoning process and the outcome” (para. 83). Consequently, courts cannot accord deference to an administrative decision maker who fails to give reasons in circumstances where doing so is required at common law. The same reasoning applies to other types of procedural unfairness as well.</w:t>
      </w:r>
    </w:p>
    <w:p w14:paraId="49D97DAC"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Second, the application of common law principles falls squarely within the expertise of the judiciary. For example, this Court stressed in </w:t>
      </w:r>
      <w:r w:rsidRPr="008C0A23">
        <w:rPr>
          <w:rFonts w:cs="Times New Roman"/>
          <w:i/>
        </w:rPr>
        <w:t>Toronto v. C.U.P.E.</w:t>
      </w:r>
      <w:r w:rsidRPr="008C0A23">
        <w:rPr>
          <w:rFonts w:cs="Times New Roman"/>
        </w:rPr>
        <w:t xml:space="preserve"> that abuse of process in the context of relitigation “is clearly outside the sphere of expertise </w:t>
      </w:r>
      <w:r w:rsidRPr="008C0A23">
        <w:rPr>
          <w:rFonts w:cs="Times New Roman"/>
        </w:rPr>
        <w:lastRenderedPageBreak/>
        <w:t xml:space="preserve">of a labour arbitrator who may be called to have recourse to [it]” (para. 15; see also </w:t>
      </w:r>
      <w:r w:rsidRPr="008C0A23">
        <w:rPr>
          <w:rFonts w:cs="Times New Roman"/>
          <w:i/>
        </w:rPr>
        <w:t>C.U.P.E. v. Ontario</w:t>
      </w:r>
      <w:r w:rsidRPr="008C0A23">
        <w:rPr>
          <w:rFonts w:cs="Times New Roman"/>
        </w:rPr>
        <w:t>, at para. 100:</w:t>
      </w:r>
      <w:r w:rsidRPr="008C0A23">
        <w:rPr>
          <w:rFonts w:cs="Times New Roman"/>
          <w:i/>
        </w:rPr>
        <w:t xml:space="preserve"> </w:t>
      </w:r>
      <w:r w:rsidRPr="008C0A23">
        <w:rPr>
          <w:rFonts w:cs="Times New Roman"/>
        </w:rPr>
        <w:t>“It is for the courts, not the Minister, to provide the legal answer to</w:t>
      </w:r>
      <w:r>
        <w:rPr>
          <w:rFonts w:cs="Times New Roman"/>
        </w:rPr>
        <w:t xml:space="preserve"> </w:t>
      </w:r>
      <w:r w:rsidRPr="008C0A23">
        <w:rPr>
          <w:rFonts w:cs="Times New Roman"/>
        </w:rPr>
        <w:t>procedural fairness</w:t>
      </w:r>
      <w:r>
        <w:rPr>
          <w:rFonts w:cs="Times New Roman"/>
        </w:rPr>
        <w:t xml:space="preserve"> </w:t>
      </w:r>
      <w:r w:rsidRPr="008C0A23">
        <w:rPr>
          <w:rFonts w:cs="Times New Roman"/>
        </w:rPr>
        <w:t>questions</w:t>
      </w:r>
      <w:r>
        <w:rPr>
          <w:rFonts w:cs="Times New Roman"/>
        </w:rPr>
        <w:t>.</w:t>
      </w:r>
      <w:r w:rsidRPr="008C0A23">
        <w:rPr>
          <w:rFonts w:cs="Times New Roman"/>
        </w:rPr>
        <w:t xml:space="preserve">”). Likewise, this Court’s reasoning in </w:t>
      </w:r>
      <w:r w:rsidRPr="008C0A23">
        <w:rPr>
          <w:rFonts w:cs="Times New Roman"/>
          <w:i/>
        </w:rPr>
        <w:t xml:space="preserve">Dunsmuir </w:t>
      </w:r>
      <w:r w:rsidRPr="008C0A23">
        <w:rPr>
          <w:rFonts w:cs="Times New Roman"/>
        </w:rPr>
        <w:t>indicates that courts must have the last word on the application of the duty of fairness, at para. 84:</w:t>
      </w:r>
    </w:p>
    <w:p w14:paraId="37B70DD2" w14:textId="77777777" w:rsidR="00F04D37" w:rsidRPr="008C0A23" w:rsidRDefault="00F04D37" w:rsidP="00F04D37">
      <w:pPr>
        <w:pStyle w:val="Citation-AltC"/>
      </w:pPr>
      <w:r w:rsidRPr="008C0A23">
        <w:t>We can see nothing problematic with a grievance adjudicator considering a public law duty of fairness issue where such a duty exists. It falls squarely within the adjudicator</w:t>
      </w:r>
      <w:r>
        <w:t>’s task to resolve a grievance.</w:t>
      </w:r>
      <w:r w:rsidRPr="008C0A23">
        <w:t xml:space="preserve"> However, as will be explained below, the proper approach is to first identify the nature of the employment relationship and the applicable law. Where, as here, the relationship is contractual, a public law duty of fairness is not engaged and therefore should play no role in resolving the grievance.</w:t>
      </w:r>
    </w:p>
    <w:p w14:paraId="0499FF12"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The standard of correctness must remain the starting point of the analysis in the context of procedural fairness review. The majority’s reliance on the existence of an appeal mechanism as the determinative factor undermines </w:t>
      </w:r>
      <w:proofErr w:type="spellStart"/>
      <w:r w:rsidRPr="008C0A23">
        <w:rPr>
          <w:rFonts w:cs="Times New Roman"/>
          <w:i/>
        </w:rPr>
        <w:t>Khela</w:t>
      </w:r>
      <w:proofErr w:type="spellEnd"/>
      <w:r w:rsidRPr="008C0A23">
        <w:rPr>
          <w:rFonts w:cs="Times New Roman"/>
        </w:rPr>
        <w:t>, as</w:t>
      </w:r>
      <w:r w:rsidRPr="008C0A23">
        <w:rPr>
          <w:rFonts w:cs="Times New Roman"/>
          <w:i/>
        </w:rPr>
        <w:t xml:space="preserve"> </w:t>
      </w:r>
      <w:r w:rsidRPr="008C0A23">
        <w:rPr>
          <w:rFonts w:cs="Times New Roman"/>
        </w:rPr>
        <w:t>it overlooks this starting point. Admittedly, the majority’s approach usually leads to the same result where the enabling statute establishes an appeal mechanism. Since procedural fairness is a legal standard, the assessment of whether an administrative decision maker complied with this duty is a question of law subject to correctness review on appeal (</w:t>
      </w:r>
      <w:r w:rsidRPr="008C0A23">
        <w:rPr>
          <w:rFonts w:cs="Times New Roman"/>
          <w:i/>
        </w:rPr>
        <w:t>R. </w:t>
      </w:r>
      <w:r w:rsidRPr="008C0A23">
        <w:rPr>
          <w:rFonts w:cs="Times New Roman"/>
          <w:i/>
          <w:iCs/>
        </w:rPr>
        <w:t>v.</w:t>
      </w:r>
      <w:r w:rsidRPr="008C0A23">
        <w:rPr>
          <w:rFonts w:cs="Times New Roman"/>
          <w:i/>
        </w:rPr>
        <w:t> Shepherd</w:t>
      </w:r>
      <w:r w:rsidRPr="008C0A23">
        <w:rPr>
          <w:rFonts w:cs="Times New Roman"/>
        </w:rPr>
        <w:t>, 2009 SCC 35</w:t>
      </w:r>
      <w:r>
        <w:rPr>
          <w:rFonts w:cs="Times New Roman"/>
        </w:rPr>
        <w:t>, [2009] 2 S.C.R. 527, at para. </w:t>
      </w:r>
      <w:r w:rsidRPr="008C0A23">
        <w:rPr>
          <w:rFonts w:cs="Times New Roman"/>
        </w:rPr>
        <w:t xml:space="preserve">20; </w:t>
      </w:r>
      <w:r w:rsidRPr="008C0A23">
        <w:rPr>
          <w:rFonts w:cs="Times New Roman"/>
          <w:i/>
        </w:rPr>
        <w:t>R. v. Dussault</w:t>
      </w:r>
      <w:r w:rsidRPr="008C0A23">
        <w:rPr>
          <w:rFonts w:cs="Times New Roman"/>
        </w:rPr>
        <w:t xml:space="preserve">, 2022 SCC 16, at para. 26; </w:t>
      </w:r>
      <w:r w:rsidRPr="008C0A23">
        <w:rPr>
          <w:rFonts w:cs="Times New Roman"/>
          <w:i/>
        </w:rPr>
        <w:t>R. </w:t>
      </w:r>
      <w:r w:rsidRPr="008C0A23">
        <w:rPr>
          <w:rFonts w:cs="Times New Roman"/>
          <w:i/>
          <w:iCs/>
        </w:rPr>
        <w:t>v. </w:t>
      </w:r>
      <w:r w:rsidRPr="008C0A23">
        <w:rPr>
          <w:rFonts w:cs="Times New Roman"/>
          <w:i/>
        </w:rPr>
        <w:t>Le</w:t>
      </w:r>
      <w:r w:rsidRPr="008C0A23">
        <w:rPr>
          <w:rFonts w:cs="Times New Roman"/>
        </w:rPr>
        <w:t xml:space="preserve">, 2019 SCC 34, [2019] 2 S.C.R. 692, at para. 23; </w:t>
      </w:r>
      <w:r w:rsidRPr="008C0A23">
        <w:rPr>
          <w:rFonts w:cs="Times New Roman"/>
          <w:i/>
        </w:rPr>
        <w:t>R. </w:t>
      </w:r>
      <w:r w:rsidRPr="008C0A23">
        <w:rPr>
          <w:rFonts w:cs="Times New Roman"/>
          <w:i/>
          <w:iCs/>
        </w:rPr>
        <w:t>v.</w:t>
      </w:r>
      <w:r w:rsidRPr="008C0A23">
        <w:rPr>
          <w:rFonts w:cs="Times New Roman"/>
          <w:i/>
        </w:rPr>
        <w:t> </w:t>
      </w:r>
      <w:proofErr w:type="spellStart"/>
      <w:r w:rsidRPr="008C0A23">
        <w:rPr>
          <w:rFonts w:cs="Times New Roman"/>
          <w:i/>
        </w:rPr>
        <w:t>Katigbak</w:t>
      </w:r>
      <w:proofErr w:type="spellEnd"/>
      <w:r w:rsidRPr="008C0A23">
        <w:rPr>
          <w:rFonts w:cs="Times New Roman"/>
        </w:rPr>
        <w:t>, 2011 SCC 48</w:t>
      </w:r>
      <w:r w:rsidRPr="008C0A23">
        <w:rPr>
          <w:rFonts w:cs="Times New Roman"/>
          <w:caps/>
        </w:rPr>
        <w:t xml:space="preserve">, [2011] 3 S.C.R. 326, </w:t>
      </w:r>
      <w:r w:rsidRPr="008C0A23">
        <w:rPr>
          <w:rFonts w:cs="Times New Roman"/>
        </w:rPr>
        <w:t>at para. 68).</w:t>
      </w:r>
    </w:p>
    <w:p w14:paraId="22DAF77C"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Nevertheless, the present case illustrates that appellate standards of review significantly diverge from </w:t>
      </w:r>
      <w:proofErr w:type="spellStart"/>
      <w:r w:rsidRPr="008C0A23">
        <w:rPr>
          <w:rFonts w:cs="Times New Roman"/>
          <w:i/>
        </w:rPr>
        <w:t>Khela</w:t>
      </w:r>
      <w:proofErr w:type="spellEnd"/>
      <w:r w:rsidRPr="008C0A23">
        <w:rPr>
          <w:rFonts w:cs="Times New Roman"/>
        </w:rPr>
        <w:t xml:space="preserve"> when it comes to remedial issues. I explained above </w:t>
      </w:r>
      <w:r w:rsidRPr="008C0A23">
        <w:rPr>
          <w:rFonts w:cs="Times New Roman"/>
        </w:rPr>
        <w:lastRenderedPageBreak/>
        <w:t>that the choice of remedy for abuse of process is discretionary. It is well established in this Court’s jurisprudence that “an appellate court will be justified in intervening in a trial judge’s exercise of his discretion only if the trial judge misdirects himself or if his decision is so clearly wrong as to amount to an injustice”, and that “where a trial judge exercises her or his discretion, that decision cannot be replaced simply because the appellate court has a different assessment of the facts” (</w:t>
      </w:r>
      <w:r w:rsidRPr="008C0A23">
        <w:rPr>
          <w:rFonts w:cs="Times New Roman"/>
          <w:i/>
        </w:rPr>
        <w:t>Regan</w:t>
      </w:r>
      <w:r>
        <w:rPr>
          <w:rFonts w:cs="Times New Roman"/>
        </w:rPr>
        <w:t>, at para. 117,</w:t>
      </w:r>
      <w:r w:rsidRPr="008C0A23">
        <w:rPr>
          <w:rFonts w:cs="Times New Roman"/>
        </w:rPr>
        <w:t xml:space="preserve"> </w:t>
      </w:r>
      <w:r>
        <w:rPr>
          <w:rFonts w:cs="Times New Roman"/>
        </w:rPr>
        <w:t xml:space="preserve">quoting </w:t>
      </w:r>
      <w:proofErr w:type="spellStart"/>
      <w:r w:rsidRPr="008C0A23">
        <w:rPr>
          <w:rFonts w:cs="Times New Roman"/>
          <w:i/>
          <w:lang w:val="en-US"/>
        </w:rPr>
        <w:t>Tobiass</w:t>
      </w:r>
      <w:proofErr w:type="spellEnd"/>
      <w:r w:rsidRPr="008C0A23">
        <w:rPr>
          <w:rFonts w:cs="Times New Roman"/>
          <w:lang w:val="en-US"/>
        </w:rPr>
        <w:t xml:space="preserve">, at para. 87; </w:t>
      </w:r>
      <w:r>
        <w:rPr>
          <w:rFonts w:cs="Times New Roman"/>
          <w:lang w:val="en-US"/>
        </w:rPr>
        <w:t xml:space="preserve">see also </w:t>
      </w:r>
      <w:proofErr w:type="spellStart"/>
      <w:r w:rsidRPr="008C0A23">
        <w:rPr>
          <w:rFonts w:cs="Times New Roman"/>
          <w:i/>
        </w:rPr>
        <w:t>Bjelland</w:t>
      </w:r>
      <w:proofErr w:type="spellEnd"/>
      <w:r w:rsidRPr="008C0A23">
        <w:rPr>
          <w:rFonts w:cs="Times New Roman"/>
        </w:rPr>
        <w:t xml:space="preserve">, at para. 15; </w:t>
      </w:r>
      <w:proofErr w:type="spellStart"/>
      <w:r w:rsidRPr="008C0A23">
        <w:rPr>
          <w:rFonts w:cs="Times New Roman"/>
          <w:i/>
        </w:rPr>
        <w:t>Bellusci</w:t>
      </w:r>
      <w:proofErr w:type="spellEnd"/>
      <w:r>
        <w:rPr>
          <w:rFonts w:cs="Times New Roman"/>
        </w:rPr>
        <w:t>, at paras. 17</w:t>
      </w:r>
      <w:r>
        <w:rPr>
          <w:rFonts w:cs="Times New Roman"/>
        </w:rPr>
        <w:noBreakHyphen/>
      </w:r>
      <w:r w:rsidRPr="008C0A23">
        <w:rPr>
          <w:rFonts w:cs="Times New Roman"/>
        </w:rPr>
        <w:t xml:space="preserve">18; </w:t>
      </w:r>
      <w:r w:rsidRPr="008C0A23">
        <w:rPr>
          <w:rFonts w:cs="Times New Roman"/>
          <w:i/>
        </w:rPr>
        <w:t>Babos</w:t>
      </w:r>
      <w:r w:rsidRPr="008C0A23">
        <w:rPr>
          <w:rFonts w:cs="Times New Roman"/>
        </w:rPr>
        <w:t>, at para. 48). This deferential approach is a far cry from the one adopted in this Court’s precedents on the duty of fairness at common law.</w:t>
      </w:r>
    </w:p>
    <w:p w14:paraId="45550E63" w14:textId="77777777" w:rsidR="00F04D37" w:rsidRPr="008C0A23" w:rsidRDefault="00F04D37" w:rsidP="00F04D37">
      <w:pPr>
        <w:pStyle w:val="Title2LevelTitre2Niveau"/>
        <w:ind w:left="578" w:hanging="578"/>
        <w:rPr>
          <w:rFonts w:cs="Times New Roman"/>
        </w:rPr>
      </w:pPr>
      <w:r w:rsidRPr="008C0A23">
        <w:rPr>
          <w:rFonts w:cs="Times New Roman"/>
        </w:rPr>
        <w:t>Standard of Review Applicable to Questions of Procedural Fairness</w:t>
      </w:r>
    </w:p>
    <w:p w14:paraId="6B15CA99"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 acknowledge the need to clarify the framework for determining the standard of review applicable to questions of procedural fairness. Multiple judges and authors have underscored the untenable uncertainty plaguing the jurisprudence on procedural fairness review (see</w:t>
      </w:r>
      <w:r>
        <w:rPr>
          <w:rFonts w:cs="Times New Roman"/>
        </w:rPr>
        <w:t>,</w:t>
      </w:r>
      <w:r w:rsidRPr="008C0A23">
        <w:rPr>
          <w:rFonts w:cs="Times New Roman"/>
        </w:rPr>
        <w:t xml:space="preserve"> </w:t>
      </w:r>
      <w:r w:rsidRPr="00192B3A">
        <w:rPr>
          <w:rFonts w:cs="Times New Roman"/>
        </w:rPr>
        <w:t>e.g.</w:t>
      </w:r>
      <w:r w:rsidRPr="008C0A23">
        <w:rPr>
          <w:rFonts w:cs="Times New Roman"/>
        </w:rPr>
        <w:t xml:space="preserve">, </w:t>
      </w:r>
      <w:r w:rsidRPr="008C0A23">
        <w:rPr>
          <w:rFonts w:cs="Times New Roman"/>
          <w:i/>
        </w:rPr>
        <w:t>Bergeron v. Canada (Attorney General)</w:t>
      </w:r>
      <w:r w:rsidRPr="008C0A23">
        <w:rPr>
          <w:rFonts w:cs="Times New Roman"/>
        </w:rPr>
        <w:t xml:space="preserve">, 2015 FCA 160, </w:t>
      </w:r>
      <w:r>
        <w:rPr>
          <w:rFonts w:cs="Times New Roman"/>
        </w:rPr>
        <w:t xml:space="preserve">474 N.R. 366, at </w:t>
      </w:r>
      <w:r w:rsidRPr="008C0A23">
        <w:rPr>
          <w:rFonts w:cs="Times New Roman"/>
        </w:rPr>
        <w:t>paras. 67</w:t>
      </w:r>
      <w:r>
        <w:rPr>
          <w:rFonts w:cs="Times New Roman"/>
        </w:rPr>
        <w:noBreakHyphen/>
      </w:r>
      <w:r w:rsidRPr="008C0A23">
        <w:rPr>
          <w:rFonts w:cs="Times New Roman"/>
        </w:rPr>
        <w:t xml:space="preserve">71, </w:t>
      </w:r>
      <w:r w:rsidRPr="00192B3A">
        <w:rPr>
          <w:rFonts w:cs="Times New Roman"/>
        </w:rPr>
        <w:t>per</w:t>
      </w:r>
      <w:r w:rsidRPr="008C0A23">
        <w:rPr>
          <w:rFonts w:cs="Times New Roman"/>
          <w:i/>
        </w:rPr>
        <w:t xml:space="preserve"> </w:t>
      </w:r>
      <w:r w:rsidRPr="008C0A23">
        <w:rPr>
          <w:rFonts w:cs="Times New Roman"/>
        </w:rPr>
        <w:t>Stratas J.A. (describing the state of the law as a “jurisprudential muddle”); D</w:t>
      </w:r>
      <w:r>
        <w:rPr>
          <w:rFonts w:cs="Times New Roman"/>
        </w:rPr>
        <w:t>. </w:t>
      </w:r>
      <w:r w:rsidRPr="008C0A23">
        <w:rPr>
          <w:rFonts w:cs="Times New Roman"/>
        </w:rPr>
        <w:t>McKee, “The Standard of Review for Questions of Procedural Fairness” (2016)</w:t>
      </w:r>
      <w:r>
        <w:rPr>
          <w:rFonts w:cs="Times New Roman"/>
        </w:rPr>
        <w:t>,</w:t>
      </w:r>
      <w:r w:rsidRPr="008C0A23">
        <w:rPr>
          <w:rFonts w:cs="Times New Roman"/>
        </w:rPr>
        <w:t xml:space="preserve"> 41 </w:t>
      </w:r>
      <w:r w:rsidRPr="008C0A23">
        <w:rPr>
          <w:rFonts w:cs="Times New Roman"/>
          <w:i/>
        </w:rPr>
        <w:t>Queen’s L.</w:t>
      </w:r>
      <w:r>
        <w:rPr>
          <w:rFonts w:cs="Times New Roman"/>
          <w:i/>
        </w:rPr>
        <w:t>J</w:t>
      </w:r>
      <w:r w:rsidRPr="008C0A23">
        <w:rPr>
          <w:rFonts w:cs="Times New Roman"/>
          <w:i/>
        </w:rPr>
        <w:t>.</w:t>
      </w:r>
      <w:r w:rsidRPr="008C0A23">
        <w:rPr>
          <w:rFonts w:cs="Times New Roman"/>
        </w:rPr>
        <w:t xml:space="preserve"> 355). While clarifications are warranted, I believe this Court should draw on its existing jurisprudence to articulate a principled approach.</w:t>
      </w:r>
    </w:p>
    <w:p w14:paraId="3E0A393B"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The governing authority on procedural fairness review, as mentioned above, is </w:t>
      </w:r>
      <w:proofErr w:type="spellStart"/>
      <w:r w:rsidRPr="008C0A23">
        <w:rPr>
          <w:rFonts w:cs="Times New Roman"/>
          <w:i/>
        </w:rPr>
        <w:t>Khela</w:t>
      </w:r>
      <w:proofErr w:type="spellEnd"/>
      <w:r w:rsidRPr="008C0A23">
        <w:rPr>
          <w:rFonts w:cs="Times New Roman"/>
        </w:rPr>
        <w:t xml:space="preserve">. In that case, LeBel J. confirmed that the question of whether an </w:t>
      </w:r>
      <w:r w:rsidRPr="008C0A23">
        <w:rPr>
          <w:rFonts w:cs="Times New Roman"/>
        </w:rPr>
        <w:lastRenderedPageBreak/>
        <w:t>administrative body has complied with its duty of procedural fairness is, in principle, subject to correctness review (para. 79). Nevertheless, legislatures may — within constitutional bounds — oust the common law and specify the applicable standard of review by statute (</w:t>
      </w:r>
      <w:proofErr w:type="spellStart"/>
      <w:r w:rsidRPr="008C0A23">
        <w:rPr>
          <w:rFonts w:cs="Times New Roman"/>
          <w:i/>
        </w:rPr>
        <w:t>Khosa</w:t>
      </w:r>
      <w:proofErr w:type="spellEnd"/>
      <w:r w:rsidRPr="008C0A23">
        <w:rPr>
          <w:rFonts w:cs="Times New Roman"/>
        </w:rPr>
        <w:t xml:space="preserve">, </w:t>
      </w:r>
      <w:r>
        <w:rPr>
          <w:rFonts w:cs="Times New Roman"/>
        </w:rPr>
        <w:t xml:space="preserve">at para. 18; </w:t>
      </w:r>
      <w:r w:rsidRPr="004547EB">
        <w:rPr>
          <w:rFonts w:cs="Times New Roman"/>
          <w:i/>
          <w:lang w:val="en-US"/>
        </w:rPr>
        <w:t>R. </w:t>
      </w:r>
      <w:r w:rsidRPr="004547EB">
        <w:rPr>
          <w:rFonts w:cs="Times New Roman"/>
          <w:i/>
          <w:iCs/>
          <w:lang w:val="en-US"/>
        </w:rPr>
        <w:t>v.</w:t>
      </w:r>
      <w:r w:rsidRPr="004547EB">
        <w:rPr>
          <w:rFonts w:cs="Times New Roman"/>
          <w:i/>
          <w:lang w:val="en-US"/>
        </w:rPr>
        <w:t> Owen</w:t>
      </w:r>
      <w:r w:rsidRPr="004547EB">
        <w:rPr>
          <w:rFonts w:cs="Times New Roman"/>
          <w:lang w:val="en-US"/>
        </w:rPr>
        <w:t>, 2003 SCC 33, [2003] 1 S.C.R. 779, at paras. 3</w:t>
      </w:r>
      <w:r>
        <w:rPr>
          <w:rFonts w:cs="Times New Roman"/>
          <w:lang w:val="en-US"/>
        </w:rPr>
        <w:t>1</w:t>
      </w:r>
      <w:r>
        <w:rPr>
          <w:rFonts w:cs="Times New Roman"/>
          <w:lang w:val="en-US"/>
        </w:rPr>
        <w:noBreakHyphen/>
      </w:r>
      <w:r w:rsidRPr="004547EB">
        <w:rPr>
          <w:rFonts w:cs="Times New Roman"/>
          <w:lang w:val="en-US"/>
        </w:rPr>
        <w:t xml:space="preserve">33; </w:t>
      </w:r>
      <w:r w:rsidRPr="004547EB">
        <w:rPr>
          <w:rFonts w:cs="Times New Roman"/>
          <w:i/>
          <w:lang w:val="en-US"/>
        </w:rPr>
        <w:t>Vavilov</w:t>
      </w:r>
      <w:r w:rsidRPr="004547EB">
        <w:rPr>
          <w:rFonts w:cs="Times New Roman"/>
          <w:lang w:val="en-US"/>
        </w:rPr>
        <w:t>, at paras. </w:t>
      </w:r>
      <w:r w:rsidRPr="008C0A23">
        <w:rPr>
          <w:rFonts w:cs="Times New Roman"/>
        </w:rPr>
        <w:t>34</w:t>
      </w:r>
      <w:r>
        <w:rPr>
          <w:rFonts w:cs="Times New Roman"/>
        </w:rPr>
        <w:noBreakHyphen/>
      </w:r>
      <w:r w:rsidRPr="008C0A23">
        <w:rPr>
          <w:rFonts w:cs="Times New Roman"/>
        </w:rPr>
        <w:t>35;</w:t>
      </w:r>
      <w:r w:rsidRPr="008C0A23">
        <w:rPr>
          <w:rFonts w:cs="Times New Roman"/>
          <w:i/>
        </w:rPr>
        <w:t xml:space="preserve"> Dunsmuir</w:t>
      </w:r>
      <w:r w:rsidRPr="008C0A23">
        <w:rPr>
          <w:rFonts w:cs="Times New Roman"/>
        </w:rPr>
        <w:t>, at paras. 30</w:t>
      </w:r>
      <w:r>
        <w:rPr>
          <w:rFonts w:cs="Times New Roman"/>
        </w:rPr>
        <w:noBreakHyphen/>
      </w:r>
      <w:r w:rsidRPr="008C0A23">
        <w:rPr>
          <w:rFonts w:cs="Times New Roman"/>
        </w:rPr>
        <w:t>31</w:t>
      </w:r>
      <w:r>
        <w:rPr>
          <w:rFonts w:cs="Times New Roman"/>
        </w:rPr>
        <w:t>; s</w:t>
      </w:r>
      <w:r w:rsidRPr="008C0A23">
        <w:rPr>
          <w:rFonts w:cs="Times New Roman"/>
        </w:rPr>
        <w:t>ee</w:t>
      </w:r>
      <w:r>
        <w:rPr>
          <w:rFonts w:cs="Times New Roman"/>
        </w:rPr>
        <w:t>,</w:t>
      </w:r>
      <w:r w:rsidRPr="008C0A23">
        <w:rPr>
          <w:rFonts w:cs="Times New Roman"/>
        </w:rPr>
        <w:t xml:space="preserve"> </w:t>
      </w:r>
      <w:r w:rsidRPr="004547EB">
        <w:rPr>
          <w:rFonts w:cs="Times New Roman"/>
        </w:rPr>
        <w:t>e.g.</w:t>
      </w:r>
      <w:r w:rsidRPr="008C0A23">
        <w:rPr>
          <w:rFonts w:cs="Times New Roman"/>
        </w:rPr>
        <w:t xml:space="preserve">, </w:t>
      </w:r>
      <w:r w:rsidRPr="008C0A23">
        <w:rPr>
          <w:rFonts w:cs="Times New Roman"/>
          <w:i/>
        </w:rPr>
        <w:t>Administrative Tribunals Act</w:t>
      </w:r>
      <w:r>
        <w:rPr>
          <w:rFonts w:cs="Times New Roman"/>
        </w:rPr>
        <w:t>, S.B.C. 2004, c. </w:t>
      </w:r>
      <w:r w:rsidRPr="008C0A23">
        <w:rPr>
          <w:rFonts w:cs="Times New Roman"/>
        </w:rPr>
        <w:t>45, s. 58(2)(b)).</w:t>
      </w:r>
    </w:p>
    <w:p w14:paraId="29426AC5"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 now turn to the passages in this Court’s jurisprudence that, according to some judges and authors, have muddled the analysis of the standard of review applicable to questions of procedural fairness. The first source of uncertainty flows from the remark in </w:t>
      </w:r>
      <w:proofErr w:type="spellStart"/>
      <w:r w:rsidRPr="008C0A23">
        <w:rPr>
          <w:rFonts w:cs="Times New Roman"/>
          <w:i/>
        </w:rPr>
        <w:t>Khela</w:t>
      </w:r>
      <w:proofErr w:type="spellEnd"/>
      <w:r w:rsidRPr="008C0A23">
        <w:rPr>
          <w:rFonts w:cs="Times New Roman"/>
          <w:i/>
        </w:rPr>
        <w:t xml:space="preserve"> </w:t>
      </w:r>
      <w:r w:rsidRPr="008C0A23">
        <w:rPr>
          <w:rFonts w:cs="Times New Roman"/>
        </w:rPr>
        <w:t>that the decision maker was “entitled to a margin of deference” and to “[s]</w:t>
      </w:r>
      <w:proofErr w:type="spellStart"/>
      <w:r w:rsidRPr="008C0A23">
        <w:rPr>
          <w:rFonts w:cs="Times New Roman"/>
        </w:rPr>
        <w:t>ome</w:t>
      </w:r>
      <w:proofErr w:type="spellEnd"/>
      <w:r w:rsidRPr="008C0A23">
        <w:rPr>
          <w:rFonts w:cs="Times New Roman"/>
        </w:rPr>
        <w:t xml:space="preserve"> deference” on specific points, at para. 89:</w:t>
      </w:r>
    </w:p>
    <w:p w14:paraId="7406D557" w14:textId="77777777" w:rsidR="00F04D37" w:rsidRPr="008C0A23" w:rsidRDefault="00F04D37" w:rsidP="00F04D37">
      <w:pPr>
        <w:pStyle w:val="Citation-AltC"/>
        <w:ind w:firstLine="274"/>
      </w:pPr>
      <w:r w:rsidRPr="008C0A23">
        <w:rPr>
          <w:rStyle w:val="reflex2-link"/>
          <w:rFonts w:eastAsiaTheme="minorHAnsi"/>
        </w:rPr>
        <w:t xml:space="preserve">Section 27(3) [of the </w:t>
      </w:r>
      <w:r w:rsidRPr="008C0A23">
        <w:rPr>
          <w:rStyle w:val="reflex2-link"/>
          <w:rFonts w:eastAsiaTheme="minorHAnsi"/>
          <w:i/>
        </w:rPr>
        <w:t>Corrections and Conditional Release Act</w:t>
      </w:r>
      <w:r w:rsidRPr="008C0A23">
        <w:rPr>
          <w:rStyle w:val="reflex2-link"/>
          <w:rFonts w:eastAsiaTheme="minorHAnsi"/>
        </w:rPr>
        <w:t xml:space="preserve">] </w:t>
      </w:r>
      <w:r w:rsidRPr="008C0A23">
        <w:t xml:space="preserve">authorizes the withholding of information when the Commissioner has “reasonable grounds to believe” that should the information be released, it might threaten the security of the prison, the safety of any person or the conduct of an investigation. The Commissioner, or his or her representative, is in the best position to determine whether such a risk could in fact materialize. </w:t>
      </w:r>
      <w:r w:rsidRPr="008C0A23">
        <w:rPr>
          <w:u w:val="single"/>
        </w:rPr>
        <w:t>As a result, the Commissioner, or the warden, is entitled to a margin of deference on this point. Similarly, the warden and the Commissioner are in the best position to determine whether a given source or informant is reliable. Some deference is accordingly owed on this point as well.</w:t>
      </w:r>
      <w:r w:rsidRPr="008C0A23">
        <w:t xml:space="preserve"> If, however, certain information is withheld without invoking </w:t>
      </w:r>
      <w:r w:rsidRPr="008C0A23">
        <w:rPr>
          <w:rStyle w:val="reflex2-link"/>
          <w:rFonts w:eastAsiaTheme="minorHAnsi"/>
        </w:rPr>
        <w:t>s. 27(3)</w:t>
      </w:r>
      <w:r w:rsidRPr="008C0A23">
        <w:t xml:space="preserve">, deference will not be warranted, and the decision will be procedurally </w:t>
      </w:r>
      <w:r>
        <w:t>unfair and therefore unlawful. [Emphasis added.]</w:t>
      </w:r>
    </w:p>
    <w:p w14:paraId="45335946"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This passage illustrates two important propositions from </w:t>
      </w:r>
      <w:proofErr w:type="spellStart"/>
      <w:r w:rsidRPr="008C0A23">
        <w:rPr>
          <w:rFonts w:cs="Times New Roman"/>
          <w:i/>
        </w:rPr>
        <w:t>Khela</w:t>
      </w:r>
      <w:proofErr w:type="spellEnd"/>
      <w:r w:rsidRPr="008C0A23">
        <w:rPr>
          <w:rFonts w:cs="Times New Roman"/>
        </w:rPr>
        <w:t xml:space="preserve">. First, the content of the duty of fairness may be determined by statute, subject to constitutional limitations. The provision at issue in </w:t>
      </w:r>
      <w:proofErr w:type="spellStart"/>
      <w:r w:rsidRPr="008C0A23">
        <w:rPr>
          <w:rFonts w:cs="Times New Roman"/>
          <w:i/>
        </w:rPr>
        <w:t>Khela</w:t>
      </w:r>
      <w:proofErr w:type="spellEnd"/>
      <w:r w:rsidRPr="008C0A23">
        <w:rPr>
          <w:rFonts w:cs="Times New Roman"/>
        </w:rPr>
        <w:t xml:space="preserve">, s. 27(3) of the </w:t>
      </w:r>
      <w:r w:rsidRPr="008C0A23">
        <w:rPr>
          <w:rStyle w:val="reflex2-link"/>
          <w:rFonts w:cs="Times New Roman"/>
          <w:i/>
        </w:rPr>
        <w:t xml:space="preserve">Corrections and Conditional </w:t>
      </w:r>
      <w:r w:rsidRPr="008C0A23">
        <w:rPr>
          <w:rStyle w:val="reflex2-link"/>
          <w:rFonts w:cs="Times New Roman"/>
          <w:i/>
        </w:rPr>
        <w:lastRenderedPageBreak/>
        <w:t xml:space="preserve">Release </w:t>
      </w:r>
      <w:r w:rsidRPr="008C0A23">
        <w:rPr>
          <w:rFonts w:cs="Times New Roman"/>
          <w:i/>
        </w:rPr>
        <w:t>Act</w:t>
      </w:r>
      <w:r w:rsidRPr="008C0A23">
        <w:rPr>
          <w:rFonts w:cs="Times New Roman"/>
        </w:rPr>
        <w:t xml:space="preserve">, </w:t>
      </w:r>
      <w:r>
        <w:rPr>
          <w:rFonts w:cs="Times New Roman"/>
        </w:rPr>
        <w:t xml:space="preserve">S.C. 1992, c. 20, </w:t>
      </w:r>
      <w:r w:rsidRPr="008C0A23">
        <w:rPr>
          <w:rFonts w:cs="Times New Roman"/>
        </w:rPr>
        <w:t>derogates from the general common law right to information in the context of decisions on matters such as inmate transfers, but the Court recognized that this provision does not eliminate the constitutionally</w:t>
      </w:r>
      <w:r w:rsidRPr="008C0A23">
        <w:rPr>
          <w:rFonts w:cs="Times New Roman"/>
        </w:rPr>
        <w:noBreakHyphen/>
        <w:t xml:space="preserve">protected right to </w:t>
      </w:r>
      <w:r w:rsidRPr="008C0A23">
        <w:rPr>
          <w:rFonts w:cs="Times New Roman"/>
          <w:i/>
        </w:rPr>
        <w:t>habeas corpus</w:t>
      </w:r>
      <w:r w:rsidRPr="008C0A23">
        <w:rPr>
          <w:rFonts w:cs="Times New Roman"/>
        </w:rPr>
        <w:t>. Second, administrative decision makers are entitled to deference regarding their underlying findings of fact. The Court adopted a deferential approach to the highly contextual assessments of risk and reliability upon which decisions under s. 27(3) depend.</w:t>
      </w:r>
    </w:p>
    <w:p w14:paraId="5DF4B735"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Although the Court emphasized in </w:t>
      </w:r>
      <w:proofErr w:type="spellStart"/>
      <w:r w:rsidRPr="008C0A23">
        <w:rPr>
          <w:rFonts w:cs="Times New Roman"/>
          <w:i/>
        </w:rPr>
        <w:t>Khela</w:t>
      </w:r>
      <w:proofErr w:type="spellEnd"/>
      <w:r w:rsidRPr="008C0A23">
        <w:rPr>
          <w:rFonts w:cs="Times New Roman"/>
        </w:rPr>
        <w:t xml:space="preserve"> that compliance with the duty of fairness is a question of law, it</w:t>
      </w:r>
      <w:r w:rsidRPr="008C0A23">
        <w:rPr>
          <w:rFonts w:cs="Times New Roman"/>
          <w:i/>
        </w:rPr>
        <w:t xml:space="preserve"> </w:t>
      </w:r>
      <w:r w:rsidRPr="008C0A23">
        <w:rPr>
          <w:rFonts w:cs="Times New Roman"/>
        </w:rPr>
        <w:t>reaffirmed the longstanding principle that courts cannot establish fairness requirements in a vacuum: “</w:t>
      </w:r>
      <w:r>
        <w:rPr>
          <w:rFonts w:cs="Times New Roman"/>
        </w:rPr>
        <w:t xml:space="preserve">. . . the </w:t>
      </w:r>
      <w:r w:rsidRPr="008C0A23">
        <w:rPr>
          <w:rFonts w:cs="Times New Roman"/>
        </w:rPr>
        <w:t>concept of procedural fairness is eminently variable and its content is to be decided in the specific context of each case” (</w:t>
      </w:r>
      <w:r w:rsidRPr="008C0A23">
        <w:rPr>
          <w:rStyle w:val="reflex"/>
          <w:rFonts w:cs="Times New Roman"/>
          <w:i/>
          <w:iCs/>
        </w:rPr>
        <w:t>Knight</w:t>
      </w:r>
      <w:r w:rsidRPr="008C0A23">
        <w:rPr>
          <w:rStyle w:val="reflex"/>
          <w:rFonts w:cs="Times New Roman"/>
          <w:iCs/>
        </w:rPr>
        <w:t>,</w:t>
      </w:r>
      <w:r w:rsidRPr="008C0A23">
        <w:rPr>
          <w:rStyle w:val="reflex"/>
          <w:rFonts w:cs="Times New Roman"/>
          <w:i/>
          <w:iCs/>
        </w:rPr>
        <w:t xml:space="preserve"> </w:t>
      </w:r>
      <w:r w:rsidRPr="008C0A23">
        <w:rPr>
          <w:rFonts w:cs="Times New Roman"/>
        </w:rPr>
        <w:t>at p. 682;</w:t>
      </w:r>
      <w:r>
        <w:rPr>
          <w:rFonts w:cs="Times New Roman"/>
        </w:rPr>
        <w:t xml:space="preserve"> </w:t>
      </w:r>
      <w:r w:rsidRPr="008C0A23">
        <w:rPr>
          <w:rFonts w:cs="Times New Roman"/>
          <w:i/>
          <w:iCs/>
        </w:rPr>
        <w:t>Baker</w:t>
      </w:r>
      <w:r>
        <w:rPr>
          <w:rFonts w:cs="Times New Roman"/>
        </w:rPr>
        <w:t xml:space="preserve">, at para. 21; </w:t>
      </w:r>
      <w:r w:rsidRPr="008C0A23">
        <w:rPr>
          <w:rFonts w:cs="Times New Roman"/>
          <w:i/>
          <w:iCs/>
        </w:rPr>
        <w:t>Moreau</w:t>
      </w:r>
      <w:r w:rsidRPr="008C0A23">
        <w:rPr>
          <w:rFonts w:cs="Times New Roman"/>
          <w:i/>
          <w:iCs/>
        </w:rPr>
        <w:noBreakHyphen/>
        <w:t>Bérubé</w:t>
      </w:r>
      <w:r>
        <w:rPr>
          <w:rFonts w:cs="Times New Roman"/>
          <w:i/>
          <w:iCs/>
        </w:rPr>
        <w:t xml:space="preserve"> v. New Brunswick (Judicial Council)</w:t>
      </w:r>
      <w:r w:rsidRPr="008C0A23">
        <w:rPr>
          <w:rFonts w:cs="Times New Roman"/>
        </w:rPr>
        <w:t xml:space="preserve">, </w:t>
      </w:r>
      <w:r>
        <w:rPr>
          <w:rFonts w:cs="Times New Roman"/>
        </w:rPr>
        <w:t xml:space="preserve">2002 SCC 11, [2002] 1 S.C.R. 249, </w:t>
      </w:r>
      <w:r w:rsidRPr="008C0A23">
        <w:rPr>
          <w:rFonts w:cs="Times New Roman"/>
        </w:rPr>
        <w:t>at paras. 74</w:t>
      </w:r>
      <w:r w:rsidRPr="008C0A23">
        <w:rPr>
          <w:rFonts w:cs="Times New Roman"/>
        </w:rPr>
        <w:noBreakHyphen/>
        <w:t xml:space="preserve">75; </w:t>
      </w:r>
      <w:r w:rsidRPr="008C0A23">
        <w:rPr>
          <w:rFonts w:cs="Times New Roman"/>
          <w:i/>
        </w:rPr>
        <w:t>Council of Canadians with Disabilities </w:t>
      </w:r>
      <w:r w:rsidRPr="008C0A23">
        <w:rPr>
          <w:rFonts w:cs="Times New Roman"/>
          <w:i/>
          <w:iCs/>
        </w:rPr>
        <w:t>v.</w:t>
      </w:r>
      <w:r w:rsidRPr="008C0A23">
        <w:rPr>
          <w:rFonts w:cs="Times New Roman"/>
          <w:i/>
        </w:rPr>
        <w:t> VIA Rail Canada Inc.</w:t>
      </w:r>
      <w:r w:rsidRPr="008C0A23">
        <w:rPr>
          <w:rFonts w:cs="Times New Roman"/>
        </w:rPr>
        <w:t xml:space="preserve">, 2007 SCC 15, [2007] 1 S.C.R. 650, at para. 231; </w:t>
      </w:r>
      <w:r w:rsidRPr="008C0A23">
        <w:rPr>
          <w:rFonts w:cs="Times New Roman"/>
          <w:i/>
        </w:rPr>
        <w:t>Dunsmuir</w:t>
      </w:r>
      <w:r w:rsidRPr="008C0A23">
        <w:rPr>
          <w:rFonts w:cs="Times New Roman"/>
        </w:rPr>
        <w:t xml:space="preserve">, at para. 79). </w:t>
      </w:r>
      <w:proofErr w:type="gramStart"/>
      <w:r w:rsidRPr="008C0A23">
        <w:rPr>
          <w:rFonts w:cs="Times New Roman"/>
        </w:rPr>
        <w:t>Accordingly</w:t>
      </w:r>
      <w:proofErr w:type="gramEnd"/>
      <w:r w:rsidRPr="008C0A23">
        <w:rPr>
          <w:rFonts w:cs="Times New Roman"/>
        </w:rPr>
        <w:t xml:space="preserve">, where the administrative decision maker has made factual determinations with respect to the underlying context, such findings are entitled to deference. Institutional constraints on the administrative decision maker are also important contextual factors (see </w:t>
      </w:r>
      <w:r w:rsidRPr="008C0A23">
        <w:rPr>
          <w:rFonts w:cs="Times New Roman"/>
          <w:i/>
          <w:iCs/>
        </w:rPr>
        <w:t>Baker</w:t>
      </w:r>
      <w:r w:rsidRPr="008C0A23">
        <w:rPr>
          <w:rFonts w:cs="Times New Roman"/>
          <w:iCs/>
        </w:rPr>
        <w:t>,</w:t>
      </w:r>
      <w:r w:rsidRPr="008C0A23">
        <w:rPr>
          <w:rFonts w:cs="Times New Roman"/>
          <w:i/>
          <w:iCs/>
        </w:rPr>
        <w:t xml:space="preserve"> </w:t>
      </w:r>
      <w:r w:rsidRPr="008C0A23">
        <w:rPr>
          <w:rFonts w:cs="Times New Roman"/>
        </w:rPr>
        <w:t>at para. 27).</w:t>
      </w:r>
    </w:p>
    <w:p w14:paraId="102551DC"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The second source of uncertainty flows from this Court’s statement in </w:t>
      </w:r>
      <w:r w:rsidRPr="008C0A23">
        <w:rPr>
          <w:rFonts w:cs="Times New Roman"/>
          <w:i/>
        </w:rPr>
        <w:t>VIA Rail Canada Inc.</w:t>
      </w:r>
      <w:r w:rsidRPr="008C0A23">
        <w:rPr>
          <w:rFonts w:cs="Times New Roman"/>
        </w:rPr>
        <w:t>, that “[c]</w:t>
      </w:r>
      <w:proofErr w:type="spellStart"/>
      <w:r w:rsidRPr="008C0A23">
        <w:rPr>
          <w:rFonts w:cs="Times New Roman"/>
        </w:rPr>
        <w:t>onsiderable</w:t>
      </w:r>
      <w:proofErr w:type="spellEnd"/>
      <w:r w:rsidRPr="008C0A23">
        <w:rPr>
          <w:rFonts w:cs="Times New Roman"/>
        </w:rPr>
        <w:t xml:space="preserve"> deference is owed to procedural rulings made by a tribunal with the authority to control its own process” (para. 231; see also </w:t>
      </w:r>
      <w:r w:rsidRPr="008C0A23">
        <w:rPr>
          <w:rFonts w:cs="Times New Roman"/>
          <w:i/>
        </w:rPr>
        <w:t>Baker</w:t>
      </w:r>
      <w:r w:rsidRPr="008C0A23">
        <w:rPr>
          <w:rFonts w:cs="Times New Roman"/>
        </w:rPr>
        <w:t xml:space="preserve">, </w:t>
      </w:r>
      <w:r w:rsidRPr="008C0A23">
        <w:rPr>
          <w:rFonts w:cs="Times New Roman"/>
        </w:rPr>
        <w:lastRenderedPageBreak/>
        <w:t>at para. 27). In my view, this assertion may be reconciled with more recent jurisprudence and remains good law.</w:t>
      </w:r>
    </w:p>
    <w:p w14:paraId="02C22417"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Indeed, </w:t>
      </w:r>
      <w:proofErr w:type="spellStart"/>
      <w:r w:rsidRPr="008C0A23">
        <w:rPr>
          <w:rFonts w:cs="Times New Roman"/>
          <w:i/>
        </w:rPr>
        <w:t>Khela</w:t>
      </w:r>
      <w:proofErr w:type="spellEnd"/>
      <w:r w:rsidRPr="008C0A23">
        <w:rPr>
          <w:rFonts w:cs="Times New Roman"/>
          <w:i/>
        </w:rPr>
        <w:t xml:space="preserve"> </w:t>
      </w:r>
      <w:r w:rsidRPr="008C0A23">
        <w:rPr>
          <w:rFonts w:cs="Times New Roman"/>
        </w:rPr>
        <w:t xml:space="preserve">mandates only that the question of compliance with the duty of procedural fairness be subject to the correctness standard; all procedural rulings falling </w:t>
      </w:r>
      <w:r w:rsidRPr="008C0A23">
        <w:rPr>
          <w:rFonts w:cs="Times New Roman"/>
          <w:i/>
        </w:rPr>
        <w:t>within the bounds of fairness</w:t>
      </w:r>
      <w:r w:rsidRPr="008C0A23">
        <w:rPr>
          <w:rFonts w:cs="Times New Roman"/>
        </w:rPr>
        <w:t xml:space="preserve"> are entitled to deference. For example, while an opportunity for a party to make submissions may be required at common law in a given context, the administrative decision maker might opt for a hearing, written submissions, or both. Where all three options satisfy the duty of fairness, the reviewing court should not substitute its view for that of the administrative decision maker concerning the most appropriate procedure.</w:t>
      </w:r>
    </w:p>
    <w:p w14:paraId="6CEF3E8D"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As this Court stated in </w:t>
      </w:r>
      <w:r w:rsidRPr="008C0A23">
        <w:rPr>
          <w:rFonts w:cs="Times New Roman"/>
          <w:i/>
          <w:iCs/>
        </w:rPr>
        <w:t>Moreau</w:t>
      </w:r>
      <w:r w:rsidRPr="008C0A23">
        <w:rPr>
          <w:rFonts w:cs="Times New Roman"/>
          <w:i/>
          <w:iCs/>
        </w:rPr>
        <w:noBreakHyphen/>
        <w:t>Bérubé</w:t>
      </w:r>
      <w:r w:rsidRPr="008C0A23">
        <w:rPr>
          <w:rFonts w:cs="Times New Roman"/>
        </w:rPr>
        <w:t>, “[e]</w:t>
      </w:r>
      <w:proofErr w:type="spellStart"/>
      <w:r w:rsidRPr="008C0A23">
        <w:rPr>
          <w:rFonts w:cs="Times New Roman"/>
        </w:rPr>
        <w:t>valuating</w:t>
      </w:r>
      <w:proofErr w:type="spellEnd"/>
      <w:r w:rsidRPr="008C0A23">
        <w:rPr>
          <w:rFonts w:cs="Times New Roman"/>
        </w:rPr>
        <w:t xml:space="preserve"> whether procedural fairness, or the duty of fairness, has been adhered to by a tribunal requires an assessment of the procedures and safeguards required in a particular situation” (para. 74).</w:t>
      </w:r>
      <w:r w:rsidRPr="008C0A23">
        <w:rPr>
          <w:rFonts w:cs="Times New Roman"/>
          <w:i/>
        </w:rPr>
        <w:t xml:space="preserve"> </w:t>
      </w:r>
      <w:r w:rsidRPr="008C0A23">
        <w:rPr>
          <w:rFonts w:cs="Times New Roman"/>
        </w:rPr>
        <w:t>J</w:t>
      </w:r>
      <w:r>
        <w:rPr>
          <w:rFonts w:cs="Times New Roman"/>
        </w:rPr>
        <w:t>. M. </w:t>
      </w:r>
      <w:r w:rsidRPr="008C0A23">
        <w:rPr>
          <w:rFonts w:cs="Times New Roman"/>
        </w:rPr>
        <w:t xml:space="preserve">Evans, writing </w:t>
      </w:r>
      <w:proofErr w:type="spellStart"/>
      <w:r w:rsidRPr="008C0A23">
        <w:rPr>
          <w:rFonts w:cs="Times New Roman"/>
        </w:rPr>
        <w:t>extrajudicially</w:t>
      </w:r>
      <w:proofErr w:type="spellEnd"/>
      <w:r w:rsidRPr="008C0A23">
        <w:rPr>
          <w:rFonts w:cs="Times New Roman"/>
        </w:rPr>
        <w:t>, has rightly emphasized that “the duty of fairness connotes a legally imposed minimum, not optimal, standard of procedural propriety” (“Fair’s Fair: Judging Administrative Procedures”</w:t>
      </w:r>
      <w:r>
        <w:rPr>
          <w:rFonts w:cs="Times New Roman"/>
        </w:rPr>
        <w:t xml:space="preserve"> (2015)</w:t>
      </w:r>
      <w:r w:rsidRPr="008C0A23">
        <w:rPr>
          <w:rFonts w:cs="Times New Roman"/>
        </w:rPr>
        <w:t xml:space="preserve">, 28 </w:t>
      </w:r>
      <w:r w:rsidRPr="008C0A23">
        <w:rPr>
          <w:rFonts w:cs="Times New Roman"/>
          <w:i/>
        </w:rPr>
        <w:t>C.J.A</w:t>
      </w:r>
      <w:r>
        <w:rPr>
          <w:rFonts w:cs="Times New Roman"/>
          <w:i/>
        </w:rPr>
        <w:t>.</w:t>
      </w:r>
      <w:r w:rsidRPr="008C0A23">
        <w:rPr>
          <w:rFonts w:cs="Times New Roman"/>
          <w:i/>
        </w:rPr>
        <w:t>L.</w:t>
      </w:r>
      <w:r>
        <w:rPr>
          <w:rFonts w:cs="Times New Roman"/>
          <w:i/>
        </w:rPr>
        <w:t xml:space="preserve">P. </w:t>
      </w:r>
      <w:r w:rsidRPr="008C0A23">
        <w:rPr>
          <w:rFonts w:cs="Times New Roman"/>
        </w:rPr>
        <w:t>111, at p. 121</w:t>
      </w:r>
      <w:r>
        <w:rPr>
          <w:rFonts w:cs="Times New Roman"/>
        </w:rPr>
        <w:t xml:space="preserve"> (emphasis deleted)</w:t>
      </w:r>
      <w:r w:rsidRPr="008C0A23">
        <w:rPr>
          <w:rFonts w:cs="Times New Roman"/>
        </w:rPr>
        <w:t>). Consequently, the reviewing court’s role is not to dictate the “correct” or most “fair” procedure in the circumstances, but rather to ensure that minimum fairness requirements are met.</w:t>
      </w:r>
    </w:p>
    <w:p w14:paraId="313F89E8"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This Court’s jurisprudence on procedural fairness review may thus be synthesized as follows. The reviewing court must apply the correctness standard to </w:t>
      </w:r>
      <w:r w:rsidRPr="008C0A23">
        <w:rPr>
          <w:rFonts w:cs="Times New Roman"/>
        </w:rPr>
        <w:lastRenderedPageBreak/>
        <w:t xml:space="preserve">questions of compliance with the duty of procedural fairness as defined by the common law or by statute. The requirements of fairness are context-dependent, and deference is owed to the administrative decision maker’s underlying findings of fact. In reviewing procedural issues, the court’s role is to determine whether the proceedings comport with </w:t>
      </w:r>
      <w:r w:rsidRPr="008C0A23">
        <w:rPr>
          <w:rFonts w:cs="Times New Roman"/>
          <w:i/>
        </w:rPr>
        <w:t>minimum</w:t>
      </w:r>
      <w:r w:rsidRPr="008C0A23">
        <w:rPr>
          <w:rFonts w:cs="Times New Roman"/>
        </w:rPr>
        <w:t xml:space="preserve"> fairness requirements in a particular situation. Stated differently, the court must refrain from dictating what it considers to be the optimal procedure among the options that meet this standard.</w:t>
      </w:r>
    </w:p>
    <w:p w14:paraId="6D9A5C39" w14:textId="77777777" w:rsidR="00F04D37" w:rsidRPr="008C0A23" w:rsidRDefault="00F04D37" w:rsidP="00F04D37">
      <w:pPr>
        <w:pStyle w:val="Title2LevelTitre2Niveau"/>
        <w:ind w:left="578" w:hanging="578"/>
        <w:rPr>
          <w:rFonts w:cs="Times New Roman"/>
        </w:rPr>
      </w:pPr>
      <w:r w:rsidRPr="008C0A23">
        <w:rPr>
          <w:rFonts w:cs="Times New Roman"/>
        </w:rPr>
        <w:t>Standard of Review in the Context of Inordinate Administrative Delay</w:t>
      </w:r>
    </w:p>
    <w:p w14:paraId="55D0F9D5"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Applying appellate standards of review, the majority asserts that </w:t>
      </w:r>
      <w:r>
        <w:rPr>
          <w:rFonts w:cs="Times New Roman"/>
        </w:rPr>
        <w:t xml:space="preserve">for questions of procedural fairness and abuse of process in a statutory appeal </w:t>
      </w:r>
      <w:r w:rsidRPr="008C0A23">
        <w:rPr>
          <w:rFonts w:cs="Times New Roman"/>
        </w:rPr>
        <w:t>“the applicable standard of review is correctness” because “[w]hether there has been an abuse of process is a question of law” (para. 30). I agree with this conclusion (albeit for different reasons), but I cannot subscribe to the majority’s articulation of the standard of review in the context of inordinate administrative delay.</w:t>
      </w:r>
    </w:p>
    <w:p w14:paraId="4D0D356C"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According to the majority, the standard of palpable and overriding error applies to the two requirements of its test, namely inordinate delay and significant prejudice. The third step of the test, which requires the court to “conduct a final assessment as to whether abuse of process is established” (para. 101), is subject to the standard of correctness.</w:t>
      </w:r>
    </w:p>
    <w:p w14:paraId="0EC7504C"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lastRenderedPageBreak/>
        <w:t xml:space="preserve">I disagree with the position that courts owe deference to an administrative decision maker’s conclusion on whether delay is inordinate. As discussed above, inordinate delay constitutes an abuse of process on its own; it </w:t>
      </w:r>
      <w:r w:rsidRPr="008C0A23">
        <w:rPr>
          <w:rFonts w:cs="Times New Roman"/>
          <w:i/>
        </w:rPr>
        <w:t xml:space="preserve">is </w:t>
      </w:r>
      <w:r w:rsidRPr="008C0A23">
        <w:rPr>
          <w:rFonts w:cs="Times New Roman"/>
        </w:rPr>
        <w:t xml:space="preserve">the legal standard against which an administrative body’s conduct is measured. I reiterate that the application of a legal standard to the facts is a question of law subject to correctness review </w:t>
      </w:r>
      <w:r>
        <w:rPr>
          <w:rFonts w:cs="Times New Roman"/>
        </w:rPr>
        <w:t>(</w:t>
      </w:r>
      <w:r w:rsidRPr="008C0A23">
        <w:rPr>
          <w:rFonts w:cs="Times New Roman"/>
          <w:i/>
        </w:rPr>
        <w:t>Shepherd</w:t>
      </w:r>
      <w:r w:rsidRPr="008C0A23">
        <w:rPr>
          <w:rFonts w:cs="Times New Roman"/>
        </w:rPr>
        <w:t xml:space="preserve">, at para. 20; </w:t>
      </w:r>
      <w:r w:rsidRPr="008C0A23">
        <w:rPr>
          <w:rFonts w:cs="Times New Roman"/>
          <w:i/>
        </w:rPr>
        <w:t>Dussault</w:t>
      </w:r>
      <w:r w:rsidRPr="008C0A23">
        <w:rPr>
          <w:rFonts w:cs="Times New Roman"/>
        </w:rPr>
        <w:t xml:space="preserve">, at para. 26; </w:t>
      </w:r>
      <w:r w:rsidRPr="008C0A23">
        <w:rPr>
          <w:rFonts w:cs="Times New Roman"/>
          <w:i/>
        </w:rPr>
        <w:t>Le</w:t>
      </w:r>
      <w:r w:rsidRPr="008C0A23">
        <w:rPr>
          <w:rFonts w:cs="Times New Roman"/>
        </w:rPr>
        <w:t xml:space="preserve">, at para. 23; </w:t>
      </w:r>
      <w:proofErr w:type="spellStart"/>
      <w:r w:rsidRPr="008C0A23">
        <w:rPr>
          <w:rFonts w:cs="Times New Roman"/>
          <w:i/>
        </w:rPr>
        <w:t>Katigbak</w:t>
      </w:r>
      <w:proofErr w:type="spellEnd"/>
      <w:r w:rsidRPr="008C0A23">
        <w:rPr>
          <w:rFonts w:cs="Times New Roman"/>
        </w:rPr>
        <w:t>, at para. 68</w:t>
      </w:r>
      <w:r>
        <w:rPr>
          <w:rFonts w:cs="Times New Roman"/>
        </w:rPr>
        <w:t>)</w:t>
      </w:r>
      <w:r w:rsidRPr="008C0A23">
        <w:rPr>
          <w:rFonts w:cs="Times New Roman"/>
        </w:rPr>
        <w:t>.</w:t>
      </w:r>
    </w:p>
    <w:p w14:paraId="0F6021D8"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My conclusion is buttressed by the jurisprudence on the right to be tried within a reasonable time under s. 11(</w:t>
      </w:r>
      <w:r w:rsidRPr="00A96810">
        <w:rPr>
          <w:rFonts w:cs="Times New Roman"/>
        </w:rPr>
        <w:t>b</w:t>
      </w:r>
      <w:r w:rsidRPr="008C0A23">
        <w:rPr>
          <w:rFonts w:cs="Times New Roman"/>
        </w:rPr>
        <w:t xml:space="preserve">) of the </w:t>
      </w:r>
      <w:r w:rsidRPr="008C0A23">
        <w:rPr>
          <w:rFonts w:cs="Times New Roman"/>
          <w:i/>
        </w:rPr>
        <w:t>Charter</w:t>
      </w:r>
      <w:r w:rsidRPr="008C0A23">
        <w:rPr>
          <w:rFonts w:cs="Times New Roman"/>
        </w:rPr>
        <w:t xml:space="preserve">. In </w:t>
      </w:r>
      <w:r w:rsidRPr="008C0A23">
        <w:rPr>
          <w:rFonts w:cs="Times New Roman"/>
          <w:i/>
        </w:rPr>
        <w:t>R. v. Yusuf</w:t>
      </w:r>
      <w:r w:rsidRPr="008C0A23">
        <w:rPr>
          <w:rFonts w:cs="Times New Roman"/>
        </w:rPr>
        <w:t>, 2021 SCC 2, at para. 2, this Court endorsed the Ontario Court of Appeal’s formulation of the standard of review applicable to s. 11(</w:t>
      </w:r>
      <w:r w:rsidRPr="00A96810">
        <w:rPr>
          <w:rFonts w:cs="Times New Roman"/>
        </w:rPr>
        <w:t>b</w:t>
      </w:r>
      <w:r w:rsidRPr="008C0A23">
        <w:rPr>
          <w:rFonts w:cs="Times New Roman"/>
        </w:rPr>
        <w:t>) rulings: “Deference is owed to a trial judge’s underlying findings of fact. Characterizations of periods of delay and the ultimate decision concerning whether there has been unreasonable delay are reviewable on a standard of correctness” (</w:t>
      </w:r>
      <w:r w:rsidRPr="008C0A23">
        <w:rPr>
          <w:rFonts w:cs="Times New Roman"/>
          <w:i/>
        </w:rPr>
        <w:t>R.</w:t>
      </w:r>
      <w:r>
        <w:rPr>
          <w:rFonts w:cs="Times New Roman"/>
          <w:i/>
        </w:rPr>
        <w:t> v. </w:t>
      </w:r>
      <w:r w:rsidRPr="008C0A23">
        <w:rPr>
          <w:rFonts w:cs="Times New Roman"/>
          <w:i/>
        </w:rPr>
        <w:t>Pauls</w:t>
      </w:r>
      <w:r w:rsidRPr="008C0A23">
        <w:rPr>
          <w:rFonts w:cs="Times New Roman"/>
        </w:rPr>
        <w:t xml:space="preserve">, 2020 ONCA 220, </w:t>
      </w:r>
      <w:r>
        <w:rPr>
          <w:rFonts w:cs="Times New Roman"/>
        </w:rPr>
        <w:t xml:space="preserve">149 O.R. (3d) 609, </w:t>
      </w:r>
      <w:r w:rsidRPr="008C0A23">
        <w:rPr>
          <w:rFonts w:cs="Times New Roman"/>
        </w:rPr>
        <w:t xml:space="preserve">at para. 40). Moreover, it is noteworthy that both Mr. Abrametz and the Law Society invoked </w:t>
      </w:r>
      <w:r>
        <w:rPr>
          <w:rFonts w:cs="Times New Roman"/>
          <w:i/>
        </w:rPr>
        <w:t>R. v. </w:t>
      </w:r>
      <w:r w:rsidRPr="008C0A23">
        <w:rPr>
          <w:rFonts w:cs="Times New Roman"/>
          <w:i/>
        </w:rPr>
        <w:t>Virk</w:t>
      </w:r>
      <w:r w:rsidRPr="008C0A23">
        <w:rPr>
          <w:rFonts w:cs="Times New Roman"/>
        </w:rPr>
        <w:t xml:space="preserve">, 2021 BCCA 58, </w:t>
      </w:r>
      <w:r>
        <w:rPr>
          <w:rFonts w:cs="Times New Roman"/>
        </w:rPr>
        <w:t xml:space="preserve">403 C.C.C. (3d) 492, </w:t>
      </w:r>
      <w:r w:rsidRPr="008C0A23">
        <w:rPr>
          <w:rFonts w:cs="Times New Roman"/>
        </w:rPr>
        <w:t>in which the British Columbia Court of Appeal similarly held that the standard of correctness applies to a trial judge’s conclusion on the unreasonableness of delay (paras. 23</w:t>
      </w:r>
      <w:r w:rsidRPr="008C0A23">
        <w:rPr>
          <w:rFonts w:cs="Times New Roman"/>
        </w:rPr>
        <w:noBreakHyphen/>
        <w:t>24).</w:t>
      </w:r>
    </w:p>
    <w:p w14:paraId="75FF11B7"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Although the remedies for them differ, unreasonable delay at common law and unreasonable delay under s. 11(</w:t>
      </w:r>
      <w:r w:rsidRPr="00A96810">
        <w:rPr>
          <w:rFonts w:cs="Times New Roman"/>
        </w:rPr>
        <w:t>b</w:t>
      </w:r>
      <w:r w:rsidRPr="008C0A23">
        <w:rPr>
          <w:rFonts w:cs="Times New Roman"/>
        </w:rPr>
        <w:t xml:space="preserve">) are conceptually equivalent; they represent the same manifestation of an abuse of process. Given that unreasonable delay is a question of law in criminal proceedings, the same must be true in the context of administrative </w:t>
      </w:r>
      <w:r w:rsidRPr="008C0A23">
        <w:rPr>
          <w:rFonts w:cs="Times New Roman"/>
        </w:rPr>
        <w:lastRenderedPageBreak/>
        <w:t xml:space="preserve">proceedings. </w:t>
      </w:r>
      <w:r>
        <w:rPr>
          <w:rFonts w:cs="Times New Roman"/>
        </w:rPr>
        <w:t>As L’Heureux</w:t>
      </w:r>
      <w:r>
        <w:rPr>
          <w:rFonts w:cs="Times New Roman"/>
        </w:rPr>
        <w:noBreakHyphen/>
      </w:r>
      <w:r w:rsidRPr="008C0A23">
        <w:rPr>
          <w:rFonts w:cs="Times New Roman"/>
        </w:rPr>
        <w:t xml:space="preserve">Dubé J. concluded in </w:t>
      </w:r>
      <w:r w:rsidRPr="008C0A23">
        <w:rPr>
          <w:rFonts w:cs="Times New Roman"/>
          <w:i/>
        </w:rPr>
        <w:t>O’Connor</w:t>
      </w:r>
      <w:r w:rsidRPr="008C0A23">
        <w:rPr>
          <w:rFonts w:cs="Times New Roman"/>
        </w:rPr>
        <w:t>,</w:t>
      </w:r>
      <w:r w:rsidRPr="008C0A23">
        <w:rPr>
          <w:rFonts w:cs="Times New Roman"/>
          <w:i/>
        </w:rPr>
        <w:t xml:space="preserve"> </w:t>
      </w:r>
      <w:r w:rsidRPr="008C0A23">
        <w:rPr>
          <w:rFonts w:cs="Times New Roman"/>
        </w:rPr>
        <w:t xml:space="preserve">“there is no real utility in maintaining two distinct analytic regimes” for abuse of process at common law and abusive conduct contrary to the </w:t>
      </w:r>
      <w:r w:rsidRPr="008C0A23">
        <w:rPr>
          <w:rFonts w:cs="Times New Roman"/>
          <w:i/>
        </w:rPr>
        <w:t>Charter</w:t>
      </w:r>
      <w:r w:rsidRPr="008C0A23">
        <w:rPr>
          <w:rFonts w:cs="Times New Roman"/>
        </w:rPr>
        <w:t xml:space="preserve"> (para. 71). Here, and with respect, the majority’s application of a deferential standard of review to the requirement of inordinate delay creates unwarranted incoherence in the law.</w:t>
      </w:r>
    </w:p>
    <w:p w14:paraId="555786CD"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Therefore, I would articulate the standard of review for assessing delay in administrative proceedings as follows. The reviewing court owes deference to the administrative decision maker’s underlying findings of fact — notably on the length, causes, and effects of the delay. The characterization of periods of delay, the conclusion on whether the delay is inordinate, and the remedy for abuse of process are all subject to correctness review.</w:t>
      </w:r>
    </w:p>
    <w:p w14:paraId="19DB40EA" w14:textId="77777777" w:rsidR="00F04D37" w:rsidRPr="008C0A23" w:rsidRDefault="00F04D37" w:rsidP="00F04D37">
      <w:pPr>
        <w:pStyle w:val="Title1LevelTitre1Niveau-AltL"/>
        <w:ind w:left="578" w:hanging="578"/>
        <w:rPr>
          <w:rFonts w:cs="Times New Roman"/>
        </w:rPr>
      </w:pPr>
      <w:r w:rsidRPr="008C0A23">
        <w:rPr>
          <w:rFonts w:cs="Times New Roman"/>
        </w:rPr>
        <w:t>Application</w:t>
      </w:r>
    </w:p>
    <w:p w14:paraId="0B560DB4"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In discussing the delay in this case, the majority acknowledges that “the actions of </w:t>
      </w:r>
      <w:r>
        <w:rPr>
          <w:rFonts w:cs="Times New Roman"/>
        </w:rPr>
        <w:t xml:space="preserve">the </w:t>
      </w:r>
      <w:r w:rsidRPr="008C0A23">
        <w:rPr>
          <w:rFonts w:cs="Times New Roman"/>
        </w:rPr>
        <w:t>Law Society were not above reproach” (para. 126). With respect, this is a major understatement.</w:t>
      </w:r>
    </w:p>
    <w:p w14:paraId="7F586ACF"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 conclude without hesitation that the magnitude of the undue delay in this case, which amounted to 32 </w:t>
      </w:r>
      <w:r>
        <w:rPr>
          <w:rFonts w:cs="Times New Roman"/>
        </w:rPr>
        <w:t>½ </w:t>
      </w:r>
      <w:r w:rsidRPr="008C0A23">
        <w:rPr>
          <w:rFonts w:cs="Times New Roman"/>
        </w:rPr>
        <w:t xml:space="preserve">months in total, meets the “clearly unacceptable” threshold established in </w:t>
      </w:r>
      <w:r w:rsidRPr="008C0A23">
        <w:rPr>
          <w:rFonts w:cs="Times New Roman"/>
          <w:i/>
        </w:rPr>
        <w:t xml:space="preserve">Blencoe </w:t>
      </w:r>
      <w:r w:rsidRPr="008C0A23">
        <w:rPr>
          <w:rFonts w:cs="Times New Roman"/>
        </w:rPr>
        <w:t xml:space="preserve">(para. 115). This inordinate delay caused stress and related health issues to Mr. Abrametz, who was also subject to intrusive conditions for </w:t>
      </w:r>
      <w:r w:rsidRPr="008C0A23">
        <w:rPr>
          <w:rFonts w:cs="Times New Roman"/>
        </w:rPr>
        <w:lastRenderedPageBreak/>
        <w:t>maintaining his legal practice. His employees were adversely affected as well by these unjustifiably long proceedings.</w:t>
      </w:r>
    </w:p>
    <w:p w14:paraId="7E067EC8"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In my view, the length of the unexplained delay and the extent of the prejudice it caused require a correspondingly serious remedy. I conclude that the Court of Appeal rightly ordered that the penalty imposed on Mr. Abrametz be set aside. His disbarment would not serve the public interest.</w:t>
      </w:r>
    </w:p>
    <w:p w14:paraId="5A3ABAF6" w14:textId="77777777" w:rsidR="00F04D37" w:rsidRPr="008C0A23" w:rsidRDefault="00F04D37" w:rsidP="00F04D37">
      <w:pPr>
        <w:pStyle w:val="Title2LevelTitre2Niveau"/>
        <w:ind w:left="578" w:hanging="578"/>
        <w:rPr>
          <w:rFonts w:cs="Times New Roman"/>
        </w:rPr>
      </w:pPr>
      <w:r w:rsidRPr="008C0A23">
        <w:rPr>
          <w:rFonts w:cs="Times New Roman"/>
        </w:rPr>
        <w:t>Inordinate Delay</w:t>
      </w:r>
    </w:p>
    <w:p w14:paraId="1A235665"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Law Society initiated its audit investigation of Mr. Abrametz in December 2012. The Law Society’s auditor, Mr. Allen, completed a trust report about 23 months later, in October 2014. Almost a full year elapsed before the Law Society issued a formal complaint against Mr. Abrametz in October 2015. The parties litigated certain procedural matters before the commencement of the hearing in May 2017. The penalty decision rendered by the Law Society’s Hearing Committee in January 2019 brought the disciplinary proceedings to an end. By then, the proceedings had been going on for approximately 73 months — or just over 6 years since the beginning of the investigation.</w:t>
      </w:r>
    </w:p>
    <w:p w14:paraId="58B6312A"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In my view, the delay was plainly inordinate in the circumstances, and I say this regardless of the standard of review. The Law Society failed to provide justifications for several lengthy gaps, particularly at the investigatory stage, where </w:t>
      </w:r>
      <w:r w:rsidRPr="008C0A23">
        <w:rPr>
          <w:rFonts w:cs="Times New Roman"/>
        </w:rPr>
        <w:lastRenderedPageBreak/>
        <w:t xml:space="preserve">most of the undue delay occurred. Cumulatively, the periods of unexplained delay are “clearly unacceptable” and thus inordinate within the meaning of </w:t>
      </w:r>
      <w:r w:rsidRPr="008C0A23">
        <w:rPr>
          <w:rFonts w:cs="Times New Roman"/>
          <w:i/>
        </w:rPr>
        <w:t>Blencoe</w:t>
      </w:r>
      <w:r w:rsidRPr="008C0A23">
        <w:rPr>
          <w:rFonts w:cs="Times New Roman"/>
        </w:rPr>
        <w:t>.</w:t>
      </w:r>
    </w:p>
    <w:p w14:paraId="6088F53E"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In its brief analysis of delay, the Hearing Committee made only findings of a general nature: the investigation was complex and extensive; Mr. Abrametz cooperated with Mr. Allen initially but ceased to do so in May 2015; and around 14 months of delay were attributable to the unavailability of Mr. Abrametz’s counsel. The Hearing Committee did not determine the inherent time requirements of any step in the proceedings, nor did it address the substantial gaps in the investigation in particular</w:t>
      </w:r>
      <w:r>
        <w:rPr>
          <w:rFonts w:cs="Times New Roman"/>
        </w:rPr>
        <w:t>.</w:t>
      </w:r>
    </w:p>
    <w:p w14:paraId="01353554"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Given the blatantly excessive delay in this case, it was incumbent on the Hearing Committee to carefully assess the justifications for the time taken at each key step of the investigation. It merely referred to the affidavit of Mr. Huber, counsel for the Law Society. But neither this affidavit nor the rest of the record discloses any reasonable justifications for the gaps in the proceedings.</w:t>
      </w:r>
    </w:p>
    <w:p w14:paraId="714B76E8"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 disagree with the majority’s assertion that “[t]he Court of Appeal departed from its proper role” in assessing whether the delay was inordinate (para. 114). In the absence of a thorough analysis by the Hearing Committee, the Court of Appeal rightfully made an independent assessment of the periods of delay at every key step of the proceedings. While the Hearing Committee’s findings of fact are entitled to deference, I reiterate that the characterization of periods of delay and the overall </w:t>
      </w:r>
      <w:r w:rsidRPr="008C0A23">
        <w:rPr>
          <w:rFonts w:cs="Times New Roman"/>
        </w:rPr>
        <w:lastRenderedPageBreak/>
        <w:t>conclusion on whether the delay was inordinate are subject to the standard of correctness.</w:t>
      </w:r>
    </w:p>
    <w:p w14:paraId="771DA69A"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After carefully reviewing the record, I substantially agree with the Court of Appeal’s meticulous analysis, and I accept its conclusion that 32 </w:t>
      </w:r>
      <w:r>
        <w:rPr>
          <w:rFonts w:cs="Times New Roman"/>
        </w:rPr>
        <w:t>½ </w:t>
      </w:r>
      <w:r w:rsidRPr="008C0A23">
        <w:rPr>
          <w:rFonts w:cs="Times New Roman"/>
        </w:rPr>
        <w:t>months of delay in the proceedings were unjustified. This case is not a close call. I agree with the Court of Appeal that “[t]his delay did not marginally overshoot what might have been considered appropriate. . . . [I]t so grossly exceeded the inherent requirements of this case as to be ‘clearly unac</w:t>
      </w:r>
      <w:r>
        <w:rPr>
          <w:rFonts w:cs="Times New Roman"/>
        </w:rPr>
        <w:t xml:space="preserve">ceptable’ within the meaning of </w:t>
      </w:r>
      <w:r w:rsidRPr="008C0A23">
        <w:rPr>
          <w:rFonts w:cs="Times New Roman"/>
          <w:i/>
          <w:iCs/>
        </w:rPr>
        <w:t>Blencoe</w:t>
      </w:r>
      <w:r w:rsidRPr="008C0A23">
        <w:rPr>
          <w:rFonts w:cs="Times New Roman"/>
        </w:rPr>
        <w:t>” (para. 197</w:t>
      </w:r>
      <w:r>
        <w:rPr>
          <w:rFonts w:cs="Times New Roman"/>
        </w:rPr>
        <w:t xml:space="preserve"> (CanLII)</w:t>
      </w:r>
      <w:r w:rsidRPr="008C0A23">
        <w:rPr>
          <w:rFonts w:cs="Times New Roman"/>
        </w:rPr>
        <w:t>).</w:t>
      </w:r>
    </w:p>
    <w:p w14:paraId="478D6525"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Given the Court of Appeal’s thorough analysis, it is unnecessary to review each step of the proceedings in detail. I nonetheless address below the relevance of the Hearing Committee’s findings on the complexity of the investigation and on Mr. Abrametz’s lack of cooperation.</w:t>
      </w:r>
    </w:p>
    <w:p w14:paraId="166E1862" w14:textId="77777777" w:rsidR="00F04D37" w:rsidRPr="008C0A23" w:rsidRDefault="00F04D37" w:rsidP="00F04D37">
      <w:pPr>
        <w:pStyle w:val="Title3LevelTitre3Niveau"/>
        <w:ind w:left="1156" w:hanging="578"/>
        <w:rPr>
          <w:rFonts w:cs="Times New Roman"/>
        </w:rPr>
      </w:pPr>
      <w:r w:rsidRPr="008C0A23">
        <w:rPr>
          <w:rFonts w:cs="Times New Roman"/>
        </w:rPr>
        <w:t>Complexity of the Investigation</w:t>
      </w:r>
    </w:p>
    <w:p w14:paraId="18AA1636"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complexity of the investigation cannot account for the Law Society’s inactivity between the beginning of the audit investigation and the issuance of the formal complaint, the period during which most of the unexplained delay occurred</w:t>
      </w:r>
      <w:r>
        <w:rPr>
          <w:rFonts w:cs="Times New Roman"/>
        </w:rPr>
        <w:t>.</w:t>
      </w:r>
    </w:p>
    <w:p w14:paraId="5022C858"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proceedings started on the right track. In February </w:t>
      </w:r>
      <w:r>
        <w:rPr>
          <w:rFonts w:cs="Times New Roman"/>
        </w:rPr>
        <w:t>2013, only two </w:t>
      </w:r>
      <w:r w:rsidRPr="008C0A23">
        <w:rPr>
          <w:rFonts w:cs="Times New Roman"/>
        </w:rPr>
        <w:t xml:space="preserve">months into the investigation, the Law Society’s Conduct Investigation Committee </w:t>
      </w:r>
      <w:r w:rsidRPr="008C0A23">
        <w:rPr>
          <w:rFonts w:cs="Times New Roman"/>
        </w:rPr>
        <w:lastRenderedPageBreak/>
        <w:t>(“CIC”) issued a notice of intention to interim suspend Mr. Abrametz based on the information he had self</w:t>
      </w:r>
      <w:r w:rsidRPr="008C0A23">
        <w:rPr>
          <w:rFonts w:cs="Times New Roman"/>
        </w:rPr>
        <w:noBreakHyphen/>
        <w:t>reported. This notice referred to all the charges of which Mr. Abrametz was eventually found guilty, almost six</w:t>
      </w:r>
      <w:r>
        <w:rPr>
          <w:rFonts w:cs="Times New Roman"/>
        </w:rPr>
        <w:t> </w:t>
      </w:r>
      <w:r w:rsidRPr="008C0A23">
        <w:rPr>
          <w:rFonts w:cs="Times New Roman"/>
        </w:rPr>
        <w:t>years later. Moreover, as early as March 2013, Mr. Allen completed a draft trust report that, according to the Court of Appeal, already contained most of the content and attachments that were used in the final trust report (para. 188). The same month, after negotiating with the CIC, Mr. Abrametz signed an undertaking allowing him to maintain his legal practice under stringent conditions.</w:t>
      </w:r>
    </w:p>
    <w:p w14:paraId="616CB0AF"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final trust report, however, was completed by Mr. Allen no less than a year and a half later, in October 2014. The record contains scant evidence of any work done by Mr. Allen during that 19</w:t>
      </w:r>
      <w:r w:rsidRPr="008C0A23">
        <w:rPr>
          <w:rFonts w:cs="Times New Roman"/>
        </w:rPr>
        <w:noBreakHyphen/>
        <w:t xml:space="preserve">month period, as the Court of Appeal pointed out: there are no “particulars of when Mr. Allen </w:t>
      </w:r>
      <w:proofErr w:type="gramStart"/>
      <w:r w:rsidRPr="008C0A23">
        <w:rPr>
          <w:rFonts w:cs="Times New Roman"/>
        </w:rPr>
        <w:t>spent .</w:t>
      </w:r>
      <w:proofErr w:type="gramEnd"/>
      <w:r w:rsidRPr="008C0A23">
        <w:rPr>
          <w:rFonts w:cs="Times New Roman"/>
        </w:rPr>
        <w:t> . . time” reviewing client files and other documents, nor is there any “evidence of what he did in 2014, other than the bare fact that he completed his final trust report on October 30, 2014” (para. 19). Given the deficient explanations offered by the Law Society, the Court of Appeal did not err in finding 15 months of unexplained delay between the draft and the final trust report.</w:t>
      </w:r>
    </w:p>
    <w:p w14:paraId="21C305D0"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Similarly, after the completion of the trust report, the Law Society inexplicably took an additional 12 months to issue the formal complaint against Mr. Abrametz in October 2015. The formal complaint, I observe, merely reiterated the charges specified in a report prepared by the CIC — the draft of which was reasonably complete by March 2015, or </w:t>
      </w:r>
      <w:r>
        <w:rPr>
          <w:rFonts w:cs="Times New Roman"/>
        </w:rPr>
        <w:t>4 ½</w:t>
      </w:r>
      <w:r w:rsidRPr="008C0A23">
        <w:rPr>
          <w:rFonts w:cs="Times New Roman"/>
        </w:rPr>
        <w:t xml:space="preserve"> months after the trust report. Yet from that point, the Law Society took over </w:t>
      </w:r>
      <w:r>
        <w:rPr>
          <w:rFonts w:cs="Times New Roman"/>
        </w:rPr>
        <w:t>7 </w:t>
      </w:r>
      <w:r w:rsidRPr="008C0A23">
        <w:rPr>
          <w:rFonts w:cs="Times New Roman"/>
        </w:rPr>
        <w:t>months to issue the formal complaint, a four</w:t>
      </w:r>
      <w:r w:rsidRPr="008C0A23">
        <w:rPr>
          <w:rFonts w:cs="Times New Roman"/>
        </w:rPr>
        <w:noBreakHyphen/>
        <w:t xml:space="preserve">page document </w:t>
      </w:r>
      <w:r w:rsidRPr="008C0A23">
        <w:rPr>
          <w:rFonts w:cs="Times New Roman"/>
        </w:rPr>
        <w:lastRenderedPageBreak/>
        <w:t xml:space="preserve">that substantially reproduced the content of its draft report. Mr. Huber’s time records, unsurprisingly, reveal that he worked only a few hours per month on this file during that period. In this context, the Court of Appeal’s conclusion that there were </w:t>
      </w:r>
      <w:r>
        <w:rPr>
          <w:rFonts w:cs="Times New Roman"/>
        </w:rPr>
        <w:t>6 </w:t>
      </w:r>
      <w:r w:rsidRPr="008C0A23">
        <w:rPr>
          <w:rFonts w:cs="Times New Roman"/>
        </w:rPr>
        <w:t>months of undue delay between the trust report and the formal complaint seems inevitable.</w:t>
      </w:r>
    </w:p>
    <w:p w14:paraId="51C2C70A"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To recap, by the time the Law Society issued the formal complaint, the investigation had already been plagued by 21 months of undue delay. It is not worthwhile to examine the other steps of the proceedings in detail. Much of the subsequent undue delay may be attributed to the lack of direction in the investigation and, in particular, the undue focus on Mr. Abrametz’s alleged tax evasion.</w:t>
      </w:r>
    </w:p>
    <w:p w14:paraId="385AB99A"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As early as </w:t>
      </w:r>
      <w:r>
        <w:rPr>
          <w:rFonts w:cs="Times New Roman"/>
        </w:rPr>
        <w:t>October</w:t>
      </w:r>
      <w:r w:rsidRPr="008C0A23">
        <w:rPr>
          <w:rFonts w:cs="Times New Roman"/>
        </w:rPr>
        <w:t xml:space="preserve"> 2013, Mr. Allen became aware of the tax issue, but his progress was stalled by Mr. Abrametz’s refusal to disclose his financial records the following month. As the Court of Appeal explained, “a decision was made to focus on the tax issue — which the [Law Society] had allowed to languish since . . . October 2013 — rather than expeditiously moving the other charges forward at the same time” (para. 190). The Law Society inexplicably waited until September 2015 to bring an application under s. 63 of </w:t>
      </w:r>
      <w:r w:rsidRPr="00497F01">
        <w:rPr>
          <w:rFonts w:cs="Times New Roman"/>
          <w:i/>
        </w:rPr>
        <w:t>The</w:t>
      </w:r>
      <w:r w:rsidRPr="008C0A23">
        <w:rPr>
          <w:rFonts w:cs="Times New Roman"/>
        </w:rPr>
        <w:t xml:space="preserve"> </w:t>
      </w:r>
      <w:r w:rsidRPr="008C0A23">
        <w:rPr>
          <w:rFonts w:cs="Times New Roman"/>
          <w:i/>
        </w:rPr>
        <w:t>Legal Profession Act</w:t>
      </w:r>
      <w:r>
        <w:rPr>
          <w:rFonts w:cs="Times New Roman"/>
          <w:i/>
        </w:rPr>
        <w:t>, 1990</w:t>
      </w:r>
      <w:r>
        <w:rPr>
          <w:rFonts w:cs="Times New Roman"/>
        </w:rPr>
        <w:t>, S.S. 1990</w:t>
      </w:r>
      <w:r>
        <w:rPr>
          <w:rFonts w:cs="Times New Roman"/>
        </w:rPr>
        <w:noBreakHyphen/>
        <w:t>91, c. L</w:t>
      </w:r>
      <w:r>
        <w:rPr>
          <w:rFonts w:cs="Times New Roman"/>
        </w:rPr>
        <w:noBreakHyphen/>
        <w:t>10.1,</w:t>
      </w:r>
      <w:r w:rsidRPr="008C0A23">
        <w:rPr>
          <w:rFonts w:cs="Times New Roman"/>
          <w:i/>
        </w:rPr>
        <w:t xml:space="preserve"> </w:t>
      </w:r>
      <w:r w:rsidRPr="008C0A23">
        <w:rPr>
          <w:rFonts w:cs="Times New Roman"/>
        </w:rPr>
        <w:t>to obtain the financial records sought by Mr. Allen two years earlier.</w:t>
      </w:r>
    </w:p>
    <w:p w14:paraId="0B8F232A"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Simply put, the time and resources dedicated to the tax issue — which was far more complex than the charges for conduct unbecoming a lawyer — derailed the proceedings. This emphasis was misplaced because the charges laid out in the formal complaint sufficed to have Mr. Abrametz disbarred. Had the Law Society focused on </w:t>
      </w:r>
      <w:r w:rsidRPr="008C0A23">
        <w:rPr>
          <w:rFonts w:cs="Times New Roman"/>
        </w:rPr>
        <w:lastRenderedPageBreak/>
        <w:t>swiftly bringing these charges from the outset, the investigation and prosecution could have proceeded within a reasonable timeframe. The harm had already been done by the time the Law Society communicated its decision to bifurcate the proceedings in July 2015.</w:t>
      </w:r>
    </w:p>
    <w:p w14:paraId="0D44AA0C" w14:textId="77777777" w:rsidR="00F04D37" w:rsidRPr="008C0A23" w:rsidRDefault="00F04D37" w:rsidP="00F04D37">
      <w:pPr>
        <w:pStyle w:val="Title3LevelTitre3Niveau"/>
        <w:ind w:left="1156" w:hanging="578"/>
        <w:rPr>
          <w:rFonts w:cs="Times New Roman"/>
        </w:rPr>
      </w:pPr>
      <w:r w:rsidRPr="008C0A23">
        <w:rPr>
          <w:rFonts w:cs="Times New Roman"/>
        </w:rPr>
        <w:t>Cooperation</w:t>
      </w:r>
    </w:p>
    <w:p w14:paraId="1E3C5325"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Hearing Committee noted that “[w]</w:t>
      </w:r>
      <w:proofErr w:type="spellStart"/>
      <w:r w:rsidRPr="008C0A23">
        <w:rPr>
          <w:rFonts w:cs="Times New Roman"/>
        </w:rPr>
        <w:t>hile</w:t>
      </w:r>
      <w:proofErr w:type="spellEnd"/>
      <w:r w:rsidRPr="008C0A23">
        <w:rPr>
          <w:rFonts w:cs="Times New Roman"/>
        </w:rPr>
        <w:t xml:space="preserve"> the Member initially cooperated with the investigation, that cooperation ceased in May of 2015” (2018 SKLSS 8, </w:t>
      </w:r>
      <w:r>
        <w:rPr>
          <w:rFonts w:cs="Times New Roman"/>
        </w:rPr>
        <w:t xml:space="preserve">at </w:t>
      </w:r>
      <w:r w:rsidRPr="008C0A23">
        <w:rPr>
          <w:rFonts w:cs="Times New Roman"/>
        </w:rPr>
        <w:t>para. 357</w:t>
      </w:r>
      <w:r>
        <w:rPr>
          <w:rFonts w:cs="Times New Roman"/>
        </w:rPr>
        <w:t xml:space="preserve"> (CanLII)</w:t>
      </w:r>
      <w:r w:rsidRPr="008C0A23">
        <w:rPr>
          <w:rFonts w:cs="Times New Roman"/>
        </w:rPr>
        <w:t xml:space="preserve">). This finding relates to Mr. Abrametz’s resistance to disclosing his tax records — which was evident as early as October 2013, when he refused to respond to Mr. Allen’s tax-related questions. In all other matters, Mr. Abrametz </w:t>
      </w:r>
      <w:r w:rsidRPr="008C0A23">
        <w:rPr>
          <w:rFonts w:cs="Times New Roman"/>
          <w:i/>
        </w:rPr>
        <w:t xml:space="preserve">was </w:t>
      </w:r>
      <w:r w:rsidRPr="008C0A23">
        <w:rPr>
          <w:rFonts w:cs="Times New Roman"/>
        </w:rPr>
        <w:t>cooperative. I further note that the bulk of the unexplained delay occurred prior to May 2015.</w:t>
      </w:r>
    </w:p>
    <w:p w14:paraId="0B4E828B"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In any event, this finding rests on a mistaken interpretation of</w:t>
      </w:r>
      <w:r>
        <w:rPr>
          <w:rFonts w:cs="Times New Roman"/>
        </w:rPr>
        <w:t xml:space="preserve"> </w:t>
      </w:r>
      <w:r w:rsidRPr="00497F01">
        <w:rPr>
          <w:rFonts w:cs="Times New Roman"/>
          <w:i/>
        </w:rPr>
        <w:t>The</w:t>
      </w:r>
      <w:r w:rsidRPr="008C0A23">
        <w:rPr>
          <w:rFonts w:cs="Times New Roman"/>
        </w:rPr>
        <w:t xml:space="preserve"> </w:t>
      </w:r>
      <w:r w:rsidRPr="008C0A23">
        <w:rPr>
          <w:rFonts w:cs="Times New Roman"/>
          <w:i/>
        </w:rPr>
        <w:t>Legal Profession Act</w:t>
      </w:r>
      <w:r>
        <w:rPr>
          <w:rFonts w:cs="Times New Roman"/>
          <w:i/>
        </w:rPr>
        <w:t>, 1990</w:t>
      </w:r>
      <w:r w:rsidRPr="008C0A23">
        <w:rPr>
          <w:rFonts w:cs="Times New Roman"/>
        </w:rPr>
        <w:t xml:space="preserve">. The Law Society was </w:t>
      </w:r>
      <w:r w:rsidRPr="008C0A23">
        <w:rPr>
          <w:rFonts w:cs="Times New Roman"/>
          <w:i/>
        </w:rPr>
        <w:t>required</w:t>
      </w:r>
      <w:r w:rsidRPr="008C0A23">
        <w:rPr>
          <w:rFonts w:cs="Times New Roman"/>
        </w:rPr>
        <w:t xml:space="preserve"> by law to make an application under s. 63 to obtain the financial records that Mr. Abrametz refused to disclose. Characterizing Mr. Abrametz as “uncooperative” for reasonably opposing the disclosure of his personal financial records would effectively nullify this procedural protection.</w:t>
      </w:r>
    </w:p>
    <w:p w14:paraId="5DF2C8A4"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It is noteworthy that the Law Society attempted to obtain the same financial records by issuing subpoenas to Mr. Abrametz and </w:t>
      </w:r>
      <w:r>
        <w:rPr>
          <w:rFonts w:cs="Times New Roman"/>
        </w:rPr>
        <w:t xml:space="preserve">his accountants under s. 39 of </w:t>
      </w:r>
      <w:r w:rsidRPr="00497F01">
        <w:rPr>
          <w:rFonts w:cs="Times New Roman"/>
          <w:i/>
        </w:rPr>
        <w:t>The</w:t>
      </w:r>
      <w:r w:rsidRPr="008C0A23">
        <w:rPr>
          <w:rFonts w:cs="Times New Roman"/>
        </w:rPr>
        <w:t xml:space="preserve"> </w:t>
      </w:r>
      <w:r w:rsidRPr="008C0A23">
        <w:rPr>
          <w:rFonts w:cs="Times New Roman"/>
          <w:i/>
        </w:rPr>
        <w:lastRenderedPageBreak/>
        <w:t>Legal Profession Act</w:t>
      </w:r>
      <w:r>
        <w:rPr>
          <w:rFonts w:cs="Times New Roman"/>
          <w:i/>
        </w:rPr>
        <w:t>, 1990</w:t>
      </w:r>
      <w:r w:rsidRPr="008C0A23">
        <w:rPr>
          <w:rFonts w:cs="Times New Roman"/>
        </w:rPr>
        <w:t>. The Court of Queen’s Bench quashed these subpoenas as an abuse of process, holding that the Law Society was improperly seeking to discover documents by circumventing the s. 63 process and related hearing. The need for judicial oversight implies that Mr. Abrametz justifiably opposed the production of his financial records. Given the ambiguity that surrounded the scope of the Law Society’s investigatory powers prior to adjudication, it was an error to conclude that Mr. Abrametz was uncooperative.</w:t>
      </w:r>
    </w:p>
    <w:p w14:paraId="4608139E"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Not only did the Law Society commit an abuse of process by improperly issuing subpoenas, but it also made a frivolous submission in defending its decision to do so. The Law Society argued that Mr. Abrametz did not have standing to challenge the subpoenas served on his accountants for the production of his personal financial records. Needless to say, conduct of this nature is not conducive to the efficient and timely progression of disciplinary proceedings.</w:t>
      </w:r>
    </w:p>
    <w:p w14:paraId="3EE57EA6" w14:textId="77777777" w:rsidR="00F04D37" w:rsidRPr="008C0A23" w:rsidRDefault="00F04D37" w:rsidP="00F04D37">
      <w:pPr>
        <w:pStyle w:val="Title2LevelTitre2Niveau"/>
        <w:ind w:left="578" w:hanging="578"/>
        <w:rPr>
          <w:rFonts w:cs="Times New Roman"/>
        </w:rPr>
      </w:pPr>
      <w:r w:rsidRPr="008C0A23">
        <w:rPr>
          <w:rFonts w:cs="Times New Roman"/>
        </w:rPr>
        <w:t>Prejudice</w:t>
      </w:r>
    </w:p>
    <w:p w14:paraId="05386F83"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Hearing Committee found that the prejudice in this case did not meet the threshold for obtaining a stay of proceedings. I would not interfere with this finding, although I note that the prejudice was far from negligible. Regarding causation, however, the Hearing Committee erred in asserting that there was no causal connection between the unexplained delay and the prejudice.</w:t>
      </w:r>
    </w:p>
    <w:p w14:paraId="611AB9D2" w14:textId="77777777" w:rsidR="00F04D37" w:rsidRPr="008C0A23" w:rsidRDefault="00F04D37" w:rsidP="00F04D37">
      <w:pPr>
        <w:pStyle w:val="Title3LevelTitre3Niveau"/>
        <w:ind w:left="1156" w:hanging="578"/>
        <w:rPr>
          <w:rFonts w:cs="Times New Roman"/>
        </w:rPr>
      </w:pPr>
      <w:r w:rsidRPr="008C0A23">
        <w:rPr>
          <w:rFonts w:cs="Times New Roman"/>
        </w:rPr>
        <w:t>Nature and Magnitude</w:t>
      </w:r>
    </w:p>
    <w:p w14:paraId="5957A732"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lastRenderedPageBreak/>
        <w:t xml:space="preserve">The most detrimental effect of the delay was the stress suffered by Mr. Abrametz and his employees. Mr. Abrametz was monitored for high blood pressure resulting from this stress. Importantly, the Hearing Committee considered this prejudice only in analyzing Mr. Abrametz’s claim under s. 7 of the </w:t>
      </w:r>
      <w:r w:rsidRPr="008C0A23">
        <w:rPr>
          <w:rFonts w:cs="Times New Roman"/>
          <w:i/>
        </w:rPr>
        <w:t>Charter</w:t>
      </w:r>
      <w:r w:rsidRPr="008C0A23">
        <w:rPr>
          <w:rFonts w:cs="Times New Roman"/>
        </w:rPr>
        <w:t xml:space="preserve">. I note that the requirements in the s. 7 context are demonstrably higher than the “significant prejudice” threshold for obtaining a stay of proceedings. Indeed, the majority in </w:t>
      </w:r>
      <w:r w:rsidRPr="008C0A23">
        <w:rPr>
          <w:rFonts w:cs="Times New Roman"/>
          <w:i/>
        </w:rPr>
        <w:t xml:space="preserve">Blencoe </w:t>
      </w:r>
      <w:r w:rsidRPr="008C0A23">
        <w:rPr>
          <w:rFonts w:cs="Times New Roman"/>
        </w:rPr>
        <w:t xml:space="preserve">stressed that “anxiety, stress and stigma” do not engage the liberty and security interests protected by s. 7 (para. 97). Nonetheless, it also recognized that “significant psychological harm to a person, </w:t>
      </w:r>
      <w:proofErr w:type="gramStart"/>
      <w:r w:rsidRPr="008C0A23">
        <w:rPr>
          <w:rFonts w:cs="Times New Roman"/>
        </w:rPr>
        <w:t>or .</w:t>
      </w:r>
      <w:proofErr w:type="gramEnd"/>
      <w:r w:rsidRPr="008C0A23">
        <w:rPr>
          <w:rFonts w:cs="Times New Roman"/>
        </w:rPr>
        <w:t> . . stigma to a person’s reputation” caused by inordinate delay may warrant a stay of proceedings (para. 115).</w:t>
      </w:r>
    </w:p>
    <w:p w14:paraId="12B61750"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Therefore, it is important to bear in mind that the Hearing Committee’s characterization of the prejudice in this case reflected an onerous </w:t>
      </w:r>
      <w:r w:rsidRPr="008C0A23">
        <w:rPr>
          <w:rFonts w:cs="Times New Roman"/>
          <w:i/>
        </w:rPr>
        <w:t xml:space="preserve">Charter </w:t>
      </w:r>
      <w:r w:rsidRPr="008C0A23">
        <w:rPr>
          <w:rFonts w:cs="Times New Roman"/>
        </w:rPr>
        <w:t xml:space="preserve">standard that Mr. Abrametz did not have to satisfy under the </w:t>
      </w:r>
      <w:r w:rsidRPr="008C0A23">
        <w:rPr>
          <w:rFonts w:cs="Times New Roman"/>
          <w:i/>
        </w:rPr>
        <w:t xml:space="preserve">Blencoe </w:t>
      </w:r>
      <w:r w:rsidRPr="008C0A23">
        <w:rPr>
          <w:rFonts w:cs="Times New Roman"/>
        </w:rPr>
        <w:t>framework. The Hearing Committee’s findings that Mr. Abrametz suffered “some degree of stress” and that he had a related “minor medical condition” (paras. 335</w:t>
      </w:r>
      <w:r>
        <w:rPr>
          <w:rFonts w:cs="Times New Roman"/>
        </w:rPr>
        <w:t xml:space="preserve"> and</w:t>
      </w:r>
      <w:r w:rsidRPr="008C0A23">
        <w:rPr>
          <w:rFonts w:cs="Times New Roman"/>
        </w:rPr>
        <w:t xml:space="preserve"> 337) were understandable in discussing s. 7 of the </w:t>
      </w:r>
      <w:r w:rsidRPr="008C0A23">
        <w:rPr>
          <w:rFonts w:cs="Times New Roman"/>
          <w:i/>
        </w:rPr>
        <w:t>Charter</w:t>
      </w:r>
      <w:r w:rsidRPr="008C0A23">
        <w:rPr>
          <w:rFonts w:cs="Times New Roman"/>
        </w:rPr>
        <w:t>. But such detrimental effects must be taken seriously in assessing the magnitude of the prejudice pursuant to administrative law principles. Moreover, the Hearing Committee acknowledged that Mr. Abrametz’s employees experienced stress throughout the proceedings (para. 338; A.R., vol. I, at p. 352).</w:t>
      </w:r>
    </w:p>
    <w:p w14:paraId="6EA90BFC"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Read contextually, the Hearing Committee’s assessment of the prejudice does not preclude the conclusion that the detrimental effects suffered by Mr. Abrametz and his employees were serious, even if they were not so significant as to justify a stay </w:t>
      </w:r>
      <w:r w:rsidRPr="008C0A23">
        <w:rPr>
          <w:rFonts w:cs="Times New Roman"/>
        </w:rPr>
        <w:lastRenderedPageBreak/>
        <w:t>of proceedings. In my view, this is the only reasonable interpretation of the circumstances: a sword of Damocles hung over Mr. Abrametz’s professional career for several years — and unduly so for a period of 32 </w:t>
      </w:r>
      <w:r>
        <w:rPr>
          <w:rFonts w:cs="Times New Roman"/>
        </w:rPr>
        <w:t>½ </w:t>
      </w:r>
      <w:r w:rsidRPr="008C0A23">
        <w:rPr>
          <w:rFonts w:cs="Times New Roman"/>
        </w:rPr>
        <w:t>months. This inordinate delay also affected his employees, who worked in precarious circumstances far longer than necessary.</w:t>
      </w:r>
    </w:p>
    <w:p w14:paraId="663DBE07"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intrusive conditions imposed by the Law Society on Mr. Abrametz’s legal practice constituted an additional form of prejudice, albeit a less serious one. The Hearing Committee erred in considering the fact that “the majority of the allegations lodged against the Member were determined by this Hearing Committee to be well founded” (para. 352). This remark worryingly suggests that the Hearing Committee’s analysis of prejudice might have been tainted by its conclusions on Mr. Abrametz’s guilt. To reiterate, professional bodies owe a duty of fairness to all persons subject to their proceedings — including those in breach of their professional obligations. Inordinate delay is abusive, irrespective of the outcome of the proceedings.</w:t>
      </w:r>
    </w:p>
    <w:p w14:paraId="69AFF991"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Unlike the Court of Appeal, I am not taking account of the reputational harm suffered by Mr. Abrametz. There is no reviewable error in the Hearing Committee’s finding that this harm was caused by the hearing itself rather than by the delay. The Hearing Committee noted that “[t]he Member has not pointed to any publicity, adverse or otherwise, of the proceedings between 2013 and 2018. The publicity occurred over a short period of time early in 2018” (para. 350). With respect, the Court of Appeal erred in interfering with this finding.</w:t>
      </w:r>
    </w:p>
    <w:p w14:paraId="1F062684" w14:textId="77777777" w:rsidR="00F04D37" w:rsidRPr="008C0A23" w:rsidRDefault="00F04D37" w:rsidP="00F04D37">
      <w:pPr>
        <w:pStyle w:val="Title3LevelTitre3Niveau"/>
        <w:ind w:left="1156" w:hanging="578"/>
        <w:rPr>
          <w:rFonts w:cs="Times New Roman"/>
        </w:rPr>
      </w:pPr>
      <w:r w:rsidRPr="008C0A23">
        <w:rPr>
          <w:rFonts w:cs="Times New Roman"/>
        </w:rPr>
        <w:lastRenderedPageBreak/>
        <w:t>Causation</w:t>
      </w:r>
    </w:p>
    <w:p w14:paraId="4A004C93"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 part ways with the Hearing Committee on the assessment of causation in respect of the stress experienced by Mr. Abrametz and his employees. In the Hearing Committee’s view, there was no causal link between the delay and these detrimental effects. However, this conclusion flowed from the application of an erroneous legal standard of causation. The Hearing Committee stated that it had to be “satisfied that any delay in the investigation or hearing process is </w:t>
      </w:r>
      <w:r w:rsidRPr="008C0A23">
        <w:rPr>
          <w:rFonts w:cs="Times New Roman"/>
          <w:u w:val="single"/>
        </w:rPr>
        <w:t>the</w:t>
      </w:r>
      <w:r w:rsidRPr="008C0A23">
        <w:rPr>
          <w:rFonts w:cs="Times New Roman"/>
        </w:rPr>
        <w:t xml:space="preserve"> contributing cause to the harm that the Member may have experienced due to the stress” (para. 336</w:t>
      </w:r>
      <w:r>
        <w:rPr>
          <w:rFonts w:cs="Times New Roman"/>
        </w:rPr>
        <w:t xml:space="preserve"> (</w:t>
      </w:r>
      <w:r w:rsidRPr="008C0A23">
        <w:rPr>
          <w:rFonts w:cs="Times New Roman"/>
        </w:rPr>
        <w:t>emphasis added</w:t>
      </w:r>
      <w:r>
        <w:rPr>
          <w:rFonts w:cs="Times New Roman"/>
        </w:rPr>
        <w:t>)</w:t>
      </w:r>
      <w:r w:rsidRPr="008C0A23">
        <w:rPr>
          <w:rFonts w:cs="Times New Roman"/>
        </w:rPr>
        <w:t>).</w:t>
      </w:r>
    </w:p>
    <w:p w14:paraId="08868D34"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Although deference applies to findings on causation, it is wrong </w:t>
      </w:r>
      <w:r w:rsidRPr="008C0A23">
        <w:rPr>
          <w:rFonts w:cs="Times New Roman"/>
          <w:i/>
        </w:rPr>
        <w:t xml:space="preserve">in law </w:t>
      </w:r>
      <w:r w:rsidRPr="008C0A23">
        <w:rPr>
          <w:rFonts w:cs="Times New Roman"/>
        </w:rPr>
        <w:t>to suggest that prejudice must have a single contributing</w:t>
      </w:r>
      <w:r w:rsidRPr="008C0A23">
        <w:rPr>
          <w:rFonts w:cs="Times New Roman"/>
          <w:i/>
        </w:rPr>
        <w:t xml:space="preserve"> </w:t>
      </w:r>
      <w:r w:rsidRPr="008C0A23">
        <w:rPr>
          <w:rFonts w:cs="Times New Roman"/>
        </w:rPr>
        <w:t xml:space="preserve">cause. Indeed, the Hearing Committee effectively applied a “but for” causation test. Yet this Court stated in </w:t>
      </w:r>
      <w:r w:rsidRPr="008C0A23">
        <w:rPr>
          <w:rFonts w:cs="Times New Roman"/>
          <w:i/>
        </w:rPr>
        <w:t xml:space="preserve">Blencoe </w:t>
      </w:r>
      <w:r w:rsidRPr="008C0A23">
        <w:rPr>
          <w:rFonts w:cs="Times New Roman"/>
        </w:rPr>
        <w:t>that causation is established where delay is “</w:t>
      </w:r>
      <w:r w:rsidRPr="008C0A23">
        <w:rPr>
          <w:rFonts w:cs="Times New Roman"/>
          <w:u w:val="single"/>
        </w:rPr>
        <w:t>a</w:t>
      </w:r>
      <w:r w:rsidRPr="008C0A23">
        <w:rPr>
          <w:rFonts w:cs="Times New Roman"/>
        </w:rPr>
        <w:t xml:space="preserve"> contributing cause” (para. 68</w:t>
      </w:r>
      <w:r>
        <w:rPr>
          <w:rFonts w:cs="Times New Roman"/>
        </w:rPr>
        <w:t xml:space="preserve"> (emphasis added)</w:t>
      </w:r>
      <w:r w:rsidRPr="008C0A23">
        <w:rPr>
          <w:rFonts w:cs="Times New Roman"/>
        </w:rPr>
        <w:t>). In that case, Bastarache J. assumed, without deciding, that the delay had “exacerbated” the stigma suffered, although he expressed doubt about whether reputational damage could depend on the duration of the proceedings (para. 71). LeBel J., for his part, acknowledged that “delay was not the only cause” of the prejudice, but he concluded that the delay had “contributed significantly to its aggravation” (para. 177).</w:t>
      </w:r>
    </w:p>
    <w:p w14:paraId="2CE3C9A6"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Even if we adopt Bastarache J.’s approach to causation in </w:t>
      </w:r>
      <w:r w:rsidRPr="008C0A23">
        <w:rPr>
          <w:rFonts w:cs="Times New Roman"/>
          <w:i/>
        </w:rPr>
        <w:t>Blencoe</w:t>
      </w:r>
      <w:r w:rsidRPr="008C0A23">
        <w:rPr>
          <w:rFonts w:cs="Times New Roman"/>
        </w:rPr>
        <w:t>, the nature of the prejudice in this case is not akin to reputational damage. Reputation “is quickly ruined and difficult to re-establish” (</w:t>
      </w:r>
      <w:r w:rsidRPr="008C0A23">
        <w:rPr>
          <w:rFonts w:cs="Times New Roman"/>
          <w:i/>
        </w:rPr>
        <w:t>Blencoe</w:t>
      </w:r>
      <w:r w:rsidRPr="008C0A23">
        <w:rPr>
          <w:rFonts w:cs="Times New Roman"/>
        </w:rPr>
        <w:t>,</w:t>
      </w:r>
      <w:r w:rsidRPr="008C0A23">
        <w:rPr>
          <w:rFonts w:cs="Times New Roman"/>
          <w:i/>
        </w:rPr>
        <w:t xml:space="preserve"> </w:t>
      </w:r>
      <w:r>
        <w:rPr>
          <w:rFonts w:cs="Times New Roman"/>
        </w:rPr>
        <w:t xml:space="preserve">at </w:t>
      </w:r>
      <w:r w:rsidRPr="008C0A23">
        <w:rPr>
          <w:rFonts w:cs="Times New Roman"/>
        </w:rPr>
        <w:t xml:space="preserve">para. 71), whereas the effects </w:t>
      </w:r>
      <w:r w:rsidRPr="008C0A23">
        <w:rPr>
          <w:rFonts w:cs="Times New Roman"/>
        </w:rPr>
        <w:lastRenderedPageBreak/>
        <w:t xml:space="preserve">of stress are </w:t>
      </w:r>
      <w:r w:rsidRPr="008C0A23">
        <w:rPr>
          <w:rFonts w:cs="Times New Roman"/>
          <w:i/>
        </w:rPr>
        <w:t>continuous</w:t>
      </w:r>
      <w:r w:rsidRPr="008C0A23">
        <w:rPr>
          <w:rFonts w:cs="Times New Roman"/>
        </w:rPr>
        <w:t>, and thus directly dependent on the duration of the proceedings. Common sense dictates that an unjustified delay of 32 </w:t>
      </w:r>
      <w:r>
        <w:rPr>
          <w:rFonts w:cs="Times New Roman"/>
        </w:rPr>
        <w:t>½ </w:t>
      </w:r>
      <w:r w:rsidRPr="008C0A23">
        <w:rPr>
          <w:rFonts w:cs="Times New Roman"/>
        </w:rPr>
        <w:t>months in career</w:t>
      </w:r>
      <w:r w:rsidRPr="008C0A23">
        <w:rPr>
          <w:rFonts w:cs="Times New Roman"/>
        </w:rPr>
        <w:noBreakHyphen/>
        <w:t>altering proceedings would, at minimum, be a contributing cause of the stress experienced by the affected person. The Hearing Committee’s findings on the lack of causation thus cannot stand.</w:t>
      </w:r>
    </w:p>
    <w:p w14:paraId="39BBC344"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 note, once more, that the outcome of disciplinary proceedings cannot inform the assessment of prejudice and causation. In this case, the proceedings were not the original cause of the prejudice. Nevertheless, the unexplained delay undoubtedly contributed</w:t>
      </w:r>
      <w:r w:rsidRPr="008C0A23">
        <w:rPr>
          <w:rFonts w:cs="Times New Roman"/>
          <w:i/>
        </w:rPr>
        <w:t xml:space="preserve"> </w:t>
      </w:r>
      <w:r w:rsidRPr="008C0A23">
        <w:rPr>
          <w:rFonts w:cs="Times New Roman"/>
        </w:rPr>
        <w:t>to the detrimental effects suffered by Mr. Abrametz and his employees by unduly extending the proceedings by 32 </w:t>
      </w:r>
      <w:r>
        <w:rPr>
          <w:rFonts w:cs="Times New Roman"/>
        </w:rPr>
        <w:t>½ </w:t>
      </w:r>
      <w:r w:rsidRPr="008C0A23">
        <w:rPr>
          <w:rFonts w:cs="Times New Roman"/>
        </w:rPr>
        <w:t>months.</w:t>
      </w:r>
    </w:p>
    <w:p w14:paraId="733ED8FF" w14:textId="77777777" w:rsidR="00F04D37" w:rsidRPr="008C0A23" w:rsidRDefault="00F04D37" w:rsidP="00F04D37">
      <w:pPr>
        <w:pStyle w:val="Title2LevelTitre2Niveau"/>
        <w:ind w:left="578" w:hanging="578"/>
        <w:rPr>
          <w:rFonts w:cs="Times New Roman"/>
        </w:rPr>
      </w:pPr>
      <w:r w:rsidRPr="008C0A23">
        <w:rPr>
          <w:rFonts w:cs="Times New Roman"/>
        </w:rPr>
        <w:t>Remedy</w:t>
      </w:r>
    </w:p>
    <w:p w14:paraId="4D17B1E9"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As a preliminary matter, I emphasize that the Court of Appeal did </w:t>
      </w:r>
      <w:r w:rsidRPr="008C0A23">
        <w:rPr>
          <w:rFonts w:cs="Times New Roman"/>
          <w:i/>
        </w:rPr>
        <w:t>not</w:t>
      </w:r>
      <w:r w:rsidRPr="008C0A23">
        <w:rPr>
          <w:rFonts w:cs="Times New Roman"/>
        </w:rPr>
        <w:t xml:space="preserve"> grant a stay of proceedings, despite its characterization of the remedy it ordered:</w:t>
      </w:r>
    </w:p>
    <w:p w14:paraId="21111A7A" w14:textId="77777777" w:rsidR="00F04D37" w:rsidRPr="008C0A23" w:rsidRDefault="00F04D37" w:rsidP="00F04D37">
      <w:pPr>
        <w:pStyle w:val="Citation-AltC"/>
        <w:ind w:firstLine="274"/>
      </w:pPr>
      <w:r w:rsidRPr="008C0A23">
        <w:t>For these reasons, I would allow the appeal on the ground that the Hearing Co</w:t>
      </w:r>
      <w:r>
        <w:t>mmittee erred by dismissing Mr. </w:t>
      </w:r>
      <w:r w:rsidRPr="008C0A23">
        <w:t xml:space="preserve">Abrametz’s application to stay the proceedings as a result of undue delay constituting an abuse of process. The </w:t>
      </w:r>
      <w:r>
        <w:t>[</w:t>
      </w:r>
      <w:r w:rsidRPr="008C0A23">
        <w:t>L</w:t>
      </w:r>
      <w:r>
        <w:t xml:space="preserve">aw </w:t>
      </w:r>
      <w:r w:rsidRPr="008C0A23">
        <w:t>S</w:t>
      </w:r>
      <w:r>
        <w:t>ociety]</w:t>
      </w:r>
      <w:r w:rsidRPr="008C0A23">
        <w:t xml:space="preserve"> proceedings which were commenced by the Formal Complaint are stayed. In the result, the penalty and costs award imposed by the Penalty Decision are set aside. </w:t>
      </w:r>
      <w:r w:rsidRPr="008C0A23">
        <w:rPr>
          <w:u w:val="single"/>
        </w:rPr>
        <w:t>The findings of professional misconduct stand.</w:t>
      </w:r>
      <w:r w:rsidRPr="008C0A23">
        <w:t xml:space="preserve"> [Emphasis added</w:t>
      </w:r>
      <w:r>
        <w:t>; para. 217.</w:t>
      </w:r>
      <w:r w:rsidRPr="008C0A23">
        <w:t>]</w:t>
      </w:r>
    </w:p>
    <w:p w14:paraId="28318434" w14:textId="77777777" w:rsidR="00F04D37" w:rsidRPr="008C0A23" w:rsidRDefault="00F04D37" w:rsidP="00F04D37">
      <w:pPr>
        <w:pStyle w:val="ContinueParaSuitedupar-AltP"/>
        <w:rPr>
          <w:rFonts w:cs="Times New Roman"/>
        </w:rPr>
      </w:pPr>
      <w:r w:rsidRPr="008C0A23">
        <w:rPr>
          <w:rFonts w:cs="Times New Roman"/>
        </w:rPr>
        <w:t>A stay of proceedings — the “ultimate remedy” (</w:t>
      </w:r>
      <w:proofErr w:type="spellStart"/>
      <w:r w:rsidRPr="008C0A23">
        <w:rPr>
          <w:rFonts w:cs="Times New Roman"/>
          <w:i/>
        </w:rPr>
        <w:t>Tobiass</w:t>
      </w:r>
      <w:proofErr w:type="spellEnd"/>
      <w:r w:rsidRPr="008C0A23">
        <w:rPr>
          <w:rFonts w:cs="Times New Roman"/>
        </w:rPr>
        <w:t xml:space="preserve">, at para. 86) — annuls the disposition as well as the legal and factual bases on which it rests. By maintaining </w:t>
      </w:r>
      <w:r w:rsidRPr="008C0A23">
        <w:rPr>
          <w:rFonts w:cs="Times New Roman"/>
        </w:rPr>
        <w:lastRenderedPageBreak/>
        <w:t>Mr. Abrametz’s convictions, the Court of Appeal effectively quashed the</w:t>
      </w:r>
      <w:r w:rsidRPr="008C0A23">
        <w:rPr>
          <w:rFonts w:cs="Times New Roman"/>
          <w:i/>
        </w:rPr>
        <w:t xml:space="preserve"> </w:t>
      </w:r>
      <w:r w:rsidRPr="008C0A23">
        <w:rPr>
          <w:rFonts w:cs="Times New Roman"/>
        </w:rPr>
        <w:t>penalty rather than staying the proceedings.</w:t>
      </w:r>
    </w:p>
    <w:p w14:paraId="0EA9761E"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Given the nature of the remedy at issue, I will not address the test articulated by this Court for determining whether proceedings should be stayed (see</w:t>
      </w:r>
      <w:r w:rsidRPr="008C0A23">
        <w:rPr>
          <w:rFonts w:cs="Times New Roman"/>
          <w:i/>
        </w:rPr>
        <w:t xml:space="preserve"> </w:t>
      </w:r>
      <w:r w:rsidRPr="008C0A23">
        <w:rPr>
          <w:rFonts w:cs="Times New Roman"/>
        </w:rPr>
        <w:t>above, at para. 14</w:t>
      </w:r>
      <w:r>
        <w:rPr>
          <w:rFonts w:cs="Times New Roman"/>
        </w:rPr>
        <w:t>1</w:t>
      </w:r>
      <w:r w:rsidRPr="008C0A23">
        <w:rPr>
          <w:rFonts w:cs="Times New Roman"/>
        </w:rPr>
        <w:t>). Instead, my analysis focuses on the justifications for setting aside Mr. Abrametz’s penalty. I am of the view that the Court of Appeal ordered the correct remedy in the circumstances of this case.</w:t>
      </w:r>
    </w:p>
    <w:p w14:paraId="16250B5B"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guiding principle in selecting the remedy for an abuse of process is proportionality. Courts have multiple remedial options at their disposal, ranging from a declaration to a stay of proceedings. The remedy must be proportionate to the severity of the abusive conduct, having regard to the length of the unexplained delay and the nature and magnitude of the prejudice it caused. Considerations relating to the public interest complement this contextual analysis.</w:t>
      </w:r>
    </w:p>
    <w:p w14:paraId="26316D37"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In this case, the length of the inordinate delay militates in favour of a strong remedy. Simply put, the Law Society demonstrably failed to comply with its duty of procedural fairness toward Mr. Abrametz. The periods of unexplained delay substantially exceeded the inherent time requirements of the case and are “clearly unacceptable” within the meaning of </w:t>
      </w:r>
      <w:r w:rsidRPr="008C0A23">
        <w:rPr>
          <w:rFonts w:cs="Times New Roman"/>
          <w:i/>
        </w:rPr>
        <w:t>Blencoe</w:t>
      </w:r>
      <w:r w:rsidRPr="008C0A23">
        <w:rPr>
          <w:rFonts w:cs="Times New Roman"/>
        </w:rPr>
        <w:t xml:space="preserve">. In my view, courts should not hesitate to condemn such procedural unfairness. Accordingly, the remedy of setting aside the penalty is apposite because it signals to the Law Society — and to administrative </w:t>
      </w:r>
      <w:r w:rsidRPr="008C0A23">
        <w:rPr>
          <w:rFonts w:cs="Times New Roman"/>
        </w:rPr>
        <w:lastRenderedPageBreak/>
        <w:t>bodies more generally — that unacceptable delay brings the administration of justice into disrepute.</w:t>
      </w:r>
    </w:p>
    <w:p w14:paraId="51379193"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The prejudice in this case does not meet the high threshold required for a stay of proceedings, but it is far from negligible. For an unexplained period of 32 </w:t>
      </w:r>
      <w:r>
        <w:rPr>
          <w:rFonts w:cs="Times New Roman"/>
        </w:rPr>
        <w:t>½ </w:t>
      </w:r>
      <w:r w:rsidRPr="008C0A23">
        <w:rPr>
          <w:rFonts w:cs="Times New Roman"/>
        </w:rPr>
        <w:t>months, Mr. Abrametz and his employees experienced undue stress arising from these career-altering disciplinary proceedings. Mr. Abrametz was monitored for high blood pressure, a medical condition attributable to these stressful circumstances. He was also subject to intrusive conditions in order to maintain his legal practice. These prejudicial effects, taken together, are serious.</w:t>
      </w:r>
    </w:p>
    <w:p w14:paraId="5BD88FE3"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Overall, the nature and magnitude of the prejudice, considered in light of the length of the unexplained delay, warrant a correspondingly serious remedy, if perhaps not a stay. This factor thus supports the quashing of the penalty imposed by the Hearing Committee.</w:t>
      </w:r>
    </w:p>
    <w:p w14:paraId="1E14EF5A"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 xml:space="preserve">Finally, the public interest would not be served by maintaining the penalty imposed by the Law Society on Mr. Abrametz. It is true that he was found guilty of serious breaches of his professional obligations. However, multiple considerations convince me that the protection of the public does not require Mr. Abrametz’s disbarment at this point. The Law Society took swift action to impose stringent conditions on his legal practice in order to prevent further misconduct. He was closely monitored by the Law Society for over four years — during which time his conduct was exemplary, according to the Hearing Committee (para. 395). Prior to the </w:t>
      </w:r>
      <w:r w:rsidRPr="008C0A23">
        <w:rPr>
          <w:rFonts w:cs="Times New Roman"/>
        </w:rPr>
        <w:lastRenderedPageBreak/>
        <w:t>misconduct investigated by the Law Society, Mr. Abrametz was a longstanding practitioner with no disciplinary record. Additionally, I note that none of his clients complained of his actions.</w:t>
      </w:r>
    </w:p>
    <w:p w14:paraId="242F1B26"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In short, Mr. Abrametz has already paid a hefty price for his misconduct, and he has proved that his practice is no longer a matter of concern for the protection of the public. The remedy ordered by the Court of Appeal does not annul the proceedings or their outcome, as a stay would. The consequences of staying the proceedings would be much more serious: “Charges that are stayed may never be prosecuted; an alleged victim will never get his or her day in court; society will never have the matter resolved by a trier of fact” (</w:t>
      </w:r>
      <w:r w:rsidRPr="008C0A23">
        <w:rPr>
          <w:rFonts w:cs="Times New Roman"/>
          <w:i/>
        </w:rPr>
        <w:t>Regan</w:t>
      </w:r>
      <w:r w:rsidRPr="008C0A23">
        <w:rPr>
          <w:rFonts w:cs="Times New Roman"/>
        </w:rPr>
        <w:t>, at para. 53). Here, the allegations of professional misconduct were debated at a public hearing that attracted media attention. The Hearing Committee’s findings of guilt stand — as does the stigma flowing from them. These convictions leave an indelible mark on Mr. Abrametz’s disciplinary record, which may be accessed by members of the public at their convenience. In this context, the justifications for punishing Mr. Abrametz no longer hold; the penalty of disbarment would not be in the public interest.</w:t>
      </w:r>
    </w:p>
    <w:p w14:paraId="3E315746" w14:textId="77777777" w:rsidR="00F04D37" w:rsidRPr="008C0A23" w:rsidRDefault="00F04D37" w:rsidP="00F04D37">
      <w:pPr>
        <w:pStyle w:val="Title1LevelTitre1Niveau-AltL"/>
        <w:ind w:left="578" w:hanging="578"/>
        <w:rPr>
          <w:rFonts w:cs="Times New Roman"/>
        </w:rPr>
      </w:pPr>
      <w:r w:rsidRPr="008C0A23">
        <w:rPr>
          <w:rFonts w:cs="Times New Roman"/>
        </w:rPr>
        <w:t>Conclusion</w:t>
      </w:r>
    </w:p>
    <w:p w14:paraId="05EDE370"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No less than 6 years elapsed between the beginning of the Law Society’s audit investigation and its penalty decision, 32 </w:t>
      </w:r>
      <w:r>
        <w:rPr>
          <w:rFonts w:cs="Times New Roman"/>
        </w:rPr>
        <w:t>½ </w:t>
      </w:r>
      <w:r w:rsidRPr="008C0A23">
        <w:rPr>
          <w:rFonts w:cs="Times New Roman"/>
        </w:rPr>
        <w:t xml:space="preserve">months of which were unjustified. This inordinate delay caused serious prejudice to Mr. Abrametz and his employees. In these circumstances, the Court of Appeal correctly sanctioned this abuse of process by </w:t>
      </w:r>
      <w:r w:rsidRPr="008C0A23">
        <w:rPr>
          <w:rFonts w:cs="Times New Roman"/>
        </w:rPr>
        <w:lastRenderedPageBreak/>
        <w:t>ordering that the penalty for professional misconduct — but not the convictions themselves — be set aside.</w:t>
      </w:r>
    </w:p>
    <w:p w14:paraId="123AEC59" w14:textId="77777777" w:rsidR="00F04D37" w:rsidRPr="008C0A23" w:rsidRDefault="00F04D37" w:rsidP="00F04D37">
      <w:pPr>
        <w:pStyle w:val="ParaNoNdepar-AltN"/>
        <w:tabs>
          <w:tab w:val="clear" w:pos="1166"/>
          <w:tab w:val="num" w:pos="1152"/>
        </w:tabs>
        <w:rPr>
          <w:rFonts w:cs="Times New Roman"/>
        </w:rPr>
      </w:pPr>
      <w:r w:rsidRPr="008C0A23">
        <w:rPr>
          <w:rFonts w:cs="Times New Roman"/>
        </w:rPr>
        <w:t>For these reasons, I would dismiss the appeal.</w:t>
      </w:r>
    </w:p>
    <w:p w14:paraId="3ADA2DC6" w14:textId="77777777" w:rsidR="00F04D37" w:rsidRDefault="00F04D37" w:rsidP="00142A98">
      <w:pPr>
        <w:pStyle w:val="SCCNormalDoubleSpacing"/>
        <w:spacing w:after="480"/>
      </w:pPr>
    </w:p>
    <w:p w14:paraId="0BDB3EB3" w14:textId="242B8DC4" w:rsidR="00E44667" w:rsidRPr="00E44667" w:rsidRDefault="00142A98" w:rsidP="00E44667">
      <w:pPr>
        <w:pStyle w:val="SCCNormalDoubleSpacing"/>
        <w:spacing w:after="480"/>
        <w:rPr>
          <w:i/>
        </w:rPr>
      </w:pPr>
      <w:r w:rsidRPr="001426A9">
        <w:tab/>
      </w:r>
      <w:r w:rsidR="00E44667" w:rsidRPr="00E44667">
        <w:rPr>
          <w:i/>
          <w:lang w:val="en-US"/>
        </w:rPr>
        <w:t>Appeal allowed,</w:t>
      </w:r>
      <w:r w:rsidR="00472FF5">
        <w:rPr>
          <w:i/>
          <w:lang w:val="en-US"/>
        </w:rPr>
        <w:t xml:space="preserve"> </w:t>
      </w:r>
      <w:r w:rsidR="00472FF5">
        <w:rPr>
          <w:smallCaps/>
          <w:lang w:val="en-US"/>
        </w:rPr>
        <w:t xml:space="preserve">Côté J. </w:t>
      </w:r>
      <w:r w:rsidR="00472FF5">
        <w:rPr>
          <w:i/>
          <w:lang w:val="en-US"/>
        </w:rPr>
        <w:t>dissenting</w:t>
      </w:r>
      <w:r w:rsidR="00E44667" w:rsidRPr="00E44667">
        <w:rPr>
          <w:i/>
          <w:lang w:val="en-US"/>
        </w:rPr>
        <w:t>.</w:t>
      </w:r>
    </w:p>
    <w:p w14:paraId="63987CB5" w14:textId="27B5FDED" w:rsidR="00142A98" w:rsidRPr="00462B18" w:rsidRDefault="00142A98" w:rsidP="00462B18">
      <w:pPr>
        <w:pStyle w:val="SCCNormalDoubleSpacing"/>
        <w:spacing w:after="480"/>
        <w:rPr>
          <w:i/>
        </w:rPr>
      </w:pPr>
      <w:r>
        <w:tab/>
      </w:r>
      <w:r w:rsidRPr="00462B18">
        <w:rPr>
          <w:i/>
        </w:rPr>
        <w:t xml:space="preserve">Solicitors for the appellant: Caza </w:t>
      </w:r>
      <w:proofErr w:type="spellStart"/>
      <w:r w:rsidRPr="00462B18">
        <w:rPr>
          <w:i/>
        </w:rPr>
        <w:t>Saikaley</w:t>
      </w:r>
      <w:proofErr w:type="spellEnd"/>
      <w:r w:rsidRPr="00462B18">
        <w:rPr>
          <w:i/>
        </w:rPr>
        <w:t>, Ottawa; University of Ottawa, Ottawa.</w:t>
      </w:r>
    </w:p>
    <w:p w14:paraId="360BFA0A" w14:textId="77777777" w:rsidR="00142A98" w:rsidRPr="00462B18" w:rsidRDefault="00142A98" w:rsidP="00462B18">
      <w:pPr>
        <w:pStyle w:val="SCCNormalDoubleSpacing"/>
        <w:spacing w:after="480"/>
        <w:rPr>
          <w:i/>
        </w:rPr>
      </w:pPr>
      <w:r w:rsidRPr="00172CBB">
        <w:tab/>
      </w:r>
      <w:r w:rsidRPr="00462B18">
        <w:rPr>
          <w:i/>
        </w:rPr>
        <w:t>Solicitors for the respondent: McDougall Gauley, Regina.</w:t>
      </w:r>
    </w:p>
    <w:p w14:paraId="5EE90297" w14:textId="77777777" w:rsidR="00142A98" w:rsidRPr="00462B18" w:rsidRDefault="00142A98" w:rsidP="00462B18">
      <w:pPr>
        <w:pStyle w:val="SCCNormalDoubleSpacing"/>
        <w:spacing w:after="480"/>
        <w:rPr>
          <w:i/>
        </w:rPr>
      </w:pPr>
      <w:r w:rsidRPr="00172CBB">
        <w:tab/>
      </w:r>
      <w:r w:rsidRPr="00462B18">
        <w:rPr>
          <w:i/>
        </w:rPr>
        <w:t>Solicitor for the intervener the Attorney General of Ontario: Attorney General of Ontario, Toronto.</w:t>
      </w:r>
    </w:p>
    <w:p w14:paraId="486A761B" w14:textId="77777777" w:rsidR="00142A98" w:rsidRPr="00462B18" w:rsidRDefault="00142A98" w:rsidP="00462B18">
      <w:pPr>
        <w:pStyle w:val="SCCNormalDoubleSpacing"/>
        <w:spacing w:after="480"/>
        <w:rPr>
          <w:i/>
        </w:rPr>
      </w:pPr>
      <w:r w:rsidRPr="00172CBB">
        <w:tab/>
      </w:r>
      <w:r w:rsidRPr="00462B18">
        <w:rPr>
          <w:i/>
        </w:rPr>
        <w:t>Solicitor for the intervener the Attorney General of Quebec: Attorney General of Quebec, Québec.</w:t>
      </w:r>
    </w:p>
    <w:p w14:paraId="726B786C" w14:textId="77777777" w:rsidR="00142A98" w:rsidRPr="00462B18" w:rsidRDefault="00142A98" w:rsidP="00462B18">
      <w:pPr>
        <w:pStyle w:val="SCCNormalDoubleSpacing"/>
        <w:spacing w:after="480"/>
        <w:rPr>
          <w:i/>
        </w:rPr>
      </w:pPr>
      <w:r w:rsidRPr="00172CBB">
        <w:tab/>
      </w:r>
      <w:r w:rsidRPr="00462B18">
        <w:rPr>
          <w:i/>
        </w:rPr>
        <w:t>Solicitor for the intervener the Attorney General of British Columbia: Attorney General of British Columbia, Vancouver.</w:t>
      </w:r>
    </w:p>
    <w:p w14:paraId="7B49D7DE" w14:textId="77777777" w:rsidR="00142A98" w:rsidRPr="00462B18" w:rsidRDefault="00142A98" w:rsidP="00462B18">
      <w:pPr>
        <w:pStyle w:val="SCCNormalDoubleSpacing"/>
        <w:spacing w:after="480"/>
        <w:rPr>
          <w:i/>
        </w:rPr>
      </w:pPr>
      <w:r w:rsidRPr="00172CBB">
        <w:tab/>
      </w:r>
      <w:r w:rsidRPr="00462B18">
        <w:rPr>
          <w:i/>
        </w:rPr>
        <w:t>Solicitor for the intervener the Attorney General of Saskatchewan: Attorney General of Saskatchewan, Regina.</w:t>
      </w:r>
    </w:p>
    <w:p w14:paraId="1327DB9A" w14:textId="77777777" w:rsidR="00142A98" w:rsidRPr="00462B18" w:rsidRDefault="00142A98" w:rsidP="00462B18">
      <w:pPr>
        <w:pStyle w:val="SCCNormalDoubleSpacing"/>
        <w:spacing w:after="480"/>
        <w:rPr>
          <w:i/>
        </w:rPr>
      </w:pPr>
      <w:r w:rsidRPr="00172CBB">
        <w:lastRenderedPageBreak/>
        <w:tab/>
      </w:r>
      <w:r w:rsidRPr="00462B18">
        <w:rPr>
          <w:i/>
        </w:rPr>
        <w:t>Solicitors for the intervener the Law Society of Alberta: Field, Edmonton.</w:t>
      </w:r>
    </w:p>
    <w:p w14:paraId="252CC18D" w14:textId="77777777" w:rsidR="00142A98" w:rsidRPr="00462B18" w:rsidRDefault="00142A98" w:rsidP="00462B18">
      <w:pPr>
        <w:pStyle w:val="SCCNormalDoubleSpacing"/>
        <w:spacing w:after="480"/>
        <w:rPr>
          <w:i/>
        </w:rPr>
      </w:pPr>
      <w:r w:rsidRPr="00172CBB">
        <w:tab/>
      </w:r>
      <w:r w:rsidRPr="00462B18">
        <w:rPr>
          <w:i/>
        </w:rPr>
        <w:t>Solicitor for the intervener the Law Society of Manitoba: Law Society of Manitoba, Winnipeg.</w:t>
      </w:r>
    </w:p>
    <w:p w14:paraId="3905499C" w14:textId="77777777" w:rsidR="00142A98" w:rsidRPr="00462B18" w:rsidRDefault="00142A98" w:rsidP="00462B18">
      <w:pPr>
        <w:pStyle w:val="SCCNormalDoubleSpacing"/>
        <w:spacing w:after="480"/>
        <w:rPr>
          <w:i/>
        </w:rPr>
      </w:pPr>
      <w:r w:rsidRPr="00172CBB">
        <w:tab/>
      </w:r>
      <w:r w:rsidRPr="00462B18">
        <w:rPr>
          <w:i/>
        </w:rPr>
        <w:t>Solicitors for the interveners the College of Physicians and Surgeons of Ontario, the College of Nurses of Ontario, the Ontario College of Pharmacists and the Royal College of Dental Surgeons of Ontario: College of Physicians and Surgeons of Ontario, Toronto; Paliare Roland Rosenberg Rothstein, Toronto.</w:t>
      </w:r>
    </w:p>
    <w:p w14:paraId="7924EAF3" w14:textId="77777777" w:rsidR="00142A98" w:rsidRPr="00462B18" w:rsidRDefault="00142A98" w:rsidP="00462B18">
      <w:pPr>
        <w:pStyle w:val="SCCNormalDoubleSpacing"/>
        <w:spacing w:after="480"/>
        <w:rPr>
          <w:i/>
        </w:rPr>
      </w:pPr>
      <w:r w:rsidRPr="00172CBB">
        <w:tab/>
      </w:r>
      <w:r w:rsidRPr="00462B18">
        <w:rPr>
          <w:i/>
        </w:rPr>
        <w:t>Solicitors for the intervener the Federation of Law Societies of Canada: Borden Ladner Gervais, Ottawa.</w:t>
      </w:r>
    </w:p>
    <w:p w14:paraId="478F30CA" w14:textId="77777777" w:rsidR="00142A98" w:rsidRPr="00462B18" w:rsidRDefault="00142A98" w:rsidP="00462B18">
      <w:pPr>
        <w:pStyle w:val="SCCNormalDoubleSpacing"/>
        <w:spacing w:after="480"/>
        <w:rPr>
          <w:i/>
        </w:rPr>
      </w:pPr>
      <w:r w:rsidRPr="00172CBB">
        <w:tab/>
      </w:r>
      <w:r w:rsidRPr="00462B18">
        <w:rPr>
          <w:i/>
        </w:rPr>
        <w:t>Solicitors for the interveners the Alberta Securities Commission and the British Columbia Securities Commission: Alberta Securities Commission, Calgary</w:t>
      </w:r>
      <w:r w:rsidRPr="00462B18">
        <w:rPr>
          <w:i/>
          <w:lang w:val="en-US"/>
        </w:rPr>
        <w:t>; British Columbia Securities Commission, Vancouver</w:t>
      </w:r>
      <w:r w:rsidRPr="00462B18">
        <w:rPr>
          <w:i/>
        </w:rPr>
        <w:t>.</w:t>
      </w:r>
    </w:p>
    <w:p w14:paraId="19190E25" w14:textId="77777777" w:rsidR="00142A98" w:rsidRPr="00462B18" w:rsidRDefault="00142A98" w:rsidP="00462B18">
      <w:pPr>
        <w:pStyle w:val="SCCNormalDoubleSpacing"/>
        <w:spacing w:after="480"/>
        <w:rPr>
          <w:i/>
          <w:lang w:val="fr-CA"/>
        </w:rPr>
      </w:pPr>
      <w:r w:rsidRPr="00172CBB">
        <w:tab/>
      </w:r>
      <w:r w:rsidRPr="00462B18">
        <w:rPr>
          <w:i/>
          <w:lang w:val="fr-CA"/>
        </w:rPr>
        <w:t>Solicitor for the intervener Barreau du Québec: Barreau du Québec, Montréal.</w:t>
      </w:r>
    </w:p>
    <w:p w14:paraId="4E3713D3" w14:textId="77777777" w:rsidR="00142A98" w:rsidRPr="00462B18" w:rsidRDefault="00142A98" w:rsidP="00462B18">
      <w:pPr>
        <w:pStyle w:val="SCCNormalDoubleSpacing"/>
        <w:spacing w:after="480"/>
        <w:rPr>
          <w:i/>
        </w:rPr>
      </w:pPr>
      <w:r w:rsidRPr="00172CBB">
        <w:rPr>
          <w:lang w:val="fr-CA"/>
        </w:rPr>
        <w:tab/>
      </w:r>
      <w:r w:rsidRPr="00462B18">
        <w:rPr>
          <w:i/>
        </w:rPr>
        <w:t xml:space="preserve">Solicitors for the intervener the Canadian Association of Refugee Lawyers: </w:t>
      </w:r>
      <w:r w:rsidRPr="00462B18">
        <w:rPr>
          <w:i/>
          <w:lang w:val="en-US"/>
        </w:rPr>
        <w:t>University of Toronto, Toronto; Downtown Legal Services, Toronto</w:t>
      </w:r>
      <w:r w:rsidRPr="00462B18">
        <w:rPr>
          <w:i/>
        </w:rPr>
        <w:t>.</w:t>
      </w:r>
    </w:p>
    <w:sectPr w:rsidR="00142A98" w:rsidRPr="00462B18"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756C2" w14:textId="77777777" w:rsidR="00777C27" w:rsidRDefault="00777C27">
      <w:r>
        <w:separator/>
      </w:r>
    </w:p>
  </w:endnote>
  <w:endnote w:type="continuationSeparator" w:id="0">
    <w:p w14:paraId="436EF7C3" w14:textId="77777777" w:rsidR="00777C27" w:rsidRDefault="0077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EBF6B" w14:textId="77777777" w:rsidR="00777C27" w:rsidRDefault="00777C27">
      <w:r>
        <w:separator/>
      </w:r>
    </w:p>
  </w:footnote>
  <w:footnote w:type="continuationSeparator" w:id="0">
    <w:p w14:paraId="56581F7A" w14:textId="77777777" w:rsidR="00777C27" w:rsidRDefault="00777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B59CA" w14:textId="77777777" w:rsidR="00450352" w:rsidRPr="00472A18" w:rsidRDefault="00450352" w:rsidP="00472A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B1B"/>
    <w:multiLevelType w:val="hybridMultilevel"/>
    <w:tmpl w:val="607CCB64"/>
    <w:lvl w:ilvl="0" w:tplc="E25EF6C4">
      <w:start w:val="1"/>
      <w:numFmt w:val="bullet"/>
      <w:lvlText w:val=""/>
      <w:lvlJc w:val="left"/>
      <w:pPr>
        <w:ind w:left="644" w:hanging="360"/>
      </w:pPr>
      <w:rPr>
        <w:rFonts w:ascii="Symbol" w:eastAsiaTheme="minorHAnsi" w:hAnsi="Symbol" w:cs="Times New Roman" w:hint="default"/>
      </w:rPr>
    </w:lvl>
    <w:lvl w:ilvl="1" w:tplc="10090003">
      <w:start w:val="1"/>
      <w:numFmt w:val="bullet"/>
      <w:lvlText w:val="o"/>
      <w:lvlJc w:val="left"/>
      <w:pPr>
        <w:ind w:left="1211" w:hanging="360"/>
      </w:pPr>
      <w:rPr>
        <w:rFonts w:ascii="Courier New" w:hAnsi="Courier New" w:cs="Courier New" w:hint="default"/>
      </w:rPr>
    </w:lvl>
    <w:lvl w:ilvl="2" w:tplc="10090005">
      <w:start w:val="1"/>
      <w:numFmt w:val="bullet"/>
      <w:lvlText w:val=""/>
      <w:lvlJc w:val="left"/>
      <w:pPr>
        <w:ind w:left="926" w:hanging="360"/>
      </w:pPr>
      <w:rPr>
        <w:rFonts w:ascii="Wingdings" w:hAnsi="Wingdings" w:hint="default"/>
      </w:rPr>
    </w:lvl>
    <w:lvl w:ilvl="3" w:tplc="10090001" w:tentative="1">
      <w:start w:val="1"/>
      <w:numFmt w:val="bullet"/>
      <w:lvlText w:val=""/>
      <w:lvlJc w:val="left"/>
      <w:pPr>
        <w:ind w:left="2236" w:hanging="360"/>
      </w:pPr>
      <w:rPr>
        <w:rFonts w:ascii="Symbol" w:hAnsi="Symbol" w:hint="default"/>
      </w:rPr>
    </w:lvl>
    <w:lvl w:ilvl="4" w:tplc="10090003" w:tentative="1">
      <w:start w:val="1"/>
      <w:numFmt w:val="bullet"/>
      <w:lvlText w:val="o"/>
      <w:lvlJc w:val="left"/>
      <w:pPr>
        <w:ind w:left="2956" w:hanging="360"/>
      </w:pPr>
      <w:rPr>
        <w:rFonts w:ascii="Courier New" w:hAnsi="Courier New" w:cs="Courier New" w:hint="default"/>
      </w:rPr>
    </w:lvl>
    <w:lvl w:ilvl="5" w:tplc="10090005" w:tentative="1">
      <w:start w:val="1"/>
      <w:numFmt w:val="bullet"/>
      <w:lvlText w:val=""/>
      <w:lvlJc w:val="left"/>
      <w:pPr>
        <w:ind w:left="3676" w:hanging="360"/>
      </w:pPr>
      <w:rPr>
        <w:rFonts w:ascii="Wingdings" w:hAnsi="Wingdings" w:hint="default"/>
      </w:rPr>
    </w:lvl>
    <w:lvl w:ilvl="6" w:tplc="10090001" w:tentative="1">
      <w:start w:val="1"/>
      <w:numFmt w:val="bullet"/>
      <w:lvlText w:val=""/>
      <w:lvlJc w:val="left"/>
      <w:pPr>
        <w:ind w:left="4396" w:hanging="360"/>
      </w:pPr>
      <w:rPr>
        <w:rFonts w:ascii="Symbol" w:hAnsi="Symbol" w:hint="default"/>
      </w:rPr>
    </w:lvl>
    <w:lvl w:ilvl="7" w:tplc="10090003" w:tentative="1">
      <w:start w:val="1"/>
      <w:numFmt w:val="bullet"/>
      <w:lvlText w:val="o"/>
      <w:lvlJc w:val="left"/>
      <w:pPr>
        <w:ind w:left="5116" w:hanging="360"/>
      </w:pPr>
      <w:rPr>
        <w:rFonts w:ascii="Courier New" w:hAnsi="Courier New" w:cs="Courier New" w:hint="default"/>
      </w:rPr>
    </w:lvl>
    <w:lvl w:ilvl="8" w:tplc="10090005" w:tentative="1">
      <w:start w:val="1"/>
      <w:numFmt w:val="bullet"/>
      <w:lvlText w:val=""/>
      <w:lvlJc w:val="left"/>
      <w:pPr>
        <w:ind w:left="5836"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2D5942"/>
    <w:multiLevelType w:val="multilevel"/>
    <w:tmpl w:val="F7841FD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03130A"/>
    <w:multiLevelType w:val="multilevel"/>
    <w:tmpl w:val="E3943C90"/>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5"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6"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283EE8"/>
    <w:multiLevelType w:val="multilevel"/>
    <w:tmpl w:val="A1E2E330"/>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6A42799"/>
    <w:multiLevelType w:val="hybridMultilevel"/>
    <w:tmpl w:val="B94C1EC8"/>
    <w:lvl w:ilvl="0" w:tplc="0409001B">
      <w:start w:val="1"/>
      <w:numFmt w:val="lowerRoman"/>
      <w:lvlText w:val="%1."/>
      <w:lvlJc w:val="righ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571B7D78"/>
    <w:multiLevelType w:val="hybridMultilevel"/>
    <w:tmpl w:val="6F7C6CD0"/>
    <w:lvl w:ilvl="0" w:tplc="1B340E9E">
      <w:start w:val="43"/>
      <w:numFmt w:val="bullet"/>
      <w:lvlText w:val=""/>
      <w:lvlJc w:val="left"/>
      <w:pPr>
        <w:ind w:left="720" w:hanging="360"/>
      </w:pPr>
      <w:rPr>
        <w:rFonts w:ascii="Symbol" w:eastAsiaTheme="minorHAnsi" w:hAnsi="Symbol" w:cstheme="minorBidi" w:hint="default"/>
        <w:color w:val="000000"/>
        <w:sz w:val="2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2C3567"/>
    <w:multiLevelType w:val="hybridMultilevel"/>
    <w:tmpl w:val="347A725A"/>
    <w:lvl w:ilvl="0" w:tplc="1B340E9E">
      <w:start w:val="43"/>
      <w:numFmt w:val="bullet"/>
      <w:lvlText w:val=""/>
      <w:lvlJc w:val="left"/>
      <w:pPr>
        <w:ind w:left="720" w:hanging="360"/>
      </w:pPr>
      <w:rPr>
        <w:rFonts w:ascii="Symbol" w:eastAsiaTheme="minorHAnsi" w:hAnsi="Symbol" w:cstheme="minorBidi" w:hint="default"/>
        <w:color w:val="000000"/>
        <w:sz w:val="2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AC1B85"/>
    <w:multiLevelType w:val="hybridMultilevel"/>
    <w:tmpl w:val="CA444B1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6B7F3FCD"/>
    <w:multiLevelType w:val="hybridMultilevel"/>
    <w:tmpl w:val="8DE2B58C"/>
    <w:lvl w:ilvl="0" w:tplc="D496265C">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2B3552"/>
    <w:multiLevelType w:val="hybridMultilevel"/>
    <w:tmpl w:val="B1D27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5"/>
  </w:num>
  <w:num w:numId="5">
    <w:abstractNumId w:val="6"/>
  </w:num>
  <w:num w:numId="6">
    <w:abstractNumId w:val="7"/>
  </w:num>
  <w:num w:numId="7">
    <w:abstractNumId w:val="4"/>
  </w:num>
  <w:num w:numId="8">
    <w:abstractNumId w:val="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3"/>
  </w:num>
  <w:num w:numId="10">
    <w:abstractNumId w:va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9"/>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6E6D"/>
    <w:rsid w:val="000232B8"/>
    <w:rsid w:val="00025198"/>
    <w:rsid w:val="00027A37"/>
    <w:rsid w:val="00031C4E"/>
    <w:rsid w:val="000403D8"/>
    <w:rsid w:val="00046936"/>
    <w:rsid w:val="000538A0"/>
    <w:rsid w:val="000578A3"/>
    <w:rsid w:val="00057A7A"/>
    <w:rsid w:val="00063C72"/>
    <w:rsid w:val="000648CC"/>
    <w:rsid w:val="00065523"/>
    <w:rsid w:val="00086172"/>
    <w:rsid w:val="00091160"/>
    <w:rsid w:val="000926B6"/>
    <w:rsid w:val="000948A2"/>
    <w:rsid w:val="00095575"/>
    <w:rsid w:val="000A3A7F"/>
    <w:rsid w:val="000B1C5A"/>
    <w:rsid w:val="000B5026"/>
    <w:rsid w:val="000C5597"/>
    <w:rsid w:val="000C59B8"/>
    <w:rsid w:val="000C6AF0"/>
    <w:rsid w:val="000E556B"/>
    <w:rsid w:val="000E71D5"/>
    <w:rsid w:val="000F3F2B"/>
    <w:rsid w:val="000F74A7"/>
    <w:rsid w:val="00101E55"/>
    <w:rsid w:val="00104F33"/>
    <w:rsid w:val="001066FE"/>
    <w:rsid w:val="00111DE2"/>
    <w:rsid w:val="00116695"/>
    <w:rsid w:val="00116B38"/>
    <w:rsid w:val="00117916"/>
    <w:rsid w:val="00130574"/>
    <w:rsid w:val="00134CFC"/>
    <w:rsid w:val="00135406"/>
    <w:rsid w:val="00135972"/>
    <w:rsid w:val="00137EB6"/>
    <w:rsid w:val="001414F4"/>
    <w:rsid w:val="001426A9"/>
    <w:rsid w:val="00142A98"/>
    <w:rsid w:val="00143998"/>
    <w:rsid w:val="00145D52"/>
    <w:rsid w:val="00146452"/>
    <w:rsid w:val="00153FD7"/>
    <w:rsid w:val="00154D7C"/>
    <w:rsid w:val="001570B0"/>
    <w:rsid w:val="0015752C"/>
    <w:rsid w:val="00157737"/>
    <w:rsid w:val="00165277"/>
    <w:rsid w:val="00170592"/>
    <w:rsid w:val="00172CBB"/>
    <w:rsid w:val="00186351"/>
    <w:rsid w:val="00186C77"/>
    <w:rsid w:val="001924EA"/>
    <w:rsid w:val="00195D83"/>
    <w:rsid w:val="00197D46"/>
    <w:rsid w:val="001A00C1"/>
    <w:rsid w:val="001A2148"/>
    <w:rsid w:val="001A7D8D"/>
    <w:rsid w:val="001B33E0"/>
    <w:rsid w:val="001B4573"/>
    <w:rsid w:val="001C62B3"/>
    <w:rsid w:val="001C779F"/>
    <w:rsid w:val="001D1FAB"/>
    <w:rsid w:val="001D2AC1"/>
    <w:rsid w:val="001D4AB7"/>
    <w:rsid w:val="001D4E88"/>
    <w:rsid w:val="001E0C64"/>
    <w:rsid w:val="001F06DD"/>
    <w:rsid w:val="00220FC2"/>
    <w:rsid w:val="00221F85"/>
    <w:rsid w:val="002222F4"/>
    <w:rsid w:val="00223EA3"/>
    <w:rsid w:val="00224FC0"/>
    <w:rsid w:val="00225EA4"/>
    <w:rsid w:val="00226EAF"/>
    <w:rsid w:val="00231F3A"/>
    <w:rsid w:val="00234199"/>
    <w:rsid w:val="00237226"/>
    <w:rsid w:val="002406EE"/>
    <w:rsid w:val="002407B5"/>
    <w:rsid w:val="00241581"/>
    <w:rsid w:val="00242DFB"/>
    <w:rsid w:val="00243693"/>
    <w:rsid w:val="00243EC8"/>
    <w:rsid w:val="002467FE"/>
    <w:rsid w:val="0025122A"/>
    <w:rsid w:val="00254182"/>
    <w:rsid w:val="00262D76"/>
    <w:rsid w:val="0026631B"/>
    <w:rsid w:val="002663B5"/>
    <w:rsid w:val="00266DFB"/>
    <w:rsid w:val="00270D93"/>
    <w:rsid w:val="002724A8"/>
    <w:rsid w:val="002745CC"/>
    <w:rsid w:val="00294E1B"/>
    <w:rsid w:val="0029616F"/>
    <w:rsid w:val="002B57DF"/>
    <w:rsid w:val="002B7924"/>
    <w:rsid w:val="002C6AEB"/>
    <w:rsid w:val="002D28C3"/>
    <w:rsid w:val="002D39A4"/>
    <w:rsid w:val="002E34F7"/>
    <w:rsid w:val="002E6705"/>
    <w:rsid w:val="002F0DC7"/>
    <w:rsid w:val="002F61A2"/>
    <w:rsid w:val="00301C16"/>
    <w:rsid w:val="00301D08"/>
    <w:rsid w:val="0030329A"/>
    <w:rsid w:val="003050C6"/>
    <w:rsid w:val="0031086F"/>
    <w:rsid w:val="0031414C"/>
    <w:rsid w:val="00314BDC"/>
    <w:rsid w:val="00314E01"/>
    <w:rsid w:val="0031650B"/>
    <w:rsid w:val="0032089D"/>
    <w:rsid w:val="003228CC"/>
    <w:rsid w:val="003259B2"/>
    <w:rsid w:val="003303C8"/>
    <w:rsid w:val="003310DE"/>
    <w:rsid w:val="00331FA8"/>
    <w:rsid w:val="003323B0"/>
    <w:rsid w:val="003417A6"/>
    <w:rsid w:val="0035169A"/>
    <w:rsid w:val="0035259D"/>
    <w:rsid w:val="00356E0A"/>
    <w:rsid w:val="003575DA"/>
    <w:rsid w:val="00364B18"/>
    <w:rsid w:val="003664BB"/>
    <w:rsid w:val="0038339F"/>
    <w:rsid w:val="00383DCF"/>
    <w:rsid w:val="003842D5"/>
    <w:rsid w:val="003A125D"/>
    <w:rsid w:val="003A4C70"/>
    <w:rsid w:val="003A785E"/>
    <w:rsid w:val="003B0998"/>
    <w:rsid w:val="003B215F"/>
    <w:rsid w:val="003C799C"/>
    <w:rsid w:val="003D0399"/>
    <w:rsid w:val="003E1C71"/>
    <w:rsid w:val="003E23B5"/>
    <w:rsid w:val="003E39FF"/>
    <w:rsid w:val="003F0911"/>
    <w:rsid w:val="003F205B"/>
    <w:rsid w:val="003F327B"/>
    <w:rsid w:val="003F4E8F"/>
    <w:rsid w:val="00404687"/>
    <w:rsid w:val="00406166"/>
    <w:rsid w:val="0040704B"/>
    <w:rsid w:val="00410A55"/>
    <w:rsid w:val="00411300"/>
    <w:rsid w:val="00415417"/>
    <w:rsid w:val="00426659"/>
    <w:rsid w:val="0044642D"/>
    <w:rsid w:val="00450352"/>
    <w:rsid w:val="00454BDB"/>
    <w:rsid w:val="00455468"/>
    <w:rsid w:val="00462B18"/>
    <w:rsid w:val="00464800"/>
    <w:rsid w:val="00465132"/>
    <w:rsid w:val="0046777E"/>
    <w:rsid w:val="00471E75"/>
    <w:rsid w:val="00472A18"/>
    <w:rsid w:val="00472FF5"/>
    <w:rsid w:val="0047715D"/>
    <w:rsid w:val="00480C90"/>
    <w:rsid w:val="0048396F"/>
    <w:rsid w:val="00493C18"/>
    <w:rsid w:val="004A49D2"/>
    <w:rsid w:val="004A600C"/>
    <w:rsid w:val="004A6118"/>
    <w:rsid w:val="004C478D"/>
    <w:rsid w:val="004C5354"/>
    <w:rsid w:val="004C566B"/>
    <w:rsid w:val="004C5F00"/>
    <w:rsid w:val="004E2C26"/>
    <w:rsid w:val="004F004D"/>
    <w:rsid w:val="004F36FF"/>
    <w:rsid w:val="004F744C"/>
    <w:rsid w:val="005125A8"/>
    <w:rsid w:val="00521AE8"/>
    <w:rsid w:val="005267D5"/>
    <w:rsid w:val="00527180"/>
    <w:rsid w:val="005351D9"/>
    <w:rsid w:val="0054201E"/>
    <w:rsid w:val="005524FB"/>
    <w:rsid w:val="00555291"/>
    <w:rsid w:val="00556EC9"/>
    <w:rsid w:val="00561198"/>
    <w:rsid w:val="0056429C"/>
    <w:rsid w:val="00564A1E"/>
    <w:rsid w:val="00565B72"/>
    <w:rsid w:val="00566AD1"/>
    <w:rsid w:val="00572224"/>
    <w:rsid w:val="0057362D"/>
    <w:rsid w:val="00573C75"/>
    <w:rsid w:val="00574AF8"/>
    <w:rsid w:val="00575791"/>
    <w:rsid w:val="00583EDE"/>
    <w:rsid w:val="005938C3"/>
    <w:rsid w:val="005A6079"/>
    <w:rsid w:val="005A6968"/>
    <w:rsid w:val="005B054F"/>
    <w:rsid w:val="005B60A9"/>
    <w:rsid w:val="005C3753"/>
    <w:rsid w:val="005C5974"/>
    <w:rsid w:val="005D7D30"/>
    <w:rsid w:val="005E35A8"/>
    <w:rsid w:val="005E4698"/>
    <w:rsid w:val="00610539"/>
    <w:rsid w:val="00612881"/>
    <w:rsid w:val="00613969"/>
    <w:rsid w:val="00625C35"/>
    <w:rsid w:val="00637461"/>
    <w:rsid w:val="00640828"/>
    <w:rsid w:val="006427BC"/>
    <w:rsid w:val="006540FA"/>
    <w:rsid w:val="00654E7B"/>
    <w:rsid w:val="00655EAF"/>
    <w:rsid w:val="00656313"/>
    <w:rsid w:val="006565F4"/>
    <w:rsid w:val="006674FC"/>
    <w:rsid w:val="00684EEA"/>
    <w:rsid w:val="00696423"/>
    <w:rsid w:val="0069689B"/>
    <w:rsid w:val="006A1551"/>
    <w:rsid w:val="006A700A"/>
    <w:rsid w:val="006B5FF5"/>
    <w:rsid w:val="006C2FE2"/>
    <w:rsid w:val="006C47D6"/>
    <w:rsid w:val="006C51DC"/>
    <w:rsid w:val="006F25EF"/>
    <w:rsid w:val="006F30AF"/>
    <w:rsid w:val="006F4C55"/>
    <w:rsid w:val="006F58A2"/>
    <w:rsid w:val="0070074B"/>
    <w:rsid w:val="00700F8A"/>
    <w:rsid w:val="00701759"/>
    <w:rsid w:val="00705C15"/>
    <w:rsid w:val="00713E41"/>
    <w:rsid w:val="0071600E"/>
    <w:rsid w:val="007172CA"/>
    <w:rsid w:val="007208D1"/>
    <w:rsid w:val="00732C42"/>
    <w:rsid w:val="007334A1"/>
    <w:rsid w:val="007352D8"/>
    <w:rsid w:val="007376C3"/>
    <w:rsid w:val="007378FD"/>
    <w:rsid w:val="00744123"/>
    <w:rsid w:val="00747288"/>
    <w:rsid w:val="00747DD3"/>
    <w:rsid w:val="007524C6"/>
    <w:rsid w:val="007549C8"/>
    <w:rsid w:val="00754A0B"/>
    <w:rsid w:val="007658E1"/>
    <w:rsid w:val="00766D14"/>
    <w:rsid w:val="00767A0F"/>
    <w:rsid w:val="00770F28"/>
    <w:rsid w:val="00777C27"/>
    <w:rsid w:val="00793532"/>
    <w:rsid w:val="00793EC1"/>
    <w:rsid w:val="007A0258"/>
    <w:rsid w:val="007A05F6"/>
    <w:rsid w:val="007B6F4A"/>
    <w:rsid w:val="007C2FC5"/>
    <w:rsid w:val="007C5FA6"/>
    <w:rsid w:val="007C6E88"/>
    <w:rsid w:val="007D0573"/>
    <w:rsid w:val="007D1515"/>
    <w:rsid w:val="007D3A69"/>
    <w:rsid w:val="007E1C47"/>
    <w:rsid w:val="007E337A"/>
    <w:rsid w:val="007E5C70"/>
    <w:rsid w:val="007F2FC7"/>
    <w:rsid w:val="007F2FF5"/>
    <w:rsid w:val="007F3F08"/>
    <w:rsid w:val="00804CC6"/>
    <w:rsid w:val="0081016A"/>
    <w:rsid w:val="0081134E"/>
    <w:rsid w:val="00817190"/>
    <w:rsid w:val="0081755B"/>
    <w:rsid w:val="0082080C"/>
    <w:rsid w:val="00820EE5"/>
    <w:rsid w:val="008260E2"/>
    <w:rsid w:val="008309F3"/>
    <w:rsid w:val="00831486"/>
    <w:rsid w:val="008322BD"/>
    <w:rsid w:val="00833E0A"/>
    <w:rsid w:val="00834F73"/>
    <w:rsid w:val="00837533"/>
    <w:rsid w:val="00851B90"/>
    <w:rsid w:val="008554A6"/>
    <w:rsid w:val="00860184"/>
    <w:rsid w:val="008603E1"/>
    <w:rsid w:val="0086100A"/>
    <w:rsid w:val="00864CF8"/>
    <w:rsid w:val="00872819"/>
    <w:rsid w:val="00872C14"/>
    <w:rsid w:val="00874914"/>
    <w:rsid w:val="00877F2B"/>
    <w:rsid w:val="00882401"/>
    <w:rsid w:val="00891422"/>
    <w:rsid w:val="00892E1A"/>
    <w:rsid w:val="0089451E"/>
    <w:rsid w:val="00896490"/>
    <w:rsid w:val="008A3F29"/>
    <w:rsid w:val="008B660A"/>
    <w:rsid w:val="008B67CD"/>
    <w:rsid w:val="008C01DA"/>
    <w:rsid w:val="008C7583"/>
    <w:rsid w:val="008C7BC6"/>
    <w:rsid w:val="008D3FF6"/>
    <w:rsid w:val="008D6D6E"/>
    <w:rsid w:val="008E4398"/>
    <w:rsid w:val="008F5611"/>
    <w:rsid w:val="008F78E9"/>
    <w:rsid w:val="00900016"/>
    <w:rsid w:val="009054A5"/>
    <w:rsid w:val="00905F97"/>
    <w:rsid w:val="009064F8"/>
    <w:rsid w:val="00911989"/>
    <w:rsid w:val="00912675"/>
    <w:rsid w:val="00913409"/>
    <w:rsid w:val="009179F9"/>
    <w:rsid w:val="009325EF"/>
    <w:rsid w:val="00933E5E"/>
    <w:rsid w:val="00934640"/>
    <w:rsid w:val="00935218"/>
    <w:rsid w:val="00936D2F"/>
    <w:rsid w:val="009403F3"/>
    <w:rsid w:val="0094178E"/>
    <w:rsid w:val="0094418D"/>
    <w:rsid w:val="009555B7"/>
    <w:rsid w:val="009567AA"/>
    <w:rsid w:val="00960A6A"/>
    <w:rsid w:val="00967374"/>
    <w:rsid w:val="0098204F"/>
    <w:rsid w:val="009861AF"/>
    <w:rsid w:val="009A0930"/>
    <w:rsid w:val="009A343A"/>
    <w:rsid w:val="009B2F23"/>
    <w:rsid w:val="009B57B3"/>
    <w:rsid w:val="009C5B92"/>
    <w:rsid w:val="009C743E"/>
    <w:rsid w:val="009C7C8F"/>
    <w:rsid w:val="009D2920"/>
    <w:rsid w:val="009D5AEB"/>
    <w:rsid w:val="009E1E3F"/>
    <w:rsid w:val="009F0E33"/>
    <w:rsid w:val="00A030CE"/>
    <w:rsid w:val="00A149DF"/>
    <w:rsid w:val="00A1755C"/>
    <w:rsid w:val="00A21B90"/>
    <w:rsid w:val="00A240CA"/>
    <w:rsid w:val="00A3031B"/>
    <w:rsid w:val="00A36309"/>
    <w:rsid w:val="00A41123"/>
    <w:rsid w:val="00A41805"/>
    <w:rsid w:val="00A42DCD"/>
    <w:rsid w:val="00A52AFB"/>
    <w:rsid w:val="00A548CB"/>
    <w:rsid w:val="00A5521C"/>
    <w:rsid w:val="00A60785"/>
    <w:rsid w:val="00A643E7"/>
    <w:rsid w:val="00A70A7E"/>
    <w:rsid w:val="00A73C38"/>
    <w:rsid w:val="00A74447"/>
    <w:rsid w:val="00A75BBA"/>
    <w:rsid w:val="00A9120B"/>
    <w:rsid w:val="00A96DF8"/>
    <w:rsid w:val="00AA70BF"/>
    <w:rsid w:val="00AB670D"/>
    <w:rsid w:val="00AC1D9D"/>
    <w:rsid w:val="00AE3785"/>
    <w:rsid w:val="00AE4535"/>
    <w:rsid w:val="00AF03C5"/>
    <w:rsid w:val="00AF308D"/>
    <w:rsid w:val="00B000D8"/>
    <w:rsid w:val="00B00F75"/>
    <w:rsid w:val="00B06E18"/>
    <w:rsid w:val="00B10250"/>
    <w:rsid w:val="00B145B6"/>
    <w:rsid w:val="00B255B0"/>
    <w:rsid w:val="00B279EB"/>
    <w:rsid w:val="00B5036A"/>
    <w:rsid w:val="00B50C81"/>
    <w:rsid w:val="00B557F8"/>
    <w:rsid w:val="00B566D2"/>
    <w:rsid w:val="00B62207"/>
    <w:rsid w:val="00B815FC"/>
    <w:rsid w:val="00B83F25"/>
    <w:rsid w:val="00B9218C"/>
    <w:rsid w:val="00B93FBC"/>
    <w:rsid w:val="00B9727E"/>
    <w:rsid w:val="00BA01B8"/>
    <w:rsid w:val="00BA146A"/>
    <w:rsid w:val="00BA7DA0"/>
    <w:rsid w:val="00BB04F1"/>
    <w:rsid w:val="00BB062D"/>
    <w:rsid w:val="00BB2EE4"/>
    <w:rsid w:val="00BB541D"/>
    <w:rsid w:val="00BC2108"/>
    <w:rsid w:val="00BC4BD4"/>
    <w:rsid w:val="00BD0E9E"/>
    <w:rsid w:val="00BD1BEC"/>
    <w:rsid w:val="00BD32FF"/>
    <w:rsid w:val="00BE6486"/>
    <w:rsid w:val="00BF347B"/>
    <w:rsid w:val="00BF4345"/>
    <w:rsid w:val="00BF43A9"/>
    <w:rsid w:val="00BF5B9D"/>
    <w:rsid w:val="00BF5D39"/>
    <w:rsid w:val="00C0125E"/>
    <w:rsid w:val="00C02092"/>
    <w:rsid w:val="00C142A8"/>
    <w:rsid w:val="00C24D91"/>
    <w:rsid w:val="00C27B89"/>
    <w:rsid w:val="00C356E3"/>
    <w:rsid w:val="00C50A36"/>
    <w:rsid w:val="00C51B5D"/>
    <w:rsid w:val="00C51F0F"/>
    <w:rsid w:val="00C5241F"/>
    <w:rsid w:val="00C53F14"/>
    <w:rsid w:val="00C56DA0"/>
    <w:rsid w:val="00C600CF"/>
    <w:rsid w:val="00C6084F"/>
    <w:rsid w:val="00C62A66"/>
    <w:rsid w:val="00C71458"/>
    <w:rsid w:val="00C73D96"/>
    <w:rsid w:val="00C76FBD"/>
    <w:rsid w:val="00C77613"/>
    <w:rsid w:val="00C779CC"/>
    <w:rsid w:val="00C828E7"/>
    <w:rsid w:val="00C83843"/>
    <w:rsid w:val="00C84196"/>
    <w:rsid w:val="00C86719"/>
    <w:rsid w:val="00C921DD"/>
    <w:rsid w:val="00C93749"/>
    <w:rsid w:val="00CA6391"/>
    <w:rsid w:val="00CC34BD"/>
    <w:rsid w:val="00CC5366"/>
    <w:rsid w:val="00CC68A0"/>
    <w:rsid w:val="00CD20C6"/>
    <w:rsid w:val="00CD3BC1"/>
    <w:rsid w:val="00CD65D0"/>
    <w:rsid w:val="00CE13EA"/>
    <w:rsid w:val="00CE161A"/>
    <w:rsid w:val="00CE2B36"/>
    <w:rsid w:val="00CE3171"/>
    <w:rsid w:val="00CF1601"/>
    <w:rsid w:val="00D0172F"/>
    <w:rsid w:val="00D053F4"/>
    <w:rsid w:val="00D068A7"/>
    <w:rsid w:val="00D101E4"/>
    <w:rsid w:val="00D1564B"/>
    <w:rsid w:val="00D17476"/>
    <w:rsid w:val="00D17944"/>
    <w:rsid w:val="00D32086"/>
    <w:rsid w:val="00D3524C"/>
    <w:rsid w:val="00D37A3F"/>
    <w:rsid w:val="00D437C9"/>
    <w:rsid w:val="00D4431D"/>
    <w:rsid w:val="00D46546"/>
    <w:rsid w:val="00D4667A"/>
    <w:rsid w:val="00D559AF"/>
    <w:rsid w:val="00D63A1C"/>
    <w:rsid w:val="00D64BDC"/>
    <w:rsid w:val="00D7516F"/>
    <w:rsid w:val="00D82013"/>
    <w:rsid w:val="00D8579F"/>
    <w:rsid w:val="00D872B0"/>
    <w:rsid w:val="00D91B07"/>
    <w:rsid w:val="00D956C4"/>
    <w:rsid w:val="00D95F8E"/>
    <w:rsid w:val="00D97C28"/>
    <w:rsid w:val="00DA0590"/>
    <w:rsid w:val="00DA6E1B"/>
    <w:rsid w:val="00DB7BEA"/>
    <w:rsid w:val="00DC1739"/>
    <w:rsid w:val="00DC1788"/>
    <w:rsid w:val="00DC59C8"/>
    <w:rsid w:val="00DD1330"/>
    <w:rsid w:val="00DE1F4E"/>
    <w:rsid w:val="00DE2EE9"/>
    <w:rsid w:val="00DE319C"/>
    <w:rsid w:val="00DE3719"/>
    <w:rsid w:val="00DF0CA8"/>
    <w:rsid w:val="00DF2B48"/>
    <w:rsid w:val="00DF49A7"/>
    <w:rsid w:val="00E00A24"/>
    <w:rsid w:val="00E07EE2"/>
    <w:rsid w:val="00E07FD1"/>
    <w:rsid w:val="00E14358"/>
    <w:rsid w:val="00E176D8"/>
    <w:rsid w:val="00E21A34"/>
    <w:rsid w:val="00E24573"/>
    <w:rsid w:val="00E25308"/>
    <w:rsid w:val="00E25E1E"/>
    <w:rsid w:val="00E26221"/>
    <w:rsid w:val="00E265C5"/>
    <w:rsid w:val="00E27EE7"/>
    <w:rsid w:val="00E35404"/>
    <w:rsid w:val="00E44667"/>
    <w:rsid w:val="00E45109"/>
    <w:rsid w:val="00E47B7A"/>
    <w:rsid w:val="00E56A44"/>
    <w:rsid w:val="00E60269"/>
    <w:rsid w:val="00E6329C"/>
    <w:rsid w:val="00E70C73"/>
    <w:rsid w:val="00E71990"/>
    <w:rsid w:val="00E77932"/>
    <w:rsid w:val="00E85A73"/>
    <w:rsid w:val="00E97830"/>
    <w:rsid w:val="00EA38F9"/>
    <w:rsid w:val="00EA43A8"/>
    <w:rsid w:val="00EA5D10"/>
    <w:rsid w:val="00EB0C35"/>
    <w:rsid w:val="00EB1C9C"/>
    <w:rsid w:val="00EC34EC"/>
    <w:rsid w:val="00EC5F61"/>
    <w:rsid w:val="00EC6AD4"/>
    <w:rsid w:val="00ED0D39"/>
    <w:rsid w:val="00ED1DD7"/>
    <w:rsid w:val="00EE643C"/>
    <w:rsid w:val="00EF0683"/>
    <w:rsid w:val="00EF69D2"/>
    <w:rsid w:val="00EF766E"/>
    <w:rsid w:val="00EF7CD3"/>
    <w:rsid w:val="00F0070C"/>
    <w:rsid w:val="00F00EB7"/>
    <w:rsid w:val="00F04D37"/>
    <w:rsid w:val="00F07309"/>
    <w:rsid w:val="00F10905"/>
    <w:rsid w:val="00F14B8E"/>
    <w:rsid w:val="00F15BEF"/>
    <w:rsid w:val="00F200C3"/>
    <w:rsid w:val="00F20E68"/>
    <w:rsid w:val="00F36AB6"/>
    <w:rsid w:val="00F37A09"/>
    <w:rsid w:val="00F409CE"/>
    <w:rsid w:val="00F40EFF"/>
    <w:rsid w:val="00F42FDC"/>
    <w:rsid w:val="00F4379D"/>
    <w:rsid w:val="00F50D2D"/>
    <w:rsid w:val="00F56C8B"/>
    <w:rsid w:val="00F62249"/>
    <w:rsid w:val="00F66810"/>
    <w:rsid w:val="00F670D9"/>
    <w:rsid w:val="00F82A9C"/>
    <w:rsid w:val="00F840E8"/>
    <w:rsid w:val="00F846D9"/>
    <w:rsid w:val="00F84DF4"/>
    <w:rsid w:val="00F85C97"/>
    <w:rsid w:val="00F91E9E"/>
    <w:rsid w:val="00F96CB1"/>
    <w:rsid w:val="00FB37D2"/>
    <w:rsid w:val="00FB4A43"/>
    <w:rsid w:val="00FC4EFB"/>
    <w:rsid w:val="00FC7043"/>
    <w:rsid w:val="00FC7E0C"/>
    <w:rsid w:val="00FD068D"/>
    <w:rsid w:val="00FD4F28"/>
    <w:rsid w:val="00FD6925"/>
    <w:rsid w:val="00FD7C76"/>
    <w:rsid w:val="00FE652C"/>
    <w:rsid w:val="00FE6784"/>
    <w:rsid w:val="00FF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816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reflex3-block">
    <w:name w:val="reflex3-block"/>
    <w:basedOn w:val="DefaultParagraphFont"/>
    <w:rsid w:val="002B57DF"/>
  </w:style>
  <w:style w:type="character" w:styleId="CommentReference">
    <w:name w:val="annotation reference"/>
    <w:basedOn w:val="DefaultParagraphFont"/>
    <w:uiPriority w:val="99"/>
    <w:semiHidden/>
    <w:unhideWhenUsed/>
    <w:rsid w:val="002407B5"/>
    <w:rPr>
      <w:sz w:val="16"/>
      <w:szCs w:val="16"/>
    </w:rPr>
  </w:style>
  <w:style w:type="paragraph" w:styleId="CommentText">
    <w:name w:val="annotation text"/>
    <w:basedOn w:val="Normal"/>
    <w:link w:val="CommentTextChar"/>
    <w:uiPriority w:val="99"/>
    <w:unhideWhenUsed/>
    <w:rsid w:val="002407B5"/>
    <w:rPr>
      <w:sz w:val="20"/>
    </w:rPr>
  </w:style>
  <w:style w:type="character" w:customStyle="1" w:styleId="CommentTextChar">
    <w:name w:val="Comment Text Char"/>
    <w:basedOn w:val="DefaultParagraphFont"/>
    <w:link w:val="CommentText"/>
    <w:uiPriority w:val="99"/>
    <w:rsid w:val="002407B5"/>
  </w:style>
  <w:style w:type="paragraph" w:styleId="CommentSubject">
    <w:name w:val="annotation subject"/>
    <w:basedOn w:val="CommentText"/>
    <w:next w:val="CommentText"/>
    <w:link w:val="CommentSubjectChar"/>
    <w:uiPriority w:val="99"/>
    <w:semiHidden/>
    <w:unhideWhenUsed/>
    <w:rsid w:val="000A3A7F"/>
    <w:rPr>
      <w:b/>
      <w:bCs/>
    </w:rPr>
  </w:style>
  <w:style w:type="character" w:customStyle="1" w:styleId="CommentSubjectChar">
    <w:name w:val="Comment Subject Char"/>
    <w:basedOn w:val="CommentTextChar"/>
    <w:link w:val="CommentSubject"/>
    <w:uiPriority w:val="99"/>
    <w:semiHidden/>
    <w:rsid w:val="000A3A7F"/>
    <w:rPr>
      <w:b/>
      <w:bCs/>
    </w:rPr>
  </w:style>
  <w:style w:type="character" w:styleId="Hyperlink">
    <w:name w:val="Hyperlink"/>
    <w:basedOn w:val="DefaultParagraphFont"/>
    <w:uiPriority w:val="99"/>
    <w:unhideWhenUsed/>
    <w:rsid w:val="002F61A2"/>
    <w:rPr>
      <w:color w:val="660000"/>
      <w:u w:val="none"/>
    </w:rPr>
  </w:style>
  <w:style w:type="character" w:customStyle="1" w:styleId="reflex">
    <w:name w:val="reflex"/>
    <w:basedOn w:val="DefaultParagraphFont"/>
    <w:rsid w:val="0098204F"/>
  </w:style>
  <w:style w:type="character" w:customStyle="1" w:styleId="fontstyle01">
    <w:name w:val="fontstyle01"/>
    <w:basedOn w:val="DefaultParagraphFont"/>
    <w:rsid w:val="0025122A"/>
    <w:rPr>
      <w:rFonts w:ascii="Times-Roman" w:hAnsi="Times-Roman" w:hint="default"/>
      <w:b w:val="0"/>
      <w:bCs w:val="0"/>
      <w:i w:val="0"/>
      <w:iCs w:val="0"/>
      <w:color w:val="000000"/>
      <w:sz w:val="20"/>
      <w:szCs w:val="20"/>
    </w:rPr>
  </w:style>
  <w:style w:type="character" w:customStyle="1" w:styleId="reflex3-missing">
    <w:name w:val="reflex3-missing"/>
    <w:basedOn w:val="DefaultParagraphFont"/>
    <w:rsid w:val="00C27B89"/>
  </w:style>
  <w:style w:type="paragraph" w:customStyle="1" w:styleId="SCCLsocOtherPartyRoleSeparator">
    <w:name w:val="SCC.Lsoc.OtherPartyRoleSeparator"/>
    <w:basedOn w:val="Normal"/>
    <w:next w:val="Normal"/>
    <w:link w:val="SCCLsocOtherPartyRoleSeparatorChar"/>
    <w:rsid w:val="00F04D37"/>
    <w:pPr>
      <w:spacing w:after="480"/>
    </w:pPr>
    <w:rPr>
      <w:rFonts w:eastAsiaTheme="minorHAnsi" w:cstheme="minorBidi"/>
      <w:szCs w:val="22"/>
      <w:lang w:eastAsia="en-US"/>
    </w:rPr>
  </w:style>
  <w:style w:type="paragraph" w:customStyle="1" w:styleId="SCCCoram">
    <w:name w:val="SCC.Coram"/>
    <w:basedOn w:val="Normal"/>
    <w:next w:val="Normal"/>
    <w:link w:val="SCCCoramChar"/>
    <w:rsid w:val="00F04D37"/>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F04D37"/>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F04D37"/>
    <w:rPr>
      <w:rFonts w:eastAsiaTheme="minorHAnsi" w:cstheme="minorBidi"/>
      <w:sz w:val="24"/>
      <w:szCs w:val="22"/>
      <w:lang w:eastAsia="en-US"/>
    </w:rPr>
  </w:style>
  <w:style w:type="character" w:customStyle="1" w:styleId="SCCBanSummaryChar">
    <w:name w:val="SCC.BanSummary Char"/>
    <w:basedOn w:val="DefaultParagraphFont"/>
    <w:link w:val="SCCBanSummary"/>
    <w:rsid w:val="00F04D37"/>
    <w:rPr>
      <w:b/>
      <w:sz w:val="24"/>
    </w:rPr>
  </w:style>
  <w:style w:type="table" w:styleId="TableGrid">
    <w:name w:val="Table Grid"/>
    <w:basedOn w:val="TableNormal"/>
    <w:uiPriority w:val="59"/>
    <w:rsid w:val="00F04D37"/>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F04D37"/>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F04D37"/>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F04D37"/>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F04D37"/>
    <w:pPr>
      <w:numPr>
        <w:numId w:val="6"/>
      </w:numPr>
      <w:tabs>
        <w:tab w:val="clear" w:pos="1152"/>
        <w:tab w:val="left" w:pos="1166"/>
      </w:tabs>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F04D37"/>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F04D3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F04D37"/>
    <w:pPr>
      <w:numPr>
        <w:ilvl w:val="2"/>
      </w:numPr>
      <w:outlineLvl w:val="2"/>
    </w:pPr>
  </w:style>
  <w:style w:type="paragraph" w:customStyle="1" w:styleId="Title4LevelTitre4Niveau">
    <w:name w:val="Title 4 Level / Titre 4 Niveau"/>
    <w:basedOn w:val="Title3LevelTitre3Niveau"/>
    <w:next w:val="ParaNoNdepar-AltN"/>
    <w:uiPriority w:val="4"/>
    <w:qFormat/>
    <w:rsid w:val="00F04D37"/>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F04D37"/>
    <w:pPr>
      <w:numPr>
        <w:ilvl w:val="4"/>
      </w:numPr>
      <w:outlineLvl w:val="4"/>
    </w:pPr>
  </w:style>
  <w:style w:type="paragraph" w:styleId="TOC1">
    <w:name w:val="toc 1"/>
    <w:basedOn w:val="Normal"/>
    <w:next w:val="Normal"/>
    <w:autoRedefine/>
    <w:uiPriority w:val="39"/>
    <w:unhideWhenUsed/>
    <w:rsid w:val="00F04D37"/>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F04D37"/>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F04D37"/>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F04D37"/>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F04D37"/>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F04D37"/>
    <w:pPr>
      <w:tabs>
        <w:tab w:val="left" w:pos="2160"/>
        <w:tab w:val="right" w:leader="dot" w:pos="8270"/>
      </w:tabs>
      <w:spacing w:after="100"/>
      <w:ind w:left="1800"/>
    </w:pPr>
    <w:rPr>
      <w:noProof/>
    </w:rPr>
  </w:style>
  <w:style w:type="table" w:customStyle="1" w:styleId="TableGrid1">
    <w:name w:val="Table Grid1"/>
    <w:basedOn w:val="TableNormal"/>
    <w:uiPriority w:val="59"/>
    <w:rsid w:val="00F04D3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F04D3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F04D37"/>
    <w:pPr>
      <w:numPr>
        <w:ilvl w:val="5"/>
      </w:numPr>
      <w:outlineLvl w:val="5"/>
    </w:pPr>
    <w:rPr>
      <w:i/>
      <w:u w:val="none"/>
    </w:rPr>
  </w:style>
  <w:style w:type="paragraph" w:styleId="FootnoteText">
    <w:name w:val="footnote text"/>
    <w:basedOn w:val="Normal"/>
    <w:link w:val="FootnoteTextChar"/>
    <w:uiPriority w:val="99"/>
    <w:unhideWhenUsed/>
    <w:rsid w:val="00F04D3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F04D37"/>
  </w:style>
  <w:style w:type="character" w:styleId="FootnoteReference">
    <w:name w:val="footnote reference"/>
    <w:basedOn w:val="DefaultParagraphFont"/>
    <w:uiPriority w:val="99"/>
    <w:semiHidden/>
    <w:unhideWhenUsed/>
    <w:rsid w:val="00F04D37"/>
    <w:rPr>
      <w:vertAlign w:val="superscript"/>
    </w:rPr>
  </w:style>
  <w:style w:type="paragraph" w:styleId="ListParagraph">
    <w:name w:val="List Paragraph"/>
    <w:basedOn w:val="Normal"/>
    <w:uiPriority w:val="34"/>
    <w:qFormat/>
    <w:rsid w:val="00F04D37"/>
    <w:pPr>
      <w:ind w:left="720"/>
      <w:contextualSpacing/>
    </w:pPr>
    <w:rPr>
      <w:rFonts w:eastAsiaTheme="minorHAnsi" w:cstheme="minorBidi"/>
      <w:szCs w:val="22"/>
      <w:lang w:val="en-US" w:eastAsia="en-US"/>
    </w:rPr>
  </w:style>
  <w:style w:type="character" w:customStyle="1" w:styleId="solexhl">
    <w:name w:val="solexhl"/>
    <w:basedOn w:val="DefaultParagraphFont"/>
    <w:rsid w:val="00F04D37"/>
  </w:style>
  <w:style w:type="character" w:styleId="Emphasis">
    <w:name w:val="Emphasis"/>
    <w:basedOn w:val="DefaultParagraphFont"/>
    <w:uiPriority w:val="20"/>
    <w:qFormat/>
    <w:rsid w:val="00F04D37"/>
    <w:rPr>
      <w:i/>
      <w:iCs/>
    </w:rPr>
  </w:style>
  <w:style w:type="paragraph" w:styleId="Revision">
    <w:name w:val="Revision"/>
    <w:hidden/>
    <w:uiPriority w:val="99"/>
    <w:semiHidden/>
    <w:rsid w:val="00F04D37"/>
    <w:rPr>
      <w:sz w:val="24"/>
      <w:szCs w:val="24"/>
    </w:rPr>
  </w:style>
  <w:style w:type="character" w:styleId="SubtleEmphasis">
    <w:name w:val="Subtle Emphasis"/>
    <w:basedOn w:val="DefaultParagraphFont"/>
    <w:uiPriority w:val="19"/>
    <w:rsid w:val="00F04D37"/>
    <w:rPr>
      <w:i/>
      <w:iCs/>
      <w:color w:val="808080" w:themeColor="text1" w:themeTint="7F"/>
    </w:rPr>
  </w:style>
  <w:style w:type="character" w:customStyle="1" w:styleId="ParaNoNdepar-AltNChar">
    <w:name w:val="Para. No. / Nº de par. - Alt N Char"/>
    <w:basedOn w:val="DefaultParagraphFont"/>
    <w:link w:val="ParaNoNdepar-AltN"/>
    <w:rsid w:val="00F04D37"/>
    <w:rPr>
      <w:rFonts w:eastAsiaTheme="minorEastAsia" w:cstheme="minorBidi"/>
      <w:sz w:val="24"/>
      <w:szCs w:val="22"/>
      <w:lang w:eastAsia="en-US"/>
    </w:rPr>
  </w:style>
  <w:style w:type="character" w:customStyle="1" w:styleId="reflex2-link">
    <w:name w:val="reflex2-link"/>
    <w:basedOn w:val="DefaultParagraphFont"/>
    <w:rsid w:val="00F04D37"/>
  </w:style>
  <w:style w:type="paragraph" w:customStyle="1" w:styleId="citation-altc0">
    <w:name w:val="citation-altc"/>
    <w:basedOn w:val="Normal"/>
    <w:rsid w:val="00F04D37"/>
    <w:pPr>
      <w:spacing w:before="100" w:beforeAutospacing="1" w:after="100" w:afterAutospacing="1"/>
    </w:pPr>
    <w:rPr>
      <w:szCs w:val="24"/>
    </w:rPr>
  </w:style>
  <w:style w:type="table" w:customStyle="1" w:styleId="TableGrid2">
    <w:name w:val="Table Grid2"/>
    <w:basedOn w:val="TableNormal"/>
    <w:next w:val="TableGrid"/>
    <w:uiPriority w:val="59"/>
    <w:rsid w:val="00F04D3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lii.ca/t/j8j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103</Pages>
  <Words>25129</Words>
  <Characters>129931</Characters>
  <Application>Microsoft Office Word</Application>
  <DocSecurity>0</DocSecurity>
  <Lines>1082</Lines>
  <Paragraphs>309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154751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2022-07-07T22:19:00Z</dcterms:created>
  <dcterms:modified xsi:type="dcterms:W3CDTF">2022-07-07T22:34:00Z</dcterms:modified>
</cp:coreProperties>
</file>