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093189" w:rsidRPr="00093189" w:rsidTr="00853961">
        <w:trPr>
          <w:trHeight w:val="2103"/>
        </w:trPr>
        <w:tc>
          <w:tcPr>
            <w:tcW w:w="5000" w:type="pct"/>
            <w:gridSpan w:val="4"/>
          </w:tcPr>
          <w:p w:rsidR="00093189" w:rsidRPr="00093189" w:rsidRDefault="00093189" w:rsidP="00093189">
            <w:pPr>
              <w:jc w:val="center"/>
              <w:rPr>
                <w:b/>
              </w:rPr>
            </w:pPr>
            <w:r w:rsidRPr="00093189">
              <w:rPr>
                <w:b/>
                <w:noProof/>
              </w:rPr>
              <w:drawing>
                <wp:inline distT="0" distB="0" distL="0" distR="0" wp14:anchorId="20644766" wp14:editId="4213DD39">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093189" w:rsidRPr="00093189" w:rsidRDefault="00093189" w:rsidP="00093189">
            <w:pPr>
              <w:spacing w:before="120" w:after="100" w:afterAutospacing="1"/>
              <w:jc w:val="center"/>
            </w:pPr>
            <w:r w:rsidRPr="00093189">
              <w:rPr>
                <w:b/>
              </w:rPr>
              <w:t>SUPREME COURT OF CANADA</w:t>
            </w:r>
          </w:p>
        </w:tc>
      </w:tr>
      <w:tr w:rsidR="00093189" w:rsidRPr="00093189" w:rsidTr="00093189">
        <w:tblPrEx>
          <w:tblCellMar>
            <w:top w:w="58" w:type="dxa"/>
            <w:left w:w="58" w:type="dxa"/>
            <w:bottom w:w="58" w:type="dxa"/>
            <w:right w:w="58" w:type="dxa"/>
          </w:tblCellMar>
        </w:tblPrEx>
        <w:trPr>
          <w:cantSplit/>
        </w:trPr>
        <w:tc>
          <w:tcPr>
            <w:tcW w:w="2078" w:type="pct"/>
            <w:gridSpan w:val="2"/>
          </w:tcPr>
          <w:p w:rsidR="00093189" w:rsidRPr="00093189" w:rsidRDefault="00093189" w:rsidP="00093189">
            <w:pPr>
              <w:rPr>
                <w:b/>
                <w:smallCaps/>
              </w:rPr>
            </w:pPr>
          </w:p>
          <w:p w:rsidR="00093189" w:rsidRPr="00093189" w:rsidRDefault="00093189" w:rsidP="00093189">
            <w:pPr>
              <w:rPr>
                <w:smallCaps/>
              </w:rPr>
            </w:pPr>
            <w:r w:rsidRPr="00093189">
              <w:rPr>
                <w:b/>
                <w:smallCaps/>
              </w:rPr>
              <w:t>Citation:</w:t>
            </w:r>
            <w:r w:rsidRPr="00093189">
              <w:t xml:space="preserve"> R. </w:t>
            </w:r>
            <w:r w:rsidRPr="00093189">
              <w:rPr>
                <w:i/>
              </w:rPr>
              <w:t>v.</w:t>
            </w:r>
            <w:r w:rsidRPr="00093189">
              <w:t xml:space="preserve"> Sundman,</w:t>
            </w:r>
            <w:r w:rsidRPr="00093189">
              <w:rPr>
                <w:b/>
              </w:rPr>
              <w:t xml:space="preserve"> </w:t>
            </w:r>
            <w:r w:rsidRPr="00093189">
              <w:t>2022 SCC 31</w:t>
            </w:r>
          </w:p>
        </w:tc>
        <w:tc>
          <w:tcPr>
            <w:tcW w:w="966" w:type="pct"/>
          </w:tcPr>
          <w:p w:rsidR="00093189" w:rsidRPr="00093189" w:rsidRDefault="00093189" w:rsidP="00093189"/>
        </w:tc>
        <w:tc>
          <w:tcPr>
            <w:tcW w:w="1956" w:type="pct"/>
          </w:tcPr>
          <w:p w:rsidR="00093189" w:rsidRPr="00093189" w:rsidRDefault="00093189" w:rsidP="00093189">
            <w:pPr>
              <w:rPr>
                <w:b/>
                <w:smallCaps/>
              </w:rPr>
            </w:pPr>
          </w:p>
          <w:p w:rsidR="00093189" w:rsidRPr="00093189" w:rsidRDefault="00093189" w:rsidP="00093189">
            <w:pPr>
              <w:jc w:val="both"/>
            </w:pPr>
            <w:r w:rsidRPr="00093189">
              <w:rPr>
                <w:b/>
                <w:smallCaps/>
              </w:rPr>
              <w:t>Appeal Heard:</w:t>
            </w:r>
            <w:r w:rsidRPr="00093189">
              <w:t xml:space="preserve"> December 9, 2021</w:t>
            </w:r>
          </w:p>
          <w:p w:rsidR="00093189" w:rsidRPr="00093189" w:rsidRDefault="00093189" w:rsidP="00093189">
            <w:r w:rsidRPr="00093189">
              <w:rPr>
                <w:b/>
                <w:smallCaps/>
              </w:rPr>
              <w:t>Judgment Rendered:</w:t>
            </w:r>
            <w:r w:rsidRPr="00093189">
              <w:t xml:space="preserve"> July 21, 2022</w:t>
            </w:r>
          </w:p>
          <w:p w:rsidR="00093189" w:rsidRPr="00093189" w:rsidRDefault="00093189" w:rsidP="00093189">
            <w:r w:rsidRPr="00093189">
              <w:rPr>
                <w:b/>
                <w:smallCaps/>
              </w:rPr>
              <w:t>Docket:</w:t>
            </w:r>
            <w:r w:rsidRPr="00093189">
              <w:t xml:space="preserve"> 39569</w:t>
            </w:r>
          </w:p>
        </w:tc>
      </w:tr>
      <w:tr w:rsidR="00093189" w:rsidRPr="00093189" w:rsidTr="00853961">
        <w:tblPrEx>
          <w:tblCellMar>
            <w:top w:w="58" w:type="dxa"/>
            <w:left w:w="58" w:type="dxa"/>
            <w:bottom w:w="58" w:type="dxa"/>
            <w:right w:w="58" w:type="dxa"/>
          </w:tblCellMar>
        </w:tblPrEx>
        <w:trPr>
          <w:cantSplit/>
        </w:trPr>
        <w:tc>
          <w:tcPr>
            <w:tcW w:w="5000" w:type="pct"/>
            <w:gridSpan w:val="4"/>
          </w:tcPr>
          <w:p w:rsidR="00093189" w:rsidRPr="00093189" w:rsidRDefault="00093189" w:rsidP="00093189"/>
          <w:p w:rsidR="00093189" w:rsidRPr="00093189" w:rsidRDefault="00093189" w:rsidP="00093189">
            <w:pPr>
              <w:rPr>
                <w:b/>
                <w:smallCaps/>
              </w:rPr>
            </w:pPr>
            <w:r w:rsidRPr="00093189">
              <w:rPr>
                <w:b/>
                <w:smallCaps/>
              </w:rPr>
              <w:t>Between:</w:t>
            </w:r>
          </w:p>
          <w:p w:rsidR="00093189" w:rsidRPr="00093189" w:rsidRDefault="00093189" w:rsidP="00093189"/>
          <w:p w:rsidR="00093189" w:rsidRPr="00093189" w:rsidRDefault="00093189" w:rsidP="00093189">
            <w:pPr>
              <w:jc w:val="center"/>
              <w:rPr>
                <w:b/>
              </w:rPr>
            </w:pPr>
            <w:r w:rsidRPr="00093189">
              <w:rPr>
                <w:b/>
              </w:rPr>
              <w:t>Darren Caley Daniel Sundman</w:t>
            </w:r>
          </w:p>
          <w:p w:rsidR="00093189" w:rsidRPr="00093189" w:rsidRDefault="00093189" w:rsidP="00093189">
            <w:pPr>
              <w:jc w:val="center"/>
            </w:pPr>
            <w:r w:rsidRPr="00093189">
              <w:t>Appellant</w:t>
            </w:r>
          </w:p>
          <w:p w:rsidR="00093189" w:rsidRPr="00093189" w:rsidRDefault="00093189" w:rsidP="00093189"/>
          <w:p w:rsidR="00093189" w:rsidRPr="00093189" w:rsidRDefault="00093189" w:rsidP="00093189">
            <w:pPr>
              <w:jc w:val="center"/>
            </w:pPr>
            <w:r w:rsidRPr="00093189">
              <w:t>and</w:t>
            </w:r>
          </w:p>
          <w:p w:rsidR="00093189" w:rsidRPr="00093189" w:rsidRDefault="00093189" w:rsidP="00093189"/>
          <w:p w:rsidR="00093189" w:rsidRPr="00093189" w:rsidRDefault="00093189" w:rsidP="00093189">
            <w:pPr>
              <w:jc w:val="center"/>
              <w:rPr>
                <w:b/>
              </w:rPr>
            </w:pPr>
            <w:r w:rsidRPr="00093189">
              <w:rPr>
                <w:b/>
              </w:rPr>
              <w:t>Her Majesty The Queen</w:t>
            </w:r>
          </w:p>
          <w:p w:rsidR="00093189" w:rsidRPr="00093189" w:rsidRDefault="00093189" w:rsidP="00093189">
            <w:pPr>
              <w:jc w:val="center"/>
            </w:pPr>
            <w:r w:rsidRPr="00093189">
              <w:t>Respondent</w:t>
            </w:r>
          </w:p>
          <w:p w:rsidR="00093189" w:rsidRPr="00093189" w:rsidRDefault="00093189" w:rsidP="00093189"/>
          <w:p w:rsidR="00093189" w:rsidRPr="00093189" w:rsidRDefault="00093189" w:rsidP="00093189">
            <w:pPr>
              <w:jc w:val="center"/>
              <w:rPr>
                <w:b/>
                <w:smallCaps/>
              </w:rPr>
            </w:pPr>
          </w:p>
          <w:p w:rsidR="00093189" w:rsidRPr="00093189" w:rsidRDefault="00093189" w:rsidP="00093189"/>
          <w:p w:rsidR="00093189" w:rsidRPr="00093189" w:rsidRDefault="00093189" w:rsidP="00093189">
            <w:r w:rsidRPr="00093189">
              <w:rPr>
                <w:b/>
                <w:smallCaps/>
              </w:rPr>
              <w:t>Coram:</w:t>
            </w:r>
            <w:r w:rsidRPr="00093189">
              <w:t xml:space="preserve"> Wagner C.J. and Moldaver, Karakatsanis, Côté, Brown, Rowe, Martin, Kasirer and Jamal JJ.</w:t>
            </w:r>
          </w:p>
          <w:p w:rsidR="00093189" w:rsidRPr="00093189" w:rsidRDefault="00093189" w:rsidP="00093189">
            <w:pPr>
              <w:rPr>
                <w:b/>
                <w:smallCaps/>
              </w:rPr>
            </w:pPr>
          </w:p>
        </w:tc>
      </w:tr>
      <w:tr w:rsidR="00093189" w:rsidRPr="00093189" w:rsidTr="00853961">
        <w:tblPrEx>
          <w:tblCellMar>
            <w:top w:w="58" w:type="dxa"/>
            <w:left w:w="58" w:type="dxa"/>
            <w:bottom w:w="58" w:type="dxa"/>
            <w:right w:w="58" w:type="dxa"/>
          </w:tblCellMar>
        </w:tblPrEx>
        <w:trPr>
          <w:cantSplit/>
        </w:trPr>
        <w:tc>
          <w:tcPr>
            <w:tcW w:w="1231" w:type="pct"/>
          </w:tcPr>
          <w:p w:rsidR="00093189" w:rsidRPr="00093189" w:rsidRDefault="00093189" w:rsidP="00093189">
            <w:pPr>
              <w:rPr>
                <w:smallCaps/>
              </w:rPr>
            </w:pPr>
            <w:r w:rsidRPr="00093189">
              <w:rPr>
                <w:b/>
                <w:smallCaps/>
              </w:rPr>
              <w:t>Reasons for Judgment:</w:t>
            </w:r>
            <w:r w:rsidRPr="00093189">
              <w:rPr>
                <w:smallCaps/>
              </w:rPr>
              <w:t xml:space="preserve"> </w:t>
            </w:r>
          </w:p>
          <w:p w:rsidR="00093189" w:rsidRPr="00093189" w:rsidRDefault="00093189" w:rsidP="00093189">
            <w:r w:rsidRPr="00093189">
              <w:t>(paras. 1 to 55)</w:t>
            </w:r>
          </w:p>
        </w:tc>
        <w:tc>
          <w:tcPr>
            <w:tcW w:w="3769" w:type="pct"/>
            <w:gridSpan w:val="3"/>
          </w:tcPr>
          <w:p w:rsidR="00093189" w:rsidRPr="00093189" w:rsidRDefault="00093189" w:rsidP="00093189">
            <w:r w:rsidRPr="00093189">
              <w:t>Jamal J. (Wagner C.J. and Moldaver, Karakatsanis, Côté, Brown, Rowe, Martin and Kasirer JJ. concurring)</w:t>
            </w:r>
          </w:p>
        </w:tc>
      </w:tr>
    </w:tbl>
    <w:p w:rsidR="00093189" w:rsidRPr="00093189" w:rsidRDefault="00093189" w:rsidP="00093189">
      <w:pPr>
        <w:rPr>
          <w:rFonts w:eastAsiaTheme="minorHAnsi" w:cstheme="minorBidi"/>
          <w:szCs w:val="24"/>
          <w:lang w:eastAsia="en-US"/>
        </w:rPr>
      </w:pPr>
    </w:p>
    <w:p w:rsidR="00093189" w:rsidRPr="00093189" w:rsidRDefault="00093189" w:rsidP="00093189">
      <w:pPr>
        <w:rPr>
          <w:rFonts w:eastAsiaTheme="minorHAnsi" w:cstheme="minorBidi"/>
          <w:szCs w:val="24"/>
          <w:lang w:eastAsia="en-US"/>
        </w:rPr>
      </w:pPr>
    </w:p>
    <w:p w:rsidR="00093189" w:rsidRPr="00093189" w:rsidRDefault="00093189" w:rsidP="00093189">
      <w:pPr>
        <w:rPr>
          <w:rFonts w:eastAsiaTheme="minorHAnsi" w:cstheme="minorBidi"/>
          <w:szCs w:val="24"/>
          <w:lang w:eastAsia="en-US"/>
        </w:rPr>
      </w:pPr>
      <w:r w:rsidRPr="00093189">
        <w:rPr>
          <w:rFonts w:eastAsiaTheme="minorHAnsi" w:cstheme="minorBidi"/>
          <w:b/>
          <w:smallCaps/>
          <w:szCs w:val="24"/>
          <w:lang w:eastAsia="en-US"/>
        </w:rPr>
        <w:t>Note:</w:t>
      </w:r>
      <w:r w:rsidRPr="00093189">
        <w:rPr>
          <w:rFonts w:eastAsiaTheme="minorHAnsi" w:cstheme="minorBidi"/>
          <w:b/>
          <w:szCs w:val="24"/>
          <w:lang w:eastAsia="en-US"/>
        </w:rPr>
        <w:t xml:space="preserve"> </w:t>
      </w:r>
      <w:r w:rsidRPr="00093189">
        <w:rPr>
          <w:rFonts w:eastAsiaTheme="minorHAnsi" w:cstheme="minorBidi"/>
          <w:szCs w:val="24"/>
          <w:lang w:eastAsia="en-US"/>
        </w:rPr>
        <w:t xml:space="preserve">This document is subject to editorial revision before its reproduction in final form in the </w:t>
      </w:r>
      <w:r w:rsidRPr="00093189">
        <w:rPr>
          <w:rFonts w:eastAsiaTheme="minorHAnsi" w:cstheme="minorBidi"/>
          <w:i/>
          <w:szCs w:val="24"/>
          <w:lang w:eastAsia="en-US"/>
        </w:rPr>
        <w:t>Canada Supreme Court Reports</w:t>
      </w:r>
      <w:r w:rsidRPr="00093189">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093189" w:rsidRPr="00093189" w:rsidTr="00853961">
        <w:tc>
          <w:tcPr>
            <w:tcW w:w="1500" w:type="pct"/>
            <w:tcMar>
              <w:top w:w="284" w:type="dxa"/>
            </w:tcMar>
          </w:tcPr>
          <w:p w:rsidR="00093189" w:rsidRPr="00093189" w:rsidRDefault="00093189" w:rsidP="00093189"/>
        </w:tc>
        <w:tc>
          <w:tcPr>
            <w:tcW w:w="2000" w:type="pct"/>
            <w:tcBorders>
              <w:bottom w:val="single" w:sz="4" w:space="0" w:color="auto"/>
            </w:tcBorders>
            <w:tcMar>
              <w:top w:w="284" w:type="dxa"/>
            </w:tcMar>
          </w:tcPr>
          <w:p w:rsidR="00093189" w:rsidRPr="00093189" w:rsidRDefault="00093189" w:rsidP="00093189"/>
        </w:tc>
        <w:tc>
          <w:tcPr>
            <w:tcW w:w="1500" w:type="pct"/>
            <w:tcMar>
              <w:top w:w="284" w:type="dxa"/>
            </w:tcMar>
          </w:tcPr>
          <w:p w:rsidR="00093189" w:rsidRPr="00093189" w:rsidRDefault="00093189" w:rsidP="00093189"/>
        </w:tc>
      </w:tr>
    </w:tbl>
    <w:p w:rsidR="00093189" w:rsidRPr="00093189" w:rsidRDefault="00093189" w:rsidP="00093189">
      <w:pPr>
        <w:rPr>
          <w:rFonts w:eastAsiaTheme="minorHAnsi" w:cstheme="minorBidi"/>
          <w:szCs w:val="24"/>
          <w:lang w:eastAsia="en-US"/>
        </w:rPr>
      </w:pPr>
    </w:p>
    <w:p w:rsidR="00093189" w:rsidRDefault="00093189">
      <w:pPr>
        <w:rPr>
          <w:b/>
        </w:rPr>
      </w:pPr>
      <w:r>
        <w:br w:type="page"/>
      </w:r>
    </w:p>
    <w:p w:rsidR="00AC5A90" w:rsidRDefault="00EE32ED" w:rsidP="003F0011">
      <w:pPr>
        <w:pStyle w:val="SCCLsocLastPartyInRole"/>
        <w:tabs>
          <w:tab w:val="clear" w:pos="8222"/>
          <w:tab w:val="right" w:pos="8280"/>
        </w:tabs>
      </w:pPr>
      <w:r>
        <w:lastRenderedPageBreak/>
        <w:t>Darren Caley Daniel Sundman</w:t>
      </w:r>
      <w:r>
        <w:rPr>
          <w:rStyle w:val="SCCLsocPartyRole"/>
        </w:rPr>
        <w:tab/>
        <w:t>Appellant</w:t>
      </w:r>
    </w:p>
    <w:p w:rsidR="00AC5A90" w:rsidRDefault="00EE32ED">
      <w:pPr>
        <w:pStyle w:val="SCCLsocVersus"/>
      </w:pPr>
      <w:proofErr w:type="gramStart"/>
      <w:r>
        <w:t>v</w:t>
      </w:r>
      <w:proofErr w:type="gramEnd"/>
      <w:r>
        <w:t>.</w:t>
      </w:r>
    </w:p>
    <w:p w:rsidR="00AC5A90" w:rsidRDefault="00FB4F81" w:rsidP="003F0011">
      <w:pPr>
        <w:pStyle w:val="SCCLsocLastPartyInRole"/>
        <w:tabs>
          <w:tab w:val="clear" w:pos="8222"/>
          <w:tab w:val="right" w:pos="8280"/>
        </w:tabs>
      </w:pPr>
      <w:r>
        <w:t xml:space="preserve">Her Majesty </w:t>
      </w:r>
      <w:proofErr w:type="gramStart"/>
      <w:r>
        <w:t>T</w:t>
      </w:r>
      <w:r w:rsidR="00EE32ED">
        <w:t>he</w:t>
      </w:r>
      <w:proofErr w:type="gramEnd"/>
      <w:r w:rsidR="00EE32ED">
        <w:t xml:space="preserve"> Queen</w:t>
      </w:r>
      <w:r w:rsidR="00EE32ED">
        <w:rPr>
          <w:rStyle w:val="SCCLsocPartyRole"/>
        </w:rPr>
        <w:tab/>
        <w:t>Respondent</w:t>
      </w:r>
    </w:p>
    <w:p w:rsidR="00426659" w:rsidRPr="00426659" w:rsidRDefault="00426659" w:rsidP="003F0011">
      <w:pPr>
        <w:spacing w:after="720"/>
        <w:jc w:val="both"/>
        <w:rPr>
          <w:b/>
        </w:rPr>
      </w:pPr>
      <w:r w:rsidRPr="00426659">
        <w:rPr>
          <w:b/>
        </w:rPr>
        <w:t>Indexed as:</w:t>
      </w:r>
      <w:r>
        <w:rPr>
          <w:b/>
        </w:rPr>
        <w:t xml:space="preserve"> </w:t>
      </w:r>
      <w:r w:rsidR="00D76060">
        <w:rPr>
          <w:rStyle w:val="SCCRespondentForIndexChar"/>
        </w:rPr>
        <w:t xml:space="preserve">R. </w:t>
      </w:r>
      <w:r w:rsidRPr="00426659">
        <w:rPr>
          <w:b/>
          <w:i/>
        </w:rPr>
        <w:t>v.</w:t>
      </w:r>
      <w:r w:rsidRPr="00426659">
        <w:rPr>
          <w:b/>
        </w:rPr>
        <w:t xml:space="preserve"> </w:t>
      </w:r>
      <w:r w:rsidR="00D76060">
        <w:rPr>
          <w:rStyle w:val="SCCAppellantForIndexChar"/>
        </w:rPr>
        <w:t>Sundman</w:t>
      </w:r>
    </w:p>
    <w:p w:rsidR="00426659" w:rsidRPr="00C02092" w:rsidRDefault="00C16860" w:rsidP="003F0011">
      <w:pPr>
        <w:pStyle w:val="SCCSystemYear"/>
        <w:spacing w:after="720"/>
        <w:jc w:val="both"/>
      </w:pPr>
      <w:r>
        <w:t>2022</w:t>
      </w:r>
      <w:r w:rsidR="003D0399">
        <w:t xml:space="preserve"> </w:t>
      </w:r>
      <w:r w:rsidR="003F0011">
        <w:t xml:space="preserve">SCC </w:t>
      </w:r>
      <w:r w:rsidR="008D0CBA" w:rsidRPr="008D0CBA">
        <w:t>31</w:t>
      </w:r>
    </w:p>
    <w:p w:rsidR="008322BD" w:rsidRDefault="009B57B3" w:rsidP="003F0011">
      <w:pPr>
        <w:spacing w:after="720"/>
        <w:jc w:val="both"/>
      </w:pPr>
      <w:r w:rsidRPr="001426A9">
        <w:t xml:space="preserve">File No.: </w:t>
      </w:r>
      <w:r>
        <w:t>39569</w:t>
      </w:r>
      <w:r w:rsidRPr="001426A9">
        <w:t>.</w:t>
      </w:r>
    </w:p>
    <w:p w:rsidR="008322BD" w:rsidRDefault="00AE4535" w:rsidP="003F0011">
      <w:pPr>
        <w:spacing w:after="720"/>
        <w:jc w:val="both"/>
      </w:pPr>
      <w:r>
        <w:t>2021: December 9</w:t>
      </w:r>
      <w:r w:rsidR="009B57B3" w:rsidRPr="001426A9">
        <w:t xml:space="preserve">; </w:t>
      </w:r>
      <w:r w:rsidR="0025391A" w:rsidRPr="003F0011">
        <w:rPr>
          <w:lang w:val="en-US"/>
        </w:rPr>
        <w:t>2022: July 21</w:t>
      </w:r>
      <w:r w:rsidR="009B57B3" w:rsidRPr="001426A9">
        <w:t>.</w:t>
      </w:r>
    </w:p>
    <w:p w:rsidR="008322BD" w:rsidRDefault="003F0011" w:rsidP="003F0011">
      <w:pPr>
        <w:spacing w:after="720"/>
        <w:jc w:val="both"/>
      </w:pPr>
      <w:r>
        <w:t xml:space="preserve">Present: Wagner </w:t>
      </w:r>
      <w:r w:rsidR="009B57B3">
        <w:t xml:space="preserve">C.J. and Moldaver, Karakatsanis, Côté, Brown, </w:t>
      </w:r>
      <w:r w:rsidR="00AC084B">
        <w:t>Rowe, Martin, Kasirer and Jamal </w:t>
      </w:r>
      <w:r w:rsidR="009B57B3">
        <w:t>JJ.</w:t>
      </w:r>
    </w:p>
    <w:p w:rsidR="003A4C70" w:rsidRPr="001426A9" w:rsidRDefault="00656313" w:rsidP="0009637B">
      <w:pPr>
        <w:pStyle w:val="SCCLowerCourtNameLowercase"/>
        <w:spacing w:after="720" w:line="240" w:lineRule="auto"/>
      </w:pPr>
      <w:r>
        <w:t>o</w:t>
      </w:r>
      <w:r w:rsidR="00170592">
        <w:t>n</w:t>
      </w:r>
      <w:r w:rsidR="00224FC0">
        <w:t xml:space="preserve"> </w:t>
      </w:r>
      <w:r>
        <w:t>a</w:t>
      </w:r>
      <w:r w:rsidR="00170592">
        <w:t>ppeal</w:t>
      </w:r>
      <w:r w:rsidR="00224FC0">
        <w:t xml:space="preserve"> </w:t>
      </w:r>
      <w:r w:rsidR="00170592">
        <w:t>from</w:t>
      </w:r>
      <w:r w:rsidR="009567AA">
        <w:t xml:space="preserve"> the</w:t>
      </w:r>
      <w:r w:rsidR="00224FC0">
        <w:t xml:space="preserve"> </w:t>
      </w:r>
      <w:r w:rsidR="009B57B3">
        <w:t xml:space="preserve">court of appeal </w:t>
      </w:r>
      <w:r w:rsidR="00AC084B">
        <w:t xml:space="preserve">for </w:t>
      </w:r>
      <w:proofErr w:type="gramStart"/>
      <w:r w:rsidR="00AC084B">
        <w:t>british columbia</w:t>
      </w:r>
      <w:proofErr w:type="gramEnd"/>
    </w:p>
    <w:p w:rsidR="0009637B" w:rsidRPr="0009637B" w:rsidRDefault="009B57B3" w:rsidP="00C86A4D">
      <w:pPr>
        <w:pStyle w:val="SCCNormalDoubleSpacing"/>
        <w:spacing w:after="480"/>
        <w:rPr>
          <w:i/>
          <w:iCs/>
          <w:lang w:val="en-US"/>
        </w:rPr>
      </w:pPr>
      <w:r w:rsidRPr="00583EDE">
        <w:tab/>
      </w:r>
      <w:r w:rsidR="0009637B" w:rsidRPr="0009637B">
        <w:rPr>
          <w:i/>
        </w:rPr>
        <w:t xml:space="preserve">Criminal law — First degree murder — </w:t>
      </w:r>
      <w:r w:rsidR="0009637B" w:rsidRPr="0009637B">
        <w:rPr>
          <w:i/>
          <w:iCs/>
          <w:lang w:val="en-US"/>
        </w:rPr>
        <w:t xml:space="preserve">Unlawful confinement </w:t>
      </w:r>
      <w:r w:rsidR="0009637B" w:rsidRPr="0009637B">
        <w:rPr>
          <w:i/>
          <w:iCs/>
        </w:rPr>
        <w:t xml:space="preserve">— </w:t>
      </w:r>
      <w:r w:rsidR="0009637B" w:rsidRPr="0009637B">
        <w:rPr>
          <w:i/>
          <w:lang w:val="en-US"/>
        </w:rPr>
        <w:t xml:space="preserve">Elements of offence </w:t>
      </w:r>
      <w:r w:rsidR="0009637B" w:rsidRPr="0009637B">
        <w:rPr>
          <w:i/>
        </w:rPr>
        <w:t xml:space="preserve">— Accused convicted of second degree murder in death of victim shot during chase after escaping from moving truck where he was confined </w:t>
      </w:r>
      <w:r w:rsidR="0009637B" w:rsidRPr="0009637B">
        <w:rPr>
          <w:i/>
          <w:iCs/>
        </w:rPr>
        <w:t xml:space="preserve">— Trial judge finding that </w:t>
      </w:r>
      <w:r w:rsidR="004B771E">
        <w:rPr>
          <w:i/>
          <w:iCs/>
        </w:rPr>
        <w:t>victim</w:t>
      </w:r>
      <w:r w:rsidR="0009637B" w:rsidRPr="0009637B">
        <w:rPr>
          <w:i/>
          <w:iCs/>
        </w:rPr>
        <w:t xml:space="preserve"> no longer unlawfully confined at time of murder — Court of Appeal holding that death caused while </w:t>
      </w:r>
      <w:r w:rsidR="0009637B" w:rsidRPr="0009637B">
        <w:rPr>
          <w:i/>
          <w:iCs/>
          <w:lang w:val="en-US"/>
        </w:rPr>
        <w:t>victim still unlawfully confined and substituting first degree murder conviction</w:t>
      </w:r>
      <w:r w:rsidR="0009637B" w:rsidRPr="0009637B">
        <w:rPr>
          <w:i/>
          <w:iCs/>
        </w:rPr>
        <w:t xml:space="preserve"> — Whether </w:t>
      </w:r>
      <w:r w:rsidR="0009637B" w:rsidRPr="0009637B">
        <w:rPr>
          <w:i/>
          <w:iCs/>
          <w:lang w:val="en-US"/>
        </w:rPr>
        <w:t xml:space="preserve">victim unlawfully confined after escape from truck </w:t>
      </w:r>
      <w:r w:rsidR="0009637B" w:rsidRPr="0009637B">
        <w:rPr>
          <w:i/>
          <w:iCs/>
        </w:rPr>
        <w:t xml:space="preserve">— </w:t>
      </w:r>
      <w:r w:rsidR="0009637B" w:rsidRPr="0009637B">
        <w:rPr>
          <w:i/>
          <w:iCs/>
        </w:rPr>
        <w:lastRenderedPageBreak/>
        <w:t xml:space="preserve">Whether unlawful confinement and murder formed part of </w:t>
      </w:r>
      <w:r w:rsidR="001870DD">
        <w:rPr>
          <w:i/>
          <w:iCs/>
        </w:rPr>
        <w:t>same</w:t>
      </w:r>
      <w:r w:rsidR="0009637B" w:rsidRPr="0009637B">
        <w:rPr>
          <w:i/>
          <w:iCs/>
        </w:rPr>
        <w:t xml:space="preserve"> transaction justifying conviction for first degree murder — C</w:t>
      </w:r>
      <w:r w:rsidR="00C86A4D">
        <w:rPr>
          <w:i/>
          <w:iCs/>
        </w:rPr>
        <w:t>riminal Code, R.S.C. 1985, c. C</w:t>
      </w:r>
      <w:r w:rsidR="00C86A4D">
        <w:rPr>
          <w:i/>
          <w:iCs/>
        </w:rPr>
        <w:noBreakHyphen/>
      </w:r>
      <w:r w:rsidR="0009637B" w:rsidRPr="0009637B">
        <w:rPr>
          <w:i/>
          <w:iCs/>
        </w:rPr>
        <w:t>46, s. 231(5).</w:t>
      </w:r>
    </w:p>
    <w:p w:rsidR="0009637B" w:rsidRPr="0009637B" w:rsidRDefault="007974B5" w:rsidP="00C86A4D">
      <w:pPr>
        <w:pStyle w:val="SCCNormalDoubleSpacing"/>
        <w:spacing w:after="480"/>
        <w:rPr>
          <w:rFonts w:eastAsia="Calibri"/>
          <w:szCs w:val="22"/>
          <w:lang w:val="en-US" w:eastAsia="en-US" w:bidi="en-US"/>
        </w:rPr>
      </w:pPr>
      <w:r>
        <w:tab/>
        <w:t xml:space="preserve">The </w:t>
      </w:r>
      <w:r>
        <w:rPr>
          <w:lang w:bidi="en-US"/>
        </w:rPr>
        <w:t>accused and the victim</w:t>
      </w:r>
      <w:r w:rsidR="0009637B" w:rsidRPr="0009637B">
        <w:rPr>
          <w:lang w:bidi="en-US"/>
        </w:rPr>
        <w:t xml:space="preserve"> were drug deale</w:t>
      </w:r>
      <w:r>
        <w:rPr>
          <w:lang w:bidi="en-US"/>
        </w:rPr>
        <w:t xml:space="preserve">rs with a mutual animosity. </w:t>
      </w:r>
      <w:r>
        <w:rPr>
          <w:lang w:val="en-US" w:bidi="en-US"/>
        </w:rPr>
        <w:t>On the day of the victim’s murder, the accused</w:t>
      </w:r>
      <w:r w:rsidR="0009637B" w:rsidRPr="0009637B">
        <w:rPr>
          <w:lang w:val="en-US" w:bidi="en-US"/>
        </w:rPr>
        <w:t xml:space="preserve"> unlaw</w:t>
      </w:r>
      <w:r>
        <w:rPr>
          <w:lang w:val="en-US" w:bidi="en-US"/>
        </w:rPr>
        <w:t xml:space="preserve">fully confined him in a moving </w:t>
      </w:r>
      <w:r w:rsidR="0009637B" w:rsidRPr="0009637B">
        <w:rPr>
          <w:lang w:val="en-US" w:bidi="en-US"/>
        </w:rPr>
        <w:t>pickup truck and repeatedly assaulted him by h</w:t>
      </w:r>
      <w:r>
        <w:rPr>
          <w:lang w:val="en-US" w:bidi="en-US"/>
        </w:rPr>
        <w:t>itting him with a handgun. The victim</w:t>
      </w:r>
      <w:r w:rsidR="0009637B" w:rsidRPr="0009637B">
        <w:rPr>
          <w:lang w:val="en-US" w:bidi="en-US"/>
        </w:rPr>
        <w:t xml:space="preserve"> jumped from the truck when it slowed to make a turn, but </w:t>
      </w:r>
      <w:r>
        <w:rPr>
          <w:lang w:val="en-US" w:bidi="en-US"/>
        </w:rPr>
        <w:t>was then chased on foot by the accused and two accomplices. When the victim ran for his life, the accused</w:t>
      </w:r>
      <w:r w:rsidR="0009637B" w:rsidRPr="0009637B">
        <w:rPr>
          <w:lang w:val="en-US" w:bidi="en-US"/>
        </w:rPr>
        <w:t xml:space="preserve"> shot him at least three times, but </w:t>
      </w:r>
      <w:r>
        <w:rPr>
          <w:lang w:val="en-US" w:bidi="en-US"/>
        </w:rPr>
        <w:t>did not manage to kill him. As he lay wounded, the victim</w:t>
      </w:r>
      <w:r w:rsidR="0009637B" w:rsidRPr="0009637B">
        <w:rPr>
          <w:lang w:val="en-US" w:bidi="en-US"/>
        </w:rPr>
        <w:t xml:space="preserve"> was shot and killed at close range by one of the accomplices.</w:t>
      </w:r>
    </w:p>
    <w:p w:rsidR="0009637B" w:rsidRPr="0009637B" w:rsidRDefault="007974B5" w:rsidP="00C86A4D">
      <w:pPr>
        <w:pStyle w:val="SCCNormalDoubleSpacing"/>
        <w:spacing w:after="480"/>
        <w:rPr>
          <w:lang w:val="en-US"/>
        </w:rPr>
      </w:pPr>
      <w:r>
        <w:rPr>
          <w:rFonts w:eastAsia="Calibri"/>
          <w:szCs w:val="22"/>
          <w:lang w:val="en-US" w:eastAsia="en-US" w:bidi="en-US"/>
        </w:rPr>
        <w:tab/>
      </w:r>
      <w:r>
        <w:rPr>
          <w:lang w:val="en-US" w:bidi="en-US"/>
        </w:rPr>
        <w:t>The accused was</w:t>
      </w:r>
      <w:r w:rsidR="0009637B" w:rsidRPr="0009637B">
        <w:rPr>
          <w:lang w:val="en-US" w:bidi="en-US"/>
        </w:rPr>
        <w:t xml:space="preserve"> charged</w:t>
      </w:r>
      <w:r>
        <w:rPr>
          <w:lang w:val="en-US" w:bidi="en-US"/>
        </w:rPr>
        <w:t xml:space="preserve"> with first degree murder. The Crown argued that the accused</w:t>
      </w:r>
      <w:r w:rsidR="0009637B" w:rsidRPr="0009637B">
        <w:rPr>
          <w:lang w:val="en-US" w:bidi="en-US"/>
        </w:rPr>
        <w:t xml:space="preserve"> was guilty of first degree murder because the murder was planned and deliberate. Alternatively, </w:t>
      </w:r>
      <w:r>
        <w:rPr>
          <w:lang w:val="en-US" w:bidi="en-US"/>
        </w:rPr>
        <w:t>the Crown argued that, because he murdered the victim</w:t>
      </w:r>
      <w:r w:rsidR="0009637B" w:rsidRPr="0009637B">
        <w:rPr>
          <w:lang w:val="en-US" w:bidi="en-US"/>
        </w:rPr>
        <w:t xml:space="preserve"> while committing the offence of unlawful confinement, the accused was guilty of first degree murder under</w:t>
      </w:r>
      <w:r w:rsidR="00C86A4D">
        <w:rPr>
          <w:lang w:val="en-US" w:bidi="en-US"/>
        </w:rPr>
        <w:t xml:space="preserve"> s. </w:t>
      </w:r>
      <w:r w:rsidR="0009637B" w:rsidRPr="0009637B">
        <w:rPr>
          <w:lang w:val="en-US" w:bidi="en-US"/>
        </w:rPr>
        <w:t xml:space="preserve">231(5)(e) of the </w:t>
      </w:r>
      <w:r w:rsidR="0009637B" w:rsidRPr="0009637B">
        <w:rPr>
          <w:i/>
          <w:lang w:val="en-US" w:bidi="en-US"/>
        </w:rPr>
        <w:t>Criminal Code</w:t>
      </w:r>
      <w:r>
        <w:rPr>
          <w:lang w:val="en-US" w:bidi="en-US"/>
        </w:rPr>
        <w:t xml:space="preserve">. The trial judge </w:t>
      </w:r>
      <w:r w:rsidR="0009637B" w:rsidRPr="0009637B">
        <w:rPr>
          <w:lang w:val="en-US" w:bidi="en-US"/>
        </w:rPr>
        <w:t>was not satisfied that the mu</w:t>
      </w:r>
      <w:r>
        <w:rPr>
          <w:lang w:val="en-US" w:bidi="en-US"/>
        </w:rPr>
        <w:t xml:space="preserve">rder was planned and deliberate. </w:t>
      </w:r>
      <w:r w:rsidR="0009637B" w:rsidRPr="0009637B">
        <w:rPr>
          <w:lang w:val="en-US" w:bidi="en-US"/>
        </w:rPr>
        <w:t xml:space="preserve">He also </w:t>
      </w:r>
      <w:r>
        <w:rPr>
          <w:lang w:bidi="en-US"/>
        </w:rPr>
        <w:t>found</w:t>
      </w:r>
      <w:r>
        <w:rPr>
          <w:lang w:val="en-US" w:bidi="en-US"/>
        </w:rPr>
        <w:t xml:space="preserve"> that although the victim</w:t>
      </w:r>
      <w:r w:rsidR="0009637B" w:rsidRPr="0009637B">
        <w:rPr>
          <w:lang w:val="en-US" w:bidi="en-US"/>
        </w:rPr>
        <w:t xml:space="preserve"> was unlawfully confined in the truck, he had managed to escape his confinement by jump</w:t>
      </w:r>
      <w:r>
        <w:rPr>
          <w:lang w:val="en-US" w:bidi="en-US"/>
        </w:rPr>
        <w:t>ing from the truck; accordingly,</w:t>
      </w:r>
      <w:r w:rsidR="0009637B" w:rsidRPr="0009637B">
        <w:rPr>
          <w:lang w:val="en-US" w:bidi="en-US"/>
        </w:rPr>
        <w:t xml:space="preserve"> because of the </w:t>
      </w:r>
      <w:r>
        <w:rPr>
          <w:lang w:val="en-US" w:bidi="en-US"/>
        </w:rPr>
        <w:t>brief gap in time between when the victim</w:t>
      </w:r>
      <w:r w:rsidR="0009637B" w:rsidRPr="0009637B">
        <w:rPr>
          <w:lang w:val="en-US" w:bidi="en-US"/>
        </w:rPr>
        <w:t xml:space="preserve"> was confined in the tru</w:t>
      </w:r>
      <w:r>
        <w:rPr>
          <w:lang w:val="en-US" w:bidi="en-US"/>
        </w:rPr>
        <w:t>ck and when he was killed, the accused</w:t>
      </w:r>
      <w:r w:rsidR="0009637B" w:rsidRPr="0009637B">
        <w:rPr>
          <w:lang w:val="en-US" w:bidi="en-US"/>
        </w:rPr>
        <w:t xml:space="preserve"> did not murder him while committing the offe</w:t>
      </w:r>
      <w:r>
        <w:rPr>
          <w:lang w:val="en-US" w:bidi="en-US"/>
        </w:rPr>
        <w:t xml:space="preserve">nce of unlawful confinement. The accused was </w:t>
      </w:r>
      <w:r w:rsidR="0009637B" w:rsidRPr="0009637B">
        <w:rPr>
          <w:lang w:val="en-US" w:bidi="en-US"/>
        </w:rPr>
        <w:t>th</w:t>
      </w:r>
      <w:r>
        <w:rPr>
          <w:lang w:val="en-US" w:bidi="en-US"/>
        </w:rPr>
        <w:t>erefore</w:t>
      </w:r>
      <w:r w:rsidR="0009637B" w:rsidRPr="0009637B">
        <w:rPr>
          <w:lang w:val="en-US" w:bidi="en-US"/>
        </w:rPr>
        <w:t xml:space="preserve"> acquitted of first degree murder but convicte</w:t>
      </w:r>
      <w:r>
        <w:rPr>
          <w:lang w:val="en-US" w:bidi="en-US"/>
        </w:rPr>
        <w:t xml:space="preserve">d of second degree murder. </w:t>
      </w:r>
      <w:r w:rsidR="0009637B" w:rsidRPr="0009637B">
        <w:rPr>
          <w:lang w:val="en-US" w:bidi="en-US"/>
        </w:rPr>
        <w:t>The Court of Appeal unanimously allowed the Crown’s appeal, set aside the conviction of second degree murder, and substituted a convicti</w:t>
      </w:r>
      <w:r>
        <w:rPr>
          <w:lang w:val="en-US" w:bidi="en-US"/>
        </w:rPr>
        <w:t xml:space="preserve">on of first degree murder. </w:t>
      </w:r>
      <w:r w:rsidR="0009637B" w:rsidRPr="0009637B">
        <w:rPr>
          <w:lang w:val="en-US" w:bidi="en-US"/>
        </w:rPr>
        <w:t>It</w:t>
      </w:r>
      <w:r>
        <w:rPr>
          <w:lang w:val="en-US" w:bidi="en-US"/>
        </w:rPr>
        <w:t xml:space="preserve"> held that </w:t>
      </w:r>
      <w:r w:rsidR="0009637B" w:rsidRPr="0009637B">
        <w:rPr>
          <w:lang w:val="en-US" w:bidi="en-US"/>
        </w:rPr>
        <w:t xml:space="preserve">the </w:t>
      </w:r>
      <w:r>
        <w:rPr>
          <w:lang w:val="en-US" w:bidi="en-US"/>
        </w:rPr>
        <w:lastRenderedPageBreak/>
        <w:t>victim</w:t>
      </w:r>
      <w:r w:rsidR="0009637B" w:rsidRPr="0009637B">
        <w:rPr>
          <w:lang w:val="en-US" w:bidi="en-US"/>
        </w:rPr>
        <w:t xml:space="preserve"> was still unlawfully confined when he jumped from the truck and w</w:t>
      </w:r>
      <w:r>
        <w:rPr>
          <w:lang w:val="en-US" w:bidi="en-US"/>
        </w:rPr>
        <w:t xml:space="preserve">as chased before being killed, </w:t>
      </w:r>
      <w:r w:rsidR="0009637B" w:rsidRPr="0009637B">
        <w:rPr>
          <w:lang w:val="en-US" w:bidi="en-US"/>
        </w:rPr>
        <w:t xml:space="preserve">and accordingly, the accused murdered the victim while committing the </w:t>
      </w:r>
      <w:r>
        <w:rPr>
          <w:lang w:val="en-US" w:bidi="en-US"/>
        </w:rPr>
        <w:t xml:space="preserve">offence of unlawful confinement. </w:t>
      </w:r>
      <w:r w:rsidR="0009637B" w:rsidRPr="0009637B">
        <w:rPr>
          <w:lang w:val="en-US" w:bidi="en-US"/>
        </w:rPr>
        <w:t>It also held that the vic</w:t>
      </w:r>
      <w:r>
        <w:rPr>
          <w:lang w:val="en-US" w:bidi="en-US"/>
        </w:rPr>
        <w:t>tim’s unlawful confinement in the truck was</w:t>
      </w:r>
      <w:r w:rsidR="0009637B" w:rsidRPr="0009637B">
        <w:rPr>
          <w:lang w:val="en-US" w:bidi="en-US"/>
        </w:rPr>
        <w:t xml:space="preserve"> tem</w:t>
      </w:r>
      <w:r>
        <w:rPr>
          <w:lang w:val="en-US" w:bidi="en-US"/>
        </w:rPr>
        <w:t>porally and causally connected to his murder, making the entire course of conduct</w:t>
      </w:r>
      <w:r w:rsidR="0009637B" w:rsidRPr="0009637B">
        <w:rPr>
          <w:lang w:val="en-US" w:bidi="en-US"/>
        </w:rPr>
        <w:t xml:space="preserve"> a single transaction.</w:t>
      </w:r>
    </w:p>
    <w:p w:rsidR="0009637B" w:rsidRPr="0009637B" w:rsidRDefault="0009637B" w:rsidP="00C86A4D">
      <w:pPr>
        <w:pStyle w:val="SCCNormalDoubleSpacing"/>
        <w:spacing w:after="480"/>
      </w:pPr>
      <w:r w:rsidRPr="0009637B">
        <w:rPr>
          <w:lang w:val="en-US"/>
        </w:rPr>
        <w:tab/>
      </w:r>
      <w:r w:rsidRPr="0009637B">
        <w:rPr>
          <w:i/>
        </w:rPr>
        <w:t>Held</w:t>
      </w:r>
      <w:r w:rsidRPr="0009637B">
        <w:t>: The appeal should be dismissed.</w:t>
      </w:r>
    </w:p>
    <w:p w:rsidR="0009637B" w:rsidRPr="0009637B" w:rsidRDefault="007974B5" w:rsidP="00C86A4D">
      <w:pPr>
        <w:pStyle w:val="SCCNormalDoubleSpacing"/>
        <w:spacing w:after="480"/>
      </w:pPr>
      <w:r>
        <w:rPr>
          <w:lang w:val="en-US"/>
        </w:rPr>
        <w:tab/>
        <w:t>The accused</w:t>
      </w:r>
      <w:r w:rsidR="0009637B" w:rsidRPr="0009637B">
        <w:rPr>
          <w:lang w:val="en-US"/>
        </w:rPr>
        <w:t xml:space="preserve"> is </w:t>
      </w:r>
      <w:r w:rsidR="0009637B" w:rsidRPr="0009637B">
        <w:t xml:space="preserve">guilty </w:t>
      </w:r>
      <w:r w:rsidR="00C86A4D">
        <w:t>of first degree murder under s. </w:t>
      </w:r>
      <w:r w:rsidR="0009637B" w:rsidRPr="0009637B">
        <w:t>231(5</w:t>
      </w:r>
      <w:proofErr w:type="gramStart"/>
      <w:r w:rsidR="0009637B" w:rsidRPr="0009637B">
        <w:t>)(</w:t>
      </w:r>
      <w:proofErr w:type="gramEnd"/>
      <w:r w:rsidR="0009637B" w:rsidRPr="0009637B">
        <w:t xml:space="preserve">e) of the </w:t>
      </w:r>
      <w:r w:rsidR="0009637B" w:rsidRPr="0009637B">
        <w:rPr>
          <w:i/>
        </w:rPr>
        <w:t>Criminal Code</w:t>
      </w:r>
      <w:r>
        <w:t>. The victim</w:t>
      </w:r>
      <w:r w:rsidR="0009637B" w:rsidRPr="0009637B">
        <w:t xml:space="preserve"> was still unlawfully confined when he escaped from the </w:t>
      </w:r>
      <w:r>
        <w:t>truck and ran for his life. Even though the victim</w:t>
      </w:r>
      <w:r w:rsidR="0009637B" w:rsidRPr="0009637B">
        <w:t xml:space="preserve"> was not physically restrained outside the truck, he continued to be coercively restrained through violen</w:t>
      </w:r>
      <w:r>
        <w:t xml:space="preserve">ce, fear, and intimidation. </w:t>
      </w:r>
      <w:r>
        <w:rPr>
          <w:lang w:val="en-US"/>
        </w:rPr>
        <w:t>The accused</w:t>
      </w:r>
      <w:r w:rsidR="0009637B" w:rsidRPr="0009637B">
        <w:rPr>
          <w:lang w:val="en-US"/>
        </w:rPr>
        <w:t xml:space="preserve"> then murdered him whil</w:t>
      </w:r>
      <w:r>
        <w:rPr>
          <w:lang w:val="en-US"/>
        </w:rPr>
        <w:t xml:space="preserve">e unlawfully confining him. </w:t>
      </w:r>
      <w:r w:rsidR="0009637B" w:rsidRPr="0009637B">
        <w:rPr>
          <w:lang w:val="en-US"/>
        </w:rPr>
        <w:t>These two distinct criminal acts were part of a continuous sequence of events fo</w:t>
      </w:r>
      <w:r>
        <w:rPr>
          <w:lang w:val="en-US"/>
        </w:rPr>
        <w:t xml:space="preserve">rming a single transaction. </w:t>
      </w:r>
      <w:r w:rsidR="0009637B" w:rsidRPr="0009637B">
        <w:rPr>
          <w:lang w:val="en-US"/>
        </w:rPr>
        <w:t>They were close in time and invo</w:t>
      </w:r>
      <w:r>
        <w:rPr>
          <w:lang w:val="en-US"/>
        </w:rPr>
        <w:t>lved an ongoing domination of the victim</w:t>
      </w:r>
      <w:r w:rsidR="0009637B" w:rsidRPr="0009637B">
        <w:rPr>
          <w:lang w:val="en-US"/>
        </w:rPr>
        <w:t xml:space="preserve"> that began in the truck, continued when he escaped from the truck and ran for his life, and ended with his murder.</w:t>
      </w:r>
    </w:p>
    <w:p w:rsidR="0009637B" w:rsidRPr="0009637B" w:rsidRDefault="007974B5" w:rsidP="00C86A4D">
      <w:pPr>
        <w:pStyle w:val="SCCNormalDoubleSpacing"/>
        <w:spacing w:after="480"/>
        <w:rPr>
          <w:lang w:val="en-US" w:bidi="en-US"/>
        </w:rPr>
      </w:pPr>
      <w:r>
        <w:rPr>
          <w:lang w:val="en-US"/>
        </w:rPr>
        <w:tab/>
      </w:r>
      <w:r w:rsidR="0009637B" w:rsidRPr="0009637B">
        <w:rPr>
          <w:lang w:val="en-US"/>
        </w:rPr>
        <w:t xml:space="preserve">Section 231(5) of the </w:t>
      </w:r>
      <w:r w:rsidR="0009637B" w:rsidRPr="0009637B">
        <w:rPr>
          <w:i/>
          <w:lang w:val="en-US"/>
        </w:rPr>
        <w:t>Criminal Code</w:t>
      </w:r>
      <w:r w:rsidR="0009637B" w:rsidRPr="0009637B">
        <w:rPr>
          <w:lang w:val="en-US"/>
        </w:rPr>
        <w:t xml:space="preserve"> provides that murder is first degree murder, irrespective of whether the murder is planned and deliberate, when the victim’s death is caused “while committing or attempting to commit” any of several listed crimes of domination</w:t>
      </w:r>
      <w:r>
        <w:rPr>
          <w:lang w:val="en-US" w:bidi="en-US"/>
        </w:rPr>
        <w:t xml:space="preserve">. </w:t>
      </w:r>
      <w:r w:rsidR="0009637B" w:rsidRPr="0009637B">
        <w:rPr>
          <w:lang w:val="en-US" w:bidi="en-US"/>
        </w:rPr>
        <w:t>Section 231(5) does not</w:t>
      </w:r>
      <w:r>
        <w:rPr>
          <w:lang w:val="en-US" w:bidi="en-US"/>
        </w:rPr>
        <w:t xml:space="preserve"> create a substantive offence; rather,</w:t>
      </w:r>
      <w:r w:rsidR="0009637B" w:rsidRPr="0009637B">
        <w:rPr>
          <w:lang w:val="en-US" w:bidi="en-US"/>
        </w:rPr>
        <w:t xml:space="preserve"> it is essentially a sentencing provision reflecting Parliament’s decision to treat murder in connection with the listed offences as involving a heightened degree of moral </w:t>
      </w:r>
      <w:r w:rsidR="0009637B" w:rsidRPr="0009637B">
        <w:rPr>
          <w:lang w:val="en-US" w:bidi="en-US"/>
        </w:rPr>
        <w:lastRenderedPageBreak/>
        <w:t>blameworthiness or an aggravating circumstance warrantin</w:t>
      </w:r>
      <w:r>
        <w:rPr>
          <w:lang w:val="en-US" w:bidi="en-US"/>
        </w:rPr>
        <w:t>g a more severe punishment.</w:t>
      </w:r>
      <w:r w:rsidR="0009637B" w:rsidRPr="0009637B">
        <w:rPr>
          <w:lang w:val="en-US" w:bidi="en-US"/>
        </w:rPr>
        <w:t xml:space="preserve"> It applies only when the offender has been found guilty of murder</w:t>
      </w:r>
      <w:r>
        <w:rPr>
          <w:lang w:val="en-US" w:bidi="en-US"/>
        </w:rPr>
        <w:t xml:space="preserve"> beyond a reasonable doubt.</w:t>
      </w:r>
      <w:r w:rsidR="0009637B" w:rsidRPr="0009637B">
        <w:rPr>
          <w:lang w:val="en-US" w:bidi="en-US"/>
        </w:rPr>
        <w:t xml:space="preserve"> The organizing principle for the offences listed in s. 231(5) is that they are all crimes involving the illegal </w:t>
      </w:r>
      <w:r>
        <w:rPr>
          <w:lang w:val="en-US" w:bidi="en-US"/>
        </w:rPr>
        <w:t>domination of victims.</w:t>
      </w:r>
      <w:r w:rsidR="0009637B" w:rsidRPr="0009637B">
        <w:rPr>
          <w:lang w:val="en-US" w:bidi="en-US"/>
        </w:rPr>
        <w:t xml:space="preserve"> Parliament has treated murder committed in relation to these crimes of domination as especially serious and as warranting the exceptional punishme</w:t>
      </w:r>
      <w:r>
        <w:rPr>
          <w:lang w:val="en-US" w:bidi="en-US"/>
        </w:rPr>
        <w:t>nt for first degree murder.</w:t>
      </w:r>
      <w:r w:rsidR="0009637B" w:rsidRPr="0009637B">
        <w:rPr>
          <w:lang w:val="en-US" w:bidi="en-US"/>
        </w:rPr>
        <w:t xml:space="preserve"> Illegal domination is not an essentia</w:t>
      </w:r>
      <w:r w:rsidR="00C86A4D">
        <w:rPr>
          <w:lang w:val="en-US" w:bidi="en-US"/>
        </w:rPr>
        <w:t>l element to be proved under s. </w:t>
      </w:r>
      <w:r w:rsidR="0009637B" w:rsidRPr="0009637B">
        <w:rPr>
          <w:lang w:val="en-US" w:bidi="en-US"/>
        </w:rPr>
        <w:t>231(5) but a principle that helps courts apply the provision purposively, so that the law develops in a principled manner.</w:t>
      </w:r>
    </w:p>
    <w:p w:rsidR="0009637B" w:rsidRPr="0009637B" w:rsidRDefault="0009637B" w:rsidP="00C86A4D">
      <w:pPr>
        <w:pStyle w:val="SCCNormalDoubleSpacing"/>
        <w:spacing w:after="480"/>
        <w:rPr>
          <w:lang w:val="en-US" w:bidi="en-US"/>
        </w:rPr>
      </w:pPr>
      <w:r w:rsidRPr="0009637B">
        <w:rPr>
          <w:lang w:val="en-US" w:bidi="en-US"/>
        </w:rPr>
        <w:tab/>
      </w:r>
      <w:r w:rsidR="007974B5">
        <w:rPr>
          <w:lang w:val="en-US"/>
        </w:rPr>
        <w:t>For a murder to be</w:t>
      </w:r>
      <w:r w:rsidRPr="0009637B">
        <w:rPr>
          <w:lang w:val="en-US"/>
        </w:rPr>
        <w:t xml:space="preserve"> committed “while committing or attempting to commit” an </w:t>
      </w:r>
      <w:r w:rsidR="00C86A4D">
        <w:rPr>
          <w:lang w:val="en-US"/>
        </w:rPr>
        <w:t>underlying offence listed in s. </w:t>
      </w:r>
      <w:r w:rsidRPr="0009637B">
        <w:rPr>
          <w:lang w:val="en-US"/>
        </w:rPr>
        <w:t>231(5),</w:t>
      </w:r>
      <w:r w:rsidR="007974B5">
        <w:rPr>
          <w:lang w:val="en-US" w:bidi="en-US"/>
        </w:rPr>
        <w:t xml:space="preserve"> </w:t>
      </w:r>
      <w:r w:rsidRPr="0009637B">
        <w:rPr>
          <w:lang w:val="en-US" w:bidi="en-US"/>
        </w:rPr>
        <w:t>the follo</w:t>
      </w:r>
      <w:r w:rsidR="007974B5">
        <w:rPr>
          <w:lang w:val="en-US" w:bidi="en-US"/>
        </w:rPr>
        <w:t>wing elements are required</w:t>
      </w:r>
      <w:r w:rsidR="00C86A4D">
        <w:rPr>
          <w:lang w:val="en-US" w:bidi="en-US"/>
        </w:rPr>
        <w:t>: (1) </w:t>
      </w:r>
      <w:r w:rsidRPr="0009637B">
        <w:rPr>
          <w:lang w:val="en-US" w:bidi="en-US"/>
        </w:rPr>
        <w:t>an unde</w:t>
      </w:r>
      <w:r w:rsidR="00C86A4D">
        <w:rPr>
          <w:lang w:val="en-US" w:bidi="en-US"/>
        </w:rPr>
        <w:t>rlying crime of domination; (2) murder; (3) substantial cause; (4) </w:t>
      </w:r>
      <w:r w:rsidRPr="0009637B">
        <w:rPr>
          <w:lang w:val="en-US" w:bidi="en-US"/>
        </w:rPr>
        <w:t xml:space="preserve">no intervening act; and </w:t>
      </w:r>
      <w:r w:rsidR="00C86A4D">
        <w:rPr>
          <w:lang w:val="en-US" w:bidi="en-US"/>
        </w:rPr>
        <w:t>(5) </w:t>
      </w:r>
      <w:r w:rsidR="007974B5">
        <w:rPr>
          <w:lang w:val="en-US" w:bidi="en-US"/>
        </w:rPr>
        <w:t>the same transaction. The Court’s decisions have adopted two approaches to the</w:t>
      </w:r>
      <w:r w:rsidRPr="0009637B">
        <w:rPr>
          <w:lang w:val="en-US" w:bidi="en-US"/>
        </w:rPr>
        <w:t xml:space="preserve"> “sam</w:t>
      </w:r>
      <w:r w:rsidR="007974B5">
        <w:rPr>
          <w:lang w:val="en-US" w:bidi="en-US"/>
        </w:rPr>
        <w:t>e transaction” element, which</w:t>
      </w:r>
      <w:r w:rsidRPr="0009637B">
        <w:rPr>
          <w:lang w:val="en-US" w:bidi="en-US"/>
        </w:rPr>
        <w:t xml:space="preserve"> have been used interchangeably: the “single tra</w:t>
      </w:r>
      <w:r w:rsidR="00C86A4D">
        <w:rPr>
          <w:lang w:val="en-US" w:bidi="en-US"/>
        </w:rPr>
        <w:t>nsaction” test and the temporal</w:t>
      </w:r>
      <w:r w:rsidR="00C86A4D">
        <w:rPr>
          <w:lang w:val="en-US" w:bidi="en-US"/>
        </w:rPr>
        <w:noBreakHyphen/>
      </w:r>
      <w:r w:rsidRPr="0009637B">
        <w:rPr>
          <w:lang w:val="en-US" w:bidi="en-US"/>
        </w:rPr>
        <w:t>ca</w:t>
      </w:r>
      <w:r w:rsidR="007974B5">
        <w:rPr>
          <w:lang w:val="en-US" w:bidi="en-US"/>
        </w:rPr>
        <w:t>usal connection approach. These approaches do not</w:t>
      </w:r>
      <w:r w:rsidRPr="0009637B">
        <w:rPr>
          <w:lang w:val="en-US" w:bidi="en-US"/>
        </w:rPr>
        <w:t xml:space="preserve"> involve different inquiries; they are simply different ways of addressing the “same transaction” element. </w:t>
      </w:r>
      <w:r w:rsidRPr="0009637B">
        <w:rPr>
          <w:lang w:val="en-US"/>
        </w:rPr>
        <w:t>The</w:t>
      </w:r>
      <w:r w:rsidRPr="0009637B">
        <w:rPr>
          <w:lang w:val="en-US" w:bidi="en-US"/>
        </w:rPr>
        <w:t xml:space="preserve"> “single transaction” approach asks if the listed offence of domination and the killing all form part of one continuous sequence of events fo</w:t>
      </w:r>
      <w:r w:rsidR="007974B5">
        <w:rPr>
          <w:lang w:val="en-US" w:bidi="en-US"/>
        </w:rPr>
        <w:t>rming a single transaction.</w:t>
      </w:r>
      <w:r w:rsidRPr="0009637B">
        <w:rPr>
          <w:lang w:val="en-US" w:bidi="en-US"/>
        </w:rPr>
        <w:t xml:space="preserve"> It is the continuing illegal domination of the victim which gives continuity to the sequence of events</w:t>
      </w:r>
      <w:r w:rsidR="007974B5">
        <w:rPr>
          <w:lang w:val="en-US" w:bidi="en-US"/>
        </w:rPr>
        <w:t xml:space="preserve"> culminating in the murder.</w:t>
      </w:r>
      <w:r w:rsidRPr="0009637B">
        <w:rPr>
          <w:lang w:val="en-US" w:bidi="en-US"/>
        </w:rPr>
        <w:t xml:space="preserve"> The murder represents an exploitation of the position of power created by the underlying crime and makes the entire course of</w:t>
      </w:r>
      <w:r w:rsidR="007974B5">
        <w:rPr>
          <w:lang w:val="en-US" w:bidi="en-US"/>
        </w:rPr>
        <w:t xml:space="preserve"> conduct a single transaction. </w:t>
      </w:r>
      <w:r w:rsidRPr="0009637B">
        <w:rPr>
          <w:lang w:val="en-US" w:bidi="en-US"/>
        </w:rPr>
        <w:t>The temporal and c</w:t>
      </w:r>
      <w:r w:rsidR="007974B5">
        <w:rPr>
          <w:lang w:val="en-US" w:bidi="en-US"/>
        </w:rPr>
        <w:t>ausal connection approach asks</w:t>
      </w:r>
      <w:r w:rsidRPr="0009637B">
        <w:rPr>
          <w:lang w:val="en-US" w:bidi="en-US"/>
        </w:rPr>
        <w:t xml:space="preserve"> whether the underlying offence of domination and the murder have a close tempor</w:t>
      </w:r>
      <w:r w:rsidR="007974B5">
        <w:rPr>
          <w:lang w:val="en-US" w:bidi="en-US"/>
        </w:rPr>
        <w:t>al and causal connection. There</w:t>
      </w:r>
      <w:r w:rsidRPr="0009637B">
        <w:rPr>
          <w:lang w:val="en-US" w:bidi="en-US"/>
        </w:rPr>
        <w:t xml:space="preserve"> is a temporal connection between an </w:t>
      </w:r>
      <w:r w:rsidRPr="0009637B">
        <w:rPr>
          <w:lang w:val="en-US" w:bidi="en-US"/>
        </w:rPr>
        <w:lastRenderedPageBreak/>
        <w:t>underlying offence of domination and a murder when the two criminal acts are com</w:t>
      </w:r>
      <w:r w:rsidR="007974B5">
        <w:rPr>
          <w:lang w:val="en-US" w:bidi="en-US"/>
        </w:rPr>
        <w:t>mitted close together in time. There is a causal connection when</w:t>
      </w:r>
      <w:r w:rsidRPr="0009637B">
        <w:rPr>
          <w:lang w:val="en-US" w:bidi="en-US"/>
        </w:rPr>
        <w:t xml:space="preserve"> there is a unifying relationship, beyond mere closeness in time, between the act of illegal dom</w:t>
      </w:r>
      <w:r w:rsidR="007974B5">
        <w:rPr>
          <w:lang w:val="en-US" w:bidi="en-US"/>
        </w:rPr>
        <w:t>ination and the act of murder, such as when</w:t>
      </w:r>
      <w:r w:rsidRPr="0009637B">
        <w:rPr>
          <w:lang w:val="en-US" w:bidi="en-US"/>
        </w:rPr>
        <w:t xml:space="preserve"> the offender’s reason or motivation for the killing arises from, or is linked to, the offender’s unlawfu</w:t>
      </w:r>
      <w:r w:rsidR="007974B5">
        <w:rPr>
          <w:lang w:val="en-US" w:bidi="en-US"/>
        </w:rPr>
        <w:t xml:space="preserve">l domination of a victim. </w:t>
      </w:r>
      <w:r w:rsidRPr="0009637B">
        <w:rPr>
          <w:lang w:val="en-US" w:bidi="en-US"/>
        </w:rPr>
        <w:t>The application of</w:t>
      </w:r>
      <w:r w:rsidR="007974B5">
        <w:rPr>
          <w:lang w:val="en-US" w:bidi="en-US"/>
        </w:rPr>
        <w:t xml:space="preserve"> either of these two approaches</w:t>
      </w:r>
      <w:r w:rsidRPr="0009637B">
        <w:rPr>
          <w:lang w:val="en-US" w:bidi="en-US"/>
        </w:rPr>
        <w:t xml:space="preserve"> involve</w:t>
      </w:r>
      <w:r w:rsidR="007974B5">
        <w:rPr>
          <w:lang w:val="en-US" w:bidi="en-US"/>
        </w:rPr>
        <w:t>s</w:t>
      </w:r>
      <w:r w:rsidRPr="0009637B">
        <w:rPr>
          <w:lang w:val="en-US" w:bidi="en-US"/>
        </w:rPr>
        <w:t xml:space="preserve"> the same inquiry and will res</w:t>
      </w:r>
      <w:r w:rsidR="007974B5">
        <w:rPr>
          <w:lang w:val="en-US" w:bidi="en-US"/>
        </w:rPr>
        <w:t>ult in the same conclusion:</w:t>
      </w:r>
      <w:r w:rsidRPr="0009637B">
        <w:rPr>
          <w:lang w:val="en-US" w:bidi="en-US"/>
        </w:rPr>
        <w:t xml:space="preserve"> when a single transaction is found, there will necessarily be</w:t>
      </w:r>
      <w:r w:rsidR="009604FC">
        <w:rPr>
          <w:lang w:val="en-US" w:bidi="en-US"/>
        </w:rPr>
        <w:t xml:space="preserve"> a temporal</w:t>
      </w:r>
      <w:r w:rsidR="009604FC">
        <w:rPr>
          <w:lang w:val="en-US" w:bidi="en-US"/>
        </w:rPr>
        <w:noBreakHyphen/>
        <w:t>causal connection, and</w:t>
      </w:r>
      <w:r w:rsidRPr="0009637B">
        <w:rPr>
          <w:lang w:val="en-US" w:bidi="en-US"/>
        </w:rPr>
        <w:t xml:space="preserve"> when a temporal-causal connection is found, there will necessarily be a single transaction.</w:t>
      </w:r>
    </w:p>
    <w:p w:rsidR="0009637B" w:rsidRPr="0009637B" w:rsidRDefault="00AC111D" w:rsidP="00C86A4D">
      <w:pPr>
        <w:pStyle w:val="SCCNormalDoubleSpacing"/>
        <w:spacing w:after="480"/>
        <w:rPr>
          <w:lang w:val="en-US" w:bidi="en-US"/>
        </w:rPr>
      </w:pPr>
      <w:r>
        <w:rPr>
          <w:lang w:val="en-US" w:bidi="en-US"/>
        </w:rPr>
        <w:tab/>
      </w:r>
      <w:r w:rsidR="0009637B" w:rsidRPr="0009637B">
        <w:rPr>
          <w:lang w:val="en-US" w:bidi="en-US"/>
        </w:rPr>
        <w:t>The underlying offence of domination and the killing must involve two distinct</w:t>
      </w:r>
      <w:r>
        <w:rPr>
          <w:lang w:val="en-US" w:bidi="en-US"/>
        </w:rPr>
        <w:t xml:space="preserve"> criminal acts.</w:t>
      </w:r>
      <w:r w:rsidR="0009637B" w:rsidRPr="0009637B">
        <w:rPr>
          <w:lang w:val="en-US" w:bidi="en-US"/>
        </w:rPr>
        <w:t xml:space="preserve"> The underlying offence cannot be consumed i</w:t>
      </w:r>
      <w:r>
        <w:rPr>
          <w:lang w:val="en-US" w:bidi="en-US"/>
        </w:rPr>
        <w:t xml:space="preserve">n the very act of killing. </w:t>
      </w:r>
      <w:r w:rsidR="0009637B" w:rsidRPr="0009637B">
        <w:rPr>
          <w:lang w:val="en-US" w:bidi="en-US"/>
        </w:rPr>
        <w:t>If there is only one criminal act, it cannot be said that the offender exploited the domination inherent in the underlying offen</w:t>
      </w:r>
      <w:r>
        <w:rPr>
          <w:lang w:val="en-US" w:bidi="en-US"/>
        </w:rPr>
        <w:t>ce with the act of killing.</w:t>
      </w:r>
      <w:r w:rsidR="0009637B" w:rsidRPr="0009637B">
        <w:rPr>
          <w:lang w:val="en-US" w:bidi="en-US"/>
        </w:rPr>
        <w:t xml:space="preserve"> In such cases, the heightened moral blameworthiness required for first degree murder is absent.</w:t>
      </w:r>
    </w:p>
    <w:p w:rsidR="0009637B" w:rsidRPr="0009637B" w:rsidRDefault="00AC111D" w:rsidP="00C86A4D">
      <w:pPr>
        <w:pStyle w:val="SCCNormalDoubleSpacing"/>
        <w:spacing w:after="480"/>
        <w:rPr>
          <w:lang w:val="en-US" w:bidi="en-US"/>
        </w:rPr>
      </w:pPr>
      <w:r>
        <w:rPr>
          <w:lang w:val="en-US" w:bidi="en-US"/>
        </w:rPr>
        <w:tab/>
      </w:r>
      <w:r w:rsidR="0009637B" w:rsidRPr="0009637B">
        <w:rPr>
          <w:lang w:val="en-US" w:bidi="en-US"/>
        </w:rPr>
        <w:t>Unlawful confinement occurs if</w:t>
      </w:r>
      <w:r w:rsidR="00C552F0" w:rsidRPr="0009637B">
        <w:rPr>
          <w:lang w:val="en-US" w:bidi="en-US"/>
        </w:rPr>
        <w:t>, for any significant time period,</w:t>
      </w:r>
      <w:r w:rsidR="0009637B" w:rsidRPr="0009637B">
        <w:rPr>
          <w:lang w:val="en-US" w:bidi="en-US"/>
        </w:rPr>
        <w:t xml:space="preserve"> a person is coercively restrained or directed contrary to their wishes so that they cannot move about according to their o</w:t>
      </w:r>
      <w:r>
        <w:rPr>
          <w:lang w:val="en-US" w:bidi="en-US"/>
        </w:rPr>
        <w:t xml:space="preserve">wn inclination and desire. </w:t>
      </w:r>
      <w:r w:rsidR="0009637B" w:rsidRPr="0009637B">
        <w:rPr>
          <w:lang w:val="en-US" w:bidi="en-US"/>
        </w:rPr>
        <w:t>The person need not be restricted to a particular place</w:t>
      </w:r>
      <w:r>
        <w:rPr>
          <w:lang w:val="en-US" w:bidi="en-US"/>
        </w:rPr>
        <w:t xml:space="preserve"> or physically restrained. </w:t>
      </w:r>
      <w:r w:rsidR="0009637B" w:rsidRPr="0009637B">
        <w:rPr>
          <w:lang w:val="en-US" w:bidi="en-US"/>
        </w:rPr>
        <w:t>The restraint can be through violence, fear, intimidation or</w:t>
      </w:r>
      <w:r>
        <w:rPr>
          <w:lang w:val="en-US" w:bidi="en-US"/>
        </w:rPr>
        <w:t xml:space="preserve"> psychological or other means, and</w:t>
      </w:r>
      <w:r w:rsidR="0009637B" w:rsidRPr="0009637B">
        <w:rPr>
          <w:lang w:val="en-US" w:bidi="en-US"/>
        </w:rPr>
        <w:t xml:space="preserve"> the purpose of the confinement is not relevant.</w:t>
      </w:r>
    </w:p>
    <w:p w:rsidR="00610539" w:rsidRPr="0009637B" w:rsidRDefault="00AC111D" w:rsidP="00C86A4D">
      <w:pPr>
        <w:pStyle w:val="SCCNormalDoubleSpacing"/>
        <w:spacing w:after="480"/>
        <w:rPr>
          <w:lang w:val="en-US" w:bidi="en-US"/>
        </w:rPr>
      </w:pPr>
      <w:r>
        <w:rPr>
          <w:lang w:val="en-US" w:bidi="en-US"/>
        </w:rPr>
        <w:lastRenderedPageBreak/>
        <w:tab/>
      </w:r>
      <w:r w:rsidR="0009637B" w:rsidRPr="0009637B">
        <w:rPr>
          <w:lang w:val="en-US" w:bidi="en-US"/>
        </w:rPr>
        <w:t>In the present case, the victim’s unlawful confinement continued</w:t>
      </w:r>
      <w:r>
        <w:rPr>
          <w:lang w:val="en-US" w:bidi="en-US"/>
        </w:rPr>
        <w:t xml:space="preserve"> when he escaped from the truck. He was</w:t>
      </w:r>
      <w:r w:rsidR="0009637B" w:rsidRPr="0009637B">
        <w:rPr>
          <w:lang w:val="en-US" w:bidi="en-US"/>
        </w:rPr>
        <w:t xml:space="preserve"> coercively restrained, deprived of his liberty, and unable to move about according to his own incli</w:t>
      </w:r>
      <w:r>
        <w:rPr>
          <w:lang w:val="en-US" w:bidi="en-US"/>
        </w:rPr>
        <w:t>nation and desire. In fact, the victim</w:t>
      </w:r>
      <w:r w:rsidR="0009637B" w:rsidRPr="0009637B">
        <w:rPr>
          <w:lang w:val="en-US" w:bidi="en-US"/>
        </w:rPr>
        <w:t xml:space="preserve"> was still unlawfully confined</w:t>
      </w:r>
      <w:r>
        <w:rPr>
          <w:lang w:val="en-US" w:bidi="en-US"/>
        </w:rPr>
        <w:t xml:space="preserve"> at the time of his death. The accused thus murdered him</w:t>
      </w:r>
      <w:r w:rsidR="0009637B" w:rsidRPr="0009637B">
        <w:rPr>
          <w:rFonts w:ascii="Calibri" w:eastAsia="Calibri" w:hAnsi="Calibri"/>
          <w:sz w:val="22"/>
          <w:szCs w:val="22"/>
          <w:lang w:val="en-US" w:eastAsia="en-US"/>
        </w:rPr>
        <w:t xml:space="preserve"> </w:t>
      </w:r>
      <w:r w:rsidR="0009637B" w:rsidRPr="0009637B">
        <w:rPr>
          <w:lang w:val="en-US" w:bidi="en-US"/>
        </w:rPr>
        <w:t>while committing the offenc</w:t>
      </w:r>
      <w:r>
        <w:rPr>
          <w:lang w:val="en-US" w:bidi="en-US"/>
        </w:rPr>
        <w:t xml:space="preserve">e of unlawful confinement. </w:t>
      </w:r>
      <w:r w:rsidR="0009637B" w:rsidRPr="0009637B">
        <w:rPr>
          <w:lang w:val="en-US" w:bidi="en-US"/>
        </w:rPr>
        <w:t>The unlawful confinement and the murder were close in ti</w:t>
      </w:r>
      <w:r>
        <w:rPr>
          <w:lang w:val="en-US" w:bidi="en-US"/>
        </w:rPr>
        <w:t>me, and</w:t>
      </w:r>
      <w:r w:rsidR="0009637B" w:rsidRPr="0009637B">
        <w:rPr>
          <w:lang w:val="en-US" w:bidi="en-US"/>
        </w:rPr>
        <w:t xml:space="preserve"> involved an</w:t>
      </w:r>
      <w:r>
        <w:rPr>
          <w:lang w:val="en-US" w:bidi="en-US"/>
        </w:rPr>
        <w:t xml:space="preserve"> ongoing course of domination. In addition,</w:t>
      </w:r>
      <w:r w:rsidR="0009637B" w:rsidRPr="0009637B">
        <w:rPr>
          <w:lang w:val="en-US" w:bidi="en-US"/>
        </w:rPr>
        <w:t xml:space="preserve"> the unlawful confinement was distinct from and</w:t>
      </w:r>
      <w:r>
        <w:rPr>
          <w:lang w:val="en-US" w:bidi="en-US"/>
        </w:rPr>
        <w:t xml:space="preserve"> not consumed by the shooting. As a result, the accused’s first degree murder conviction is</w:t>
      </w:r>
      <w:r w:rsidR="0009637B" w:rsidRPr="0009637B">
        <w:rPr>
          <w:lang w:val="en-US" w:bidi="en-US"/>
        </w:rPr>
        <w:t xml:space="preserve"> justified.</w:t>
      </w:r>
    </w:p>
    <w:p w:rsidR="007E1C47" w:rsidRDefault="002E6705" w:rsidP="00C86A4D">
      <w:pPr>
        <w:pStyle w:val="SCCNormalDoubleSpacing"/>
        <w:widowControl w:val="0"/>
        <w:spacing w:after="720" w:line="240" w:lineRule="auto"/>
        <w:rPr>
          <w:b/>
        </w:rPr>
      </w:pPr>
      <w:r w:rsidRPr="00314E01">
        <w:rPr>
          <w:b/>
        </w:rPr>
        <w:t>Cases Cited</w:t>
      </w:r>
    </w:p>
    <w:p w:rsidR="004E2C26" w:rsidRPr="007870DE" w:rsidRDefault="002E6705" w:rsidP="003F0011">
      <w:pPr>
        <w:pStyle w:val="SCCNormalDoubleSpacing"/>
        <w:widowControl w:val="0"/>
        <w:spacing w:after="480"/>
        <w:rPr>
          <w:lang w:val="en-US"/>
        </w:rPr>
      </w:pPr>
      <w:r>
        <w:tab/>
      </w:r>
      <w:r w:rsidR="00C552F0">
        <w:rPr>
          <w:b/>
          <w:lang w:bidi="en-US"/>
        </w:rPr>
        <w:t>R</w:t>
      </w:r>
      <w:r w:rsidR="00E4569D" w:rsidRPr="00E4569D">
        <w:rPr>
          <w:b/>
          <w:lang w:bidi="en-US"/>
        </w:rPr>
        <w:t>eferred to:</w:t>
      </w:r>
      <w:r w:rsidR="00E4569D" w:rsidRPr="00E4569D">
        <w:rPr>
          <w:lang w:bidi="en-US"/>
        </w:rPr>
        <w:t xml:space="preserve"> </w:t>
      </w:r>
      <w:r w:rsidR="00C552F0" w:rsidRPr="00140AC2">
        <w:rPr>
          <w:i/>
          <w:lang w:bidi="en-US"/>
        </w:rPr>
        <w:t>R. v. Paré</w:t>
      </w:r>
      <w:r w:rsidR="00C552F0" w:rsidRPr="00140AC2">
        <w:rPr>
          <w:lang w:bidi="en-US"/>
        </w:rPr>
        <w:t>, [1987] 2 S.C.R. 618</w:t>
      </w:r>
      <w:r w:rsidR="00C552F0">
        <w:rPr>
          <w:lang w:bidi="en-US"/>
        </w:rPr>
        <w:t xml:space="preserve">; </w:t>
      </w:r>
      <w:r w:rsidR="00D47104" w:rsidRPr="0025135B">
        <w:rPr>
          <w:i/>
        </w:rPr>
        <w:t>R. v.</w:t>
      </w:r>
      <w:r w:rsidR="00D47104" w:rsidRPr="0025135B">
        <w:t xml:space="preserve"> </w:t>
      </w:r>
      <w:r w:rsidR="00D47104" w:rsidRPr="0025135B">
        <w:rPr>
          <w:i/>
        </w:rPr>
        <w:t>Magoon</w:t>
      </w:r>
      <w:r w:rsidR="00D47104" w:rsidRPr="0025135B">
        <w:t>, 2018 SCC 14, [2018] 1 S.C.R. 309</w:t>
      </w:r>
      <w:r w:rsidR="00D47104">
        <w:t xml:space="preserve">; </w:t>
      </w:r>
      <w:r w:rsidR="004F33EE" w:rsidRPr="0025135B">
        <w:rPr>
          <w:i/>
        </w:rPr>
        <w:t>R. v. Bottineau</w:t>
      </w:r>
      <w:r w:rsidR="003F0011">
        <w:t>, [2006] O.J. No. </w:t>
      </w:r>
      <w:r w:rsidR="004F33EE" w:rsidRPr="0025135B">
        <w:t>1864 (QL)</w:t>
      </w:r>
      <w:r w:rsidR="004F33EE">
        <w:t xml:space="preserve">, </w:t>
      </w:r>
      <w:r w:rsidR="004F33EE" w:rsidRPr="00447D3C">
        <w:t>2006 CarswellOnt 8510</w:t>
      </w:r>
      <w:r w:rsidR="004F33EE">
        <w:t xml:space="preserve"> (WL)</w:t>
      </w:r>
      <w:r w:rsidR="004F33EE" w:rsidRPr="0025135B">
        <w:t>, aff’d 2011 ONCA 194, 269 C.C.C. (3d) 227</w:t>
      </w:r>
      <w:r w:rsidR="004F33EE">
        <w:t>;</w:t>
      </w:r>
      <w:r w:rsidR="00A43B91" w:rsidRPr="00A43B91">
        <w:rPr>
          <w:i/>
        </w:rPr>
        <w:t xml:space="preserve"> </w:t>
      </w:r>
      <w:r w:rsidR="00A43B91" w:rsidRPr="0025135B">
        <w:rPr>
          <w:i/>
        </w:rPr>
        <w:t>R. v.</w:t>
      </w:r>
      <w:r w:rsidR="00A43B91" w:rsidRPr="0025135B">
        <w:t xml:space="preserve"> </w:t>
      </w:r>
      <w:proofErr w:type="spellStart"/>
      <w:r w:rsidR="00A43B91" w:rsidRPr="0025135B">
        <w:rPr>
          <w:i/>
        </w:rPr>
        <w:t>Luxton</w:t>
      </w:r>
      <w:proofErr w:type="spellEnd"/>
      <w:r w:rsidR="00A43B91" w:rsidRPr="0025135B">
        <w:t>, [1990] 2 S.C.R. 711</w:t>
      </w:r>
      <w:r w:rsidR="00A43B91">
        <w:t xml:space="preserve">; </w:t>
      </w:r>
      <w:r w:rsidR="00D3608C" w:rsidRPr="0025135B">
        <w:rPr>
          <w:i/>
        </w:rPr>
        <w:t>R. v.</w:t>
      </w:r>
      <w:r w:rsidR="00D3608C" w:rsidRPr="0025135B">
        <w:t xml:space="preserve"> </w:t>
      </w:r>
      <w:r w:rsidR="00D3608C" w:rsidRPr="0025135B">
        <w:rPr>
          <w:i/>
        </w:rPr>
        <w:t>Pritchard</w:t>
      </w:r>
      <w:r w:rsidR="00D3608C" w:rsidRPr="0025135B">
        <w:t>, 2008 SCC 59, [2008] 3 S.C.R. 195</w:t>
      </w:r>
      <w:r w:rsidR="00D3608C">
        <w:t xml:space="preserve">; </w:t>
      </w:r>
      <w:r w:rsidR="00CF413E" w:rsidRPr="0025135B">
        <w:rPr>
          <w:i/>
        </w:rPr>
        <w:t xml:space="preserve">R. v. </w:t>
      </w:r>
      <w:proofErr w:type="spellStart"/>
      <w:r w:rsidR="00CF413E" w:rsidRPr="0025135B">
        <w:rPr>
          <w:i/>
        </w:rPr>
        <w:t>Gratton</w:t>
      </w:r>
      <w:proofErr w:type="spellEnd"/>
      <w:r w:rsidR="00CF413E" w:rsidRPr="0025135B">
        <w:t xml:space="preserve"> (1985), 18 C.C.C. (3d) 462</w:t>
      </w:r>
      <w:r w:rsidR="00CF413E">
        <w:t xml:space="preserve">; </w:t>
      </w:r>
      <w:r w:rsidR="007870DE" w:rsidRPr="0025135B">
        <w:rPr>
          <w:i/>
        </w:rPr>
        <w:t xml:space="preserve">R. v. </w:t>
      </w:r>
      <w:proofErr w:type="spellStart"/>
      <w:r w:rsidR="007870DE" w:rsidRPr="0025135B">
        <w:rPr>
          <w:i/>
        </w:rPr>
        <w:t>Lemaigre</w:t>
      </w:r>
      <w:proofErr w:type="spellEnd"/>
      <w:r w:rsidR="007870DE" w:rsidRPr="0025135B">
        <w:t xml:space="preserve"> </w:t>
      </w:r>
      <w:r w:rsidR="007870DE" w:rsidRPr="00DE74CD">
        <w:t>(1987), 56 Sask. R. 300</w:t>
      </w:r>
      <w:r w:rsidR="007870DE">
        <w:rPr>
          <w:lang w:val="en-US"/>
        </w:rPr>
        <w:t xml:space="preserve">; </w:t>
      </w:r>
      <w:r w:rsidR="00706103">
        <w:rPr>
          <w:i/>
          <w:lang w:val="en-US"/>
        </w:rPr>
        <w:t>R</w:t>
      </w:r>
      <w:r w:rsidR="00FA3FAA" w:rsidRPr="0025135B">
        <w:rPr>
          <w:i/>
        </w:rPr>
        <w:t>. v.</w:t>
      </w:r>
      <w:r w:rsidR="00FA3FAA" w:rsidRPr="0025135B">
        <w:t xml:space="preserve"> </w:t>
      </w:r>
      <w:r w:rsidR="00FA3FAA" w:rsidRPr="0025135B">
        <w:rPr>
          <w:i/>
        </w:rPr>
        <w:t>Kimberley</w:t>
      </w:r>
      <w:r w:rsidR="00FA3FAA" w:rsidRPr="0025135B">
        <w:t xml:space="preserve"> (2001), 56 O.R. (3d) 18</w:t>
      </w:r>
      <w:r w:rsidR="00706103">
        <w:t>;</w:t>
      </w:r>
      <w:r w:rsidR="008E1129" w:rsidRPr="008E1129">
        <w:rPr>
          <w:i/>
        </w:rPr>
        <w:t xml:space="preserve"> </w:t>
      </w:r>
      <w:r w:rsidR="008E1129" w:rsidRPr="0025135B">
        <w:rPr>
          <w:i/>
        </w:rPr>
        <w:t>R. v.</w:t>
      </w:r>
      <w:r w:rsidR="008E1129" w:rsidRPr="0025135B">
        <w:t xml:space="preserve"> </w:t>
      </w:r>
      <w:r w:rsidR="008E1129" w:rsidRPr="0025135B">
        <w:rPr>
          <w:i/>
        </w:rPr>
        <w:t>Johnstone</w:t>
      </w:r>
      <w:r w:rsidR="008E1129" w:rsidRPr="0025135B">
        <w:t>, 2014 ONCA 504</w:t>
      </w:r>
      <w:r w:rsidR="008E1129">
        <w:t xml:space="preserve">, </w:t>
      </w:r>
      <w:r w:rsidR="008E1129" w:rsidRPr="00A96218">
        <w:t>313 C.C.C. (3d) 34</w:t>
      </w:r>
      <w:r w:rsidR="008E1129">
        <w:t xml:space="preserve">; </w:t>
      </w:r>
      <w:r w:rsidR="00385C9B" w:rsidRPr="0025135B">
        <w:rPr>
          <w:i/>
        </w:rPr>
        <w:t>R. v.</w:t>
      </w:r>
      <w:r w:rsidR="00385C9B" w:rsidRPr="0025135B">
        <w:t xml:space="preserve"> </w:t>
      </w:r>
      <w:r w:rsidR="00385C9B" w:rsidRPr="0025135B">
        <w:rPr>
          <w:i/>
        </w:rPr>
        <w:t>Parris</w:t>
      </w:r>
      <w:r w:rsidR="00385C9B" w:rsidRPr="0025135B">
        <w:t>, 2013 ONCA 515</w:t>
      </w:r>
      <w:r w:rsidR="00385C9B">
        <w:t xml:space="preserve">, </w:t>
      </w:r>
      <w:r w:rsidR="00385C9B" w:rsidRPr="00183E3D">
        <w:t>300 C.C.C. (3d)</w:t>
      </w:r>
      <w:r w:rsidR="00385C9B">
        <w:t xml:space="preserve"> </w:t>
      </w:r>
      <w:r w:rsidR="00385C9B" w:rsidRPr="00183E3D">
        <w:t>41</w:t>
      </w:r>
      <w:r w:rsidR="00385C9B">
        <w:t xml:space="preserve">; </w:t>
      </w:r>
      <w:r w:rsidR="002437D0" w:rsidRPr="0025135B">
        <w:rPr>
          <w:i/>
        </w:rPr>
        <w:t>R. v. Newman</w:t>
      </w:r>
      <w:r w:rsidR="002437D0" w:rsidRPr="0025135B">
        <w:t>, 2016 SCC 7, [2016] 1 S.C.R. 27</w:t>
      </w:r>
      <w:r w:rsidR="002437D0">
        <w:t xml:space="preserve">; </w:t>
      </w:r>
      <w:r w:rsidR="003D2EEC" w:rsidRPr="0025135B">
        <w:rPr>
          <w:i/>
        </w:rPr>
        <w:t xml:space="preserve">R. v. </w:t>
      </w:r>
      <w:proofErr w:type="spellStart"/>
      <w:r w:rsidR="003D2EEC" w:rsidRPr="0025135B">
        <w:rPr>
          <w:i/>
        </w:rPr>
        <w:t>Arkell</w:t>
      </w:r>
      <w:proofErr w:type="spellEnd"/>
      <w:r w:rsidR="003D2EEC" w:rsidRPr="0025135B">
        <w:t>, [1990] 2 S.C.R. 695</w:t>
      </w:r>
      <w:r w:rsidR="003D2EEC">
        <w:t xml:space="preserve">; </w:t>
      </w:r>
      <w:r w:rsidR="00EA4BB3" w:rsidRPr="0025135B">
        <w:rPr>
          <w:i/>
        </w:rPr>
        <w:t>R. v. Russell</w:t>
      </w:r>
      <w:r w:rsidR="00EA4BB3" w:rsidRPr="0025135B">
        <w:t>, 2001 SCC 53, [2001] 2 S.C.R. 804</w:t>
      </w:r>
      <w:r w:rsidR="00EA4BB3">
        <w:t xml:space="preserve">; </w:t>
      </w:r>
      <w:r w:rsidR="009360C5" w:rsidRPr="0025135B">
        <w:rPr>
          <w:i/>
        </w:rPr>
        <w:t xml:space="preserve">R. v. </w:t>
      </w:r>
      <w:proofErr w:type="spellStart"/>
      <w:r w:rsidR="009360C5" w:rsidRPr="0025135B">
        <w:rPr>
          <w:i/>
        </w:rPr>
        <w:t>Harbottle</w:t>
      </w:r>
      <w:proofErr w:type="spellEnd"/>
      <w:r w:rsidR="009360C5" w:rsidRPr="0025135B">
        <w:t>, [1993] 3 S.C.R. 306</w:t>
      </w:r>
      <w:r w:rsidR="009360C5">
        <w:t xml:space="preserve">; </w:t>
      </w:r>
      <w:r w:rsidR="00EC7248" w:rsidRPr="0025135B">
        <w:rPr>
          <w:i/>
        </w:rPr>
        <w:t xml:space="preserve">R. v. </w:t>
      </w:r>
      <w:proofErr w:type="spellStart"/>
      <w:r w:rsidR="00EC7248" w:rsidRPr="0025135B">
        <w:rPr>
          <w:i/>
        </w:rPr>
        <w:t>Nette</w:t>
      </w:r>
      <w:proofErr w:type="spellEnd"/>
      <w:r w:rsidR="00EC7248" w:rsidRPr="0025135B">
        <w:t>, 2001 SCC 78, [2001] 3 S.C.R. 488</w:t>
      </w:r>
      <w:r w:rsidR="00EC7248">
        <w:t xml:space="preserve">; </w:t>
      </w:r>
      <w:r w:rsidR="00A84047" w:rsidRPr="0025135B">
        <w:rPr>
          <w:i/>
        </w:rPr>
        <w:t>R. v. Niemi</w:t>
      </w:r>
      <w:r w:rsidR="00A84047" w:rsidRPr="0025135B">
        <w:t>, 2017 ONCA 720</w:t>
      </w:r>
      <w:r w:rsidR="00A84047">
        <w:t xml:space="preserve">, </w:t>
      </w:r>
      <w:r w:rsidR="00A84047" w:rsidRPr="00AC5F8A">
        <w:t>355 C.C.C. (3d)</w:t>
      </w:r>
      <w:r w:rsidR="00A84047">
        <w:t xml:space="preserve"> </w:t>
      </w:r>
      <w:r w:rsidR="00A84047" w:rsidRPr="00AC5F8A">
        <w:t>344</w:t>
      </w:r>
      <w:r w:rsidR="00A84047">
        <w:t xml:space="preserve">; </w:t>
      </w:r>
      <w:r w:rsidR="003F0011">
        <w:rPr>
          <w:i/>
        </w:rPr>
        <w:t xml:space="preserve">R. v. </w:t>
      </w:r>
      <w:proofErr w:type="spellStart"/>
      <w:r w:rsidR="003F0011">
        <w:rPr>
          <w:i/>
        </w:rPr>
        <w:t>Imona</w:t>
      </w:r>
      <w:proofErr w:type="spellEnd"/>
      <w:r w:rsidR="003F0011">
        <w:rPr>
          <w:i/>
        </w:rPr>
        <w:noBreakHyphen/>
      </w:r>
      <w:r w:rsidR="00C231D4" w:rsidRPr="0025135B">
        <w:rPr>
          <w:i/>
        </w:rPr>
        <w:t>Russell</w:t>
      </w:r>
      <w:r w:rsidR="00C231D4" w:rsidRPr="0025135B">
        <w:t>, 2018 ONCA 590</w:t>
      </w:r>
      <w:r w:rsidR="00C231D4">
        <w:t xml:space="preserve">; </w:t>
      </w:r>
      <w:r w:rsidR="0015772C" w:rsidRPr="0025135B">
        <w:rPr>
          <w:i/>
        </w:rPr>
        <w:t>R. v. McGregor</w:t>
      </w:r>
      <w:r w:rsidR="0015772C" w:rsidRPr="0025135B">
        <w:t>, 2019 ONCA 307, 145 O.R. (3d) 641</w:t>
      </w:r>
      <w:r w:rsidR="0015772C">
        <w:t xml:space="preserve">; </w:t>
      </w:r>
      <w:r w:rsidR="000D4E59" w:rsidRPr="0025135B">
        <w:rPr>
          <w:i/>
        </w:rPr>
        <w:t>R. v. Stevens</w:t>
      </w:r>
      <w:r w:rsidR="000D4E59" w:rsidRPr="0025135B">
        <w:t xml:space="preserve"> (1984), 11 C.C.C. (3d) 518</w:t>
      </w:r>
      <w:r w:rsidR="000D4E59">
        <w:t xml:space="preserve">; </w:t>
      </w:r>
      <w:r w:rsidR="004D05FF" w:rsidRPr="0025135B">
        <w:rPr>
          <w:i/>
        </w:rPr>
        <w:t xml:space="preserve">R. v. </w:t>
      </w:r>
      <w:proofErr w:type="spellStart"/>
      <w:r w:rsidR="004D05FF" w:rsidRPr="0025135B">
        <w:rPr>
          <w:i/>
        </w:rPr>
        <w:t>Ganton</w:t>
      </w:r>
      <w:proofErr w:type="spellEnd"/>
      <w:r w:rsidR="004D05FF" w:rsidRPr="0025135B">
        <w:t xml:space="preserve"> (1992), 77 C.C.C. (3d) 259</w:t>
      </w:r>
      <w:r w:rsidR="004D05FF">
        <w:t xml:space="preserve">; </w:t>
      </w:r>
      <w:r w:rsidR="00B4122B" w:rsidRPr="0025135B">
        <w:rPr>
          <w:i/>
        </w:rPr>
        <w:t>R. v. Johnson and Jensen</w:t>
      </w:r>
      <w:r w:rsidR="00B4122B" w:rsidRPr="0025135B">
        <w:t xml:space="preserve"> (1993), 141 A.R. 184</w:t>
      </w:r>
      <w:r w:rsidR="00B4122B">
        <w:t xml:space="preserve">; </w:t>
      </w:r>
      <w:r w:rsidR="00B7518F" w:rsidRPr="0025135B">
        <w:rPr>
          <w:i/>
        </w:rPr>
        <w:t>R. v. Plewes</w:t>
      </w:r>
      <w:r w:rsidR="00B7518F" w:rsidRPr="0025135B">
        <w:t>, 2000 BCCA 278</w:t>
      </w:r>
      <w:r w:rsidR="00B7518F">
        <w:t xml:space="preserve">, </w:t>
      </w:r>
      <w:r w:rsidR="00B7518F" w:rsidRPr="00F027A6">
        <w:t>144 C.C.C. (3d)</w:t>
      </w:r>
      <w:r w:rsidR="00B7518F">
        <w:t xml:space="preserve"> </w:t>
      </w:r>
      <w:r w:rsidR="00B7518F" w:rsidRPr="00F027A6">
        <w:t>426</w:t>
      </w:r>
      <w:r w:rsidR="00B7518F">
        <w:t xml:space="preserve">; </w:t>
      </w:r>
      <w:r w:rsidR="00300574" w:rsidRPr="0025135B">
        <w:rPr>
          <w:i/>
        </w:rPr>
        <w:t xml:space="preserve">R. v. </w:t>
      </w:r>
      <w:proofErr w:type="spellStart"/>
      <w:r w:rsidR="00300574" w:rsidRPr="0025135B">
        <w:rPr>
          <w:i/>
        </w:rPr>
        <w:t>Westergard</w:t>
      </w:r>
      <w:proofErr w:type="spellEnd"/>
      <w:r w:rsidR="00300574" w:rsidRPr="0025135B">
        <w:t xml:space="preserve"> </w:t>
      </w:r>
      <w:r w:rsidR="00300574" w:rsidRPr="0025135B">
        <w:lastRenderedPageBreak/>
        <w:t>(2004), 24 C.R. (6th) 375</w:t>
      </w:r>
      <w:r w:rsidR="00300574">
        <w:t xml:space="preserve">; </w:t>
      </w:r>
      <w:r w:rsidR="00EB4108" w:rsidRPr="0025135B">
        <w:rPr>
          <w:i/>
        </w:rPr>
        <w:t>R. v. Mullings</w:t>
      </w:r>
      <w:r w:rsidR="00EB4108" w:rsidRPr="0025135B">
        <w:t>, 2014 ONCA 895</w:t>
      </w:r>
      <w:r w:rsidR="00EB4108">
        <w:t xml:space="preserve">, </w:t>
      </w:r>
      <w:r w:rsidR="00EB4108" w:rsidRPr="00F027A6">
        <w:t>319 C.C.C. (3d)</w:t>
      </w:r>
      <w:r w:rsidR="00EB4108">
        <w:t xml:space="preserve"> 1; </w:t>
      </w:r>
      <w:r w:rsidR="00633E18" w:rsidRPr="0025135B">
        <w:rPr>
          <w:i/>
        </w:rPr>
        <w:t xml:space="preserve">R. v. </w:t>
      </w:r>
      <w:proofErr w:type="spellStart"/>
      <w:r w:rsidR="00633E18" w:rsidRPr="0025135B">
        <w:rPr>
          <w:i/>
        </w:rPr>
        <w:t>Maybin</w:t>
      </w:r>
      <w:proofErr w:type="spellEnd"/>
      <w:r w:rsidR="00633E18" w:rsidRPr="0025135B">
        <w:t>, 2012 SCC 24, [2012] 2 S.C.R. 30</w:t>
      </w:r>
      <w:r w:rsidR="00633E18">
        <w:t xml:space="preserve">; </w:t>
      </w:r>
      <w:r w:rsidR="001C596D" w:rsidRPr="0025135B">
        <w:rPr>
          <w:i/>
        </w:rPr>
        <w:t>Grayson v. Wellington Insurance Co.</w:t>
      </w:r>
      <w:r w:rsidR="001C596D" w:rsidRPr="0025135B">
        <w:t xml:space="preserve"> (1997), 37 B.C.L.R. (3d) 49</w:t>
      </w:r>
      <w:r w:rsidR="001C596D">
        <w:t xml:space="preserve">; </w:t>
      </w:r>
      <w:r w:rsidR="00E94B94" w:rsidRPr="0025135B">
        <w:rPr>
          <w:i/>
        </w:rPr>
        <w:t>R. v. Alexis</w:t>
      </w:r>
      <w:r w:rsidR="00E94B94" w:rsidRPr="0025135B">
        <w:t>, 2020 ONCA 334</w:t>
      </w:r>
      <w:r w:rsidR="00E94B94">
        <w:t xml:space="preserve">, </w:t>
      </w:r>
      <w:r w:rsidR="00E94B94" w:rsidRPr="00A86733">
        <w:t>388 C.C.C. (3d)</w:t>
      </w:r>
      <w:r w:rsidR="00E94B94">
        <w:t xml:space="preserve"> </w:t>
      </w:r>
      <w:r w:rsidR="00E94B94" w:rsidRPr="00A86733">
        <w:t>226</w:t>
      </w:r>
      <w:r w:rsidR="00E94B94">
        <w:t xml:space="preserve">; </w:t>
      </w:r>
      <w:r w:rsidR="009F3E83" w:rsidRPr="0025135B">
        <w:rPr>
          <w:i/>
        </w:rPr>
        <w:t>R. v. Chung</w:t>
      </w:r>
      <w:r w:rsidR="009F3E83" w:rsidRPr="0025135B">
        <w:t>, 2020 SCC 8</w:t>
      </w:r>
      <w:r w:rsidR="009F3E83">
        <w:t>;</w:t>
      </w:r>
      <w:r w:rsidR="00BD4124" w:rsidRPr="00BD4124">
        <w:rPr>
          <w:i/>
        </w:rPr>
        <w:t xml:space="preserve"> </w:t>
      </w:r>
      <w:r w:rsidR="00BD4124" w:rsidRPr="0025135B">
        <w:rPr>
          <w:i/>
        </w:rPr>
        <w:t>R. v. J.M.H.</w:t>
      </w:r>
      <w:r w:rsidR="00BD4124" w:rsidRPr="0025135B">
        <w:t>, 2011 SCC 45, [2011] 3 S.C.R. 197</w:t>
      </w:r>
      <w:r w:rsidR="00997601">
        <w:t>.</w:t>
      </w:r>
    </w:p>
    <w:p w:rsidR="003B215F" w:rsidRDefault="002E6705" w:rsidP="003F0011">
      <w:pPr>
        <w:pStyle w:val="SCCNormalDoubleSpacing"/>
        <w:spacing w:after="720" w:line="240" w:lineRule="auto"/>
      </w:pPr>
      <w:r w:rsidRPr="00314E01">
        <w:rPr>
          <w:b/>
        </w:rPr>
        <w:t>Statutes and Regulations Cite</w:t>
      </w:r>
      <w:r w:rsidR="00A41805">
        <w:rPr>
          <w:b/>
        </w:rPr>
        <w:t>d</w:t>
      </w:r>
    </w:p>
    <w:p w:rsidR="005D6E4D" w:rsidRPr="005D6E4D" w:rsidRDefault="005D6E4D" w:rsidP="003F0011">
      <w:pPr>
        <w:pStyle w:val="SCCNormalDoubleSpacing"/>
        <w:spacing w:after="240" w:line="240" w:lineRule="auto"/>
        <w:ind w:left="547" w:hanging="547"/>
      </w:pPr>
      <w:r w:rsidRPr="0025135B">
        <w:rPr>
          <w:i/>
        </w:rPr>
        <w:t>Canadian Charter of Rights and Freedoms</w:t>
      </w:r>
      <w:r w:rsidR="003F0011">
        <w:t>, ss. </w:t>
      </w:r>
      <w:r>
        <w:t>7, 9,</w:t>
      </w:r>
      <w:r w:rsidRPr="0025135B">
        <w:t xml:space="preserve"> 12</w:t>
      </w:r>
      <w:r>
        <w:t>.</w:t>
      </w:r>
    </w:p>
    <w:p w:rsidR="00A149DF" w:rsidRPr="0025391A" w:rsidRDefault="009829CA" w:rsidP="003F0011">
      <w:pPr>
        <w:pStyle w:val="SCCNormalDoubleSpacing"/>
        <w:spacing w:after="720" w:line="240" w:lineRule="auto"/>
        <w:ind w:left="547" w:hanging="547"/>
        <w:rPr>
          <w:lang w:val="en-US"/>
        </w:rPr>
      </w:pPr>
      <w:r w:rsidRPr="0025391A">
        <w:rPr>
          <w:i/>
          <w:lang w:val="en-US"/>
        </w:rPr>
        <w:t>Criminal Code</w:t>
      </w:r>
      <w:r w:rsidR="003F0011">
        <w:rPr>
          <w:lang w:val="en-US"/>
        </w:rPr>
        <w:t>, R.S.C. 1985, c. C</w:t>
      </w:r>
      <w:r w:rsidR="003F0011">
        <w:rPr>
          <w:lang w:val="en-US"/>
        </w:rPr>
        <w:noBreakHyphen/>
      </w:r>
      <w:r w:rsidRPr="0025391A">
        <w:rPr>
          <w:lang w:val="en-US"/>
        </w:rPr>
        <w:t>46, ss. 231</w:t>
      </w:r>
      <w:r w:rsidR="007D1D6C" w:rsidRPr="0025391A">
        <w:rPr>
          <w:lang w:val="en-US"/>
        </w:rPr>
        <w:t>, 279(2)</w:t>
      </w:r>
      <w:r w:rsidR="00E97F6F" w:rsidRPr="0025391A">
        <w:rPr>
          <w:lang w:val="en-US"/>
        </w:rPr>
        <w:t xml:space="preserve">, </w:t>
      </w:r>
      <w:r w:rsidR="00E97F6F" w:rsidRPr="0025135B">
        <w:t>676(1</w:t>
      </w:r>
      <w:proofErr w:type="gramStart"/>
      <w:r w:rsidR="00E97F6F" w:rsidRPr="0025135B">
        <w:t>)(</w:t>
      </w:r>
      <w:proofErr w:type="gramEnd"/>
      <w:r w:rsidR="00E97F6F" w:rsidRPr="0025135B">
        <w:t>a)</w:t>
      </w:r>
      <w:r w:rsidR="008672A2" w:rsidRPr="0025391A">
        <w:rPr>
          <w:lang w:val="en-US"/>
        </w:rPr>
        <w:t>, 745(a)</w:t>
      </w:r>
      <w:r w:rsidR="005564A7" w:rsidRPr="0025391A">
        <w:rPr>
          <w:lang w:val="en-US"/>
        </w:rPr>
        <w:t>, (c), 745.4</w:t>
      </w:r>
      <w:r w:rsidRPr="0025391A">
        <w:rPr>
          <w:lang w:val="en-US"/>
        </w:rPr>
        <w:t>.</w:t>
      </w:r>
    </w:p>
    <w:p w:rsidR="002E6705" w:rsidRDefault="002E6705" w:rsidP="003F0011">
      <w:pPr>
        <w:pStyle w:val="SCCNormalDoubleSpacing"/>
        <w:spacing w:after="720" w:line="240" w:lineRule="auto"/>
        <w:rPr>
          <w:b/>
        </w:rPr>
      </w:pPr>
      <w:r w:rsidRPr="00314E01">
        <w:rPr>
          <w:b/>
        </w:rPr>
        <w:t>Authors Cited</w:t>
      </w:r>
    </w:p>
    <w:p w:rsidR="000A3083" w:rsidRPr="000A3083" w:rsidRDefault="000A3083" w:rsidP="003F0011">
      <w:pPr>
        <w:pStyle w:val="SCCNormalDoubleSpacing"/>
        <w:spacing w:after="240" w:line="240" w:lineRule="auto"/>
        <w:ind w:left="547" w:hanging="547"/>
      </w:pPr>
      <w:r>
        <w:t>Canadian</w:t>
      </w:r>
      <w:r w:rsidRPr="0025135B">
        <w:t xml:space="preserve"> Judicial </w:t>
      </w:r>
      <w:r>
        <w:t>Council.</w:t>
      </w:r>
      <w:r w:rsidRPr="0025135B">
        <w:t xml:space="preserve"> </w:t>
      </w:r>
      <w:r w:rsidRPr="0025135B">
        <w:rPr>
          <w:i/>
        </w:rPr>
        <w:t>Model Jury Instructions</w:t>
      </w:r>
      <w:r>
        <w:t xml:space="preserve">, </w:t>
      </w:r>
      <w:r w:rsidRPr="0025135B">
        <w:t xml:space="preserve">“Offence 231(5): First Degree Murder </w:t>
      </w:r>
      <w:r>
        <w:t>i</w:t>
      </w:r>
      <w:r w:rsidRPr="0025135B">
        <w:t xml:space="preserve">n the Commission of </w:t>
      </w:r>
      <w:proofErr w:type="gramStart"/>
      <w:r w:rsidRPr="0025135B">
        <w:t>Another</w:t>
      </w:r>
      <w:proofErr w:type="gramEnd"/>
      <w:r w:rsidRPr="0025135B">
        <w:t xml:space="preserve"> Offence”</w:t>
      </w:r>
      <w:r>
        <w:t>, last revised May 2019</w:t>
      </w:r>
      <w:r w:rsidR="00592ADC">
        <w:t xml:space="preserve"> (online)</w:t>
      </w:r>
      <w:r>
        <w:rPr>
          <w:rFonts w:eastAsiaTheme="majorEastAsia"/>
        </w:rPr>
        <w:t>.</w:t>
      </w:r>
    </w:p>
    <w:p w:rsidR="00A149DF" w:rsidRDefault="0040177C" w:rsidP="003F0011">
      <w:pPr>
        <w:pStyle w:val="SCCNormalDoubleSpacing"/>
        <w:spacing w:after="240" w:line="240" w:lineRule="auto"/>
        <w:ind w:left="547" w:hanging="547"/>
      </w:pPr>
      <w:r w:rsidRPr="0025135B">
        <w:t>Manning</w:t>
      </w:r>
      <w:r>
        <w:t xml:space="preserve">, </w:t>
      </w:r>
      <w:r w:rsidRPr="0040177C">
        <w:t>Morris</w:t>
      </w:r>
      <w:r>
        <w:t>,</w:t>
      </w:r>
      <w:r w:rsidRPr="0025135B">
        <w:t xml:space="preserve"> and </w:t>
      </w:r>
      <w:r w:rsidRPr="0040177C">
        <w:t>Peter</w:t>
      </w:r>
      <w:r w:rsidRPr="0025135B">
        <w:t xml:space="preserve"> Sankoff</w:t>
      </w:r>
      <w:r>
        <w:t>.</w:t>
      </w:r>
      <w:r w:rsidRPr="0025135B">
        <w:t xml:space="preserve"> </w:t>
      </w:r>
      <w:r w:rsidRPr="0025135B">
        <w:rPr>
          <w:i/>
        </w:rPr>
        <w:t xml:space="preserve">Manning, </w:t>
      </w:r>
      <w:proofErr w:type="spellStart"/>
      <w:r w:rsidRPr="0025135B">
        <w:rPr>
          <w:i/>
        </w:rPr>
        <w:t>Mewett</w:t>
      </w:r>
      <w:proofErr w:type="spellEnd"/>
      <w:r w:rsidRPr="0025135B">
        <w:rPr>
          <w:i/>
        </w:rPr>
        <w:t xml:space="preserve"> &amp; Sankoff: Criminal Law</w:t>
      </w:r>
      <w:r>
        <w:t xml:space="preserve">, </w:t>
      </w:r>
      <w:r w:rsidRPr="0025135B">
        <w:t>5th ed.</w:t>
      </w:r>
      <w:r>
        <w:t xml:space="preserve"> </w:t>
      </w:r>
      <w:r w:rsidRPr="0040177C">
        <w:t>Markham</w:t>
      </w:r>
      <w:r>
        <w:t xml:space="preserve">, Ont.: </w:t>
      </w:r>
      <w:r w:rsidRPr="0040177C">
        <w:t>LexisNexis</w:t>
      </w:r>
      <w:r>
        <w:t>,</w:t>
      </w:r>
      <w:r w:rsidRPr="0025135B">
        <w:t xml:space="preserve"> 2015</w:t>
      </w:r>
      <w:r>
        <w:t>.</w:t>
      </w:r>
    </w:p>
    <w:p w:rsidR="0094408E" w:rsidRDefault="0094408E" w:rsidP="003F0011">
      <w:pPr>
        <w:pStyle w:val="SCCNormalDoubleSpacing"/>
        <w:spacing w:after="240" w:line="240" w:lineRule="auto"/>
        <w:ind w:left="547" w:hanging="547"/>
      </w:pPr>
      <w:r w:rsidRPr="0025135B">
        <w:t>Roach,</w:t>
      </w:r>
      <w:r>
        <w:t xml:space="preserve"> Kent.</w:t>
      </w:r>
      <w:r w:rsidRPr="0025135B">
        <w:t xml:space="preserve"> </w:t>
      </w:r>
      <w:r w:rsidRPr="0025135B">
        <w:rPr>
          <w:i/>
        </w:rPr>
        <w:t>Criminal Law</w:t>
      </w:r>
      <w:r>
        <w:t xml:space="preserve">, </w:t>
      </w:r>
      <w:r w:rsidRPr="0025135B">
        <w:t xml:space="preserve">7th ed. </w:t>
      </w:r>
      <w:r>
        <w:t xml:space="preserve">Toronto: Irwin Law, </w:t>
      </w:r>
      <w:r w:rsidRPr="0025135B">
        <w:t>2018</w:t>
      </w:r>
      <w:r>
        <w:t>.</w:t>
      </w:r>
    </w:p>
    <w:p w:rsidR="00540422" w:rsidRDefault="00540422" w:rsidP="003F0011">
      <w:pPr>
        <w:pStyle w:val="SCCNormalDoubleSpacing"/>
        <w:spacing w:after="240" w:line="240" w:lineRule="auto"/>
        <w:ind w:left="547" w:hanging="547"/>
      </w:pPr>
      <w:r w:rsidRPr="0025135B">
        <w:t>Stuart,</w:t>
      </w:r>
      <w:r>
        <w:t xml:space="preserve"> Don.</w:t>
      </w:r>
      <w:r w:rsidRPr="0025135B">
        <w:t xml:space="preserve"> </w:t>
      </w:r>
      <w:r w:rsidRPr="0025135B">
        <w:rPr>
          <w:i/>
        </w:rPr>
        <w:t>Canadian Criminal Law: A Treatise</w:t>
      </w:r>
      <w:r>
        <w:t xml:space="preserve">, </w:t>
      </w:r>
      <w:r w:rsidRPr="0025135B">
        <w:t xml:space="preserve">8th ed. </w:t>
      </w:r>
      <w:r>
        <w:t xml:space="preserve">Toronto: </w:t>
      </w:r>
      <w:r w:rsidR="005A4B97" w:rsidRPr="005A4B97">
        <w:t>Thomson Reuters</w:t>
      </w:r>
      <w:r w:rsidR="005A4B97">
        <w:t xml:space="preserve">, </w:t>
      </w:r>
      <w:r w:rsidRPr="0025135B">
        <w:t>2020</w:t>
      </w:r>
      <w:r>
        <w:t>.</w:t>
      </w:r>
    </w:p>
    <w:p w:rsidR="00A9373F" w:rsidRDefault="00A9373F" w:rsidP="003F0011">
      <w:pPr>
        <w:pStyle w:val="SCCNormalDoubleSpacing"/>
        <w:spacing w:after="720" w:line="240" w:lineRule="auto"/>
        <w:ind w:left="547" w:hanging="547"/>
      </w:pPr>
      <w:r>
        <w:t xml:space="preserve">Watt, David. </w:t>
      </w:r>
      <w:r w:rsidRPr="0025135B">
        <w:rPr>
          <w:i/>
        </w:rPr>
        <w:t>Watt’s Manual of Criminal Jury Instructions</w:t>
      </w:r>
      <w:r>
        <w:t xml:space="preserve">, </w:t>
      </w:r>
      <w:r w:rsidRPr="0025135B">
        <w:t>2nd ed.</w:t>
      </w:r>
      <w:r>
        <w:t xml:space="preserve"> Toronto: Carswell,</w:t>
      </w:r>
      <w:r w:rsidRPr="0025135B">
        <w:t xml:space="preserve"> 2015</w:t>
      </w:r>
      <w:r>
        <w:t>.</w:t>
      </w:r>
    </w:p>
    <w:p w:rsidR="00656313" w:rsidRDefault="009B57B3" w:rsidP="003F0011">
      <w:pPr>
        <w:pStyle w:val="SCCNormalDoubleSpacing"/>
        <w:spacing w:after="480"/>
      </w:pPr>
      <w:r w:rsidRPr="001426A9">
        <w:tab/>
        <w:t>APPEAL from a judgment of the</w:t>
      </w:r>
      <w:r w:rsidR="00FF2123" w:rsidRPr="00FF2123">
        <w:t xml:space="preserve"> </w:t>
      </w:r>
      <w:r w:rsidR="00FF2123">
        <w:t>British Columbia</w:t>
      </w:r>
      <w:r w:rsidRPr="001426A9">
        <w:t xml:space="preserve"> </w:t>
      </w:r>
      <w:r>
        <w:t>Court of Appeal (</w:t>
      </w:r>
      <w:r w:rsidR="00980B61">
        <w:t>Bauman</w:t>
      </w:r>
      <w:r w:rsidR="007F12C4">
        <w:t xml:space="preserve"> C.J. and</w:t>
      </w:r>
      <w:r w:rsidR="00980B61">
        <w:t xml:space="preserve"> Fitch and Grauer JJ.A.), </w:t>
      </w:r>
      <w:hyperlink r:id="rId9" w:history="1">
        <w:r w:rsidR="00980B61" w:rsidRPr="00F32EE9">
          <w:rPr>
            <w:rStyle w:val="Hyperlink"/>
          </w:rPr>
          <w:t>2021 BCCA 53</w:t>
        </w:r>
      </w:hyperlink>
      <w:r w:rsidR="00980B61">
        <w:t>,</w:t>
      </w:r>
      <w:r w:rsidR="007F12C4">
        <w:t xml:space="preserve"> 402 C.C.C. (3d) 463,</w:t>
      </w:r>
      <w:r w:rsidR="00980B61">
        <w:t xml:space="preserve"> </w:t>
      </w:r>
      <w:r w:rsidR="003F0011">
        <w:t>[2021] B.C.J. No. </w:t>
      </w:r>
      <w:r w:rsidR="00980B61" w:rsidRPr="00E63C22">
        <w:t>209</w:t>
      </w:r>
      <w:r w:rsidR="00980B61">
        <w:t xml:space="preserve"> (QL), </w:t>
      </w:r>
      <w:r w:rsidR="00980B61" w:rsidRPr="00E63C22">
        <w:t>2021 CarswellBC 309</w:t>
      </w:r>
      <w:r w:rsidR="007F12C4">
        <w:t xml:space="preserve"> (WL</w:t>
      </w:r>
      <w:r w:rsidR="00980B61">
        <w:t xml:space="preserve">), </w:t>
      </w:r>
      <w:r w:rsidR="003F0011" w:rsidRPr="00494AE4">
        <w:rPr>
          <w:color w:val="000000"/>
        </w:rPr>
        <w:t xml:space="preserve">substituting a conviction for </w:t>
      </w:r>
      <w:r w:rsidR="00494AE4" w:rsidRPr="00494AE4">
        <w:rPr>
          <w:rStyle w:val="solexhl"/>
          <w:rFonts w:eastAsiaTheme="majorEastAsia"/>
          <w:color w:val="000000"/>
        </w:rPr>
        <w:t xml:space="preserve">first </w:t>
      </w:r>
      <w:r w:rsidR="00C14739" w:rsidRPr="00494AE4">
        <w:rPr>
          <w:rStyle w:val="solexhl"/>
          <w:rFonts w:eastAsiaTheme="majorEastAsia"/>
          <w:color w:val="000000"/>
        </w:rPr>
        <w:t>degree murder</w:t>
      </w:r>
      <w:r w:rsidR="003F0011" w:rsidRPr="00494AE4">
        <w:rPr>
          <w:color w:val="000000"/>
        </w:rPr>
        <w:t xml:space="preserve"> to the conviction for </w:t>
      </w:r>
      <w:r w:rsidR="00494AE4" w:rsidRPr="00494AE4">
        <w:rPr>
          <w:rStyle w:val="solexhl"/>
          <w:rFonts w:eastAsiaTheme="majorEastAsia"/>
          <w:color w:val="000000"/>
        </w:rPr>
        <w:t xml:space="preserve">second </w:t>
      </w:r>
      <w:r w:rsidR="00C14739" w:rsidRPr="00494AE4">
        <w:rPr>
          <w:rStyle w:val="solexhl"/>
          <w:rFonts w:eastAsiaTheme="majorEastAsia"/>
          <w:color w:val="000000"/>
        </w:rPr>
        <w:t>degree murder</w:t>
      </w:r>
      <w:r w:rsidR="003F0011" w:rsidRPr="00494AE4">
        <w:rPr>
          <w:color w:val="000000"/>
        </w:rPr>
        <w:t xml:space="preserve"> </w:t>
      </w:r>
      <w:r w:rsidR="00C14739" w:rsidRPr="00494AE4">
        <w:rPr>
          <w:color w:val="000000"/>
        </w:rPr>
        <w:t>entered by</w:t>
      </w:r>
      <w:r w:rsidR="00C14739" w:rsidRPr="00494AE4">
        <w:t xml:space="preserve"> </w:t>
      </w:r>
      <w:r w:rsidR="00980B61" w:rsidRPr="00494AE4">
        <w:t xml:space="preserve">Williams J., 2018 </w:t>
      </w:r>
      <w:r w:rsidR="00980B61" w:rsidRPr="00494AE4">
        <w:lastRenderedPageBreak/>
        <w:t xml:space="preserve">BCSC 602, </w:t>
      </w:r>
      <w:r w:rsidR="003F0011" w:rsidRPr="00494AE4">
        <w:t>[2018] B.C.J. No. </w:t>
      </w:r>
      <w:r w:rsidR="00980B61" w:rsidRPr="00494AE4">
        <w:t>673 (QL), 2018 CarswellBC 895</w:t>
      </w:r>
      <w:r w:rsidR="00540422" w:rsidRPr="00494AE4">
        <w:t xml:space="preserve"> (WL</w:t>
      </w:r>
      <w:r w:rsidR="00980B61" w:rsidRPr="00494AE4">
        <w:t>).</w:t>
      </w:r>
      <w:r w:rsidR="00864423" w:rsidRPr="00494AE4">
        <w:t xml:space="preserve"> </w:t>
      </w:r>
      <w:r w:rsidR="00C14739" w:rsidRPr="00494AE4">
        <w:t>Appeal dismissed</w:t>
      </w:r>
      <w:r w:rsidR="00864423" w:rsidRPr="00494AE4">
        <w:t>.</w:t>
      </w:r>
    </w:p>
    <w:p w:rsidR="00AC5A90" w:rsidRDefault="007A4C7D" w:rsidP="003F0011">
      <w:pPr>
        <w:pStyle w:val="SCCNormalDoubleSpacing"/>
        <w:spacing w:after="480"/>
      </w:pPr>
      <w:r>
        <w:rPr>
          <w:rStyle w:val="SCCCounselNameChar"/>
        </w:rPr>
        <w:tab/>
        <w:t>Daniel </w:t>
      </w:r>
      <w:r w:rsidR="00EE32ED">
        <w:rPr>
          <w:rStyle w:val="SCCCounselNameChar"/>
        </w:rPr>
        <w:t>J. Song</w:t>
      </w:r>
      <w:r w:rsidR="00EE32ED">
        <w:rPr>
          <w:rStyle w:val="SCCCounselSeparatorChar"/>
        </w:rPr>
        <w:t xml:space="preserve"> and </w:t>
      </w:r>
      <w:r w:rsidR="00EE32ED">
        <w:rPr>
          <w:rStyle w:val="SCCCounselNameChar"/>
        </w:rPr>
        <w:t>Elliot Holzman</w:t>
      </w:r>
      <w:r w:rsidR="00EE32ED">
        <w:rPr>
          <w:rStyle w:val="SCCCounselPartyRoleChar"/>
        </w:rPr>
        <w:t>, for the appellant.</w:t>
      </w:r>
    </w:p>
    <w:p w:rsidR="00AC5A90" w:rsidRDefault="007A4C7D" w:rsidP="003F0011">
      <w:pPr>
        <w:pStyle w:val="SCCNormalDoubleSpacing"/>
        <w:spacing w:after="480"/>
      </w:pPr>
      <w:r>
        <w:rPr>
          <w:rStyle w:val="SCCCounselNameChar"/>
        </w:rPr>
        <w:tab/>
        <w:t>Megan </w:t>
      </w:r>
      <w:r w:rsidR="00EE32ED">
        <w:rPr>
          <w:rStyle w:val="SCCCounselNameChar"/>
        </w:rPr>
        <w:t>A. Street</w:t>
      </w:r>
      <w:r w:rsidR="00EE32ED">
        <w:rPr>
          <w:rStyle w:val="SCCCounselPartyRoleChar"/>
        </w:rPr>
        <w:t>, for the respondent.</w:t>
      </w:r>
    </w:p>
    <w:p w:rsidR="00E24573" w:rsidRDefault="00E24573" w:rsidP="003F0011">
      <w:pPr>
        <w:pStyle w:val="SCCNormalDoubleSpacing"/>
        <w:spacing w:after="480"/>
      </w:pPr>
    </w:p>
    <w:p w:rsidR="00093189" w:rsidRDefault="00093189" w:rsidP="00093189">
      <w:pPr>
        <w:ind w:firstLine="1134"/>
      </w:pPr>
      <w:r w:rsidRPr="00173A02">
        <w:t>The judgment of the Court was delivered by</w:t>
      </w:r>
    </w:p>
    <w:p w:rsidR="00093189" w:rsidRDefault="00093189" w:rsidP="00093189">
      <w:pPr>
        <w:ind w:firstLine="1134"/>
      </w:pPr>
    </w:p>
    <w:p w:rsidR="00093189" w:rsidRPr="0025135B" w:rsidRDefault="00093189" w:rsidP="00A1682E">
      <w:pPr>
        <w:pStyle w:val="JudgeJuge"/>
        <w:tabs>
          <w:tab w:val="clear" w:pos="1260"/>
          <w:tab w:val="left" w:pos="1134"/>
        </w:tabs>
      </w:pPr>
      <w:r w:rsidRPr="0025135B">
        <w:tab/>
        <w:t xml:space="preserve">Jamal J. — </w:t>
      </w:r>
    </w:p>
    <w:p w:rsidR="00093189" w:rsidRPr="0025135B" w:rsidRDefault="00093189" w:rsidP="00093189">
      <w:pPr>
        <w:pStyle w:val="Title1LevelTitre1Niveau-AltL"/>
        <w:numPr>
          <w:ilvl w:val="0"/>
          <w:numId w:val="16"/>
        </w:numPr>
        <w:jc w:val="both"/>
        <w:rPr>
          <w:rFonts w:cs="Times New Roman"/>
        </w:rPr>
      </w:pPr>
      <w:r w:rsidRPr="0025135B">
        <w:rPr>
          <w:rFonts w:cs="Times New Roman"/>
        </w:rPr>
        <w:t>Overview</w:t>
      </w:r>
    </w:p>
    <w:p w:rsidR="00093189" w:rsidRPr="0025135B" w:rsidRDefault="00093189" w:rsidP="00093189">
      <w:pPr>
        <w:pStyle w:val="ParaNoNdepar-AltN"/>
        <w:rPr>
          <w:rFonts w:cs="Times New Roman"/>
        </w:rPr>
      </w:pPr>
      <w:r w:rsidRPr="0025135B">
        <w:rPr>
          <w:rFonts w:cs="Times New Roman"/>
        </w:rPr>
        <w:t xml:space="preserve">Section 231(5) of the </w:t>
      </w:r>
      <w:r w:rsidRPr="0025135B">
        <w:rPr>
          <w:rFonts w:cs="Times New Roman"/>
          <w:i/>
        </w:rPr>
        <w:t>Criminal Code</w:t>
      </w:r>
      <w:r w:rsidRPr="0025135B">
        <w:rPr>
          <w:rFonts w:cs="Times New Roman"/>
        </w:rPr>
        <w:t>, R.S.C. 1985, c. C-46</w:t>
      </w:r>
      <w:r>
        <w:rPr>
          <w:rFonts w:cs="Times New Roman"/>
        </w:rPr>
        <w:t>,</w:t>
      </w:r>
      <w:r w:rsidRPr="0025135B">
        <w:rPr>
          <w:rFonts w:cs="Times New Roman"/>
        </w:rPr>
        <w:t xml:space="preserve"> provides that murder is first degree murder, irrespective of whether the murder is planned and deliberate, when the victim’s death is caused “while committing or attempting to commit” any of several listed crimes of domination, including hijacking an aircraft, </w:t>
      </w:r>
      <w:r>
        <w:rPr>
          <w:rFonts w:cs="Times New Roman"/>
        </w:rPr>
        <w:t>any form of</w:t>
      </w:r>
      <w:r w:rsidRPr="0025135B">
        <w:rPr>
          <w:rFonts w:cs="Times New Roman"/>
        </w:rPr>
        <w:t xml:space="preserve"> sexual assault, kidnapping, hostage taking, or unlawful confinement. At issue in this appeal is whether the appellant, Darren Sundman, murdered Jordan McLeod “while committing” the offence of unlawful confinement.</w:t>
      </w:r>
    </w:p>
    <w:p w:rsidR="00093189" w:rsidRPr="0025135B" w:rsidRDefault="00093189" w:rsidP="00093189">
      <w:pPr>
        <w:pStyle w:val="ParaNoNdepar-AltN"/>
        <w:rPr>
          <w:rFonts w:cs="Times New Roman"/>
        </w:rPr>
      </w:pPr>
      <w:r w:rsidRPr="0025135B">
        <w:rPr>
          <w:rFonts w:cs="Times New Roman"/>
        </w:rPr>
        <w:t xml:space="preserve">The appellant and Mr. McLeod were drug dealers with a mutual animosity. On the day of Mr. McLeod’s murder, the appellant unlawfully confined him in a moving </w:t>
      </w:r>
      <w:r>
        <w:rPr>
          <w:rFonts w:cs="Times New Roman"/>
        </w:rPr>
        <w:t xml:space="preserve">pickup </w:t>
      </w:r>
      <w:r w:rsidRPr="0025135B">
        <w:rPr>
          <w:rFonts w:cs="Times New Roman"/>
        </w:rPr>
        <w:t xml:space="preserve">truck and repeatedly assaulted him by hitting him with a handgun. </w:t>
      </w:r>
      <w:r w:rsidRPr="005D034B">
        <w:rPr>
          <w:rFonts w:cs="Times New Roman"/>
        </w:rPr>
        <w:lastRenderedPageBreak/>
        <w:t>Mr. McLeod</w:t>
      </w:r>
      <w:r w:rsidRPr="0025135B">
        <w:rPr>
          <w:rFonts w:cs="Times New Roman"/>
        </w:rPr>
        <w:t xml:space="preserve"> jumped from the truck when it slowed t</w:t>
      </w:r>
      <w:r>
        <w:rPr>
          <w:rFonts w:cs="Times New Roman"/>
        </w:rPr>
        <w:t>o make a turn</w:t>
      </w:r>
      <w:r w:rsidRPr="0025135B">
        <w:rPr>
          <w:rFonts w:cs="Times New Roman"/>
        </w:rPr>
        <w:t xml:space="preserve"> but was then chased on foot by the appellant and two accomplices. When Mr. McLeod ran for his life, the appellant shot him at least </w:t>
      </w:r>
      <w:r>
        <w:rPr>
          <w:rFonts w:cs="Times New Roman"/>
        </w:rPr>
        <w:t>three times</w:t>
      </w:r>
      <w:r w:rsidRPr="0025135B">
        <w:rPr>
          <w:rFonts w:cs="Times New Roman"/>
        </w:rPr>
        <w:t xml:space="preserve"> but did not manage to kill him. As he lay wounded, </w:t>
      </w:r>
      <w:r>
        <w:rPr>
          <w:rFonts w:cs="Times New Roman"/>
        </w:rPr>
        <w:t>Mr. </w:t>
      </w:r>
      <w:r w:rsidRPr="0025135B">
        <w:rPr>
          <w:rFonts w:cs="Times New Roman"/>
        </w:rPr>
        <w:t>McLeod was shot and killed at close range by one of the accomplices.</w:t>
      </w:r>
    </w:p>
    <w:p w:rsidR="00093189" w:rsidRPr="0025135B" w:rsidRDefault="00093189" w:rsidP="00093189">
      <w:pPr>
        <w:pStyle w:val="ParaNoNdepar-AltN"/>
        <w:rPr>
          <w:rFonts w:cs="Times New Roman"/>
        </w:rPr>
      </w:pPr>
      <w:r w:rsidRPr="0025135B">
        <w:rPr>
          <w:rFonts w:cs="Times New Roman"/>
        </w:rPr>
        <w:t xml:space="preserve">The appellant was acquitted of first degree murder but convicted of second degree murder. The trial judge accepted that although Mr. McLeod was unlawfully confined in the truck, he had managed to escape his confinement by jumping from </w:t>
      </w:r>
      <w:r>
        <w:rPr>
          <w:rFonts w:cs="Times New Roman"/>
        </w:rPr>
        <w:t>the truck</w:t>
      </w:r>
      <w:r w:rsidRPr="0025135B">
        <w:rPr>
          <w:rFonts w:cs="Times New Roman"/>
        </w:rPr>
        <w:t>. The trial judge held that the appellant murdered Mr. McLeod but ruled that because of the brief gap in time between when Mr. McLeod was confined in the truck and when he was killed, the appellant did not murder him “while committing” the offence of unlawful confinement. The murder was thus in the second degree.</w:t>
      </w:r>
    </w:p>
    <w:p w:rsidR="00093189" w:rsidRPr="0025135B" w:rsidRDefault="00093189" w:rsidP="00093189">
      <w:pPr>
        <w:pStyle w:val="ParaNoNdepar-AltN"/>
        <w:rPr>
          <w:rFonts w:cs="Times New Roman"/>
        </w:rPr>
      </w:pPr>
      <w:r w:rsidRPr="0025135B">
        <w:rPr>
          <w:rFonts w:cs="Times New Roman"/>
        </w:rPr>
        <w:t xml:space="preserve">The Court of Appeal for British Columbia unanimously allowed the Crown’s appeal and substituted a conviction for first degree murder under </w:t>
      </w:r>
      <w:r w:rsidRPr="0025135B">
        <w:rPr>
          <w:rFonts w:cs="Times New Roman"/>
          <w:spacing w:val="-3"/>
        </w:rPr>
        <w:t>s. 231(5)</w:t>
      </w:r>
      <w:r>
        <w:rPr>
          <w:rFonts w:cs="Times New Roman"/>
          <w:spacing w:val="-3"/>
        </w:rPr>
        <w:t>(e)</w:t>
      </w:r>
      <w:r w:rsidRPr="0025135B">
        <w:rPr>
          <w:rFonts w:cs="Times New Roman"/>
          <w:spacing w:val="-3"/>
        </w:rPr>
        <w:t xml:space="preserve"> of the </w:t>
      </w:r>
      <w:r w:rsidRPr="0025135B">
        <w:rPr>
          <w:rFonts w:cs="Times New Roman"/>
          <w:i/>
          <w:spacing w:val="-3"/>
        </w:rPr>
        <w:t>Criminal Code</w:t>
      </w:r>
      <w:r>
        <w:rPr>
          <w:rFonts w:cs="Times New Roman"/>
          <w:spacing w:val="-3"/>
        </w:rPr>
        <w:t>. The c</w:t>
      </w:r>
      <w:r w:rsidRPr="0025135B">
        <w:rPr>
          <w:rFonts w:cs="Times New Roman"/>
          <w:spacing w:val="-3"/>
        </w:rPr>
        <w:t xml:space="preserve">ourt held that Mr. McLeod was still unlawfully confined when he jumped from the truck and was chased before </w:t>
      </w:r>
      <w:r>
        <w:rPr>
          <w:rFonts w:cs="Times New Roman"/>
          <w:spacing w:val="-3"/>
        </w:rPr>
        <w:t>being</w:t>
      </w:r>
      <w:r w:rsidRPr="0025135B">
        <w:rPr>
          <w:rFonts w:cs="Times New Roman"/>
          <w:spacing w:val="-3"/>
        </w:rPr>
        <w:t xml:space="preserve"> killed. The unlawful confinement and the murder were temporally and causally connected, making the entire series of events a single transaction.</w:t>
      </w:r>
      <w:r w:rsidRPr="0025135B">
        <w:rPr>
          <w:rFonts w:cs="Times New Roman"/>
        </w:rPr>
        <w:t xml:space="preserve"> </w:t>
      </w:r>
      <w:r w:rsidRPr="0025135B">
        <w:rPr>
          <w:rFonts w:cs="Times New Roman"/>
          <w:spacing w:val="-3"/>
        </w:rPr>
        <w:t>The appellant now appeals to this Court as of right.</w:t>
      </w:r>
    </w:p>
    <w:p w:rsidR="00093189" w:rsidRPr="0025135B" w:rsidRDefault="00093189" w:rsidP="00093189">
      <w:pPr>
        <w:pStyle w:val="ParaNoNdepar-AltN"/>
        <w:rPr>
          <w:rFonts w:cs="Times New Roman"/>
        </w:rPr>
      </w:pPr>
      <w:r w:rsidRPr="0025135B">
        <w:rPr>
          <w:rFonts w:cs="Times New Roman"/>
        </w:rPr>
        <w:t xml:space="preserve">I would dismiss the appeal. In my view, Mr. McLeod was still unlawfully confined when he escaped from the truck and ran for his life. Even though </w:t>
      </w:r>
      <w:r>
        <w:rPr>
          <w:rFonts w:cs="Times New Roman"/>
        </w:rPr>
        <w:t xml:space="preserve">Mr. McLeod </w:t>
      </w:r>
      <w:r w:rsidRPr="0025135B">
        <w:rPr>
          <w:rFonts w:cs="Times New Roman"/>
        </w:rPr>
        <w:t xml:space="preserve">was not </w:t>
      </w:r>
      <w:r w:rsidRPr="0025135B">
        <w:rPr>
          <w:rFonts w:cs="Times New Roman"/>
          <w:i/>
        </w:rPr>
        <w:t>physically restrained</w:t>
      </w:r>
      <w:r w:rsidRPr="0025135B">
        <w:rPr>
          <w:rFonts w:cs="Times New Roman"/>
        </w:rPr>
        <w:t xml:space="preserve"> outside the truck, he continued to be </w:t>
      </w:r>
      <w:r w:rsidRPr="0025135B">
        <w:rPr>
          <w:rFonts w:cs="Times New Roman"/>
          <w:i/>
        </w:rPr>
        <w:t>coercively restrained</w:t>
      </w:r>
      <w:r w:rsidRPr="0025135B">
        <w:rPr>
          <w:rFonts w:cs="Times New Roman"/>
        </w:rPr>
        <w:t xml:space="preserve"> through violence, fear, and intimidation. He was deprived of his liberty and was not </w:t>
      </w:r>
      <w:r w:rsidRPr="0025135B">
        <w:rPr>
          <w:rFonts w:cs="Times New Roman"/>
        </w:rPr>
        <w:lastRenderedPageBreak/>
        <w:t>free to move about according to his inclination and desire. The appellant then murdered him while unlawfully confining him. These two distinct criminal acts were part of a continuous sequence of events forming a single transaction. They were close in time and involved an ongoing domination of Mr. McLeod that began in the truck, continued when he escaped from the truck and ran for his life, and ended with his murder. The appellant is therefore guilty of first degree murder under s. 231(5</w:t>
      </w:r>
      <w:proofErr w:type="gramStart"/>
      <w:r w:rsidRPr="0025135B">
        <w:rPr>
          <w:rFonts w:cs="Times New Roman"/>
        </w:rPr>
        <w:t>)</w:t>
      </w:r>
      <w:r>
        <w:rPr>
          <w:rFonts w:cs="Times New Roman"/>
        </w:rPr>
        <w:t>(</w:t>
      </w:r>
      <w:proofErr w:type="gramEnd"/>
      <w:r>
        <w:rPr>
          <w:rFonts w:cs="Times New Roman"/>
        </w:rPr>
        <w:t>e)</w:t>
      </w:r>
      <w:r w:rsidRPr="0025135B">
        <w:rPr>
          <w:rFonts w:cs="Times New Roman"/>
        </w:rPr>
        <w:t xml:space="preserve"> of the </w:t>
      </w:r>
      <w:r w:rsidRPr="0025135B">
        <w:rPr>
          <w:rFonts w:cs="Times New Roman"/>
          <w:i/>
        </w:rPr>
        <w:t>Criminal Code</w:t>
      </w:r>
      <w:r w:rsidRPr="0025135B">
        <w:rPr>
          <w:rFonts w:cs="Times New Roman"/>
        </w:rPr>
        <w:t>.</w:t>
      </w:r>
    </w:p>
    <w:p w:rsidR="00093189" w:rsidRPr="0025135B" w:rsidRDefault="00093189" w:rsidP="00093189">
      <w:pPr>
        <w:pStyle w:val="Title1LevelTitre1Niveau-AltL"/>
        <w:numPr>
          <w:ilvl w:val="0"/>
          <w:numId w:val="16"/>
        </w:numPr>
        <w:jc w:val="both"/>
        <w:rPr>
          <w:rFonts w:cs="Times New Roman"/>
        </w:rPr>
      </w:pPr>
      <w:bookmarkStart w:id="0" w:name="_Toc97724203"/>
      <w:r w:rsidRPr="0025135B">
        <w:rPr>
          <w:rFonts w:cs="Times New Roman"/>
        </w:rPr>
        <w:t>Facts</w:t>
      </w:r>
      <w:bookmarkEnd w:id="0"/>
    </w:p>
    <w:p w:rsidR="00093189" w:rsidRPr="0025135B" w:rsidRDefault="00093189" w:rsidP="00093189">
      <w:pPr>
        <w:pStyle w:val="ParaNoNdepar-AltN"/>
        <w:rPr>
          <w:rFonts w:cs="Times New Roman"/>
        </w:rPr>
      </w:pPr>
      <w:r w:rsidRPr="0025135B">
        <w:rPr>
          <w:rFonts w:cs="Times New Roman"/>
        </w:rPr>
        <w:t xml:space="preserve">On January 16, 2015, </w:t>
      </w:r>
      <w:r>
        <w:rPr>
          <w:rFonts w:cs="Times New Roman"/>
        </w:rPr>
        <w:t>Mr. </w:t>
      </w:r>
      <w:r w:rsidRPr="0025135B">
        <w:rPr>
          <w:rFonts w:cs="Times New Roman"/>
        </w:rPr>
        <w:t>McLeod was shot and killed near Prince George, British Columbia, soon after he had been assaulted and unlawfully confined in a pickup truck. Five people had been in the truck: Mr. McLeod; the appellant; the appellant’s girlfriend, Staci Stevenson; the appellant’s brother, Kurtis Sundman; and Sebastian Martin. All five were drug dealers in and around Vanderhoof, British Columbia.</w:t>
      </w:r>
    </w:p>
    <w:p w:rsidR="00093189" w:rsidRPr="0025135B" w:rsidRDefault="00093189" w:rsidP="00093189">
      <w:pPr>
        <w:pStyle w:val="ParaNoNdepar-AltN"/>
        <w:rPr>
          <w:rFonts w:cs="Times New Roman"/>
        </w:rPr>
      </w:pPr>
      <w:r w:rsidRPr="0025135B">
        <w:rPr>
          <w:rFonts w:cs="Times New Roman"/>
        </w:rPr>
        <w:t xml:space="preserve">The truck had been travelling from Vanderhoof to Prince George. </w:t>
      </w:r>
      <w:r>
        <w:rPr>
          <w:rFonts w:cs="Times New Roman"/>
        </w:rPr>
        <w:t>Mr. </w:t>
      </w:r>
      <w:r w:rsidRPr="0025135B">
        <w:rPr>
          <w:rFonts w:cs="Times New Roman"/>
        </w:rPr>
        <w:t>Kurtis Sundman was driving and Mr. McLeod was in the front passenger seat, while the appellant, Ms. Stevenson, and Mr. Martin were in the back. The appellant and Mr. Kurtis Sundman were each carrying a handgun; Mr. Martin was carrying a shotgun. Mr. McLeod was unarmed.</w:t>
      </w:r>
    </w:p>
    <w:p w:rsidR="00093189" w:rsidRPr="0025135B" w:rsidRDefault="00093189" w:rsidP="00093189">
      <w:pPr>
        <w:pStyle w:val="ParaNoNdepar-AltN"/>
        <w:rPr>
          <w:rFonts w:cs="Times New Roman"/>
        </w:rPr>
      </w:pPr>
      <w:r w:rsidRPr="0025135B">
        <w:rPr>
          <w:rFonts w:cs="Times New Roman"/>
        </w:rPr>
        <w:t>During the trip</w:t>
      </w:r>
      <w:r>
        <w:rPr>
          <w:rFonts w:cs="Times New Roman"/>
        </w:rPr>
        <w:t>,</w:t>
      </w:r>
      <w:r w:rsidRPr="0025135B">
        <w:rPr>
          <w:rFonts w:cs="Times New Roman"/>
        </w:rPr>
        <w:t xml:space="preserve"> a conflict arose between the Sundman brothers and </w:t>
      </w:r>
      <w:r>
        <w:rPr>
          <w:rFonts w:cs="Times New Roman"/>
        </w:rPr>
        <w:t>Mr. </w:t>
      </w:r>
      <w:r w:rsidRPr="0025135B">
        <w:rPr>
          <w:rFonts w:cs="Times New Roman"/>
        </w:rPr>
        <w:t xml:space="preserve">McLeod. The appellant was angry with Mr. McLeod for many reasons: he </w:t>
      </w:r>
      <w:r w:rsidRPr="0025135B">
        <w:rPr>
          <w:rFonts w:cs="Times New Roman"/>
        </w:rPr>
        <w:lastRenderedPageBreak/>
        <w:t xml:space="preserve">suspected that Mr. McLeod was having a relationship with Ms. Stevenson; Mr. McLeod was encroaching on the Sundman brothers’ turf by </w:t>
      </w:r>
      <w:r>
        <w:rPr>
          <w:rFonts w:cs="Times New Roman"/>
        </w:rPr>
        <w:t>supplying</w:t>
      </w:r>
      <w:r w:rsidRPr="0025135B">
        <w:rPr>
          <w:rFonts w:cs="Times New Roman"/>
        </w:rPr>
        <w:t xml:space="preserve"> drugs </w:t>
      </w:r>
      <w:r>
        <w:rPr>
          <w:rFonts w:cs="Times New Roman"/>
        </w:rPr>
        <w:t xml:space="preserve">to the </w:t>
      </w:r>
      <w:r w:rsidRPr="0025135B">
        <w:rPr>
          <w:rFonts w:cs="Times New Roman"/>
        </w:rPr>
        <w:t>Vanderhoof</w:t>
      </w:r>
      <w:r>
        <w:rPr>
          <w:rFonts w:cs="Times New Roman"/>
        </w:rPr>
        <w:t xml:space="preserve"> market</w:t>
      </w:r>
      <w:r w:rsidRPr="0025135B">
        <w:rPr>
          <w:rFonts w:cs="Times New Roman"/>
        </w:rPr>
        <w:t>; the Sundman brothers owed a drug debt to Mr. McLeod</w:t>
      </w:r>
      <w:r>
        <w:rPr>
          <w:rFonts w:cs="Times New Roman"/>
        </w:rPr>
        <w:t xml:space="preserve"> and he was pressuring them to repay the debt</w:t>
      </w:r>
      <w:r w:rsidRPr="0025135B">
        <w:rPr>
          <w:rFonts w:cs="Times New Roman"/>
        </w:rPr>
        <w:t xml:space="preserve">; and the appellant had seen messages on </w:t>
      </w:r>
      <w:r>
        <w:rPr>
          <w:rFonts w:cs="Times New Roman"/>
        </w:rPr>
        <w:t>Mr. </w:t>
      </w:r>
      <w:r w:rsidRPr="0025135B">
        <w:rPr>
          <w:rFonts w:cs="Times New Roman"/>
        </w:rPr>
        <w:t>McLeod’s phone that had upset him. At one point, the appellant</w:t>
      </w:r>
      <w:r>
        <w:rPr>
          <w:rFonts w:cs="Times New Roman"/>
        </w:rPr>
        <w:t xml:space="preserve"> </w:t>
      </w:r>
      <w:r w:rsidRPr="0025135B">
        <w:rPr>
          <w:rFonts w:cs="Times New Roman"/>
        </w:rPr>
        <w:t xml:space="preserve">started hitting Mr. McLeod in the head with his handgun. Mr. McLeod tried to avoid the blows and promised to forgive the </w:t>
      </w:r>
      <w:proofErr w:type="spellStart"/>
      <w:r w:rsidRPr="0025135B">
        <w:rPr>
          <w:rFonts w:cs="Times New Roman"/>
        </w:rPr>
        <w:t>Sundmans</w:t>
      </w:r>
      <w:proofErr w:type="spellEnd"/>
      <w:r w:rsidRPr="0025135B">
        <w:rPr>
          <w:rFonts w:cs="Times New Roman"/>
        </w:rPr>
        <w:t xml:space="preserve">’ drug debt if they left him alone. Mr. Kurtis Sundman, who shared the appellant’s anger, encouraged the ongoing assault and drove the truck so fast that </w:t>
      </w:r>
      <w:r w:rsidRPr="00DE6CB1">
        <w:rPr>
          <w:rFonts w:cs="Times New Roman"/>
        </w:rPr>
        <w:t>Mr. McLeod</w:t>
      </w:r>
      <w:r w:rsidRPr="0025135B">
        <w:rPr>
          <w:rFonts w:cs="Times New Roman"/>
        </w:rPr>
        <w:t xml:space="preserve"> could not jump out. He also taunted </w:t>
      </w:r>
      <w:r>
        <w:rPr>
          <w:rFonts w:cs="Times New Roman"/>
        </w:rPr>
        <w:t>Mr. </w:t>
      </w:r>
      <w:r w:rsidRPr="0025135B">
        <w:rPr>
          <w:rFonts w:cs="Times New Roman"/>
        </w:rPr>
        <w:t>McLeod by telling him to jump out, even though realistically this was impossible.</w:t>
      </w:r>
    </w:p>
    <w:p w:rsidR="00093189" w:rsidRPr="0025135B" w:rsidRDefault="00093189" w:rsidP="00093189">
      <w:pPr>
        <w:pStyle w:val="ParaNoNdepar-AltN"/>
        <w:rPr>
          <w:rFonts w:cs="Times New Roman"/>
        </w:rPr>
      </w:pPr>
      <w:r w:rsidRPr="0025135B">
        <w:rPr>
          <w:rFonts w:cs="Times New Roman"/>
        </w:rPr>
        <w:t xml:space="preserve">When the truck slowed to make a turn, Mr. McLeod jumped out of the truck and tried to escape. Mr. Kurtis Sundman immediately stopped the truck, and the appellant </w:t>
      </w:r>
      <w:r>
        <w:rPr>
          <w:rFonts w:cs="Times New Roman"/>
        </w:rPr>
        <w:t>yelled</w:t>
      </w:r>
      <w:r w:rsidRPr="0025135B">
        <w:rPr>
          <w:rFonts w:cs="Times New Roman"/>
        </w:rPr>
        <w:t xml:space="preserve"> “get him, get him”. The three men quickly left the truck, each carrying their respective firearms, and chased Mr. McLeod.</w:t>
      </w:r>
    </w:p>
    <w:p w:rsidR="00093189" w:rsidRPr="0025135B" w:rsidRDefault="00093189" w:rsidP="00093189">
      <w:pPr>
        <w:pStyle w:val="ParaNoNdepar-AltN"/>
        <w:rPr>
          <w:rFonts w:cs="Times New Roman"/>
        </w:rPr>
      </w:pPr>
      <w:r w:rsidRPr="0025135B">
        <w:rPr>
          <w:rFonts w:cs="Times New Roman"/>
        </w:rPr>
        <w:t xml:space="preserve">Mr. McLeod tried desperately to escape. He waded through deep snow, across a shallow ditch and barbed wire fence, </w:t>
      </w:r>
      <w:r>
        <w:rPr>
          <w:rFonts w:cs="Times New Roman"/>
        </w:rPr>
        <w:t>towards the</w:t>
      </w:r>
      <w:r w:rsidRPr="0025135B">
        <w:rPr>
          <w:rFonts w:cs="Times New Roman"/>
        </w:rPr>
        <w:t xml:space="preserve"> bush. The appellant then shot at Mr. McLeod at least four times, hitting him at least three times. Although these shots did not kill Mr. McLeod, they slowed him down and stopped him from escaping. </w:t>
      </w:r>
      <w:r w:rsidRPr="00DE6CB1">
        <w:rPr>
          <w:rFonts w:cs="Times New Roman"/>
        </w:rPr>
        <w:t>Mr. Martin</w:t>
      </w:r>
      <w:r w:rsidRPr="00F769AF">
        <w:rPr>
          <w:rFonts w:cs="Times New Roman"/>
        </w:rPr>
        <w:t xml:space="preserve"> said</w:t>
      </w:r>
      <w:r w:rsidRPr="0025135B">
        <w:rPr>
          <w:rFonts w:cs="Times New Roman"/>
        </w:rPr>
        <w:t xml:space="preserve"> to the appellant</w:t>
      </w:r>
      <w:r>
        <w:rPr>
          <w:rFonts w:cs="Times New Roman"/>
        </w:rPr>
        <w:t xml:space="preserve"> something to the effect of, “I got him, boss”,</w:t>
      </w:r>
      <w:r w:rsidRPr="0025135B">
        <w:rPr>
          <w:rFonts w:cs="Times New Roman"/>
        </w:rPr>
        <w:t xml:space="preserve"> and shot </w:t>
      </w:r>
      <w:r>
        <w:rPr>
          <w:rFonts w:cs="Times New Roman"/>
        </w:rPr>
        <w:t>Mr. </w:t>
      </w:r>
      <w:r w:rsidRPr="0025135B">
        <w:rPr>
          <w:rFonts w:cs="Times New Roman"/>
        </w:rPr>
        <w:t xml:space="preserve">McLeod twice, once in the torso and once in the face at close range, killing him almost instantly. </w:t>
      </w:r>
    </w:p>
    <w:p w:rsidR="00093189" w:rsidRPr="0025135B" w:rsidRDefault="00093189" w:rsidP="00093189">
      <w:pPr>
        <w:pStyle w:val="ParaNoNdepar-AltN"/>
        <w:rPr>
          <w:rFonts w:cs="Times New Roman"/>
        </w:rPr>
      </w:pPr>
      <w:r w:rsidRPr="0025135B">
        <w:rPr>
          <w:rFonts w:cs="Times New Roman"/>
        </w:rPr>
        <w:lastRenderedPageBreak/>
        <w:t xml:space="preserve">The three men loaded Mr. McLeod’s body into the truck and drove to an isolated location where they hid his body under foliage. The police found the body about a month later with Ms. Stevenson’s help. </w:t>
      </w:r>
    </w:p>
    <w:p w:rsidR="00093189" w:rsidRPr="0025135B" w:rsidRDefault="00093189" w:rsidP="00093189">
      <w:pPr>
        <w:pStyle w:val="ParaNoNdepar-AltN"/>
        <w:rPr>
          <w:rFonts w:cs="Times New Roman"/>
        </w:rPr>
      </w:pPr>
      <w:r w:rsidRPr="0025135B">
        <w:rPr>
          <w:rFonts w:cs="Times New Roman"/>
        </w:rPr>
        <w:t>The appella</w:t>
      </w:r>
      <w:r>
        <w:rPr>
          <w:rFonts w:cs="Times New Roman"/>
        </w:rPr>
        <w:t>nt and his two accomplices, Mr. Martin and Mr. </w:t>
      </w:r>
      <w:r w:rsidRPr="0025135B">
        <w:rPr>
          <w:rFonts w:cs="Times New Roman"/>
        </w:rPr>
        <w:t>Kurtis Sundman, were each charged with first degree murder. The accomplices were convicted of second degree murder and manslaughter, respectively. Only the appellant’s case remains before this Court.</w:t>
      </w:r>
    </w:p>
    <w:p w:rsidR="00093189" w:rsidRPr="0025135B" w:rsidRDefault="00093189" w:rsidP="00093189">
      <w:pPr>
        <w:pStyle w:val="Title1LevelTitre1Niveau-AltL"/>
        <w:numPr>
          <w:ilvl w:val="0"/>
          <w:numId w:val="16"/>
        </w:numPr>
        <w:jc w:val="both"/>
        <w:rPr>
          <w:rFonts w:cs="Times New Roman"/>
        </w:rPr>
      </w:pPr>
      <w:bookmarkStart w:id="1" w:name="_Toc97724204"/>
      <w:r w:rsidRPr="0025135B">
        <w:rPr>
          <w:rFonts w:cs="Times New Roman"/>
        </w:rPr>
        <w:t>Judgments Below</w:t>
      </w:r>
      <w:bookmarkEnd w:id="1"/>
    </w:p>
    <w:p w:rsidR="00093189" w:rsidRPr="0025135B" w:rsidRDefault="00093189" w:rsidP="00093189">
      <w:pPr>
        <w:pStyle w:val="Title2LevelTitre2Niveau"/>
        <w:numPr>
          <w:ilvl w:val="1"/>
          <w:numId w:val="16"/>
        </w:numPr>
        <w:jc w:val="both"/>
        <w:rPr>
          <w:rFonts w:cs="Times New Roman"/>
        </w:rPr>
      </w:pPr>
      <w:bookmarkStart w:id="2" w:name="_Toc97724205"/>
      <w:r w:rsidRPr="0025135B">
        <w:rPr>
          <w:rFonts w:cs="Times New Roman"/>
        </w:rPr>
        <w:t>Supreme Court o</w:t>
      </w:r>
      <w:r>
        <w:rPr>
          <w:rFonts w:cs="Times New Roman"/>
        </w:rPr>
        <w:t xml:space="preserve">f British Columbia, 2018 BCSC 602 </w:t>
      </w:r>
      <w:r w:rsidRPr="0025135B">
        <w:rPr>
          <w:rFonts w:cs="Times New Roman"/>
        </w:rPr>
        <w:t>(Williams J.)</w:t>
      </w:r>
      <w:bookmarkEnd w:id="2"/>
    </w:p>
    <w:p w:rsidR="00093189" w:rsidRPr="0025135B" w:rsidRDefault="00093189" w:rsidP="00093189">
      <w:pPr>
        <w:pStyle w:val="ParaNoNdepar-AltN"/>
        <w:rPr>
          <w:rFonts w:cs="Times New Roman"/>
        </w:rPr>
      </w:pPr>
      <w:r w:rsidRPr="0025135B">
        <w:rPr>
          <w:rFonts w:cs="Times New Roman"/>
        </w:rPr>
        <w:t>The Crown argued that the appellant was guilty of first degree murder because the murder was planned and delib</w:t>
      </w:r>
      <w:r>
        <w:rPr>
          <w:rFonts w:cs="Times New Roman"/>
        </w:rPr>
        <w:t>erate. A</w:t>
      </w:r>
      <w:r w:rsidRPr="0025135B">
        <w:rPr>
          <w:rFonts w:cs="Times New Roman"/>
        </w:rPr>
        <w:t xml:space="preserve">lternatively, </w:t>
      </w:r>
      <w:r>
        <w:rPr>
          <w:rFonts w:cs="Times New Roman"/>
        </w:rPr>
        <w:t xml:space="preserve">the Crown argued that, </w:t>
      </w:r>
      <w:r w:rsidRPr="0025135B">
        <w:rPr>
          <w:rFonts w:cs="Times New Roman"/>
        </w:rPr>
        <w:t>because the appellant murdered Mr. McLeod “while committing” the offence of unlawful confinement</w:t>
      </w:r>
      <w:r>
        <w:rPr>
          <w:rFonts w:cs="Times New Roman"/>
        </w:rPr>
        <w:t>, he was guilty of first degree murder</w:t>
      </w:r>
      <w:r w:rsidRPr="0025135B">
        <w:rPr>
          <w:rFonts w:cs="Times New Roman"/>
        </w:rPr>
        <w:t xml:space="preserve"> under s. 231(5</w:t>
      </w:r>
      <w:proofErr w:type="gramStart"/>
      <w:r w:rsidRPr="0025135B">
        <w:rPr>
          <w:rFonts w:cs="Times New Roman"/>
        </w:rPr>
        <w:t>)(</w:t>
      </w:r>
      <w:proofErr w:type="gramEnd"/>
      <w:r w:rsidRPr="0025135B">
        <w:rPr>
          <w:rFonts w:cs="Times New Roman"/>
        </w:rPr>
        <w:t xml:space="preserve">e) of the </w:t>
      </w:r>
      <w:r w:rsidRPr="0025135B">
        <w:rPr>
          <w:rFonts w:cs="Times New Roman"/>
          <w:i/>
        </w:rPr>
        <w:t>Criminal Code</w:t>
      </w:r>
      <w:r w:rsidRPr="0025135B">
        <w:rPr>
          <w:rFonts w:cs="Times New Roman"/>
        </w:rPr>
        <w:t xml:space="preserve">. The trial judge </w:t>
      </w:r>
      <w:r>
        <w:rPr>
          <w:rFonts w:cs="Times New Roman"/>
        </w:rPr>
        <w:t xml:space="preserve">rejected both arguments and </w:t>
      </w:r>
      <w:r w:rsidRPr="0025135B">
        <w:rPr>
          <w:rFonts w:cs="Times New Roman"/>
        </w:rPr>
        <w:t>acquitted the appellant of first degree murder but convicted him of second degree murder.</w:t>
      </w:r>
    </w:p>
    <w:p w:rsidR="00093189" w:rsidRPr="0025135B" w:rsidRDefault="00093189" w:rsidP="00093189">
      <w:pPr>
        <w:pStyle w:val="ParaNoNdepar-AltN"/>
        <w:rPr>
          <w:rFonts w:cs="Times New Roman"/>
        </w:rPr>
      </w:pPr>
      <w:r w:rsidRPr="0025135B">
        <w:rPr>
          <w:rFonts w:cs="Times New Roman"/>
        </w:rPr>
        <w:t>The trial judge held that to prove first degree murder under s. 231(5</w:t>
      </w:r>
      <w:proofErr w:type="gramStart"/>
      <w:r w:rsidRPr="0025135B">
        <w:rPr>
          <w:rFonts w:cs="Times New Roman"/>
        </w:rPr>
        <w:t>)(</w:t>
      </w:r>
      <w:proofErr w:type="gramEnd"/>
      <w:r w:rsidRPr="0025135B">
        <w:rPr>
          <w:rFonts w:cs="Times New Roman"/>
        </w:rPr>
        <w:t>e), the Crown had to prove that the appellant murdered Mr. McLeod while he was under “continuing confinement” at the time of his death (para. 289</w:t>
      </w:r>
      <w:r>
        <w:rPr>
          <w:rFonts w:cs="Times New Roman"/>
        </w:rPr>
        <w:t xml:space="preserve"> (CanLII)</w:t>
      </w:r>
      <w:r w:rsidRPr="0025135B">
        <w:rPr>
          <w:rFonts w:cs="Times New Roman"/>
        </w:rPr>
        <w:t xml:space="preserve">). The appellant repeatedly assaulted and unlawfully confined Mr. McLeod in the truck, </w:t>
      </w:r>
      <w:r>
        <w:rPr>
          <w:rFonts w:cs="Times New Roman"/>
        </w:rPr>
        <w:t xml:space="preserve">and </w:t>
      </w:r>
      <w:r>
        <w:rPr>
          <w:rFonts w:cs="Times New Roman"/>
        </w:rPr>
        <w:lastRenderedPageBreak/>
        <w:t>Mr. </w:t>
      </w:r>
      <w:r w:rsidRPr="0025135B">
        <w:rPr>
          <w:rFonts w:cs="Times New Roman"/>
        </w:rPr>
        <w:t xml:space="preserve">McLeod was still “in a situation of vulnerability” when he escaped from the truck as a “consequence of the manner in which he had been dealt with in the truck” (para. 289). </w:t>
      </w:r>
      <w:r>
        <w:rPr>
          <w:rFonts w:cs="Times New Roman"/>
        </w:rPr>
        <w:t xml:space="preserve">However, </w:t>
      </w:r>
      <w:r w:rsidRPr="0025135B">
        <w:rPr>
          <w:rFonts w:cs="Times New Roman"/>
        </w:rPr>
        <w:t xml:space="preserve">because Mr. McLeod “managed to escape his confinement” by jumping from the truck, when </w:t>
      </w:r>
      <w:r>
        <w:rPr>
          <w:rFonts w:cs="Times New Roman"/>
        </w:rPr>
        <w:t>“</w:t>
      </w:r>
      <w:r w:rsidRPr="0025135B">
        <w:rPr>
          <w:rFonts w:cs="Times New Roman"/>
        </w:rPr>
        <w:t>Mr. McLeod was shot, his confinement had ended” (para. 288). The brief “gap in time” between the end of Mr. McLeod’s unlawful confinement in the truck and the firing of the fatal shots meant that he was not under “continuing confinement” when he was killed (para. 289). The appellant was thus not guilty of first degree murder under s. 231(5</w:t>
      </w:r>
      <w:proofErr w:type="gramStart"/>
      <w:r w:rsidRPr="0025135B">
        <w:rPr>
          <w:rFonts w:cs="Times New Roman"/>
        </w:rPr>
        <w:t>)(</w:t>
      </w:r>
      <w:proofErr w:type="gramEnd"/>
      <w:r w:rsidRPr="0025135B">
        <w:rPr>
          <w:rFonts w:cs="Times New Roman"/>
        </w:rPr>
        <w:t xml:space="preserve">e) of the </w:t>
      </w:r>
      <w:r w:rsidRPr="0025135B">
        <w:rPr>
          <w:rFonts w:cs="Times New Roman"/>
          <w:i/>
        </w:rPr>
        <w:t>Criminal Code</w:t>
      </w:r>
      <w:r w:rsidRPr="0025135B">
        <w:rPr>
          <w:rFonts w:cs="Times New Roman"/>
        </w:rPr>
        <w:t>.</w:t>
      </w:r>
    </w:p>
    <w:p w:rsidR="00093189" w:rsidRPr="0025135B" w:rsidRDefault="00093189" w:rsidP="00093189">
      <w:pPr>
        <w:pStyle w:val="Title2LevelTitre2Niveau"/>
        <w:numPr>
          <w:ilvl w:val="1"/>
          <w:numId w:val="16"/>
        </w:numPr>
        <w:jc w:val="both"/>
        <w:rPr>
          <w:rFonts w:cs="Times New Roman"/>
        </w:rPr>
      </w:pPr>
      <w:bookmarkStart w:id="3" w:name="_Toc97724206"/>
      <w:r w:rsidRPr="0025135B">
        <w:rPr>
          <w:rFonts w:cs="Times New Roman"/>
        </w:rPr>
        <w:t>Court of Appeal for British Columbia</w:t>
      </w:r>
      <w:r>
        <w:rPr>
          <w:rFonts w:cs="Times New Roman"/>
        </w:rPr>
        <w:t>, 2021 BCCA 53, 402 C.C.C. (3d) 463</w:t>
      </w:r>
      <w:r w:rsidRPr="0025135B">
        <w:rPr>
          <w:rFonts w:cs="Times New Roman"/>
        </w:rPr>
        <w:t xml:space="preserve"> (</w:t>
      </w:r>
      <w:r>
        <w:rPr>
          <w:rFonts w:cs="Times New Roman"/>
        </w:rPr>
        <w:t xml:space="preserve">Bauman C.J. and Fitch and Grauer </w:t>
      </w:r>
      <w:r w:rsidRPr="0025135B">
        <w:rPr>
          <w:rFonts w:cs="Times New Roman"/>
        </w:rPr>
        <w:t>JJ.</w:t>
      </w:r>
      <w:r>
        <w:rPr>
          <w:rFonts w:cs="Times New Roman"/>
        </w:rPr>
        <w:t>A.</w:t>
      </w:r>
      <w:r w:rsidRPr="0025135B">
        <w:rPr>
          <w:rFonts w:cs="Times New Roman"/>
        </w:rPr>
        <w:t>)</w:t>
      </w:r>
      <w:bookmarkEnd w:id="3"/>
    </w:p>
    <w:p w:rsidR="00093189" w:rsidRPr="0025135B" w:rsidRDefault="00093189" w:rsidP="00093189">
      <w:pPr>
        <w:pStyle w:val="ParaNoNdepar-AltN"/>
        <w:rPr>
          <w:rFonts w:cs="Times New Roman"/>
        </w:rPr>
      </w:pPr>
      <w:r w:rsidRPr="0025135B">
        <w:rPr>
          <w:rFonts w:cs="Times New Roman"/>
        </w:rPr>
        <w:t xml:space="preserve">The Court of Appeal </w:t>
      </w:r>
      <w:r>
        <w:rPr>
          <w:rFonts w:cs="Times New Roman"/>
        </w:rPr>
        <w:t xml:space="preserve">unanimously </w:t>
      </w:r>
      <w:r w:rsidRPr="0025135B">
        <w:rPr>
          <w:rFonts w:cs="Times New Roman"/>
        </w:rPr>
        <w:t xml:space="preserve">allowed the Crown’s appeal on the acquittal of first degree murder under s. 231(5)(e), set aside the conviction of second degree murder, and substituted a conviction of first degree murder. </w:t>
      </w:r>
    </w:p>
    <w:p w:rsidR="00093189" w:rsidRPr="0025135B" w:rsidRDefault="00093189" w:rsidP="00093189">
      <w:pPr>
        <w:pStyle w:val="ParaNoNdepar-AltN"/>
        <w:rPr>
          <w:rFonts w:cs="Times New Roman"/>
        </w:rPr>
      </w:pPr>
      <w:r w:rsidRPr="0025135B">
        <w:rPr>
          <w:rFonts w:cs="Times New Roman"/>
        </w:rPr>
        <w:t xml:space="preserve">The Court of Appeal identified two legal errors in the trial decision. First, the trial judge erred in law on the scope of unlawful confinement by requiring that “the victim be physically restrained in an enclosed space” (para. 156). Unlawful confinement only requires “the intentional deprivation of another person’s liberty or the restriction of that person’s movement in the absence of lawful authority and contrary to the person’s wishes” (para. 153). Even after Mr. McLeod had jumped from the truck he was “in no sense free to move about according to his own inclination and desire” (para. 159). “His confinement did not, as a matter of law, end as soon as he bailed from the truck” (para. 159). Applying the trial judge’s undisputed factual </w:t>
      </w:r>
      <w:r w:rsidRPr="0025135B">
        <w:rPr>
          <w:rFonts w:cs="Times New Roman"/>
        </w:rPr>
        <w:lastRenderedPageBreak/>
        <w:t>findings to the correct legal test for unlawful confinement, the appellant “was committing the offence of unlawful confinement when he shot [Mr.] McLeod” (para. 159).</w:t>
      </w:r>
    </w:p>
    <w:p w:rsidR="00093189" w:rsidRPr="0025135B" w:rsidRDefault="00093189" w:rsidP="00093189">
      <w:pPr>
        <w:pStyle w:val="ParaNoNdepar-AltN"/>
        <w:rPr>
          <w:rFonts w:cs="Times New Roman"/>
          <w:spacing w:val="-3"/>
        </w:rPr>
      </w:pPr>
      <w:r w:rsidRPr="0025135B">
        <w:rPr>
          <w:rFonts w:cs="Times New Roman"/>
        </w:rPr>
        <w:t xml:space="preserve">Second, </w:t>
      </w:r>
      <w:r>
        <w:rPr>
          <w:rFonts w:cs="Times New Roman"/>
        </w:rPr>
        <w:t xml:space="preserve">according to the Court of Appeal, </w:t>
      </w:r>
      <w:r w:rsidRPr="0025135B">
        <w:rPr>
          <w:rFonts w:cs="Times New Roman"/>
        </w:rPr>
        <w:t>the trial judge’s “more fundamental legal error” was in concluding that “the momentary gap in time” between when Mr. McLeod jumped from the truck and when the appellant shot him meant that he could not have murdered Mr. McLeod “while committing” the offence</w:t>
      </w:r>
      <w:r>
        <w:rPr>
          <w:rFonts w:cs="Times New Roman"/>
        </w:rPr>
        <w:t xml:space="preserve"> of unlawful confinement (para. </w:t>
      </w:r>
      <w:r w:rsidRPr="0025135B">
        <w:rPr>
          <w:rFonts w:cs="Times New Roman"/>
        </w:rPr>
        <w:t>163). Such a “narrow approach” to s. 231(5</w:t>
      </w:r>
      <w:proofErr w:type="gramStart"/>
      <w:r w:rsidRPr="0025135B">
        <w:rPr>
          <w:rFonts w:cs="Times New Roman"/>
        </w:rPr>
        <w:t>)(</w:t>
      </w:r>
      <w:proofErr w:type="gramEnd"/>
      <w:r w:rsidRPr="0025135B">
        <w:rPr>
          <w:rFonts w:cs="Times New Roman"/>
        </w:rPr>
        <w:t xml:space="preserve">e) diverges from this Court’s interpretation </w:t>
      </w:r>
      <w:r w:rsidRPr="004C134F">
        <w:t xml:space="preserve">in </w:t>
      </w:r>
      <w:bookmarkStart w:id="4" w:name="_GoBack"/>
      <w:r w:rsidRPr="004C134F">
        <w:rPr>
          <w:i/>
        </w:rPr>
        <w:t>R. v. Paré</w:t>
      </w:r>
      <w:bookmarkEnd w:id="4"/>
      <w:r w:rsidRPr="004C134F">
        <w:t>, [1987] 2 S.C.R. 618, which</w:t>
      </w:r>
      <w:r w:rsidRPr="0025135B">
        <w:rPr>
          <w:rFonts w:cs="Times New Roman"/>
          <w:spacing w:val="-3"/>
        </w:rPr>
        <w:t xml:space="preserve"> asks whether the unlawful confinement and murder were part of a single transaction or were temporally and causally connected. The trial judge erred in law by failing to give legal effect to his factual findings. On the facts found by the trial judge, there was a temporal and causal connection between the unlawful confinement and the murder, making the entire course of conduct a single transaction. The temporal connection was established because the gap in time between the unlawful confinement and the murder was “brief” or “momentary” (para. 171). The causal connection was established because Mr. McLeod was still in a situation of vulnerability after he jumped from the truck and tried to escape from his attackers (para. 172). Based on these factual findings, the appellant was guilty of first degree murder.</w:t>
      </w:r>
    </w:p>
    <w:p w:rsidR="00093189" w:rsidRPr="0025135B" w:rsidRDefault="00093189" w:rsidP="00093189">
      <w:pPr>
        <w:pStyle w:val="Title1LevelTitre1Niveau-AltL"/>
        <w:numPr>
          <w:ilvl w:val="0"/>
          <w:numId w:val="16"/>
        </w:numPr>
        <w:jc w:val="both"/>
        <w:rPr>
          <w:rFonts w:cs="Times New Roman"/>
        </w:rPr>
      </w:pPr>
      <w:r w:rsidRPr="0025135B">
        <w:rPr>
          <w:rFonts w:cs="Times New Roman"/>
        </w:rPr>
        <w:t>Relevant Statutory Provisions</w:t>
      </w:r>
    </w:p>
    <w:p w:rsidR="00093189" w:rsidRPr="004C1C9A" w:rsidRDefault="00093189" w:rsidP="00093189">
      <w:pPr>
        <w:pStyle w:val="ParaNoNdepar-AltN"/>
        <w:rPr>
          <w:rFonts w:cs="Times New Roman"/>
          <w:lang w:val="en-US"/>
        </w:rPr>
      </w:pPr>
      <w:r w:rsidRPr="004C1C9A">
        <w:rPr>
          <w:rFonts w:cs="Times New Roman"/>
          <w:lang w:val="en-US"/>
        </w:rPr>
        <w:lastRenderedPageBreak/>
        <w:t>The relevant portions of s</w:t>
      </w:r>
      <w:r>
        <w:rPr>
          <w:rFonts w:cs="Times New Roman"/>
          <w:lang w:val="en-US"/>
        </w:rPr>
        <w:t xml:space="preserve">s. 231 and 279 of the </w:t>
      </w:r>
      <w:r w:rsidRPr="004C1C9A">
        <w:rPr>
          <w:rFonts w:cs="Times New Roman"/>
          <w:i/>
          <w:lang w:val="en-US"/>
        </w:rPr>
        <w:t>Criminal Code</w:t>
      </w:r>
      <w:r>
        <w:rPr>
          <w:rFonts w:cs="Times New Roman"/>
          <w:lang w:val="en-US"/>
        </w:rPr>
        <w:t xml:space="preserve"> read as follows: </w:t>
      </w:r>
    </w:p>
    <w:p w:rsidR="00093189" w:rsidRPr="0025135B" w:rsidRDefault="00093189" w:rsidP="00093189">
      <w:pPr>
        <w:pStyle w:val="marginalnote"/>
        <w:shd w:val="clear" w:color="auto" w:fill="FFFFFF"/>
        <w:spacing w:before="288" w:beforeAutospacing="0" w:after="0" w:afterAutospacing="0"/>
        <w:ind w:left="1166"/>
        <w:jc w:val="both"/>
        <w:rPr>
          <w:b/>
          <w:bCs/>
        </w:rPr>
      </w:pPr>
      <w:r w:rsidRPr="0025135B">
        <w:rPr>
          <w:b/>
          <w:bCs/>
        </w:rPr>
        <w:t>Classification of murder</w:t>
      </w:r>
    </w:p>
    <w:p w:rsidR="00093189" w:rsidRPr="0025135B" w:rsidRDefault="00093189" w:rsidP="00093189">
      <w:pPr>
        <w:pStyle w:val="subsection"/>
        <w:shd w:val="clear" w:color="auto" w:fill="FFFFFF"/>
        <w:spacing w:before="168" w:beforeAutospacing="0" w:after="0" w:afterAutospacing="0"/>
        <w:ind w:left="1166"/>
        <w:jc w:val="both"/>
      </w:pPr>
      <w:r w:rsidRPr="0025135B">
        <w:rPr>
          <w:rStyle w:val="sectionlabel"/>
          <w:b/>
          <w:bCs/>
        </w:rPr>
        <w:t>231</w:t>
      </w:r>
      <w:r w:rsidRPr="0025135B">
        <w:t> </w:t>
      </w:r>
      <w:r w:rsidRPr="00A1682E">
        <w:rPr>
          <w:rStyle w:val="lawlabel"/>
          <w:b/>
        </w:rPr>
        <w:t>(1)</w:t>
      </w:r>
      <w:r w:rsidRPr="0025135B">
        <w:t> Murder is first degree murder or second degree murder.</w:t>
      </w:r>
    </w:p>
    <w:p w:rsidR="00093189" w:rsidRDefault="00093189" w:rsidP="00093189">
      <w:pPr>
        <w:pStyle w:val="marginalnote"/>
        <w:shd w:val="clear" w:color="auto" w:fill="FFFFFF"/>
        <w:tabs>
          <w:tab w:val="left" w:pos="1613"/>
        </w:tabs>
        <w:spacing w:before="168" w:beforeAutospacing="0" w:after="0" w:afterAutospacing="0"/>
        <w:ind w:left="1166"/>
        <w:jc w:val="both"/>
        <w:rPr>
          <w:b/>
          <w:bCs/>
        </w:rPr>
      </w:pPr>
      <w:r>
        <w:rPr>
          <w:b/>
          <w:bCs/>
        </w:rPr>
        <w:tab/>
      </w:r>
    </w:p>
    <w:p w:rsidR="00093189" w:rsidRPr="0025135B" w:rsidRDefault="00093189" w:rsidP="00093189">
      <w:pPr>
        <w:pStyle w:val="marginalnote"/>
        <w:shd w:val="clear" w:color="auto" w:fill="FFFFFF"/>
        <w:spacing w:before="168" w:beforeAutospacing="0" w:after="0" w:afterAutospacing="0"/>
        <w:ind w:left="1166"/>
        <w:jc w:val="both"/>
        <w:rPr>
          <w:b/>
          <w:bCs/>
        </w:rPr>
      </w:pPr>
      <w:r w:rsidRPr="0025135B">
        <w:rPr>
          <w:b/>
          <w:bCs/>
        </w:rPr>
        <w:t>Planned and deliberate murder</w:t>
      </w:r>
    </w:p>
    <w:p w:rsidR="00093189" w:rsidRDefault="00093189" w:rsidP="00093189">
      <w:pPr>
        <w:pStyle w:val="subsection"/>
        <w:shd w:val="clear" w:color="auto" w:fill="FFFFFF"/>
        <w:spacing w:before="168" w:beforeAutospacing="0" w:after="0" w:afterAutospacing="0"/>
        <w:ind w:left="1166"/>
        <w:jc w:val="both"/>
      </w:pPr>
      <w:r w:rsidRPr="00A1682E">
        <w:rPr>
          <w:rStyle w:val="lawlabel"/>
          <w:b/>
        </w:rPr>
        <w:t>(2)</w:t>
      </w:r>
      <w:r w:rsidRPr="0025135B">
        <w:t> Murder is first degree murder when it is planned and deliberate.</w:t>
      </w:r>
    </w:p>
    <w:p w:rsidR="00093189" w:rsidRPr="0025135B" w:rsidRDefault="00093189" w:rsidP="00093189">
      <w:pPr>
        <w:pStyle w:val="subsection"/>
        <w:shd w:val="clear" w:color="auto" w:fill="FFFFFF"/>
        <w:spacing w:before="168" w:beforeAutospacing="0" w:after="0" w:afterAutospacing="0"/>
        <w:ind w:left="1166"/>
        <w:jc w:val="both"/>
      </w:pPr>
    </w:p>
    <w:p w:rsidR="00093189" w:rsidRDefault="00093189" w:rsidP="00093189">
      <w:pPr>
        <w:pStyle w:val="subsection"/>
        <w:shd w:val="clear" w:color="auto" w:fill="FFFFFF"/>
        <w:spacing w:before="0" w:beforeAutospacing="0" w:after="0" w:afterAutospacing="0"/>
        <w:ind w:left="1166"/>
        <w:contextualSpacing/>
        <w:jc w:val="center"/>
        <w:rPr>
          <w:rStyle w:val="lawlabel"/>
          <w:bCs/>
        </w:rPr>
      </w:pPr>
      <w:r w:rsidRPr="0025135B">
        <w:rPr>
          <w:rStyle w:val="lawlabel"/>
        </w:rPr>
        <w:t>.</w:t>
      </w:r>
      <w:r>
        <w:rPr>
          <w:rStyle w:val="lawlabel"/>
        </w:rPr>
        <w:t xml:space="preserve"> </w:t>
      </w:r>
      <w:r w:rsidRPr="0025135B">
        <w:rPr>
          <w:rStyle w:val="lawlabel"/>
        </w:rPr>
        <w:t>.</w:t>
      </w:r>
      <w:r>
        <w:rPr>
          <w:rStyle w:val="lawlabel"/>
        </w:rPr>
        <w:t xml:space="preserve"> </w:t>
      </w:r>
      <w:r w:rsidRPr="0025135B">
        <w:rPr>
          <w:rStyle w:val="lawlabel"/>
        </w:rPr>
        <w:t>.</w:t>
      </w:r>
    </w:p>
    <w:p w:rsidR="00093189" w:rsidRPr="0025135B" w:rsidRDefault="00093189" w:rsidP="00093189">
      <w:pPr>
        <w:pStyle w:val="subsection"/>
        <w:shd w:val="clear" w:color="auto" w:fill="FFFFFF"/>
        <w:spacing w:before="168" w:beforeAutospacing="0" w:after="0" w:afterAutospacing="0"/>
        <w:ind w:left="1166"/>
        <w:contextualSpacing/>
        <w:jc w:val="center"/>
        <w:rPr>
          <w:bCs/>
        </w:rPr>
      </w:pPr>
    </w:p>
    <w:p w:rsidR="00093189" w:rsidRPr="0025135B" w:rsidRDefault="00093189" w:rsidP="00093189">
      <w:pPr>
        <w:pStyle w:val="marginalnote"/>
        <w:shd w:val="clear" w:color="auto" w:fill="FFFFFF"/>
        <w:spacing w:before="168" w:beforeAutospacing="0" w:after="0" w:afterAutospacing="0"/>
        <w:ind w:left="1166"/>
        <w:jc w:val="both"/>
        <w:rPr>
          <w:b/>
          <w:bCs/>
        </w:rPr>
      </w:pPr>
      <w:r w:rsidRPr="0025135B">
        <w:rPr>
          <w:b/>
          <w:bCs/>
        </w:rPr>
        <w:t>Hijacking, sexual assault or kidnapping</w:t>
      </w:r>
    </w:p>
    <w:p w:rsidR="00093189" w:rsidRPr="0025135B" w:rsidRDefault="00093189" w:rsidP="00093189">
      <w:pPr>
        <w:pStyle w:val="subsection"/>
        <w:shd w:val="clear" w:color="auto" w:fill="FFFFFF"/>
        <w:spacing w:before="168" w:beforeAutospacing="0" w:after="0" w:afterAutospacing="0"/>
        <w:ind w:left="1166"/>
        <w:jc w:val="both"/>
      </w:pPr>
      <w:r w:rsidRPr="00A1682E">
        <w:rPr>
          <w:rStyle w:val="lawlabel"/>
          <w:b/>
        </w:rPr>
        <w:t>(5)</w:t>
      </w:r>
      <w:r w:rsidRPr="0025135B">
        <w:t> Irrespective of whether a murder is planned and deliberate on the part of any person, murder is first degree murder in respect of a person when the death is caused by that person while committing or attempting to commit an offence under one of the following sections:</w:t>
      </w:r>
    </w:p>
    <w:p w:rsidR="00093189" w:rsidRPr="0025135B" w:rsidRDefault="00093189" w:rsidP="00093189">
      <w:pPr>
        <w:pStyle w:val="paragraph"/>
        <w:shd w:val="clear" w:color="auto" w:fill="FFFFFF"/>
        <w:spacing w:before="168" w:beforeAutospacing="0" w:after="0" w:afterAutospacing="0"/>
        <w:ind w:left="1526"/>
        <w:jc w:val="both"/>
      </w:pPr>
      <w:r w:rsidRPr="00A1682E">
        <w:rPr>
          <w:rStyle w:val="lawlabel"/>
          <w:b/>
        </w:rPr>
        <w:t>(a)</w:t>
      </w:r>
      <w:r w:rsidRPr="0025135B">
        <w:t> </w:t>
      </w:r>
      <w:proofErr w:type="gramStart"/>
      <w:r w:rsidRPr="0025135B">
        <w:t>section</w:t>
      </w:r>
      <w:proofErr w:type="gramEnd"/>
      <w:r w:rsidRPr="0025135B">
        <w:t xml:space="preserve"> 76 (hijacking an aircraft);</w:t>
      </w:r>
    </w:p>
    <w:p w:rsidR="00093189" w:rsidRPr="0025135B" w:rsidRDefault="00093189" w:rsidP="00093189">
      <w:pPr>
        <w:pStyle w:val="paragraph"/>
        <w:shd w:val="clear" w:color="auto" w:fill="FFFFFF"/>
        <w:spacing w:before="168" w:beforeAutospacing="0" w:after="0" w:afterAutospacing="0"/>
        <w:ind w:left="1526"/>
        <w:jc w:val="both"/>
      </w:pPr>
      <w:r w:rsidRPr="00A1682E">
        <w:rPr>
          <w:rStyle w:val="lawlabel"/>
          <w:b/>
        </w:rPr>
        <w:t>(b)</w:t>
      </w:r>
      <w:r w:rsidRPr="0025135B">
        <w:t> </w:t>
      </w:r>
      <w:proofErr w:type="gramStart"/>
      <w:r w:rsidRPr="0025135B">
        <w:t>section</w:t>
      </w:r>
      <w:proofErr w:type="gramEnd"/>
      <w:r w:rsidRPr="0025135B">
        <w:t xml:space="preserve"> 271 (sexual assault);</w:t>
      </w:r>
    </w:p>
    <w:p w:rsidR="00093189" w:rsidRPr="0025135B" w:rsidRDefault="00093189" w:rsidP="00093189">
      <w:pPr>
        <w:pStyle w:val="paragraph"/>
        <w:shd w:val="clear" w:color="auto" w:fill="FFFFFF"/>
        <w:spacing w:before="168" w:beforeAutospacing="0" w:after="0" w:afterAutospacing="0"/>
        <w:ind w:left="1526"/>
        <w:jc w:val="both"/>
      </w:pPr>
      <w:r w:rsidRPr="00A1682E">
        <w:rPr>
          <w:rStyle w:val="lawlabel"/>
          <w:b/>
        </w:rPr>
        <w:t>(c)</w:t>
      </w:r>
      <w:r w:rsidRPr="0025135B">
        <w:t> </w:t>
      </w:r>
      <w:proofErr w:type="gramStart"/>
      <w:r w:rsidRPr="0025135B">
        <w:t>section</w:t>
      </w:r>
      <w:proofErr w:type="gramEnd"/>
      <w:r w:rsidRPr="0025135B">
        <w:t xml:space="preserve"> 272 (sexual assault with a weapon, threats to a third party or causing bodily harm);</w:t>
      </w:r>
    </w:p>
    <w:p w:rsidR="00093189" w:rsidRPr="0025135B" w:rsidRDefault="00093189" w:rsidP="00093189">
      <w:pPr>
        <w:pStyle w:val="paragraph"/>
        <w:shd w:val="clear" w:color="auto" w:fill="FFFFFF"/>
        <w:spacing w:before="168" w:beforeAutospacing="0" w:after="0" w:afterAutospacing="0"/>
        <w:ind w:left="1526"/>
        <w:jc w:val="both"/>
      </w:pPr>
      <w:r w:rsidRPr="00A1682E">
        <w:rPr>
          <w:rStyle w:val="lawlabel"/>
          <w:b/>
        </w:rPr>
        <w:t>(d)</w:t>
      </w:r>
      <w:r w:rsidRPr="0025135B">
        <w:t> </w:t>
      </w:r>
      <w:proofErr w:type="gramStart"/>
      <w:r w:rsidRPr="0025135B">
        <w:t>section</w:t>
      </w:r>
      <w:proofErr w:type="gramEnd"/>
      <w:r w:rsidRPr="0025135B">
        <w:t xml:space="preserve"> 273 (aggravated sexual assault);</w:t>
      </w:r>
    </w:p>
    <w:p w:rsidR="00093189" w:rsidRPr="0025135B" w:rsidRDefault="00093189" w:rsidP="00093189">
      <w:pPr>
        <w:pStyle w:val="paragraph"/>
        <w:shd w:val="clear" w:color="auto" w:fill="FFFFFF"/>
        <w:spacing w:before="168" w:beforeAutospacing="0" w:after="0" w:afterAutospacing="0"/>
        <w:ind w:left="1526"/>
        <w:jc w:val="both"/>
      </w:pPr>
      <w:r w:rsidRPr="00A1682E">
        <w:rPr>
          <w:rStyle w:val="lawlabel"/>
          <w:b/>
        </w:rPr>
        <w:t>(e)</w:t>
      </w:r>
      <w:r w:rsidRPr="0025135B">
        <w:t> </w:t>
      </w:r>
      <w:proofErr w:type="gramStart"/>
      <w:r w:rsidRPr="0025135B">
        <w:t>section</w:t>
      </w:r>
      <w:proofErr w:type="gramEnd"/>
      <w:r w:rsidRPr="0025135B">
        <w:t xml:space="preserve"> 279 (kidnapping and forcible confinement); or</w:t>
      </w:r>
    </w:p>
    <w:p w:rsidR="00093189" w:rsidRDefault="00093189" w:rsidP="00093189">
      <w:pPr>
        <w:pStyle w:val="paragraph"/>
        <w:shd w:val="clear" w:color="auto" w:fill="FFFFFF"/>
        <w:spacing w:before="168" w:beforeAutospacing="0" w:after="0" w:afterAutospacing="0"/>
        <w:ind w:left="1526"/>
        <w:jc w:val="both"/>
      </w:pPr>
      <w:r w:rsidRPr="00A1682E">
        <w:rPr>
          <w:rStyle w:val="lawlabel"/>
          <w:b/>
        </w:rPr>
        <w:t>(f)</w:t>
      </w:r>
      <w:r w:rsidRPr="0025135B">
        <w:t> </w:t>
      </w:r>
      <w:proofErr w:type="gramStart"/>
      <w:r w:rsidRPr="0025135B">
        <w:t>section</w:t>
      </w:r>
      <w:proofErr w:type="gramEnd"/>
      <w:r w:rsidRPr="0025135B">
        <w:t xml:space="preserve"> 279.1 (hostage taking).</w:t>
      </w:r>
    </w:p>
    <w:p w:rsidR="00093189" w:rsidRPr="0025135B" w:rsidRDefault="00093189" w:rsidP="00093189">
      <w:pPr>
        <w:pStyle w:val="paragraph"/>
        <w:shd w:val="clear" w:color="auto" w:fill="FFFFFF"/>
        <w:spacing w:before="0" w:beforeAutospacing="0" w:after="0" w:afterAutospacing="0"/>
        <w:ind w:left="1526"/>
        <w:contextualSpacing/>
        <w:jc w:val="both"/>
      </w:pPr>
    </w:p>
    <w:p w:rsidR="00093189" w:rsidRDefault="00093189" w:rsidP="00093189">
      <w:pPr>
        <w:pStyle w:val="marginalnote"/>
        <w:shd w:val="clear" w:color="auto" w:fill="FFFFFF"/>
        <w:spacing w:before="0" w:beforeAutospacing="0" w:after="0" w:afterAutospacing="0"/>
        <w:ind w:left="1166"/>
        <w:contextualSpacing/>
        <w:jc w:val="center"/>
        <w:rPr>
          <w:bCs/>
        </w:rPr>
      </w:pPr>
      <w:r>
        <w:rPr>
          <w:bCs/>
        </w:rPr>
        <w:t>. . .</w:t>
      </w:r>
    </w:p>
    <w:p w:rsidR="00093189" w:rsidRDefault="00093189" w:rsidP="00093189">
      <w:pPr>
        <w:pStyle w:val="marginalnote"/>
        <w:shd w:val="clear" w:color="auto" w:fill="FFFFFF"/>
        <w:spacing w:before="168" w:beforeAutospacing="0" w:after="0" w:afterAutospacing="0"/>
        <w:ind w:left="1166"/>
        <w:contextualSpacing/>
        <w:jc w:val="center"/>
        <w:rPr>
          <w:bCs/>
        </w:rPr>
      </w:pPr>
    </w:p>
    <w:p w:rsidR="00093189" w:rsidRPr="0025135B" w:rsidRDefault="00093189" w:rsidP="00093189">
      <w:pPr>
        <w:pStyle w:val="marginalnote"/>
        <w:shd w:val="clear" w:color="auto" w:fill="FFFFFF"/>
        <w:spacing w:before="0" w:beforeAutospacing="0" w:after="0" w:afterAutospacing="0"/>
        <w:ind w:left="1166"/>
        <w:jc w:val="both"/>
        <w:rPr>
          <w:b/>
          <w:bCs/>
        </w:rPr>
      </w:pPr>
      <w:r w:rsidRPr="0025135B">
        <w:rPr>
          <w:b/>
          <w:bCs/>
        </w:rPr>
        <w:t>Second degree murder</w:t>
      </w:r>
    </w:p>
    <w:p w:rsidR="00093189" w:rsidRDefault="00093189" w:rsidP="00093189">
      <w:pPr>
        <w:pStyle w:val="subsection"/>
        <w:shd w:val="clear" w:color="auto" w:fill="FFFFFF"/>
        <w:spacing w:before="168" w:beforeAutospacing="0" w:after="0" w:afterAutospacing="0"/>
        <w:ind w:left="1166"/>
        <w:jc w:val="both"/>
      </w:pPr>
      <w:r w:rsidRPr="00A1682E">
        <w:rPr>
          <w:rStyle w:val="lawlabel"/>
          <w:b/>
        </w:rPr>
        <w:t>(7)</w:t>
      </w:r>
      <w:r w:rsidRPr="0025135B">
        <w:t> All murder that is not first degree murder is second degree murder.</w:t>
      </w:r>
    </w:p>
    <w:p w:rsidR="00093189" w:rsidRPr="0025135B" w:rsidRDefault="00093189" w:rsidP="00093189">
      <w:pPr>
        <w:pStyle w:val="subsection"/>
        <w:shd w:val="clear" w:color="auto" w:fill="FFFFFF"/>
        <w:spacing w:before="168" w:beforeAutospacing="0" w:after="0" w:afterAutospacing="0"/>
        <w:ind w:left="1166"/>
        <w:jc w:val="both"/>
      </w:pPr>
    </w:p>
    <w:p w:rsidR="00093189" w:rsidRDefault="00093189" w:rsidP="00093189">
      <w:pPr>
        <w:pStyle w:val="subsection"/>
        <w:shd w:val="clear" w:color="auto" w:fill="FFFFFF"/>
        <w:spacing w:before="168" w:beforeAutospacing="0" w:after="0" w:afterAutospacing="0"/>
        <w:ind w:left="1166"/>
        <w:contextualSpacing/>
        <w:jc w:val="center"/>
        <w:rPr>
          <w:rStyle w:val="lawlabel"/>
          <w:bCs/>
        </w:rPr>
      </w:pPr>
      <w:r>
        <w:rPr>
          <w:rStyle w:val="lawlabel"/>
        </w:rPr>
        <w:t>. . .</w:t>
      </w:r>
    </w:p>
    <w:p w:rsidR="00093189" w:rsidRPr="0025135B" w:rsidRDefault="00093189" w:rsidP="00093189">
      <w:pPr>
        <w:pStyle w:val="subsection"/>
        <w:shd w:val="clear" w:color="auto" w:fill="FFFFFF"/>
        <w:spacing w:before="168" w:beforeAutospacing="0" w:after="0" w:afterAutospacing="0"/>
        <w:ind w:left="1166"/>
        <w:contextualSpacing/>
        <w:jc w:val="center"/>
        <w:rPr>
          <w:rStyle w:val="lawlabel"/>
          <w:bCs/>
        </w:rPr>
      </w:pPr>
    </w:p>
    <w:p w:rsidR="00093189" w:rsidRPr="0025135B" w:rsidRDefault="00093189" w:rsidP="00093189">
      <w:pPr>
        <w:pStyle w:val="marginalnote"/>
        <w:shd w:val="clear" w:color="auto" w:fill="FFFFFF"/>
        <w:spacing w:before="0" w:beforeAutospacing="0" w:after="0" w:afterAutospacing="0"/>
        <w:ind w:left="1166"/>
        <w:jc w:val="both"/>
        <w:rPr>
          <w:b/>
          <w:bCs/>
        </w:rPr>
      </w:pPr>
      <w:r w:rsidRPr="0025135B">
        <w:rPr>
          <w:b/>
          <w:bCs/>
        </w:rPr>
        <w:t>Forcible confinement</w:t>
      </w:r>
    </w:p>
    <w:p w:rsidR="00093189" w:rsidRDefault="00093189" w:rsidP="00093189">
      <w:pPr>
        <w:pStyle w:val="subsection"/>
        <w:shd w:val="clear" w:color="auto" w:fill="FFFFFF"/>
        <w:spacing w:before="168" w:beforeAutospacing="0" w:after="120" w:afterAutospacing="0"/>
        <w:ind w:left="1166"/>
        <w:jc w:val="both"/>
        <w:rPr>
          <w:rStyle w:val="lawlabel"/>
          <w:b/>
          <w:bCs/>
        </w:rPr>
      </w:pPr>
      <w:r w:rsidRPr="00A1682E">
        <w:rPr>
          <w:rStyle w:val="lawlabel"/>
          <w:b/>
        </w:rPr>
        <w:t>279</w:t>
      </w:r>
      <w:r>
        <w:rPr>
          <w:rStyle w:val="lawlabel"/>
        </w:rPr>
        <w:t xml:space="preserve"> </w:t>
      </w:r>
      <w:r w:rsidRPr="00346CAD">
        <w:rPr>
          <w:rStyle w:val="lawlabel"/>
        </w:rPr>
        <w:t>. . .</w:t>
      </w:r>
    </w:p>
    <w:p w:rsidR="00093189" w:rsidRPr="0025135B" w:rsidRDefault="00093189" w:rsidP="00093189">
      <w:pPr>
        <w:pStyle w:val="subsection"/>
        <w:shd w:val="clear" w:color="auto" w:fill="FFFFFF"/>
        <w:spacing w:before="168" w:beforeAutospacing="0" w:after="0" w:afterAutospacing="0"/>
        <w:ind w:left="1166"/>
        <w:jc w:val="both"/>
      </w:pPr>
      <w:r w:rsidRPr="00A1682E">
        <w:rPr>
          <w:rStyle w:val="lawlabel"/>
          <w:b/>
        </w:rPr>
        <w:lastRenderedPageBreak/>
        <w:t>(2)</w:t>
      </w:r>
      <w:r w:rsidRPr="0025135B">
        <w:t> </w:t>
      </w:r>
      <w:proofErr w:type="spellStart"/>
      <w:r w:rsidRPr="0025135B">
        <w:t>Every one</w:t>
      </w:r>
      <w:proofErr w:type="spellEnd"/>
      <w:r w:rsidRPr="0025135B">
        <w:t xml:space="preserve"> who, without lawful authority, confines, imprisons or forcibly seizes another person is guilty of</w:t>
      </w:r>
    </w:p>
    <w:p w:rsidR="00093189" w:rsidRPr="0025135B" w:rsidRDefault="00093189" w:rsidP="00093189">
      <w:pPr>
        <w:pStyle w:val="paragraph"/>
        <w:shd w:val="clear" w:color="auto" w:fill="FFFFFF"/>
        <w:spacing w:before="168" w:beforeAutospacing="0" w:after="120" w:afterAutospacing="0"/>
        <w:ind w:left="1526"/>
        <w:jc w:val="both"/>
      </w:pPr>
      <w:r w:rsidRPr="00A1682E">
        <w:rPr>
          <w:rStyle w:val="lawlabel"/>
          <w:b/>
        </w:rPr>
        <w:t>(a)</w:t>
      </w:r>
      <w:r w:rsidRPr="0025135B">
        <w:t> </w:t>
      </w:r>
      <w:proofErr w:type="gramStart"/>
      <w:r w:rsidRPr="0025135B">
        <w:t>an</w:t>
      </w:r>
      <w:proofErr w:type="gramEnd"/>
      <w:r w:rsidRPr="0025135B">
        <w:t xml:space="preserve"> indictable offence and liable to imprisonment for a term not exceeding ten years; or</w:t>
      </w:r>
    </w:p>
    <w:p w:rsidR="00093189" w:rsidRPr="0025135B" w:rsidRDefault="00093189" w:rsidP="00093189">
      <w:pPr>
        <w:pStyle w:val="paragraph"/>
        <w:shd w:val="clear" w:color="auto" w:fill="FFFFFF"/>
        <w:spacing w:before="168" w:beforeAutospacing="0" w:after="720" w:afterAutospacing="0"/>
        <w:ind w:left="1526"/>
        <w:jc w:val="both"/>
      </w:pPr>
      <w:r w:rsidRPr="00A1682E">
        <w:rPr>
          <w:rStyle w:val="lawlabel"/>
          <w:b/>
        </w:rPr>
        <w:t>(b)</w:t>
      </w:r>
      <w:r w:rsidRPr="0025135B">
        <w:t> </w:t>
      </w:r>
      <w:proofErr w:type="gramStart"/>
      <w:r w:rsidRPr="0025135B">
        <w:t>an</w:t>
      </w:r>
      <w:proofErr w:type="gramEnd"/>
      <w:r w:rsidRPr="0025135B">
        <w:t xml:space="preserve"> offence punishable on summary conviction.</w:t>
      </w:r>
    </w:p>
    <w:p w:rsidR="00093189" w:rsidRPr="0025135B" w:rsidRDefault="00093189" w:rsidP="00093189">
      <w:pPr>
        <w:pStyle w:val="Title1LevelTitre1Niveau-AltL"/>
        <w:numPr>
          <w:ilvl w:val="0"/>
          <w:numId w:val="16"/>
        </w:numPr>
        <w:jc w:val="both"/>
        <w:rPr>
          <w:rFonts w:cs="Times New Roman"/>
        </w:rPr>
      </w:pPr>
      <w:bookmarkStart w:id="5" w:name="_Toc97724208"/>
      <w:r w:rsidRPr="0025135B">
        <w:rPr>
          <w:rFonts w:cs="Times New Roman"/>
        </w:rPr>
        <w:t>Issues</w:t>
      </w:r>
    </w:p>
    <w:p w:rsidR="00093189" w:rsidRPr="0025135B" w:rsidRDefault="00093189" w:rsidP="00093189">
      <w:pPr>
        <w:pStyle w:val="ParaNoNdepar-AltN"/>
        <w:rPr>
          <w:rFonts w:cs="Times New Roman"/>
        </w:rPr>
      </w:pPr>
      <w:r w:rsidRPr="0025135B">
        <w:rPr>
          <w:rFonts w:cs="Times New Roman"/>
        </w:rPr>
        <w:t>The appellant raises two main issues:</w:t>
      </w:r>
    </w:p>
    <w:p w:rsidR="00093189" w:rsidRPr="0025135B" w:rsidRDefault="00093189" w:rsidP="00093189">
      <w:pPr>
        <w:pStyle w:val="Title2LevelTitre2Niveau"/>
        <w:numPr>
          <w:ilvl w:val="1"/>
          <w:numId w:val="16"/>
        </w:numPr>
        <w:spacing w:after="480" w:line="480" w:lineRule="auto"/>
        <w:ind w:left="1616" w:hanging="448"/>
        <w:jc w:val="both"/>
        <w:rPr>
          <w:rFonts w:cs="Times New Roman"/>
          <w:i w:val="0"/>
        </w:rPr>
      </w:pPr>
      <w:r>
        <w:rPr>
          <w:rFonts w:cs="Times New Roman"/>
          <w:i w:val="0"/>
        </w:rPr>
        <w:t>T</w:t>
      </w:r>
      <w:r w:rsidRPr="0025135B">
        <w:rPr>
          <w:rFonts w:cs="Times New Roman"/>
          <w:i w:val="0"/>
        </w:rPr>
        <w:t>he Court of Appeal had no basis to interfere with the trial judge’s conclusion that Mr. McLeod’s unlawful confinement ended when he escaped from the truck, and thus the appellant did not</w:t>
      </w:r>
      <w:r>
        <w:rPr>
          <w:rFonts w:cs="Times New Roman"/>
          <w:i w:val="0"/>
        </w:rPr>
        <w:t xml:space="preserve"> murder Mr. </w:t>
      </w:r>
      <w:r w:rsidRPr="0025135B">
        <w:rPr>
          <w:rFonts w:cs="Times New Roman"/>
          <w:i w:val="0"/>
        </w:rPr>
        <w:t xml:space="preserve">McLeod “while committing” the offence of unlawful confinement </w:t>
      </w:r>
      <w:r>
        <w:rPr>
          <w:rFonts w:cs="Times New Roman"/>
          <w:i w:val="0"/>
        </w:rPr>
        <w:t xml:space="preserve">and is not guilty of first degree murder </w:t>
      </w:r>
      <w:r w:rsidRPr="0025135B">
        <w:rPr>
          <w:rFonts w:cs="Times New Roman"/>
          <w:i w:val="0"/>
        </w:rPr>
        <w:t xml:space="preserve">under s. 231(5)(e) of the </w:t>
      </w:r>
      <w:r w:rsidRPr="0025135B">
        <w:rPr>
          <w:rFonts w:cs="Times New Roman"/>
        </w:rPr>
        <w:t>Criminal Code</w:t>
      </w:r>
      <w:r w:rsidRPr="0025135B">
        <w:rPr>
          <w:rFonts w:cs="Times New Roman"/>
          <w:i w:val="0"/>
        </w:rPr>
        <w:t>; and</w:t>
      </w:r>
    </w:p>
    <w:p w:rsidR="00093189" w:rsidRPr="0025135B" w:rsidRDefault="00093189" w:rsidP="00093189">
      <w:pPr>
        <w:pStyle w:val="Title2LevelTitre2Niveau"/>
        <w:numPr>
          <w:ilvl w:val="1"/>
          <w:numId w:val="16"/>
        </w:numPr>
        <w:spacing w:line="480" w:lineRule="auto"/>
        <w:ind w:left="1616" w:hanging="448"/>
        <w:jc w:val="both"/>
        <w:rPr>
          <w:rFonts w:cs="Times New Roman"/>
          <w:i w:val="0"/>
        </w:rPr>
      </w:pPr>
      <w:r>
        <w:rPr>
          <w:rFonts w:cs="Times New Roman"/>
          <w:i w:val="0"/>
        </w:rPr>
        <w:t>T</w:t>
      </w:r>
      <w:r w:rsidRPr="0025135B">
        <w:rPr>
          <w:rFonts w:cs="Times New Roman"/>
          <w:i w:val="0"/>
        </w:rPr>
        <w:t>he Court of Appeal erred in concluding that Mr. McLeod’s unlawful confinement in the truck and his murder formed part of a “single transaction” justifying a conviction for first degree murder under s. 231(5)(e).</w:t>
      </w:r>
    </w:p>
    <w:p w:rsidR="00093189" w:rsidRPr="0025135B" w:rsidRDefault="00093189" w:rsidP="00093189">
      <w:pPr>
        <w:pStyle w:val="Title1LevelTitre1Niveau-AltL"/>
        <w:numPr>
          <w:ilvl w:val="0"/>
          <w:numId w:val="16"/>
        </w:numPr>
        <w:jc w:val="both"/>
        <w:rPr>
          <w:rFonts w:cs="Times New Roman"/>
        </w:rPr>
      </w:pPr>
      <w:r w:rsidRPr="0025135B">
        <w:rPr>
          <w:rFonts w:cs="Times New Roman"/>
        </w:rPr>
        <w:t>Analysis</w:t>
      </w:r>
      <w:bookmarkEnd w:id="5"/>
    </w:p>
    <w:p w:rsidR="00093189" w:rsidRPr="0025135B" w:rsidRDefault="00093189" w:rsidP="00093189">
      <w:pPr>
        <w:pStyle w:val="ParaNoNdepar-AltN"/>
        <w:rPr>
          <w:rFonts w:cs="Times New Roman"/>
        </w:rPr>
      </w:pPr>
      <w:r w:rsidRPr="0025135B">
        <w:rPr>
          <w:rFonts w:cs="Times New Roman"/>
        </w:rPr>
        <w:lastRenderedPageBreak/>
        <w:t xml:space="preserve">I will first review the legal principles for unlawful confinement under s. 279(2) of the </w:t>
      </w:r>
      <w:r w:rsidRPr="0025135B">
        <w:rPr>
          <w:rFonts w:cs="Times New Roman"/>
          <w:i/>
        </w:rPr>
        <w:t>Criminal Code</w:t>
      </w:r>
      <w:r w:rsidRPr="0025135B">
        <w:rPr>
          <w:rFonts w:cs="Times New Roman"/>
        </w:rPr>
        <w:t xml:space="preserve"> and first degree murder under s. 231(5). I will then apply those principles to this case.</w:t>
      </w:r>
    </w:p>
    <w:p w:rsidR="00093189" w:rsidRPr="0025135B" w:rsidRDefault="00093189" w:rsidP="00093189">
      <w:pPr>
        <w:pStyle w:val="Title2LevelTitre2Niveau"/>
        <w:numPr>
          <w:ilvl w:val="1"/>
          <w:numId w:val="16"/>
        </w:numPr>
        <w:jc w:val="both"/>
        <w:rPr>
          <w:rFonts w:cs="Times New Roman"/>
        </w:rPr>
      </w:pPr>
      <w:r w:rsidRPr="0025135B">
        <w:rPr>
          <w:rFonts w:cs="Times New Roman"/>
        </w:rPr>
        <w:t>Unlawful Confinement</w:t>
      </w:r>
    </w:p>
    <w:p w:rsidR="00093189" w:rsidRPr="0025135B" w:rsidRDefault="00093189" w:rsidP="00093189">
      <w:pPr>
        <w:pStyle w:val="ParaNoNdepar-AltN"/>
        <w:rPr>
          <w:rFonts w:cs="Times New Roman"/>
        </w:rPr>
      </w:pPr>
      <w:r w:rsidRPr="0025135B">
        <w:rPr>
          <w:rFonts w:cs="Times New Roman"/>
        </w:rPr>
        <w:t xml:space="preserve">To establish unlawful or forcible confinement under s. 279(2) of the </w:t>
      </w:r>
      <w:r w:rsidRPr="0025135B">
        <w:rPr>
          <w:rFonts w:cs="Times New Roman"/>
          <w:i/>
        </w:rPr>
        <w:t>Criminal Code</w:t>
      </w:r>
      <w:r w:rsidRPr="0025135B">
        <w:rPr>
          <w:rFonts w:cs="Times New Roman"/>
        </w:rPr>
        <w:t>, the Crown must prove</w:t>
      </w:r>
      <w:r>
        <w:rPr>
          <w:rFonts w:cs="Times New Roman"/>
        </w:rPr>
        <w:t xml:space="preserve"> that </w:t>
      </w:r>
      <w:r w:rsidRPr="0025135B">
        <w:rPr>
          <w:rFonts w:cs="Times New Roman"/>
        </w:rPr>
        <w:t>(1) the accused confined another person; and (2) the confinement was unlawful (</w:t>
      </w:r>
      <w:r w:rsidRPr="0025135B">
        <w:rPr>
          <w:rFonts w:cs="Times New Roman"/>
          <w:i/>
        </w:rPr>
        <w:t>R. v.</w:t>
      </w:r>
      <w:r w:rsidRPr="0025135B">
        <w:rPr>
          <w:rFonts w:cs="Times New Roman"/>
        </w:rPr>
        <w:t xml:space="preserve"> </w:t>
      </w:r>
      <w:r w:rsidRPr="0025135B">
        <w:rPr>
          <w:rFonts w:cs="Times New Roman"/>
          <w:i/>
        </w:rPr>
        <w:t>Magoon</w:t>
      </w:r>
      <w:r w:rsidRPr="0025135B">
        <w:rPr>
          <w:rFonts w:cs="Times New Roman"/>
        </w:rPr>
        <w:t>, 2018 SCC 14, [2018] 1 S.C.R. 309, at para. 64). At its core, unlawful confinement involves a deprivation of a person’s liberty (</w:t>
      </w:r>
      <w:r w:rsidRPr="0025135B">
        <w:rPr>
          <w:rFonts w:cs="Times New Roman"/>
          <w:i/>
        </w:rPr>
        <w:t>R. v. Bottineau</w:t>
      </w:r>
      <w:r w:rsidRPr="0025135B">
        <w:rPr>
          <w:rFonts w:cs="Times New Roman"/>
        </w:rPr>
        <w:t>, [2006] O.J. No. 1864 (QL)</w:t>
      </w:r>
      <w:r>
        <w:rPr>
          <w:rFonts w:cs="Times New Roman"/>
        </w:rPr>
        <w:t>, 2006 CarswellOnt 8510 (WL)</w:t>
      </w:r>
      <w:r w:rsidRPr="0025135B">
        <w:rPr>
          <w:rFonts w:cs="Times New Roman"/>
        </w:rPr>
        <w:t xml:space="preserve"> (S.C.J.), at para. 117, per Watt J. (as he then was), aff’d 2011</w:t>
      </w:r>
      <w:r>
        <w:rPr>
          <w:rFonts w:cs="Times New Roman"/>
        </w:rPr>
        <w:t xml:space="preserve"> ONCA 194, 269 C.C.C. (3d) 227). </w:t>
      </w:r>
      <w:r w:rsidRPr="0025135B">
        <w:rPr>
          <w:rFonts w:cs="Times New Roman"/>
        </w:rPr>
        <w:t>Unlawful confinement occurs if, for any significant time period, a person is coercively restrained or directed contrary to their wishes, so that they cannot move about according to their own inclination and desire (</w:t>
      </w:r>
      <w:r w:rsidRPr="0025135B">
        <w:rPr>
          <w:rFonts w:cs="Times New Roman"/>
          <w:i/>
        </w:rPr>
        <w:t>R. v.</w:t>
      </w:r>
      <w:r w:rsidRPr="0025135B">
        <w:rPr>
          <w:rFonts w:cs="Times New Roman"/>
        </w:rPr>
        <w:t xml:space="preserve"> </w:t>
      </w:r>
      <w:proofErr w:type="spellStart"/>
      <w:r w:rsidRPr="0025135B">
        <w:rPr>
          <w:rFonts w:cs="Times New Roman"/>
          <w:i/>
        </w:rPr>
        <w:t>Luxton</w:t>
      </w:r>
      <w:proofErr w:type="spellEnd"/>
      <w:r w:rsidRPr="0025135B">
        <w:rPr>
          <w:rFonts w:cs="Times New Roman"/>
        </w:rPr>
        <w:t xml:space="preserve">, [1990] 2 S.C.R. 711, at p. 723; </w:t>
      </w:r>
      <w:r w:rsidRPr="0025135B">
        <w:rPr>
          <w:rFonts w:cs="Times New Roman"/>
          <w:i/>
        </w:rPr>
        <w:t>R. v.</w:t>
      </w:r>
      <w:r w:rsidRPr="0025135B">
        <w:rPr>
          <w:rFonts w:cs="Times New Roman"/>
        </w:rPr>
        <w:t xml:space="preserve"> </w:t>
      </w:r>
      <w:r w:rsidRPr="0025135B">
        <w:rPr>
          <w:rFonts w:cs="Times New Roman"/>
          <w:i/>
        </w:rPr>
        <w:t>Pritchard</w:t>
      </w:r>
      <w:r w:rsidRPr="0025135B">
        <w:rPr>
          <w:rFonts w:cs="Times New Roman"/>
        </w:rPr>
        <w:t xml:space="preserve">, 2008 SCC 59, [2008] 3 S.C.R. 195, at para. 24; </w:t>
      </w:r>
      <w:r w:rsidRPr="0025135B">
        <w:rPr>
          <w:rFonts w:cs="Times New Roman"/>
          <w:i/>
        </w:rPr>
        <w:t>Magoon</w:t>
      </w:r>
      <w:r w:rsidRPr="0025135B">
        <w:rPr>
          <w:rFonts w:cs="Times New Roman"/>
        </w:rPr>
        <w:t>, at para. 64). The person need not be restricted to a particular place or physically restrained (</w:t>
      </w:r>
      <w:r w:rsidRPr="0025135B">
        <w:rPr>
          <w:rFonts w:cs="Times New Roman"/>
          <w:i/>
        </w:rPr>
        <w:t>Magoon</w:t>
      </w:r>
      <w:r w:rsidRPr="0025135B">
        <w:rPr>
          <w:rFonts w:cs="Times New Roman"/>
        </w:rPr>
        <w:t xml:space="preserve">, at para. 64; </w:t>
      </w:r>
      <w:r w:rsidRPr="0025135B">
        <w:rPr>
          <w:rFonts w:cs="Times New Roman"/>
          <w:i/>
        </w:rPr>
        <w:t xml:space="preserve">R. v. </w:t>
      </w:r>
      <w:proofErr w:type="spellStart"/>
      <w:r w:rsidRPr="0025135B">
        <w:rPr>
          <w:rFonts w:cs="Times New Roman"/>
          <w:i/>
        </w:rPr>
        <w:t>Gratton</w:t>
      </w:r>
      <w:proofErr w:type="spellEnd"/>
      <w:r w:rsidRPr="0025135B">
        <w:rPr>
          <w:rFonts w:cs="Times New Roman"/>
        </w:rPr>
        <w:t xml:space="preserve"> (1985), 18 C.C.C. (</w:t>
      </w:r>
      <w:r>
        <w:rPr>
          <w:rFonts w:cs="Times New Roman"/>
        </w:rPr>
        <w:t>3d) 462 (Ont. C.A.), at pp. 473 and</w:t>
      </w:r>
      <w:r w:rsidRPr="0025135B">
        <w:rPr>
          <w:rFonts w:cs="Times New Roman"/>
        </w:rPr>
        <w:t xml:space="preserve"> 475</w:t>
      </w:r>
      <w:r>
        <w:rPr>
          <w:rFonts w:cs="Times New Roman"/>
        </w:rPr>
        <w:t>,</w:t>
      </w:r>
      <w:r w:rsidRPr="0025135B">
        <w:rPr>
          <w:rFonts w:cs="Times New Roman"/>
        </w:rPr>
        <w:t xml:space="preserve"> per Cory J.A. (as he then was); </w:t>
      </w:r>
      <w:r w:rsidRPr="0025135B">
        <w:rPr>
          <w:rFonts w:cs="Times New Roman"/>
          <w:i/>
        </w:rPr>
        <w:t xml:space="preserve">R. v. </w:t>
      </w:r>
      <w:proofErr w:type="spellStart"/>
      <w:r w:rsidRPr="0025135B">
        <w:rPr>
          <w:rFonts w:cs="Times New Roman"/>
          <w:i/>
        </w:rPr>
        <w:t>Lemaigre</w:t>
      </w:r>
      <w:proofErr w:type="spellEnd"/>
      <w:r w:rsidRPr="0025135B">
        <w:rPr>
          <w:rFonts w:cs="Times New Roman"/>
        </w:rPr>
        <w:t xml:space="preserve"> (1987), 56 Sask. R. 300 (C.A.), at p</w:t>
      </w:r>
      <w:r>
        <w:rPr>
          <w:rFonts w:cs="Times New Roman"/>
        </w:rPr>
        <w:t>ara</w:t>
      </w:r>
      <w:r w:rsidRPr="0025135B">
        <w:rPr>
          <w:rFonts w:cs="Times New Roman"/>
        </w:rPr>
        <w:t xml:space="preserve">. </w:t>
      </w:r>
      <w:r>
        <w:rPr>
          <w:rFonts w:cs="Times New Roman"/>
        </w:rPr>
        <w:t>3</w:t>
      </w:r>
      <w:r w:rsidRPr="0025135B">
        <w:rPr>
          <w:rFonts w:cs="Times New Roman"/>
        </w:rPr>
        <w:t xml:space="preserve">; M. Manning and P. Sankoff, </w:t>
      </w:r>
      <w:r w:rsidRPr="0025135B">
        <w:rPr>
          <w:rFonts w:cs="Times New Roman"/>
          <w:i/>
        </w:rPr>
        <w:t xml:space="preserve">Manning, </w:t>
      </w:r>
      <w:proofErr w:type="spellStart"/>
      <w:r w:rsidRPr="0025135B">
        <w:rPr>
          <w:rFonts w:cs="Times New Roman"/>
          <w:i/>
        </w:rPr>
        <w:t>Mewett</w:t>
      </w:r>
      <w:proofErr w:type="spellEnd"/>
      <w:r w:rsidRPr="0025135B">
        <w:rPr>
          <w:rFonts w:cs="Times New Roman"/>
          <w:i/>
        </w:rPr>
        <w:t xml:space="preserve"> &amp; Sankoff: Criminal Law</w:t>
      </w:r>
      <w:r w:rsidRPr="0025135B">
        <w:rPr>
          <w:rFonts w:cs="Times New Roman"/>
        </w:rPr>
        <w:t xml:space="preserve"> (5th ed. 2015), at p. 1037). The restraint can be throu</w:t>
      </w:r>
      <w:r>
        <w:rPr>
          <w:rFonts w:cs="Times New Roman"/>
        </w:rPr>
        <w:t>gh violence, fear, intimidation or</w:t>
      </w:r>
      <w:r w:rsidRPr="0025135B">
        <w:rPr>
          <w:rFonts w:cs="Times New Roman"/>
        </w:rPr>
        <w:t xml:space="preserve"> psychological or other means (</w:t>
      </w:r>
      <w:r w:rsidRPr="0025135B">
        <w:rPr>
          <w:rFonts w:cs="Times New Roman"/>
          <w:i/>
        </w:rPr>
        <w:t>Magoon</w:t>
      </w:r>
      <w:r w:rsidRPr="0025135B">
        <w:rPr>
          <w:rFonts w:cs="Times New Roman"/>
        </w:rPr>
        <w:t>, at para. 64). The purpose of the confinement is not relevant (</w:t>
      </w:r>
      <w:r w:rsidRPr="0025135B">
        <w:rPr>
          <w:rFonts w:cs="Times New Roman"/>
          <w:i/>
        </w:rPr>
        <w:t>Pritchard</w:t>
      </w:r>
      <w:r w:rsidRPr="0025135B">
        <w:rPr>
          <w:rFonts w:cs="Times New Roman"/>
        </w:rPr>
        <w:t xml:space="preserve">, at para. 31; </w:t>
      </w:r>
      <w:r w:rsidRPr="0025135B">
        <w:rPr>
          <w:rFonts w:cs="Times New Roman"/>
          <w:i/>
        </w:rPr>
        <w:t>R. v.</w:t>
      </w:r>
      <w:r w:rsidRPr="0025135B">
        <w:rPr>
          <w:rFonts w:cs="Times New Roman"/>
        </w:rPr>
        <w:t xml:space="preserve"> </w:t>
      </w:r>
      <w:r w:rsidRPr="0025135B">
        <w:rPr>
          <w:rFonts w:cs="Times New Roman"/>
          <w:i/>
        </w:rPr>
        <w:t>Kimberley</w:t>
      </w:r>
      <w:r w:rsidRPr="0025135B">
        <w:rPr>
          <w:rFonts w:cs="Times New Roman"/>
        </w:rPr>
        <w:t xml:space="preserve"> (2001), 56 O.R. (3d) 18 (C.A.), </w:t>
      </w:r>
      <w:r w:rsidRPr="0025135B">
        <w:rPr>
          <w:rFonts w:cs="Times New Roman"/>
        </w:rPr>
        <w:lastRenderedPageBreak/>
        <w:t xml:space="preserve">at para. 107; </w:t>
      </w:r>
      <w:r w:rsidRPr="0025135B">
        <w:rPr>
          <w:rFonts w:cs="Times New Roman"/>
          <w:i/>
        </w:rPr>
        <w:t>R. v.</w:t>
      </w:r>
      <w:r w:rsidRPr="0025135B">
        <w:rPr>
          <w:rFonts w:cs="Times New Roman"/>
        </w:rPr>
        <w:t xml:space="preserve"> </w:t>
      </w:r>
      <w:r w:rsidRPr="0025135B">
        <w:rPr>
          <w:rFonts w:cs="Times New Roman"/>
          <w:i/>
        </w:rPr>
        <w:t>Johnstone</w:t>
      </w:r>
      <w:r w:rsidRPr="0025135B">
        <w:rPr>
          <w:rFonts w:cs="Times New Roman"/>
        </w:rPr>
        <w:t xml:space="preserve">, 2014 ONCA 504, </w:t>
      </w:r>
      <w:r>
        <w:rPr>
          <w:rFonts w:cs="Times New Roman"/>
        </w:rPr>
        <w:t xml:space="preserve">313 C.C.C. (3d) 34, </w:t>
      </w:r>
      <w:r w:rsidRPr="0025135B">
        <w:rPr>
          <w:rFonts w:cs="Times New Roman"/>
        </w:rPr>
        <w:t xml:space="preserve">at para. 45; </w:t>
      </w:r>
      <w:r w:rsidRPr="0025135B">
        <w:rPr>
          <w:rFonts w:cs="Times New Roman"/>
          <w:i/>
        </w:rPr>
        <w:t>R. v.</w:t>
      </w:r>
      <w:r w:rsidRPr="0025135B">
        <w:rPr>
          <w:rFonts w:cs="Times New Roman"/>
        </w:rPr>
        <w:t xml:space="preserve"> </w:t>
      </w:r>
      <w:r w:rsidRPr="0025135B">
        <w:rPr>
          <w:rFonts w:cs="Times New Roman"/>
          <w:i/>
        </w:rPr>
        <w:t>Parris</w:t>
      </w:r>
      <w:r w:rsidRPr="0025135B">
        <w:rPr>
          <w:rFonts w:cs="Times New Roman"/>
        </w:rPr>
        <w:t xml:space="preserve">, 2013 ONCA 515, </w:t>
      </w:r>
      <w:r>
        <w:rPr>
          <w:rFonts w:cs="Times New Roman"/>
        </w:rPr>
        <w:t xml:space="preserve">300 C.C.C. (3d) 41, </w:t>
      </w:r>
      <w:r w:rsidRPr="0025135B">
        <w:rPr>
          <w:rFonts w:cs="Times New Roman"/>
        </w:rPr>
        <w:t>at para. 47).</w:t>
      </w:r>
    </w:p>
    <w:p w:rsidR="00093189" w:rsidRPr="0025135B" w:rsidRDefault="00093189" w:rsidP="00093189">
      <w:pPr>
        <w:pStyle w:val="ParaNoNdepar-AltN"/>
        <w:rPr>
          <w:rFonts w:cs="Times New Roman"/>
        </w:rPr>
      </w:pPr>
      <w:r w:rsidRPr="0025135B">
        <w:rPr>
          <w:rFonts w:cs="Times New Roman"/>
        </w:rPr>
        <w:t>For example, a person can be unlawfully confined if an accused’s violent acts lead the person to lock themselves in a room to avoid being attacked (</w:t>
      </w:r>
      <w:r w:rsidRPr="0025135B">
        <w:rPr>
          <w:rFonts w:cs="Times New Roman"/>
          <w:i/>
        </w:rPr>
        <w:t>Johnstone</w:t>
      </w:r>
      <w:r w:rsidRPr="0025135B">
        <w:rPr>
          <w:rFonts w:cs="Times New Roman"/>
        </w:rPr>
        <w:t xml:space="preserve">, at para. 47; K. Roach, </w:t>
      </w:r>
      <w:r w:rsidRPr="0025135B">
        <w:rPr>
          <w:rFonts w:cs="Times New Roman"/>
          <w:i/>
        </w:rPr>
        <w:t>Criminal Law</w:t>
      </w:r>
      <w:r w:rsidRPr="0025135B">
        <w:rPr>
          <w:rFonts w:cs="Times New Roman"/>
        </w:rPr>
        <w:t xml:space="preserve"> (7</w:t>
      </w:r>
      <w:r>
        <w:rPr>
          <w:rFonts w:cs="Times New Roman"/>
        </w:rPr>
        <w:t>th ed. 2018), at p. 442</w:t>
      </w:r>
      <w:r w:rsidRPr="0025135B">
        <w:rPr>
          <w:rFonts w:cs="Times New Roman"/>
        </w:rPr>
        <w:t xml:space="preserve">, </w:t>
      </w:r>
      <w:r>
        <w:rPr>
          <w:rFonts w:cs="Times New Roman"/>
        </w:rPr>
        <w:t>fn.</w:t>
      </w:r>
      <w:r w:rsidRPr="0025135B">
        <w:rPr>
          <w:rFonts w:cs="Times New Roman"/>
        </w:rPr>
        <w:t xml:space="preserve"> 83), or if the person is prevented from escaping from an apartment through the front door (</w:t>
      </w:r>
      <w:r w:rsidRPr="0025135B">
        <w:rPr>
          <w:rFonts w:cs="Times New Roman"/>
          <w:i/>
        </w:rPr>
        <w:t>R. v. Newman</w:t>
      </w:r>
      <w:r w:rsidRPr="0025135B">
        <w:rPr>
          <w:rFonts w:cs="Times New Roman"/>
        </w:rPr>
        <w:t xml:space="preserve">, 2016 SCC 7, [2016] 1 S.C.R. 27, at para. 1; Roach, at </w:t>
      </w:r>
      <w:r>
        <w:rPr>
          <w:rFonts w:cs="Times New Roman"/>
        </w:rPr>
        <w:t>p. 442</w:t>
      </w:r>
      <w:r w:rsidRPr="0025135B">
        <w:rPr>
          <w:rFonts w:cs="Times New Roman"/>
        </w:rPr>
        <w:t>,</w:t>
      </w:r>
      <w:r>
        <w:rPr>
          <w:rFonts w:cs="Times New Roman"/>
        </w:rPr>
        <w:t xml:space="preserve"> fn. </w:t>
      </w:r>
      <w:r w:rsidRPr="0025135B">
        <w:rPr>
          <w:rFonts w:cs="Times New Roman"/>
        </w:rPr>
        <w:t>81).</w:t>
      </w:r>
    </w:p>
    <w:p w:rsidR="00093189" w:rsidRPr="0025135B" w:rsidRDefault="00093189" w:rsidP="00093189">
      <w:pPr>
        <w:pStyle w:val="Title2LevelTitre2Niveau"/>
        <w:numPr>
          <w:ilvl w:val="1"/>
          <w:numId w:val="16"/>
        </w:numPr>
        <w:jc w:val="both"/>
        <w:rPr>
          <w:rFonts w:cs="Times New Roman"/>
        </w:rPr>
      </w:pPr>
      <w:r w:rsidRPr="0025135B">
        <w:rPr>
          <w:rFonts w:cs="Times New Roman"/>
        </w:rPr>
        <w:t>First Degree Murder Under</w:t>
      </w:r>
      <w:r>
        <w:rPr>
          <w:rFonts w:cs="Times New Roman"/>
        </w:rPr>
        <w:t xml:space="preserve"> </w:t>
      </w:r>
      <w:r w:rsidRPr="0025135B">
        <w:rPr>
          <w:rFonts w:cs="Times New Roman"/>
        </w:rPr>
        <w:t>Section 231(5)</w:t>
      </w:r>
    </w:p>
    <w:p w:rsidR="00093189" w:rsidRPr="0025135B" w:rsidRDefault="00093189" w:rsidP="00093189">
      <w:pPr>
        <w:pStyle w:val="Title3LevelTitre3Niveau"/>
        <w:numPr>
          <w:ilvl w:val="2"/>
          <w:numId w:val="16"/>
        </w:numPr>
        <w:jc w:val="both"/>
        <w:rPr>
          <w:rFonts w:cs="Times New Roman"/>
        </w:rPr>
      </w:pPr>
      <w:r>
        <w:rPr>
          <w:rFonts w:cs="Times New Roman"/>
        </w:rPr>
        <w:t>First Degree M</w:t>
      </w:r>
      <w:r w:rsidRPr="0025135B">
        <w:rPr>
          <w:rFonts w:cs="Times New Roman"/>
        </w:rPr>
        <w:t>urder</w:t>
      </w:r>
    </w:p>
    <w:p w:rsidR="00093189" w:rsidRPr="0025135B" w:rsidRDefault="00093189" w:rsidP="00093189">
      <w:pPr>
        <w:pStyle w:val="ParaNoNdepar-AltN"/>
        <w:rPr>
          <w:rFonts w:cs="Times New Roman"/>
        </w:rPr>
      </w:pPr>
      <w:r w:rsidRPr="0025135B">
        <w:rPr>
          <w:rFonts w:cs="Times New Roman"/>
        </w:rPr>
        <w:t xml:space="preserve">First degree murder is the most serious crime </w:t>
      </w:r>
      <w:r>
        <w:rPr>
          <w:rFonts w:cs="Times New Roman"/>
        </w:rPr>
        <w:t>in Canadian law</w:t>
      </w:r>
      <w:r w:rsidRPr="0025135B">
        <w:rPr>
          <w:rFonts w:cs="Times New Roman"/>
        </w:rPr>
        <w:t xml:space="preserve"> and requires the </w:t>
      </w:r>
      <w:r>
        <w:rPr>
          <w:rFonts w:cs="Times New Roman"/>
        </w:rPr>
        <w:t>highest</w:t>
      </w:r>
      <w:r w:rsidRPr="0025135B">
        <w:rPr>
          <w:rFonts w:cs="Times New Roman"/>
        </w:rPr>
        <w:t xml:space="preserve"> level of moral blameworthiness</w:t>
      </w:r>
      <w:r>
        <w:rPr>
          <w:rFonts w:cs="Times New Roman"/>
        </w:rPr>
        <w:t xml:space="preserve">, namely </w:t>
      </w:r>
      <w:r w:rsidRPr="0025135B">
        <w:rPr>
          <w:rFonts w:cs="Times New Roman"/>
        </w:rPr>
        <w:t>subjective foresight of death (</w:t>
      </w:r>
      <w:r w:rsidRPr="0025135B">
        <w:rPr>
          <w:rFonts w:cs="Times New Roman"/>
          <w:i/>
        </w:rPr>
        <w:t xml:space="preserve">R. v. </w:t>
      </w:r>
      <w:proofErr w:type="spellStart"/>
      <w:r w:rsidRPr="0025135B">
        <w:rPr>
          <w:rFonts w:cs="Times New Roman"/>
          <w:i/>
        </w:rPr>
        <w:t>Arkell</w:t>
      </w:r>
      <w:proofErr w:type="spellEnd"/>
      <w:r w:rsidRPr="0025135B">
        <w:rPr>
          <w:rFonts w:cs="Times New Roman"/>
        </w:rPr>
        <w:t xml:space="preserve">, [1990] 2 S.C.R. 695, at p. 703; </w:t>
      </w:r>
      <w:proofErr w:type="spellStart"/>
      <w:r w:rsidRPr="0025135B">
        <w:rPr>
          <w:rFonts w:cs="Times New Roman"/>
          <w:i/>
        </w:rPr>
        <w:t>Luxton</w:t>
      </w:r>
      <w:proofErr w:type="spellEnd"/>
      <w:r w:rsidRPr="0025135B">
        <w:rPr>
          <w:rFonts w:cs="Times New Roman"/>
        </w:rPr>
        <w:t xml:space="preserve">, at p. 724). It carries the most severe punishment under the </w:t>
      </w:r>
      <w:r w:rsidRPr="0025135B">
        <w:rPr>
          <w:rFonts w:cs="Times New Roman"/>
          <w:i/>
        </w:rPr>
        <w:t>Criminal Code</w:t>
      </w:r>
      <w:r w:rsidRPr="0025135B">
        <w:rPr>
          <w:rFonts w:cs="Times New Roman"/>
        </w:rPr>
        <w:t xml:space="preserve">, a sentence of life imprisonment without eligibility for parole for 25 years (s. 745(a); </w:t>
      </w:r>
      <w:r w:rsidRPr="0025135B">
        <w:rPr>
          <w:rFonts w:cs="Times New Roman"/>
          <w:i/>
        </w:rPr>
        <w:t>R. v. Russell</w:t>
      </w:r>
      <w:r w:rsidRPr="0025135B">
        <w:rPr>
          <w:rFonts w:cs="Times New Roman"/>
        </w:rPr>
        <w:t>, 2001 SCC 53, [2001] 2 S.C.R. 804, at para. 46). Any murder that is not first degree murder is second degree murder (s. 231(7)), which carries a punishment of life imprisonment without eligibility for parole of between 10 and 25 years, at the discretion of the sentencing judge (ss. </w:t>
      </w:r>
      <w:r>
        <w:rPr>
          <w:rFonts w:cs="Times New Roman"/>
        </w:rPr>
        <w:t>745(c) and</w:t>
      </w:r>
      <w:r w:rsidRPr="0025135B">
        <w:rPr>
          <w:rFonts w:cs="Times New Roman"/>
        </w:rPr>
        <w:t xml:space="preserve"> 745.4).</w:t>
      </w:r>
    </w:p>
    <w:p w:rsidR="00093189" w:rsidRPr="0025135B" w:rsidRDefault="00093189" w:rsidP="00093189">
      <w:pPr>
        <w:pStyle w:val="ParaNoNdepar-AltN"/>
        <w:rPr>
          <w:rFonts w:cs="Times New Roman"/>
        </w:rPr>
      </w:pPr>
      <w:r w:rsidRPr="0025135B">
        <w:rPr>
          <w:rFonts w:cs="Times New Roman"/>
        </w:rPr>
        <w:lastRenderedPageBreak/>
        <w:t>First degree murder is murder that is “planned and deliberate” (s. 231(2)</w:t>
      </w:r>
      <w:r>
        <w:rPr>
          <w:rFonts w:cs="Times New Roman"/>
        </w:rPr>
        <w:t xml:space="preserve"> and </w:t>
      </w:r>
      <w:r w:rsidRPr="0025135B">
        <w:rPr>
          <w:rFonts w:cs="Times New Roman"/>
        </w:rPr>
        <w:t xml:space="preserve">(3)). Murder is also deemed to be in the first degree, even if not planned and deliberate, if it is committed in connection with </w:t>
      </w:r>
      <w:r>
        <w:rPr>
          <w:rFonts w:cs="Times New Roman"/>
        </w:rPr>
        <w:t xml:space="preserve">specific victims, specific situations, or </w:t>
      </w:r>
      <w:r w:rsidRPr="0025135B">
        <w:rPr>
          <w:rFonts w:cs="Times New Roman"/>
        </w:rPr>
        <w:t>any of several enumerated offences</w:t>
      </w:r>
      <w:r>
        <w:rPr>
          <w:rFonts w:cs="Times New Roman"/>
        </w:rPr>
        <w:t xml:space="preserve"> (s</w:t>
      </w:r>
      <w:r w:rsidRPr="0025135B">
        <w:rPr>
          <w:rFonts w:cs="Times New Roman"/>
        </w:rPr>
        <w:t>. 231(4</w:t>
      </w:r>
      <w:r>
        <w:rPr>
          <w:rFonts w:cs="Times New Roman"/>
        </w:rPr>
        <w:t xml:space="preserve">) to </w:t>
      </w:r>
      <w:r w:rsidRPr="0025135B">
        <w:rPr>
          <w:rFonts w:cs="Times New Roman"/>
        </w:rPr>
        <w:t xml:space="preserve">(6.2)). Section 231(5) lists one such group of underlying offences. It provides that murder is first degree murder when the death of a person is caused “while committing or attempting to commit” </w:t>
      </w:r>
      <w:r>
        <w:rPr>
          <w:rFonts w:cs="Times New Roman"/>
        </w:rPr>
        <w:t xml:space="preserve">any of </w:t>
      </w:r>
      <w:r w:rsidRPr="0025135B">
        <w:rPr>
          <w:rFonts w:cs="Times New Roman"/>
        </w:rPr>
        <w:t xml:space="preserve">the offences of hijacking an aircraft, </w:t>
      </w:r>
      <w:r>
        <w:rPr>
          <w:rFonts w:cs="Times New Roman"/>
        </w:rPr>
        <w:t xml:space="preserve">any form </w:t>
      </w:r>
      <w:r w:rsidRPr="0025135B">
        <w:rPr>
          <w:rFonts w:cs="Times New Roman"/>
        </w:rPr>
        <w:t>of sexual assault, kidnapping, hostage taking, or unlawful confinement. Section 231(5) can apply even if the murder victim and the victim of the enumerated offence are different persons (</w:t>
      </w:r>
      <w:r w:rsidRPr="0025135B">
        <w:rPr>
          <w:rFonts w:cs="Times New Roman"/>
          <w:i/>
        </w:rPr>
        <w:t>Russell</w:t>
      </w:r>
      <w:r>
        <w:rPr>
          <w:rFonts w:cs="Times New Roman"/>
        </w:rPr>
        <w:t>, at paras. 33 and 43; Manning and Sankoff, at p. </w:t>
      </w:r>
      <w:r w:rsidRPr="0025135B">
        <w:rPr>
          <w:rFonts w:cs="Times New Roman"/>
        </w:rPr>
        <w:t>961).</w:t>
      </w:r>
    </w:p>
    <w:p w:rsidR="00093189" w:rsidRPr="0025135B" w:rsidRDefault="00093189" w:rsidP="00093189">
      <w:pPr>
        <w:pStyle w:val="Title3LevelTitre3Niveau"/>
        <w:numPr>
          <w:ilvl w:val="2"/>
          <w:numId w:val="16"/>
        </w:numPr>
        <w:jc w:val="both"/>
        <w:rPr>
          <w:rFonts w:cs="Times New Roman"/>
        </w:rPr>
      </w:pPr>
      <w:r w:rsidRPr="0025135B">
        <w:rPr>
          <w:rFonts w:cs="Times New Roman"/>
        </w:rPr>
        <w:t xml:space="preserve">Section 231(5): </w:t>
      </w:r>
      <w:r>
        <w:rPr>
          <w:rFonts w:cs="Times New Roman"/>
        </w:rPr>
        <w:t>A Sentencing P</w:t>
      </w:r>
      <w:r w:rsidRPr="0025135B">
        <w:rPr>
          <w:rFonts w:cs="Times New Roman"/>
        </w:rPr>
        <w:t>rovision</w:t>
      </w:r>
    </w:p>
    <w:p w:rsidR="00093189" w:rsidRPr="0025135B" w:rsidRDefault="00093189" w:rsidP="00093189">
      <w:pPr>
        <w:pStyle w:val="ParaNoNdepar-AltN"/>
        <w:rPr>
          <w:rFonts w:cs="Times New Roman"/>
        </w:rPr>
      </w:pPr>
      <w:r w:rsidRPr="0025135B">
        <w:rPr>
          <w:rFonts w:cs="Times New Roman"/>
        </w:rPr>
        <w:t>Section 231(5) does not create a substantive offence. It is essentially a sentencing provision reflecting Parliament’s decision to treat murder in connection with the listed offences as involving a heightened degree of moral blameworthiness or an aggravating circumstance warranting a more severe punishment. Section 231(5) applies only when the offender has been found guilty of murder beyond a reasonable doubt (</w:t>
      </w:r>
      <w:r w:rsidRPr="0025135B">
        <w:rPr>
          <w:rFonts w:cs="Times New Roman"/>
          <w:i/>
        </w:rPr>
        <w:t xml:space="preserve">R. v. </w:t>
      </w:r>
      <w:proofErr w:type="spellStart"/>
      <w:r w:rsidRPr="0025135B">
        <w:rPr>
          <w:rFonts w:cs="Times New Roman"/>
          <w:i/>
        </w:rPr>
        <w:t>Harbottle</w:t>
      </w:r>
      <w:proofErr w:type="spellEnd"/>
      <w:r w:rsidRPr="0025135B">
        <w:rPr>
          <w:rFonts w:cs="Times New Roman"/>
        </w:rPr>
        <w:t xml:space="preserve">, [1993] 3 S.C.R. 306, at p. 323; </w:t>
      </w:r>
      <w:proofErr w:type="spellStart"/>
      <w:r w:rsidRPr="0025135B">
        <w:rPr>
          <w:rFonts w:cs="Times New Roman"/>
          <w:i/>
        </w:rPr>
        <w:t>Arkell</w:t>
      </w:r>
      <w:proofErr w:type="spellEnd"/>
      <w:r w:rsidRPr="0025135B">
        <w:rPr>
          <w:rFonts w:cs="Times New Roman"/>
        </w:rPr>
        <w:t>, at pp. 702</w:t>
      </w:r>
      <w:r>
        <w:rPr>
          <w:rFonts w:cs="Times New Roman"/>
        </w:rPr>
        <w:t>-</w:t>
      </w:r>
      <w:r w:rsidRPr="0025135B">
        <w:rPr>
          <w:rFonts w:cs="Times New Roman"/>
        </w:rPr>
        <w:t xml:space="preserve">3; </w:t>
      </w:r>
      <w:proofErr w:type="spellStart"/>
      <w:r w:rsidRPr="0025135B">
        <w:rPr>
          <w:rFonts w:cs="Times New Roman"/>
          <w:i/>
        </w:rPr>
        <w:t>Luxton</w:t>
      </w:r>
      <w:proofErr w:type="spellEnd"/>
      <w:r w:rsidRPr="0025135B">
        <w:rPr>
          <w:rFonts w:cs="Times New Roman"/>
        </w:rPr>
        <w:t xml:space="preserve">, at p. 720; </w:t>
      </w:r>
      <w:r w:rsidRPr="0025135B">
        <w:rPr>
          <w:rFonts w:cs="Times New Roman"/>
          <w:i/>
        </w:rPr>
        <w:t>Paré</w:t>
      </w:r>
      <w:r w:rsidRPr="0025135B">
        <w:rPr>
          <w:rFonts w:cs="Times New Roman"/>
        </w:rPr>
        <w:t xml:space="preserve">, at p. 625; </w:t>
      </w:r>
      <w:r w:rsidRPr="0025135B">
        <w:rPr>
          <w:rFonts w:cs="Times New Roman"/>
          <w:i/>
        </w:rPr>
        <w:t>Russell</w:t>
      </w:r>
      <w:r w:rsidRPr="0025135B">
        <w:rPr>
          <w:rFonts w:cs="Times New Roman"/>
        </w:rPr>
        <w:t xml:space="preserve">, at para. 24; </w:t>
      </w:r>
      <w:r w:rsidRPr="0025135B">
        <w:rPr>
          <w:rFonts w:cs="Times New Roman"/>
          <w:i/>
        </w:rPr>
        <w:t>Pritchard</w:t>
      </w:r>
      <w:r w:rsidRPr="0025135B">
        <w:rPr>
          <w:rFonts w:cs="Times New Roman"/>
        </w:rPr>
        <w:t>, at para. 19).</w:t>
      </w:r>
    </w:p>
    <w:p w:rsidR="00093189" w:rsidRPr="0025135B" w:rsidRDefault="00093189" w:rsidP="00093189">
      <w:pPr>
        <w:pStyle w:val="ParaNoNdepar-AltN"/>
        <w:rPr>
          <w:rFonts w:cs="Times New Roman"/>
        </w:rPr>
      </w:pPr>
      <w:r w:rsidRPr="0025135B">
        <w:rPr>
          <w:rFonts w:cs="Times New Roman"/>
        </w:rPr>
        <w:t xml:space="preserve">This Court has held that s. 231(5) is neither arbitrary nor irrational and does not infringe ss. 7, 9, or 12 of the </w:t>
      </w:r>
      <w:r w:rsidRPr="0025135B">
        <w:rPr>
          <w:rFonts w:cs="Times New Roman"/>
          <w:i/>
        </w:rPr>
        <w:t>Canadian Charter of Rights and Freedoms</w:t>
      </w:r>
      <w:r w:rsidRPr="0025135B">
        <w:rPr>
          <w:rFonts w:cs="Times New Roman"/>
        </w:rPr>
        <w:t xml:space="preserve"> (</w:t>
      </w:r>
      <w:proofErr w:type="spellStart"/>
      <w:r w:rsidRPr="0025135B">
        <w:rPr>
          <w:rFonts w:cs="Times New Roman"/>
          <w:i/>
        </w:rPr>
        <w:t>Arkell</w:t>
      </w:r>
      <w:proofErr w:type="spellEnd"/>
      <w:r w:rsidRPr="0025135B">
        <w:rPr>
          <w:rFonts w:cs="Times New Roman"/>
        </w:rPr>
        <w:t xml:space="preserve">, at </w:t>
      </w:r>
      <w:r w:rsidRPr="0025135B">
        <w:rPr>
          <w:rFonts w:cs="Times New Roman"/>
        </w:rPr>
        <w:lastRenderedPageBreak/>
        <w:t xml:space="preserve">p. 704; </w:t>
      </w:r>
      <w:proofErr w:type="spellStart"/>
      <w:r w:rsidRPr="0025135B">
        <w:rPr>
          <w:rFonts w:cs="Times New Roman"/>
          <w:i/>
        </w:rPr>
        <w:t>Luxton</w:t>
      </w:r>
      <w:proofErr w:type="spellEnd"/>
      <w:r w:rsidRPr="0025135B">
        <w:rPr>
          <w:rFonts w:cs="Times New Roman"/>
        </w:rPr>
        <w:t xml:space="preserve">, at pp. 719-25; D. Stuart, </w:t>
      </w:r>
      <w:r w:rsidRPr="0025135B">
        <w:rPr>
          <w:rFonts w:cs="Times New Roman"/>
          <w:i/>
        </w:rPr>
        <w:t>Canadian Criminal Law: A Treatise</w:t>
      </w:r>
      <w:r w:rsidRPr="0025135B">
        <w:rPr>
          <w:rFonts w:cs="Times New Roman"/>
        </w:rPr>
        <w:t xml:space="preserve"> (8th ed. 2020), at p. 234; Manning and Sankoff, at p. 958).</w:t>
      </w:r>
    </w:p>
    <w:p w:rsidR="00093189" w:rsidRPr="0025135B" w:rsidRDefault="00093189" w:rsidP="00093189">
      <w:pPr>
        <w:pStyle w:val="Title3LevelTitre3Niveau"/>
        <w:numPr>
          <w:ilvl w:val="2"/>
          <w:numId w:val="16"/>
        </w:numPr>
        <w:jc w:val="both"/>
        <w:rPr>
          <w:rFonts w:cs="Times New Roman"/>
        </w:rPr>
      </w:pPr>
      <w:r>
        <w:rPr>
          <w:rFonts w:cs="Times New Roman"/>
        </w:rPr>
        <w:t>The Organizing Principle of Illegal D</w:t>
      </w:r>
      <w:r w:rsidRPr="0025135B">
        <w:rPr>
          <w:rFonts w:cs="Times New Roman"/>
        </w:rPr>
        <w:t>omination</w:t>
      </w:r>
    </w:p>
    <w:p w:rsidR="00093189" w:rsidRPr="0025135B" w:rsidRDefault="00093189" w:rsidP="00093189">
      <w:pPr>
        <w:pStyle w:val="ParaNoNdepar-AltN"/>
        <w:rPr>
          <w:rFonts w:cs="Times New Roman"/>
        </w:rPr>
      </w:pPr>
      <w:r w:rsidRPr="0025135B">
        <w:rPr>
          <w:rFonts w:cs="Times New Roman"/>
        </w:rPr>
        <w:t>The organizing principle for the offences listed in s. 231(5) — what they have in common — is that they are all crimes involving the illegal domination of victims. Parliament has treated murder committed in connection with these crimes of domination as especially serious and as warranting the exceptional punishment for first degree murder (</w:t>
      </w:r>
      <w:r w:rsidRPr="0025135B">
        <w:rPr>
          <w:rFonts w:cs="Times New Roman"/>
          <w:i/>
        </w:rPr>
        <w:t>Paré</w:t>
      </w:r>
      <w:r w:rsidRPr="0025135B">
        <w:rPr>
          <w:rFonts w:cs="Times New Roman"/>
        </w:rPr>
        <w:t xml:space="preserve">, at p. 633; </w:t>
      </w:r>
      <w:proofErr w:type="spellStart"/>
      <w:r w:rsidRPr="0025135B">
        <w:rPr>
          <w:rFonts w:cs="Times New Roman"/>
          <w:i/>
        </w:rPr>
        <w:t>Luxton</w:t>
      </w:r>
      <w:proofErr w:type="spellEnd"/>
      <w:r w:rsidRPr="0025135B">
        <w:rPr>
          <w:rFonts w:cs="Times New Roman"/>
        </w:rPr>
        <w:t xml:space="preserve">, at p. 722; </w:t>
      </w:r>
      <w:r w:rsidRPr="0025135B">
        <w:rPr>
          <w:rFonts w:cs="Times New Roman"/>
          <w:i/>
        </w:rPr>
        <w:t xml:space="preserve">R. v. </w:t>
      </w:r>
      <w:proofErr w:type="spellStart"/>
      <w:r w:rsidRPr="0025135B">
        <w:rPr>
          <w:rFonts w:cs="Times New Roman"/>
          <w:i/>
        </w:rPr>
        <w:t>Nette</w:t>
      </w:r>
      <w:proofErr w:type="spellEnd"/>
      <w:r w:rsidRPr="0025135B">
        <w:rPr>
          <w:rFonts w:cs="Times New Roman"/>
        </w:rPr>
        <w:t xml:space="preserve">, 2001 SCC 78, [2001] 3 S.C.R. 488, at para. 62; </w:t>
      </w:r>
      <w:r w:rsidRPr="0025135B">
        <w:rPr>
          <w:rFonts w:cs="Times New Roman"/>
          <w:i/>
        </w:rPr>
        <w:t>Pritchard</w:t>
      </w:r>
      <w:r w:rsidRPr="0025135B">
        <w:rPr>
          <w:rFonts w:cs="Times New Roman"/>
        </w:rPr>
        <w:t xml:space="preserve">, at paras. 19-20; </w:t>
      </w:r>
      <w:r w:rsidRPr="0025135B">
        <w:rPr>
          <w:rFonts w:cs="Times New Roman"/>
          <w:i/>
        </w:rPr>
        <w:t>Magoon</w:t>
      </w:r>
      <w:r w:rsidRPr="0025135B">
        <w:rPr>
          <w:rFonts w:cs="Times New Roman"/>
        </w:rPr>
        <w:t xml:space="preserve">, at para. 61). Illegal domination is not an essential element to </w:t>
      </w:r>
      <w:r>
        <w:rPr>
          <w:rFonts w:cs="Times New Roman"/>
        </w:rPr>
        <w:t>be proved under s. 231(5)</w:t>
      </w:r>
      <w:r w:rsidRPr="0025135B">
        <w:rPr>
          <w:rFonts w:cs="Times New Roman"/>
        </w:rPr>
        <w:t xml:space="preserve"> but a principle that helps courts apply the provision purposively, so that the law develops in a principled manner (</w:t>
      </w:r>
      <w:r w:rsidRPr="0025135B">
        <w:rPr>
          <w:rFonts w:cs="Times New Roman"/>
          <w:i/>
        </w:rPr>
        <w:t>Russell</w:t>
      </w:r>
      <w:r w:rsidRPr="0025135B">
        <w:rPr>
          <w:rFonts w:cs="Times New Roman"/>
        </w:rPr>
        <w:t xml:space="preserve">, at para. 43; </w:t>
      </w:r>
      <w:r w:rsidRPr="0025135B">
        <w:rPr>
          <w:rFonts w:cs="Times New Roman"/>
          <w:i/>
        </w:rPr>
        <w:t>Kimberley</w:t>
      </w:r>
      <w:r w:rsidRPr="0025135B">
        <w:rPr>
          <w:rFonts w:cs="Times New Roman"/>
        </w:rPr>
        <w:t xml:space="preserve">, at para. 104; </w:t>
      </w:r>
      <w:r w:rsidRPr="0025135B">
        <w:rPr>
          <w:rFonts w:cs="Times New Roman"/>
          <w:i/>
        </w:rPr>
        <w:t>R. v. Niemi</w:t>
      </w:r>
      <w:r w:rsidRPr="0025135B">
        <w:rPr>
          <w:rFonts w:cs="Times New Roman"/>
        </w:rPr>
        <w:t>, 2017 ONCA 720,</w:t>
      </w:r>
      <w:r>
        <w:rPr>
          <w:rFonts w:cs="Times New Roman"/>
        </w:rPr>
        <w:t xml:space="preserve"> 355 C.C.C. (3d) 344,</w:t>
      </w:r>
      <w:r w:rsidRPr="0025135B">
        <w:rPr>
          <w:rFonts w:cs="Times New Roman"/>
        </w:rPr>
        <w:t xml:space="preserve"> at para. 62</w:t>
      </w:r>
      <w:r>
        <w:rPr>
          <w:rFonts w:cs="Times New Roman"/>
        </w:rPr>
        <w:t xml:space="preserve">; </w:t>
      </w:r>
      <w:r w:rsidRPr="0025135B">
        <w:rPr>
          <w:rFonts w:cs="Times New Roman"/>
          <w:i/>
        </w:rPr>
        <w:t xml:space="preserve">R. v. </w:t>
      </w:r>
      <w:proofErr w:type="spellStart"/>
      <w:r w:rsidRPr="0025135B">
        <w:rPr>
          <w:rFonts w:cs="Times New Roman"/>
          <w:i/>
        </w:rPr>
        <w:t>Imona</w:t>
      </w:r>
      <w:proofErr w:type="spellEnd"/>
      <w:r w:rsidRPr="0025135B">
        <w:rPr>
          <w:rFonts w:cs="Times New Roman"/>
          <w:i/>
        </w:rPr>
        <w:t>-Russell</w:t>
      </w:r>
      <w:r w:rsidRPr="0025135B">
        <w:rPr>
          <w:rFonts w:cs="Times New Roman"/>
        </w:rPr>
        <w:t>, 2018 ONCA 590, at para. 13</w:t>
      </w:r>
      <w:r>
        <w:rPr>
          <w:rFonts w:cs="Times New Roman"/>
        </w:rPr>
        <w:t xml:space="preserve"> (CanLII)</w:t>
      </w:r>
      <w:r w:rsidRPr="0025135B">
        <w:rPr>
          <w:rFonts w:cs="Times New Roman"/>
        </w:rPr>
        <w:t xml:space="preserve">; </w:t>
      </w:r>
      <w:r w:rsidRPr="0025135B">
        <w:rPr>
          <w:rFonts w:cs="Times New Roman"/>
          <w:i/>
        </w:rPr>
        <w:t>R. v. McGregor</w:t>
      </w:r>
      <w:r w:rsidRPr="0025135B">
        <w:rPr>
          <w:rFonts w:cs="Times New Roman"/>
        </w:rPr>
        <w:t>, 2019 ONCA 307, 145 O.R. (3d) 641, at paras. 58, 67</w:t>
      </w:r>
      <w:r>
        <w:rPr>
          <w:rFonts w:cs="Times New Roman"/>
        </w:rPr>
        <w:t xml:space="preserve"> and </w:t>
      </w:r>
      <w:r w:rsidRPr="0025135B">
        <w:rPr>
          <w:rFonts w:cs="Times New Roman"/>
        </w:rPr>
        <w:t>69-74).</w:t>
      </w:r>
    </w:p>
    <w:p w:rsidR="00093189" w:rsidRPr="0025135B" w:rsidRDefault="00093189" w:rsidP="00093189">
      <w:pPr>
        <w:pStyle w:val="Title3LevelTitre3Niveau"/>
        <w:numPr>
          <w:ilvl w:val="2"/>
          <w:numId w:val="16"/>
        </w:numPr>
        <w:jc w:val="both"/>
        <w:rPr>
          <w:rFonts w:cs="Times New Roman"/>
        </w:rPr>
      </w:pPr>
      <w:r>
        <w:rPr>
          <w:rFonts w:cs="Times New Roman"/>
        </w:rPr>
        <w:t>“While C</w:t>
      </w:r>
      <w:r w:rsidRPr="0025135B">
        <w:rPr>
          <w:rFonts w:cs="Times New Roman"/>
        </w:rPr>
        <w:t>ommitting”: T</w:t>
      </w:r>
      <w:r>
        <w:rPr>
          <w:rFonts w:cs="Times New Roman"/>
        </w:rPr>
        <w:t>he Single Transaction T</w:t>
      </w:r>
      <w:r w:rsidRPr="0025135B">
        <w:rPr>
          <w:rFonts w:cs="Times New Roman"/>
        </w:rPr>
        <w:t>est</w:t>
      </w:r>
    </w:p>
    <w:p w:rsidR="00093189" w:rsidRPr="0025135B" w:rsidRDefault="00093189" w:rsidP="00093189">
      <w:pPr>
        <w:pStyle w:val="ParaNoNdepar-AltN"/>
        <w:rPr>
          <w:rFonts w:cs="Times New Roman"/>
        </w:rPr>
      </w:pPr>
      <w:r w:rsidRPr="0025135B">
        <w:rPr>
          <w:rFonts w:cs="Times New Roman"/>
        </w:rPr>
        <w:t xml:space="preserve">This Court has provided guidance on what it means to commit murder “while committing or attempting to commit” an underlying offence listed in s. 231(5). In </w:t>
      </w:r>
      <w:r w:rsidRPr="0025135B">
        <w:rPr>
          <w:rFonts w:cs="Times New Roman"/>
          <w:i/>
        </w:rPr>
        <w:t>Paré</w:t>
      </w:r>
      <w:r w:rsidRPr="0025135B">
        <w:rPr>
          <w:rFonts w:cs="Times New Roman"/>
        </w:rPr>
        <w:t xml:space="preserve">, this Court’s leading interpretation of s. 231(5), the offender indecently assaulted a young boy, held him down for two minutes, and then strangled him to death </w:t>
      </w:r>
      <w:r w:rsidRPr="0025135B">
        <w:rPr>
          <w:rFonts w:cs="Times New Roman"/>
        </w:rPr>
        <w:lastRenderedPageBreak/>
        <w:t xml:space="preserve">when the boy said that he would tell his mother of the assault. Wilson J. for the Court rejected a narrow and literal interpretation of “while committing” under s. 231(5) that would require the underlying offence and the murder to be committed simultaneously. Such an interpretation would lead to irrational and arbitrary distinctions — in </w:t>
      </w:r>
      <w:r w:rsidRPr="0025135B">
        <w:rPr>
          <w:rFonts w:cs="Times New Roman"/>
          <w:i/>
        </w:rPr>
        <w:t>Paré</w:t>
      </w:r>
      <w:r w:rsidRPr="0025135B">
        <w:rPr>
          <w:rFonts w:cs="Times New Roman"/>
        </w:rPr>
        <w:t xml:space="preserve">, for example, applying the “simultaneous” interpretation would mean that whether the murder was in the first or second degree would turn on whether the offender was viewed as still indecently assaulting the victim when he held him down and strangled him. Instead of a “simultaneous” approach to s. 231(5), Wilson J. adopted </w:t>
      </w:r>
      <w:r>
        <w:rPr>
          <w:rFonts w:cs="Times New Roman"/>
        </w:rPr>
        <w:t>the</w:t>
      </w:r>
      <w:r w:rsidRPr="0025135B">
        <w:rPr>
          <w:rFonts w:cs="Times New Roman"/>
        </w:rPr>
        <w:t xml:space="preserve"> broad and purposive “single transaction” approach proposed by Martin J.A. in </w:t>
      </w:r>
      <w:r w:rsidRPr="0025135B">
        <w:rPr>
          <w:rFonts w:cs="Times New Roman"/>
          <w:i/>
        </w:rPr>
        <w:t>R. v. Stevens</w:t>
      </w:r>
      <w:r w:rsidRPr="0025135B">
        <w:rPr>
          <w:rFonts w:cs="Times New Roman"/>
        </w:rPr>
        <w:t xml:space="preserve"> </w:t>
      </w:r>
      <w:r>
        <w:rPr>
          <w:rFonts w:cs="Times New Roman"/>
        </w:rPr>
        <w:t>(1984), 11 C.C.C. (3d)</w:t>
      </w:r>
      <w:r w:rsidRPr="0025135B">
        <w:rPr>
          <w:rFonts w:cs="Times New Roman"/>
        </w:rPr>
        <w:t xml:space="preserve"> 518 (Ont. C.A.), at p. 541, which asks if the listed offence of domination and the killing “all form part of one continuous sequence of events forming a single transaction”. Wilson J. held that “it is the continuing illegal domination of the victim which gives continuity to the sequence of events culminating in the murder. The murder represents an exploitation of the position of power created by the underlying crime and makes the entire course of conduct a ‘single transaction’” (p. 633). Applying this test, the offender in </w:t>
      </w:r>
      <w:r w:rsidRPr="0025135B">
        <w:rPr>
          <w:rFonts w:cs="Times New Roman"/>
          <w:i/>
        </w:rPr>
        <w:t>Paré</w:t>
      </w:r>
      <w:r w:rsidRPr="0025135B">
        <w:rPr>
          <w:rFonts w:cs="Times New Roman"/>
        </w:rPr>
        <w:t xml:space="preserve"> was guilty of first degree murder because the indecent assault and the killing formed “part of one continuous sequence of events” constituting “the same transaction” (p. 634).</w:t>
      </w:r>
    </w:p>
    <w:p w:rsidR="00093189" w:rsidRPr="0025135B" w:rsidRDefault="00093189" w:rsidP="00093189">
      <w:pPr>
        <w:pStyle w:val="ParaNoNdepar-AltN"/>
        <w:rPr>
          <w:rFonts w:cs="Times New Roman"/>
        </w:rPr>
      </w:pPr>
      <w:r w:rsidRPr="0025135B">
        <w:rPr>
          <w:rFonts w:cs="Times New Roman"/>
        </w:rPr>
        <w:t xml:space="preserve">A few years after deciding </w:t>
      </w:r>
      <w:r w:rsidRPr="0025135B">
        <w:rPr>
          <w:rFonts w:cs="Times New Roman"/>
          <w:i/>
        </w:rPr>
        <w:t>Paré</w:t>
      </w:r>
      <w:r w:rsidRPr="0025135B">
        <w:rPr>
          <w:rFonts w:cs="Times New Roman"/>
        </w:rPr>
        <w:t xml:space="preserve">, this Court in </w:t>
      </w:r>
      <w:proofErr w:type="spellStart"/>
      <w:r w:rsidRPr="0025135B">
        <w:rPr>
          <w:rFonts w:cs="Times New Roman"/>
          <w:i/>
        </w:rPr>
        <w:t>Harbottle</w:t>
      </w:r>
      <w:proofErr w:type="spellEnd"/>
      <w:r w:rsidRPr="0025135B">
        <w:rPr>
          <w:rFonts w:cs="Times New Roman"/>
        </w:rPr>
        <w:t xml:space="preserve">, at p. 325, distilled s. 231(5) </w:t>
      </w:r>
      <w:r>
        <w:rPr>
          <w:rFonts w:cs="Times New Roman"/>
        </w:rPr>
        <w:t>(then s. 214(5) of the</w:t>
      </w:r>
      <w:r w:rsidRPr="001577F5">
        <w:rPr>
          <w:rFonts w:cs="Times New Roman"/>
          <w:i/>
        </w:rPr>
        <w:t xml:space="preserve"> Criminal Code</w:t>
      </w:r>
      <w:r>
        <w:rPr>
          <w:rFonts w:cs="Times New Roman"/>
        </w:rPr>
        <w:t>)</w:t>
      </w:r>
      <w:r w:rsidRPr="001577F5">
        <w:rPr>
          <w:rFonts w:cs="Times New Roman"/>
          <w:i/>
        </w:rPr>
        <w:t xml:space="preserve"> </w:t>
      </w:r>
      <w:r w:rsidRPr="0025135B">
        <w:rPr>
          <w:rFonts w:cs="Times New Roman"/>
        </w:rPr>
        <w:t>into five elements:</w:t>
      </w:r>
    </w:p>
    <w:p w:rsidR="00093189" w:rsidRDefault="00093189" w:rsidP="00093189">
      <w:pPr>
        <w:pStyle w:val="Citation-AltC"/>
        <w:numPr>
          <w:ilvl w:val="3"/>
          <w:numId w:val="9"/>
        </w:numPr>
        <w:spacing w:after="240"/>
        <w:ind w:left="1526"/>
      </w:pPr>
      <w:r>
        <w:t>[T]</w:t>
      </w:r>
      <w:r w:rsidRPr="0025135B">
        <w:t>he accused was guilty of the underlying crime of domination or of attempting to commit that crime;</w:t>
      </w:r>
    </w:p>
    <w:p w:rsidR="00093189" w:rsidRPr="0025135B" w:rsidRDefault="00093189" w:rsidP="00093189">
      <w:pPr>
        <w:pStyle w:val="Citation-AltC"/>
        <w:spacing w:after="240"/>
      </w:pPr>
    </w:p>
    <w:p w:rsidR="00093189" w:rsidRDefault="00093189" w:rsidP="00093189">
      <w:pPr>
        <w:pStyle w:val="Citation-AltC"/>
        <w:numPr>
          <w:ilvl w:val="3"/>
          <w:numId w:val="9"/>
        </w:numPr>
        <w:spacing w:after="240"/>
        <w:ind w:left="1526"/>
      </w:pPr>
      <w:r w:rsidRPr="0025135B">
        <w:lastRenderedPageBreak/>
        <w:t>the accused was guilty of the murder of the victim;</w:t>
      </w:r>
    </w:p>
    <w:p w:rsidR="00093189" w:rsidRPr="0025135B" w:rsidRDefault="00093189" w:rsidP="00093189">
      <w:pPr>
        <w:pStyle w:val="Citation-AltC"/>
        <w:spacing w:after="240"/>
        <w:ind w:left="0"/>
      </w:pPr>
    </w:p>
    <w:p w:rsidR="00093189" w:rsidRDefault="00093189" w:rsidP="00093189">
      <w:pPr>
        <w:pStyle w:val="Citation-AltC"/>
        <w:numPr>
          <w:ilvl w:val="3"/>
          <w:numId w:val="9"/>
        </w:numPr>
        <w:spacing w:after="240"/>
        <w:ind w:left="1526"/>
      </w:pPr>
      <w:r w:rsidRPr="0025135B">
        <w:t>the accused participated in the murder in such a manner that he was a substantial cause of the death of the victim;</w:t>
      </w:r>
    </w:p>
    <w:p w:rsidR="00093189" w:rsidRPr="0025135B" w:rsidRDefault="00093189" w:rsidP="00093189">
      <w:pPr>
        <w:pStyle w:val="Citation-AltC"/>
        <w:spacing w:after="240"/>
        <w:ind w:left="0"/>
      </w:pPr>
    </w:p>
    <w:p w:rsidR="00093189" w:rsidRDefault="00093189" w:rsidP="00093189">
      <w:pPr>
        <w:pStyle w:val="Citation-AltC"/>
        <w:numPr>
          <w:ilvl w:val="3"/>
          <w:numId w:val="9"/>
        </w:numPr>
        <w:spacing w:after="240"/>
        <w:ind w:left="1526"/>
      </w:pPr>
      <w:r w:rsidRPr="0025135B">
        <w:t>there was no intervening act of another which resulted in the accused no longer being substantially connected to the death of the victim; and</w:t>
      </w:r>
    </w:p>
    <w:p w:rsidR="00093189" w:rsidRPr="0025135B" w:rsidRDefault="00093189" w:rsidP="00093189">
      <w:pPr>
        <w:pStyle w:val="Citation-AltC"/>
        <w:spacing w:after="240"/>
        <w:ind w:left="0"/>
      </w:pPr>
    </w:p>
    <w:p w:rsidR="00093189" w:rsidRPr="0025135B" w:rsidRDefault="00093189" w:rsidP="00093189">
      <w:pPr>
        <w:pStyle w:val="Citation-AltC"/>
        <w:numPr>
          <w:ilvl w:val="3"/>
          <w:numId w:val="9"/>
        </w:numPr>
        <w:ind w:left="1526"/>
      </w:pPr>
      <w:proofErr w:type="gramStart"/>
      <w:r w:rsidRPr="0025135B">
        <w:t>the</w:t>
      </w:r>
      <w:proofErr w:type="gramEnd"/>
      <w:r w:rsidRPr="0025135B">
        <w:t xml:space="preserve"> crimes of domination and murder were part of the same transaction; that is to say, the death was caused while committing the offence of domination as part of the same series of events.</w:t>
      </w:r>
    </w:p>
    <w:p w:rsidR="00093189" w:rsidRPr="0025135B" w:rsidRDefault="00093189" w:rsidP="00093189">
      <w:pPr>
        <w:pStyle w:val="Citation-AltC"/>
      </w:pPr>
    </w:p>
    <w:p w:rsidR="00093189" w:rsidRPr="0025135B" w:rsidRDefault="00093189" w:rsidP="00093189">
      <w:pPr>
        <w:pStyle w:val="Citation-AltC"/>
      </w:pPr>
      <w:r>
        <w:t>(</w:t>
      </w:r>
      <w:r w:rsidRPr="0025135B">
        <w:t xml:space="preserve">See also </w:t>
      </w:r>
      <w:r w:rsidRPr="0025135B">
        <w:rPr>
          <w:i/>
        </w:rPr>
        <w:t>Magoon</w:t>
      </w:r>
      <w:r>
        <w:t>, at paras. 17 and 63.)</w:t>
      </w:r>
    </w:p>
    <w:p w:rsidR="00093189" w:rsidRPr="0025135B" w:rsidRDefault="00093189" w:rsidP="00093189">
      <w:pPr>
        <w:pStyle w:val="ParaNoNdepar-AltN"/>
        <w:rPr>
          <w:rFonts w:cs="Times New Roman"/>
        </w:rPr>
      </w:pPr>
      <w:r w:rsidRPr="0025135B">
        <w:rPr>
          <w:rFonts w:cs="Times New Roman"/>
        </w:rPr>
        <w:t>Section 231(5) thus requires (1) an underlying crime of domination; (2) murder; (3) substantial cause; (4) no intervening act; and (5) the same transaction (</w:t>
      </w:r>
      <w:r w:rsidRPr="0025135B">
        <w:rPr>
          <w:rFonts w:cs="Times New Roman"/>
          <w:i/>
        </w:rPr>
        <w:t>Parris</w:t>
      </w:r>
      <w:r w:rsidRPr="0025135B">
        <w:rPr>
          <w:rFonts w:cs="Times New Roman"/>
        </w:rPr>
        <w:t xml:space="preserve">, at para. 45; </w:t>
      </w:r>
      <w:r w:rsidRPr="0025135B">
        <w:rPr>
          <w:rFonts w:cs="Times New Roman"/>
          <w:i/>
        </w:rPr>
        <w:t>McGregor</w:t>
      </w:r>
      <w:r w:rsidRPr="0025135B">
        <w:rPr>
          <w:rFonts w:cs="Times New Roman"/>
        </w:rPr>
        <w:t>, at para. 61).</w:t>
      </w:r>
    </w:p>
    <w:p w:rsidR="00093189" w:rsidRPr="0025135B" w:rsidRDefault="00093189" w:rsidP="00093189">
      <w:pPr>
        <w:pStyle w:val="Title3LevelTitre3Niveau"/>
        <w:numPr>
          <w:ilvl w:val="2"/>
          <w:numId w:val="16"/>
        </w:numPr>
        <w:jc w:val="both"/>
        <w:rPr>
          <w:rFonts w:cs="Times New Roman"/>
        </w:rPr>
      </w:pPr>
      <w:r>
        <w:rPr>
          <w:rFonts w:cs="Times New Roman"/>
        </w:rPr>
        <w:t>“While C</w:t>
      </w:r>
      <w:r w:rsidRPr="0025135B">
        <w:rPr>
          <w:rFonts w:cs="Times New Roman"/>
        </w:rPr>
        <w:t xml:space="preserve">ommitting”: The </w:t>
      </w:r>
      <w:r>
        <w:rPr>
          <w:rFonts w:cs="Times New Roman"/>
        </w:rPr>
        <w:t>Temporal and C</w:t>
      </w:r>
      <w:r w:rsidRPr="0025135B">
        <w:rPr>
          <w:rFonts w:cs="Times New Roman"/>
        </w:rPr>
        <w:t xml:space="preserve">ausal </w:t>
      </w:r>
      <w:r>
        <w:rPr>
          <w:rFonts w:cs="Times New Roman"/>
        </w:rPr>
        <w:t>C</w:t>
      </w:r>
      <w:r w:rsidRPr="0025135B">
        <w:rPr>
          <w:rFonts w:cs="Times New Roman"/>
        </w:rPr>
        <w:t>onnection</w:t>
      </w:r>
      <w:r>
        <w:rPr>
          <w:rFonts w:cs="Times New Roman"/>
        </w:rPr>
        <w:t xml:space="preserve"> A</w:t>
      </w:r>
      <w:r w:rsidRPr="0025135B">
        <w:rPr>
          <w:rFonts w:cs="Times New Roman"/>
        </w:rPr>
        <w:t>pproach</w:t>
      </w:r>
    </w:p>
    <w:p w:rsidR="00093189" w:rsidRPr="0025135B" w:rsidRDefault="00093189" w:rsidP="00093189">
      <w:pPr>
        <w:pStyle w:val="ParaNoNdepar-AltN"/>
        <w:rPr>
          <w:rFonts w:cs="Times New Roman"/>
        </w:rPr>
      </w:pPr>
      <w:r w:rsidRPr="0025135B">
        <w:rPr>
          <w:rFonts w:cs="Times New Roman"/>
        </w:rPr>
        <w:t>In some cases, this Court has applied the “single transa</w:t>
      </w:r>
      <w:r>
        <w:rPr>
          <w:rFonts w:cs="Times New Roman"/>
        </w:rPr>
        <w:t>ction” test under s. </w:t>
      </w:r>
      <w:r w:rsidRPr="0025135B">
        <w:rPr>
          <w:rFonts w:cs="Times New Roman"/>
        </w:rPr>
        <w:t>231(5) by asking whether the underlying offence of domination and the murder have a close “temporal and causal” connection (</w:t>
      </w:r>
      <w:r>
        <w:rPr>
          <w:rFonts w:cs="Times New Roman"/>
        </w:rPr>
        <w:t xml:space="preserve">see </w:t>
      </w:r>
      <w:r w:rsidRPr="0025135B">
        <w:rPr>
          <w:rFonts w:cs="Times New Roman"/>
          <w:i/>
        </w:rPr>
        <w:t>Paré</w:t>
      </w:r>
      <w:r>
        <w:rPr>
          <w:rFonts w:cs="Times New Roman"/>
        </w:rPr>
        <w:t xml:space="preserve">, at pp. 629 and </w:t>
      </w:r>
      <w:r w:rsidRPr="0025135B">
        <w:rPr>
          <w:rFonts w:cs="Times New Roman"/>
        </w:rPr>
        <w:t xml:space="preserve">634; </w:t>
      </w:r>
      <w:r w:rsidRPr="0025135B">
        <w:rPr>
          <w:rFonts w:cs="Times New Roman"/>
          <w:i/>
        </w:rPr>
        <w:t>Pritchard</w:t>
      </w:r>
      <w:r>
        <w:rPr>
          <w:rFonts w:cs="Times New Roman"/>
        </w:rPr>
        <w:t xml:space="preserve">, at paras. 19, 25, 33-35 and </w:t>
      </w:r>
      <w:r w:rsidRPr="0025135B">
        <w:rPr>
          <w:rFonts w:cs="Times New Roman"/>
        </w:rPr>
        <w:t xml:space="preserve">38; </w:t>
      </w:r>
      <w:r w:rsidRPr="0025135B">
        <w:rPr>
          <w:rFonts w:cs="Times New Roman"/>
          <w:i/>
        </w:rPr>
        <w:t>Russell</w:t>
      </w:r>
      <w:r w:rsidRPr="0025135B">
        <w:rPr>
          <w:rFonts w:cs="Times New Roman"/>
        </w:rPr>
        <w:t xml:space="preserve">, at paras. </w:t>
      </w:r>
      <w:r>
        <w:rPr>
          <w:rFonts w:cs="Times New Roman"/>
        </w:rPr>
        <w:t xml:space="preserve">43 and </w:t>
      </w:r>
      <w:r w:rsidRPr="0025135B">
        <w:rPr>
          <w:rFonts w:cs="Times New Roman"/>
        </w:rPr>
        <w:t xml:space="preserve">46-47). </w:t>
      </w:r>
    </w:p>
    <w:p w:rsidR="00093189" w:rsidRPr="0025135B" w:rsidRDefault="00093189" w:rsidP="00093189">
      <w:pPr>
        <w:pStyle w:val="ParaNoNdepar-AltN"/>
        <w:rPr>
          <w:rFonts w:cs="Times New Roman"/>
        </w:rPr>
      </w:pPr>
      <w:r w:rsidRPr="0025135B">
        <w:rPr>
          <w:rFonts w:cs="Times New Roman"/>
        </w:rPr>
        <w:t xml:space="preserve">In other cases, this Court has simply applied the “single transaction” test as enunciated by Martin J.A. in </w:t>
      </w:r>
      <w:r w:rsidRPr="0025135B">
        <w:rPr>
          <w:rFonts w:cs="Times New Roman"/>
          <w:i/>
        </w:rPr>
        <w:t>Stevens</w:t>
      </w:r>
      <w:r w:rsidRPr="0025135B">
        <w:rPr>
          <w:rFonts w:cs="Times New Roman"/>
        </w:rPr>
        <w:t>, without expressly inquiring into the presence of a temporal-causal connection (</w:t>
      </w:r>
      <w:proofErr w:type="spellStart"/>
      <w:r w:rsidRPr="0025135B">
        <w:rPr>
          <w:rFonts w:cs="Times New Roman"/>
          <w:i/>
        </w:rPr>
        <w:t>Harbottle</w:t>
      </w:r>
      <w:proofErr w:type="spellEnd"/>
      <w:r w:rsidRPr="0025135B">
        <w:rPr>
          <w:rFonts w:cs="Times New Roman"/>
        </w:rPr>
        <w:t xml:space="preserve">, at p. 326; </w:t>
      </w:r>
      <w:r w:rsidRPr="0025135B">
        <w:rPr>
          <w:rFonts w:cs="Times New Roman"/>
          <w:i/>
        </w:rPr>
        <w:t>Magoon</w:t>
      </w:r>
      <w:r w:rsidRPr="0025135B">
        <w:rPr>
          <w:rFonts w:cs="Times New Roman"/>
        </w:rPr>
        <w:t xml:space="preserve">, at paras. 73-75; see also </w:t>
      </w:r>
      <w:r w:rsidRPr="0025135B">
        <w:rPr>
          <w:rFonts w:cs="Times New Roman"/>
          <w:i/>
        </w:rPr>
        <w:t xml:space="preserve">R. v. </w:t>
      </w:r>
      <w:proofErr w:type="spellStart"/>
      <w:r w:rsidRPr="0025135B">
        <w:rPr>
          <w:rFonts w:cs="Times New Roman"/>
          <w:i/>
        </w:rPr>
        <w:t>Ganton</w:t>
      </w:r>
      <w:proofErr w:type="spellEnd"/>
      <w:r w:rsidRPr="0025135B">
        <w:rPr>
          <w:rFonts w:cs="Times New Roman"/>
        </w:rPr>
        <w:t xml:space="preserve"> (1992), 77 C.C.C. (3</w:t>
      </w:r>
      <w:r>
        <w:rPr>
          <w:rFonts w:cs="Times New Roman"/>
        </w:rPr>
        <w:t>d) 259 (Sask. C.A.), at p. 263</w:t>
      </w:r>
      <w:r w:rsidRPr="0025135B">
        <w:rPr>
          <w:rFonts w:cs="Times New Roman"/>
        </w:rPr>
        <w:t xml:space="preserve">; </w:t>
      </w:r>
      <w:r w:rsidRPr="0025135B">
        <w:rPr>
          <w:rFonts w:cs="Times New Roman"/>
          <w:i/>
        </w:rPr>
        <w:t>R. v. Johnson and Jensen</w:t>
      </w:r>
      <w:r>
        <w:rPr>
          <w:rFonts w:cs="Times New Roman"/>
        </w:rPr>
        <w:t xml:space="preserve"> (1993), 141 A.R. 184 (</w:t>
      </w:r>
      <w:r w:rsidRPr="0025135B">
        <w:rPr>
          <w:rFonts w:cs="Times New Roman"/>
        </w:rPr>
        <w:t xml:space="preserve">C.A.), at para. 53; </w:t>
      </w:r>
      <w:r w:rsidRPr="0025135B">
        <w:rPr>
          <w:rFonts w:cs="Times New Roman"/>
          <w:i/>
        </w:rPr>
        <w:t>R. v. Plewes</w:t>
      </w:r>
      <w:r w:rsidRPr="0025135B">
        <w:rPr>
          <w:rFonts w:cs="Times New Roman"/>
        </w:rPr>
        <w:t xml:space="preserve">, 2000 BCCA 278, </w:t>
      </w:r>
      <w:r>
        <w:rPr>
          <w:rFonts w:cs="Times New Roman"/>
        </w:rPr>
        <w:t xml:space="preserve">144 </w:t>
      </w:r>
      <w:r>
        <w:rPr>
          <w:rFonts w:cs="Times New Roman"/>
        </w:rPr>
        <w:lastRenderedPageBreak/>
        <w:t xml:space="preserve">C.C.C. (3d) 426, </w:t>
      </w:r>
      <w:r w:rsidRPr="0025135B">
        <w:rPr>
          <w:rFonts w:cs="Times New Roman"/>
        </w:rPr>
        <w:t xml:space="preserve">at para. 34; </w:t>
      </w:r>
      <w:r w:rsidRPr="0025135B">
        <w:rPr>
          <w:rFonts w:cs="Times New Roman"/>
          <w:i/>
        </w:rPr>
        <w:t xml:space="preserve">R. v. </w:t>
      </w:r>
      <w:proofErr w:type="spellStart"/>
      <w:r w:rsidRPr="0025135B">
        <w:rPr>
          <w:rFonts w:cs="Times New Roman"/>
          <w:i/>
        </w:rPr>
        <w:t>Westergard</w:t>
      </w:r>
      <w:proofErr w:type="spellEnd"/>
      <w:r w:rsidRPr="0025135B">
        <w:rPr>
          <w:rFonts w:cs="Times New Roman"/>
        </w:rPr>
        <w:t xml:space="preserve"> (2004), 24 C.R. (6th) 375 (Ont. C.A.), at para. 30; </w:t>
      </w:r>
      <w:r w:rsidRPr="0025135B">
        <w:rPr>
          <w:rFonts w:cs="Times New Roman"/>
          <w:i/>
        </w:rPr>
        <w:t>R. v. Mullings</w:t>
      </w:r>
      <w:r w:rsidRPr="0025135B">
        <w:rPr>
          <w:rFonts w:cs="Times New Roman"/>
        </w:rPr>
        <w:t xml:space="preserve">, 2014 ONCA 895, </w:t>
      </w:r>
      <w:r>
        <w:rPr>
          <w:rFonts w:cs="Times New Roman"/>
        </w:rPr>
        <w:t xml:space="preserve">319 C.C.C. (3d) 1, </w:t>
      </w:r>
      <w:r w:rsidRPr="0025135B">
        <w:rPr>
          <w:rFonts w:cs="Times New Roman"/>
        </w:rPr>
        <w:t>at pa</w:t>
      </w:r>
      <w:r>
        <w:rPr>
          <w:rFonts w:cs="Times New Roman"/>
        </w:rPr>
        <w:t>ra.</w:t>
      </w:r>
      <w:r w:rsidRPr="004C6D80">
        <w:rPr>
          <w:rFonts w:cs="Times New Roman"/>
          <w:lang w:val="en-US"/>
        </w:rPr>
        <w:t> </w:t>
      </w:r>
      <w:r>
        <w:rPr>
          <w:rFonts w:cs="Times New Roman"/>
        </w:rPr>
        <w:t xml:space="preserve">102). </w:t>
      </w:r>
      <w:r w:rsidRPr="0025135B">
        <w:rPr>
          <w:rFonts w:cs="Times New Roman"/>
        </w:rPr>
        <w:t xml:space="preserve">Similarly, the </w:t>
      </w:r>
      <w:r>
        <w:rPr>
          <w:rFonts w:cs="Times New Roman"/>
        </w:rPr>
        <w:t xml:space="preserve">Canadian </w:t>
      </w:r>
      <w:r w:rsidRPr="0025135B">
        <w:rPr>
          <w:rFonts w:cs="Times New Roman"/>
        </w:rPr>
        <w:t xml:space="preserve">Judicial </w:t>
      </w:r>
      <w:r>
        <w:rPr>
          <w:rFonts w:cs="Times New Roman"/>
        </w:rPr>
        <w:t>Council’s</w:t>
      </w:r>
      <w:r w:rsidRPr="0025135B">
        <w:rPr>
          <w:rFonts w:cs="Times New Roman"/>
        </w:rPr>
        <w:t xml:space="preserve"> </w:t>
      </w:r>
      <w:r w:rsidRPr="0025135B">
        <w:rPr>
          <w:rFonts w:cs="Times New Roman"/>
          <w:i/>
        </w:rPr>
        <w:t>Model Jury Instructions</w:t>
      </w:r>
      <w:r w:rsidRPr="0025135B">
        <w:rPr>
          <w:rFonts w:cs="Times New Roman"/>
        </w:rPr>
        <w:t xml:space="preserve"> on s. 231(5) focus solely on whether the underlying offence and the killing form “a continuous series of events that was a single ongoing transaction” (“Offen</w:t>
      </w:r>
      <w:r>
        <w:rPr>
          <w:rFonts w:cs="Times New Roman"/>
        </w:rPr>
        <w:t>ce 231(5): First Degree Murder i</w:t>
      </w:r>
      <w:r w:rsidRPr="0025135B">
        <w:rPr>
          <w:rFonts w:cs="Times New Roman"/>
        </w:rPr>
        <w:t>n the Commission of Another Offence”</w:t>
      </w:r>
      <w:r>
        <w:rPr>
          <w:rFonts w:cs="Times New Roman"/>
        </w:rPr>
        <w:t>, May 2019 (online)</w:t>
      </w:r>
      <w:r w:rsidRPr="0025135B">
        <w:rPr>
          <w:rFonts w:cs="Times New Roman"/>
        </w:rPr>
        <w:t xml:space="preserve">; see also </w:t>
      </w:r>
      <w:r>
        <w:rPr>
          <w:rFonts w:cs="Times New Roman"/>
        </w:rPr>
        <w:t xml:space="preserve">D. Watt, </w:t>
      </w:r>
      <w:r w:rsidRPr="0025135B">
        <w:rPr>
          <w:rFonts w:cs="Times New Roman"/>
          <w:i/>
        </w:rPr>
        <w:t>Watt’s Manual of Criminal Jury Instructions</w:t>
      </w:r>
      <w:r>
        <w:rPr>
          <w:rFonts w:cs="Times New Roman"/>
        </w:rPr>
        <w:t xml:space="preserve"> (</w:t>
      </w:r>
      <w:r w:rsidRPr="0025135B">
        <w:rPr>
          <w:rFonts w:cs="Times New Roman"/>
        </w:rPr>
        <w:t>2nd ed. 2015), at p</w:t>
      </w:r>
      <w:r>
        <w:rPr>
          <w:rFonts w:cs="Times New Roman"/>
        </w:rPr>
        <w:t xml:space="preserve">p. 716 and </w:t>
      </w:r>
      <w:r w:rsidRPr="0025135B">
        <w:rPr>
          <w:rFonts w:cs="Times New Roman"/>
        </w:rPr>
        <w:t>719</w:t>
      </w:r>
      <w:r>
        <w:rPr>
          <w:rFonts w:cs="Times New Roman"/>
        </w:rPr>
        <w:t>).</w:t>
      </w:r>
    </w:p>
    <w:p w:rsidR="00093189" w:rsidRPr="0025135B" w:rsidRDefault="00093189" w:rsidP="00093189">
      <w:pPr>
        <w:pStyle w:val="ParaNoNdepar-AltN"/>
        <w:rPr>
          <w:rFonts w:cs="Times New Roman"/>
        </w:rPr>
      </w:pPr>
      <w:r w:rsidRPr="0025135B">
        <w:rPr>
          <w:rFonts w:cs="Times New Roman"/>
        </w:rPr>
        <w:t>It is usually easy to identify a “temporal connection” between an underlying offence of domination and a murder: it is when the two criminal acts are committed close together in time. But it can be harder to articulate the “causal connection” between an underlying offence and a murder. The difficulty is largely terminological. Causation in homicide cases has two aspects: factual causation and legal causation. Factual causation asks how the victim died and the role of the accused in effecting that result — whether the victim’s death would have occurred “but for” the actions of the accused. When factual causation is established, legal causation asks whether the accused should be held responsible for the victim’s death, based on principles of moral responsibility in criminal law (</w:t>
      </w:r>
      <w:proofErr w:type="spellStart"/>
      <w:r w:rsidRPr="0025135B">
        <w:rPr>
          <w:rFonts w:cs="Times New Roman"/>
          <w:i/>
        </w:rPr>
        <w:t>Nette</w:t>
      </w:r>
      <w:proofErr w:type="spellEnd"/>
      <w:r w:rsidRPr="0025135B">
        <w:rPr>
          <w:rFonts w:cs="Times New Roman"/>
        </w:rPr>
        <w:t xml:space="preserve">, at paras. 44-45; </w:t>
      </w:r>
      <w:r w:rsidRPr="0025135B">
        <w:rPr>
          <w:rFonts w:cs="Times New Roman"/>
          <w:i/>
        </w:rPr>
        <w:t xml:space="preserve">R. v. </w:t>
      </w:r>
      <w:proofErr w:type="spellStart"/>
      <w:r w:rsidRPr="0025135B">
        <w:rPr>
          <w:rFonts w:cs="Times New Roman"/>
          <w:i/>
        </w:rPr>
        <w:t>Maybin</w:t>
      </w:r>
      <w:proofErr w:type="spellEnd"/>
      <w:r w:rsidRPr="0025135B">
        <w:rPr>
          <w:rFonts w:cs="Times New Roman"/>
        </w:rPr>
        <w:t>, 2012 SCC 24, [2012] 2 S.C.R. 30, at paras. 15-16). Under s. 231(5), however, a “causal connection” involves neither factual nor legal causation. As the Court of Appeal</w:t>
      </w:r>
      <w:r>
        <w:rPr>
          <w:rFonts w:cs="Times New Roman"/>
        </w:rPr>
        <w:t xml:space="preserve"> for </w:t>
      </w:r>
      <w:r w:rsidRPr="0025135B">
        <w:rPr>
          <w:rFonts w:cs="Times New Roman"/>
        </w:rPr>
        <w:t xml:space="preserve">British Columbia remarked in another context, “[o]ne can murder someone ‘in the course of’ committing a robbery, but the robbery is only the context of the murder, not its </w:t>
      </w:r>
      <w:proofErr w:type="spellStart"/>
      <w:r w:rsidRPr="0025135B">
        <w:rPr>
          <w:rFonts w:cs="Times New Roman"/>
        </w:rPr>
        <w:t>‘cause</w:t>
      </w:r>
      <w:proofErr w:type="spellEnd"/>
      <w:r w:rsidRPr="0025135B">
        <w:rPr>
          <w:rFonts w:cs="Times New Roman"/>
        </w:rPr>
        <w:t>’” (</w:t>
      </w:r>
      <w:r w:rsidRPr="0025135B">
        <w:rPr>
          <w:rFonts w:cs="Times New Roman"/>
          <w:i/>
        </w:rPr>
        <w:t>Grayson v. Wellington Insurance Co.</w:t>
      </w:r>
      <w:r w:rsidRPr="0025135B">
        <w:rPr>
          <w:rFonts w:cs="Times New Roman"/>
        </w:rPr>
        <w:t xml:space="preserve"> (1</w:t>
      </w:r>
      <w:r>
        <w:rPr>
          <w:rFonts w:cs="Times New Roman"/>
        </w:rPr>
        <w:t>997), 37 B.C.L.R. (3d) 49, at para. </w:t>
      </w:r>
      <w:r w:rsidRPr="0025135B">
        <w:rPr>
          <w:rFonts w:cs="Times New Roman"/>
        </w:rPr>
        <w:t>26, per Newbury J.A.).</w:t>
      </w:r>
    </w:p>
    <w:p w:rsidR="00093189" w:rsidRPr="0025135B" w:rsidRDefault="00093189" w:rsidP="00093189">
      <w:pPr>
        <w:pStyle w:val="ParaNoNdepar-AltN"/>
        <w:rPr>
          <w:rFonts w:cs="Times New Roman"/>
        </w:rPr>
      </w:pPr>
      <w:r w:rsidRPr="0025135B">
        <w:rPr>
          <w:rFonts w:cs="Times New Roman"/>
        </w:rPr>
        <w:lastRenderedPageBreak/>
        <w:t xml:space="preserve">Instead, a causal connection has been found under s. 231(5) where </w:t>
      </w:r>
      <w:r w:rsidRPr="0025135B">
        <w:rPr>
          <w:rFonts w:cs="Times New Roman"/>
          <w:i/>
        </w:rPr>
        <w:t>the offender’s reason or motivation</w:t>
      </w:r>
      <w:r w:rsidRPr="0025135B">
        <w:rPr>
          <w:rFonts w:cs="Times New Roman"/>
        </w:rPr>
        <w:t xml:space="preserve"> for the killing arises from, or is linked to, the offender’s unlawful domination of a victim. In </w:t>
      </w:r>
      <w:r w:rsidRPr="0025135B">
        <w:rPr>
          <w:rFonts w:cs="Times New Roman"/>
          <w:i/>
        </w:rPr>
        <w:t>Paré</w:t>
      </w:r>
      <w:r w:rsidRPr="0025135B">
        <w:rPr>
          <w:rFonts w:cs="Times New Roman"/>
        </w:rPr>
        <w:t xml:space="preserve">, Wilson J. found a causal connection between the underlying offence and the killing because the accused strangled the victim to death after indecently assaulting him to prevent him from telling his mother about the assault (p. 634; see also </w:t>
      </w:r>
      <w:r w:rsidRPr="0025135B">
        <w:rPr>
          <w:rFonts w:cs="Times New Roman"/>
          <w:i/>
        </w:rPr>
        <w:t>Pritchard</w:t>
      </w:r>
      <w:r w:rsidRPr="0025135B">
        <w:rPr>
          <w:rFonts w:cs="Times New Roman"/>
        </w:rPr>
        <w:t>, at para. 34). The indecent assault was not the factual or legal cause of the murder; it was the reason or motivation for it, marking the beginning of a continuing process of illegal domination culminating in the murder, thus making the entire course of conduct a single transaction (</w:t>
      </w:r>
      <w:r w:rsidRPr="0025135B">
        <w:rPr>
          <w:rFonts w:cs="Times New Roman"/>
          <w:i/>
        </w:rPr>
        <w:t>Paré</w:t>
      </w:r>
      <w:r w:rsidRPr="0025135B">
        <w:rPr>
          <w:rFonts w:cs="Times New Roman"/>
        </w:rPr>
        <w:t xml:space="preserve">, at p. 633). Likewise, a causal connection has been found under s. 231(5) when the murder was committed </w:t>
      </w:r>
      <w:r w:rsidRPr="0025135B">
        <w:rPr>
          <w:rFonts w:cs="Times New Roman"/>
          <w:i/>
        </w:rPr>
        <w:t>to facilitate</w:t>
      </w:r>
      <w:r w:rsidRPr="0025135B">
        <w:rPr>
          <w:rFonts w:cs="Times New Roman"/>
        </w:rPr>
        <w:t xml:space="preserve"> the crime of domination, such as by eliminating a potential witness to the crime (</w:t>
      </w:r>
      <w:r w:rsidRPr="0025135B">
        <w:rPr>
          <w:rFonts w:cs="Times New Roman"/>
          <w:i/>
        </w:rPr>
        <w:t>Pritchard</w:t>
      </w:r>
      <w:r w:rsidRPr="0025135B">
        <w:rPr>
          <w:rFonts w:cs="Times New Roman"/>
        </w:rPr>
        <w:t xml:space="preserve">, at para. 38; </w:t>
      </w:r>
      <w:r w:rsidRPr="0025135B">
        <w:rPr>
          <w:rFonts w:cs="Times New Roman"/>
          <w:i/>
        </w:rPr>
        <w:t>Russell</w:t>
      </w:r>
      <w:r w:rsidRPr="0025135B">
        <w:rPr>
          <w:rFonts w:cs="Times New Roman"/>
        </w:rPr>
        <w:t xml:space="preserve">, at paras. 47-48; </w:t>
      </w:r>
      <w:r w:rsidRPr="0025135B">
        <w:rPr>
          <w:rFonts w:cs="Times New Roman"/>
          <w:i/>
        </w:rPr>
        <w:t>R. v. Alexis</w:t>
      </w:r>
      <w:r w:rsidRPr="0025135B">
        <w:rPr>
          <w:rFonts w:cs="Times New Roman"/>
        </w:rPr>
        <w:t xml:space="preserve">, 2020 ONCA 334, </w:t>
      </w:r>
      <w:r>
        <w:rPr>
          <w:rFonts w:cs="Times New Roman"/>
        </w:rPr>
        <w:t xml:space="preserve">388 C.C.C. (3d) 226, </w:t>
      </w:r>
      <w:r w:rsidRPr="0025135B">
        <w:rPr>
          <w:rFonts w:cs="Times New Roman"/>
        </w:rPr>
        <w:t>at para. 18). In all cases, a “causal connection” under s. 231(5) concerns whether there is a</w:t>
      </w:r>
      <w:r w:rsidRPr="0025135B">
        <w:rPr>
          <w:rFonts w:cs="Times New Roman"/>
          <w:i/>
        </w:rPr>
        <w:t xml:space="preserve"> unifying relationship</w:t>
      </w:r>
      <w:r w:rsidRPr="0025135B">
        <w:rPr>
          <w:rFonts w:cs="Times New Roman"/>
        </w:rPr>
        <w:t xml:space="preserve">, beyond mere closeness in time, between the act of illegal domination and the act of murder, so as to constitute a single transaction (see </w:t>
      </w:r>
      <w:r w:rsidRPr="0025135B">
        <w:rPr>
          <w:rFonts w:cs="Times New Roman"/>
          <w:i/>
        </w:rPr>
        <w:t>Alexis</w:t>
      </w:r>
      <w:r w:rsidRPr="0025135B">
        <w:rPr>
          <w:rFonts w:cs="Times New Roman"/>
        </w:rPr>
        <w:t>, at para. 24).</w:t>
      </w:r>
    </w:p>
    <w:p w:rsidR="00093189" w:rsidRPr="0025135B" w:rsidRDefault="00093189" w:rsidP="00093189">
      <w:pPr>
        <w:pStyle w:val="Title3LevelTitre3Niveau"/>
        <w:numPr>
          <w:ilvl w:val="2"/>
          <w:numId w:val="16"/>
        </w:numPr>
        <w:jc w:val="both"/>
        <w:rPr>
          <w:rFonts w:cs="Times New Roman"/>
        </w:rPr>
      </w:pPr>
      <w:r>
        <w:rPr>
          <w:rFonts w:cs="Times New Roman"/>
        </w:rPr>
        <w:t>The Single Transaction T</w:t>
      </w:r>
      <w:r w:rsidRPr="0025135B">
        <w:rPr>
          <w:rFonts w:cs="Times New Roman"/>
        </w:rPr>
        <w:t>est and the</w:t>
      </w:r>
      <w:r>
        <w:rPr>
          <w:rFonts w:cs="Times New Roman"/>
        </w:rPr>
        <w:t xml:space="preserve"> Temporal-Causal Connection Approach Involve the Same Inquiry</w:t>
      </w:r>
    </w:p>
    <w:p w:rsidR="00093189" w:rsidRPr="0025135B" w:rsidRDefault="00093189" w:rsidP="00093189">
      <w:pPr>
        <w:pStyle w:val="ParaNoNdepar-AltN"/>
        <w:rPr>
          <w:rFonts w:cs="Times New Roman"/>
        </w:rPr>
      </w:pPr>
      <w:r w:rsidRPr="0025135B">
        <w:rPr>
          <w:rFonts w:cs="Times New Roman"/>
        </w:rPr>
        <w:t xml:space="preserve">I do not read this Court’s decisions as suggesting that the “single transaction” test articulated in </w:t>
      </w:r>
      <w:r w:rsidRPr="0025135B">
        <w:rPr>
          <w:rFonts w:cs="Times New Roman"/>
          <w:i/>
        </w:rPr>
        <w:t>Stevens</w:t>
      </w:r>
      <w:r w:rsidRPr="0025135B">
        <w:rPr>
          <w:rFonts w:cs="Times New Roman"/>
        </w:rPr>
        <w:t xml:space="preserve"> and the temporal-causal connection</w:t>
      </w:r>
      <w:r>
        <w:rPr>
          <w:rFonts w:cs="Times New Roman"/>
        </w:rPr>
        <w:t xml:space="preserve"> </w:t>
      </w:r>
      <w:r w:rsidRPr="0025135B">
        <w:rPr>
          <w:rFonts w:cs="Times New Roman"/>
        </w:rPr>
        <w:t xml:space="preserve">approach involve different inquiries. They are simply different ways of addressing the “same </w:t>
      </w:r>
      <w:r w:rsidRPr="0025135B">
        <w:rPr>
          <w:rFonts w:cs="Times New Roman"/>
        </w:rPr>
        <w:lastRenderedPageBreak/>
        <w:t>transaction” element. These two</w:t>
      </w:r>
      <w:r>
        <w:rPr>
          <w:rFonts w:cs="Times New Roman"/>
        </w:rPr>
        <w:t xml:space="preserve"> </w:t>
      </w:r>
      <w:r w:rsidRPr="0025135B">
        <w:rPr>
          <w:rFonts w:cs="Times New Roman"/>
        </w:rPr>
        <w:t>approaches have been used interchangeably in our jurisprudence.</w:t>
      </w:r>
    </w:p>
    <w:p w:rsidR="00093189" w:rsidRPr="0025135B" w:rsidRDefault="00093189" w:rsidP="00093189">
      <w:pPr>
        <w:pStyle w:val="ParaNoNdepar-AltN"/>
        <w:rPr>
          <w:rFonts w:cs="Times New Roman"/>
        </w:rPr>
      </w:pPr>
      <w:r w:rsidRPr="0025135B">
        <w:rPr>
          <w:rFonts w:cs="Times New Roman"/>
        </w:rPr>
        <w:t xml:space="preserve">For example, in </w:t>
      </w:r>
      <w:r w:rsidRPr="0025135B">
        <w:rPr>
          <w:rFonts w:cs="Times New Roman"/>
          <w:i/>
        </w:rPr>
        <w:t>Paré</w:t>
      </w:r>
      <w:r w:rsidRPr="0025135B">
        <w:rPr>
          <w:rFonts w:cs="Times New Roman"/>
        </w:rPr>
        <w:t>, at p. 634, Wilson J. concluded that “[t]he murder was temporally and causally connected to the underlying offence. It formed part of one continuous sequence of events. It was part of the same transaction.”</w:t>
      </w:r>
    </w:p>
    <w:p w:rsidR="00093189" w:rsidRPr="0025135B" w:rsidRDefault="00093189" w:rsidP="00093189">
      <w:pPr>
        <w:pStyle w:val="ParaNoNdepar-AltN"/>
        <w:rPr>
          <w:rFonts w:cs="Times New Roman"/>
        </w:rPr>
      </w:pPr>
      <w:r w:rsidRPr="0025135B">
        <w:rPr>
          <w:rFonts w:cs="Times New Roman"/>
        </w:rPr>
        <w:t xml:space="preserve">Similarly, in </w:t>
      </w:r>
      <w:r w:rsidRPr="0025135B">
        <w:rPr>
          <w:rFonts w:cs="Times New Roman"/>
          <w:i/>
        </w:rPr>
        <w:t>Russell</w:t>
      </w:r>
      <w:r w:rsidRPr="0025135B">
        <w:rPr>
          <w:rFonts w:cs="Times New Roman"/>
        </w:rPr>
        <w:t>, at para. 46, McLachlin C.J. referred to the single transaction test and the temporal-causal connection approach interchangeably:</w:t>
      </w:r>
    </w:p>
    <w:p w:rsidR="00093189" w:rsidRPr="0025135B" w:rsidRDefault="00093189" w:rsidP="00093189">
      <w:pPr>
        <w:pStyle w:val="Citation-AltC"/>
      </w:pPr>
      <w:r w:rsidRPr="0025135B">
        <w:t xml:space="preserve">The cases of this Court dealing with s. 231(5) make clear that an accused commits a murder “while committing or attempting to commit” an enumerated offence only if there is </w:t>
      </w:r>
      <w:r w:rsidRPr="0025135B">
        <w:rPr>
          <w:u w:val="single"/>
        </w:rPr>
        <w:t>a close temporal and causal connection between the murder and the enumerated offence</w:t>
      </w:r>
      <w:r w:rsidRPr="0025135B">
        <w:t>: see, e.g., </w:t>
      </w:r>
      <w:r w:rsidRPr="0025135B">
        <w:rPr>
          <w:i/>
          <w:iCs/>
        </w:rPr>
        <w:t>Paré</w:t>
      </w:r>
      <w:r w:rsidRPr="0025135B">
        <w:t>, </w:t>
      </w:r>
      <w:r w:rsidRPr="0025135B">
        <w:rPr>
          <w:i/>
          <w:iCs/>
        </w:rPr>
        <w:t>supra</w:t>
      </w:r>
      <w:r w:rsidRPr="0025135B">
        <w:t>, at p. 632 (stating that a murder is committed “while committing” an enumerated offence only “</w:t>
      </w:r>
      <w:r w:rsidRPr="0025135B">
        <w:rPr>
          <w:u w:val="single"/>
        </w:rPr>
        <w:t>where the act causing death and the acts constituting [the enumerated offence] all form part of one continuous sequence of events forming a single transaction</w:t>
      </w:r>
      <w:r w:rsidRPr="0025135B">
        <w:t>”); </w:t>
      </w:r>
      <w:r w:rsidRPr="0025135B">
        <w:rPr>
          <w:i/>
          <w:iCs/>
        </w:rPr>
        <w:t xml:space="preserve">R. v. </w:t>
      </w:r>
      <w:proofErr w:type="spellStart"/>
      <w:r w:rsidRPr="0025135B">
        <w:rPr>
          <w:i/>
          <w:iCs/>
        </w:rPr>
        <w:t>Kirkness</w:t>
      </w:r>
      <w:proofErr w:type="spellEnd"/>
      <w:r w:rsidRPr="0025135B">
        <w:t>, [1990] 3 S.C.R. 74, at p. 86. [Emphasis added.]</w:t>
      </w:r>
    </w:p>
    <w:p w:rsidR="00093189" w:rsidRPr="0025135B" w:rsidRDefault="00093189" w:rsidP="00093189">
      <w:pPr>
        <w:pStyle w:val="ParaNoNdepar-AltN"/>
        <w:rPr>
          <w:rFonts w:eastAsia="Times New Roman" w:cs="Times New Roman"/>
        </w:rPr>
      </w:pPr>
      <w:r w:rsidRPr="0025135B">
        <w:rPr>
          <w:rFonts w:eastAsia="Times New Roman" w:cs="Times New Roman"/>
        </w:rPr>
        <w:t xml:space="preserve">Lastly, in </w:t>
      </w:r>
      <w:r w:rsidRPr="0025135B">
        <w:rPr>
          <w:rFonts w:eastAsia="Times New Roman" w:cs="Times New Roman"/>
          <w:i/>
        </w:rPr>
        <w:t>Pritchard</w:t>
      </w:r>
      <w:r w:rsidRPr="0025135B">
        <w:rPr>
          <w:rFonts w:eastAsia="Times New Roman" w:cs="Times New Roman"/>
        </w:rPr>
        <w:t>, Binnie J. stated that there must be a “close temporal and causative link” for s. 231(5) to apply (para. 33</w:t>
      </w:r>
      <w:r>
        <w:rPr>
          <w:rFonts w:eastAsia="Times New Roman" w:cs="Times New Roman"/>
        </w:rPr>
        <w:t xml:space="preserve">, quoting </w:t>
      </w:r>
      <w:r>
        <w:rPr>
          <w:rFonts w:eastAsia="Times New Roman" w:cs="Times New Roman"/>
          <w:i/>
        </w:rPr>
        <w:t>Paré</w:t>
      </w:r>
      <w:r>
        <w:rPr>
          <w:rFonts w:eastAsia="Times New Roman" w:cs="Times New Roman"/>
        </w:rPr>
        <w:t>, at p. 629</w:t>
      </w:r>
      <w:r w:rsidRPr="0025135B">
        <w:rPr>
          <w:rFonts w:eastAsia="Times New Roman" w:cs="Times New Roman"/>
        </w:rPr>
        <w:t xml:space="preserve">). In the </w:t>
      </w:r>
      <w:r>
        <w:rPr>
          <w:rFonts w:eastAsia="Times New Roman" w:cs="Times New Roman"/>
        </w:rPr>
        <w:t>same paragraph</w:t>
      </w:r>
      <w:r w:rsidRPr="0025135B">
        <w:rPr>
          <w:rFonts w:eastAsia="Times New Roman" w:cs="Times New Roman"/>
        </w:rPr>
        <w:t xml:space="preserve">, he </w:t>
      </w:r>
      <w:r>
        <w:rPr>
          <w:rFonts w:eastAsia="Times New Roman" w:cs="Times New Roman"/>
        </w:rPr>
        <w:t xml:space="preserve">explained </w:t>
      </w:r>
      <w:r w:rsidRPr="0025135B">
        <w:rPr>
          <w:rFonts w:eastAsia="Times New Roman" w:cs="Times New Roman"/>
        </w:rPr>
        <w:t>that the murder will occur “while committing” a listed offence when the two crimes occur together in the course of a “single transaction”.</w:t>
      </w:r>
    </w:p>
    <w:p w:rsidR="00093189" w:rsidRPr="0025135B" w:rsidRDefault="00093189" w:rsidP="00093189">
      <w:pPr>
        <w:pStyle w:val="ParaNoNdepar-AltN"/>
        <w:rPr>
          <w:rFonts w:eastAsia="Times New Roman" w:cs="Times New Roman"/>
        </w:rPr>
      </w:pPr>
      <w:r w:rsidRPr="0025135B">
        <w:rPr>
          <w:rFonts w:eastAsia="Times New Roman" w:cs="Times New Roman"/>
        </w:rPr>
        <w:t xml:space="preserve">Accordingly, properly applied, the single transaction test and </w:t>
      </w:r>
      <w:r>
        <w:rPr>
          <w:rFonts w:eastAsia="Times New Roman" w:cs="Times New Roman"/>
        </w:rPr>
        <w:t>temporal</w:t>
      </w:r>
      <w:r>
        <w:rPr>
          <w:rFonts w:eastAsia="Times New Roman" w:cs="Times New Roman"/>
        </w:rPr>
        <w:noBreakHyphen/>
      </w:r>
      <w:r w:rsidRPr="0025135B">
        <w:rPr>
          <w:rFonts w:eastAsia="Times New Roman" w:cs="Times New Roman"/>
        </w:rPr>
        <w:t>causal connection</w:t>
      </w:r>
      <w:r>
        <w:rPr>
          <w:rFonts w:eastAsia="Times New Roman" w:cs="Times New Roman"/>
        </w:rPr>
        <w:t xml:space="preserve"> </w:t>
      </w:r>
      <w:r w:rsidRPr="0025135B">
        <w:rPr>
          <w:rFonts w:eastAsia="Times New Roman" w:cs="Times New Roman"/>
        </w:rPr>
        <w:t xml:space="preserve">approach involve the same inquiry and will result in the same conclusion. When a single transaction is found, there will necessarily </w:t>
      </w:r>
      <w:r>
        <w:rPr>
          <w:rFonts w:eastAsia="Times New Roman" w:cs="Times New Roman"/>
        </w:rPr>
        <w:t xml:space="preserve">be a </w:t>
      </w:r>
      <w:r>
        <w:rPr>
          <w:rFonts w:eastAsia="Times New Roman" w:cs="Times New Roman"/>
        </w:rPr>
        <w:lastRenderedPageBreak/>
        <w:t>temporal</w:t>
      </w:r>
      <w:r>
        <w:rPr>
          <w:rFonts w:eastAsia="Times New Roman" w:cs="Times New Roman"/>
        </w:rPr>
        <w:noBreakHyphen/>
      </w:r>
      <w:r w:rsidRPr="0025135B">
        <w:rPr>
          <w:rFonts w:eastAsia="Times New Roman" w:cs="Times New Roman"/>
        </w:rPr>
        <w:t>causal connection. Likewise, when a temporal-causal connection is found, there will necessarily be a single transaction.</w:t>
      </w:r>
      <w:r>
        <w:rPr>
          <w:rFonts w:eastAsia="Times New Roman" w:cs="Times New Roman"/>
        </w:rPr>
        <w:t xml:space="preserve"> </w:t>
      </w:r>
    </w:p>
    <w:p w:rsidR="00093189" w:rsidRPr="0025135B" w:rsidRDefault="00093189" w:rsidP="00093189">
      <w:pPr>
        <w:pStyle w:val="Title3LevelTitre3Niveau"/>
        <w:numPr>
          <w:ilvl w:val="2"/>
          <w:numId w:val="16"/>
        </w:numPr>
        <w:jc w:val="both"/>
        <w:rPr>
          <w:rFonts w:cs="Times New Roman"/>
        </w:rPr>
      </w:pPr>
      <w:r>
        <w:rPr>
          <w:rFonts w:cs="Times New Roman"/>
        </w:rPr>
        <w:t>Distinct Criminal A</w:t>
      </w:r>
      <w:r w:rsidRPr="0025135B">
        <w:rPr>
          <w:rFonts w:cs="Times New Roman"/>
        </w:rPr>
        <w:t>cts</w:t>
      </w:r>
    </w:p>
    <w:p w:rsidR="00093189" w:rsidRPr="0025135B" w:rsidRDefault="00093189" w:rsidP="00093189">
      <w:pPr>
        <w:pStyle w:val="ParaNoNdepar-AltN"/>
        <w:rPr>
          <w:rFonts w:cs="Times New Roman"/>
        </w:rPr>
      </w:pPr>
      <w:r w:rsidRPr="0025135B">
        <w:rPr>
          <w:rFonts w:cs="Times New Roman"/>
        </w:rPr>
        <w:t>Finally, this Court has ruled that the underlying offence of domination and the killing must involve two distinct criminal acts (</w:t>
      </w:r>
      <w:r w:rsidRPr="0025135B">
        <w:rPr>
          <w:rFonts w:cs="Times New Roman"/>
          <w:i/>
        </w:rPr>
        <w:t>Pritchard</w:t>
      </w:r>
      <w:r w:rsidRPr="0025135B">
        <w:rPr>
          <w:rFonts w:cs="Times New Roman"/>
        </w:rPr>
        <w:t xml:space="preserve">, at para. 27, citing </w:t>
      </w:r>
      <w:r w:rsidRPr="0025135B">
        <w:rPr>
          <w:rFonts w:cs="Times New Roman"/>
          <w:i/>
        </w:rPr>
        <w:t>Kimberley</w:t>
      </w:r>
      <w:r w:rsidRPr="0025135B">
        <w:rPr>
          <w:rFonts w:cs="Times New Roman"/>
        </w:rPr>
        <w:t xml:space="preserve">, at para. 108, per Doherty J.A.; </w:t>
      </w:r>
      <w:r w:rsidRPr="0025135B">
        <w:rPr>
          <w:rFonts w:cs="Times New Roman"/>
          <w:i/>
        </w:rPr>
        <w:t>Magoon</w:t>
      </w:r>
      <w:r w:rsidRPr="0025135B">
        <w:rPr>
          <w:rFonts w:cs="Times New Roman"/>
        </w:rPr>
        <w:t xml:space="preserve">, at para. 74; </w:t>
      </w:r>
      <w:r>
        <w:rPr>
          <w:rFonts w:cs="Times New Roman"/>
        </w:rPr>
        <w:t xml:space="preserve">see also </w:t>
      </w:r>
      <w:r w:rsidRPr="0025135B">
        <w:rPr>
          <w:rFonts w:cs="Times New Roman"/>
        </w:rPr>
        <w:t>Manning and Sankoff, at pp. 961-</w:t>
      </w:r>
      <w:r>
        <w:rPr>
          <w:rFonts w:cs="Times New Roman"/>
        </w:rPr>
        <w:t>6</w:t>
      </w:r>
      <w:r w:rsidRPr="0025135B">
        <w:rPr>
          <w:rFonts w:cs="Times New Roman"/>
        </w:rPr>
        <w:t>2). The underlying offence cannot be “consum</w:t>
      </w:r>
      <w:r>
        <w:rPr>
          <w:rFonts w:cs="Times New Roman"/>
        </w:rPr>
        <w:t xml:space="preserve">ed in the very act of killing”; </w:t>
      </w:r>
      <w:r w:rsidRPr="0025135B">
        <w:rPr>
          <w:rFonts w:cs="Times New Roman"/>
        </w:rPr>
        <w:t>in other words, the underlying offence and the killing must not be one and the same</w:t>
      </w:r>
      <w:r>
        <w:rPr>
          <w:rFonts w:cs="Times New Roman"/>
        </w:rPr>
        <w:t xml:space="preserve"> (</w:t>
      </w:r>
      <w:r w:rsidRPr="0025135B">
        <w:rPr>
          <w:rFonts w:cs="Times New Roman"/>
          <w:i/>
        </w:rPr>
        <w:t>Pritchard</w:t>
      </w:r>
      <w:r>
        <w:rPr>
          <w:rFonts w:cs="Times New Roman"/>
        </w:rPr>
        <w:t>, at para. 27)</w:t>
      </w:r>
      <w:r w:rsidRPr="0025135B">
        <w:rPr>
          <w:rFonts w:cs="Times New Roman"/>
        </w:rPr>
        <w:t xml:space="preserve">. If there is only one criminal act, it cannot be said that the offender exploited the domination inherent in the underlying offence with the act of killing (para. 29). In such cases, the heightened moral blameworthiness required for first degree murder is absent. </w:t>
      </w:r>
    </w:p>
    <w:p w:rsidR="00093189" w:rsidRPr="0025135B" w:rsidRDefault="00093189" w:rsidP="00093189">
      <w:pPr>
        <w:pStyle w:val="Title2LevelTitre2Niveau"/>
        <w:numPr>
          <w:ilvl w:val="1"/>
          <w:numId w:val="16"/>
        </w:numPr>
        <w:jc w:val="both"/>
        <w:rPr>
          <w:rFonts w:cs="Times New Roman"/>
        </w:rPr>
      </w:pPr>
      <w:r w:rsidRPr="0025135B">
        <w:rPr>
          <w:rFonts w:cs="Times New Roman"/>
        </w:rPr>
        <w:t>Application</w:t>
      </w:r>
    </w:p>
    <w:p w:rsidR="00093189" w:rsidRPr="0025135B" w:rsidRDefault="00093189" w:rsidP="00093189">
      <w:pPr>
        <w:pStyle w:val="ParaNoNdepar-AltN"/>
        <w:rPr>
          <w:rFonts w:cs="Times New Roman"/>
        </w:rPr>
      </w:pPr>
      <w:r w:rsidRPr="0025135B">
        <w:rPr>
          <w:rFonts w:cs="Times New Roman"/>
        </w:rPr>
        <w:t>There is no issue before this Court that the appellant was guilty of murdering Mr. McLeod even though he did not fire the fatal shot. The trial judge found that the appellant shot at Mr. McLeod with lethal intent and</w:t>
      </w:r>
      <w:r>
        <w:rPr>
          <w:rFonts w:cs="Times New Roman"/>
        </w:rPr>
        <w:t xml:space="preserve"> hit him at least three times. </w:t>
      </w:r>
      <w:r w:rsidRPr="0025135B">
        <w:rPr>
          <w:rFonts w:cs="Times New Roman"/>
        </w:rPr>
        <w:t xml:space="preserve">The parties do not dispute that these shots were a substantial cause of Mr. McLeod’s death because they prevented him from escaping his captors, before he was shot and killed at close range. The only dispute before this Court </w:t>
      </w:r>
      <w:r>
        <w:rPr>
          <w:rFonts w:cs="Times New Roman"/>
        </w:rPr>
        <w:t>is whether the murder was</w:t>
      </w:r>
      <w:r w:rsidRPr="0025135B">
        <w:rPr>
          <w:rFonts w:cs="Times New Roman"/>
        </w:rPr>
        <w:t xml:space="preserve"> </w:t>
      </w:r>
      <w:r>
        <w:rPr>
          <w:rFonts w:cs="Times New Roman"/>
        </w:rPr>
        <w:t xml:space="preserve">in the </w:t>
      </w:r>
      <w:r w:rsidRPr="0025135B">
        <w:rPr>
          <w:rFonts w:cs="Times New Roman"/>
        </w:rPr>
        <w:t xml:space="preserve">first or </w:t>
      </w:r>
      <w:r>
        <w:rPr>
          <w:rFonts w:cs="Times New Roman"/>
        </w:rPr>
        <w:t>the second degree</w:t>
      </w:r>
      <w:r w:rsidRPr="0025135B">
        <w:rPr>
          <w:rFonts w:cs="Times New Roman"/>
        </w:rPr>
        <w:t xml:space="preserve">. This turns on (1) whether Mr. McLeod was still </w:t>
      </w:r>
      <w:r w:rsidRPr="0025135B">
        <w:rPr>
          <w:rFonts w:cs="Times New Roman"/>
        </w:rPr>
        <w:lastRenderedPageBreak/>
        <w:t>unlawfully confined after he escaped from the truck; and (2) whether the unlawful confinement (inside or outside the truck, or both) and the murder were part of the same transaction.</w:t>
      </w:r>
    </w:p>
    <w:p w:rsidR="00093189" w:rsidRPr="0025135B" w:rsidRDefault="00093189" w:rsidP="00093189">
      <w:pPr>
        <w:pStyle w:val="Title3LevelTitre3Niveau"/>
        <w:numPr>
          <w:ilvl w:val="2"/>
          <w:numId w:val="16"/>
        </w:numPr>
        <w:jc w:val="both"/>
        <w:rPr>
          <w:rFonts w:cs="Times New Roman"/>
        </w:rPr>
      </w:pPr>
      <w:r>
        <w:rPr>
          <w:rFonts w:cs="Times New Roman"/>
        </w:rPr>
        <w:t>Mr. McLeod Was Still Unlawfully Confined When He Escaped From the T</w:t>
      </w:r>
      <w:r w:rsidRPr="0025135B">
        <w:rPr>
          <w:rFonts w:cs="Times New Roman"/>
        </w:rPr>
        <w:t xml:space="preserve">ruck and </w:t>
      </w:r>
      <w:r>
        <w:rPr>
          <w:rFonts w:cs="Times New Roman"/>
        </w:rPr>
        <w:t>Ran for His L</w:t>
      </w:r>
      <w:r w:rsidRPr="0025135B">
        <w:rPr>
          <w:rFonts w:cs="Times New Roman"/>
        </w:rPr>
        <w:t>ife</w:t>
      </w:r>
    </w:p>
    <w:p w:rsidR="00093189" w:rsidRPr="0025135B" w:rsidRDefault="00093189" w:rsidP="00093189">
      <w:pPr>
        <w:pStyle w:val="ParaNoNdepar-AltN"/>
        <w:rPr>
          <w:rFonts w:cs="Times New Roman"/>
        </w:rPr>
      </w:pPr>
      <w:r w:rsidRPr="0025135B">
        <w:rPr>
          <w:rFonts w:cs="Times New Roman"/>
        </w:rPr>
        <w:t xml:space="preserve">The trial judge correctly concluded that the appellant unlawfully confined Mr. McLeod inside the truck because he was “coercively restrained and unable to move about according to his </w:t>
      </w:r>
      <w:r>
        <w:rPr>
          <w:rFonts w:cs="Times New Roman"/>
        </w:rPr>
        <w:t>own inclination and desire” (</w:t>
      </w:r>
      <w:r w:rsidRPr="0025135B">
        <w:rPr>
          <w:rFonts w:cs="Times New Roman"/>
        </w:rPr>
        <w:t xml:space="preserve">para. 287). He erred in law, however, in concluding that Mr. McLeod “managed to escape his confinement” by jumping from the truck, and that </w:t>
      </w:r>
      <w:r>
        <w:rPr>
          <w:rFonts w:cs="Times New Roman"/>
        </w:rPr>
        <w:t>“at the time Mr. </w:t>
      </w:r>
      <w:r w:rsidRPr="0025135B">
        <w:rPr>
          <w:rFonts w:cs="Times New Roman"/>
        </w:rPr>
        <w:t>McLeod was shot,</w:t>
      </w:r>
      <w:r>
        <w:rPr>
          <w:rFonts w:cs="Times New Roman"/>
        </w:rPr>
        <w:t xml:space="preserve"> his confinement had ended” (</w:t>
      </w:r>
      <w:r w:rsidRPr="0025135B">
        <w:rPr>
          <w:rFonts w:cs="Times New Roman"/>
        </w:rPr>
        <w:t xml:space="preserve">para. 288). The trial judge appears to </w:t>
      </w:r>
      <w:r>
        <w:rPr>
          <w:rFonts w:cs="Times New Roman"/>
        </w:rPr>
        <w:t>have concluded that because Mr. </w:t>
      </w:r>
      <w:r w:rsidRPr="0025135B">
        <w:rPr>
          <w:rFonts w:cs="Times New Roman"/>
        </w:rPr>
        <w:t xml:space="preserve">McLeod was no longer </w:t>
      </w:r>
      <w:r w:rsidRPr="0025135B">
        <w:rPr>
          <w:rFonts w:cs="Times New Roman"/>
          <w:i/>
        </w:rPr>
        <w:t>physically restrained</w:t>
      </w:r>
      <w:r w:rsidRPr="0025135B">
        <w:rPr>
          <w:rFonts w:cs="Times New Roman"/>
        </w:rPr>
        <w:t xml:space="preserve"> outside the truck, he was no longer unlawfully confined. </w:t>
      </w:r>
      <w:r>
        <w:rPr>
          <w:rFonts w:cs="Times New Roman"/>
        </w:rPr>
        <w:t>However,</w:t>
      </w:r>
      <w:r w:rsidRPr="0025135B">
        <w:rPr>
          <w:rFonts w:cs="Times New Roman"/>
        </w:rPr>
        <w:t xml:space="preserve"> physical restraint in a particular place is sufficient but not necessary to establish unlawful confinement. Even if Mr. McLeod were no longer physically restrained outside the truck, he remained </w:t>
      </w:r>
      <w:r w:rsidRPr="0025135B">
        <w:rPr>
          <w:rFonts w:cs="Times New Roman"/>
          <w:i/>
        </w:rPr>
        <w:t>coercively restrained</w:t>
      </w:r>
      <w:r w:rsidRPr="0025135B">
        <w:rPr>
          <w:rFonts w:cs="Times New Roman"/>
        </w:rPr>
        <w:t xml:space="preserve"> through acts of violence, fear, and intimidation as he ran for his life. He continued to be deprived of his liberty and could not move about according to his inclination and desire. Crown counsel made this point vividly during oral argument before this Court: </w:t>
      </w:r>
    </w:p>
    <w:p w:rsidR="00093189" w:rsidRDefault="00093189" w:rsidP="00093189">
      <w:pPr>
        <w:pStyle w:val="Citation-AltC"/>
        <w:ind w:left="1152" w:firstLine="274"/>
      </w:pPr>
      <w:r w:rsidRPr="0025135B">
        <w:t xml:space="preserve">If Mr. McLeod was free to move about according to his own inclination and desire, the [Crown] would hazard to guess that instead of running through deep snow, cutting across fences, poorly dressed in the dead of night in rural Prince George, he would have instead sought out the nearest house, sought some shelter and tried to arrange transport back </w:t>
      </w:r>
      <w:r>
        <w:t>to his rental car in Vanderhoof.</w:t>
      </w:r>
    </w:p>
    <w:p w:rsidR="00093189" w:rsidRDefault="00093189" w:rsidP="00093189">
      <w:pPr>
        <w:pStyle w:val="Citation-AltC"/>
      </w:pPr>
    </w:p>
    <w:p w:rsidR="00093189" w:rsidRPr="0025135B" w:rsidRDefault="00093189" w:rsidP="00093189">
      <w:pPr>
        <w:pStyle w:val="Citation-AltC"/>
      </w:pPr>
      <w:r>
        <w:lastRenderedPageBreak/>
        <w:t>(</w:t>
      </w:r>
      <w:proofErr w:type="gramStart"/>
      <w:r>
        <w:t>t</w:t>
      </w:r>
      <w:r w:rsidRPr="0025135B">
        <w:t>ranscript</w:t>
      </w:r>
      <w:proofErr w:type="gramEnd"/>
      <w:r w:rsidRPr="0025135B">
        <w:t xml:space="preserve">, at </w:t>
      </w:r>
      <w:r>
        <w:t>p. 23)</w:t>
      </w:r>
    </w:p>
    <w:p w:rsidR="00093189" w:rsidRPr="0025135B" w:rsidRDefault="00093189" w:rsidP="00093189">
      <w:pPr>
        <w:pStyle w:val="ParaNoNdepar-AltN"/>
        <w:rPr>
          <w:rFonts w:cs="Times New Roman"/>
        </w:rPr>
      </w:pPr>
      <w:r w:rsidRPr="0025135B">
        <w:rPr>
          <w:rFonts w:cs="Times New Roman"/>
        </w:rPr>
        <w:t>The trial judge himself recognized Mr. McLeod’s continuing loss of liberty, finding that “Mr. McLeod was still in a situation of vulnerability, and that vulnerability was the consequence of the manner in which he had be</w:t>
      </w:r>
      <w:r>
        <w:rPr>
          <w:rFonts w:cs="Times New Roman"/>
        </w:rPr>
        <w:t>en dealt with in the truck” (</w:t>
      </w:r>
      <w:r w:rsidRPr="0025135B">
        <w:rPr>
          <w:rFonts w:cs="Times New Roman"/>
        </w:rPr>
        <w:t>para. 289).</w:t>
      </w:r>
    </w:p>
    <w:p w:rsidR="00093189" w:rsidRPr="0025135B" w:rsidRDefault="00093189" w:rsidP="00093189">
      <w:pPr>
        <w:pStyle w:val="ParaNoNdepar-AltN"/>
        <w:rPr>
          <w:rFonts w:cs="Times New Roman"/>
        </w:rPr>
      </w:pPr>
      <w:r w:rsidRPr="0025135B">
        <w:rPr>
          <w:rFonts w:cs="Times New Roman"/>
        </w:rPr>
        <w:t>The appellant claims that this line of analysis was precluded before the Court of Appeal and this Court, because it (1) does not involve a question of law alone and (2) is a new theory of liability on appeal. I would reject both claims.</w:t>
      </w:r>
    </w:p>
    <w:p w:rsidR="00093189" w:rsidRPr="0025135B" w:rsidRDefault="00093189" w:rsidP="00093189">
      <w:pPr>
        <w:pStyle w:val="ParaNoNdepar-AltN"/>
        <w:rPr>
          <w:rFonts w:cs="Times New Roman"/>
        </w:rPr>
      </w:pPr>
      <w:r w:rsidRPr="0025135B">
        <w:rPr>
          <w:rFonts w:cs="Times New Roman"/>
        </w:rPr>
        <w:t xml:space="preserve">First, I do not accept that the trial judge’s conclusion that Mr. McLeod was no longer unlawfully confined outside the truck is a question of mixed fact and law, falling outside the Crown’s right of appeal to the Court of Appeal on “a question of law alone” under s. 676(1)(a) of the </w:t>
      </w:r>
      <w:r w:rsidRPr="0025135B">
        <w:rPr>
          <w:rFonts w:cs="Times New Roman"/>
          <w:i/>
        </w:rPr>
        <w:t>Criminal Code</w:t>
      </w:r>
      <w:r w:rsidRPr="0025135B">
        <w:rPr>
          <w:rFonts w:cs="Times New Roman"/>
        </w:rPr>
        <w:t>. The Crown’s appeal did not challenge the trial judge’s findings of fact or raise a question of how to weigh the evidence and assess whether it meets the standard of proof. Rather, it challenged the legal effect of the trial judge’s findings of fact and his misapprehension of the law relating to unlawful confinement, both of which involve “a question of law alone” falling within the Crown’s right of appeal (</w:t>
      </w:r>
      <w:r w:rsidRPr="0025135B">
        <w:rPr>
          <w:rFonts w:cs="Times New Roman"/>
          <w:i/>
        </w:rPr>
        <w:t>R. v. Chung</w:t>
      </w:r>
      <w:r w:rsidRPr="0025135B">
        <w:rPr>
          <w:rFonts w:cs="Times New Roman"/>
        </w:rPr>
        <w:t xml:space="preserve">, 2020 SCC 8, at paras. 10-11; </w:t>
      </w:r>
      <w:r w:rsidRPr="0025135B">
        <w:rPr>
          <w:rFonts w:cs="Times New Roman"/>
          <w:i/>
        </w:rPr>
        <w:t>R. v. J.M.H.</w:t>
      </w:r>
      <w:r w:rsidRPr="0025135B">
        <w:rPr>
          <w:rFonts w:cs="Times New Roman"/>
        </w:rPr>
        <w:t>, 2011 SCC 45, [2011] 3 S.C.R. 197, at paras. 28-30). The trial judge erred in law by viewing unlawful confinement as requiring (1) physical restraint and (2) that the physical restraint be in an enclosed space. As a matter of law, neither element is required.</w:t>
      </w:r>
    </w:p>
    <w:p w:rsidR="00093189" w:rsidRPr="0025135B" w:rsidRDefault="00093189" w:rsidP="00093189">
      <w:pPr>
        <w:pStyle w:val="ParaNoNdepar-AltN"/>
        <w:rPr>
          <w:rFonts w:cs="Times New Roman"/>
        </w:rPr>
      </w:pPr>
      <w:r w:rsidRPr="0025135B">
        <w:rPr>
          <w:rFonts w:cs="Times New Roman"/>
        </w:rPr>
        <w:lastRenderedPageBreak/>
        <w:t xml:space="preserve">Second, I reject the appellant’s assertion that whether Mr. McLeod remained unlawfully confined after he escaped from the truck was a new theory of liability that was not advanced at trial. Like the </w:t>
      </w:r>
      <w:r>
        <w:rPr>
          <w:rFonts w:cs="Times New Roman"/>
        </w:rPr>
        <w:t>Court of Appeal (at paras. 134-</w:t>
      </w:r>
      <w:r w:rsidRPr="0025135B">
        <w:rPr>
          <w:rFonts w:cs="Times New Roman"/>
        </w:rPr>
        <w:t xml:space="preserve">38), I accept that the Crown’s closing submission urged that “the murder was committed in the course of an unlawful </w:t>
      </w:r>
      <w:proofErr w:type="gramStart"/>
      <w:r w:rsidRPr="0025135B">
        <w:rPr>
          <w:rFonts w:cs="Times New Roman"/>
        </w:rPr>
        <w:t>conf</w:t>
      </w:r>
      <w:r>
        <w:rPr>
          <w:rFonts w:cs="Times New Roman"/>
        </w:rPr>
        <w:t>[</w:t>
      </w:r>
      <w:proofErr w:type="spellStart"/>
      <w:proofErr w:type="gramEnd"/>
      <w:r w:rsidRPr="0025135B">
        <w:rPr>
          <w:rFonts w:cs="Times New Roman"/>
        </w:rPr>
        <w:t>inement</w:t>
      </w:r>
      <w:proofErr w:type="spellEnd"/>
      <w:r>
        <w:rPr>
          <w:rFonts w:cs="Times New Roman"/>
        </w:rPr>
        <w:t>]” (A.R., vol. III</w:t>
      </w:r>
      <w:r w:rsidRPr="0025135B">
        <w:rPr>
          <w:rFonts w:cs="Times New Roman"/>
        </w:rPr>
        <w:t xml:space="preserve">, </w:t>
      </w:r>
      <w:r>
        <w:rPr>
          <w:rFonts w:cs="Times New Roman"/>
        </w:rPr>
        <w:t>at p. 60; see also p. 61</w:t>
      </w:r>
      <w:r w:rsidRPr="0025135B">
        <w:rPr>
          <w:rFonts w:cs="Times New Roman"/>
        </w:rPr>
        <w:t xml:space="preserve"> (“a murder in the course of an unlawful confinement”)). The theory of unlawful confinement outside the truck was thus properly raised at trial. </w:t>
      </w:r>
    </w:p>
    <w:p w:rsidR="00093189" w:rsidRPr="0025135B" w:rsidRDefault="00093189" w:rsidP="00093189">
      <w:pPr>
        <w:pStyle w:val="ParaNoNdepar-AltN"/>
        <w:rPr>
          <w:rFonts w:cs="Times New Roman"/>
        </w:rPr>
      </w:pPr>
      <w:r w:rsidRPr="0025135B">
        <w:rPr>
          <w:rFonts w:cs="Times New Roman"/>
        </w:rPr>
        <w:t xml:space="preserve">As a result, the Court of Appeal correctly held that Mr. McLeod remained unlawfully confined after he escaped from the truck. </w:t>
      </w:r>
    </w:p>
    <w:p w:rsidR="00093189" w:rsidRPr="0025135B" w:rsidRDefault="00093189" w:rsidP="00093189">
      <w:pPr>
        <w:pStyle w:val="ParaNoNdepar-AltN"/>
        <w:rPr>
          <w:rFonts w:cs="Times New Roman"/>
        </w:rPr>
      </w:pPr>
      <w:r w:rsidRPr="0025135B">
        <w:rPr>
          <w:rFonts w:cs="Times New Roman"/>
        </w:rPr>
        <w:t>The remaining issue is whether the appellant murdered Mr. McLeod “while committing” the offence of unlawful confinement; that is, whether these two criminal acts were part of the same transaction.</w:t>
      </w:r>
    </w:p>
    <w:p w:rsidR="00093189" w:rsidRPr="0025135B" w:rsidRDefault="00093189" w:rsidP="00093189">
      <w:pPr>
        <w:pStyle w:val="Title3LevelTitre3Niveau"/>
        <w:numPr>
          <w:ilvl w:val="2"/>
          <w:numId w:val="16"/>
        </w:numPr>
        <w:jc w:val="both"/>
        <w:rPr>
          <w:rFonts w:cs="Times New Roman"/>
        </w:rPr>
      </w:pPr>
      <w:r>
        <w:rPr>
          <w:rFonts w:cs="Times New Roman"/>
        </w:rPr>
        <w:t>The Appellant Murdered Mr. McLeod “While Committing” the Offence of Unlawful C</w:t>
      </w:r>
      <w:r w:rsidRPr="0025135B">
        <w:rPr>
          <w:rFonts w:cs="Times New Roman"/>
        </w:rPr>
        <w:t>onfinement</w:t>
      </w:r>
    </w:p>
    <w:p w:rsidR="00093189" w:rsidRPr="0025135B" w:rsidRDefault="00093189" w:rsidP="00093189">
      <w:pPr>
        <w:pStyle w:val="ParaNoNdepar-AltN"/>
        <w:rPr>
          <w:rFonts w:cs="Times New Roman"/>
        </w:rPr>
      </w:pPr>
      <w:r w:rsidRPr="0025135B">
        <w:rPr>
          <w:rFonts w:cs="Times New Roman"/>
        </w:rPr>
        <w:t>Like the Court of Appeal (at paras. 173</w:t>
      </w:r>
      <w:r>
        <w:rPr>
          <w:rFonts w:cs="Times New Roman"/>
        </w:rPr>
        <w:t>-</w:t>
      </w:r>
      <w:r w:rsidRPr="0025135B">
        <w:rPr>
          <w:rFonts w:cs="Times New Roman"/>
        </w:rPr>
        <w:t>74), I have no difficulty concluding that the appellant murdered Mr. McLeod “while committing” the offence of unlawful confinement. The unlawful confinement and the murder were part of one continuous sequence of events forming a single transaction. The unlawful confinement and the murder were close in time — in fact, Mr. McLeod was still unlawfully confined at the time of his death. The unlawful confinement and the murder</w:t>
      </w:r>
      <w:r>
        <w:rPr>
          <w:rFonts w:cs="Times New Roman"/>
        </w:rPr>
        <w:t xml:space="preserve"> </w:t>
      </w:r>
      <w:r w:rsidRPr="0025135B">
        <w:rPr>
          <w:rFonts w:cs="Times New Roman"/>
        </w:rPr>
        <w:t xml:space="preserve">also involved an ongoing course of domination consisting of intimidation, fear, and violence. The course of </w:t>
      </w:r>
      <w:r w:rsidRPr="0025135B">
        <w:rPr>
          <w:rFonts w:cs="Times New Roman"/>
        </w:rPr>
        <w:lastRenderedPageBreak/>
        <w:t>domination started</w:t>
      </w:r>
      <w:r>
        <w:rPr>
          <w:rFonts w:cs="Times New Roman"/>
        </w:rPr>
        <w:t xml:space="preserve"> in the truck, continued when Mr. McLeod</w:t>
      </w:r>
      <w:r w:rsidRPr="0025135B">
        <w:rPr>
          <w:rFonts w:cs="Times New Roman"/>
        </w:rPr>
        <w:t xml:space="preserve"> jumped from the moving truck and was chased by the appellant and his accomplices, and ended with his murder. The two criminal acts were also distinct: the unlawful confinement — including the restriction of Mr. McLeod’s freedom of movement inside and outside the truck and the ongoing acts of violence, fear, and intimidation — was distinct from and not consumed by the shooting. These conclusions amply justified a verdict of first degree murder.</w:t>
      </w:r>
    </w:p>
    <w:p w:rsidR="00093189" w:rsidRPr="0025135B" w:rsidRDefault="00093189" w:rsidP="00093189">
      <w:pPr>
        <w:pStyle w:val="ParaNoNdepar-AltN"/>
        <w:rPr>
          <w:rFonts w:cs="Times New Roman"/>
        </w:rPr>
      </w:pPr>
      <w:r w:rsidRPr="0025135B">
        <w:rPr>
          <w:rFonts w:cs="Times New Roman"/>
        </w:rPr>
        <w:t>In view of this conclusion, it is not neces</w:t>
      </w:r>
      <w:r>
        <w:rPr>
          <w:rFonts w:cs="Times New Roman"/>
        </w:rPr>
        <w:t>sary to also apply the temporal</w:t>
      </w:r>
      <w:r>
        <w:rPr>
          <w:rFonts w:cs="Times New Roman"/>
        </w:rPr>
        <w:noBreakHyphen/>
      </w:r>
      <w:r w:rsidRPr="0025135B">
        <w:rPr>
          <w:rFonts w:cs="Times New Roman"/>
        </w:rPr>
        <w:t xml:space="preserve">causal connection approach, as the finding of a single transaction necessarily means that a temporal-causal connection is established. In any event, </w:t>
      </w:r>
      <w:r>
        <w:rPr>
          <w:rFonts w:cs="Times New Roman"/>
        </w:rPr>
        <w:t>the temporal</w:t>
      </w:r>
      <w:r>
        <w:rPr>
          <w:rFonts w:cs="Times New Roman"/>
        </w:rPr>
        <w:noBreakHyphen/>
      </w:r>
      <w:r w:rsidRPr="0025135B">
        <w:rPr>
          <w:rFonts w:cs="Times New Roman"/>
        </w:rPr>
        <w:t xml:space="preserve">causal connection inquiry yields the same conclusion. The unlawful confinement and the murder were connected temporally because Mr. McLeod was unlawfully confined shortly before and at the time of his death. They were also connected causally, by sharing a unifying relationship, because the appellant murdered Mr. McLeod as he was </w:t>
      </w:r>
      <w:r>
        <w:rPr>
          <w:rFonts w:cs="Times New Roman"/>
        </w:rPr>
        <w:t>trying</w:t>
      </w:r>
      <w:r w:rsidRPr="0025135B">
        <w:rPr>
          <w:rFonts w:cs="Times New Roman"/>
        </w:rPr>
        <w:t xml:space="preserve"> to escape from his unlawful confinement. The first degree murder verdict was thus justified on the basis of the close temporal-causal connection between the unlawful confinement and the murder.</w:t>
      </w:r>
    </w:p>
    <w:p w:rsidR="00093189" w:rsidRPr="0025135B" w:rsidRDefault="00093189" w:rsidP="00093189">
      <w:pPr>
        <w:pStyle w:val="ParaNoNdepar-AltN"/>
        <w:rPr>
          <w:rFonts w:cs="Times New Roman"/>
        </w:rPr>
      </w:pPr>
      <w:r w:rsidRPr="0025135B">
        <w:rPr>
          <w:rFonts w:cs="Times New Roman"/>
        </w:rPr>
        <w:t>I would reject the appellant’s contention that whether the unlawful confinement and the murder of Mr. McLeod were temporally and causally connected is a question of fact from which the Crown had no right of appeal to the Court of Appeal. Like the Court of Appeal</w:t>
      </w:r>
      <w:r>
        <w:rPr>
          <w:rFonts w:cs="Times New Roman"/>
        </w:rPr>
        <w:t xml:space="preserve"> (at paras. 169-</w:t>
      </w:r>
      <w:r w:rsidRPr="0025135B">
        <w:rPr>
          <w:rFonts w:cs="Times New Roman"/>
        </w:rPr>
        <w:t>75), I conclude that the trial judge erred in law</w:t>
      </w:r>
      <w:r>
        <w:rPr>
          <w:rFonts w:cs="Times New Roman"/>
        </w:rPr>
        <w:t xml:space="preserve"> by concluding that the “brief . . . </w:t>
      </w:r>
      <w:r w:rsidRPr="0025135B">
        <w:rPr>
          <w:rFonts w:cs="Times New Roman"/>
        </w:rPr>
        <w:t xml:space="preserve">gap in time” between the unlawful confinement in the truck and the murder precluded these criminal acts being part of the </w:t>
      </w:r>
      <w:r w:rsidRPr="0025135B">
        <w:rPr>
          <w:rFonts w:cs="Times New Roman"/>
        </w:rPr>
        <w:lastRenderedPageBreak/>
        <w:t xml:space="preserve">same transaction. The trial judge erroneously insisted that the unlawful confinement and the murder must be simultaneous, a view that this Court has consistently rejected since </w:t>
      </w:r>
      <w:r w:rsidRPr="0025135B">
        <w:rPr>
          <w:rFonts w:cs="Times New Roman"/>
          <w:i/>
        </w:rPr>
        <w:t>Paré</w:t>
      </w:r>
      <w:r w:rsidRPr="0025135B">
        <w:rPr>
          <w:rFonts w:cs="Times New Roman"/>
        </w:rPr>
        <w:t>.</w:t>
      </w:r>
    </w:p>
    <w:p w:rsidR="00093189" w:rsidRPr="0025135B" w:rsidRDefault="00093189" w:rsidP="00093189">
      <w:pPr>
        <w:pStyle w:val="ParaNoNdepar-AltN"/>
        <w:rPr>
          <w:rFonts w:cs="Times New Roman"/>
        </w:rPr>
      </w:pPr>
      <w:r>
        <w:rPr>
          <w:rFonts w:cs="Times New Roman"/>
        </w:rPr>
        <w:t>Further, a</w:t>
      </w:r>
      <w:r w:rsidRPr="0025135B">
        <w:rPr>
          <w:rFonts w:cs="Times New Roman"/>
        </w:rPr>
        <w:t>s the Court of Appeal held (at para. 169), even had the trial judge been correct that the unlawful confinement ended once Mr. McLeod jumped from the truck, the trial judge should have considered whether that unlawful confinement and the murder formed a single</w:t>
      </w:r>
      <w:r>
        <w:rPr>
          <w:rFonts w:cs="Times New Roman"/>
        </w:rPr>
        <w:t xml:space="preserve"> </w:t>
      </w:r>
      <w:r w:rsidRPr="0025135B">
        <w:rPr>
          <w:rFonts w:cs="Times New Roman"/>
        </w:rPr>
        <w:t>transaction. For the reasons already stated, they undoubtedly did.</w:t>
      </w:r>
    </w:p>
    <w:p w:rsidR="00093189" w:rsidRPr="0025135B" w:rsidRDefault="00093189" w:rsidP="00093189">
      <w:pPr>
        <w:pStyle w:val="ParaNoNdepar-AltN"/>
        <w:rPr>
          <w:rFonts w:cs="Times New Roman"/>
        </w:rPr>
      </w:pPr>
      <w:r w:rsidRPr="0025135B">
        <w:rPr>
          <w:rFonts w:cs="Times New Roman"/>
        </w:rPr>
        <w:t>In conclusion — and to state the obvious — if the appellant had shot and killed Mr. McLeod when he was unlawfully confined in the truck, the appellant would unquestionably be found to have murdered Mr. McLeod “while committing” the offence of unlawful confinement. As a matter of law and common sense, Mr. McLeod’s brief escape from the truck cannot mitigate the appellant’s crime. On any sensible view, the appellant’s moral blameworthiness cannot be considered to be lower simply because Mr. McLeod managed to jump from a moving truck and was running for his life when he was executed just moments later. In both cases, the appellant’s moral blameworthiness is exceptionally high; in both cases, it is equally deserving of “a societal denunciation of those offenders who choose to exploit their position of dominance and power to the point of murder” (</w:t>
      </w:r>
      <w:proofErr w:type="spellStart"/>
      <w:r w:rsidRPr="0025135B">
        <w:rPr>
          <w:rFonts w:cs="Times New Roman"/>
          <w:i/>
        </w:rPr>
        <w:t>Luxton</w:t>
      </w:r>
      <w:proofErr w:type="spellEnd"/>
      <w:r w:rsidRPr="0025135B">
        <w:rPr>
          <w:rFonts w:cs="Times New Roman"/>
        </w:rPr>
        <w:t>, at p. 723).</w:t>
      </w:r>
    </w:p>
    <w:p w:rsidR="00093189" w:rsidRPr="0025135B" w:rsidRDefault="00093189" w:rsidP="00093189">
      <w:pPr>
        <w:pStyle w:val="ParaNoNdepar-AltN"/>
        <w:rPr>
          <w:rFonts w:cs="Times New Roman"/>
        </w:rPr>
      </w:pPr>
      <w:r w:rsidRPr="0025135B">
        <w:rPr>
          <w:rFonts w:cs="Times New Roman"/>
        </w:rPr>
        <w:t>The Court of Appeal was thus correct in finding the appellant guilty of first degree murder under s. 231(5)</w:t>
      </w:r>
      <w:r>
        <w:rPr>
          <w:rFonts w:cs="Times New Roman"/>
        </w:rPr>
        <w:t>(e)</w:t>
      </w:r>
      <w:r w:rsidRPr="0025135B">
        <w:rPr>
          <w:rFonts w:cs="Times New Roman"/>
        </w:rPr>
        <w:t xml:space="preserve"> of the </w:t>
      </w:r>
      <w:r w:rsidRPr="0025135B">
        <w:rPr>
          <w:rFonts w:cs="Times New Roman"/>
          <w:i/>
        </w:rPr>
        <w:t>Criminal Code</w:t>
      </w:r>
      <w:r w:rsidRPr="0025135B">
        <w:rPr>
          <w:rFonts w:cs="Times New Roman"/>
        </w:rPr>
        <w:t>.</w:t>
      </w:r>
    </w:p>
    <w:p w:rsidR="00093189" w:rsidRPr="0025135B" w:rsidRDefault="00093189" w:rsidP="00093189">
      <w:pPr>
        <w:pStyle w:val="Title1LevelTitre1Niveau-AltL"/>
        <w:numPr>
          <w:ilvl w:val="0"/>
          <w:numId w:val="16"/>
        </w:numPr>
        <w:jc w:val="both"/>
        <w:rPr>
          <w:rFonts w:cs="Times New Roman"/>
        </w:rPr>
      </w:pPr>
      <w:r w:rsidRPr="0025135B">
        <w:rPr>
          <w:rFonts w:cs="Times New Roman"/>
        </w:rPr>
        <w:lastRenderedPageBreak/>
        <w:t>Disposition</w:t>
      </w:r>
    </w:p>
    <w:p w:rsidR="00093189" w:rsidRPr="0025135B" w:rsidRDefault="00093189" w:rsidP="00093189">
      <w:pPr>
        <w:pStyle w:val="ParaNoNdepar-AltN"/>
        <w:rPr>
          <w:rFonts w:cs="Times New Roman"/>
        </w:rPr>
      </w:pPr>
      <w:r w:rsidRPr="0025135B">
        <w:rPr>
          <w:rFonts w:cs="Times New Roman"/>
        </w:rPr>
        <w:t>I would dismiss the appeal.</w:t>
      </w:r>
    </w:p>
    <w:p w:rsidR="00093189" w:rsidRDefault="00093189" w:rsidP="003F0011">
      <w:pPr>
        <w:pStyle w:val="SCCNormalDoubleSpacing"/>
        <w:spacing w:after="480"/>
      </w:pPr>
    </w:p>
    <w:p w:rsidR="009B57B3" w:rsidRDefault="009B57B3" w:rsidP="003F0011">
      <w:pPr>
        <w:pStyle w:val="SCCNormalDoubleSpacing"/>
        <w:spacing w:after="480"/>
      </w:pPr>
      <w:r w:rsidRPr="001426A9">
        <w:tab/>
      </w:r>
      <w:r w:rsidR="00656313" w:rsidRPr="00514B96">
        <w:rPr>
          <w:i/>
        </w:rPr>
        <w:t>Appeal</w:t>
      </w:r>
      <w:r w:rsidR="00E834DE" w:rsidRPr="00514B96">
        <w:rPr>
          <w:i/>
        </w:rPr>
        <w:t xml:space="preserve"> dismissed.</w:t>
      </w:r>
    </w:p>
    <w:p w:rsidR="00AC5A90" w:rsidRPr="003F0011" w:rsidRDefault="00AC084B" w:rsidP="003F0011">
      <w:pPr>
        <w:pStyle w:val="SCCNormalDoubleSpacing"/>
        <w:spacing w:after="480"/>
        <w:rPr>
          <w:i/>
        </w:rPr>
      </w:pPr>
      <w:r>
        <w:tab/>
      </w:r>
      <w:r w:rsidRPr="003F0011">
        <w:rPr>
          <w:i/>
        </w:rPr>
        <w:t>Solicitors</w:t>
      </w:r>
      <w:r w:rsidR="00F32EE9" w:rsidRPr="003F0011">
        <w:rPr>
          <w:i/>
        </w:rPr>
        <w:t xml:space="preserve"> for the appellant: Pringle Chivers Sparks</w:t>
      </w:r>
      <w:r w:rsidR="00EE32ED" w:rsidRPr="003F0011">
        <w:rPr>
          <w:i/>
        </w:rPr>
        <w:t xml:space="preserve"> Teskey, Vancouver; Martland &amp; Saulnier, Vancouver.</w:t>
      </w:r>
    </w:p>
    <w:p w:rsidR="009B57B3" w:rsidRPr="003F0011" w:rsidRDefault="00AC084B" w:rsidP="003F0011">
      <w:pPr>
        <w:pStyle w:val="SCCNormalDoubleSpacing"/>
        <w:spacing w:after="480"/>
        <w:rPr>
          <w:i/>
        </w:rPr>
      </w:pPr>
      <w:r>
        <w:tab/>
      </w:r>
      <w:r w:rsidRPr="003F0011">
        <w:rPr>
          <w:i/>
        </w:rPr>
        <w:t>Solicitor</w:t>
      </w:r>
      <w:r w:rsidR="00EE32ED" w:rsidRPr="003F0011">
        <w:rPr>
          <w:i/>
        </w:rPr>
        <w:t xml:space="preserve"> for the respondent: Attorney General of British Columbia, Vancouver.</w:t>
      </w:r>
    </w:p>
    <w:sectPr w:rsidR="009B57B3" w:rsidRPr="003F0011" w:rsidSect="000648CC">
      <w:headerReference w:type="default" r:id="rId1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207" w:rsidRDefault="00862207">
      <w:r>
        <w:separator/>
      </w:r>
    </w:p>
  </w:endnote>
  <w:endnote w:type="continuationSeparator" w:id="0">
    <w:p w:rsidR="00862207" w:rsidRDefault="00862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207" w:rsidRDefault="00862207">
      <w:r>
        <w:separator/>
      </w:r>
    </w:p>
  </w:footnote>
  <w:footnote w:type="continuationSeparator" w:id="0">
    <w:p w:rsidR="00862207" w:rsidRDefault="008622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52" w:rsidRPr="00C86A4D" w:rsidRDefault="00450352" w:rsidP="00C86A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2D5942"/>
    <w:multiLevelType w:val="multilevel"/>
    <w:tmpl w:val="F7841FD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4679CC"/>
    <w:multiLevelType w:val="hybridMultilevel"/>
    <w:tmpl w:val="CD1E8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13616"/>
    <w:multiLevelType w:val="multilevel"/>
    <w:tmpl w:val="3630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300E9"/>
    <w:multiLevelType w:val="multilevel"/>
    <w:tmpl w:val="67023B4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8"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9"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4283EE8"/>
    <w:multiLevelType w:val="multilevel"/>
    <w:tmpl w:val="8E1402F6"/>
    <w:lvl w:ilvl="0">
      <w:start w:val="1"/>
      <w:numFmt w:val="decimal"/>
      <w:pStyle w:val="ParaNoNdepar-AltN"/>
      <w:lvlText w:val="[%1]"/>
      <w:lvlJc w:val="left"/>
      <w:pPr>
        <w:tabs>
          <w:tab w:val="num" w:pos="1152"/>
        </w:tabs>
        <w:ind w:left="0" w:firstLine="0"/>
      </w:pPr>
      <w:rPr>
        <w:rFonts w:ascii="Times New Roman" w:hAnsi="Times New Roman" w:hint="default"/>
        <w:b w:val="0"/>
        <w:i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18A485E"/>
    <w:multiLevelType w:val="multilevel"/>
    <w:tmpl w:val="EF342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9D5569B"/>
    <w:multiLevelType w:val="hybridMultilevel"/>
    <w:tmpl w:val="A99A2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6"/>
  </w:num>
  <w:num w:numId="4">
    <w:abstractNumId w:val="12"/>
  </w:num>
  <w:num w:numId="5">
    <w:abstractNumId w:val="3"/>
  </w:num>
  <w:num w:numId="6">
    <w:abstractNumId w:val="1"/>
  </w:num>
  <w:num w:numId="7">
    <w:abstractNumId w:val="8"/>
  </w:num>
  <w:num w:numId="8">
    <w:abstractNumId w:val="9"/>
  </w:num>
  <w:num w:numId="9">
    <w:abstractNumId w:val="10"/>
  </w:num>
  <w:num w:numId="10">
    <w:abstractNumId w:val="7"/>
  </w:num>
  <w:num w:numId="11">
    <w:abstractNumId w:val="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2">
    <w:abstractNumId w:val="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3">
    <w:abstractNumId w:val="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4">
    <w:abstractNumId w:val="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5">
    <w:abstractNumId w:val="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6">
    <w:abstractNumId w:val="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7">
    <w:abstractNumId w:val="4"/>
  </w:num>
  <w:num w:numId="18">
    <w:abstractNumId w:val="13"/>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578A3"/>
    <w:rsid w:val="000648CC"/>
    <w:rsid w:val="00093189"/>
    <w:rsid w:val="0009637B"/>
    <w:rsid w:val="000A3083"/>
    <w:rsid w:val="000C59B8"/>
    <w:rsid w:val="000C6AF0"/>
    <w:rsid w:val="000D4E59"/>
    <w:rsid w:val="000F1A97"/>
    <w:rsid w:val="000F68E1"/>
    <w:rsid w:val="00104F33"/>
    <w:rsid w:val="00111DE2"/>
    <w:rsid w:val="00116B38"/>
    <w:rsid w:val="00135406"/>
    <w:rsid w:val="00135972"/>
    <w:rsid w:val="00140AC2"/>
    <w:rsid w:val="001426A9"/>
    <w:rsid w:val="00154D7C"/>
    <w:rsid w:val="001570B0"/>
    <w:rsid w:val="0015752C"/>
    <w:rsid w:val="0015772C"/>
    <w:rsid w:val="00157737"/>
    <w:rsid w:val="00165277"/>
    <w:rsid w:val="00170592"/>
    <w:rsid w:val="00186351"/>
    <w:rsid w:val="001870DD"/>
    <w:rsid w:val="00195D83"/>
    <w:rsid w:val="001A00C1"/>
    <w:rsid w:val="001B33E0"/>
    <w:rsid w:val="001B4573"/>
    <w:rsid w:val="001C596D"/>
    <w:rsid w:val="001C779F"/>
    <w:rsid w:val="001D2AC1"/>
    <w:rsid w:val="001D4E88"/>
    <w:rsid w:val="00220FC2"/>
    <w:rsid w:val="002222F4"/>
    <w:rsid w:val="00224FC0"/>
    <w:rsid w:val="00225EA4"/>
    <w:rsid w:val="00226EAF"/>
    <w:rsid w:val="00231F3A"/>
    <w:rsid w:val="00234199"/>
    <w:rsid w:val="002406EE"/>
    <w:rsid w:val="002437D0"/>
    <w:rsid w:val="00243EC8"/>
    <w:rsid w:val="0025391A"/>
    <w:rsid w:val="00270D93"/>
    <w:rsid w:val="002745CC"/>
    <w:rsid w:val="002B7924"/>
    <w:rsid w:val="002D28C3"/>
    <w:rsid w:val="002D39A4"/>
    <w:rsid w:val="002E6705"/>
    <w:rsid w:val="00300574"/>
    <w:rsid w:val="00301D08"/>
    <w:rsid w:val="0030329A"/>
    <w:rsid w:val="0031086F"/>
    <w:rsid w:val="0031414C"/>
    <w:rsid w:val="00314E01"/>
    <w:rsid w:val="0032089D"/>
    <w:rsid w:val="003310DE"/>
    <w:rsid w:val="003323B0"/>
    <w:rsid w:val="00332B71"/>
    <w:rsid w:val="0035169A"/>
    <w:rsid w:val="0035259D"/>
    <w:rsid w:val="00364B18"/>
    <w:rsid w:val="00385C9B"/>
    <w:rsid w:val="003A125D"/>
    <w:rsid w:val="003A4C70"/>
    <w:rsid w:val="003B215F"/>
    <w:rsid w:val="003C799C"/>
    <w:rsid w:val="003D0399"/>
    <w:rsid w:val="003D2EEC"/>
    <w:rsid w:val="003E1C71"/>
    <w:rsid w:val="003F0011"/>
    <w:rsid w:val="003F327B"/>
    <w:rsid w:val="0040177C"/>
    <w:rsid w:val="00406166"/>
    <w:rsid w:val="0040704B"/>
    <w:rsid w:val="00410A55"/>
    <w:rsid w:val="00411300"/>
    <w:rsid w:val="00415417"/>
    <w:rsid w:val="00426659"/>
    <w:rsid w:val="00435520"/>
    <w:rsid w:val="00450352"/>
    <w:rsid w:val="00454BDB"/>
    <w:rsid w:val="00464800"/>
    <w:rsid w:val="00465132"/>
    <w:rsid w:val="00480C90"/>
    <w:rsid w:val="0048396F"/>
    <w:rsid w:val="00493C18"/>
    <w:rsid w:val="00494AE4"/>
    <w:rsid w:val="004A600C"/>
    <w:rsid w:val="004A6118"/>
    <w:rsid w:val="004B771E"/>
    <w:rsid w:val="004C134F"/>
    <w:rsid w:val="004C478D"/>
    <w:rsid w:val="004D05FF"/>
    <w:rsid w:val="004E2C26"/>
    <w:rsid w:val="004F33EE"/>
    <w:rsid w:val="004F36FF"/>
    <w:rsid w:val="005125A8"/>
    <w:rsid w:val="00514B96"/>
    <w:rsid w:val="00521AE8"/>
    <w:rsid w:val="00527180"/>
    <w:rsid w:val="00540422"/>
    <w:rsid w:val="0054201E"/>
    <w:rsid w:val="00555291"/>
    <w:rsid w:val="005564A7"/>
    <w:rsid w:val="00566AD1"/>
    <w:rsid w:val="00583EDE"/>
    <w:rsid w:val="00592ADC"/>
    <w:rsid w:val="005A4B97"/>
    <w:rsid w:val="005A6079"/>
    <w:rsid w:val="005D6E4D"/>
    <w:rsid w:val="005E4698"/>
    <w:rsid w:val="00610539"/>
    <w:rsid w:val="00613969"/>
    <w:rsid w:val="00625C35"/>
    <w:rsid w:val="00633E18"/>
    <w:rsid w:val="00656313"/>
    <w:rsid w:val="006565F4"/>
    <w:rsid w:val="00684EEA"/>
    <w:rsid w:val="0069689B"/>
    <w:rsid w:val="006A1551"/>
    <w:rsid w:val="006B5FF5"/>
    <w:rsid w:val="006F30AF"/>
    <w:rsid w:val="00701759"/>
    <w:rsid w:val="00705C15"/>
    <w:rsid w:val="00706103"/>
    <w:rsid w:val="0071600E"/>
    <w:rsid w:val="007208D1"/>
    <w:rsid w:val="00747288"/>
    <w:rsid w:val="00747DD3"/>
    <w:rsid w:val="007549C8"/>
    <w:rsid w:val="00754A0B"/>
    <w:rsid w:val="00766D14"/>
    <w:rsid w:val="00767A0F"/>
    <w:rsid w:val="0077054B"/>
    <w:rsid w:val="00771499"/>
    <w:rsid w:val="007870DE"/>
    <w:rsid w:val="007974B5"/>
    <w:rsid w:val="007A05F6"/>
    <w:rsid w:val="007A4C7D"/>
    <w:rsid w:val="007B6F4A"/>
    <w:rsid w:val="007D1D6C"/>
    <w:rsid w:val="007E1C47"/>
    <w:rsid w:val="007E337A"/>
    <w:rsid w:val="007E5C70"/>
    <w:rsid w:val="007F12C4"/>
    <w:rsid w:val="007F2FF5"/>
    <w:rsid w:val="007F3F08"/>
    <w:rsid w:val="00804CC6"/>
    <w:rsid w:val="00817190"/>
    <w:rsid w:val="00820EE5"/>
    <w:rsid w:val="008260E2"/>
    <w:rsid w:val="008322BD"/>
    <w:rsid w:val="00833E0A"/>
    <w:rsid w:val="00834F73"/>
    <w:rsid w:val="00862207"/>
    <w:rsid w:val="00864423"/>
    <w:rsid w:val="00864CF8"/>
    <w:rsid w:val="008672A2"/>
    <w:rsid w:val="00872819"/>
    <w:rsid w:val="00874914"/>
    <w:rsid w:val="00891422"/>
    <w:rsid w:val="00892E1A"/>
    <w:rsid w:val="008A3F29"/>
    <w:rsid w:val="008B660A"/>
    <w:rsid w:val="008C01DA"/>
    <w:rsid w:val="008D0CBA"/>
    <w:rsid w:val="008E1129"/>
    <w:rsid w:val="008F78E9"/>
    <w:rsid w:val="00911989"/>
    <w:rsid w:val="009179F9"/>
    <w:rsid w:val="00933E5E"/>
    <w:rsid w:val="00935218"/>
    <w:rsid w:val="009360C5"/>
    <w:rsid w:val="009403F3"/>
    <w:rsid w:val="0094408E"/>
    <w:rsid w:val="009555B7"/>
    <w:rsid w:val="009567AA"/>
    <w:rsid w:val="009604FC"/>
    <w:rsid w:val="00967374"/>
    <w:rsid w:val="00974AA3"/>
    <w:rsid w:val="00980B61"/>
    <w:rsid w:val="009829CA"/>
    <w:rsid w:val="00997601"/>
    <w:rsid w:val="009A343A"/>
    <w:rsid w:val="009B2F23"/>
    <w:rsid w:val="009B57B3"/>
    <w:rsid w:val="009C5B92"/>
    <w:rsid w:val="009D2920"/>
    <w:rsid w:val="009D5AEB"/>
    <w:rsid w:val="009D5C8F"/>
    <w:rsid w:val="009F0E33"/>
    <w:rsid w:val="009F3E83"/>
    <w:rsid w:val="00A030CE"/>
    <w:rsid w:val="00A149DF"/>
    <w:rsid w:val="00A15C80"/>
    <w:rsid w:val="00A1682E"/>
    <w:rsid w:val="00A1755C"/>
    <w:rsid w:val="00A21B90"/>
    <w:rsid w:val="00A41805"/>
    <w:rsid w:val="00A42DCD"/>
    <w:rsid w:val="00A43B91"/>
    <w:rsid w:val="00A52AFB"/>
    <w:rsid w:val="00A548CB"/>
    <w:rsid w:val="00A5521C"/>
    <w:rsid w:val="00A643E7"/>
    <w:rsid w:val="00A73C38"/>
    <w:rsid w:val="00A84047"/>
    <w:rsid w:val="00A9373F"/>
    <w:rsid w:val="00AB670D"/>
    <w:rsid w:val="00AC084B"/>
    <w:rsid w:val="00AC111D"/>
    <w:rsid w:val="00AC5A90"/>
    <w:rsid w:val="00AE4535"/>
    <w:rsid w:val="00AF03C5"/>
    <w:rsid w:val="00B000D8"/>
    <w:rsid w:val="00B00F75"/>
    <w:rsid w:val="00B145B6"/>
    <w:rsid w:val="00B279EB"/>
    <w:rsid w:val="00B4122B"/>
    <w:rsid w:val="00B50C81"/>
    <w:rsid w:val="00B557F8"/>
    <w:rsid w:val="00B7518F"/>
    <w:rsid w:val="00B815FC"/>
    <w:rsid w:val="00B93FBC"/>
    <w:rsid w:val="00BA7DA0"/>
    <w:rsid w:val="00BB2EE4"/>
    <w:rsid w:val="00BC2108"/>
    <w:rsid w:val="00BD0E9E"/>
    <w:rsid w:val="00BD1BEC"/>
    <w:rsid w:val="00BD32FF"/>
    <w:rsid w:val="00BD4124"/>
    <w:rsid w:val="00C02092"/>
    <w:rsid w:val="00C14739"/>
    <w:rsid w:val="00C16860"/>
    <w:rsid w:val="00C231D4"/>
    <w:rsid w:val="00C24D91"/>
    <w:rsid w:val="00C53F14"/>
    <w:rsid w:val="00C552F0"/>
    <w:rsid w:val="00C600CF"/>
    <w:rsid w:val="00C6084F"/>
    <w:rsid w:val="00C62A66"/>
    <w:rsid w:val="00C71458"/>
    <w:rsid w:val="00C77613"/>
    <w:rsid w:val="00C828E7"/>
    <w:rsid w:val="00C86719"/>
    <w:rsid w:val="00C86A4D"/>
    <w:rsid w:val="00C921DD"/>
    <w:rsid w:val="00CA6391"/>
    <w:rsid w:val="00CC34BD"/>
    <w:rsid w:val="00CE161A"/>
    <w:rsid w:val="00CE3171"/>
    <w:rsid w:val="00CE679D"/>
    <w:rsid w:val="00CF1601"/>
    <w:rsid w:val="00CF413E"/>
    <w:rsid w:val="00D0172F"/>
    <w:rsid w:val="00D068A7"/>
    <w:rsid w:val="00D17476"/>
    <w:rsid w:val="00D32086"/>
    <w:rsid w:val="00D34B3D"/>
    <w:rsid w:val="00D3608C"/>
    <w:rsid w:val="00D37A3F"/>
    <w:rsid w:val="00D4431D"/>
    <w:rsid w:val="00D4667A"/>
    <w:rsid w:val="00D47104"/>
    <w:rsid w:val="00D63A1C"/>
    <w:rsid w:val="00D7516F"/>
    <w:rsid w:val="00D76060"/>
    <w:rsid w:val="00D8579F"/>
    <w:rsid w:val="00D95F8E"/>
    <w:rsid w:val="00DA0590"/>
    <w:rsid w:val="00DB7BEA"/>
    <w:rsid w:val="00DC1739"/>
    <w:rsid w:val="00DC1788"/>
    <w:rsid w:val="00DE319C"/>
    <w:rsid w:val="00DE74CD"/>
    <w:rsid w:val="00DF0CA8"/>
    <w:rsid w:val="00DF2B48"/>
    <w:rsid w:val="00DF49A7"/>
    <w:rsid w:val="00E07EE2"/>
    <w:rsid w:val="00E07FD1"/>
    <w:rsid w:val="00E176D8"/>
    <w:rsid w:val="00E24573"/>
    <w:rsid w:val="00E25E1E"/>
    <w:rsid w:val="00E27EE7"/>
    <w:rsid w:val="00E35404"/>
    <w:rsid w:val="00E45109"/>
    <w:rsid w:val="00E4569D"/>
    <w:rsid w:val="00E46F92"/>
    <w:rsid w:val="00E47B7A"/>
    <w:rsid w:val="00E56A44"/>
    <w:rsid w:val="00E60269"/>
    <w:rsid w:val="00E77932"/>
    <w:rsid w:val="00E834DE"/>
    <w:rsid w:val="00E94B94"/>
    <w:rsid w:val="00E97830"/>
    <w:rsid w:val="00E97F6F"/>
    <w:rsid w:val="00EA4BB3"/>
    <w:rsid w:val="00EB4108"/>
    <w:rsid w:val="00EC7248"/>
    <w:rsid w:val="00EE32ED"/>
    <w:rsid w:val="00EE643C"/>
    <w:rsid w:val="00EF0683"/>
    <w:rsid w:val="00EF69D2"/>
    <w:rsid w:val="00EF766E"/>
    <w:rsid w:val="00F0070C"/>
    <w:rsid w:val="00F00EB7"/>
    <w:rsid w:val="00F32EE9"/>
    <w:rsid w:val="00F36AB6"/>
    <w:rsid w:val="00F37A09"/>
    <w:rsid w:val="00F409CE"/>
    <w:rsid w:val="00F4379D"/>
    <w:rsid w:val="00F50D2D"/>
    <w:rsid w:val="00F56C8B"/>
    <w:rsid w:val="00F66810"/>
    <w:rsid w:val="00F83486"/>
    <w:rsid w:val="00F846D9"/>
    <w:rsid w:val="00F84DF4"/>
    <w:rsid w:val="00F85C97"/>
    <w:rsid w:val="00FA3FAA"/>
    <w:rsid w:val="00FB37D2"/>
    <w:rsid w:val="00FB4F81"/>
    <w:rsid w:val="00FC4EFB"/>
    <w:rsid w:val="00FD068D"/>
    <w:rsid w:val="00FD4F28"/>
    <w:rsid w:val="00FE6784"/>
    <w:rsid w:val="00FF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3189"/>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unhideWhenUsed/>
    <w:qFormat/>
    <w:rsid w:val="00093189"/>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093189"/>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093189"/>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093189"/>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093189"/>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093189"/>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solexhl">
    <w:name w:val="solexhl"/>
    <w:basedOn w:val="DefaultParagraphFont"/>
    <w:rsid w:val="00C14739"/>
  </w:style>
  <w:style w:type="character" w:styleId="Hyperlink">
    <w:name w:val="Hyperlink"/>
    <w:basedOn w:val="DefaultParagraphFont"/>
    <w:uiPriority w:val="99"/>
    <w:unhideWhenUsed/>
    <w:rsid w:val="00A15C80"/>
    <w:rPr>
      <w:color w:val="660000"/>
      <w:u w:val="none"/>
    </w:rPr>
  </w:style>
  <w:style w:type="character" w:styleId="CommentReference">
    <w:name w:val="annotation reference"/>
    <w:basedOn w:val="DefaultParagraphFont"/>
    <w:uiPriority w:val="99"/>
    <w:semiHidden/>
    <w:unhideWhenUsed/>
    <w:rsid w:val="004F33EE"/>
    <w:rPr>
      <w:sz w:val="16"/>
      <w:szCs w:val="16"/>
    </w:rPr>
  </w:style>
  <w:style w:type="paragraph" w:styleId="CommentText">
    <w:name w:val="annotation text"/>
    <w:basedOn w:val="Normal"/>
    <w:link w:val="CommentTextChar"/>
    <w:uiPriority w:val="99"/>
    <w:semiHidden/>
    <w:unhideWhenUsed/>
    <w:rsid w:val="004F33EE"/>
    <w:rPr>
      <w:rFonts w:eastAsiaTheme="minorHAnsi" w:cstheme="minorBidi"/>
      <w:sz w:val="20"/>
      <w:szCs w:val="22"/>
      <w:lang w:val="en-US" w:eastAsia="en-US" w:bidi="en-US"/>
    </w:rPr>
  </w:style>
  <w:style w:type="character" w:customStyle="1" w:styleId="CommentTextChar">
    <w:name w:val="Comment Text Char"/>
    <w:basedOn w:val="DefaultParagraphFont"/>
    <w:link w:val="CommentText"/>
    <w:uiPriority w:val="99"/>
    <w:semiHidden/>
    <w:rsid w:val="004F33EE"/>
    <w:rPr>
      <w:rFonts w:eastAsiaTheme="minorHAnsi" w:cstheme="minorBidi"/>
      <w:szCs w:val="22"/>
      <w:lang w:val="en-US" w:eastAsia="en-US" w:bidi="en-US"/>
    </w:rPr>
  </w:style>
  <w:style w:type="character" w:customStyle="1" w:styleId="Heading3Char">
    <w:name w:val="Heading 3 Char"/>
    <w:basedOn w:val="DefaultParagraphFont"/>
    <w:link w:val="Heading3"/>
    <w:uiPriority w:val="9"/>
    <w:rsid w:val="00093189"/>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rsid w:val="00093189"/>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093189"/>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093189"/>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093189"/>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093189"/>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093189"/>
    <w:rPr>
      <w:rFonts w:asciiTheme="majorHAnsi" w:eastAsiaTheme="majorEastAsia" w:hAnsiTheme="majorHAnsi" w:cstheme="majorBidi"/>
      <w:i/>
      <w:iCs/>
      <w:color w:val="404040" w:themeColor="text1" w:themeTint="BF"/>
      <w:lang w:val="en-US" w:eastAsia="en-US" w:bidi="en-US"/>
    </w:rPr>
  </w:style>
  <w:style w:type="numbering" w:customStyle="1" w:styleId="MemoTOCList">
    <w:name w:val="Memo TOC List"/>
    <w:basedOn w:val="NoList"/>
    <w:uiPriority w:val="99"/>
    <w:rsid w:val="00093189"/>
  </w:style>
  <w:style w:type="paragraph" w:styleId="TOC1">
    <w:name w:val="toc 1"/>
    <w:basedOn w:val="Normal"/>
    <w:next w:val="Normal"/>
    <w:autoRedefine/>
    <w:uiPriority w:val="39"/>
    <w:unhideWhenUsed/>
    <w:rsid w:val="00093189"/>
    <w:pPr>
      <w:tabs>
        <w:tab w:val="left" w:pos="720"/>
        <w:tab w:val="right" w:leader="dot" w:pos="9350"/>
      </w:tabs>
      <w:spacing w:after="100"/>
      <w:ind w:left="720" w:hanging="720"/>
    </w:pPr>
    <w:rPr>
      <w:rFonts w:asciiTheme="minorHAnsi" w:eastAsiaTheme="minorEastAsia" w:hAnsiTheme="minorHAnsi" w:cstheme="minorBidi"/>
      <w:noProof/>
      <w:szCs w:val="22"/>
      <w:lang w:val="en-US" w:eastAsia="en-US" w:bidi="en-US"/>
    </w:rPr>
  </w:style>
  <w:style w:type="paragraph" w:styleId="TOC2">
    <w:name w:val="toc 2"/>
    <w:basedOn w:val="Normal"/>
    <w:next w:val="Normal"/>
    <w:autoRedefine/>
    <w:uiPriority w:val="39"/>
    <w:unhideWhenUsed/>
    <w:rsid w:val="00093189"/>
    <w:pPr>
      <w:tabs>
        <w:tab w:val="left" w:pos="720"/>
        <w:tab w:val="right" w:leader="dot" w:pos="9350"/>
      </w:tabs>
      <w:spacing w:after="100"/>
      <w:ind w:left="1152" w:hanging="432"/>
    </w:pPr>
    <w:rPr>
      <w:rFonts w:eastAsiaTheme="minorHAnsi" w:cstheme="minorBidi"/>
      <w:szCs w:val="22"/>
      <w:lang w:val="en-US" w:eastAsia="en-US" w:bidi="en-US"/>
    </w:rPr>
  </w:style>
  <w:style w:type="paragraph" w:styleId="Title">
    <w:name w:val="Title"/>
    <w:basedOn w:val="Normal"/>
    <w:next w:val="Normal"/>
    <w:link w:val="TitleChar"/>
    <w:uiPriority w:val="10"/>
    <w:rsid w:val="000931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093189"/>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093189"/>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093189"/>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093189"/>
    <w:rPr>
      <w:i/>
      <w:iCs/>
    </w:rPr>
  </w:style>
  <w:style w:type="paragraph" w:styleId="NoSpacing">
    <w:name w:val="No Spacing"/>
    <w:uiPriority w:val="1"/>
    <w:rsid w:val="00093189"/>
    <w:rPr>
      <w:rFonts w:eastAsiaTheme="minorHAnsi" w:cstheme="minorBidi"/>
      <w:sz w:val="24"/>
      <w:szCs w:val="22"/>
      <w:lang w:val="en-US" w:eastAsia="en-US" w:bidi="en-US"/>
    </w:rPr>
  </w:style>
  <w:style w:type="paragraph" w:styleId="ListParagraph">
    <w:name w:val="List Paragraph"/>
    <w:basedOn w:val="Normal"/>
    <w:uiPriority w:val="34"/>
    <w:rsid w:val="00093189"/>
    <w:pPr>
      <w:ind w:left="720"/>
      <w:contextualSpacing/>
    </w:pPr>
    <w:rPr>
      <w:rFonts w:eastAsiaTheme="minorHAnsi" w:cstheme="minorBidi"/>
      <w:szCs w:val="22"/>
      <w:lang w:val="en-US" w:eastAsia="en-US" w:bidi="en-US"/>
    </w:rPr>
  </w:style>
  <w:style w:type="paragraph" w:styleId="IntenseQuote">
    <w:name w:val="Intense Quote"/>
    <w:basedOn w:val="Normal"/>
    <w:next w:val="Normal"/>
    <w:link w:val="IntenseQuoteChar"/>
    <w:uiPriority w:val="30"/>
    <w:rsid w:val="00093189"/>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093189"/>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093189"/>
    <w:rPr>
      <w:i/>
      <w:iCs/>
      <w:color w:val="808080" w:themeColor="text1" w:themeTint="7F"/>
    </w:rPr>
  </w:style>
  <w:style w:type="character" w:styleId="IntenseEmphasis">
    <w:name w:val="Intense Emphasis"/>
    <w:basedOn w:val="DefaultParagraphFont"/>
    <w:uiPriority w:val="21"/>
    <w:rsid w:val="00093189"/>
    <w:rPr>
      <w:b/>
      <w:bCs/>
      <w:i/>
      <w:iCs/>
      <w:color w:val="4F81BD" w:themeColor="accent1"/>
    </w:rPr>
  </w:style>
  <w:style w:type="character" w:styleId="SubtleReference">
    <w:name w:val="Subtle Reference"/>
    <w:basedOn w:val="DefaultParagraphFont"/>
    <w:uiPriority w:val="31"/>
    <w:rsid w:val="00093189"/>
    <w:rPr>
      <w:smallCaps/>
      <w:color w:val="C0504D" w:themeColor="accent2"/>
      <w:u w:val="single"/>
    </w:rPr>
  </w:style>
  <w:style w:type="character" w:styleId="IntenseReference">
    <w:name w:val="Intense Reference"/>
    <w:basedOn w:val="DefaultParagraphFont"/>
    <w:uiPriority w:val="32"/>
    <w:rsid w:val="00093189"/>
    <w:rPr>
      <w:b/>
      <w:bCs/>
      <w:smallCaps/>
      <w:color w:val="C0504D" w:themeColor="accent2"/>
      <w:spacing w:val="5"/>
      <w:u w:val="single"/>
    </w:rPr>
  </w:style>
  <w:style w:type="character" w:styleId="BookTitle">
    <w:name w:val="Book Title"/>
    <w:basedOn w:val="DefaultParagraphFont"/>
    <w:uiPriority w:val="33"/>
    <w:rsid w:val="00093189"/>
    <w:rPr>
      <w:b/>
      <w:bCs/>
      <w:smallCaps/>
      <w:spacing w:val="5"/>
    </w:rPr>
  </w:style>
  <w:style w:type="paragraph" w:styleId="TOCHeading">
    <w:name w:val="TOC Heading"/>
    <w:basedOn w:val="Heading1"/>
    <w:next w:val="Normal"/>
    <w:uiPriority w:val="39"/>
    <w:unhideWhenUsed/>
    <w:qFormat/>
    <w:rsid w:val="00093189"/>
    <w:pPr>
      <w:spacing w:before="480" w:after="0"/>
      <w:ind w:left="0" w:firstLine="0"/>
      <w:outlineLvl w:val="9"/>
    </w:pPr>
    <w:rPr>
      <w:lang w:val="en-US" w:eastAsia="en-US" w:bidi="en-US"/>
    </w:rPr>
  </w:style>
  <w:style w:type="paragraph" w:customStyle="1" w:styleId="SCCLsocOtherPartyRoleSeparator">
    <w:name w:val="SCC.Lsoc.OtherPartyRoleSeparator"/>
    <w:basedOn w:val="Normal"/>
    <w:next w:val="Normal"/>
    <w:link w:val="SCCLsocOtherPartyRoleSeparatorChar"/>
    <w:rsid w:val="00093189"/>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093189"/>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093189"/>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093189"/>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093189"/>
    <w:rPr>
      <w:b/>
      <w:sz w:val="24"/>
    </w:rPr>
  </w:style>
  <w:style w:type="table" w:styleId="TableGrid">
    <w:name w:val="Table Grid"/>
    <w:basedOn w:val="TableNormal"/>
    <w:uiPriority w:val="59"/>
    <w:rsid w:val="00093189"/>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093189"/>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093189"/>
    <w:pPr>
      <w:spacing w:before="480" w:after="480" w:line="480" w:lineRule="auto"/>
      <w:jc w:val="both"/>
    </w:pPr>
    <w:rPr>
      <w:rFonts w:eastAsiaTheme="minorHAnsi" w:cstheme="minorBidi"/>
      <w:sz w:val="24"/>
      <w:szCs w:val="22"/>
      <w:lang w:eastAsia="en-US"/>
    </w:rPr>
  </w:style>
  <w:style w:type="paragraph" w:customStyle="1" w:styleId="ParaNoNdepar-AltN">
    <w:name w:val="Para. No. / Nº de par. - Alt N"/>
    <w:link w:val="ParaNoNdepar-AltNChar"/>
    <w:qFormat/>
    <w:rsid w:val="00093189"/>
    <w:pPr>
      <w:numPr>
        <w:numId w:val="9"/>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093189"/>
    <w:pPr>
      <w:numPr>
        <w:numId w:val="10"/>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093189"/>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093189"/>
    <w:pPr>
      <w:numPr>
        <w:ilvl w:val="2"/>
      </w:numPr>
      <w:outlineLvl w:val="2"/>
    </w:pPr>
  </w:style>
  <w:style w:type="paragraph" w:customStyle="1" w:styleId="Title4LevelTitre4Niveau">
    <w:name w:val="Title 4 Level / Titre 4 Niveau"/>
    <w:basedOn w:val="Title3LevelTitre3Niveau"/>
    <w:next w:val="ParaNoNdepar-AltN"/>
    <w:uiPriority w:val="4"/>
    <w:qFormat/>
    <w:rsid w:val="00093189"/>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093189"/>
    <w:pPr>
      <w:numPr>
        <w:ilvl w:val="4"/>
      </w:numPr>
      <w:outlineLvl w:val="4"/>
    </w:pPr>
  </w:style>
  <w:style w:type="table" w:customStyle="1" w:styleId="TableGrid1">
    <w:name w:val="Table Grid1"/>
    <w:basedOn w:val="TableNormal"/>
    <w:next w:val="TableGrid"/>
    <w:uiPriority w:val="59"/>
    <w:rsid w:val="00093189"/>
    <w:rPr>
      <w:rFonts w:eastAsiaTheme="minorHAnsi" w:cstheme="minorBidi"/>
      <w:sz w:val="24"/>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93189"/>
    <w:pPr>
      <w:tabs>
        <w:tab w:val="left" w:pos="1800"/>
        <w:tab w:val="right" w:leader="dot" w:pos="9350"/>
      </w:tabs>
      <w:spacing w:after="100"/>
      <w:ind w:left="1800" w:hanging="630"/>
    </w:pPr>
    <w:rPr>
      <w:rFonts w:eastAsiaTheme="minorHAnsi" w:cstheme="minorBidi"/>
      <w:noProof/>
      <w:szCs w:val="22"/>
      <w:lang w:val="en-US" w:eastAsia="en-US" w:bidi="en-US"/>
    </w:rPr>
  </w:style>
  <w:style w:type="paragraph" w:styleId="TOC4">
    <w:name w:val="toc 4"/>
    <w:basedOn w:val="Normal"/>
    <w:next w:val="Normal"/>
    <w:autoRedefine/>
    <w:uiPriority w:val="39"/>
    <w:unhideWhenUsed/>
    <w:rsid w:val="00093189"/>
    <w:pPr>
      <w:tabs>
        <w:tab w:val="left" w:pos="2250"/>
        <w:tab w:val="right" w:leader="dot" w:pos="9350"/>
      </w:tabs>
      <w:spacing w:after="100"/>
      <w:ind w:left="2250" w:hanging="450"/>
    </w:pPr>
    <w:rPr>
      <w:rFonts w:eastAsiaTheme="minorHAnsi" w:cstheme="minorBidi"/>
      <w:noProof/>
      <w:szCs w:val="22"/>
      <w:lang w:val="en-US" w:eastAsia="en-US" w:bidi="en-US"/>
    </w:rPr>
  </w:style>
  <w:style w:type="paragraph" w:styleId="TOC5">
    <w:name w:val="toc 5"/>
    <w:basedOn w:val="Normal"/>
    <w:next w:val="Normal"/>
    <w:autoRedefine/>
    <w:uiPriority w:val="39"/>
    <w:unhideWhenUsed/>
    <w:rsid w:val="00093189"/>
    <w:pPr>
      <w:tabs>
        <w:tab w:val="left" w:pos="2790"/>
        <w:tab w:val="right" w:leader="dot" w:pos="9350"/>
      </w:tabs>
      <w:spacing w:after="100"/>
      <w:ind w:left="2790" w:hanging="540"/>
    </w:pPr>
    <w:rPr>
      <w:rFonts w:eastAsiaTheme="minorHAnsi" w:cstheme="minorBidi"/>
      <w:noProof/>
      <w:szCs w:val="22"/>
      <w:lang w:val="en-US" w:eastAsia="en-US" w:bidi="en-US"/>
    </w:rPr>
  </w:style>
  <w:style w:type="paragraph" w:styleId="Caption">
    <w:name w:val="caption"/>
    <w:basedOn w:val="Normal"/>
    <w:next w:val="Normal"/>
    <w:uiPriority w:val="35"/>
    <w:semiHidden/>
    <w:unhideWhenUsed/>
    <w:qFormat/>
    <w:rsid w:val="00093189"/>
    <w:rPr>
      <w:rFonts w:eastAsiaTheme="minorHAnsi" w:cstheme="minorBidi"/>
      <w:b/>
      <w:bCs/>
      <w:color w:val="4F81BD" w:themeColor="accent1"/>
      <w:sz w:val="18"/>
      <w:szCs w:val="18"/>
      <w:lang w:val="en-US" w:eastAsia="en-US" w:bidi="en-US"/>
    </w:rPr>
  </w:style>
  <w:style w:type="paragraph" w:styleId="CommentSubject">
    <w:name w:val="annotation subject"/>
    <w:basedOn w:val="CommentText"/>
    <w:next w:val="CommentText"/>
    <w:link w:val="CommentSubjectChar"/>
    <w:uiPriority w:val="99"/>
    <w:semiHidden/>
    <w:unhideWhenUsed/>
    <w:rsid w:val="00093189"/>
    <w:rPr>
      <w:b/>
      <w:bCs/>
    </w:rPr>
  </w:style>
  <w:style w:type="character" w:customStyle="1" w:styleId="CommentSubjectChar">
    <w:name w:val="Comment Subject Char"/>
    <w:basedOn w:val="CommentTextChar"/>
    <w:link w:val="CommentSubject"/>
    <w:uiPriority w:val="99"/>
    <w:semiHidden/>
    <w:rsid w:val="00093189"/>
    <w:rPr>
      <w:rFonts w:eastAsiaTheme="minorHAnsi" w:cstheme="minorBidi"/>
      <w:b/>
      <w:bCs/>
      <w:szCs w:val="22"/>
      <w:lang w:val="en-US" w:eastAsia="en-US" w:bidi="en-US"/>
    </w:rPr>
  </w:style>
  <w:style w:type="paragraph" w:styleId="FootnoteText">
    <w:name w:val="footnote text"/>
    <w:basedOn w:val="Normal"/>
    <w:link w:val="FootnoteTextChar"/>
    <w:uiPriority w:val="99"/>
    <w:unhideWhenUsed/>
    <w:rsid w:val="00093189"/>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093189"/>
  </w:style>
  <w:style w:type="paragraph" w:customStyle="1" w:styleId="JudgeJuge">
    <w:name w:val="Judge / Juge"/>
    <w:link w:val="JudgeJugeChar"/>
    <w:uiPriority w:val="3"/>
    <w:rsid w:val="00093189"/>
    <w:pPr>
      <w:tabs>
        <w:tab w:val="left" w:pos="1260"/>
      </w:tabs>
      <w:spacing w:after="480" w:line="480" w:lineRule="auto"/>
    </w:pPr>
    <w:rPr>
      <w:smallCaps/>
      <w:sz w:val="24"/>
    </w:rPr>
  </w:style>
  <w:style w:type="character" w:customStyle="1" w:styleId="JudgeJugeChar">
    <w:name w:val="Judge / Juge Char"/>
    <w:basedOn w:val="DefaultParagraphFont"/>
    <w:link w:val="JudgeJuge"/>
    <w:uiPriority w:val="3"/>
    <w:rsid w:val="00093189"/>
    <w:rPr>
      <w:smallCaps/>
      <w:sz w:val="24"/>
    </w:rPr>
  </w:style>
  <w:style w:type="paragraph" w:customStyle="1" w:styleId="TitleTitre-AltT">
    <w:name w:val="Title / Titre - Alt T"/>
    <w:next w:val="ParaNoNdepar-AltN"/>
    <w:uiPriority w:val="3"/>
    <w:qFormat/>
    <w:rsid w:val="00093189"/>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093189"/>
    <w:pPr>
      <w:numPr>
        <w:ilvl w:val="5"/>
      </w:numPr>
      <w:jc w:val="both"/>
      <w:outlineLvl w:val="5"/>
    </w:pPr>
    <w:rPr>
      <w:i/>
      <w:u w:val="none"/>
    </w:rPr>
  </w:style>
  <w:style w:type="character" w:customStyle="1" w:styleId="ParaNoNdepar-AltNChar">
    <w:name w:val="Para. No. / Nº de par. - Alt N Char"/>
    <w:basedOn w:val="DefaultParagraphFont"/>
    <w:link w:val="ParaNoNdepar-AltN"/>
    <w:rsid w:val="00093189"/>
    <w:rPr>
      <w:rFonts w:eastAsiaTheme="minorEastAsia" w:cstheme="minorBidi"/>
      <w:sz w:val="24"/>
      <w:szCs w:val="22"/>
      <w:lang w:eastAsia="en-US"/>
    </w:rPr>
  </w:style>
  <w:style w:type="character" w:customStyle="1" w:styleId="lawlabel">
    <w:name w:val="lawlabel"/>
    <w:basedOn w:val="DefaultParagraphFont"/>
    <w:rsid w:val="00093189"/>
  </w:style>
  <w:style w:type="paragraph" w:styleId="TOC6">
    <w:name w:val="toc 6"/>
    <w:basedOn w:val="Normal"/>
    <w:next w:val="Normal"/>
    <w:autoRedefine/>
    <w:uiPriority w:val="39"/>
    <w:unhideWhenUsed/>
    <w:rsid w:val="00093189"/>
    <w:pPr>
      <w:tabs>
        <w:tab w:val="left" w:pos="3267"/>
        <w:tab w:val="right" w:leader="dot" w:pos="9350"/>
      </w:tabs>
      <w:spacing w:after="100"/>
      <w:ind w:left="2880"/>
    </w:pPr>
    <w:rPr>
      <w:rFonts w:eastAsiaTheme="minorHAnsi" w:cstheme="minorBidi"/>
      <w:szCs w:val="22"/>
      <w:lang w:val="en-US" w:eastAsia="en-US" w:bidi="en-US"/>
    </w:rPr>
  </w:style>
  <w:style w:type="paragraph" w:styleId="TOC7">
    <w:name w:val="toc 7"/>
    <w:basedOn w:val="Normal"/>
    <w:next w:val="Normal"/>
    <w:autoRedefine/>
    <w:uiPriority w:val="39"/>
    <w:semiHidden/>
    <w:unhideWhenUsed/>
    <w:rsid w:val="00093189"/>
    <w:pPr>
      <w:spacing w:after="100"/>
      <w:ind w:left="3600"/>
    </w:pPr>
    <w:rPr>
      <w:rFonts w:eastAsiaTheme="minorHAnsi" w:cstheme="minorBidi"/>
      <w:szCs w:val="22"/>
      <w:lang w:val="en-US" w:eastAsia="en-US" w:bidi="en-US"/>
    </w:rPr>
  </w:style>
  <w:style w:type="paragraph" w:styleId="TOC8">
    <w:name w:val="toc 8"/>
    <w:basedOn w:val="Normal"/>
    <w:next w:val="Normal"/>
    <w:autoRedefine/>
    <w:uiPriority w:val="39"/>
    <w:semiHidden/>
    <w:unhideWhenUsed/>
    <w:rsid w:val="00093189"/>
    <w:pPr>
      <w:spacing w:after="100"/>
      <w:ind w:left="1680"/>
    </w:pPr>
    <w:rPr>
      <w:rFonts w:eastAsiaTheme="minorHAnsi" w:cstheme="minorBidi"/>
      <w:szCs w:val="22"/>
      <w:lang w:val="en-US" w:eastAsia="en-US" w:bidi="en-US"/>
    </w:rPr>
  </w:style>
  <w:style w:type="paragraph" w:customStyle="1" w:styleId="marginalnote">
    <w:name w:val="marginalnote"/>
    <w:basedOn w:val="Normal"/>
    <w:rsid w:val="00093189"/>
    <w:pPr>
      <w:spacing w:before="100" w:beforeAutospacing="1" w:after="100" w:afterAutospacing="1"/>
    </w:pPr>
    <w:rPr>
      <w:szCs w:val="24"/>
      <w:lang w:val="en-US" w:eastAsia="en-US"/>
    </w:rPr>
  </w:style>
  <w:style w:type="paragraph" w:customStyle="1" w:styleId="subsection">
    <w:name w:val="subsection"/>
    <w:basedOn w:val="Normal"/>
    <w:rsid w:val="00093189"/>
    <w:pPr>
      <w:spacing w:before="100" w:beforeAutospacing="1" w:after="100" w:afterAutospacing="1"/>
    </w:pPr>
    <w:rPr>
      <w:szCs w:val="24"/>
      <w:lang w:val="en-US" w:eastAsia="en-US"/>
    </w:rPr>
  </w:style>
  <w:style w:type="character" w:customStyle="1" w:styleId="sectionlabel">
    <w:name w:val="sectionlabel"/>
    <w:basedOn w:val="DefaultParagraphFont"/>
    <w:rsid w:val="00093189"/>
  </w:style>
  <w:style w:type="character" w:customStyle="1" w:styleId="wb-invisible">
    <w:name w:val="wb-invisible"/>
    <w:basedOn w:val="DefaultParagraphFont"/>
    <w:rsid w:val="00093189"/>
  </w:style>
  <w:style w:type="paragraph" w:customStyle="1" w:styleId="paragraph">
    <w:name w:val="paragraph"/>
    <w:basedOn w:val="Normal"/>
    <w:rsid w:val="00093189"/>
    <w:pPr>
      <w:spacing w:before="100" w:beforeAutospacing="1" w:after="100" w:afterAutospacing="1"/>
    </w:pPr>
    <w:rPr>
      <w:szCs w:val="24"/>
      <w:lang w:val="en-US" w:eastAsia="en-US"/>
    </w:rPr>
  </w:style>
  <w:style w:type="character" w:styleId="FootnoteReference">
    <w:name w:val="footnote reference"/>
    <w:basedOn w:val="DefaultParagraphFont"/>
    <w:uiPriority w:val="99"/>
    <w:semiHidden/>
    <w:unhideWhenUsed/>
    <w:rsid w:val="00093189"/>
    <w:rPr>
      <w:vertAlign w:val="superscript"/>
    </w:rPr>
  </w:style>
  <w:style w:type="table" w:customStyle="1" w:styleId="TableGrid2">
    <w:name w:val="Table Grid2"/>
    <w:basedOn w:val="TableNormal"/>
    <w:next w:val="TableGrid"/>
    <w:uiPriority w:val="59"/>
    <w:rsid w:val="00093189"/>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ccourts.ca/jdb-txt/ca/21/00/2021BCCA005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7961</Words>
  <Characters>39942</Characters>
  <Application>Microsoft Office Word</Application>
  <DocSecurity>0</DocSecurity>
  <Lines>332</Lines>
  <Paragraphs>95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47808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2022-07-20T22:38:00Z</dcterms:created>
  <dcterms:modified xsi:type="dcterms:W3CDTF">2022-07-21T13:28:00Z</dcterms:modified>
</cp:coreProperties>
</file>