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0975C6" w:rsidRPr="000975C6" w14:paraId="7331EAF1" w14:textId="77777777" w:rsidTr="001F0887">
        <w:trPr>
          <w:trHeight w:val="2103"/>
        </w:trPr>
        <w:tc>
          <w:tcPr>
            <w:tcW w:w="5000" w:type="pct"/>
            <w:gridSpan w:val="4"/>
          </w:tcPr>
          <w:p w14:paraId="4A1A4C3A" w14:textId="77777777" w:rsidR="000975C6" w:rsidRPr="000975C6" w:rsidRDefault="000975C6" w:rsidP="000975C6">
            <w:pPr>
              <w:jc w:val="center"/>
              <w:rPr>
                <w:b/>
              </w:rPr>
            </w:pPr>
            <w:r w:rsidRPr="000975C6">
              <w:rPr>
                <w:b/>
                <w:noProof/>
              </w:rPr>
              <w:drawing>
                <wp:inline distT="0" distB="0" distL="0" distR="0" wp14:anchorId="67BACCC0" wp14:editId="044DBD51">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6DEB33DF" w14:textId="77777777" w:rsidR="000975C6" w:rsidRPr="000975C6" w:rsidRDefault="000975C6" w:rsidP="000975C6">
            <w:pPr>
              <w:spacing w:before="120" w:after="100" w:afterAutospacing="1"/>
              <w:jc w:val="center"/>
            </w:pPr>
            <w:r w:rsidRPr="000975C6">
              <w:rPr>
                <w:b/>
              </w:rPr>
              <w:t>SUPREME COURT OF CANADA</w:t>
            </w:r>
          </w:p>
        </w:tc>
      </w:tr>
      <w:tr w:rsidR="000975C6" w:rsidRPr="000975C6" w14:paraId="3C3ED8D4" w14:textId="77777777" w:rsidTr="000975C6">
        <w:tblPrEx>
          <w:tblCellMar>
            <w:top w:w="58" w:type="dxa"/>
            <w:left w:w="58" w:type="dxa"/>
            <w:bottom w:w="58" w:type="dxa"/>
            <w:right w:w="58" w:type="dxa"/>
          </w:tblCellMar>
        </w:tblPrEx>
        <w:trPr>
          <w:cantSplit/>
        </w:trPr>
        <w:tc>
          <w:tcPr>
            <w:tcW w:w="2078" w:type="pct"/>
            <w:gridSpan w:val="2"/>
          </w:tcPr>
          <w:p w14:paraId="5D0F2658" w14:textId="77777777" w:rsidR="000975C6" w:rsidRPr="000975C6" w:rsidRDefault="000975C6" w:rsidP="000975C6">
            <w:pPr>
              <w:rPr>
                <w:b/>
                <w:smallCaps/>
                <w:lang w:val="fr-CA"/>
              </w:rPr>
            </w:pPr>
          </w:p>
          <w:p w14:paraId="293EF57B" w14:textId="77777777" w:rsidR="000975C6" w:rsidRPr="000975C6" w:rsidRDefault="000975C6" w:rsidP="000975C6">
            <w:pPr>
              <w:rPr>
                <w:b/>
                <w:smallCaps/>
                <w:lang w:val="fr-CA"/>
              </w:rPr>
            </w:pPr>
            <w:r w:rsidRPr="000975C6">
              <w:rPr>
                <w:b/>
                <w:smallCaps/>
                <w:lang w:val="fr-CA"/>
              </w:rPr>
              <w:t>Citation:</w:t>
            </w:r>
            <w:r w:rsidRPr="000975C6">
              <w:rPr>
                <w:lang w:val="fr-CA"/>
              </w:rPr>
              <w:t xml:space="preserve"> R. </w:t>
            </w:r>
            <w:r w:rsidRPr="000975C6">
              <w:rPr>
                <w:i/>
                <w:lang w:val="fr-CA"/>
              </w:rPr>
              <w:t>v.</w:t>
            </w:r>
            <w:r w:rsidRPr="000975C6">
              <w:rPr>
                <w:lang w:val="fr-CA"/>
              </w:rPr>
              <w:t xml:space="preserve"> Lafrance, 2022 SCC 32</w:t>
            </w:r>
          </w:p>
        </w:tc>
        <w:tc>
          <w:tcPr>
            <w:tcW w:w="966" w:type="pct"/>
          </w:tcPr>
          <w:p w14:paraId="6F5C3EA8" w14:textId="77777777" w:rsidR="000975C6" w:rsidRPr="000975C6" w:rsidRDefault="000975C6" w:rsidP="000975C6">
            <w:pPr>
              <w:rPr>
                <w:lang w:val="fr-CA"/>
              </w:rPr>
            </w:pPr>
          </w:p>
        </w:tc>
        <w:tc>
          <w:tcPr>
            <w:tcW w:w="1956" w:type="pct"/>
          </w:tcPr>
          <w:p w14:paraId="40DC9E1B" w14:textId="77777777" w:rsidR="000975C6" w:rsidRPr="000975C6" w:rsidRDefault="000975C6" w:rsidP="000975C6">
            <w:pPr>
              <w:rPr>
                <w:b/>
                <w:smallCaps/>
                <w:lang w:val="fr-CA"/>
              </w:rPr>
            </w:pPr>
          </w:p>
          <w:p w14:paraId="6AAA3B03" w14:textId="77777777" w:rsidR="000975C6" w:rsidRPr="000975C6" w:rsidRDefault="000975C6" w:rsidP="000975C6">
            <w:pPr>
              <w:jc w:val="both"/>
            </w:pPr>
            <w:r w:rsidRPr="000975C6">
              <w:rPr>
                <w:b/>
                <w:smallCaps/>
              </w:rPr>
              <w:t>Appeal Heard:</w:t>
            </w:r>
            <w:r w:rsidRPr="000975C6">
              <w:t xml:space="preserve"> December 3, 2021</w:t>
            </w:r>
          </w:p>
          <w:p w14:paraId="1FA6CDB0" w14:textId="77777777" w:rsidR="000975C6" w:rsidRPr="000975C6" w:rsidRDefault="000975C6" w:rsidP="000975C6">
            <w:r w:rsidRPr="000975C6">
              <w:rPr>
                <w:b/>
                <w:smallCaps/>
              </w:rPr>
              <w:t>Judgment Rendered:</w:t>
            </w:r>
            <w:r w:rsidRPr="000975C6">
              <w:t xml:space="preserve"> July 22, 2022</w:t>
            </w:r>
          </w:p>
          <w:p w14:paraId="5D2DAC7B" w14:textId="77777777" w:rsidR="000975C6" w:rsidRPr="000975C6" w:rsidRDefault="000975C6" w:rsidP="000975C6">
            <w:r w:rsidRPr="000975C6">
              <w:rPr>
                <w:b/>
                <w:smallCaps/>
              </w:rPr>
              <w:t>Docket:</w:t>
            </w:r>
            <w:r w:rsidRPr="000975C6">
              <w:t xml:space="preserve"> 39570</w:t>
            </w:r>
          </w:p>
        </w:tc>
      </w:tr>
      <w:tr w:rsidR="000975C6" w:rsidRPr="000975C6" w14:paraId="1897A910" w14:textId="77777777" w:rsidTr="001F0887">
        <w:tblPrEx>
          <w:tblCellMar>
            <w:top w:w="58" w:type="dxa"/>
            <w:left w:w="58" w:type="dxa"/>
            <w:bottom w:w="58" w:type="dxa"/>
            <w:right w:w="58" w:type="dxa"/>
          </w:tblCellMar>
        </w:tblPrEx>
        <w:trPr>
          <w:cantSplit/>
        </w:trPr>
        <w:tc>
          <w:tcPr>
            <w:tcW w:w="5000" w:type="pct"/>
            <w:gridSpan w:val="4"/>
          </w:tcPr>
          <w:p w14:paraId="5211174E" w14:textId="77777777" w:rsidR="000975C6" w:rsidRPr="000975C6" w:rsidRDefault="000975C6" w:rsidP="000975C6"/>
          <w:p w14:paraId="74B7E074" w14:textId="77777777" w:rsidR="000975C6" w:rsidRPr="000975C6" w:rsidRDefault="000975C6" w:rsidP="000975C6">
            <w:pPr>
              <w:rPr>
                <w:b/>
                <w:smallCaps/>
              </w:rPr>
            </w:pPr>
            <w:r w:rsidRPr="000975C6">
              <w:rPr>
                <w:b/>
                <w:smallCaps/>
              </w:rPr>
              <w:t>Between:</w:t>
            </w:r>
          </w:p>
          <w:p w14:paraId="4D2AA92B" w14:textId="77777777" w:rsidR="000975C6" w:rsidRPr="000975C6" w:rsidRDefault="000975C6" w:rsidP="000975C6"/>
          <w:p w14:paraId="78A8A72A" w14:textId="77777777" w:rsidR="000975C6" w:rsidRPr="000975C6" w:rsidRDefault="000975C6" w:rsidP="000975C6">
            <w:pPr>
              <w:jc w:val="center"/>
              <w:rPr>
                <w:b/>
              </w:rPr>
            </w:pPr>
            <w:r w:rsidRPr="000975C6">
              <w:rPr>
                <w:b/>
              </w:rPr>
              <w:t>Her Majesty The Queen</w:t>
            </w:r>
          </w:p>
          <w:p w14:paraId="79220093" w14:textId="77777777" w:rsidR="000975C6" w:rsidRPr="000975C6" w:rsidRDefault="000975C6" w:rsidP="000975C6">
            <w:pPr>
              <w:jc w:val="center"/>
            </w:pPr>
            <w:r w:rsidRPr="000975C6">
              <w:t>Appellant</w:t>
            </w:r>
          </w:p>
          <w:p w14:paraId="287CED3B" w14:textId="77777777" w:rsidR="000975C6" w:rsidRPr="000975C6" w:rsidRDefault="000975C6" w:rsidP="000975C6"/>
          <w:p w14:paraId="5BA5C494" w14:textId="77777777" w:rsidR="000975C6" w:rsidRPr="000975C6" w:rsidRDefault="000975C6" w:rsidP="000975C6">
            <w:pPr>
              <w:jc w:val="center"/>
            </w:pPr>
            <w:r w:rsidRPr="000975C6">
              <w:t>and</w:t>
            </w:r>
          </w:p>
          <w:p w14:paraId="01733AEF" w14:textId="77777777" w:rsidR="000975C6" w:rsidRPr="000975C6" w:rsidRDefault="000975C6" w:rsidP="000975C6"/>
          <w:p w14:paraId="3CA89C25" w14:textId="77777777" w:rsidR="000975C6" w:rsidRPr="000975C6" w:rsidRDefault="000975C6" w:rsidP="000975C6">
            <w:pPr>
              <w:jc w:val="center"/>
              <w:rPr>
                <w:b/>
              </w:rPr>
            </w:pPr>
            <w:r w:rsidRPr="000975C6">
              <w:rPr>
                <w:b/>
              </w:rPr>
              <w:t>Nigel Vernon Lafrance</w:t>
            </w:r>
          </w:p>
          <w:p w14:paraId="2B7B0F8F" w14:textId="77777777" w:rsidR="000975C6" w:rsidRPr="000975C6" w:rsidRDefault="000975C6" w:rsidP="000975C6">
            <w:pPr>
              <w:jc w:val="center"/>
            </w:pPr>
            <w:r w:rsidRPr="000975C6">
              <w:t>Respondent</w:t>
            </w:r>
          </w:p>
          <w:p w14:paraId="2B10B745" w14:textId="77777777" w:rsidR="000975C6" w:rsidRPr="000975C6" w:rsidRDefault="000975C6" w:rsidP="000975C6"/>
          <w:p w14:paraId="3B538F22" w14:textId="77777777" w:rsidR="000975C6" w:rsidRPr="000975C6" w:rsidRDefault="000975C6" w:rsidP="000975C6">
            <w:pPr>
              <w:jc w:val="center"/>
            </w:pPr>
            <w:r w:rsidRPr="000975C6">
              <w:t>- and -</w:t>
            </w:r>
          </w:p>
          <w:p w14:paraId="0FA6E69E" w14:textId="77777777" w:rsidR="000975C6" w:rsidRPr="000975C6" w:rsidRDefault="000975C6" w:rsidP="000975C6"/>
          <w:p w14:paraId="10E9F805" w14:textId="77777777" w:rsidR="000975C6" w:rsidRPr="000975C6" w:rsidRDefault="000975C6" w:rsidP="000975C6">
            <w:pPr>
              <w:jc w:val="center"/>
              <w:rPr>
                <w:b/>
              </w:rPr>
            </w:pPr>
            <w:r w:rsidRPr="000975C6">
              <w:rPr>
                <w:b/>
              </w:rPr>
              <w:t>Attorney General of Ontario, Canadian Civil Liberties Association and Criminal Lawyers’ Association</w:t>
            </w:r>
          </w:p>
          <w:p w14:paraId="7ADC8944" w14:textId="77777777" w:rsidR="000975C6" w:rsidRPr="000975C6" w:rsidRDefault="000975C6" w:rsidP="000975C6">
            <w:pPr>
              <w:jc w:val="center"/>
            </w:pPr>
            <w:r w:rsidRPr="000975C6">
              <w:t>Interveners</w:t>
            </w:r>
          </w:p>
          <w:p w14:paraId="798AF168" w14:textId="77777777" w:rsidR="000975C6" w:rsidRPr="000975C6" w:rsidRDefault="000975C6" w:rsidP="000975C6"/>
          <w:p w14:paraId="625C1EC9" w14:textId="77777777" w:rsidR="000975C6" w:rsidRPr="000975C6" w:rsidRDefault="000975C6" w:rsidP="000975C6"/>
          <w:p w14:paraId="0315F68A" w14:textId="77777777" w:rsidR="000975C6" w:rsidRPr="000975C6" w:rsidRDefault="000975C6" w:rsidP="000975C6">
            <w:r w:rsidRPr="000975C6">
              <w:rPr>
                <w:b/>
                <w:smallCaps/>
              </w:rPr>
              <w:t>Coram:</w:t>
            </w:r>
            <w:r w:rsidRPr="000975C6">
              <w:t xml:space="preserve"> Wagner C.J. and Moldaver, Karakatsanis, Côté, Brown, Rowe, Martin, Kasirer and Jamal JJ.</w:t>
            </w:r>
          </w:p>
          <w:p w14:paraId="7C9FC6B9" w14:textId="77777777" w:rsidR="000975C6" w:rsidRPr="000975C6" w:rsidRDefault="000975C6" w:rsidP="000975C6">
            <w:pPr>
              <w:rPr>
                <w:b/>
                <w:smallCaps/>
              </w:rPr>
            </w:pPr>
          </w:p>
        </w:tc>
      </w:tr>
      <w:tr w:rsidR="000975C6" w:rsidRPr="000975C6" w14:paraId="3875EACA" w14:textId="77777777" w:rsidTr="001F0887">
        <w:tblPrEx>
          <w:tblCellMar>
            <w:top w:w="58" w:type="dxa"/>
            <w:left w:w="58" w:type="dxa"/>
            <w:bottom w:w="58" w:type="dxa"/>
            <w:right w:w="58" w:type="dxa"/>
          </w:tblCellMar>
        </w:tblPrEx>
        <w:trPr>
          <w:cantSplit/>
        </w:trPr>
        <w:tc>
          <w:tcPr>
            <w:tcW w:w="1231" w:type="pct"/>
          </w:tcPr>
          <w:p w14:paraId="0D3D8CFA" w14:textId="77777777" w:rsidR="000975C6" w:rsidRPr="000975C6" w:rsidRDefault="000975C6" w:rsidP="000975C6">
            <w:r w:rsidRPr="000975C6">
              <w:rPr>
                <w:b/>
                <w:smallCaps/>
              </w:rPr>
              <w:t>Reasons for Judgment</w:t>
            </w:r>
            <w:r w:rsidRPr="000975C6">
              <w:rPr>
                <w:b/>
              </w:rPr>
              <w:t>:</w:t>
            </w:r>
            <w:r w:rsidRPr="000975C6">
              <w:t xml:space="preserve"> </w:t>
            </w:r>
          </w:p>
          <w:p w14:paraId="0D561536" w14:textId="77777777" w:rsidR="000975C6" w:rsidRPr="000975C6" w:rsidRDefault="000975C6" w:rsidP="000975C6">
            <w:r w:rsidRPr="000975C6">
              <w:t>(paras. 1 to 103)</w:t>
            </w:r>
          </w:p>
        </w:tc>
        <w:tc>
          <w:tcPr>
            <w:tcW w:w="3769" w:type="pct"/>
            <w:gridSpan w:val="3"/>
          </w:tcPr>
          <w:p w14:paraId="3A78698C" w14:textId="77777777" w:rsidR="000975C6" w:rsidRPr="000975C6" w:rsidRDefault="000975C6" w:rsidP="000975C6">
            <w:r w:rsidRPr="000975C6">
              <w:t>Brown J. (Karakatsanis, Martin, Kasirer and Jamal JJ. concurring)</w:t>
            </w:r>
          </w:p>
        </w:tc>
      </w:tr>
      <w:tr w:rsidR="000975C6" w:rsidRPr="000975C6" w14:paraId="60F4C467" w14:textId="77777777" w:rsidTr="001F0887">
        <w:tblPrEx>
          <w:tblCellMar>
            <w:top w:w="58" w:type="dxa"/>
            <w:left w:w="58" w:type="dxa"/>
            <w:bottom w:w="58" w:type="dxa"/>
            <w:right w:w="58" w:type="dxa"/>
          </w:tblCellMar>
        </w:tblPrEx>
        <w:trPr>
          <w:cantSplit/>
        </w:trPr>
        <w:tc>
          <w:tcPr>
            <w:tcW w:w="1231" w:type="pct"/>
          </w:tcPr>
          <w:p w14:paraId="1EBD1370" w14:textId="77777777" w:rsidR="000975C6" w:rsidRPr="000975C6" w:rsidRDefault="000975C6" w:rsidP="000975C6">
            <w:r w:rsidRPr="000975C6">
              <w:rPr>
                <w:b/>
                <w:smallCaps/>
              </w:rPr>
              <w:t>Joint Dissenting Reasons</w:t>
            </w:r>
            <w:r w:rsidRPr="000975C6">
              <w:rPr>
                <w:b/>
              </w:rPr>
              <w:t>:</w:t>
            </w:r>
            <w:r w:rsidRPr="000975C6">
              <w:t xml:space="preserve"> </w:t>
            </w:r>
          </w:p>
          <w:p w14:paraId="569F712C" w14:textId="77777777" w:rsidR="000975C6" w:rsidRPr="000975C6" w:rsidRDefault="000975C6" w:rsidP="000975C6">
            <w:r w:rsidRPr="000975C6">
              <w:t xml:space="preserve">(paras. 104 to 194) </w:t>
            </w:r>
          </w:p>
        </w:tc>
        <w:tc>
          <w:tcPr>
            <w:tcW w:w="3769" w:type="pct"/>
            <w:gridSpan w:val="3"/>
          </w:tcPr>
          <w:p w14:paraId="3DC59BBF" w14:textId="77777777" w:rsidR="000975C6" w:rsidRPr="000975C6" w:rsidRDefault="000975C6" w:rsidP="000975C6">
            <w:r w:rsidRPr="000975C6">
              <w:t>Côté and Rowe JJ. (Wagner C.J. and Moldaver J. concurring)</w:t>
            </w:r>
          </w:p>
        </w:tc>
      </w:tr>
    </w:tbl>
    <w:p w14:paraId="291F9157" w14:textId="77777777" w:rsidR="000975C6" w:rsidRPr="000975C6" w:rsidRDefault="000975C6" w:rsidP="000975C6">
      <w:pPr>
        <w:rPr>
          <w:rFonts w:eastAsiaTheme="minorHAnsi" w:cstheme="minorBidi"/>
          <w:szCs w:val="24"/>
          <w:lang w:eastAsia="en-US"/>
        </w:rPr>
      </w:pPr>
    </w:p>
    <w:p w14:paraId="3B177BFD" w14:textId="77777777" w:rsidR="000975C6" w:rsidRPr="000975C6" w:rsidRDefault="000975C6" w:rsidP="000975C6">
      <w:pPr>
        <w:rPr>
          <w:rFonts w:eastAsiaTheme="minorHAnsi" w:cstheme="minorBidi"/>
          <w:szCs w:val="24"/>
          <w:lang w:eastAsia="en-US"/>
        </w:rPr>
      </w:pPr>
    </w:p>
    <w:p w14:paraId="0EFC7A65" w14:textId="77777777" w:rsidR="000975C6" w:rsidRPr="000975C6" w:rsidRDefault="000975C6" w:rsidP="000975C6">
      <w:pPr>
        <w:rPr>
          <w:rFonts w:eastAsiaTheme="minorHAnsi" w:cstheme="minorBidi"/>
          <w:szCs w:val="24"/>
          <w:lang w:eastAsia="en-US"/>
        </w:rPr>
      </w:pPr>
      <w:r w:rsidRPr="000975C6">
        <w:rPr>
          <w:rFonts w:eastAsiaTheme="minorHAnsi" w:cstheme="minorBidi"/>
          <w:b/>
          <w:smallCaps/>
          <w:szCs w:val="24"/>
          <w:lang w:eastAsia="en-US"/>
        </w:rPr>
        <w:t>Note:</w:t>
      </w:r>
      <w:r w:rsidRPr="000975C6">
        <w:rPr>
          <w:rFonts w:eastAsiaTheme="minorHAnsi" w:cstheme="minorBidi"/>
          <w:b/>
          <w:szCs w:val="24"/>
          <w:lang w:eastAsia="en-US"/>
        </w:rPr>
        <w:t xml:space="preserve"> </w:t>
      </w:r>
      <w:r w:rsidRPr="000975C6">
        <w:rPr>
          <w:rFonts w:eastAsiaTheme="minorHAnsi" w:cstheme="minorBidi"/>
          <w:szCs w:val="24"/>
          <w:lang w:eastAsia="en-US"/>
        </w:rPr>
        <w:t xml:space="preserve">This document is subject to editorial revision before its reproduction in final form in the </w:t>
      </w:r>
      <w:r w:rsidRPr="000975C6">
        <w:rPr>
          <w:rFonts w:eastAsiaTheme="minorHAnsi" w:cstheme="minorBidi"/>
          <w:i/>
          <w:szCs w:val="24"/>
          <w:lang w:eastAsia="en-US"/>
        </w:rPr>
        <w:t>Canada Supreme Court Reports</w:t>
      </w:r>
      <w:r w:rsidRPr="000975C6">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0975C6" w:rsidRPr="000975C6" w14:paraId="4AAF0D16" w14:textId="77777777" w:rsidTr="001F0887">
        <w:tc>
          <w:tcPr>
            <w:tcW w:w="1500" w:type="pct"/>
            <w:tcMar>
              <w:top w:w="284" w:type="dxa"/>
            </w:tcMar>
          </w:tcPr>
          <w:p w14:paraId="06F0343C" w14:textId="77777777" w:rsidR="000975C6" w:rsidRPr="000975C6" w:rsidRDefault="000975C6" w:rsidP="000975C6"/>
        </w:tc>
        <w:tc>
          <w:tcPr>
            <w:tcW w:w="2000" w:type="pct"/>
            <w:tcBorders>
              <w:bottom w:val="single" w:sz="4" w:space="0" w:color="auto"/>
            </w:tcBorders>
            <w:tcMar>
              <w:top w:w="284" w:type="dxa"/>
            </w:tcMar>
          </w:tcPr>
          <w:p w14:paraId="48109679" w14:textId="77777777" w:rsidR="000975C6" w:rsidRPr="000975C6" w:rsidRDefault="000975C6" w:rsidP="000975C6"/>
        </w:tc>
        <w:tc>
          <w:tcPr>
            <w:tcW w:w="1500" w:type="pct"/>
            <w:tcMar>
              <w:top w:w="284" w:type="dxa"/>
            </w:tcMar>
          </w:tcPr>
          <w:p w14:paraId="3F696E08" w14:textId="77777777" w:rsidR="000975C6" w:rsidRPr="000975C6" w:rsidRDefault="000975C6" w:rsidP="000975C6"/>
        </w:tc>
      </w:tr>
    </w:tbl>
    <w:p w14:paraId="3895D936" w14:textId="77777777" w:rsidR="000975C6" w:rsidRPr="000975C6" w:rsidRDefault="000975C6" w:rsidP="000975C6">
      <w:pPr>
        <w:rPr>
          <w:rFonts w:eastAsiaTheme="minorHAnsi" w:cstheme="minorBidi"/>
          <w:szCs w:val="24"/>
          <w:lang w:eastAsia="en-US"/>
        </w:rPr>
      </w:pPr>
    </w:p>
    <w:p w14:paraId="44373A38" w14:textId="77777777" w:rsidR="000975C6" w:rsidRDefault="000975C6">
      <w:pPr>
        <w:rPr>
          <w:b/>
        </w:rPr>
      </w:pPr>
      <w:r>
        <w:br w:type="page"/>
      </w:r>
    </w:p>
    <w:p w14:paraId="3869EBEC" w14:textId="71903467" w:rsidR="00577B7B" w:rsidRDefault="00334EBD" w:rsidP="0091263A">
      <w:pPr>
        <w:pStyle w:val="SCCLsocLastPartyInRole"/>
        <w:tabs>
          <w:tab w:val="clear" w:pos="8222"/>
          <w:tab w:val="right" w:pos="8280"/>
        </w:tabs>
      </w:pPr>
      <w:r>
        <w:lastRenderedPageBreak/>
        <w:t xml:space="preserve">Her Majesty </w:t>
      </w:r>
      <w:proofErr w:type="gramStart"/>
      <w:r>
        <w:t>T</w:t>
      </w:r>
      <w:r w:rsidR="00402556">
        <w:t>he</w:t>
      </w:r>
      <w:proofErr w:type="gramEnd"/>
      <w:r w:rsidR="00402556">
        <w:t xml:space="preserve"> Queen</w:t>
      </w:r>
      <w:r w:rsidR="00402556">
        <w:rPr>
          <w:rStyle w:val="SCCLsocPartyRole"/>
        </w:rPr>
        <w:tab/>
        <w:t>Appellant</w:t>
      </w:r>
    </w:p>
    <w:p w14:paraId="528C9945" w14:textId="77777777" w:rsidR="00577B7B" w:rsidRDefault="00402556">
      <w:pPr>
        <w:pStyle w:val="SCCLsocVersus"/>
      </w:pPr>
      <w:proofErr w:type="gramStart"/>
      <w:r>
        <w:t>v</w:t>
      </w:r>
      <w:proofErr w:type="gramEnd"/>
      <w:r>
        <w:t>.</w:t>
      </w:r>
    </w:p>
    <w:p w14:paraId="76E0D26A" w14:textId="77777777" w:rsidR="00577B7B" w:rsidRDefault="00402556" w:rsidP="0091263A">
      <w:pPr>
        <w:pStyle w:val="SCCLsocLastPartyInRole"/>
        <w:tabs>
          <w:tab w:val="clear" w:pos="8222"/>
          <w:tab w:val="right" w:pos="8280"/>
        </w:tabs>
      </w:pPr>
      <w:r>
        <w:t>Nigel Vernon Lafrance</w:t>
      </w:r>
      <w:r>
        <w:rPr>
          <w:rStyle w:val="SCCLsocPartyRole"/>
        </w:rPr>
        <w:tab/>
        <w:t>Respondent</w:t>
      </w:r>
    </w:p>
    <w:p w14:paraId="29F5315B" w14:textId="77777777" w:rsidR="00577B7B" w:rsidRDefault="00402556">
      <w:pPr>
        <w:pStyle w:val="SCCLsocOtherPartySeparator"/>
      </w:pPr>
      <w:proofErr w:type="gramStart"/>
      <w:r>
        <w:t>and</w:t>
      </w:r>
      <w:proofErr w:type="gramEnd"/>
    </w:p>
    <w:p w14:paraId="3E734BD9" w14:textId="77777777" w:rsidR="00577B7B" w:rsidRDefault="00402556">
      <w:pPr>
        <w:pStyle w:val="SCCLsocParty"/>
      </w:pPr>
      <w:r>
        <w:t>Attorney General of Ontario,</w:t>
      </w:r>
    </w:p>
    <w:p w14:paraId="68318ADD" w14:textId="0DFA5E83" w:rsidR="00577B7B" w:rsidRDefault="00402556">
      <w:pPr>
        <w:pStyle w:val="SCCLsocParty"/>
      </w:pPr>
      <w:r>
        <w:t>Canadian Civil Liberties Association</w:t>
      </w:r>
      <w:r w:rsidR="00C02722">
        <w:t xml:space="preserve"> and</w:t>
      </w:r>
    </w:p>
    <w:p w14:paraId="4FA9219E" w14:textId="77777777" w:rsidR="00577B7B" w:rsidRDefault="00402556" w:rsidP="0091263A">
      <w:pPr>
        <w:pStyle w:val="SCCLsocLastPartyInRole"/>
        <w:tabs>
          <w:tab w:val="clear" w:pos="8222"/>
          <w:tab w:val="right" w:pos="8280"/>
        </w:tabs>
      </w:pPr>
      <w:r>
        <w:t>Criminal Lawyers</w:t>
      </w:r>
      <w:r w:rsidR="00862AF3">
        <w:t>’</w:t>
      </w:r>
      <w:r>
        <w:t xml:space="preserve"> Association</w:t>
      </w:r>
      <w:r>
        <w:rPr>
          <w:rStyle w:val="SCCLsocPartyRole"/>
        </w:rPr>
        <w:tab/>
        <w:t>Interveners</w:t>
      </w:r>
    </w:p>
    <w:p w14:paraId="1DB9A3BA" w14:textId="77777777" w:rsidR="00426659" w:rsidRPr="00426659" w:rsidRDefault="00426659" w:rsidP="0091263A">
      <w:pPr>
        <w:spacing w:after="720"/>
        <w:jc w:val="both"/>
        <w:rPr>
          <w:b/>
        </w:rPr>
      </w:pPr>
      <w:r w:rsidRPr="00426659">
        <w:rPr>
          <w:b/>
        </w:rPr>
        <w:t>Indexed as:</w:t>
      </w:r>
      <w:r>
        <w:rPr>
          <w:b/>
        </w:rPr>
        <w:t xml:space="preserve"> </w:t>
      </w:r>
      <w:r>
        <w:rPr>
          <w:rStyle w:val="SCCAppellantForIndexChar"/>
        </w:rPr>
        <w:t>R.</w:t>
      </w:r>
      <w:r w:rsidRPr="00426659">
        <w:rPr>
          <w:b/>
        </w:rPr>
        <w:t xml:space="preserve"> </w:t>
      </w:r>
      <w:r w:rsidRPr="00426659">
        <w:rPr>
          <w:b/>
          <w:i/>
        </w:rPr>
        <w:t>v.</w:t>
      </w:r>
      <w:r w:rsidRPr="00426659">
        <w:rPr>
          <w:b/>
        </w:rPr>
        <w:t xml:space="preserve"> </w:t>
      </w:r>
      <w:r>
        <w:rPr>
          <w:rStyle w:val="SCCRespondentForIndexChar"/>
        </w:rPr>
        <w:t>Lafrance</w:t>
      </w:r>
    </w:p>
    <w:p w14:paraId="2EDBD647" w14:textId="0DA54BF3" w:rsidR="00426659" w:rsidRPr="00C02092" w:rsidRDefault="00610ECE" w:rsidP="0091263A">
      <w:pPr>
        <w:pStyle w:val="SCCSystemYear"/>
        <w:spacing w:after="720"/>
        <w:jc w:val="both"/>
      </w:pPr>
      <w:r>
        <w:t>2022</w:t>
      </w:r>
      <w:r w:rsidR="003D0399">
        <w:t xml:space="preserve"> </w:t>
      </w:r>
      <w:r w:rsidR="0091263A" w:rsidRPr="00D26470">
        <w:t xml:space="preserve">SCC </w:t>
      </w:r>
      <w:r w:rsidR="008A432A" w:rsidRPr="00D26470">
        <w:t>32</w:t>
      </w:r>
    </w:p>
    <w:p w14:paraId="7FAF9082" w14:textId="77777777" w:rsidR="008322BD" w:rsidRDefault="00991CA6" w:rsidP="0091263A">
      <w:pPr>
        <w:spacing w:after="720"/>
        <w:jc w:val="both"/>
      </w:pPr>
      <w:r>
        <w:t xml:space="preserve">File No.: </w:t>
      </w:r>
      <w:r w:rsidR="009B57B3">
        <w:t>39570</w:t>
      </w:r>
      <w:r w:rsidR="009B57B3" w:rsidRPr="001426A9">
        <w:t>.</w:t>
      </w:r>
    </w:p>
    <w:p w14:paraId="7AB2DC9E" w14:textId="17CAFA9F" w:rsidR="008322BD" w:rsidRDefault="00AE4535" w:rsidP="0091263A">
      <w:pPr>
        <w:spacing w:after="720"/>
        <w:jc w:val="both"/>
      </w:pPr>
      <w:r>
        <w:t>2021: December 3</w:t>
      </w:r>
      <w:r w:rsidR="009B57B3" w:rsidRPr="001426A9">
        <w:t xml:space="preserve">; </w:t>
      </w:r>
      <w:r w:rsidR="00014E24" w:rsidRPr="00014E24">
        <w:t>2022:</w:t>
      </w:r>
      <w:r w:rsidR="00014E24">
        <w:t xml:space="preserve"> July 22</w:t>
      </w:r>
      <w:r w:rsidR="009B57B3" w:rsidRPr="001426A9">
        <w:t>.</w:t>
      </w:r>
    </w:p>
    <w:p w14:paraId="7AE427AC" w14:textId="77777777" w:rsidR="008322BD" w:rsidRDefault="00991CA6" w:rsidP="0091263A">
      <w:pPr>
        <w:spacing w:after="720"/>
        <w:jc w:val="both"/>
      </w:pPr>
      <w:r>
        <w:t>Present: Wagner C.J. and</w:t>
      </w:r>
      <w:r w:rsidR="009B57B3">
        <w:t xml:space="preserve"> Moldaver, Karakatsanis, Côté, Brown, </w:t>
      </w:r>
      <w:r>
        <w:t>Rowe, Martin, Kasirer and Jamal </w:t>
      </w:r>
      <w:r w:rsidR="009B57B3">
        <w:t>JJ.</w:t>
      </w:r>
    </w:p>
    <w:p w14:paraId="21D680A4" w14:textId="77777777" w:rsidR="008322BD" w:rsidRPr="001C779F" w:rsidRDefault="00656313" w:rsidP="0091263A">
      <w:pPr>
        <w:pStyle w:val="SCCLowerCourtNameLowercase"/>
        <w:spacing w:after="720" w:line="240" w:lineRule="auto"/>
      </w:pPr>
      <w:r>
        <w:t>o</w:t>
      </w:r>
      <w:r w:rsidR="00170592">
        <w:t>n</w:t>
      </w:r>
      <w:r w:rsidR="00224FC0">
        <w:t xml:space="preserve"> </w:t>
      </w:r>
      <w:r>
        <w:t>a</w:t>
      </w:r>
      <w:r w:rsidR="00170592">
        <w:t>ppeal</w:t>
      </w:r>
      <w:r w:rsidR="00224FC0">
        <w:t xml:space="preserve"> </w:t>
      </w:r>
      <w:r w:rsidR="00170592">
        <w:t>from</w:t>
      </w:r>
      <w:r w:rsidR="009567AA">
        <w:t xml:space="preserve"> the</w:t>
      </w:r>
      <w:r w:rsidR="00224FC0">
        <w:t xml:space="preserve"> </w:t>
      </w:r>
      <w:r w:rsidR="009B57B3">
        <w:t>court</w:t>
      </w:r>
      <w:r w:rsidR="00B54C9F">
        <w:t xml:space="preserve"> of appeal of alberta</w:t>
      </w:r>
    </w:p>
    <w:p w14:paraId="4CB97EBB" w14:textId="796F7B2E" w:rsidR="00E50D5F" w:rsidRDefault="00114AD6" w:rsidP="00114AD6">
      <w:pPr>
        <w:pStyle w:val="SCCNormalDoubleSpacing"/>
        <w:spacing w:after="480"/>
        <w:rPr>
          <w:i/>
          <w:iCs/>
          <w:color w:val="000000"/>
          <w:szCs w:val="24"/>
          <w:lang w:val="en-GB"/>
        </w:rPr>
      </w:pPr>
      <w:r>
        <w:rPr>
          <w:i/>
          <w:iCs/>
          <w:color w:val="000000"/>
          <w:szCs w:val="24"/>
          <w:lang w:val="en-GB"/>
        </w:rPr>
        <w:tab/>
      </w:r>
      <w:r w:rsidR="00E50D5F">
        <w:rPr>
          <w:i/>
          <w:iCs/>
          <w:color w:val="000000"/>
          <w:szCs w:val="24"/>
          <w:lang w:val="en-GB"/>
        </w:rPr>
        <w:t xml:space="preserve">Constitutional law — Charter of Rights </w:t>
      </w:r>
      <w:r w:rsidR="00E50D5F" w:rsidRPr="00E16F80">
        <w:rPr>
          <w:i/>
          <w:iCs/>
          <w:color w:val="000000"/>
          <w:szCs w:val="24"/>
          <w:lang w:val="en-GB"/>
        </w:rPr>
        <w:t>— Detention</w:t>
      </w:r>
      <w:r w:rsidR="00E50D5F">
        <w:rPr>
          <w:i/>
          <w:iCs/>
          <w:color w:val="000000"/>
          <w:szCs w:val="24"/>
          <w:lang w:val="en-GB"/>
        </w:rPr>
        <w:t xml:space="preserve"> — Right to counsel — Police entering suspect’s home in early morning to execute search warrant and </w:t>
      </w:r>
      <w:r w:rsidR="00E50D5F">
        <w:rPr>
          <w:i/>
          <w:iCs/>
          <w:color w:val="000000"/>
          <w:szCs w:val="24"/>
          <w:lang w:val="en-GB"/>
        </w:rPr>
        <w:lastRenderedPageBreak/>
        <w:t xml:space="preserve">driving him </w:t>
      </w:r>
      <w:r w:rsidR="00E50D5F" w:rsidRPr="00EE77FD">
        <w:rPr>
          <w:i/>
          <w:szCs w:val="24"/>
        </w:rPr>
        <w:t xml:space="preserve">to police station </w:t>
      </w:r>
      <w:r w:rsidR="00E50D5F">
        <w:rPr>
          <w:i/>
          <w:szCs w:val="24"/>
        </w:rPr>
        <w:t>for</w:t>
      </w:r>
      <w:r w:rsidR="00E50D5F" w:rsidRPr="00EE77FD">
        <w:rPr>
          <w:i/>
          <w:szCs w:val="24"/>
        </w:rPr>
        <w:t xml:space="preserve"> interview without </w:t>
      </w:r>
      <w:r w:rsidR="00E50D5F">
        <w:rPr>
          <w:i/>
          <w:szCs w:val="24"/>
        </w:rPr>
        <w:t>advising him</w:t>
      </w:r>
      <w:r w:rsidR="00E50D5F" w:rsidRPr="00EE77FD">
        <w:rPr>
          <w:i/>
          <w:szCs w:val="24"/>
        </w:rPr>
        <w:t xml:space="preserve"> of right to </w:t>
      </w:r>
      <w:r w:rsidR="00E50D5F">
        <w:rPr>
          <w:i/>
          <w:szCs w:val="24"/>
        </w:rPr>
        <w:t>counsel</w:t>
      </w:r>
      <w:r w:rsidR="00E50D5F" w:rsidRPr="00EE77FD">
        <w:rPr>
          <w:i/>
          <w:szCs w:val="24"/>
        </w:rPr>
        <w:t xml:space="preserve"> —</w:t>
      </w:r>
      <w:r w:rsidR="00E50D5F">
        <w:rPr>
          <w:i/>
          <w:szCs w:val="24"/>
        </w:rPr>
        <w:t xml:space="preserve"> Police later arresting suspect and conducting second interview after legal aid lawyer consulted — Suspect requesting during second interview to call </w:t>
      </w:r>
      <w:r w:rsidR="00E50D5F" w:rsidRPr="00EE77FD">
        <w:rPr>
          <w:i/>
          <w:szCs w:val="24"/>
        </w:rPr>
        <w:t>his father for assistance in obtaining legal advice but</w:t>
      </w:r>
      <w:r w:rsidR="00E50D5F" w:rsidRPr="00D56ED0">
        <w:rPr>
          <w:i/>
          <w:szCs w:val="24"/>
        </w:rPr>
        <w:t xml:space="preserve"> request refused </w:t>
      </w:r>
      <w:r w:rsidR="00E50D5F">
        <w:rPr>
          <w:i/>
          <w:szCs w:val="24"/>
        </w:rPr>
        <w:t xml:space="preserve">— Suspect confessing </w:t>
      </w:r>
      <w:r w:rsidR="00BA56F4">
        <w:rPr>
          <w:i/>
          <w:szCs w:val="24"/>
        </w:rPr>
        <w:t xml:space="preserve">during second interview </w:t>
      </w:r>
      <w:r w:rsidR="00E50D5F">
        <w:rPr>
          <w:i/>
          <w:szCs w:val="24"/>
        </w:rPr>
        <w:t xml:space="preserve">to killing victim but seeking exclusion of confession at trial on basis that police breached his right to counsel — </w:t>
      </w:r>
      <w:r w:rsidR="00E50D5F">
        <w:rPr>
          <w:i/>
          <w:iCs/>
          <w:color w:val="000000"/>
          <w:szCs w:val="24"/>
          <w:lang w:val="en-GB"/>
        </w:rPr>
        <w:t xml:space="preserve">Whether police detained suspect and breached his right to counsel on day of execution of warrant — Whether police breached suspect’s right to counsel on day of arrest by refusing to allow him to have further consultation with lawyer — </w:t>
      </w:r>
      <w:r w:rsidR="00E50D5F" w:rsidRPr="00F21AAB">
        <w:rPr>
          <w:i/>
          <w:iCs/>
          <w:color w:val="000000"/>
          <w:szCs w:val="24"/>
        </w:rPr>
        <w:t>If so, whether admission of evidence would bring administration of justice into dis</w:t>
      </w:r>
      <w:r w:rsidR="00E50D5F">
        <w:rPr>
          <w:i/>
          <w:iCs/>
          <w:color w:val="000000"/>
          <w:szCs w:val="24"/>
        </w:rPr>
        <w:t xml:space="preserve">repute warranting its exclusion </w:t>
      </w:r>
      <w:r w:rsidR="00E50D5F">
        <w:rPr>
          <w:i/>
          <w:iCs/>
          <w:color w:val="000000"/>
          <w:szCs w:val="24"/>
          <w:lang w:val="en-GB"/>
        </w:rPr>
        <w:t>— Canadian Charter of Rights and Freedoms, ss. 10(b), 24(2).</w:t>
      </w:r>
    </w:p>
    <w:p w14:paraId="033FBBCE" w14:textId="60F5C30B" w:rsidR="00E50D5F" w:rsidRDefault="00114AD6" w:rsidP="00114AD6">
      <w:pPr>
        <w:pStyle w:val="SCCNormalDoubleSpacing"/>
        <w:spacing w:after="480"/>
        <w:rPr>
          <w:iCs/>
          <w:color w:val="000000"/>
          <w:szCs w:val="24"/>
          <w:lang w:val="en-GB"/>
        </w:rPr>
      </w:pPr>
      <w:r>
        <w:rPr>
          <w:iCs/>
          <w:color w:val="000000"/>
          <w:szCs w:val="24"/>
          <w:lang w:val="en-GB"/>
        </w:rPr>
        <w:tab/>
      </w:r>
      <w:r w:rsidR="00E50D5F">
        <w:rPr>
          <w:iCs/>
          <w:color w:val="000000"/>
          <w:szCs w:val="24"/>
          <w:lang w:val="en-GB"/>
        </w:rPr>
        <w:t>The police suspected that L might have been involved in the death of an individual. Two days after the death, a team of armed police officers entered L’s home to execu</w:t>
      </w:r>
      <w:r>
        <w:rPr>
          <w:iCs/>
          <w:color w:val="000000"/>
          <w:szCs w:val="24"/>
          <w:lang w:val="en-GB"/>
        </w:rPr>
        <w:t>te a search warrant. L was a 19</w:t>
      </w:r>
      <w:r>
        <w:rPr>
          <w:iCs/>
          <w:color w:val="000000"/>
          <w:szCs w:val="24"/>
          <w:lang w:val="en-GB"/>
        </w:rPr>
        <w:noBreakHyphen/>
        <w:t>year</w:t>
      </w:r>
      <w:r>
        <w:rPr>
          <w:iCs/>
          <w:color w:val="000000"/>
          <w:szCs w:val="24"/>
          <w:lang w:val="en-GB"/>
        </w:rPr>
        <w:noBreakHyphen/>
      </w:r>
      <w:r w:rsidR="00E50D5F">
        <w:rPr>
          <w:iCs/>
          <w:color w:val="000000"/>
          <w:szCs w:val="24"/>
          <w:lang w:val="en-GB"/>
        </w:rPr>
        <w:t>old recent high school graduate, was Indigenous, had had minimal police exposure and was of much smaller stature than the officers. The officers awoke him and ordered him to dress and leave the premises. He was led to a police officer who asked him to identify himself and to come to the police station to provide a statement</w:t>
      </w:r>
      <w:r w:rsidR="00CA3DC3">
        <w:rPr>
          <w:iCs/>
          <w:color w:val="000000"/>
          <w:szCs w:val="24"/>
          <w:lang w:val="en-GB"/>
        </w:rPr>
        <w:t xml:space="preserve"> regarding the alleged murder. </w:t>
      </w:r>
      <w:r w:rsidR="00E50D5F">
        <w:rPr>
          <w:iCs/>
          <w:color w:val="000000"/>
          <w:szCs w:val="24"/>
          <w:lang w:val="en-GB"/>
        </w:rPr>
        <w:t xml:space="preserve">The police drove him to the police station, took him to a secure environment and interviewed him for over three hours. Approximately three weeks later, the police arrested L for murder. That day, after allowing him to call Legal Aid, they interviewed him. Several hours into the interview, L asked to call his father because that would be his only chance of getting a lawyer </w:t>
      </w:r>
      <w:r w:rsidR="00E50D5F" w:rsidRPr="003D106E">
        <w:rPr>
          <w:iCs/>
          <w:szCs w:val="24"/>
          <w:lang w:val="en-GB"/>
        </w:rPr>
        <w:t xml:space="preserve">and </w:t>
      </w:r>
      <w:r w:rsidR="00E50D5F">
        <w:rPr>
          <w:iCs/>
          <w:szCs w:val="24"/>
          <w:lang w:val="en-GB"/>
        </w:rPr>
        <w:t xml:space="preserve">because </w:t>
      </w:r>
      <w:r w:rsidR="00E50D5F" w:rsidRPr="003D106E">
        <w:rPr>
          <w:iCs/>
          <w:szCs w:val="24"/>
          <w:lang w:val="en-GB"/>
        </w:rPr>
        <w:t>Legal Aid told him to get a lawyer before he continue</w:t>
      </w:r>
      <w:r w:rsidR="00E50D5F">
        <w:rPr>
          <w:iCs/>
          <w:szCs w:val="24"/>
          <w:lang w:val="en-GB"/>
        </w:rPr>
        <w:t>d</w:t>
      </w:r>
      <w:r w:rsidR="00E50D5F" w:rsidRPr="003D106E">
        <w:rPr>
          <w:iCs/>
          <w:szCs w:val="24"/>
          <w:lang w:val="en-GB"/>
        </w:rPr>
        <w:t xml:space="preserve"> talking.</w:t>
      </w:r>
      <w:r w:rsidR="00E50D5F">
        <w:rPr>
          <w:iCs/>
          <w:color w:val="000000"/>
          <w:szCs w:val="24"/>
          <w:lang w:val="en-GB"/>
        </w:rPr>
        <w:t xml:space="preserve"> </w:t>
      </w:r>
      <w:r w:rsidR="00E50D5F">
        <w:rPr>
          <w:iCs/>
          <w:color w:val="000000"/>
          <w:szCs w:val="24"/>
          <w:lang w:val="en-GB"/>
        </w:rPr>
        <w:lastRenderedPageBreak/>
        <w:t>The police refused the request and pushed for answers. L eventually confessed to killing the victim.</w:t>
      </w:r>
    </w:p>
    <w:p w14:paraId="3F148895" w14:textId="08A20E57" w:rsidR="00E50D5F" w:rsidRDefault="00E50D5F" w:rsidP="00114AD6">
      <w:pPr>
        <w:pStyle w:val="SCCNormalDoubleSpacing"/>
        <w:spacing w:after="480"/>
        <w:rPr>
          <w:iCs/>
          <w:color w:val="000000"/>
          <w:szCs w:val="24"/>
          <w:lang w:val="en-GB"/>
        </w:rPr>
      </w:pPr>
      <w:r>
        <w:rPr>
          <w:iCs/>
          <w:color w:val="000000"/>
          <w:szCs w:val="24"/>
          <w:lang w:val="en-GB"/>
        </w:rPr>
        <w:tab/>
        <w:t>At trial,</w:t>
      </w:r>
      <w:r w:rsidR="00CA3DC3">
        <w:rPr>
          <w:iCs/>
          <w:color w:val="000000"/>
          <w:szCs w:val="24"/>
          <w:lang w:val="en-GB"/>
        </w:rPr>
        <w:t xml:space="preserve"> </w:t>
      </w:r>
      <w:r>
        <w:rPr>
          <w:iCs/>
          <w:color w:val="000000"/>
          <w:szCs w:val="24"/>
          <w:lang w:val="en-GB"/>
        </w:rPr>
        <w:t xml:space="preserve">L sought to exclude his confession by arguing that the police had detained him on the day of the execution of the warrant and breached his right to counsel pursuant to s. 10(b) of the </w:t>
      </w:r>
      <w:r>
        <w:rPr>
          <w:i/>
          <w:iCs/>
          <w:color w:val="000000"/>
          <w:szCs w:val="24"/>
          <w:lang w:val="en-GB"/>
        </w:rPr>
        <w:t>Charter</w:t>
      </w:r>
      <w:r>
        <w:rPr>
          <w:iCs/>
          <w:color w:val="000000"/>
          <w:szCs w:val="24"/>
          <w:lang w:val="en-GB"/>
        </w:rPr>
        <w:t xml:space="preserve"> on the day of the execution of the warrant and on the day of his arrest</w:t>
      </w:r>
      <w:r w:rsidRPr="00AF5464">
        <w:rPr>
          <w:iCs/>
          <w:color w:val="000000"/>
          <w:szCs w:val="24"/>
          <w:lang w:val="en-GB"/>
        </w:rPr>
        <w:t>.</w:t>
      </w:r>
      <w:r>
        <w:rPr>
          <w:iCs/>
          <w:color w:val="000000"/>
          <w:szCs w:val="24"/>
          <w:lang w:val="en-GB"/>
        </w:rPr>
        <w:t xml:space="preserve"> The trial judge admitted the evidence, finding that L had not been detained on the day of the execution of the warrant, and the police were not required to allow him a second opportunity to call a lawyer on the day of the arrest. L wa</w:t>
      </w:r>
      <w:r w:rsidR="00BF13F6">
        <w:rPr>
          <w:iCs/>
          <w:color w:val="000000"/>
          <w:szCs w:val="24"/>
          <w:lang w:val="en-GB"/>
        </w:rPr>
        <w:t>s convicted by a jury of second</w:t>
      </w:r>
      <w:r w:rsidR="00BF13F6">
        <w:rPr>
          <w:iCs/>
          <w:color w:val="000000"/>
          <w:szCs w:val="24"/>
          <w:lang w:val="en-GB"/>
        </w:rPr>
        <w:noBreakHyphen/>
      </w:r>
      <w:r>
        <w:rPr>
          <w:iCs/>
          <w:color w:val="000000"/>
          <w:szCs w:val="24"/>
          <w:lang w:val="en-GB"/>
        </w:rPr>
        <w:t>degree murder. The majority of the Court of Appeal allowed his appeal,</w:t>
      </w:r>
      <w:r w:rsidR="00114AD6">
        <w:rPr>
          <w:iCs/>
          <w:color w:val="000000"/>
          <w:szCs w:val="24"/>
          <w:lang w:val="en-GB"/>
        </w:rPr>
        <w:t xml:space="preserve"> excluded the evidence under s. </w:t>
      </w:r>
      <w:r>
        <w:rPr>
          <w:iCs/>
          <w:color w:val="000000"/>
          <w:szCs w:val="24"/>
          <w:lang w:val="en-GB"/>
        </w:rPr>
        <w:t xml:space="preserve">24(2) of the </w:t>
      </w:r>
      <w:r>
        <w:rPr>
          <w:i/>
          <w:iCs/>
          <w:color w:val="000000"/>
          <w:szCs w:val="24"/>
          <w:lang w:val="en-GB"/>
        </w:rPr>
        <w:t>Charter</w:t>
      </w:r>
      <w:r>
        <w:rPr>
          <w:iCs/>
          <w:color w:val="000000"/>
          <w:szCs w:val="24"/>
          <w:lang w:val="en-GB"/>
        </w:rPr>
        <w:t xml:space="preserve"> and ordered a new trial.</w:t>
      </w:r>
    </w:p>
    <w:p w14:paraId="11C87F32" w14:textId="77777777" w:rsidR="00E50D5F" w:rsidRDefault="00E50D5F" w:rsidP="00114AD6">
      <w:pPr>
        <w:pStyle w:val="SCCNormalDoubleSpacing"/>
        <w:spacing w:after="480"/>
        <w:rPr>
          <w:iCs/>
          <w:color w:val="000000"/>
          <w:szCs w:val="24"/>
          <w:lang w:val="en-GB"/>
        </w:rPr>
      </w:pPr>
      <w:r>
        <w:rPr>
          <w:iCs/>
          <w:color w:val="000000"/>
          <w:szCs w:val="24"/>
          <w:lang w:val="en-GB"/>
        </w:rPr>
        <w:tab/>
      </w:r>
      <w:r>
        <w:rPr>
          <w:i/>
          <w:iCs/>
          <w:color w:val="000000"/>
          <w:szCs w:val="24"/>
          <w:lang w:val="en-GB"/>
        </w:rPr>
        <w:t>Held</w:t>
      </w:r>
      <w:r>
        <w:rPr>
          <w:iCs/>
          <w:color w:val="000000"/>
          <w:szCs w:val="24"/>
          <w:lang w:val="en-GB"/>
        </w:rPr>
        <w:t xml:space="preserve"> (Wagner C.J. and Moldaver, Côté and Rowe JJ. dissenting): The appeal should be dismissed.</w:t>
      </w:r>
    </w:p>
    <w:p w14:paraId="53C45B15" w14:textId="2762BB9F" w:rsidR="00E50D5F" w:rsidRDefault="00114AD6" w:rsidP="00114AD6">
      <w:pPr>
        <w:pStyle w:val="SCCNormalDoubleSpacing"/>
        <w:spacing w:after="480"/>
        <w:rPr>
          <w:iCs/>
          <w:color w:val="000000"/>
          <w:szCs w:val="24"/>
          <w:lang w:val="en-GB"/>
        </w:rPr>
      </w:pPr>
      <w:r>
        <w:rPr>
          <w:i/>
          <w:iCs/>
          <w:color w:val="000000"/>
          <w:szCs w:val="24"/>
          <w:lang w:val="en-GB"/>
        </w:rPr>
        <w:tab/>
      </w:r>
      <w:r w:rsidR="00E50D5F">
        <w:rPr>
          <w:i/>
          <w:iCs/>
          <w:color w:val="000000"/>
          <w:szCs w:val="24"/>
          <w:lang w:val="en-GB"/>
        </w:rPr>
        <w:t>Per</w:t>
      </w:r>
      <w:r w:rsidR="00E50D5F">
        <w:rPr>
          <w:iCs/>
          <w:color w:val="000000"/>
          <w:szCs w:val="24"/>
          <w:lang w:val="en-GB"/>
        </w:rPr>
        <w:t xml:space="preserve"> Karakatsanis, </w:t>
      </w:r>
      <w:r w:rsidR="00E50D5F">
        <w:rPr>
          <w:b/>
          <w:iCs/>
          <w:color w:val="000000"/>
          <w:szCs w:val="24"/>
          <w:lang w:val="en-GB"/>
        </w:rPr>
        <w:t>Brown</w:t>
      </w:r>
      <w:r w:rsidR="00E50D5F">
        <w:rPr>
          <w:iCs/>
          <w:color w:val="000000"/>
          <w:szCs w:val="24"/>
          <w:lang w:val="en-GB"/>
        </w:rPr>
        <w:t xml:space="preserve">, </w:t>
      </w:r>
      <w:r w:rsidR="00E50D5F" w:rsidRPr="001D2896">
        <w:rPr>
          <w:iCs/>
          <w:color w:val="000000"/>
          <w:szCs w:val="24"/>
          <w:lang w:val="en-GB"/>
        </w:rPr>
        <w:t>Martin, Kasirer</w:t>
      </w:r>
      <w:r w:rsidR="00E50D5F">
        <w:rPr>
          <w:iCs/>
          <w:color w:val="000000"/>
          <w:szCs w:val="24"/>
          <w:lang w:val="en-GB"/>
        </w:rPr>
        <w:t xml:space="preserve"> and Jamal</w:t>
      </w:r>
      <w:r w:rsidR="00E50D5F">
        <w:rPr>
          <w:b/>
          <w:iCs/>
          <w:color w:val="000000"/>
          <w:szCs w:val="24"/>
          <w:lang w:val="en-GB"/>
        </w:rPr>
        <w:t xml:space="preserve"> </w:t>
      </w:r>
      <w:r w:rsidR="00E50D5F">
        <w:rPr>
          <w:iCs/>
          <w:color w:val="000000"/>
          <w:szCs w:val="24"/>
          <w:lang w:val="en-GB"/>
        </w:rPr>
        <w:t xml:space="preserve">JJ.: The police detained L on the day of </w:t>
      </w:r>
      <w:r w:rsidR="00E50D5F" w:rsidRPr="00501188">
        <w:rPr>
          <w:iCs/>
          <w:szCs w:val="24"/>
          <w:lang w:val="en-GB"/>
        </w:rPr>
        <w:t xml:space="preserve">the execution of the warrant and then </w:t>
      </w:r>
      <w:r w:rsidR="00E50D5F">
        <w:rPr>
          <w:iCs/>
          <w:color w:val="000000"/>
          <w:szCs w:val="24"/>
          <w:lang w:val="en-GB"/>
        </w:rPr>
        <w:t xml:space="preserve">breached s. 10(b) </w:t>
      </w:r>
      <w:r w:rsidR="00E50D5F" w:rsidRPr="00534C0D">
        <w:rPr>
          <w:iCs/>
          <w:color w:val="000000"/>
          <w:szCs w:val="24"/>
          <w:lang w:val="en-GB"/>
        </w:rPr>
        <w:t>by</w:t>
      </w:r>
      <w:r w:rsidR="00E50D5F">
        <w:rPr>
          <w:iCs/>
          <w:color w:val="000000"/>
          <w:szCs w:val="24"/>
          <w:lang w:val="en-GB"/>
        </w:rPr>
        <w:t xml:space="preserve"> failing to inform him of his right to counsel. The police committed another breach of s. 10(b) on the day of the arrest by refusing to allow L to contact a lawyer in circumstances which showed that his initial conversation with Legal Aid was insufficient for the purposes of s. 10(b). These were serious breaches, substantially impacting L’s </w:t>
      </w:r>
      <w:r w:rsidR="00E50D5F">
        <w:rPr>
          <w:i/>
          <w:iCs/>
          <w:color w:val="000000"/>
          <w:szCs w:val="24"/>
          <w:lang w:val="en-GB"/>
        </w:rPr>
        <w:t>Charter</w:t>
      </w:r>
      <w:r>
        <w:rPr>
          <w:iCs/>
          <w:color w:val="000000"/>
          <w:szCs w:val="24"/>
          <w:lang w:val="en-GB"/>
        </w:rPr>
        <w:noBreakHyphen/>
      </w:r>
      <w:r w:rsidR="00E50D5F">
        <w:rPr>
          <w:iCs/>
          <w:color w:val="000000"/>
          <w:szCs w:val="24"/>
          <w:lang w:val="en-GB"/>
        </w:rPr>
        <w:t>protected interests, and admitting the evidence thereby obtained would bring the administration of justice into disrepute.</w:t>
      </w:r>
    </w:p>
    <w:p w14:paraId="2EE71E21" w14:textId="4D713A72" w:rsidR="00E50D5F" w:rsidRDefault="00114AD6" w:rsidP="00114AD6">
      <w:pPr>
        <w:pStyle w:val="SCCNormalDoubleSpacing"/>
        <w:spacing w:after="480"/>
        <w:rPr>
          <w:rFonts w:eastAsia="Calibri"/>
          <w:szCs w:val="24"/>
          <w:lang w:bidi="en-US"/>
        </w:rPr>
      </w:pPr>
      <w:r>
        <w:rPr>
          <w:iCs/>
          <w:color w:val="000000"/>
          <w:szCs w:val="24"/>
          <w:lang w:val="en-GB"/>
        </w:rPr>
        <w:lastRenderedPageBreak/>
        <w:tab/>
      </w:r>
      <w:r w:rsidR="00E50D5F" w:rsidRPr="00AC6A17">
        <w:rPr>
          <w:iCs/>
          <w:color w:val="000000"/>
          <w:szCs w:val="24"/>
          <w:lang w:val="en-GB"/>
        </w:rPr>
        <w:t>The</w:t>
      </w:r>
      <w:r w:rsidR="00E50D5F">
        <w:rPr>
          <w:iCs/>
          <w:color w:val="000000"/>
          <w:szCs w:val="24"/>
          <w:lang w:val="en-GB"/>
        </w:rPr>
        <w:t xml:space="preserve"> </w:t>
      </w:r>
      <w:r w:rsidR="00E50D5F" w:rsidRPr="00B21001">
        <w:rPr>
          <w:iCs/>
          <w:color w:val="000000"/>
          <w:szCs w:val="24"/>
          <w:lang w:val="en-GB"/>
        </w:rPr>
        <w:t xml:space="preserve">test </w:t>
      </w:r>
      <w:r w:rsidR="00E50D5F">
        <w:rPr>
          <w:iCs/>
          <w:color w:val="000000"/>
          <w:szCs w:val="24"/>
          <w:lang w:val="en-GB"/>
        </w:rPr>
        <w:t>that should be applied</w:t>
      </w:r>
      <w:r w:rsidR="00CA3DC3">
        <w:rPr>
          <w:iCs/>
          <w:color w:val="000000"/>
          <w:szCs w:val="24"/>
          <w:lang w:val="en-GB"/>
        </w:rPr>
        <w:t xml:space="preserve"> </w:t>
      </w:r>
      <w:r w:rsidR="00E50D5F">
        <w:rPr>
          <w:iCs/>
          <w:color w:val="000000"/>
          <w:szCs w:val="24"/>
          <w:lang w:val="en-GB"/>
        </w:rPr>
        <w:t xml:space="preserve">in every instance of alleged detention by police </w:t>
      </w:r>
      <w:r w:rsidR="00E50D5F" w:rsidRPr="00AC6A17">
        <w:rPr>
          <w:iCs/>
          <w:color w:val="000000"/>
          <w:szCs w:val="24"/>
          <w:lang w:val="en-GB"/>
        </w:rPr>
        <w:t>is the test</w:t>
      </w:r>
      <w:r w:rsidR="00E50D5F">
        <w:rPr>
          <w:iCs/>
          <w:color w:val="FF0000"/>
          <w:szCs w:val="24"/>
          <w:lang w:val="en-GB"/>
        </w:rPr>
        <w:t xml:space="preserve"> </w:t>
      </w:r>
      <w:r w:rsidR="00CA3DC3">
        <w:rPr>
          <w:iCs/>
          <w:color w:val="000000"/>
          <w:szCs w:val="24"/>
          <w:lang w:val="en-GB"/>
        </w:rPr>
        <w:t>stated</w:t>
      </w:r>
      <w:r w:rsidR="00E50D5F">
        <w:rPr>
          <w:iCs/>
          <w:color w:val="000000"/>
          <w:szCs w:val="24"/>
          <w:lang w:val="en-GB"/>
        </w:rPr>
        <w:t xml:space="preserve"> </w:t>
      </w:r>
      <w:r w:rsidR="00E50D5F" w:rsidRPr="00B21001">
        <w:rPr>
          <w:iCs/>
          <w:color w:val="000000"/>
          <w:szCs w:val="24"/>
          <w:lang w:val="en-GB"/>
        </w:rPr>
        <w:t xml:space="preserve">in </w:t>
      </w:r>
      <w:r w:rsidR="00E50D5F" w:rsidRPr="00B21001">
        <w:rPr>
          <w:i/>
          <w:iCs/>
          <w:color w:val="000000"/>
          <w:szCs w:val="24"/>
          <w:lang w:val="en-GB"/>
        </w:rPr>
        <w:t>R. v. Grant</w:t>
      </w:r>
      <w:r w:rsidR="00E50D5F" w:rsidRPr="00B21001">
        <w:rPr>
          <w:iCs/>
          <w:color w:val="000000"/>
          <w:szCs w:val="24"/>
          <w:lang w:val="en-GB"/>
        </w:rPr>
        <w:t>, 2009 SCC 32, [2009] 2 S.C.R. 353</w:t>
      </w:r>
      <w:r w:rsidR="00E50D5F">
        <w:rPr>
          <w:iCs/>
          <w:color w:val="000000"/>
          <w:szCs w:val="24"/>
          <w:lang w:val="en-GB"/>
        </w:rPr>
        <w:t xml:space="preserve">, </w:t>
      </w:r>
      <w:r w:rsidR="00CA3DC3">
        <w:rPr>
          <w:iCs/>
          <w:szCs w:val="24"/>
          <w:lang w:val="en-GB"/>
        </w:rPr>
        <w:t>and</w:t>
      </w:r>
      <w:r w:rsidR="00E50D5F" w:rsidRPr="003D106E">
        <w:rPr>
          <w:iCs/>
          <w:szCs w:val="24"/>
          <w:lang w:val="en-GB"/>
        </w:rPr>
        <w:t xml:space="preserve"> </w:t>
      </w:r>
      <w:r w:rsidR="00E50D5F" w:rsidRPr="003D106E">
        <w:rPr>
          <w:i/>
          <w:iCs/>
          <w:szCs w:val="24"/>
          <w:lang w:val="en-GB" w:bidi="en-US"/>
        </w:rPr>
        <w:t>R. v. Le</w:t>
      </w:r>
      <w:r w:rsidR="00E50D5F" w:rsidRPr="003D106E">
        <w:rPr>
          <w:iCs/>
          <w:szCs w:val="24"/>
          <w:lang w:val="en-GB" w:bidi="en-US"/>
        </w:rPr>
        <w:t>, 2019 SCC 34, [2019] 2 S.C.R. 692</w:t>
      </w:r>
      <w:r w:rsidR="00E50D5F" w:rsidRPr="003D106E">
        <w:rPr>
          <w:iCs/>
          <w:szCs w:val="24"/>
          <w:lang w:val="en-GB"/>
        </w:rPr>
        <w:t xml:space="preserve">. </w:t>
      </w:r>
      <w:r w:rsidR="00CA3DC3">
        <w:rPr>
          <w:iCs/>
          <w:color w:val="000000"/>
          <w:szCs w:val="24"/>
          <w:lang w:val="en-GB"/>
        </w:rPr>
        <w:t>It is comprehensive in scope and</w:t>
      </w:r>
      <w:r w:rsidR="00E50D5F">
        <w:rPr>
          <w:iCs/>
          <w:color w:val="000000"/>
          <w:szCs w:val="24"/>
          <w:lang w:val="en-GB"/>
        </w:rPr>
        <w:t xml:space="preserve"> addresses the full breadth of circumstances that engage the right </w:t>
      </w:r>
      <w:r w:rsidR="00A24FE4">
        <w:rPr>
          <w:iCs/>
          <w:color w:val="000000"/>
          <w:szCs w:val="24"/>
          <w:lang w:val="en-GB"/>
        </w:rPr>
        <w:t>against</w:t>
      </w:r>
      <w:r>
        <w:rPr>
          <w:iCs/>
          <w:color w:val="000000"/>
          <w:szCs w:val="24"/>
          <w:lang w:val="en-GB"/>
        </w:rPr>
        <w:t xml:space="preserve"> self</w:t>
      </w:r>
      <w:r>
        <w:rPr>
          <w:iCs/>
          <w:color w:val="000000"/>
          <w:szCs w:val="24"/>
          <w:lang w:val="en-GB"/>
        </w:rPr>
        <w:noBreakHyphen/>
        <w:t>incrimination protected by s. </w:t>
      </w:r>
      <w:r w:rsidR="00E50D5F">
        <w:rPr>
          <w:iCs/>
          <w:color w:val="000000"/>
          <w:szCs w:val="24"/>
          <w:lang w:val="en-GB"/>
        </w:rPr>
        <w:t xml:space="preserve">10 of the </w:t>
      </w:r>
      <w:r w:rsidR="00E50D5F">
        <w:rPr>
          <w:i/>
          <w:iCs/>
          <w:color w:val="000000"/>
          <w:szCs w:val="24"/>
          <w:lang w:val="en-GB"/>
        </w:rPr>
        <w:t>Charter</w:t>
      </w:r>
      <w:r w:rsidR="00E50D5F">
        <w:rPr>
          <w:iCs/>
          <w:color w:val="000000"/>
          <w:szCs w:val="24"/>
          <w:lang w:val="en-GB"/>
        </w:rPr>
        <w:t>, inclu</w:t>
      </w:r>
      <w:r w:rsidR="00CA3DC3">
        <w:rPr>
          <w:iCs/>
          <w:color w:val="000000"/>
          <w:szCs w:val="24"/>
          <w:lang w:val="en-GB"/>
        </w:rPr>
        <w:t xml:space="preserve">ding investigative detention. </w:t>
      </w:r>
      <w:r w:rsidR="00E50D5F" w:rsidRPr="00CC0C38">
        <w:rPr>
          <w:iCs/>
          <w:szCs w:val="24"/>
          <w:lang w:val="en-GB"/>
        </w:rPr>
        <w:t xml:space="preserve">Trial judges must not consider the factors in </w:t>
      </w:r>
      <w:r w:rsidR="00E50D5F" w:rsidRPr="00CC0C38">
        <w:rPr>
          <w:i/>
          <w:iCs/>
          <w:szCs w:val="24"/>
          <w:lang w:val="en-GB"/>
        </w:rPr>
        <w:t>R. v. Moran</w:t>
      </w:r>
      <w:r w:rsidR="00E50D5F" w:rsidRPr="00CC0C38">
        <w:rPr>
          <w:iCs/>
          <w:szCs w:val="24"/>
          <w:lang w:val="en-GB"/>
        </w:rPr>
        <w:t xml:space="preserve"> (1987), 36 C.C.C. (3d) 225 (Ont. C.A.). </w:t>
      </w:r>
      <w:r w:rsidR="00E50D5F">
        <w:rPr>
          <w:iCs/>
          <w:color w:val="000000"/>
          <w:szCs w:val="24"/>
          <w:lang w:val="en-GB"/>
        </w:rPr>
        <w:t xml:space="preserve">The test for detention </w:t>
      </w:r>
      <w:r w:rsidR="00CA3DC3">
        <w:rPr>
          <w:iCs/>
          <w:color w:val="000000"/>
          <w:szCs w:val="24"/>
          <w:lang w:val="en-GB"/>
        </w:rPr>
        <w:t xml:space="preserve">set out </w:t>
      </w:r>
      <w:r w:rsidR="00E50D5F">
        <w:rPr>
          <w:iCs/>
          <w:color w:val="000000"/>
          <w:szCs w:val="24"/>
          <w:lang w:val="en-GB"/>
        </w:rPr>
        <w:t xml:space="preserve">in </w:t>
      </w:r>
      <w:r w:rsidR="00E50D5F">
        <w:rPr>
          <w:i/>
          <w:iCs/>
          <w:color w:val="000000"/>
          <w:szCs w:val="24"/>
          <w:lang w:val="en-GB"/>
        </w:rPr>
        <w:t>Grant</w:t>
      </w:r>
      <w:r w:rsidR="00E50D5F">
        <w:rPr>
          <w:iCs/>
          <w:color w:val="000000"/>
          <w:szCs w:val="24"/>
          <w:lang w:val="en-GB"/>
        </w:rPr>
        <w:t xml:space="preserve"> </w:t>
      </w:r>
      <w:r w:rsidR="00E50D5F" w:rsidRPr="00CC0C38">
        <w:rPr>
          <w:iCs/>
          <w:szCs w:val="24"/>
          <w:lang w:val="en-GB"/>
        </w:rPr>
        <w:t xml:space="preserve">and expanded in </w:t>
      </w:r>
      <w:r w:rsidR="00E50D5F" w:rsidRPr="00CC0C38">
        <w:rPr>
          <w:i/>
          <w:iCs/>
          <w:szCs w:val="24"/>
          <w:lang w:val="en-GB"/>
        </w:rPr>
        <w:t xml:space="preserve">Le </w:t>
      </w:r>
      <w:r w:rsidR="00E50D5F" w:rsidRPr="00CC0C38">
        <w:rPr>
          <w:iCs/>
          <w:szCs w:val="24"/>
          <w:lang w:val="en-GB"/>
        </w:rPr>
        <w:t>is obj</w:t>
      </w:r>
      <w:r w:rsidR="00E50D5F">
        <w:rPr>
          <w:iCs/>
          <w:color w:val="000000"/>
          <w:szCs w:val="24"/>
          <w:lang w:val="en-GB"/>
        </w:rPr>
        <w:t>ective, and it was restated</w:t>
      </w:r>
      <w:r w:rsidR="00E50D5F" w:rsidRPr="00B21001">
        <w:rPr>
          <w:iCs/>
          <w:color w:val="000000"/>
          <w:szCs w:val="24"/>
          <w:lang w:val="en-GB"/>
        </w:rPr>
        <w:t xml:space="preserve"> to direct the inquiry to the perspective of the reasonable person in the accused’s shoes.</w:t>
      </w:r>
      <w:r w:rsidR="00CA3DC3">
        <w:rPr>
          <w:rFonts w:eastAsia="Calibri"/>
          <w:szCs w:val="24"/>
          <w:lang w:bidi="en-US"/>
        </w:rPr>
        <w:t xml:space="preserve"> </w:t>
      </w:r>
      <w:r w:rsidR="00E50D5F">
        <w:rPr>
          <w:rFonts w:eastAsia="Calibri"/>
          <w:szCs w:val="24"/>
          <w:lang w:bidi="en-US"/>
        </w:rPr>
        <w:t>Under this test, three factors are to be considered and balanced.</w:t>
      </w:r>
    </w:p>
    <w:p w14:paraId="737BA83C" w14:textId="04424CED" w:rsidR="00E50D5F" w:rsidRPr="00B21001" w:rsidRDefault="00114AD6" w:rsidP="00114AD6">
      <w:pPr>
        <w:pStyle w:val="SCCNormalDoubleSpacing"/>
        <w:spacing w:after="480"/>
        <w:rPr>
          <w:rFonts w:eastAsia="Calibri"/>
          <w:szCs w:val="24"/>
          <w:lang w:bidi="en-US"/>
        </w:rPr>
      </w:pPr>
      <w:r>
        <w:rPr>
          <w:rFonts w:eastAsia="Calibri"/>
          <w:szCs w:val="24"/>
          <w:lang w:bidi="en-US"/>
        </w:rPr>
        <w:tab/>
      </w:r>
      <w:r w:rsidR="00CA3DC3">
        <w:rPr>
          <w:rFonts w:eastAsia="Calibri"/>
          <w:szCs w:val="24"/>
          <w:lang w:bidi="en-US"/>
        </w:rPr>
        <w:t>The first factor</w:t>
      </w:r>
      <w:r w:rsidR="00E50D5F">
        <w:rPr>
          <w:rFonts w:eastAsia="Calibri"/>
          <w:szCs w:val="24"/>
          <w:lang w:bidi="en-US"/>
        </w:rPr>
        <w:t xml:space="preserve"> </w:t>
      </w:r>
      <w:r w:rsidR="00E50D5F" w:rsidRPr="00B21001">
        <w:rPr>
          <w:rFonts w:eastAsia="Calibri"/>
          <w:szCs w:val="24"/>
          <w:lang w:bidi="en-US"/>
        </w:rPr>
        <w:t xml:space="preserve">a court must consider </w:t>
      </w:r>
      <w:r w:rsidR="00E50D5F">
        <w:rPr>
          <w:rFonts w:eastAsia="Calibri"/>
          <w:szCs w:val="24"/>
          <w:lang w:bidi="en-US"/>
        </w:rPr>
        <w:t xml:space="preserve">is </w:t>
      </w:r>
      <w:r w:rsidR="00E50D5F" w:rsidRPr="00B21001">
        <w:rPr>
          <w:rFonts w:eastAsia="Calibri"/>
          <w:szCs w:val="24"/>
          <w:lang w:bidi="en-US"/>
        </w:rPr>
        <w:t>how the circumstances of the encounter would have been reasonably perceived by the individual — more specifically, whether the police were providing general assistance; maintaining general order; making general inquiries regarding a particular occurrence; or singling them out for focused investigation. The analysis properly begins at the moment the encounter itself begins.</w:t>
      </w:r>
      <w:r w:rsidR="00E50D5F">
        <w:rPr>
          <w:rFonts w:eastAsia="Calibri"/>
          <w:szCs w:val="24"/>
          <w:lang w:bidi="en-US"/>
        </w:rPr>
        <w:t xml:space="preserve"> </w:t>
      </w:r>
      <w:r w:rsidR="00E50D5F" w:rsidRPr="00BC5049">
        <w:rPr>
          <w:rFonts w:eastAsia="Calibri"/>
          <w:szCs w:val="24"/>
          <w:lang w:bidi="en-US"/>
        </w:rPr>
        <w:t>In the instant case, on the day of the</w:t>
      </w:r>
      <w:r w:rsidR="00E50D5F" w:rsidRPr="00501188">
        <w:rPr>
          <w:rFonts w:eastAsia="Calibri"/>
          <w:szCs w:val="24"/>
          <w:lang w:bidi="en-US"/>
        </w:rPr>
        <w:t xml:space="preserve"> execution of the warrant</w:t>
      </w:r>
      <w:r w:rsidR="00E50D5F" w:rsidRPr="00BC5049">
        <w:rPr>
          <w:rFonts w:eastAsia="Calibri"/>
          <w:szCs w:val="24"/>
          <w:lang w:bidi="en-US"/>
        </w:rPr>
        <w:t xml:space="preserve">, it is inconceivable that a reasonable person in L’s shoes — woken and confronted by armed police officers in his home telling him to leave — would believe that the police had arrived to provide general assistance, maintain general order or make general inquiries. The reasonable person would immediately understand that he or she is being singled out for investigation. This weighs in favour of a finding of detention. </w:t>
      </w:r>
      <w:r w:rsidR="00E50D5F" w:rsidRPr="00E17308">
        <w:rPr>
          <w:rFonts w:eastAsia="Calibri"/>
          <w:szCs w:val="24"/>
          <w:lang w:bidi="en-US"/>
        </w:rPr>
        <w:t xml:space="preserve">While, of course, the police were authorized by warrant and as such had legitimate reasons for the steps they took, this is not determinative of — and indeed is unlikely to affect — how a </w:t>
      </w:r>
      <w:r w:rsidR="00E50D5F" w:rsidRPr="00E17308">
        <w:rPr>
          <w:rFonts w:eastAsia="Calibri"/>
          <w:szCs w:val="24"/>
          <w:lang w:bidi="en-US"/>
        </w:rPr>
        <w:lastRenderedPageBreak/>
        <w:t>reasonable person perceives his or her</w:t>
      </w:r>
      <w:r w:rsidR="00CA3DC3">
        <w:rPr>
          <w:rFonts w:eastAsia="Calibri"/>
          <w:szCs w:val="24"/>
          <w:lang w:bidi="en-US"/>
        </w:rPr>
        <w:t xml:space="preserve"> interactions with the police. </w:t>
      </w:r>
      <w:r w:rsidR="00E50D5F" w:rsidRPr="00E17308">
        <w:rPr>
          <w:rFonts w:eastAsia="Calibri"/>
          <w:szCs w:val="24"/>
          <w:lang w:bidi="en-US"/>
        </w:rPr>
        <w:t>Indeed, the warrant itself, by au</w:t>
      </w:r>
      <w:r w:rsidR="00CA3DC3">
        <w:rPr>
          <w:rFonts w:eastAsia="Calibri"/>
          <w:szCs w:val="24"/>
          <w:lang w:bidi="en-US"/>
        </w:rPr>
        <w:t xml:space="preserve">thorizing the police to search </w:t>
      </w:r>
      <w:r w:rsidR="00E50D5F" w:rsidRPr="00E17308">
        <w:rPr>
          <w:rFonts w:eastAsia="Calibri"/>
          <w:szCs w:val="24"/>
          <w:lang w:bidi="en-US"/>
        </w:rPr>
        <w:t>L’s home, reveals a targeted investigation.</w:t>
      </w:r>
    </w:p>
    <w:p w14:paraId="69F1F43D" w14:textId="5C95F4E3" w:rsidR="00E50D5F" w:rsidRDefault="00114AD6" w:rsidP="00114AD6">
      <w:pPr>
        <w:pStyle w:val="SCCNormalDoubleSpacing"/>
        <w:spacing w:after="480"/>
        <w:rPr>
          <w:rFonts w:eastAsia="Calibri"/>
          <w:lang w:val="en-US" w:bidi="en-US"/>
        </w:rPr>
      </w:pPr>
      <w:r>
        <w:rPr>
          <w:rFonts w:eastAsia="Calibri"/>
          <w:lang w:bidi="en-US"/>
        </w:rPr>
        <w:tab/>
      </w:r>
      <w:r w:rsidR="00E50D5F">
        <w:rPr>
          <w:rFonts w:eastAsia="Calibri"/>
          <w:lang w:bidi="en-US"/>
        </w:rPr>
        <w:t xml:space="preserve">The second factor directs a court’s attention to the nature of the police conduct throughout the encounter. </w:t>
      </w:r>
      <w:r w:rsidR="00E50D5F" w:rsidRPr="00CC0C38">
        <w:rPr>
          <w:rFonts w:eastAsia="Calibri"/>
          <w:lang w:bidi="en-US"/>
        </w:rPr>
        <w:t>Specifically,</w:t>
      </w:r>
      <w:r w:rsidR="00E50D5F" w:rsidRPr="005C1341">
        <w:rPr>
          <w:rFonts w:eastAsia="Calibri"/>
          <w:color w:val="FF0000"/>
          <w:lang w:bidi="en-US"/>
        </w:rPr>
        <w:t xml:space="preserve"> </w:t>
      </w:r>
      <w:r w:rsidR="00E50D5F" w:rsidRPr="00794A39">
        <w:rPr>
          <w:rFonts w:eastAsia="Calibri"/>
          <w:lang w:bidi="en-US"/>
        </w:rPr>
        <w:t xml:space="preserve">their actions and language used, their use of physical contact, the place where the encounter occurred, the presence of others, and the duration of the encounter, may all play a role in shaping the perceptions of the reasonable person in the individual’s shoes. </w:t>
      </w:r>
      <w:r w:rsidR="00E50D5F">
        <w:t>T</w:t>
      </w:r>
      <w:r w:rsidR="00E50D5F" w:rsidRPr="008C728A">
        <w:t xml:space="preserve">he assessment requires a broad view directed </w:t>
      </w:r>
      <w:r w:rsidR="00E50D5F" w:rsidRPr="009352C1">
        <w:t>to all</w:t>
      </w:r>
      <w:r w:rsidR="00E50D5F" w:rsidRPr="008C728A">
        <w:t xml:space="preserve"> circumstances of the case, from which view a court should </w:t>
      </w:r>
      <w:r w:rsidR="00E50D5F">
        <w:t>focus on the contextual factors that would affect the perception of the reasonable person in the individual’s shoes. N</w:t>
      </w:r>
      <w:r w:rsidR="00E50D5F" w:rsidRPr="00CA0725">
        <w:t>o single consideration, including a police statement to an individual that he or she is</w:t>
      </w:r>
      <w:r w:rsidR="00E50D5F">
        <w:t xml:space="preserve"> </w:t>
      </w:r>
      <w:r w:rsidR="00E50D5F" w:rsidRPr="00CA0725">
        <w:t xml:space="preserve">not detained or otherwise under any obligation to cooperate or may leave, is determinative of whether a detention has occurred. </w:t>
      </w:r>
      <w:r w:rsidR="00E50D5F" w:rsidRPr="00AD11AA">
        <w:rPr>
          <w:rFonts w:eastAsia="Calibri"/>
          <w:lang w:val="en-US" w:bidi="en-US"/>
        </w:rPr>
        <w:t>Th</w:t>
      </w:r>
      <w:r w:rsidR="00E50D5F">
        <w:rPr>
          <w:rFonts w:eastAsia="Calibri"/>
          <w:lang w:val="en-US" w:bidi="en-US"/>
        </w:rPr>
        <w:t>e test is principally objective and t</w:t>
      </w:r>
      <w:r w:rsidR="00E50D5F" w:rsidRPr="00AD11AA">
        <w:rPr>
          <w:rFonts w:eastAsia="Calibri"/>
          <w:lang w:val="en-US" w:bidi="en-US"/>
        </w:rPr>
        <w:t xml:space="preserve">herefore, rather than focusing on what was in the </w:t>
      </w:r>
      <w:r w:rsidR="00E50D5F">
        <w:rPr>
          <w:rFonts w:eastAsia="Calibri"/>
          <w:lang w:val="en-US" w:bidi="en-US"/>
        </w:rPr>
        <w:t xml:space="preserve">individual’s </w:t>
      </w:r>
      <w:r w:rsidR="00E50D5F" w:rsidRPr="00AD11AA">
        <w:rPr>
          <w:rFonts w:eastAsia="Calibri"/>
          <w:lang w:val="en-US" w:bidi="en-US"/>
        </w:rPr>
        <w:t>mind at a particular moment in time, the inquiry is into how the police behaved and, considering the totality of the circumstances, how such behaviour would be reasonably perceived</w:t>
      </w:r>
      <w:r>
        <w:rPr>
          <w:rFonts w:eastAsia="Calibri"/>
          <w:lang w:val="en-US" w:bidi="en-US"/>
        </w:rPr>
        <w:t>.</w:t>
      </w:r>
    </w:p>
    <w:p w14:paraId="0233BE7A" w14:textId="466BCB89" w:rsidR="00E50D5F" w:rsidRPr="00794A39" w:rsidRDefault="00114AD6" w:rsidP="00114AD6">
      <w:pPr>
        <w:pStyle w:val="SCCNormalDoubleSpacing"/>
        <w:spacing w:after="480"/>
        <w:rPr>
          <w:rFonts w:eastAsia="Calibri"/>
          <w:lang w:bidi="en-US"/>
        </w:rPr>
      </w:pPr>
      <w:r>
        <w:rPr>
          <w:rFonts w:eastAsia="Calibri"/>
          <w:lang w:bidi="en-US"/>
        </w:rPr>
        <w:tab/>
      </w:r>
      <w:r w:rsidR="00E50D5F" w:rsidRPr="00603EF2">
        <w:rPr>
          <w:rFonts w:eastAsia="Calibri"/>
          <w:lang w:bidi="en-US"/>
        </w:rPr>
        <w:t>Th</w:t>
      </w:r>
      <w:r w:rsidR="00E50D5F" w:rsidRPr="00794A39">
        <w:rPr>
          <w:rFonts w:eastAsia="Calibri"/>
          <w:lang w:bidi="en-US"/>
        </w:rPr>
        <w:t xml:space="preserve">e investigating officer’s statements to L that he was free to leave militate against a finding of detention, </w:t>
      </w:r>
      <w:r w:rsidR="00E50D5F">
        <w:rPr>
          <w:rFonts w:eastAsia="Calibri"/>
          <w:lang w:bidi="en-US"/>
        </w:rPr>
        <w:t xml:space="preserve">but </w:t>
      </w:r>
      <w:r w:rsidR="00E50D5F" w:rsidRPr="00794A39">
        <w:rPr>
          <w:rFonts w:eastAsia="Calibri"/>
          <w:lang w:bidi="en-US"/>
        </w:rPr>
        <w:t xml:space="preserve">they are outweighed by circumstances that support the opposite conclusion. While considerations of the physical proximity of the police to L have little if any impact, the presence of others is a significant consideration. L was in the presence of at least one police officer throughout his interaction with the police; their continued presence and supervision would tend to contribute to the </w:t>
      </w:r>
      <w:r w:rsidR="00E50D5F" w:rsidRPr="00794A39">
        <w:rPr>
          <w:rFonts w:eastAsia="Calibri"/>
          <w:lang w:bidi="en-US"/>
        </w:rPr>
        <w:lastRenderedPageBreak/>
        <w:t xml:space="preserve">perception of a reasonable person in L’s shoes that he or she was not free to decline to speak or to leave. </w:t>
      </w:r>
      <w:r w:rsidR="00E50D5F" w:rsidRPr="00794A39">
        <w:rPr>
          <w:rFonts w:eastAsia="Calibri"/>
          <w:lang w:val="en-US" w:bidi="en-US"/>
        </w:rPr>
        <w:t xml:space="preserve">Furthermore, </w:t>
      </w:r>
      <w:r w:rsidR="00E50D5F" w:rsidRPr="00794A39">
        <w:rPr>
          <w:rFonts w:eastAsia="Calibri"/>
          <w:lang w:bidi="en-US"/>
        </w:rPr>
        <w:t>this was a sin</w:t>
      </w:r>
      <w:r w:rsidR="00CA3DC3">
        <w:rPr>
          <w:rFonts w:eastAsia="Calibri"/>
          <w:lang w:bidi="en-US"/>
        </w:rPr>
        <w:t xml:space="preserve">gle, lengthy police encounter. </w:t>
      </w:r>
      <w:r w:rsidR="000020B9">
        <w:rPr>
          <w:rFonts w:eastAsia="Calibri"/>
          <w:lang w:bidi="en-US"/>
        </w:rPr>
        <w:t>Th</w:t>
      </w:r>
      <w:r w:rsidR="00E50D5F" w:rsidRPr="00501188">
        <w:rPr>
          <w:rFonts w:eastAsia="Calibri"/>
          <w:lang w:bidi="en-US"/>
        </w:rPr>
        <w:t xml:space="preserve">is interaction spanned several locations and each </w:t>
      </w:r>
      <w:r w:rsidR="00E50D5F" w:rsidRPr="00794A39">
        <w:rPr>
          <w:rFonts w:eastAsia="Calibri"/>
          <w:lang w:bidi="en-US"/>
        </w:rPr>
        <w:t>of them have features — the overwhelming show of force in the intrusion into the home, the long ride to the police station and the secure environment for a lengthy interview — that, taken as a whole, su</w:t>
      </w:r>
      <w:r w:rsidR="00CA3DC3">
        <w:rPr>
          <w:rFonts w:eastAsia="Calibri"/>
          <w:lang w:bidi="en-US"/>
        </w:rPr>
        <w:t xml:space="preserve">pport the view that someone in </w:t>
      </w:r>
      <w:r w:rsidR="00E50D5F" w:rsidRPr="00794A39">
        <w:rPr>
          <w:rFonts w:eastAsia="Calibri"/>
          <w:lang w:bidi="en-US"/>
        </w:rPr>
        <w:t>L’s position would reasonably have perceived t</w:t>
      </w:r>
      <w:r w:rsidR="00CA3DC3">
        <w:rPr>
          <w:rFonts w:eastAsia="Calibri"/>
          <w:lang w:bidi="en-US"/>
        </w:rPr>
        <w:t xml:space="preserve">hat he or she could not leave. </w:t>
      </w:r>
      <w:r w:rsidR="00E50D5F" w:rsidRPr="00794A39">
        <w:rPr>
          <w:rFonts w:eastAsia="Calibri"/>
          <w:lang w:bidi="en-US"/>
        </w:rPr>
        <w:t>This supports a finding of detention.</w:t>
      </w:r>
    </w:p>
    <w:p w14:paraId="3D7DED54" w14:textId="2AF17043" w:rsidR="00E50D5F" w:rsidRDefault="00114AD6" w:rsidP="00114AD6">
      <w:pPr>
        <w:pStyle w:val="SCCNormalDoubleSpacing"/>
        <w:spacing w:after="480"/>
        <w:rPr>
          <w:lang w:bidi="en-US"/>
        </w:rPr>
      </w:pPr>
      <w:r>
        <w:tab/>
      </w:r>
      <w:r w:rsidR="00E50D5F">
        <w:t>The final factor requires a court to consider, where relevant, the individual’s age, physical stature, minority status and level of sophistication. Actual consideration of how these various characteristics might impact the reasonable view of the matter as held by</w:t>
      </w:r>
      <w:r w:rsidR="00CA3DC3">
        <w:t xml:space="preserve"> someone in like circumstances is required. </w:t>
      </w:r>
      <w:r w:rsidR="00E50D5F" w:rsidRPr="00CF5755">
        <w:rPr>
          <w:lang w:bidi="en-US"/>
        </w:rPr>
        <w:t>Youth — even the youth of early adulthood — aggravates the power imbalance between the state and the individual, making it mor</w:t>
      </w:r>
      <w:r w:rsidR="00E50D5F">
        <w:rPr>
          <w:lang w:bidi="en-US"/>
        </w:rPr>
        <w:t xml:space="preserve">e </w:t>
      </w:r>
      <w:r w:rsidR="00CA3DC3">
        <w:rPr>
          <w:lang w:bidi="en-US"/>
        </w:rPr>
        <w:t xml:space="preserve">pronounced, evident and acute. </w:t>
      </w:r>
      <w:r w:rsidR="00E50D5F">
        <w:rPr>
          <w:lang w:bidi="en-US"/>
        </w:rPr>
        <w:t xml:space="preserve">With respect to the race of the accused, the question that must be answered is how a reasonable person of a similar racial background would perceive the interaction with the police. To answer this question, courts must take into consideration the larger, historic and social context of race relations between the police and the various racial groups and individuals in Canadian society. </w:t>
      </w:r>
      <w:r w:rsidR="00E50D5F" w:rsidRPr="00CC0C38">
        <w:rPr>
          <w:rFonts w:eastAsia="Calibri"/>
          <w:lang w:val="en-US" w:bidi="en-US"/>
        </w:rPr>
        <w:t>In evaluating interactions between Indigenous people and the poli</w:t>
      </w:r>
      <w:r>
        <w:rPr>
          <w:rFonts w:eastAsia="Calibri"/>
          <w:lang w:val="en-US" w:bidi="en-US"/>
        </w:rPr>
        <w:t>ce, courts must be alive to (1) </w:t>
      </w:r>
      <w:r w:rsidR="00E50D5F" w:rsidRPr="00CC0C38">
        <w:rPr>
          <w:rFonts w:eastAsia="Calibri"/>
          <w:lang w:val="en-US" w:bidi="en-US"/>
        </w:rPr>
        <w:t>the relational aspect between the police and Indigenous persons, characterized as it has been by an overwhelming power imbalance and his</w:t>
      </w:r>
      <w:r>
        <w:rPr>
          <w:rFonts w:eastAsia="Calibri"/>
          <w:lang w:val="en-US" w:bidi="en-US"/>
        </w:rPr>
        <w:t>tory of discrimination; and (2) </w:t>
      </w:r>
      <w:r w:rsidR="00E50D5F" w:rsidRPr="00CC0C38">
        <w:rPr>
          <w:rFonts w:eastAsia="Calibri"/>
          <w:lang w:val="en-US" w:bidi="en-US"/>
        </w:rPr>
        <w:t>the resulting possibility that their interactions would reasonably be perceived by Indigenous persons as depriving them of choice to cooperate.</w:t>
      </w:r>
    </w:p>
    <w:p w14:paraId="230689A8" w14:textId="49145D6A" w:rsidR="00E50D5F" w:rsidRPr="00114AD6" w:rsidRDefault="00E50D5F" w:rsidP="00114AD6">
      <w:pPr>
        <w:pStyle w:val="SCCNormalDoubleSpacing"/>
        <w:spacing w:after="480"/>
        <w:rPr>
          <w:lang w:val="en-US"/>
        </w:rPr>
      </w:pPr>
      <w:r>
        <w:lastRenderedPageBreak/>
        <w:tab/>
      </w:r>
      <w:r w:rsidRPr="00A9490E">
        <w:t>In this case,</w:t>
      </w:r>
      <w:r w:rsidR="00CA3DC3">
        <w:t xml:space="preserve"> </w:t>
      </w:r>
      <w:r>
        <w:t xml:space="preserve">L’s youth is a crucial consideration that should have received more attention. </w:t>
      </w:r>
      <w:r w:rsidRPr="007A14F7">
        <w:rPr>
          <w:rFonts w:eastAsia="Calibri"/>
          <w:lang w:val="en-US" w:bidi="en-US"/>
        </w:rPr>
        <w:t>It is simply unrealistic to suggest that a reasonable 19</w:t>
      </w:r>
      <w:r w:rsidRPr="007A14F7">
        <w:rPr>
          <w:rFonts w:eastAsia="Calibri"/>
          <w:lang w:val="en-US" w:bidi="en-US"/>
        </w:rPr>
        <w:noBreakHyphen/>
        <w:t>year</w:t>
      </w:r>
      <w:r w:rsidRPr="007A14F7">
        <w:rPr>
          <w:rFonts w:eastAsia="Calibri"/>
          <w:lang w:val="en-US" w:bidi="en-US"/>
        </w:rPr>
        <w:noBreakHyphen/>
        <w:t>old will, even in the presence of police statements to the contrary, feel anything but constrained to respond positively to the request to give a statement, following immediately upon the sort of police entry into his home that occurred here.</w:t>
      </w:r>
      <w:r>
        <w:rPr>
          <w:rFonts w:eastAsia="Calibri"/>
          <w:lang w:val="en-US" w:bidi="en-US"/>
        </w:rPr>
        <w:t xml:space="preserve"> L’s Indigenous background is a factor that weighs somewhat in favour of detention, albeit not heavily </w:t>
      </w:r>
      <w:r w:rsidRPr="00CC0C38">
        <w:rPr>
          <w:rFonts w:eastAsia="Calibri"/>
          <w:lang w:val="en-US" w:bidi="en-US"/>
        </w:rPr>
        <w:t>as</w:t>
      </w:r>
      <w:r>
        <w:rPr>
          <w:rFonts w:eastAsia="Calibri"/>
          <w:lang w:val="en-US" w:bidi="en-US"/>
        </w:rPr>
        <w:t xml:space="preserve"> it did not appear to play a significant role in shaping his perception of his obligation to cooperate with the police. Further,</w:t>
      </w:r>
      <w:r w:rsidR="00CA3DC3">
        <w:rPr>
          <w:rFonts w:eastAsia="Calibri"/>
          <w:lang w:val="en-US" w:bidi="en-US"/>
        </w:rPr>
        <w:t xml:space="preserve"> </w:t>
      </w:r>
      <w:r>
        <w:rPr>
          <w:rFonts w:eastAsia="Calibri"/>
          <w:lang w:val="en-US" w:bidi="en-US"/>
        </w:rPr>
        <w:t xml:space="preserve">L’s sophistication does not undermine the case for finding a detention. Rather, his lack of experience with the police and unfamiliarity with his </w:t>
      </w:r>
      <w:r>
        <w:rPr>
          <w:rFonts w:eastAsia="Calibri"/>
          <w:i/>
          <w:lang w:val="en-US" w:bidi="en-US"/>
        </w:rPr>
        <w:t>Charter</w:t>
      </w:r>
      <w:r>
        <w:rPr>
          <w:rFonts w:eastAsia="Calibri"/>
          <w:lang w:val="en-US" w:bidi="en-US"/>
        </w:rPr>
        <w:t xml:space="preserve"> rights bolsters it.</w:t>
      </w:r>
    </w:p>
    <w:p w14:paraId="4CDBB936" w14:textId="3F816AAD" w:rsidR="00E50D5F" w:rsidRPr="00594FE9" w:rsidRDefault="00070F16" w:rsidP="00070F16">
      <w:pPr>
        <w:pStyle w:val="SCCNormalDoubleSpacing"/>
        <w:spacing w:after="480"/>
      </w:pPr>
      <w:r>
        <w:tab/>
      </w:r>
      <w:r w:rsidR="00E50D5F" w:rsidRPr="001D2896">
        <w:t xml:space="preserve">All three factors weigh </w:t>
      </w:r>
      <w:r w:rsidR="00E50D5F">
        <w:t xml:space="preserve">decisively </w:t>
      </w:r>
      <w:r w:rsidR="00E50D5F" w:rsidRPr="001D2896">
        <w:t xml:space="preserve">in favour of finding that </w:t>
      </w:r>
      <w:r w:rsidR="00E50D5F">
        <w:t>L</w:t>
      </w:r>
      <w:r w:rsidR="00E50D5F" w:rsidRPr="001D2896">
        <w:t xml:space="preserve"> was detained. It follows that police were required to inform </w:t>
      </w:r>
      <w:r w:rsidR="00E50D5F">
        <w:t>him</w:t>
      </w:r>
      <w:r w:rsidR="00E50D5F" w:rsidRPr="001D2896">
        <w:t xml:space="preserve"> of his s. 10(b) right to counsel and to afford him the opportunity of exercising it, and breached </w:t>
      </w:r>
      <w:r>
        <w:t>that right by failing to do so.</w:t>
      </w:r>
    </w:p>
    <w:p w14:paraId="245D3BE3" w14:textId="2CBCDFFE" w:rsidR="00E50D5F" w:rsidRDefault="00070F16" w:rsidP="00070F16">
      <w:pPr>
        <w:pStyle w:val="SCCNormalDoubleSpacing"/>
        <w:spacing w:after="480"/>
        <w:rPr>
          <w:lang w:bidi="en-US"/>
        </w:rPr>
      </w:pPr>
      <w:r>
        <w:rPr>
          <w:iCs/>
          <w:szCs w:val="24"/>
          <w:lang w:val="en-GB"/>
        </w:rPr>
        <w:tab/>
      </w:r>
      <w:r w:rsidR="00E50D5F" w:rsidRPr="00CC0C38">
        <w:rPr>
          <w:iCs/>
          <w:szCs w:val="24"/>
          <w:lang w:val="en-GB"/>
        </w:rPr>
        <w:t xml:space="preserve">Whether the police breached s. 10(b) of the </w:t>
      </w:r>
      <w:r w:rsidR="00E50D5F" w:rsidRPr="00CC0C38">
        <w:rPr>
          <w:i/>
          <w:iCs/>
          <w:szCs w:val="24"/>
          <w:lang w:val="en-GB"/>
        </w:rPr>
        <w:t xml:space="preserve">Charter </w:t>
      </w:r>
      <w:r w:rsidR="00E50D5F" w:rsidRPr="00CC0C38">
        <w:rPr>
          <w:iCs/>
          <w:szCs w:val="24"/>
          <w:lang w:val="en-GB"/>
        </w:rPr>
        <w:t xml:space="preserve">by refusing to allow a further consultation with a lawyer requires an application of the test in </w:t>
      </w:r>
      <w:r w:rsidR="00E50D5F" w:rsidRPr="00CC0C38">
        <w:rPr>
          <w:i/>
          <w:iCs/>
          <w:szCs w:val="24"/>
          <w:lang w:val="en-GB"/>
        </w:rPr>
        <w:t>R</w:t>
      </w:r>
      <w:r w:rsidR="00E50D5F">
        <w:rPr>
          <w:i/>
          <w:iCs/>
          <w:color w:val="000000"/>
          <w:szCs w:val="24"/>
          <w:lang w:val="en-GB"/>
        </w:rPr>
        <w:t>. v. Sinclair</w:t>
      </w:r>
      <w:r w:rsidR="00E50D5F">
        <w:rPr>
          <w:iCs/>
          <w:color w:val="000000"/>
          <w:szCs w:val="24"/>
          <w:lang w:val="en-GB"/>
        </w:rPr>
        <w:t xml:space="preserve">, 2010 SCC 35, [2010] 2 S.C.R. 310. </w:t>
      </w:r>
      <w:r w:rsidR="00E50D5F" w:rsidRPr="00CC0C38">
        <w:rPr>
          <w:iCs/>
          <w:szCs w:val="24"/>
          <w:lang w:val="en-GB"/>
        </w:rPr>
        <w:t xml:space="preserve">As explained in </w:t>
      </w:r>
      <w:r w:rsidR="00E50D5F" w:rsidRPr="00CC0C38">
        <w:rPr>
          <w:i/>
          <w:iCs/>
          <w:szCs w:val="24"/>
          <w:lang w:val="en-GB"/>
        </w:rPr>
        <w:t>Sinclair</w:t>
      </w:r>
      <w:r w:rsidR="00E50D5F" w:rsidRPr="00CC0C38">
        <w:rPr>
          <w:iCs/>
          <w:szCs w:val="24"/>
          <w:lang w:val="en-GB"/>
        </w:rPr>
        <w:t>,</w:t>
      </w:r>
      <w:r w:rsidR="0042243B">
        <w:rPr>
          <w:iCs/>
          <w:color w:val="000000"/>
          <w:szCs w:val="24"/>
          <w:lang w:val="en-GB"/>
        </w:rPr>
        <w:t xml:space="preserve"> the purposes of s. 10(b) </w:t>
      </w:r>
      <w:r w:rsidR="00E50D5F" w:rsidRPr="00570727">
        <w:rPr>
          <w:iCs/>
          <w:color w:val="000000"/>
          <w:szCs w:val="24"/>
          <w:lang w:val="en-GB"/>
        </w:rPr>
        <w:t>include</w:t>
      </w:r>
      <w:r w:rsidR="00E50D5F">
        <w:rPr>
          <w:iCs/>
          <w:color w:val="000000"/>
          <w:szCs w:val="24"/>
          <w:lang w:val="en-GB"/>
        </w:rPr>
        <w:t xml:space="preserve"> to inform the detainee not only of his rights</w:t>
      </w:r>
      <w:r w:rsidR="0042243B">
        <w:rPr>
          <w:iCs/>
          <w:color w:val="000000"/>
          <w:szCs w:val="24"/>
          <w:lang w:val="en-GB"/>
        </w:rPr>
        <w:t xml:space="preserve"> and obligations under the law (informational component)</w:t>
      </w:r>
      <w:r w:rsidR="00E50D5F">
        <w:rPr>
          <w:iCs/>
          <w:color w:val="000000"/>
          <w:szCs w:val="24"/>
          <w:lang w:val="en-GB"/>
        </w:rPr>
        <w:t xml:space="preserve"> but, equally</w:t>
      </w:r>
      <w:r w:rsidR="0042243B">
        <w:rPr>
          <w:iCs/>
          <w:color w:val="000000"/>
          <w:szCs w:val="24"/>
          <w:lang w:val="en-GB"/>
        </w:rPr>
        <w:t xml:space="preserve"> and if not more important, to </w:t>
      </w:r>
      <w:r w:rsidR="00E50D5F">
        <w:rPr>
          <w:iCs/>
          <w:color w:val="000000"/>
          <w:szCs w:val="24"/>
          <w:lang w:val="en-GB"/>
        </w:rPr>
        <w:t>allow him to obtain advice as t</w:t>
      </w:r>
      <w:r w:rsidR="0042243B">
        <w:rPr>
          <w:iCs/>
          <w:color w:val="000000"/>
          <w:szCs w:val="24"/>
          <w:lang w:val="en-GB"/>
        </w:rPr>
        <w:t xml:space="preserve">o how to exercise those rights </w:t>
      </w:r>
      <w:r w:rsidR="00E50D5F">
        <w:rPr>
          <w:iCs/>
          <w:color w:val="000000"/>
          <w:szCs w:val="24"/>
          <w:lang w:val="en-GB"/>
        </w:rPr>
        <w:t xml:space="preserve">(implementational component). </w:t>
      </w:r>
      <w:r w:rsidR="00E50D5F">
        <w:t>This</w:t>
      </w:r>
      <w:r w:rsidR="00E50D5F" w:rsidRPr="00CF5755">
        <w:t xml:space="preserve"> </w:t>
      </w:r>
      <w:r w:rsidR="00E50D5F">
        <w:t>latter</w:t>
      </w:r>
      <w:r w:rsidR="00E50D5F" w:rsidRPr="00CF5755">
        <w:t xml:space="preserve"> component implicitly includes </w:t>
      </w:r>
      <w:r w:rsidR="00E50D5F" w:rsidRPr="00CF5755">
        <w:rPr>
          <w:lang w:bidi="en-US"/>
        </w:rPr>
        <w:t>a duty on the police to hold off questioning until the detainee has had a reasonable opportunity to consult counsel.</w:t>
      </w:r>
      <w:r w:rsidR="00E50D5F" w:rsidRPr="00583845">
        <w:rPr>
          <w:iCs/>
          <w:color w:val="000000"/>
          <w:szCs w:val="24"/>
          <w:lang w:val="en-GB"/>
        </w:rPr>
        <w:t xml:space="preserve"> </w:t>
      </w:r>
      <w:r w:rsidR="00E50D5F">
        <w:t xml:space="preserve">While a single </w:t>
      </w:r>
      <w:r w:rsidR="00E50D5F">
        <w:lastRenderedPageBreak/>
        <w:t>consultation with a lawyer is constitutionally sufficient, the implementational component of s. 10(b) imposes upon police a further obligation to provide a detainee with a reasonable opportunity to consult counsel again if a change in circumstances or a new development suggests that the choice faced by the accused has been significantly altered, requiring further advice on the new situation.</w:t>
      </w:r>
      <w:r w:rsidR="00E50D5F" w:rsidRPr="00CF5755">
        <w:rPr>
          <w:lang w:bidi="en-US"/>
        </w:rPr>
        <w:t xml:space="preserve"> Three non</w:t>
      </w:r>
      <w:r w:rsidR="00E50D5F" w:rsidRPr="00CF5755">
        <w:rPr>
          <w:lang w:bidi="en-US"/>
        </w:rPr>
        <w:noBreakHyphen/>
        <w:t xml:space="preserve">exhaustive categories of exceptional circumstances triggering this duty </w:t>
      </w:r>
      <w:r w:rsidR="00E50D5F">
        <w:rPr>
          <w:lang w:bidi="en-US"/>
        </w:rPr>
        <w:t xml:space="preserve">were identified in </w:t>
      </w:r>
      <w:r w:rsidR="00E50D5F">
        <w:rPr>
          <w:i/>
          <w:lang w:bidi="en-US"/>
        </w:rPr>
        <w:t>Sinclair</w:t>
      </w:r>
      <w:r>
        <w:rPr>
          <w:lang w:bidi="en-US"/>
        </w:rPr>
        <w:t>: (1) </w:t>
      </w:r>
      <w:r w:rsidR="00E50D5F" w:rsidRPr="00CF5755">
        <w:rPr>
          <w:lang w:bidi="en-US"/>
        </w:rPr>
        <w:t>the police invite the accused to take part in non</w:t>
      </w:r>
      <w:r w:rsidR="00E50D5F" w:rsidRPr="00CF5755">
        <w:rPr>
          <w:lang w:bidi="en-US"/>
        </w:rPr>
        <w:noBreakHyphen/>
        <w:t>routine procedures that counsel would not consider at the time o</w:t>
      </w:r>
      <w:r>
        <w:rPr>
          <w:lang w:bidi="en-US"/>
        </w:rPr>
        <w:t>f the initial consultation; (2) </w:t>
      </w:r>
      <w:r w:rsidR="00E50D5F">
        <w:rPr>
          <w:lang w:bidi="en-US"/>
        </w:rPr>
        <w:t xml:space="preserve">there is </w:t>
      </w:r>
      <w:r w:rsidR="00E50D5F" w:rsidRPr="00CF5755">
        <w:rPr>
          <w:lang w:bidi="en-US"/>
        </w:rPr>
        <w:t>a change in jeopardy that could affect the adequacy of the advice received during th</w:t>
      </w:r>
      <w:r>
        <w:rPr>
          <w:lang w:bidi="en-US"/>
        </w:rPr>
        <w:t>e initial consultation; and (3) </w:t>
      </w:r>
      <w:r w:rsidR="00E50D5F" w:rsidRPr="00CF5755">
        <w:rPr>
          <w:lang w:bidi="en-US"/>
        </w:rPr>
        <w:t>there is reason to question the detainee’s understanding of his rights.</w:t>
      </w:r>
    </w:p>
    <w:p w14:paraId="27CF4331" w14:textId="17DE0BB0" w:rsidR="00E50D5F" w:rsidRDefault="00070F16" w:rsidP="00070F16">
      <w:pPr>
        <w:pStyle w:val="SCCNormalDoubleSpacing"/>
        <w:spacing w:after="480"/>
        <w:rPr>
          <w:lang w:val="en-US" w:bidi="en-US"/>
        </w:rPr>
      </w:pPr>
      <w:r>
        <w:tab/>
      </w:r>
      <w:r w:rsidR="00E50D5F">
        <w:t>T</w:t>
      </w:r>
      <w:r w:rsidR="00E50D5F" w:rsidRPr="00CF5755">
        <w:t>h</w:t>
      </w:r>
      <w:r w:rsidR="00E50D5F">
        <w:t>e third</w:t>
      </w:r>
      <w:r w:rsidR="00E50D5F" w:rsidRPr="00CF5755">
        <w:t xml:space="preserve"> category broadly cover</w:t>
      </w:r>
      <w:r w:rsidR="00E50D5F">
        <w:t>s c</w:t>
      </w:r>
      <w:r w:rsidR="00E50D5F" w:rsidRPr="00CF5755">
        <w:t xml:space="preserve">ircumstances </w:t>
      </w:r>
      <w:r w:rsidR="00E50D5F">
        <w:t>where</w:t>
      </w:r>
      <w:r w:rsidR="00E50D5F" w:rsidRPr="00CF5755">
        <w:t xml:space="preserve"> the detainee may not have understood the initial s. 10(</w:t>
      </w:r>
      <w:r w:rsidR="00E50D5F" w:rsidRPr="008B497C">
        <w:rPr>
          <w:iCs/>
        </w:rPr>
        <w:t>b</w:t>
      </w:r>
      <w:r w:rsidR="00E50D5F" w:rsidRPr="00CF5755">
        <w:t>) advice of his right to counsel, which impose</w:t>
      </w:r>
      <w:r w:rsidR="00E50D5F">
        <w:t>s</w:t>
      </w:r>
      <w:r w:rsidR="00E50D5F" w:rsidRPr="00CF5755">
        <w:t xml:space="preserve"> on the police a duty to give him a further opportunity to talk to a lawyer</w:t>
      </w:r>
      <w:r w:rsidR="00E50D5F">
        <w:t xml:space="preserve">. The inquiry is into </w:t>
      </w:r>
      <w:r w:rsidR="0042243B">
        <w:t xml:space="preserve">circumstances, stated broadly, </w:t>
      </w:r>
      <w:r w:rsidR="00E50D5F">
        <w:t xml:space="preserve">and an inquiry into whether a detainee understood that he or she could remain silent is not sufficient. </w:t>
      </w:r>
      <w:r w:rsidR="00E50D5F" w:rsidRPr="00CF5755">
        <w:t xml:space="preserve">It is only by ensuring that </w:t>
      </w:r>
      <w:r w:rsidR="00E50D5F">
        <w:t xml:space="preserve">detainees </w:t>
      </w:r>
      <w:r w:rsidR="00E50D5F" w:rsidRPr="00CF5755">
        <w:t xml:space="preserve">obtain legal advice that accounts for </w:t>
      </w:r>
      <w:r w:rsidR="00E50D5F" w:rsidRPr="00C662F7">
        <w:t>the particular situation they face, conveyed in a manner they can understand, that s. 10(b) can</w:t>
      </w:r>
      <w:r w:rsidR="00E50D5F" w:rsidRPr="00CF5755">
        <w:t xml:space="preserve"> meaningfully redress the imbalance of power between the state (whose agents know the detainee’s rights) and the detainee (who may not)</w:t>
      </w:r>
      <w:r w:rsidR="00E50D5F">
        <w:t>. It is uncontroversial that the purpose of s. 10(b) is to mitigate the imbalance between</w:t>
      </w:r>
      <w:r w:rsidR="0042243B">
        <w:t xml:space="preserve"> the individual and the state. </w:t>
      </w:r>
      <w:r w:rsidR="00E50D5F" w:rsidRPr="00CF5755">
        <w:rPr>
          <w:lang w:val="en-US" w:bidi="en-US"/>
        </w:rPr>
        <w:t>Investigating officers and reviewing courts must be</w:t>
      </w:r>
      <w:r w:rsidR="00E50D5F">
        <w:rPr>
          <w:lang w:val="en-US" w:bidi="en-US"/>
        </w:rPr>
        <w:t xml:space="preserve"> alive to the possibility that a detainee’s</w:t>
      </w:r>
      <w:r w:rsidR="00E50D5F" w:rsidRPr="00CF5755">
        <w:rPr>
          <w:lang w:val="en-US" w:bidi="en-US"/>
        </w:rPr>
        <w:t xml:space="preserve"> vulnerabilities, which may relate to gender, youth, age, race, mental health, language comprehension, cognitive capacity or other considerations, coupled with developments that may occur in the course of </w:t>
      </w:r>
      <w:r w:rsidR="00E50D5F" w:rsidRPr="00CF5755">
        <w:rPr>
          <w:lang w:val="en-US" w:bidi="en-US"/>
        </w:rPr>
        <w:lastRenderedPageBreak/>
        <w:t>police interrogation, will have rendered a detainee’s initial legal advice inadequate, impairing his or her ability to make an informed choice about whethe</w:t>
      </w:r>
      <w:r w:rsidR="00BF13F6">
        <w:rPr>
          <w:lang w:val="en-US" w:bidi="en-US"/>
        </w:rPr>
        <w:t>r to cooperate with the police.</w:t>
      </w:r>
    </w:p>
    <w:p w14:paraId="55516C77" w14:textId="4879773C" w:rsidR="00E50D5F" w:rsidRPr="00CA0725" w:rsidRDefault="00BF13F6" w:rsidP="00BF13F6">
      <w:pPr>
        <w:pStyle w:val="SCCNormalDoubleSpacing"/>
        <w:spacing w:after="480"/>
      </w:pPr>
      <w:r>
        <w:tab/>
      </w:r>
      <w:r w:rsidR="00E50D5F">
        <w:t>On the day of L’s arrest, the police fulfilled the informational component of s. 10(b) and initially at least satisfied the implementational component upon arrival at the police station. While the police did not employ any new or unusual investigative techniques and there was no change in jeopardy during the interview, there was ample reason to</w:t>
      </w:r>
      <w:r w:rsidR="0042243B">
        <w:t xml:space="preserve"> question </w:t>
      </w:r>
      <w:r w:rsidR="00E50D5F">
        <w:t xml:space="preserve">L’s understanding of his s. 10(b) right. His confusion was an objective indicator that renewed legal consultation was required to permit him to make a meaningful choice as to whether to cooperate with the police investigation or refuse to do so. </w:t>
      </w:r>
      <w:r w:rsidR="00E50D5F">
        <w:rPr>
          <w:lang w:val="en-US" w:bidi="en-US"/>
        </w:rPr>
        <w:t>T</w:t>
      </w:r>
      <w:r w:rsidR="00E50D5F" w:rsidRPr="00CF5755">
        <w:rPr>
          <w:lang w:val="en-US" w:bidi="en-US"/>
        </w:rPr>
        <w:t>here were also clear signs that either the legal advice he obtained was incorrect, or he did not understand how his s.</w:t>
      </w:r>
      <w:r w:rsidR="00E50D5F">
        <w:rPr>
          <w:lang w:val="en-US" w:bidi="en-US"/>
        </w:rPr>
        <w:t> </w:t>
      </w:r>
      <w:r w:rsidR="00E50D5F" w:rsidRPr="00CF5755">
        <w:rPr>
          <w:lang w:val="en-US" w:bidi="en-US"/>
        </w:rPr>
        <w:t>10(b) rights applied to his current circumstances.</w:t>
      </w:r>
      <w:r w:rsidR="00E50D5F" w:rsidRPr="00CF5755">
        <w:rPr>
          <w:lang w:bidi="en-US"/>
        </w:rPr>
        <w:t xml:space="preserve"> </w:t>
      </w:r>
      <w:r w:rsidR="00E50D5F" w:rsidRPr="00CF5755">
        <w:rPr>
          <w:lang w:val="en-US" w:bidi="en-US"/>
        </w:rPr>
        <w:t xml:space="preserve">The concern that should reasonably have arisen in the mind of the investigating officer that </w:t>
      </w:r>
      <w:r w:rsidR="00E50D5F">
        <w:rPr>
          <w:lang w:val="en-US" w:bidi="en-US"/>
        </w:rPr>
        <w:t>L</w:t>
      </w:r>
      <w:r w:rsidR="00E50D5F" w:rsidRPr="00CF5755">
        <w:rPr>
          <w:lang w:val="en-US" w:bidi="en-US"/>
        </w:rPr>
        <w:t xml:space="preserve"> may not have understood his rights and how to exercise them is affirmed, if not heightened, when considered in light of </w:t>
      </w:r>
      <w:r w:rsidR="00E50D5F">
        <w:rPr>
          <w:lang w:val="en-US" w:bidi="en-US"/>
        </w:rPr>
        <w:t>L</w:t>
      </w:r>
      <w:r w:rsidR="00E50D5F" w:rsidRPr="00CF5755">
        <w:t>’s</w:t>
      </w:r>
      <w:r w:rsidR="00E50D5F" w:rsidRPr="00CF5755">
        <w:rPr>
          <w:lang w:val="en-US" w:bidi="en-US"/>
        </w:rPr>
        <w:t xml:space="preserve"> particular characteristics</w:t>
      </w:r>
      <w:r w:rsidR="00E50D5F">
        <w:rPr>
          <w:lang w:val="en-US" w:bidi="en-US"/>
        </w:rPr>
        <w:t xml:space="preserve"> </w:t>
      </w:r>
      <w:r w:rsidR="00E50D5F" w:rsidRPr="00A9490E">
        <w:rPr>
          <w:lang w:val="en-US" w:bidi="en-US"/>
        </w:rPr>
        <w:t xml:space="preserve">such as his youth, his Indigenous background and his level of sophistication. </w:t>
      </w:r>
      <w:r w:rsidR="00E50D5F">
        <w:t>The police breached his right to counsel by refusing to provide him with another opportunity to consult with a lawyer despite there being reason to conclude that he had not understood his s. 10(b) advice, even after having spoken with Legal Aid.</w:t>
      </w:r>
    </w:p>
    <w:p w14:paraId="2FBAFDE1" w14:textId="1723CB18" w:rsidR="00E50D5F" w:rsidRDefault="00BF13F6" w:rsidP="00BF13F6">
      <w:pPr>
        <w:pStyle w:val="SCCNormalDoubleSpacing"/>
        <w:spacing w:after="480"/>
      </w:pPr>
      <w:r>
        <w:tab/>
      </w:r>
      <w:r w:rsidR="00E50D5F">
        <w:t xml:space="preserve">The evidence obtained as a result of the breaches of L’s </w:t>
      </w:r>
      <w:r w:rsidR="00E50D5F">
        <w:rPr>
          <w:i/>
        </w:rPr>
        <w:t>Charter</w:t>
      </w:r>
      <w:r w:rsidR="00E50D5F">
        <w:t xml:space="preserve"> rights must be excluded as</w:t>
      </w:r>
      <w:r w:rsidR="00E50D5F" w:rsidRPr="00CF5755">
        <w:t xml:space="preserve"> the admission of the evidence would bring the administration of ju</w:t>
      </w:r>
      <w:r w:rsidR="00E50D5F">
        <w:t>stice into disrepute. The</w:t>
      </w:r>
      <w:r w:rsidR="00E50D5F" w:rsidRPr="00CF5755">
        <w:t xml:space="preserve"> </w:t>
      </w:r>
      <w:r w:rsidR="00E50D5F">
        <w:t>two</w:t>
      </w:r>
      <w:r w:rsidR="00E50D5F" w:rsidRPr="00CF5755">
        <w:t xml:space="preserve"> breaches </w:t>
      </w:r>
      <w:r w:rsidR="00E50D5F">
        <w:t xml:space="preserve">were serious and had </w:t>
      </w:r>
      <w:r w:rsidR="00E50D5F" w:rsidRPr="00CF5755">
        <w:t xml:space="preserve">a correspondingly </w:t>
      </w:r>
      <w:r w:rsidR="00E50D5F" w:rsidRPr="00CF5755">
        <w:lastRenderedPageBreak/>
        <w:t xml:space="preserve">significant impact on </w:t>
      </w:r>
      <w:r w:rsidR="00E50D5F">
        <w:t xml:space="preserve">his </w:t>
      </w:r>
      <w:r w:rsidR="00E50D5F" w:rsidRPr="00CF5755">
        <w:t xml:space="preserve">s. 10(b) rights. </w:t>
      </w:r>
      <w:r w:rsidR="00E50D5F">
        <w:t>This</w:t>
      </w:r>
      <w:r w:rsidR="00E50D5F" w:rsidRPr="00CF5755">
        <w:t xml:space="preserve"> present</w:t>
      </w:r>
      <w:r w:rsidR="00E50D5F">
        <w:t>s</w:t>
      </w:r>
      <w:r w:rsidR="00E50D5F" w:rsidRPr="00CF5755">
        <w:t xml:space="preserve"> a strong case for exclusion of the evidence. On the other hand, society’s interest favo</w:t>
      </w:r>
      <w:r w:rsidR="00E50D5F">
        <w:t>u</w:t>
      </w:r>
      <w:r w:rsidR="00E50D5F" w:rsidRPr="00CF5755">
        <w:t xml:space="preserve">rs admission of the evidence, but not strongly. Taken cumulatively, the </w:t>
      </w:r>
      <w:r w:rsidR="00E50D5F">
        <w:t xml:space="preserve">seriousness of the </w:t>
      </w:r>
      <w:r w:rsidR="00E50D5F" w:rsidRPr="00A9490E">
        <w:rPr>
          <w:i/>
        </w:rPr>
        <w:t xml:space="preserve">Charter </w:t>
      </w:r>
      <w:r w:rsidR="00E50D5F" w:rsidRPr="00A9490E">
        <w:t xml:space="preserve">infringing conduct and the impact of the breaches on L’s </w:t>
      </w:r>
      <w:r>
        <w:rPr>
          <w:i/>
        </w:rPr>
        <w:t>Charter</w:t>
      </w:r>
      <w:r>
        <w:rPr>
          <w:i/>
        </w:rPr>
        <w:noBreakHyphen/>
      </w:r>
      <w:r w:rsidR="00E50D5F" w:rsidRPr="00A9490E">
        <w:t>protected interests</w:t>
      </w:r>
      <w:r w:rsidR="00E50D5F">
        <w:t xml:space="preserve"> </w:t>
      </w:r>
      <w:r w:rsidR="00E50D5F" w:rsidRPr="00CF5755">
        <w:t>overwhelms the moderate impact on society’s interest in the truth</w:t>
      </w:r>
      <w:r w:rsidR="00E50D5F" w:rsidRPr="00CF5755">
        <w:noBreakHyphen/>
        <w:t>seeking function</w:t>
      </w:r>
      <w:r>
        <w:t xml:space="preserve"> of the criminal trial process.</w:t>
      </w:r>
    </w:p>
    <w:p w14:paraId="2EF458F2" w14:textId="68E28127" w:rsidR="00592842" w:rsidRPr="00592842" w:rsidRDefault="00BF13F6" w:rsidP="00BF13F6">
      <w:pPr>
        <w:pStyle w:val="SCCNormalDoubleSpacing"/>
        <w:spacing w:after="480"/>
      </w:pPr>
      <w:r>
        <w:rPr>
          <w:i/>
        </w:rPr>
        <w:tab/>
      </w:r>
      <w:r w:rsidR="00592842" w:rsidRPr="00592842">
        <w:rPr>
          <w:i/>
        </w:rPr>
        <w:t>Per</w:t>
      </w:r>
      <w:r w:rsidR="00592842" w:rsidRPr="00592842">
        <w:t xml:space="preserve"> Wagner C.J. and Moldaver, </w:t>
      </w:r>
      <w:r w:rsidR="00592842" w:rsidRPr="00592842">
        <w:rPr>
          <w:b/>
        </w:rPr>
        <w:t>Côté</w:t>
      </w:r>
      <w:r w:rsidR="00592842" w:rsidRPr="00592842">
        <w:t xml:space="preserve"> and </w:t>
      </w:r>
      <w:r w:rsidR="00592842" w:rsidRPr="00592842">
        <w:rPr>
          <w:b/>
        </w:rPr>
        <w:t>Rowe</w:t>
      </w:r>
      <w:r w:rsidR="00592842" w:rsidRPr="00592842">
        <w:t xml:space="preserve"> JJ. (</w:t>
      </w:r>
      <w:proofErr w:type="gramStart"/>
      <w:r w:rsidR="00592842" w:rsidRPr="00592842">
        <w:t>dissenting</w:t>
      </w:r>
      <w:proofErr w:type="gramEnd"/>
      <w:r w:rsidR="00592842" w:rsidRPr="00592842">
        <w:t>): The appeal should be allowed and L’s conviction for second degree murder restored. L was not detained on the day of the execution of the warrant, nor was his s. 10(b) right to counsel violated on the day of his arrest, when he was not permitted a se</w:t>
      </w:r>
      <w:r>
        <w:t>cond consultation with counsel.</w:t>
      </w:r>
    </w:p>
    <w:p w14:paraId="6F04FE00" w14:textId="092E9549" w:rsidR="00592842" w:rsidRPr="00592842" w:rsidRDefault="00BF13F6" w:rsidP="00BF13F6">
      <w:pPr>
        <w:pStyle w:val="SCCNormalDoubleSpacing"/>
        <w:spacing w:after="480"/>
      </w:pPr>
      <w:r>
        <w:tab/>
      </w:r>
      <w:r w:rsidR="00592842" w:rsidRPr="00592842">
        <w:t>The disagreement with the majority that L was detained by police on the day of the execution of the warrant turns on three key points. First, a deferential approach to</w:t>
      </w:r>
      <w:r w:rsidR="003C0EFF">
        <w:t xml:space="preserve"> </w:t>
      </w:r>
      <w:r w:rsidR="00592842" w:rsidRPr="00592842">
        <w:t>the trial judge’s findings of fact leads to the conclusion that police did not engage in coercive behaviour in their</w:t>
      </w:r>
      <w:r w:rsidR="003C0EFF">
        <w:t xml:space="preserve"> </w:t>
      </w:r>
      <w:r w:rsidR="00592842" w:rsidRPr="00592842">
        <w:t>interactions with L that day. Second, the perspective of a reasonable person in the particular circumstances of the individual must not be overemphasized because to do so provides too little guidance to police in determining whether they have psychologically detained someone in carrying out their regular duties. The police must be able to</w:t>
      </w:r>
      <w:r w:rsidR="00862559">
        <w:t xml:space="preserve"> </w:t>
      </w:r>
      <w:r w:rsidR="00592842" w:rsidRPr="00592842">
        <w:t>avoid infringing the s.</w:t>
      </w:r>
      <w:r w:rsidR="00862559">
        <w:t> </w:t>
      </w:r>
      <w:r w:rsidR="00592842" w:rsidRPr="00592842">
        <w:t xml:space="preserve">9 </w:t>
      </w:r>
      <w:r w:rsidR="00592842" w:rsidRPr="00592842">
        <w:rPr>
          <w:i/>
        </w:rPr>
        <w:t>Charter</w:t>
      </w:r>
      <w:r w:rsidR="00592842" w:rsidRPr="00592842">
        <w:t xml:space="preserve"> right against arbitrary detention when they are seeking to obtain information from an individual</w:t>
      </w:r>
      <w:r w:rsidR="00862559">
        <w:t xml:space="preserve"> </w:t>
      </w:r>
      <w:r w:rsidR="00592842" w:rsidRPr="00592842">
        <w:t xml:space="preserve">and they have no intention to detain him or her but a reasonable person may nonetheless conclude a detention exists. Third, while there is agreement with the majority that a </w:t>
      </w:r>
      <w:r w:rsidR="00592842" w:rsidRPr="00592842">
        <w:lastRenderedPageBreak/>
        <w:t>finding of detention is not precluded by statements by police that an individual does not need to speak to them and is free to leave, in the instant case, greater weight is to be accorded to the police officers’ testimony that they made clear to L</w:t>
      </w:r>
      <w:r w:rsidR="00862559">
        <w:t xml:space="preserve"> </w:t>
      </w:r>
      <w:r w:rsidR="00592842" w:rsidRPr="00592842">
        <w:t>that he did not need to speak</w:t>
      </w:r>
      <w:r>
        <w:t xml:space="preserve"> to them and he was free to go.</w:t>
      </w:r>
    </w:p>
    <w:p w14:paraId="2D9127C8" w14:textId="64C7FC1D" w:rsidR="00592842" w:rsidRPr="00592842" w:rsidRDefault="00BF13F6" w:rsidP="00BF13F6">
      <w:pPr>
        <w:pStyle w:val="SCCNormalDoubleSpacing"/>
        <w:spacing w:after="480"/>
      </w:pPr>
      <w:r>
        <w:tab/>
      </w:r>
      <w:r w:rsidR="00592842" w:rsidRPr="00592842">
        <w:t xml:space="preserve">Applying the framework from </w:t>
      </w:r>
      <w:r w:rsidR="00592842" w:rsidRPr="00592842">
        <w:rPr>
          <w:i/>
        </w:rPr>
        <w:t>Grant</w:t>
      </w:r>
      <w:r w:rsidR="00592842" w:rsidRPr="00592842">
        <w:t xml:space="preserve"> leads to the conclusion that L was not psychologically or otherwise detained at any point during his dealings with the police on the day of the execution of the warrant. Thus, there was no requirement that he be advised by police of his right to counsel under s. 10(b) of the </w:t>
      </w:r>
      <w:r w:rsidR="003C0EFF">
        <w:rPr>
          <w:i/>
        </w:rPr>
        <w:t>Charter.</w:t>
      </w:r>
    </w:p>
    <w:p w14:paraId="34AFFF25" w14:textId="5543B9C8" w:rsidR="00592842" w:rsidRPr="00592842" w:rsidRDefault="00BF13F6" w:rsidP="00BF13F6">
      <w:pPr>
        <w:pStyle w:val="SCCNormalDoubleSpacing"/>
        <w:spacing w:after="480"/>
      </w:pPr>
      <w:r>
        <w:tab/>
      </w:r>
      <w:r w:rsidR="00592842" w:rsidRPr="00592842">
        <w:t>First, with respect to the circumstances giving rise to the encounter, the trial judge did consider the context in which police first interacted with L and its relevance to whether or not he was detained. He indicated that the search warrant was executed professionally and disclosed no signs of unnecessary coercion. While a reasonable person in L’s position would have felt</w:t>
      </w:r>
      <w:r w:rsidR="00862559">
        <w:t xml:space="preserve"> </w:t>
      </w:r>
      <w:r w:rsidR="00592842" w:rsidRPr="00592842">
        <w:t xml:space="preserve">singled out for investigation, this did not turn </w:t>
      </w:r>
      <w:r>
        <w:t>the encounter into a detention.</w:t>
      </w:r>
    </w:p>
    <w:p w14:paraId="5EDBFFF6" w14:textId="33D2E5C0" w:rsidR="00592842" w:rsidRPr="00592842" w:rsidRDefault="00BF13F6" w:rsidP="00BF13F6">
      <w:pPr>
        <w:pStyle w:val="SCCNormalDoubleSpacing"/>
        <w:spacing w:after="480"/>
      </w:pPr>
      <w:r>
        <w:tab/>
      </w:r>
      <w:r w:rsidR="00592842" w:rsidRPr="00592842">
        <w:t xml:space="preserve">Next, regarding the police conduct, there is no basis to contradict the trial judge’s conclusion that L was not subject to psychological detention. The police made statements on several occasions that L was under no obligation to cooperate and he was free to leave at any time, and their conduct did not undermine their statements. A careful and deferential review of the record requires a rejection of the factors that, according to the majority, outweigh the police statements that L was free to go. The conduct of the police in relation to the execution of the search warrant shows no </w:t>
      </w:r>
      <w:r w:rsidR="00592842" w:rsidRPr="00592842">
        <w:lastRenderedPageBreak/>
        <w:t>evidence giving rise to an impression of control</w:t>
      </w:r>
      <w:r w:rsidR="00CA526C">
        <w:t xml:space="preserve"> </w:t>
      </w:r>
      <w:r w:rsidR="00592842" w:rsidRPr="00592842">
        <w:t>over the person. There is no credible evidence that police gave orders or closely monitored L for purposes other than the execution of the search warrant. As for the ride to the police station, the trial judge’s factual findings about the police conduct during that time and his finding that L chose this option also do not militate in favour of a finding of detention. Further, the trial judge’s findings indicate that police avoided anything akin to accusatory interrogation. Moreover, the evidence demonstrates that L was keen to collaborate. As to physical contact, there is agreement with the majority that there was no evidence of physical contact or oppressive proximity that could support a finding of psychological detention. With respect to the presence of others, there is disagreement with the majority that this was a significant consideration because this factor refers to witnesses, not police officers, and, in any event, the presence of other police officers is of no consequence, given how the police conducted themselves. Finally, the interview took place at the police station and, while its duration of</w:t>
      </w:r>
      <w:r w:rsidR="00CA526C">
        <w:t xml:space="preserve"> </w:t>
      </w:r>
      <w:r w:rsidR="00592842" w:rsidRPr="00592842">
        <w:t>about three and a half hours was lengthier than generally occurs</w:t>
      </w:r>
      <w:r w:rsidR="00CA526C">
        <w:t xml:space="preserve"> </w:t>
      </w:r>
      <w:r w:rsidR="00592842" w:rsidRPr="00592842">
        <w:t>in non-accusatory sessions, having regard to the conversational interview style and the absence of any confrontation, there is no basis to differ from the trial judge’s conclusion that its length does not suffice to constitute the basis of a psychological detention.</w:t>
      </w:r>
    </w:p>
    <w:p w14:paraId="38F7722F" w14:textId="4C59692C" w:rsidR="00592842" w:rsidRPr="00592842" w:rsidRDefault="00BF13F6" w:rsidP="00BF13F6">
      <w:pPr>
        <w:pStyle w:val="SCCNormalDoubleSpacing"/>
        <w:spacing w:after="480"/>
      </w:pPr>
      <w:r>
        <w:tab/>
      </w:r>
      <w:r w:rsidR="00592842" w:rsidRPr="00592842">
        <w:t xml:space="preserve">Finally, turning to L’s particular circumstances, the trial judge acknowledged his youth, Indigenous background, lack of experience, and small stature. These factors are all material — without being determinative — in assessing whether police undermined statements that he was free to go. There is no evidentiary support for the majority’s assertion that the execution of the search warrant was conducted in a </w:t>
      </w:r>
      <w:r w:rsidR="00592842" w:rsidRPr="00592842">
        <w:lastRenderedPageBreak/>
        <w:t>manner that would make a reasonable person in L’s position feel detained. L’s objective personal characteristics, although significant to the inquiry, do not turn the tide. Overall, the trial judge’s findings of fact confirm what is otherwise objectively ascertainable: a reasonable person in L’s shoes would not have perceived the police conduct as a significant deprivation of his liberty.</w:t>
      </w:r>
    </w:p>
    <w:p w14:paraId="07E44B8C" w14:textId="6786E029" w:rsidR="00592842" w:rsidRPr="00592842" w:rsidRDefault="00BF13F6" w:rsidP="00BF13F6">
      <w:pPr>
        <w:pStyle w:val="SCCNormalDoubleSpacing"/>
        <w:spacing w:after="480"/>
      </w:pPr>
      <w:r>
        <w:tab/>
      </w:r>
      <w:r w:rsidR="00592842" w:rsidRPr="00592842">
        <w:t xml:space="preserve">L claims that his right to counsel was not implemented on the day of his arrest because he had a right to a second consultation with counsel during the police interview. This issue is governed by the Court’s decision in </w:t>
      </w:r>
      <w:r w:rsidR="00592842" w:rsidRPr="00592842">
        <w:rPr>
          <w:i/>
        </w:rPr>
        <w:t>Sinclair</w:t>
      </w:r>
      <w:r w:rsidR="00592842" w:rsidRPr="00592842">
        <w:t xml:space="preserve"> and its companion cases. It is not accurate to suggest that s. 10(b)’s purpose is to mitigate the imbalance between the individual and the state; rather,</w:t>
      </w:r>
      <w:r w:rsidR="00CA526C">
        <w:t xml:space="preserve"> </w:t>
      </w:r>
      <w:r w:rsidR="00592842" w:rsidRPr="00592842">
        <w:t>its purpose is to provide a detainee with an opportunity to obtain information and legal advice relevant to his or her legal situation upon detention, in order to support the detainee’s right to choose whether to cooperate with the police investigation or not.</w:t>
      </w:r>
    </w:p>
    <w:p w14:paraId="5C32DE7F" w14:textId="50B0D091" w:rsidR="00592842" w:rsidRPr="00592842" w:rsidRDefault="00BF13F6" w:rsidP="00BF13F6">
      <w:pPr>
        <w:pStyle w:val="SCCNormalDoubleSpacing"/>
        <w:spacing w:after="480"/>
      </w:pPr>
      <w:r>
        <w:tab/>
      </w:r>
      <w:r w:rsidR="00592842" w:rsidRPr="00592842">
        <w:t>In the instant case, L’s situation does not fit within the category of changed circumstances that requires a second consultation when there is reason to question the detainee’s understanding of his or her s.</w:t>
      </w:r>
      <w:r w:rsidR="00CA526C">
        <w:t> </w:t>
      </w:r>
      <w:r w:rsidR="00592842" w:rsidRPr="00592842">
        <w:t>10(b) right. There is no basis to conclude that the choice faced by L was significantly altered so as to require further advice in order to fulfill the purpose of his s.</w:t>
      </w:r>
      <w:r w:rsidR="00CA526C">
        <w:t> </w:t>
      </w:r>
      <w:r w:rsidR="00592842" w:rsidRPr="00592842">
        <w:t>10(b) rights. The fact that a detainee demonstrates hesitancy or concern during an interrogation is not, on its own, sufficient to establish that he or she did not have a full opportunity to consult with counsel and</w:t>
      </w:r>
      <w:r w:rsidR="00CA526C">
        <w:t xml:space="preserve"> </w:t>
      </w:r>
      <w:r w:rsidR="00592842" w:rsidRPr="00592842">
        <w:t xml:space="preserve">the detainee merely asking for a second consultation with a lawyer is not enough to support a right to a second consultation. Mere confusion or an incorrect belief in a constitutional right </w:t>
      </w:r>
      <w:r w:rsidR="00592842" w:rsidRPr="00592842">
        <w:lastRenderedPageBreak/>
        <w:t>to have a lawyer present is also not enough to trigger a constitutional obligation under s. 10(b). A review of L’s interactions with police indicates that his choice to speak to the police investigators was both free and informed. While his request to speak to his father was an implicit request for a second consultation with a lawyer, that is not enough to support a right to a second consultation. The police officer confirmed that L understood and exercised his right to counsel. L knew the legal jeopardy that he was facing and he knew he did not have to say anything to the police officer. L’s</w:t>
      </w:r>
      <w:r w:rsidR="00CA526C">
        <w:t xml:space="preserve"> </w:t>
      </w:r>
      <w:r w:rsidR="00592842" w:rsidRPr="00592842">
        <w:t>discomfort in the face of difficult police questioning is not, on its own, grounds for a second consultation.</w:t>
      </w:r>
    </w:p>
    <w:p w14:paraId="268EA786" w14:textId="268235DB" w:rsidR="00592842" w:rsidRPr="0076360D" w:rsidRDefault="00BF13F6" w:rsidP="00BF13F6">
      <w:pPr>
        <w:pStyle w:val="SCCNormalDoubleSpacing"/>
        <w:spacing w:after="480"/>
      </w:pPr>
      <w:r>
        <w:tab/>
      </w:r>
      <w:r w:rsidR="00592842" w:rsidRPr="00592842">
        <w:t>Even if it could be said that L was detained on the day of the execution of the warrant, the statement he subsequently provided on the day of his arrest</w:t>
      </w:r>
      <w:r w:rsidR="00CA526C">
        <w:t xml:space="preserve"> </w:t>
      </w:r>
      <w:r w:rsidR="00592842" w:rsidRPr="00592842">
        <w:t xml:space="preserve">was not sufficiently connected to that </w:t>
      </w:r>
      <w:r w:rsidR="00592842" w:rsidRPr="00592842">
        <w:rPr>
          <w:i/>
        </w:rPr>
        <w:t xml:space="preserve">Charter </w:t>
      </w:r>
      <w:r w:rsidR="00592842" w:rsidRPr="00592842">
        <w:t>breach and there is therefore no basis on which to exclude such evidence under s. 24(2).</w:t>
      </w:r>
    </w:p>
    <w:p w14:paraId="45354C8A" w14:textId="77777777" w:rsidR="007E1C47" w:rsidRDefault="002E6705" w:rsidP="00566361">
      <w:pPr>
        <w:pStyle w:val="SCCNormalDoubleSpacing"/>
        <w:widowControl w:val="0"/>
        <w:spacing w:after="720" w:line="240" w:lineRule="auto"/>
        <w:rPr>
          <w:b/>
        </w:rPr>
      </w:pPr>
      <w:r w:rsidRPr="00314E01">
        <w:rPr>
          <w:b/>
        </w:rPr>
        <w:t>Cases Cited</w:t>
      </w:r>
    </w:p>
    <w:p w14:paraId="28C61D01" w14:textId="78BEAC54" w:rsidR="00A149DF" w:rsidRPr="00613969" w:rsidRDefault="00254E86" w:rsidP="00566361">
      <w:pPr>
        <w:pStyle w:val="SCCNormalDoubleSpacing"/>
        <w:widowControl w:val="0"/>
        <w:spacing w:after="720" w:line="240" w:lineRule="auto"/>
      </w:pPr>
      <w:r>
        <w:t>By Brown </w:t>
      </w:r>
      <w:r w:rsidR="00575847">
        <w:t>J.</w:t>
      </w:r>
    </w:p>
    <w:p w14:paraId="53538528" w14:textId="29E47A55" w:rsidR="004E2C26" w:rsidRPr="00E8506A" w:rsidRDefault="002E6705" w:rsidP="00566361">
      <w:pPr>
        <w:pStyle w:val="SCCNormalDoubleSpacing"/>
        <w:widowControl w:val="0"/>
        <w:spacing w:after="480"/>
      </w:pPr>
      <w:r>
        <w:tab/>
      </w:r>
      <w:r w:rsidR="00C57F8C">
        <w:rPr>
          <w:b/>
        </w:rPr>
        <w:t xml:space="preserve">Overruled: </w:t>
      </w:r>
      <w:r w:rsidR="00C57F8C" w:rsidRPr="00E8506A">
        <w:rPr>
          <w:i/>
        </w:rPr>
        <w:t xml:space="preserve">R. v. Moran </w:t>
      </w:r>
      <w:r w:rsidR="00C57F8C" w:rsidRPr="00E8506A">
        <w:t xml:space="preserve">(1987), 36 C.C.C. (3d) 225; </w:t>
      </w:r>
      <w:r w:rsidR="00C57F8C">
        <w:rPr>
          <w:b/>
        </w:rPr>
        <w:t xml:space="preserve">applied: </w:t>
      </w:r>
      <w:r w:rsidR="00C57F8C" w:rsidRPr="00E8506A">
        <w:rPr>
          <w:i/>
        </w:rPr>
        <w:t>R. v. Le</w:t>
      </w:r>
      <w:r w:rsidR="00C57F8C" w:rsidRPr="00E8506A">
        <w:t xml:space="preserve">, 2019 SCC 34, [2019] 2 S.C.R. 692; </w:t>
      </w:r>
      <w:r w:rsidR="00C57F8C" w:rsidRPr="00E8506A">
        <w:rPr>
          <w:i/>
        </w:rPr>
        <w:t>R. v. Grant</w:t>
      </w:r>
      <w:r w:rsidR="00C57F8C" w:rsidRPr="00E8506A">
        <w:t xml:space="preserve">, 2009 SCC 32, [2009] 2 S.C.R. 353; </w:t>
      </w:r>
      <w:r w:rsidR="00C57F8C" w:rsidRPr="00E8506A">
        <w:rPr>
          <w:i/>
        </w:rPr>
        <w:t>R. v. Sinclair</w:t>
      </w:r>
      <w:r w:rsidR="00C57F8C" w:rsidRPr="00E8506A">
        <w:t>, 2010 SCC 35, [2010] 2 S.C.R. 310;</w:t>
      </w:r>
      <w:r w:rsidR="00C57F8C" w:rsidRPr="00E8506A">
        <w:rPr>
          <w:i/>
          <w:iCs/>
        </w:rPr>
        <w:t xml:space="preserve"> </w:t>
      </w:r>
      <w:r w:rsidR="00C57F8C">
        <w:rPr>
          <w:b/>
          <w:iCs/>
        </w:rPr>
        <w:t>re</w:t>
      </w:r>
      <w:r w:rsidRPr="00314E01">
        <w:rPr>
          <w:b/>
        </w:rPr>
        <w:t>ferred to:</w:t>
      </w:r>
      <w:r w:rsidR="00BD0E9E" w:rsidRPr="00BD0E9E">
        <w:t xml:space="preserve"> </w:t>
      </w:r>
      <w:r w:rsidR="00002F3B" w:rsidRPr="00E8506A">
        <w:rPr>
          <w:i/>
          <w:iCs/>
        </w:rPr>
        <w:t>R</w:t>
      </w:r>
      <w:r w:rsidR="00002F3B" w:rsidRPr="00E8506A">
        <w:rPr>
          <w:i/>
        </w:rPr>
        <w:t xml:space="preserve">. </w:t>
      </w:r>
      <w:r w:rsidR="00002F3B" w:rsidRPr="00E8506A">
        <w:rPr>
          <w:i/>
          <w:iCs/>
        </w:rPr>
        <w:t>v</w:t>
      </w:r>
      <w:r w:rsidR="00002F3B" w:rsidRPr="00E8506A">
        <w:rPr>
          <w:i/>
        </w:rPr>
        <w:t xml:space="preserve">. </w:t>
      </w:r>
      <w:r w:rsidR="00002F3B" w:rsidRPr="00E8506A">
        <w:rPr>
          <w:i/>
          <w:iCs/>
        </w:rPr>
        <w:t>Manninen</w:t>
      </w:r>
      <w:r w:rsidR="00002F3B" w:rsidRPr="00E8506A">
        <w:t xml:space="preserve">, [1987] 1 S.C.R. 1233; </w:t>
      </w:r>
      <w:r w:rsidR="00560450" w:rsidRPr="00E8506A">
        <w:rPr>
          <w:i/>
        </w:rPr>
        <w:t>R. v. Suberu</w:t>
      </w:r>
      <w:r w:rsidR="00560450" w:rsidRPr="00E8506A">
        <w:t xml:space="preserve">, 2009 SCC 33, [2009] 2 S.C.R. 460; </w:t>
      </w:r>
      <w:r w:rsidR="00F5377E" w:rsidRPr="00E8506A">
        <w:rPr>
          <w:i/>
        </w:rPr>
        <w:t>R. v. Shepherd</w:t>
      </w:r>
      <w:r w:rsidR="00F5377E" w:rsidRPr="00E8506A">
        <w:t>,</w:t>
      </w:r>
      <w:r w:rsidR="00F5377E" w:rsidRPr="00E8506A">
        <w:rPr>
          <w:i/>
        </w:rPr>
        <w:t xml:space="preserve"> </w:t>
      </w:r>
      <w:r w:rsidR="00F5377E" w:rsidRPr="00E8506A">
        <w:t xml:space="preserve">2009 SCC 35, [2009] 2 S.C.R. 527; </w:t>
      </w:r>
      <w:r w:rsidR="00BE7B5C" w:rsidRPr="00E8506A">
        <w:rPr>
          <w:i/>
        </w:rPr>
        <w:t>R. v. Seagull</w:t>
      </w:r>
      <w:r w:rsidR="00BE7B5C" w:rsidRPr="00E8506A">
        <w:t xml:space="preserve">, 2015 BCCA 164, 323 C.C.C. </w:t>
      </w:r>
      <w:r w:rsidR="00297AFF" w:rsidRPr="00E8506A">
        <w:t xml:space="preserve">(3d) </w:t>
      </w:r>
      <w:r w:rsidR="00BE7B5C" w:rsidRPr="00E8506A">
        <w:t xml:space="preserve">361; </w:t>
      </w:r>
      <w:r w:rsidR="006713E8" w:rsidRPr="00E8506A">
        <w:rPr>
          <w:i/>
        </w:rPr>
        <w:t xml:space="preserve">R. </w:t>
      </w:r>
      <w:r w:rsidR="006713E8" w:rsidRPr="00E8506A">
        <w:rPr>
          <w:i/>
        </w:rPr>
        <w:lastRenderedPageBreak/>
        <w:t>v. Tessier</w:t>
      </w:r>
      <w:r w:rsidR="006713E8" w:rsidRPr="00E8506A">
        <w:t xml:space="preserve">, 2020 ABCA 289, </w:t>
      </w:r>
      <w:r w:rsidR="00B95A01" w:rsidRPr="00E8506A">
        <w:t>12 Alta. L.R. (7th) 55</w:t>
      </w:r>
      <w:r w:rsidR="004D4514" w:rsidRPr="00F3290F">
        <w:t>, leave to appeal granted</w:t>
      </w:r>
      <w:r w:rsidR="00C45006">
        <w:t xml:space="preserve">, </w:t>
      </w:r>
      <w:r w:rsidR="00C45006" w:rsidRPr="00EA3AF2">
        <w:rPr>
          <w:i/>
        </w:rPr>
        <w:t>Bulletin of Proceedings</w:t>
      </w:r>
      <w:r w:rsidR="00C45006">
        <w:t>, March 4, 2021, at p. 2</w:t>
      </w:r>
      <w:r w:rsidR="006713E8" w:rsidRPr="00E8506A">
        <w:t xml:space="preserve">; </w:t>
      </w:r>
      <w:r w:rsidR="00D928A5" w:rsidRPr="00E8506A">
        <w:rPr>
          <w:i/>
        </w:rPr>
        <w:t>R. v. Eaton</w:t>
      </w:r>
      <w:r w:rsidR="00D928A5" w:rsidRPr="00E8506A">
        <w:t>,</w:t>
      </w:r>
      <w:r w:rsidR="00D928A5" w:rsidRPr="00E8506A">
        <w:rPr>
          <w:i/>
        </w:rPr>
        <w:t xml:space="preserve"> </w:t>
      </w:r>
      <w:r w:rsidR="00D928A5" w:rsidRPr="00E8506A">
        <w:t xml:space="preserve">2019 ONCA 891; </w:t>
      </w:r>
      <w:r w:rsidR="00D928A5" w:rsidRPr="00E8506A">
        <w:rPr>
          <w:i/>
        </w:rPr>
        <w:t>R. v. N.B.</w:t>
      </w:r>
      <w:r w:rsidR="00D928A5" w:rsidRPr="00E8506A">
        <w:t xml:space="preserve">, 2018 ONCA 556, 362 C.C.C. </w:t>
      </w:r>
      <w:r w:rsidR="00791255" w:rsidRPr="00E8506A">
        <w:t xml:space="preserve">(3d) </w:t>
      </w:r>
      <w:r w:rsidR="00D928A5" w:rsidRPr="00E8506A">
        <w:t xml:space="preserve">302; </w:t>
      </w:r>
      <w:r w:rsidR="00B334FB" w:rsidRPr="00E8506A">
        <w:rPr>
          <w:i/>
        </w:rPr>
        <w:t>R. v. Folker</w:t>
      </w:r>
      <w:r w:rsidR="00B334FB" w:rsidRPr="00E8506A">
        <w:t>,</w:t>
      </w:r>
      <w:r w:rsidR="00B334FB" w:rsidRPr="00E8506A">
        <w:rPr>
          <w:i/>
        </w:rPr>
        <w:t xml:space="preserve"> </w:t>
      </w:r>
      <w:r w:rsidR="00B334FB" w:rsidRPr="00E8506A">
        <w:t xml:space="preserve">2016 NLCA 1, </w:t>
      </w:r>
      <w:r w:rsidR="00B659C8" w:rsidRPr="00E8506A">
        <w:t>373 Nfld. &amp; P.E.I.R. 49</w:t>
      </w:r>
      <w:r w:rsidR="00B334FB" w:rsidRPr="00E8506A">
        <w:t xml:space="preserve">; </w:t>
      </w:r>
      <w:r w:rsidR="0015756E" w:rsidRPr="00E8506A">
        <w:rPr>
          <w:i/>
        </w:rPr>
        <w:t>R. v. Rajaratnam</w:t>
      </w:r>
      <w:r w:rsidR="0015756E" w:rsidRPr="00E8506A">
        <w:t xml:space="preserve">, 2006 ABCA 333, 397 A.R. 126; </w:t>
      </w:r>
      <w:r w:rsidR="005A3826" w:rsidRPr="00E8506A">
        <w:rPr>
          <w:i/>
        </w:rPr>
        <w:t>R. v. Van Wissen</w:t>
      </w:r>
      <w:r w:rsidR="005A3826" w:rsidRPr="00E8506A">
        <w:t xml:space="preserve">, 2018 MBCA 110, 367 C.C.C. (3d) 186; </w:t>
      </w:r>
      <w:r w:rsidR="00463F53" w:rsidRPr="00E8506A">
        <w:rPr>
          <w:i/>
        </w:rPr>
        <w:t>R. v. Theriault</w:t>
      </w:r>
      <w:r w:rsidR="00463F53" w:rsidRPr="00E8506A">
        <w:t xml:space="preserve">, 2021 ONCA 517, 157 O.R. (3d) 241; </w:t>
      </w:r>
      <w:r w:rsidR="0057671F" w:rsidRPr="00E8506A">
        <w:rPr>
          <w:i/>
        </w:rPr>
        <w:t>R. v. Gladue</w:t>
      </w:r>
      <w:r w:rsidR="0057671F" w:rsidRPr="00E8506A">
        <w:t>,</w:t>
      </w:r>
      <w:r w:rsidR="0057671F" w:rsidRPr="00E8506A">
        <w:rPr>
          <w:i/>
        </w:rPr>
        <w:t xml:space="preserve"> </w:t>
      </w:r>
      <w:r w:rsidR="0057671F" w:rsidRPr="00E8506A">
        <w:t xml:space="preserve">[1999] 1 S.C.R. 688; </w:t>
      </w:r>
      <w:r w:rsidR="00525904" w:rsidRPr="00E8506A">
        <w:rPr>
          <w:i/>
        </w:rPr>
        <w:t>R. v. Ipeelee</w:t>
      </w:r>
      <w:r w:rsidR="00525904" w:rsidRPr="00E8506A">
        <w:t>,</w:t>
      </w:r>
      <w:r w:rsidR="00525904" w:rsidRPr="00E8506A">
        <w:rPr>
          <w:i/>
        </w:rPr>
        <w:t xml:space="preserve"> </w:t>
      </w:r>
      <w:r w:rsidR="00525904" w:rsidRPr="00E8506A">
        <w:t xml:space="preserve">2012 SCC 13, [2012] 1 S.C.R. 433; </w:t>
      </w:r>
      <w:r w:rsidR="00E26362" w:rsidRPr="00E8506A">
        <w:rPr>
          <w:i/>
        </w:rPr>
        <w:t>Clarkson v. The Queen</w:t>
      </w:r>
      <w:r w:rsidR="00E26362" w:rsidRPr="00E8506A">
        <w:t xml:space="preserve">, [1986] 1 S.C.R. 383; </w:t>
      </w:r>
      <w:r w:rsidR="002B6F07" w:rsidRPr="00E8506A">
        <w:rPr>
          <w:i/>
        </w:rPr>
        <w:t>R. v. Hebert</w:t>
      </w:r>
      <w:r w:rsidR="002B6F07" w:rsidRPr="00E8506A">
        <w:t xml:space="preserve">, [1990] 2 S.C.R. 151; </w:t>
      </w:r>
      <w:r w:rsidR="00544B47" w:rsidRPr="00E8506A">
        <w:rPr>
          <w:i/>
        </w:rPr>
        <w:t>R. v. Dussault</w:t>
      </w:r>
      <w:r w:rsidR="00544B47" w:rsidRPr="00E8506A">
        <w:t xml:space="preserve">, 2022 SCC 16; </w:t>
      </w:r>
      <w:r w:rsidR="001D4905" w:rsidRPr="00E8506A">
        <w:rPr>
          <w:i/>
          <w:lang w:bidi="en-US"/>
        </w:rPr>
        <w:t>R. v. Pagé</w:t>
      </w:r>
      <w:r w:rsidR="001D4905" w:rsidRPr="00E8506A">
        <w:rPr>
          <w:lang w:bidi="en-US"/>
        </w:rPr>
        <w:t xml:space="preserve">, 2018 QCCS 5553; </w:t>
      </w:r>
      <w:r w:rsidR="00380557" w:rsidRPr="00E8506A">
        <w:rPr>
          <w:i/>
          <w:lang w:bidi="en-US"/>
        </w:rPr>
        <w:t>R. v. Smith</w:t>
      </w:r>
      <w:r w:rsidR="00380557" w:rsidRPr="00E8506A">
        <w:rPr>
          <w:lang w:bidi="en-US"/>
        </w:rPr>
        <w:t xml:space="preserve">, 2015 ABQB 624; </w:t>
      </w:r>
      <w:r w:rsidR="004A358E" w:rsidRPr="00E8506A">
        <w:rPr>
          <w:i/>
          <w:lang w:bidi="en-US"/>
        </w:rPr>
        <w:t>R. v. Ejigu</w:t>
      </w:r>
      <w:r w:rsidR="004A358E" w:rsidRPr="00E8506A">
        <w:rPr>
          <w:lang w:bidi="en-US"/>
        </w:rPr>
        <w:t>, 2012 BCSC 1673;</w:t>
      </w:r>
      <w:r w:rsidR="00BA42D3" w:rsidRPr="00E8506A">
        <w:rPr>
          <w:i/>
          <w:lang w:bidi="en-US"/>
        </w:rPr>
        <w:t xml:space="preserve"> R. v. Jongbloets</w:t>
      </w:r>
      <w:r w:rsidR="00BA42D3" w:rsidRPr="00E8506A">
        <w:rPr>
          <w:lang w:bidi="en-US"/>
        </w:rPr>
        <w:t>, 2017 BCSC 740</w:t>
      </w:r>
      <w:r w:rsidR="004A358E" w:rsidRPr="00E8506A">
        <w:rPr>
          <w:lang w:bidi="en-US"/>
        </w:rPr>
        <w:t xml:space="preserve">; </w:t>
      </w:r>
      <w:r w:rsidR="00BA42D3" w:rsidRPr="00E8506A">
        <w:rPr>
          <w:i/>
          <w:lang w:bidi="en-US"/>
        </w:rPr>
        <w:t>R. v. A.R.M.</w:t>
      </w:r>
      <w:r w:rsidR="00BA42D3" w:rsidRPr="00E8506A">
        <w:rPr>
          <w:lang w:bidi="en-US"/>
        </w:rPr>
        <w:t>, 2011 ABCA 98</w:t>
      </w:r>
      <w:r w:rsidR="006D1BDF" w:rsidRPr="00E8506A">
        <w:rPr>
          <w:lang w:bidi="en-US"/>
        </w:rPr>
        <w:t>, 599 A.R. 343</w:t>
      </w:r>
      <w:r w:rsidR="00BA42D3" w:rsidRPr="00E8506A">
        <w:rPr>
          <w:lang w:bidi="en-US"/>
        </w:rPr>
        <w:t xml:space="preserve">; </w:t>
      </w:r>
      <w:r w:rsidR="00FA4C9A" w:rsidRPr="00E8506A">
        <w:rPr>
          <w:i/>
          <w:lang w:bidi="en-US"/>
        </w:rPr>
        <w:t>R. v. Laquette</w:t>
      </w:r>
      <w:r w:rsidR="00FA4C9A" w:rsidRPr="00E8506A">
        <w:rPr>
          <w:lang w:bidi="en-US"/>
        </w:rPr>
        <w:t xml:space="preserve">, 2021 MBQB 177; </w:t>
      </w:r>
      <w:r w:rsidR="00161942" w:rsidRPr="00E8506A">
        <w:rPr>
          <w:i/>
          <w:lang w:bidi="en-US"/>
        </w:rPr>
        <w:t>R. v. Hunt</w:t>
      </w:r>
      <w:r w:rsidR="00161942" w:rsidRPr="00E8506A">
        <w:rPr>
          <w:lang w:bidi="en-US"/>
        </w:rPr>
        <w:t xml:space="preserve">, 2020 ONCJ 627; </w:t>
      </w:r>
      <w:r w:rsidR="00871257" w:rsidRPr="00E8506A">
        <w:rPr>
          <w:i/>
          <w:lang w:bidi="en-US"/>
        </w:rPr>
        <w:t>R</w:t>
      </w:r>
      <w:r w:rsidR="007E3767" w:rsidRPr="00E8506A">
        <w:rPr>
          <w:i/>
          <w:lang w:bidi="en-US"/>
        </w:rPr>
        <w:t>.</w:t>
      </w:r>
      <w:r w:rsidR="00871257" w:rsidRPr="00E8506A">
        <w:rPr>
          <w:i/>
          <w:lang w:bidi="en-US"/>
        </w:rPr>
        <w:t xml:space="preserve"> v. Fedoseev</w:t>
      </w:r>
      <w:r w:rsidR="00871257" w:rsidRPr="00E8506A">
        <w:rPr>
          <w:lang w:bidi="en-US"/>
        </w:rPr>
        <w:t>, 2014 ABPC 192</w:t>
      </w:r>
      <w:r w:rsidR="00FA4C9A" w:rsidRPr="00E8506A">
        <w:rPr>
          <w:lang w:bidi="en-US"/>
        </w:rPr>
        <w:t>, 597 A.R. 1</w:t>
      </w:r>
      <w:r w:rsidR="00871257" w:rsidRPr="00E8506A">
        <w:rPr>
          <w:lang w:bidi="en-US"/>
        </w:rPr>
        <w:t xml:space="preserve">; </w:t>
      </w:r>
      <w:r w:rsidR="001040D5" w:rsidRPr="00E8506A">
        <w:rPr>
          <w:i/>
          <w:iCs/>
        </w:rPr>
        <w:t>R. v. Big M Drug Mart Ltd.</w:t>
      </w:r>
      <w:r w:rsidR="001040D5" w:rsidRPr="00E8506A">
        <w:t>, [1985] 1 S.C.R. 295;</w:t>
      </w:r>
      <w:r w:rsidR="007E3767" w:rsidRPr="00E8506A">
        <w:t xml:space="preserve"> </w:t>
      </w:r>
      <w:r w:rsidR="007E3767" w:rsidRPr="00E8506A">
        <w:rPr>
          <w:i/>
          <w:lang w:val="en-GB"/>
        </w:rPr>
        <w:t xml:space="preserve">R. </w:t>
      </w:r>
      <w:r w:rsidR="007E3767" w:rsidRPr="00E8506A">
        <w:rPr>
          <w:i/>
          <w:iCs/>
          <w:lang w:val="en-GB"/>
        </w:rPr>
        <w:t>v.</w:t>
      </w:r>
      <w:r w:rsidR="007E3767" w:rsidRPr="00E8506A">
        <w:rPr>
          <w:i/>
          <w:lang w:val="en-GB"/>
        </w:rPr>
        <w:t xml:space="preserve"> Willier</w:t>
      </w:r>
      <w:r w:rsidR="007E3767" w:rsidRPr="00E8506A">
        <w:rPr>
          <w:lang w:val="en-US"/>
        </w:rPr>
        <w:t>, 2010 SCC 37, [2010] 2 S.C.R. 429;</w:t>
      </w:r>
      <w:r w:rsidR="001040D5" w:rsidRPr="00E8506A">
        <w:t xml:space="preserve"> </w:t>
      </w:r>
      <w:r w:rsidR="00043E18" w:rsidRPr="00E8506A">
        <w:rPr>
          <w:i/>
        </w:rPr>
        <w:t>R. v. 974649 Ontario Inc.</w:t>
      </w:r>
      <w:r w:rsidR="00043E18" w:rsidRPr="00E8506A">
        <w:t xml:space="preserve">, 2001 SCC 81, [2001] 3 S.C.R. 575; </w:t>
      </w:r>
      <w:r w:rsidR="006135D8" w:rsidRPr="00E8506A">
        <w:rPr>
          <w:i/>
        </w:rPr>
        <w:t>R. v. Tim</w:t>
      </w:r>
      <w:r w:rsidR="00494377" w:rsidRPr="00E8506A">
        <w:t>, 2022 SCC 12</w:t>
      </w:r>
      <w:r w:rsidR="006135D8" w:rsidRPr="00E8506A">
        <w:t xml:space="preserve">; </w:t>
      </w:r>
      <w:r w:rsidR="00E72596" w:rsidRPr="00E8506A">
        <w:rPr>
          <w:i/>
        </w:rPr>
        <w:t>R. v. Paterson</w:t>
      </w:r>
      <w:r w:rsidR="00E72596" w:rsidRPr="00E8506A">
        <w:t>,</w:t>
      </w:r>
      <w:r w:rsidR="00E72596" w:rsidRPr="00E8506A">
        <w:rPr>
          <w:i/>
        </w:rPr>
        <w:t xml:space="preserve"> </w:t>
      </w:r>
      <w:r w:rsidR="00566361" w:rsidRPr="00E8506A">
        <w:t xml:space="preserve">2017 SCC </w:t>
      </w:r>
      <w:r w:rsidR="00E72596" w:rsidRPr="00E8506A">
        <w:t xml:space="preserve">15, [2017] 1 S.C.R. 202; </w:t>
      </w:r>
      <w:r w:rsidR="00106E00" w:rsidRPr="00E8506A">
        <w:rPr>
          <w:i/>
        </w:rPr>
        <w:t>R. v. Reilly</w:t>
      </w:r>
      <w:r w:rsidR="00566361" w:rsidRPr="00E8506A">
        <w:t xml:space="preserve">, 2021 SCC </w:t>
      </w:r>
      <w:r w:rsidR="00106E00" w:rsidRPr="00E8506A">
        <w:t xml:space="preserve">38; </w:t>
      </w:r>
      <w:r w:rsidR="00B75342" w:rsidRPr="00E8506A">
        <w:rPr>
          <w:i/>
        </w:rPr>
        <w:t>R. v. Harrison</w:t>
      </w:r>
      <w:r w:rsidR="00B75342" w:rsidRPr="00E8506A">
        <w:t>,</w:t>
      </w:r>
      <w:r w:rsidR="00B75342" w:rsidRPr="00E8506A">
        <w:rPr>
          <w:i/>
        </w:rPr>
        <w:t xml:space="preserve"> </w:t>
      </w:r>
      <w:r w:rsidR="00B75342" w:rsidRPr="00E8506A">
        <w:t>2009 SCC 34,</w:t>
      </w:r>
      <w:r w:rsidR="00B75342" w:rsidRPr="00E8506A">
        <w:rPr>
          <w:i/>
        </w:rPr>
        <w:t xml:space="preserve"> </w:t>
      </w:r>
      <w:r w:rsidR="00B75342" w:rsidRPr="00E8506A">
        <w:t xml:space="preserve">[2009] 2 S.C.R. 494; </w:t>
      </w:r>
      <w:r w:rsidR="00331C90" w:rsidRPr="00E8506A">
        <w:rPr>
          <w:i/>
        </w:rPr>
        <w:t>R. v. Buhay</w:t>
      </w:r>
      <w:r w:rsidR="00331C90" w:rsidRPr="00E8506A">
        <w:t xml:space="preserve">, 2003 SCC 30, [2003] 1 S.C.R. 631; </w:t>
      </w:r>
      <w:r w:rsidR="0068296B" w:rsidRPr="00E8506A">
        <w:rPr>
          <w:i/>
        </w:rPr>
        <w:t>R. v. P. (M.B.)</w:t>
      </w:r>
      <w:r w:rsidR="0068296B" w:rsidRPr="00E8506A">
        <w:t>, [1994] 1 S.C.R. 555</w:t>
      </w:r>
      <w:r w:rsidR="005958D5" w:rsidRPr="00E8506A">
        <w:t>.</w:t>
      </w:r>
    </w:p>
    <w:p w14:paraId="48E74D57" w14:textId="25FBB382" w:rsidR="0031068E" w:rsidRPr="00E8506A" w:rsidRDefault="00575847" w:rsidP="00566361">
      <w:pPr>
        <w:pStyle w:val="SCCNormalDoubleSpacing"/>
        <w:widowControl w:val="0"/>
        <w:spacing w:after="720" w:line="240" w:lineRule="auto"/>
      </w:pPr>
      <w:r w:rsidRPr="00E8506A">
        <w:t xml:space="preserve">By </w:t>
      </w:r>
      <w:r w:rsidR="00254E86" w:rsidRPr="00E8506A">
        <w:t>Côté and Rowe </w:t>
      </w:r>
      <w:r w:rsidR="0031068E" w:rsidRPr="00E8506A">
        <w:t>JJ. (</w:t>
      </w:r>
      <w:proofErr w:type="gramStart"/>
      <w:r w:rsidR="0031068E" w:rsidRPr="00E8506A">
        <w:t>dissenting</w:t>
      </w:r>
      <w:proofErr w:type="gramEnd"/>
      <w:r w:rsidR="0031068E" w:rsidRPr="00E8506A">
        <w:t>)</w:t>
      </w:r>
    </w:p>
    <w:p w14:paraId="6EBF7FE5" w14:textId="19B3057F" w:rsidR="0031068E" w:rsidRPr="007E1C47" w:rsidRDefault="0031068E" w:rsidP="00566361">
      <w:pPr>
        <w:pStyle w:val="SCCNormalDoubleSpacing"/>
        <w:widowControl w:val="0"/>
        <w:spacing w:after="480"/>
      </w:pPr>
      <w:r w:rsidRPr="00E8506A">
        <w:tab/>
      </w:r>
      <w:r w:rsidR="00566361" w:rsidRPr="00E8506A">
        <w:rPr>
          <w:i/>
          <w:shd w:val="clear" w:color="auto" w:fill="FFFFFF"/>
          <w:lang w:val="en-GB"/>
        </w:rPr>
        <w:t xml:space="preserve">R. </w:t>
      </w:r>
      <w:r w:rsidRPr="00E8506A">
        <w:rPr>
          <w:i/>
          <w:iCs/>
          <w:shd w:val="clear" w:color="auto" w:fill="FFFFFF"/>
          <w:lang w:val="en-GB"/>
        </w:rPr>
        <w:t>v.</w:t>
      </w:r>
      <w:r w:rsidR="00566361" w:rsidRPr="00E8506A">
        <w:rPr>
          <w:i/>
          <w:shd w:val="clear" w:color="auto" w:fill="FFFFFF"/>
          <w:lang w:val="en-GB"/>
        </w:rPr>
        <w:t xml:space="preserve"> </w:t>
      </w:r>
      <w:r w:rsidRPr="00E8506A">
        <w:rPr>
          <w:i/>
          <w:shd w:val="clear" w:color="auto" w:fill="FFFFFF"/>
          <w:lang w:val="en-GB"/>
        </w:rPr>
        <w:t>Sinclair</w:t>
      </w:r>
      <w:r w:rsidRPr="00E8506A">
        <w:rPr>
          <w:shd w:val="clear" w:color="auto" w:fill="FFFFFF"/>
        </w:rPr>
        <w:t>, 2010 SCC 35</w:t>
      </w:r>
      <w:r w:rsidRPr="00E8506A">
        <w:rPr>
          <w:shd w:val="clear" w:color="auto" w:fill="FFFFFF"/>
          <w:lang w:val="en-GB"/>
        </w:rPr>
        <w:t xml:space="preserve">, [2010] 2 S.C.R. 310; </w:t>
      </w:r>
      <w:r w:rsidR="0024657E" w:rsidRPr="00E8506A">
        <w:rPr>
          <w:i/>
        </w:rPr>
        <w:t>R. v. Way</w:t>
      </w:r>
      <w:r w:rsidR="0024657E" w:rsidRPr="00E8506A">
        <w:t xml:space="preserve">, 2011 NBCA 92, 377 N.B.R. (2d) 25; </w:t>
      </w:r>
      <w:r w:rsidR="00B872DD" w:rsidRPr="00E8506A">
        <w:rPr>
          <w:i/>
        </w:rPr>
        <w:t>R. v. Grant</w:t>
      </w:r>
      <w:r w:rsidR="00B872DD" w:rsidRPr="00E8506A">
        <w:t xml:space="preserve">, 2009 SCC 32, [2009] 2 S.C.R. 353; </w:t>
      </w:r>
      <w:r w:rsidR="00CA52AA" w:rsidRPr="00E8506A">
        <w:rPr>
          <w:i/>
        </w:rPr>
        <w:t>R. v. Todd</w:t>
      </w:r>
      <w:r w:rsidR="00CA52AA" w:rsidRPr="00E8506A">
        <w:t>, 2019 SKCA 36</w:t>
      </w:r>
      <w:r w:rsidR="00462E29" w:rsidRPr="00E8506A">
        <w:t>, [2019] 9 W.W.R. 207</w:t>
      </w:r>
      <w:r w:rsidR="00CA52AA" w:rsidRPr="00E8506A">
        <w:t xml:space="preserve">; </w:t>
      </w:r>
      <w:r w:rsidR="00BB50C5" w:rsidRPr="00E8506A">
        <w:rPr>
          <w:i/>
        </w:rPr>
        <w:t>R. v. Tran</w:t>
      </w:r>
      <w:r w:rsidR="00BB50C5" w:rsidRPr="00E8506A">
        <w:t xml:space="preserve">, 2010 ABCA 211, 482 A.R. 357; </w:t>
      </w:r>
      <w:r w:rsidR="006F5B44" w:rsidRPr="00E8506A">
        <w:rPr>
          <w:i/>
        </w:rPr>
        <w:t>R. v. Schrenk</w:t>
      </w:r>
      <w:r w:rsidR="006F5B44" w:rsidRPr="00E8506A">
        <w:t xml:space="preserve">, 2010 MBCA 38, 255 Man. R. (2d) 12; </w:t>
      </w:r>
      <w:r w:rsidR="00E62862" w:rsidRPr="00E8506A">
        <w:rPr>
          <w:i/>
        </w:rPr>
        <w:t>R. v. Hermkens &amp; Moran</w:t>
      </w:r>
      <w:r w:rsidR="00E62862" w:rsidRPr="00E8506A">
        <w:t>, 2021 ABQB 885</w:t>
      </w:r>
      <w:r w:rsidR="001F10CC" w:rsidRPr="00E8506A">
        <w:t xml:space="preserve">; </w:t>
      </w:r>
      <w:r w:rsidR="008272A7" w:rsidRPr="00E8506A">
        <w:rPr>
          <w:i/>
        </w:rPr>
        <w:t>R. v. Heppner</w:t>
      </w:r>
      <w:r w:rsidR="008272A7" w:rsidRPr="00E8506A">
        <w:t xml:space="preserve">, 2017 BCSC 894; </w:t>
      </w:r>
      <w:r w:rsidR="004552D4" w:rsidRPr="00E8506A">
        <w:rPr>
          <w:i/>
          <w:iCs/>
        </w:rPr>
        <w:t>R. v. Roach</w:t>
      </w:r>
      <w:r w:rsidR="00566361" w:rsidRPr="00E8506A">
        <w:t xml:space="preserve">, </w:t>
      </w:r>
      <w:r w:rsidR="004552D4" w:rsidRPr="00E8506A">
        <w:t>2012 NLTD(G)</w:t>
      </w:r>
      <w:r w:rsidR="00566361" w:rsidRPr="00E8506A">
        <w:t xml:space="preserve"> </w:t>
      </w:r>
      <w:r w:rsidR="004552D4" w:rsidRPr="00E8506A">
        <w:t xml:space="preserve">21, 319 Nfld. </w:t>
      </w:r>
      <w:r w:rsidR="004552D4" w:rsidRPr="00E8506A">
        <w:lastRenderedPageBreak/>
        <w:t xml:space="preserve">&amp; P.E.I.R. 231; </w:t>
      </w:r>
      <w:r w:rsidR="005802BA" w:rsidRPr="00E8506A">
        <w:rPr>
          <w:i/>
        </w:rPr>
        <w:t>R. v. Bristol</w:t>
      </w:r>
      <w:r w:rsidR="005802BA" w:rsidRPr="00E8506A">
        <w:t xml:space="preserve">, 2011 ABQB 73; </w:t>
      </w:r>
      <w:r w:rsidR="00650E40" w:rsidRPr="00E8506A">
        <w:rPr>
          <w:i/>
        </w:rPr>
        <w:t>R. v. Bucknell</w:t>
      </w:r>
      <w:r w:rsidR="00650E40" w:rsidRPr="00E8506A">
        <w:t xml:space="preserve">, 2021 BCPC 308; </w:t>
      </w:r>
      <w:r w:rsidR="00CD5484" w:rsidRPr="00E8506A">
        <w:rPr>
          <w:i/>
        </w:rPr>
        <w:t>R. v. Giulioni</w:t>
      </w:r>
      <w:r w:rsidR="00CD5484" w:rsidRPr="00E8506A">
        <w:t>, 2011 NLTD</w:t>
      </w:r>
      <w:r w:rsidR="007E3767" w:rsidRPr="00E8506A">
        <w:t>(G)</w:t>
      </w:r>
      <w:r w:rsidR="00CD5484" w:rsidRPr="00E8506A">
        <w:t xml:space="preserve"> 117, 313 Nfld. &amp; P.E.I.R. 220; </w:t>
      </w:r>
      <w:r w:rsidR="00BA0BF8" w:rsidRPr="00E8506A">
        <w:rPr>
          <w:i/>
        </w:rPr>
        <w:t>R. v. Wheeler</w:t>
      </w:r>
      <w:r w:rsidR="00BA0BF8" w:rsidRPr="00E8506A">
        <w:t xml:space="preserve">, 2010 YKTC 7; </w:t>
      </w:r>
      <w:r w:rsidR="00503164" w:rsidRPr="00E8506A">
        <w:rPr>
          <w:i/>
        </w:rPr>
        <w:t>R. v. Rodh</w:t>
      </w:r>
      <w:r w:rsidR="00503164" w:rsidRPr="00E8506A">
        <w:t xml:space="preserve">, 2010 SKPC 150, 364 Sask. R. 96; </w:t>
      </w:r>
      <w:r w:rsidR="00D56DA2" w:rsidRPr="00E8506A">
        <w:rPr>
          <w:i/>
        </w:rPr>
        <w:t>R. v. Jackman</w:t>
      </w:r>
      <w:r w:rsidR="00D56DA2" w:rsidRPr="00E8506A">
        <w:t>, 2011 NLTD</w:t>
      </w:r>
      <w:r w:rsidR="007E3767" w:rsidRPr="00E8506A">
        <w:t>(G)</w:t>
      </w:r>
      <w:r w:rsidR="00D56DA2" w:rsidRPr="00E8506A">
        <w:t xml:space="preserve"> 116, 313 Nfld. &amp; P.E.I.R. 203; </w:t>
      </w:r>
      <w:r w:rsidR="00562016" w:rsidRPr="00E8506A">
        <w:rPr>
          <w:i/>
        </w:rPr>
        <w:t>R. v. Le</w:t>
      </w:r>
      <w:r w:rsidR="00562016" w:rsidRPr="00E8506A">
        <w:t xml:space="preserve">, 2019 SCC 34, [2019] 2 S.C.R. 692; </w:t>
      </w:r>
      <w:r w:rsidR="00D811BA" w:rsidRPr="00E8506A">
        <w:rPr>
          <w:i/>
        </w:rPr>
        <w:t xml:space="preserve">R. </w:t>
      </w:r>
      <w:r w:rsidR="00D811BA" w:rsidRPr="00E8506A">
        <w:rPr>
          <w:i/>
          <w:iCs/>
        </w:rPr>
        <w:t>v</w:t>
      </w:r>
      <w:r w:rsidR="00D811BA" w:rsidRPr="00E8506A">
        <w:rPr>
          <w:i/>
        </w:rPr>
        <w:t>. Mann</w:t>
      </w:r>
      <w:r w:rsidR="00D811BA" w:rsidRPr="00E8506A">
        <w:t xml:space="preserve">, 2004 SCC 52, [2004] 3 S.C.R. 59; </w:t>
      </w:r>
      <w:r w:rsidR="00955B37" w:rsidRPr="00E8506A">
        <w:rPr>
          <w:i/>
        </w:rPr>
        <w:t>R. v. Suberu</w:t>
      </w:r>
      <w:r w:rsidR="00955B37" w:rsidRPr="00E8506A">
        <w:t xml:space="preserve">, 2009 SCC 33, [2009] 2 S.C.R. 460; </w:t>
      </w:r>
      <w:r w:rsidR="00566361" w:rsidRPr="00E8506A">
        <w:rPr>
          <w:i/>
          <w:shd w:val="clear" w:color="auto" w:fill="FFFFFF"/>
          <w:lang w:val="en-GB"/>
        </w:rPr>
        <w:t xml:space="preserve">R. </w:t>
      </w:r>
      <w:r w:rsidR="00616C52" w:rsidRPr="00E8506A">
        <w:rPr>
          <w:i/>
          <w:iCs/>
          <w:shd w:val="clear" w:color="auto" w:fill="FFFFFF"/>
          <w:lang w:val="en-GB"/>
        </w:rPr>
        <w:t>v.</w:t>
      </w:r>
      <w:r w:rsidR="00566361" w:rsidRPr="00E8506A">
        <w:rPr>
          <w:i/>
          <w:shd w:val="clear" w:color="auto" w:fill="FFFFFF"/>
          <w:lang w:val="en-GB"/>
        </w:rPr>
        <w:t xml:space="preserve"> </w:t>
      </w:r>
      <w:r w:rsidR="00616C52" w:rsidRPr="00E8506A">
        <w:rPr>
          <w:i/>
          <w:shd w:val="clear" w:color="auto" w:fill="FFFFFF"/>
          <w:lang w:val="en-GB"/>
        </w:rPr>
        <w:t>McCrimmon</w:t>
      </w:r>
      <w:r w:rsidR="00616C52" w:rsidRPr="00E8506A">
        <w:rPr>
          <w:shd w:val="clear" w:color="auto" w:fill="FFFFFF"/>
        </w:rPr>
        <w:t xml:space="preserve">, 2010 SCC 36, [2010] 2 S.C.R 402; </w:t>
      </w:r>
      <w:r w:rsidR="00566361" w:rsidRPr="00E8506A">
        <w:rPr>
          <w:i/>
          <w:shd w:val="clear" w:color="auto" w:fill="FFFFFF"/>
          <w:lang w:val="en-GB"/>
        </w:rPr>
        <w:t xml:space="preserve">R. </w:t>
      </w:r>
      <w:r w:rsidR="00D32C2C" w:rsidRPr="00E8506A">
        <w:rPr>
          <w:i/>
          <w:iCs/>
          <w:shd w:val="clear" w:color="auto" w:fill="FFFFFF"/>
          <w:lang w:val="en-GB"/>
        </w:rPr>
        <w:t>v.</w:t>
      </w:r>
      <w:r w:rsidR="00566361" w:rsidRPr="00E8506A">
        <w:rPr>
          <w:i/>
          <w:shd w:val="clear" w:color="auto" w:fill="FFFFFF"/>
          <w:lang w:val="en-GB"/>
        </w:rPr>
        <w:t xml:space="preserve"> </w:t>
      </w:r>
      <w:r w:rsidR="00D32C2C" w:rsidRPr="00E8506A">
        <w:rPr>
          <w:i/>
          <w:shd w:val="clear" w:color="auto" w:fill="FFFFFF"/>
          <w:lang w:val="en-GB"/>
        </w:rPr>
        <w:t>Willier</w:t>
      </w:r>
      <w:r w:rsidR="00D32C2C" w:rsidRPr="00E8506A">
        <w:rPr>
          <w:shd w:val="clear" w:color="auto" w:fill="FFFFFF"/>
        </w:rPr>
        <w:t xml:space="preserve">, 2010 SCC 37, [2010] 2 S.C.R. 429; </w:t>
      </w:r>
      <w:r w:rsidR="00A452A6" w:rsidRPr="00E8506A">
        <w:rPr>
          <w:i/>
        </w:rPr>
        <w:t>R. v. Hebert</w:t>
      </w:r>
      <w:r w:rsidR="00A452A6" w:rsidRPr="00E8506A">
        <w:t xml:space="preserve">, [1990] 2 S.C.R. 151; </w:t>
      </w:r>
      <w:r w:rsidR="00254E86" w:rsidRPr="00E8506A">
        <w:rPr>
          <w:i/>
          <w:szCs w:val="24"/>
        </w:rPr>
        <w:t>R. v. Prosper</w:t>
      </w:r>
      <w:r w:rsidR="00254E86" w:rsidRPr="00E8506A">
        <w:rPr>
          <w:szCs w:val="24"/>
        </w:rPr>
        <w:t xml:space="preserve">, [1994] 3 S.C.R. 236; </w:t>
      </w:r>
      <w:r w:rsidR="00566361" w:rsidRPr="00E8506A">
        <w:rPr>
          <w:i/>
        </w:rPr>
        <w:t xml:space="preserve">R. v. </w:t>
      </w:r>
      <w:r w:rsidR="00AE75FA" w:rsidRPr="00E8506A">
        <w:rPr>
          <w:i/>
        </w:rPr>
        <w:t>Dussault</w:t>
      </w:r>
      <w:r w:rsidR="00AE75FA" w:rsidRPr="00E8506A">
        <w:t xml:space="preserve">, 2022 SCC 16; </w:t>
      </w:r>
      <w:r w:rsidR="00F654CB" w:rsidRPr="00E8506A">
        <w:rPr>
          <w:i/>
          <w:szCs w:val="24"/>
        </w:rPr>
        <w:t>R. v. Mack</w:t>
      </w:r>
      <w:r w:rsidR="00F654CB" w:rsidRPr="00E8506A">
        <w:t xml:space="preserve">, 2014 SCC 58, [2014] 3 S.C.R. 3; </w:t>
      </w:r>
      <w:r w:rsidR="00566361" w:rsidRPr="00E8506A">
        <w:rPr>
          <w:i/>
        </w:rPr>
        <w:t xml:space="preserve">R. </w:t>
      </w:r>
      <w:r w:rsidR="00532762" w:rsidRPr="00E8506A">
        <w:rPr>
          <w:i/>
          <w:iCs/>
        </w:rPr>
        <w:t>v.</w:t>
      </w:r>
      <w:r w:rsidR="00566361" w:rsidRPr="00E8506A">
        <w:rPr>
          <w:i/>
        </w:rPr>
        <w:t xml:space="preserve"> </w:t>
      </w:r>
      <w:r w:rsidR="00532762" w:rsidRPr="00E8506A">
        <w:rPr>
          <w:i/>
        </w:rPr>
        <w:t>Tim</w:t>
      </w:r>
      <w:r w:rsidR="00532762" w:rsidRPr="00E8506A">
        <w:t xml:space="preserve">, 2022 SCC 12; </w:t>
      </w:r>
      <w:r w:rsidR="00F52A5E" w:rsidRPr="00E8506A">
        <w:rPr>
          <w:i/>
        </w:rPr>
        <w:t>R. v. Wittwer</w:t>
      </w:r>
      <w:r w:rsidR="00F52A5E" w:rsidRPr="00E8506A">
        <w:t>, 2008 SCC 33, [2008] 2 S.C.R. 235;</w:t>
      </w:r>
      <w:r w:rsidR="007E3767" w:rsidRPr="00E8506A">
        <w:rPr>
          <w:i/>
          <w:iCs/>
        </w:rPr>
        <w:t xml:space="preserve"> </w:t>
      </w:r>
      <w:r w:rsidR="00566361" w:rsidRPr="00E8506A">
        <w:rPr>
          <w:i/>
          <w:shd w:val="clear" w:color="auto" w:fill="FFFFFF"/>
        </w:rPr>
        <w:t xml:space="preserve">R. </w:t>
      </w:r>
      <w:r w:rsidR="006B03A0" w:rsidRPr="00E8506A">
        <w:rPr>
          <w:i/>
          <w:iCs/>
          <w:shd w:val="clear" w:color="auto" w:fill="FFFFFF"/>
        </w:rPr>
        <w:t>v.</w:t>
      </w:r>
      <w:r w:rsidR="00566361" w:rsidRPr="00E8506A">
        <w:rPr>
          <w:i/>
          <w:shd w:val="clear" w:color="auto" w:fill="FFFFFF"/>
        </w:rPr>
        <w:t xml:space="preserve"> </w:t>
      </w:r>
      <w:r w:rsidR="006B03A0" w:rsidRPr="00E8506A">
        <w:rPr>
          <w:i/>
          <w:shd w:val="clear" w:color="auto" w:fill="FFFFFF"/>
        </w:rPr>
        <w:t>Collins</w:t>
      </w:r>
      <w:r w:rsidR="006B03A0" w:rsidRPr="00E8506A">
        <w:rPr>
          <w:shd w:val="clear" w:color="auto" w:fill="FFFFFF"/>
        </w:rPr>
        <w:t>, [1987] 1 S.C.R. 265</w:t>
      </w:r>
      <w:r w:rsidR="00041DF5" w:rsidRPr="00E8506A">
        <w:rPr>
          <w:shd w:val="clear" w:color="auto" w:fill="FFFFFF"/>
        </w:rPr>
        <w:t>.</w:t>
      </w:r>
    </w:p>
    <w:p w14:paraId="0DA8549C" w14:textId="77777777" w:rsidR="003B215F" w:rsidRDefault="002E6705" w:rsidP="00566361">
      <w:pPr>
        <w:pStyle w:val="SCCNormalDoubleSpacing"/>
        <w:spacing w:after="720" w:line="240" w:lineRule="auto"/>
      </w:pPr>
      <w:r w:rsidRPr="00314E01">
        <w:rPr>
          <w:b/>
        </w:rPr>
        <w:t>Statutes and Regulations Cite</w:t>
      </w:r>
      <w:r w:rsidR="00A41805">
        <w:rPr>
          <w:b/>
        </w:rPr>
        <w:t>d</w:t>
      </w:r>
    </w:p>
    <w:p w14:paraId="7E4DD039" w14:textId="03C39DB3" w:rsidR="00A149DF" w:rsidRPr="00002F3B" w:rsidRDefault="00002F3B" w:rsidP="00566361">
      <w:pPr>
        <w:pStyle w:val="SCCNormalDoubleSpacing"/>
        <w:spacing w:after="720" w:line="240" w:lineRule="auto"/>
        <w:ind w:left="547" w:hanging="547"/>
      </w:pPr>
      <w:r>
        <w:rPr>
          <w:i/>
        </w:rPr>
        <w:t>Canadian Charter of Rights and Freedoms</w:t>
      </w:r>
      <w:r w:rsidR="00544E3C">
        <w:t>, ss</w:t>
      </w:r>
      <w:r w:rsidR="00544E3C" w:rsidRPr="00C9367A">
        <w:t>. </w:t>
      </w:r>
      <w:r w:rsidRPr="00C9367A">
        <w:t>8,</w:t>
      </w:r>
      <w:r w:rsidR="00D644FA">
        <w:t xml:space="preserve"> </w:t>
      </w:r>
      <w:r w:rsidR="00D644FA" w:rsidRPr="00E8506A">
        <w:t>9,</w:t>
      </w:r>
      <w:r w:rsidRPr="00E8506A">
        <w:t xml:space="preserve"> 10, 24(2)</w:t>
      </w:r>
      <w:r w:rsidR="0056766C" w:rsidRPr="00E8506A">
        <w:t>.</w:t>
      </w:r>
    </w:p>
    <w:p w14:paraId="701925FB" w14:textId="77777777" w:rsidR="002E6705" w:rsidRDefault="002E6705" w:rsidP="00566361">
      <w:pPr>
        <w:pStyle w:val="SCCNormalDoubleSpacing"/>
        <w:spacing w:after="720" w:line="240" w:lineRule="auto"/>
        <w:rPr>
          <w:b/>
        </w:rPr>
      </w:pPr>
      <w:r w:rsidRPr="00314E01">
        <w:rPr>
          <w:b/>
        </w:rPr>
        <w:t>Authors Cited</w:t>
      </w:r>
    </w:p>
    <w:p w14:paraId="6755EEF6" w14:textId="394860EF" w:rsidR="00FA561F" w:rsidRPr="00E8506A" w:rsidRDefault="008060A8" w:rsidP="00566361">
      <w:pPr>
        <w:pStyle w:val="SCCNormalDoubleSpacing"/>
        <w:spacing w:after="240" w:line="240" w:lineRule="auto"/>
        <w:ind w:left="547" w:hanging="547"/>
      </w:pPr>
      <w:r w:rsidRPr="00E8506A">
        <w:t xml:space="preserve">Canada. Statistics Canada. Canadian Centre for Justice and Community Safety Statistics. </w:t>
      </w:r>
      <w:r w:rsidRPr="00E8506A">
        <w:rPr>
          <w:i/>
          <w:iCs/>
        </w:rPr>
        <w:t>Perceptions of and experiences with police and the justice system among the Black and Indigenous populations in Canada</w:t>
      </w:r>
      <w:r w:rsidRPr="00E8506A">
        <w:t>, by Adam Cotter. Ottawa, February 2022.</w:t>
      </w:r>
    </w:p>
    <w:p w14:paraId="5DBF91D3" w14:textId="6B14434A" w:rsidR="00827F0C" w:rsidRPr="00E8506A" w:rsidRDefault="00827F0C" w:rsidP="00566361">
      <w:pPr>
        <w:pStyle w:val="SCCNormalDoubleSpacing"/>
        <w:spacing w:after="240" w:line="240" w:lineRule="auto"/>
        <w:ind w:left="547" w:hanging="547"/>
      </w:pPr>
      <w:r w:rsidRPr="00E8506A">
        <w:t xml:space="preserve">Coughlan, Steve, and Glen Luther. </w:t>
      </w:r>
      <w:r w:rsidRPr="00E8506A">
        <w:rPr>
          <w:i/>
        </w:rPr>
        <w:t>Detention and Arrest</w:t>
      </w:r>
      <w:r w:rsidRPr="00E8506A">
        <w:t>, 2n</w:t>
      </w:r>
      <w:r w:rsidR="00BF13F6">
        <w:t>d ed. Toronto: Irwin Law, 2017.</w:t>
      </w:r>
    </w:p>
    <w:p w14:paraId="13E4E30E" w14:textId="48B850C2" w:rsidR="006802B0" w:rsidRPr="00E8506A" w:rsidRDefault="006802B0" w:rsidP="00566361">
      <w:pPr>
        <w:pStyle w:val="SCCNormalDoubleSpacing"/>
        <w:spacing w:after="240" w:line="240" w:lineRule="auto"/>
        <w:ind w:left="547" w:hanging="547"/>
      </w:pPr>
      <w:r w:rsidRPr="00E8506A">
        <w:t>MacDonnell, Vanessa A. “</w:t>
      </w:r>
      <w:r w:rsidRPr="00E8506A">
        <w:rPr>
          <w:i/>
        </w:rPr>
        <w:t>R v Sinclair</w:t>
      </w:r>
      <w:r w:rsidRPr="00E8506A">
        <w:t xml:space="preserve">: Balancing Individual Rights and Societal Interests Outside of Section 1 of the </w:t>
      </w:r>
      <w:r w:rsidRPr="00E8506A">
        <w:rPr>
          <w:i/>
        </w:rPr>
        <w:t>Charter</w:t>
      </w:r>
      <w:r w:rsidRPr="00E8506A">
        <w:t xml:space="preserve">” (2012), 38 </w:t>
      </w:r>
      <w:r w:rsidRPr="00E8506A">
        <w:rPr>
          <w:i/>
        </w:rPr>
        <w:t>Queen’s L.J.</w:t>
      </w:r>
      <w:r w:rsidRPr="00E8506A">
        <w:t xml:space="preserve"> 137</w:t>
      </w:r>
      <w:r w:rsidR="003C00D3" w:rsidRPr="00E8506A">
        <w:t>.</w:t>
      </w:r>
    </w:p>
    <w:p w14:paraId="2CD37532" w14:textId="5EF4A59B" w:rsidR="00A149DF" w:rsidRPr="00E8506A" w:rsidRDefault="00E46B13" w:rsidP="00566361">
      <w:pPr>
        <w:pStyle w:val="SCCNormalDoubleSpacing"/>
        <w:spacing w:after="240" w:line="240" w:lineRule="auto"/>
        <w:ind w:left="547" w:hanging="547"/>
      </w:pPr>
      <w:r w:rsidRPr="00E8506A">
        <w:t>Penney, Steven. “Police Questioning in the Charter Era: Adjudicative versus Regulatory Rule</w:t>
      </w:r>
      <w:r w:rsidRPr="00E8506A">
        <w:noBreakHyphen/>
        <w:t xml:space="preserve">making and the Problem of False Confessions” (2012), 57 </w:t>
      </w:r>
      <w:r w:rsidRPr="00E8506A">
        <w:rPr>
          <w:i/>
        </w:rPr>
        <w:t>S.C.L.R.</w:t>
      </w:r>
      <w:r w:rsidRPr="00E8506A">
        <w:t xml:space="preserve"> (2d) 263.</w:t>
      </w:r>
    </w:p>
    <w:p w14:paraId="1C454F5D" w14:textId="1D0846E4" w:rsidR="00E46B13" w:rsidRDefault="006F7B82" w:rsidP="00BF13F6">
      <w:pPr>
        <w:pStyle w:val="SCCNormalDoubleSpacing"/>
        <w:spacing w:after="720" w:line="240" w:lineRule="auto"/>
        <w:ind w:left="547" w:hanging="547"/>
        <w:rPr>
          <w:lang w:val="en-US" w:bidi="en-US"/>
        </w:rPr>
      </w:pPr>
      <w:r w:rsidRPr="00E8506A">
        <w:rPr>
          <w:lang w:val="en-US" w:bidi="en-US"/>
        </w:rPr>
        <w:lastRenderedPageBreak/>
        <w:t>Watkins, Ke</w:t>
      </w:r>
      <w:r w:rsidR="002B59AF">
        <w:rPr>
          <w:lang w:val="en-US" w:bidi="en-US"/>
        </w:rPr>
        <w:t>rry</w:t>
      </w:r>
      <w:r w:rsidRPr="00E8506A">
        <w:rPr>
          <w:lang w:val="en-US" w:bidi="en-US"/>
        </w:rPr>
        <w:t xml:space="preserve"> G.</w:t>
      </w:r>
      <w:r>
        <w:rPr>
          <w:lang w:val="en-US" w:bidi="en-US"/>
        </w:rPr>
        <w:t xml:space="preserve"> </w:t>
      </w:r>
      <w:r w:rsidRPr="005D60D5">
        <w:rPr>
          <w:lang w:val="en-US" w:bidi="en-US"/>
        </w:rPr>
        <w:t xml:space="preserve">“The Vulnerability of Aboriginal Suspects </w:t>
      </w:r>
      <w:r w:rsidR="009F294E">
        <w:rPr>
          <w:lang w:val="en-US" w:bidi="en-US"/>
        </w:rPr>
        <w:t>W</w:t>
      </w:r>
      <w:r w:rsidRPr="005D60D5">
        <w:rPr>
          <w:lang w:val="en-US" w:bidi="en-US"/>
        </w:rPr>
        <w:t>hen Questioned by Police: Mitigating Risk and Maximizing the Reliability of Statement Evidence” (2016)</w:t>
      </w:r>
      <w:r>
        <w:rPr>
          <w:lang w:val="en-US" w:bidi="en-US"/>
        </w:rPr>
        <w:t>,</w:t>
      </w:r>
      <w:r w:rsidRPr="005D60D5">
        <w:rPr>
          <w:lang w:val="en-US" w:bidi="en-US"/>
        </w:rPr>
        <w:t xml:space="preserve"> 63 </w:t>
      </w:r>
      <w:r w:rsidR="00857E27" w:rsidRPr="002865D4">
        <w:rPr>
          <w:i/>
          <w:lang w:val="en-US" w:bidi="en-US"/>
        </w:rPr>
        <w:t>Crim. L.Q.</w:t>
      </w:r>
      <w:r w:rsidRPr="005D60D5">
        <w:rPr>
          <w:lang w:val="en-US" w:bidi="en-US"/>
        </w:rPr>
        <w:t xml:space="preserve"> 474</w:t>
      </w:r>
      <w:r>
        <w:rPr>
          <w:lang w:val="en-US" w:bidi="en-US"/>
        </w:rPr>
        <w:t>.</w:t>
      </w:r>
    </w:p>
    <w:p w14:paraId="0FBAFA9E" w14:textId="1445A35C" w:rsidR="00656313" w:rsidRDefault="009B57B3" w:rsidP="00566361">
      <w:pPr>
        <w:pStyle w:val="SCCNormalDoubleSpacing"/>
        <w:spacing w:after="480"/>
      </w:pPr>
      <w:r w:rsidRPr="001426A9">
        <w:tab/>
        <w:t>APPEAL from a judgment of the</w:t>
      </w:r>
      <w:r w:rsidR="00D607AF" w:rsidRPr="00D607AF">
        <w:t xml:space="preserve"> </w:t>
      </w:r>
      <w:r w:rsidR="00D607AF">
        <w:t>Alberta</w:t>
      </w:r>
      <w:r w:rsidRPr="001426A9">
        <w:t xml:space="preserve"> </w:t>
      </w:r>
      <w:r>
        <w:t>Court</w:t>
      </w:r>
      <w:r w:rsidR="00D607AF">
        <w:t xml:space="preserve"> of Appeal</w:t>
      </w:r>
      <w:r w:rsidR="00B54C9F">
        <w:t xml:space="preserve"> (Bielby, Veldhuis and Wakeling JJ.A.), </w:t>
      </w:r>
      <w:hyperlink r:id="rId9" w:history="1">
        <w:r w:rsidR="00695288" w:rsidRPr="00846728">
          <w:rPr>
            <w:rStyle w:val="Hyperlink"/>
          </w:rPr>
          <w:t>2021 ABCA 51</w:t>
        </w:r>
      </w:hyperlink>
      <w:r w:rsidR="00695288">
        <w:t xml:space="preserve">, 20 Alta. L.R. (7th) 211, </w:t>
      </w:r>
      <w:r w:rsidR="00695288" w:rsidRPr="00DD3D7D">
        <w:t>[2021] 6 W.W.R.</w:t>
      </w:r>
      <w:r w:rsidR="00695288">
        <w:t xml:space="preserve"> 594, </w:t>
      </w:r>
      <w:r w:rsidR="006A6586" w:rsidRPr="006A6586">
        <w:t>402 C.C.C. (3d) 527</w:t>
      </w:r>
      <w:r w:rsidR="006A6586">
        <w:t xml:space="preserve">, </w:t>
      </w:r>
      <w:r w:rsidR="006A6586" w:rsidRPr="006A6586">
        <w:t>479 C.R.R. (2d) 277</w:t>
      </w:r>
      <w:r w:rsidR="006A6586">
        <w:t>,</w:t>
      </w:r>
      <w:r w:rsidR="006A6586" w:rsidRPr="006A6586">
        <w:t xml:space="preserve"> </w:t>
      </w:r>
      <w:r w:rsidR="00566361">
        <w:t>[2021] A.J. No. </w:t>
      </w:r>
      <w:r w:rsidR="00695288" w:rsidRPr="005E47E7">
        <w:t>171</w:t>
      </w:r>
      <w:r w:rsidR="00695288">
        <w:t xml:space="preserve"> (QL), </w:t>
      </w:r>
      <w:r w:rsidR="00695288" w:rsidRPr="005E47E7">
        <w:t>2021 CarswellAlta 265</w:t>
      </w:r>
      <w:r w:rsidR="008C175B">
        <w:t xml:space="preserve"> (WL</w:t>
      </w:r>
      <w:r w:rsidR="00695288" w:rsidRPr="00C9367A">
        <w:t>), se</w:t>
      </w:r>
      <w:r w:rsidR="00B337D5" w:rsidRPr="00C9367A">
        <w:t>tting aside the</w:t>
      </w:r>
      <w:r w:rsidR="0018359B" w:rsidRPr="00C9367A">
        <w:t xml:space="preserve"> conviction of </w:t>
      </w:r>
      <w:r w:rsidR="00B337D5" w:rsidRPr="00C9367A">
        <w:t xml:space="preserve">the accused for </w:t>
      </w:r>
      <w:r w:rsidR="0018359B" w:rsidRPr="00C9367A">
        <w:t>second</w:t>
      </w:r>
      <w:r w:rsidR="00B337D5" w:rsidRPr="00C9367A">
        <w:t xml:space="preserve"> </w:t>
      </w:r>
      <w:r w:rsidR="0018359B" w:rsidRPr="00C9367A">
        <w:t>degree murder</w:t>
      </w:r>
      <w:r w:rsidR="00695288" w:rsidRPr="00C9367A">
        <w:t xml:space="preserve"> and ordering a new trial</w:t>
      </w:r>
      <w:r w:rsidR="005958D5" w:rsidRPr="00C9367A">
        <w:t>. Appeal dismissed</w:t>
      </w:r>
      <w:r w:rsidR="000C71E0" w:rsidRPr="00C9367A">
        <w:t xml:space="preserve">, </w:t>
      </w:r>
      <w:r w:rsidR="00F952E8" w:rsidRPr="00C9367A">
        <w:t xml:space="preserve">Wagner C.J. and Moldaver, </w:t>
      </w:r>
      <w:r w:rsidR="000C71E0" w:rsidRPr="00C9367A">
        <w:t xml:space="preserve">Côté and Rowe JJ. </w:t>
      </w:r>
      <w:proofErr w:type="gramStart"/>
      <w:r w:rsidR="000C71E0" w:rsidRPr="00C9367A">
        <w:t>dissenting</w:t>
      </w:r>
      <w:proofErr w:type="gramEnd"/>
      <w:r w:rsidR="005958D5" w:rsidRPr="00C9367A">
        <w:t>.</w:t>
      </w:r>
    </w:p>
    <w:p w14:paraId="498F5B54" w14:textId="77777777" w:rsidR="00577B7B" w:rsidRDefault="004B3875" w:rsidP="00566361">
      <w:pPr>
        <w:pStyle w:val="SCCNormalDoubleSpacing"/>
        <w:spacing w:after="480"/>
      </w:pPr>
      <w:r>
        <w:rPr>
          <w:rStyle w:val="SCCCounselNameChar"/>
        </w:rPr>
        <w:tab/>
        <w:t>Keith </w:t>
      </w:r>
      <w:r w:rsidR="00402556">
        <w:rPr>
          <w:rStyle w:val="SCCCounselNameChar"/>
        </w:rPr>
        <w:t>A. Joyce</w:t>
      </w:r>
      <w:r w:rsidR="00402556">
        <w:rPr>
          <w:rStyle w:val="SCCCounselPartyRoleChar"/>
        </w:rPr>
        <w:t>, for the appellant.</w:t>
      </w:r>
    </w:p>
    <w:p w14:paraId="384525C1" w14:textId="77777777" w:rsidR="004B3875" w:rsidRDefault="004B3875" w:rsidP="00566361">
      <w:pPr>
        <w:pStyle w:val="SCCNormalDoubleSpacing"/>
        <w:spacing w:after="480"/>
      </w:pPr>
      <w:r>
        <w:rPr>
          <w:rStyle w:val="SCCCounselNameChar"/>
        </w:rPr>
        <w:tab/>
        <w:t>Gregory </w:t>
      </w:r>
      <w:r w:rsidR="00402556">
        <w:rPr>
          <w:rStyle w:val="SCCCounselNameChar"/>
        </w:rPr>
        <w:t>C. Lazin</w:t>
      </w:r>
      <w:r w:rsidR="00402556">
        <w:rPr>
          <w:rStyle w:val="SCCCounselPartyRoleChar"/>
        </w:rPr>
        <w:t>, for the respondent.</w:t>
      </w:r>
    </w:p>
    <w:p w14:paraId="028A5C91" w14:textId="77777777" w:rsidR="004B3875" w:rsidRDefault="004B3875" w:rsidP="00566361">
      <w:pPr>
        <w:pStyle w:val="SCCNormalDoubleSpacing"/>
        <w:spacing w:after="480"/>
      </w:pPr>
      <w:r>
        <w:rPr>
          <w:rStyle w:val="SCCCounselNameChar"/>
        </w:rPr>
        <w:tab/>
        <w:t>Davin Michael Garg</w:t>
      </w:r>
      <w:r>
        <w:rPr>
          <w:rStyle w:val="SCCCounselSeparatorChar"/>
        </w:rPr>
        <w:t xml:space="preserve"> and </w:t>
      </w:r>
      <w:r>
        <w:rPr>
          <w:rStyle w:val="SCCCounselNameChar"/>
        </w:rPr>
        <w:t>Natalya Odorico</w:t>
      </w:r>
      <w:r>
        <w:rPr>
          <w:rStyle w:val="SCCCounselPartyRoleChar"/>
        </w:rPr>
        <w:t xml:space="preserve">, for the intervener </w:t>
      </w:r>
      <w:r w:rsidR="003232F4">
        <w:rPr>
          <w:rStyle w:val="SCCCounselPartyRoleChar"/>
        </w:rPr>
        <w:t xml:space="preserve">the </w:t>
      </w:r>
      <w:r>
        <w:rPr>
          <w:rStyle w:val="SCCCounselPartyRoleChar"/>
        </w:rPr>
        <w:t>Attorney General of Ontario.</w:t>
      </w:r>
    </w:p>
    <w:p w14:paraId="5ABC043F" w14:textId="77777777" w:rsidR="00577B7B" w:rsidRDefault="004B3875" w:rsidP="00566361">
      <w:pPr>
        <w:pStyle w:val="SCCNormalDoubleSpacing"/>
        <w:spacing w:after="480"/>
      </w:pPr>
      <w:r>
        <w:rPr>
          <w:rStyle w:val="SCCCounselNameChar"/>
        </w:rPr>
        <w:tab/>
      </w:r>
      <w:r w:rsidR="00402556">
        <w:rPr>
          <w:rStyle w:val="SCCCounselNameChar"/>
        </w:rPr>
        <w:t>Frank Addario</w:t>
      </w:r>
      <w:r w:rsidR="00402556">
        <w:rPr>
          <w:rStyle w:val="SCCCounselSeparatorChar"/>
        </w:rPr>
        <w:t xml:space="preserve"> and </w:t>
      </w:r>
      <w:r w:rsidR="00402556">
        <w:rPr>
          <w:rStyle w:val="SCCCounselNameChar"/>
        </w:rPr>
        <w:t>Samara Secter</w:t>
      </w:r>
      <w:r w:rsidR="00402556">
        <w:rPr>
          <w:rStyle w:val="SCCCounselPartyRoleChar"/>
        </w:rPr>
        <w:t xml:space="preserve">, for the intervener </w:t>
      </w:r>
      <w:r w:rsidR="003232F4">
        <w:rPr>
          <w:rStyle w:val="SCCCounselPartyRoleChar"/>
        </w:rPr>
        <w:t xml:space="preserve">the </w:t>
      </w:r>
      <w:r w:rsidR="00402556">
        <w:rPr>
          <w:rStyle w:val="SCCCounselPartyRoleChar"/>
        </w:rPr>
        <w:t>Canadian Civil Liberties Association.</w:t>
      </w:r>
    </w:p>
    <w:p w14:paraId="4D18117B" w14:textId="32459C70" w:rsidR="00577B7B" w:rsidRDefault="003232F4" w:rsidP="00566361">
      <w:pPr>
        <w:pStyle w:val="SCCNormalDoubleSpacing"/>
        <w:spacing w:after="480"/>
      </w:pPr>
      <w:r>
        <w:rPr>
          <w:rStyle w:val="SCCCounselNameChar"/>
        </w:rPr>
        <w:tab/>
        <w:t>Anil </w:t>
      </w:r>
      <w:r w:rsidR="00402556">
        <w:rPr>
          <w:rStyle w:val="SCCCounselNameChar"/>
        </w:rPr>
        <w:t>K. Kapoor</w:t>
      </w:r>
      <w:r w:rsidR="00402556">
        <w:rPr>
          <w:rStyle w:val="SCCCounselSeparatorChar"/>
        </w:rPr>
        <w:t xml:space="preserve"> and </w:t>
      </w:r>
      <w:r w:rsidR="006E3ACF">
        <w:rPr>
          <w:rStyle w:val="SCCCounselNameChar"/>
        </w:rPr>
        <w:t>Victoria</w:t>
      </w:r>
      <w:r w:rsidR="00402556">
        <w:rPr>
          <w:rStyle w:val="SCCCounselNameChar"/>
        </w:rPr>
        <w:t xml:space="preserve"> Cichalewska</w:t>
      </w:r>
      <w:r w:rsidR="00402556">
        <w:rPr>
          <w:rStyle w:val="SCCCounselPartyRoleChar"/>
        </w:rPr>
        <w:t>, for the intervener</w:t>
      </w:r>
      <w:r>
        <w:rPr>
          <w:rStyle w:val="SCCCounselPartyRoleChar"/>
        </w:rPr>
        <w:t xml:space="preserve"> the</w:t>
      </w:r>
      <w:r w:rsidR="00402556">
        <w:rPr>
          <w:rStyle w:val="SCCCounselPartyRoleChar"/>
        </w:rPr>
        <w:t xml:space="preserve"> Criminal Lawyers</w:t>
      </w:r>
      <w:r w:rsidR="00862AF3">
        <w:rPr>
          <w:rStyle w:val="SCCCounselPartyRoleChar"/>
        </w:rPr>
        <w:t>’</w:t>
      </w:r>
      <w:r w:rsidR="00402556">
        <w:rPr>
          <w:rStyle w:val="SCCCounselPartyRoleChar"/>
        </w:rPr>
        <w:t xml:space="preserve"> Association.</w:t>
      </w:r>
    </w:p>
    <w:p w14:paraId="0BB0CF0F" w14:textId="77777777" w:rsidR="006E3ACF" w:rsidRDefault="006E3ACF" w:rsidP="00566361">
      <w:pPr>
        <w:pStyle w:val="SCCNormalDoubleSpacing"/>
        <w:spacing w:after="480"/>
      </w:pPr>
    </w:p>
    <w:p w14:paraId="5EB24807" w14:textId="0172E7EE" w:rsidR="000975C6" w:rsidRDefault="000975C6" w:rsidP="000975C6">
      <w:pPr>
        <w:ind w:firstLine="1134"/>
        <w:jc w:val="both"/>
      </w:pPr>
      <w:r w:rsidRPr="00173A02">
        <w:lastRenderedPageBreak/>
        <w:t xml:space="preserve">The judgment of </w:t>
      </w:r>
      <w:r w:rsidRPr="005E6846">
        <w:t>Karakatsanis</w:t>
      </w:r>
      <w:r>
        <w:t xml:space="preserve">, </w:t>
      </w:r>
      <w:r w:rsidRPr="005E6846">
        <w:t>Brown, Martin, Kasirer and Jamal</w:t>
      </w:r>
      <w:r>
        <w:t> </w:t>
      </w:r>
      <w:r w:rsidRPr="00173A02">
        <w:t xml:space="preserve">JJ. </w:t>
      </w:r>
      <w:proofErr w:type="gramStart"/>
      <w:r w:rsidRPr="00173A02">
        <w:t>was</w:t>
      </w:r>
      <w:proofErr w:type="gramEnd"/>
      <w:r w:rsidRPr="00173A02">
        <w:t xml:space="preserve"> delivered by</w:t>
      </w:r>
    </w:p>
    <w:p w14:paraId="30385500" w14:textId="77777777" w:rsidR="000975C6" w:rsidRDefault="000975C6" w:rsidP="000975C6">
      <w:pPr>
        <w:ind w:firstLine="1134"/>
        <w:jc w:val="both"/>
      </w:pPr>
    </w:p>
    <w:p w14:paraId="4FE0290C" w14:textId="77777777" w:rsidR="000975C6" w:rsidRPr="00F3290F" w:rsidRDefault="000975C6" w:rsidP="001F0887">
      <w:pPr>
        <w:pStyle w:val="JudgeJuge"/>
        <w:tabs>
          <w:tab w:val="clear" w:pos="1260"/>
          <w:tab w:val="left" w:pos="1134"/>
        </w:tabs>
      </w:pPr>
      <w:r w:rsidRPr="00F3290F">
        <w:tab/>
        <w:t xml:space="preserve">Brown J. — </w:t>
      </w:r>
    </w:p>
    <w:p w14:paraId="65939D2E" w14:textId="77777777" w:rsidR="000975C6" w:rsidRPr="00F3290F" w:rsidRDefault="000975C6" w:rsidP="000975C6">
      <w:pPr>
        <w:pStyle w:val="Title1LevelTitre1Niveau-AltL"/>
        <w:numPr>
          <w:ilvl w:val="0"/>
          <w:numId w:val="8"/>
        </w:numPr>
        <w:rPr>
          <w:rFonts w:cs="Times New Roman"/>
        </w:rPr>
      </w:pPr>
      <w:bookmarkStart w:id="0" w:name="_Toc97643538"/>
      <w:bookmarkStart w:id="1" w:name="_Toc103352559"/>
      <w:bookmarkStart w:id="2" w:name="_Toc103687567"/>
      <w:r w:rsidRPr="00F3290F">
        <w:rPr>
          <w:rFonts w:cs="Times New Roman"/>
        </w:rPr>
        <w:t>Overview</w:t>
      </w:r>
      <w:bookmarkEnd w:id="0"/>
      <w:bookmarkEnd w:id="1"/>
      <w:bookmarkEnd w:id="2"/>
    </w:p>
    <w:p w14:paraId="6B01D629" w14:textId="77777777" w:rsidR="000975C6" w:rsidRPr="00F3290F" w:rsidRDefault="000975C6" w:rsidP="000975C6">
      <w:pPr>
        <w:pStyle w:val="ParaNoNdepar-AltN"/>
        <w:rPr>
          <w:rFonts w:cs="Times New Roman"/>
        </w:rPr>
      </w:pPr>
      <w:r w:rsidRPr="00F3290F">
        <w:rPr>
          <w:rFonts w:cs="Times New Roman"/>
        </w:rPr>
        <w:t xml:space="preserve">This appeal calls upon the Court to affirm and apply its holdings in </w:t>
      </w:r>
      <w:r w:rsidRPr="00F3290F">
        <w:rPr>
          <w:rFonts w:cs="Times New Roman"/>
          <w:i/>
        </w:rPr>
        <w:t>R. v. Le</w:t>
      </w:r>
      <w:r w:rsidRPr="00F3290F">
        <w:rPr>
          <w:rFonts w:cs="Times New Roman"/>
        </w:rPr>
        <w:t xml:space="preserve">, 2019 SCC 34, [2019] 2 S.C.R. 692, and </w:t>
      </w:r>
      <w:r w:rsidRPr="00F3290F">
        <w:rPr>
          <w:rFonts w:cs="Times New Roman"/>
          <w:i/>
        </w:rPr>
        <w:t>R. v. Grant</w:t>
      </w:r>
      <w:r w:rsidRPr="00F3290F">
        <w:rPr>
          <w:rFonts w:cs="Times New Roman"/>
        </w:rPr>
        <w:t xml:space="preserve">, 2009 SCC 32, [2009] 2 S.C.R. 353, respectively, on two points: (1) evaluating whether an individual has been detained by the police; and (2) applying the framework in </w:t>
      </w:r>
      <w:r w:rsidRPr="00F3290F">
        <w:rPr>
          <w:rFonts w:cs="Times New Roman"/>
          <w:i/>
        </w:rPr>
        <w:t>R. v. Sinclair</w:t>
      </w:r>
      <w:r w:rsidRPr="00F3290F">
        <w:rPr>
          <w:rFonts w:cs="Times New Roman"/>
        </w:rPr>
        <w:t xml:space="preserve">, 2010 SCC 35, [2010] 2 S.C.R. 310, in the purposive and generous manner required by our jurisprudence. </w:t>
      </w:r>
    </w:p>
    <w:p w14:paraId="4081C4AD" w14:textId="77777777" w:rsidR="000975C6" w:rsidRPr="00F3290F" w:rsidRDefault="000975C6" w:rsidP="000975C6">
      <w:pPr>
        <w:pStyle w:val="ParaNoNdepar-AltN"/>
        <w:rPr>
          <w:rFonts w:cs="Times New Roman"/>
        </w:rPr>
      </w:pPr>
      <w:r w:rsidRPr="00F3290F">
        <w:rPr>
          <w:rFonts w:cs="Times New Roman"/>
        </w:rPr>
        <w:t xml:space="preserve">The police suspected that Nigel Vernon Lafrance might have been involved in the death of an individual that took place on March 17, 2015. In the early morning of March 19, 2015, a team of armed police officers entered his home to execute a search warrant. They awoke Mr. Lafrance, a recent high school graduate described by the trial judge as “youthful, [I]ndigenous and ha[ving] minimal police exposure” (2017 ABQB 746, 399 C.R.R. (2d) 184, at para. 79), and by the Court of Appeal as “19 years old, Indigenous, [with] very limited prior exposure to the police and . . . of much smaller stature than . . . the armed and uniformed officers” (2021 ABCA 51, 20 Alta. L.R. (7th) 211, at para. 29). Ordered to dress and leave the premises, he was then led to a police officer who asked him to identify himself and come to the police station to provide a statement regarding the alleged murder. The police drove him to the police station, took him to a secure environment therein, and interviewed him for over three hours. </w:t>
      </w:r>
    </w:p>
    <w:p w14:paraId="4D62FC56" w14:textId="77777777" w:rsidR="000975C6" w:rsidRPr="00F3290F" w:rsidRDefault="000975C6" w:rsidP="000975C6">
      <w:pPr>
        <w:pStyle w:val="ParaNoNdepar-AltN"/>
        <w:rPr>
          <w:rFonts w:cs="Times New Roman"/>
        </w:rPr>
      </w:pPr>
      <w:r w:rsidRPr="00F3290F">
        <w:rPr>
          <w:rFonts w:cs="Times New Roman"/>
        </w:rPr>
        <w:lastRenderedPageBreak/>
        <w:t>On April 7, 2015, the police arrested Mr. Lafrance for murder. After allowing him to call Legal Aid, they interviewed him. Several hours into the interview, Mr. Lafrance asked to call his father because that would be his “only chance of getting a lawyer” (A.R., vol. V, at p. 137). The police refused the request and pushed for answers. Mr. Lafrance eventually confessed to killing the victim.</w:t>
      </w:r>
    </w:p>
    <w:p w14:paraId="697740C3" w14:textId="77777777" w:rsidR="000975C6" w:rsidRPr="00F3290F" w:rsidRDefault="000975C6" w:rsidP="000975C6">
      <w:pPr>
        <w:pStyle w:val="ParaNoNdepar-AltN"/>
        <w:rPr>
          <w:rFonts w:cs="Times New Roman"/>
        </w:rPr>
      </w:pPr>
      <w:r w:rsidRPr="00F3290F">
        <w:rPr>
          <w:rFonts w:cs="Times New Roman"/>
        </w:rPr>
        <w:t xml:space="preserve">Mr. Lafrance sought to exclude this confession by arguing that the police had detained him on March 19 and breached his right to counsel pursuant to s. 10(b) of the </w:t>
      </w:r>
      <w:r w:rsidRPr="00F3290F">
        <w:rPr>
          <w:rFonts w:cs="Times New Roman"/>
          <w:i/>
        </w:rPr>
        <w:t>Canadian Charter of Rights and Freedoms</w:t>
      </w:r>
      <w:r w:rsidRPr="00F3290F">
        <w:rPr>
          <w:rFonts w:cs="Times New Roman"/>
        </w:rPr>
        <w:t xml:space="preserve"> on March 19 and April 7.</w:t>
      </w:r>
      <w:r w:rsidRPr="001F0887">
        <w:rPr>
          <w:rStyle w:val="Hyperlink"/>
          <w:vertAlign w:val="superscript"/>
        </w:rPr>
        <w:footnoteReference w:id="1"/>
      </w:r>
      <w:r w:rsidRPr="00F3290F">
        <w:rPr>
          <w:rFonts w:cs="Times New Roman"/>
        </w:rPr>
        <w:t xml:space="preserve"> The trial judge admitted the evidence, finding that Mr. Lafrance had not been detained on March 19 (thereby also disposing of the s. 10(b) argument related to that date), and that police were not required to allow him a second opportunity to call a lawyer on April 7. Mr. Lafrance was convicted by a jury of second</w:t>
      </w:r>
      <w:r w:rsidRPr="00F3290F">
        <w:rPr>
          <w:rFonts w:cs="Times New Roman"/>
        </w:rPr>
        <w:noBreakHyphen/>
        <w:t xml:space="preserve">degree murder. The majority of the Court of Appeal of Alberta allowed his appeal, excluded the evidence under s. 24(2) of the </w:t>
      </w:r>
      <w:r w:rsidRPr="00F3290F">
        <w:rPr>
          <w:rFonts w:cs="Times New Roman"/>
          <w:i/>
        </w:rPr>
        <w:t>Charter</w:t>
      </w:r>
      <w:r w:rsidRPr="00F3290F">
        <w:rPr>
          <w:rFonts w:cs="Times New Roman"/>
        </w:rPr>
        <w:t xml:space="preserve"> and ordered a new trial. The Crown appeals, asking us to restore the conviction.</w:t>
      </w:r>
    </w:p>
    <w:p w14:paraId="1EFC6AA9" w14:textId="77777777" w:rsidR="000975C6" w:rsidRPr="00F3290F" w:rsidRDefault="000975C6" w:rsidP="000975C6">
      <w:pPr>
        <w:pStyle w:val="ParaNoNdepar-AltN"/>
        <w:rPr>
          <w:rFonts w:cs="Times New Roman"/>
        </w:rPr>
      </w:pPr>
      <w:r w:rsidRPr="00F3290F">
        <w:rPr>
          <w:rFonts w:cs="Times New Roman"/>
        </w:rPr>
        <w:t xml:space="preserve">I would dismiss the appeal. The police detained Mr. Lafrance on March 19, then breached s. 10(b) by failing to inform him of his right to counsel. They committed another breach of s. 10(b) on April 7 by refusing to allow him to contact a lawyer in circumstances which showed that his initial conversation with Legal Aid was insufficient for the purposes of s. 10(b), being “to allow the detainee not only to be </w:t>
      </w:r>
      <w:r w:rsidRPr="00F3290F">
        <w:rPr>
          <w:rFonts w:cs="Times New Roman"/>
        </w:rPr>
        <w:lastRenderedPageBreak/>
        <w:t>informed of his rights and obligations under the law but, equally if not more important, to obtain advice as to how to exercise those rights” (</w:t>
      </w:r>
      <w:r w:rsidRPr="00F3290F">
        <w:rPr>
          <w:rFonts w:cs="Times New Roman"/>
          <w:i/>
        </w:rPr>
        <w:t>Sinclair</w:t>
      </w:r>
      <w:r w:rsidRPr="00F3290F">
        <w:rPr>
          <w:rFonts w:cs="Times New Roman"/>
        </w:rPr>
        <w:t xml:space="preserve">, at para. 26, citing </w:t>
      </w:r>
      <w:r w:rsidRPr="00F3290F">
        <w:rPr>
          <w:rFonts w:cs="Times New Roman"/>
          <w:i/>
          <w:iCs/>
        </w:rPr>
        <w:t>R</w:t>
      </w:r>
      <w:r w:rsidRPr="00F3290F">
        <w:rPr>
          <w:rFonts w:cs="Times New Roman"/>
        </w:rPr>
        <w:t xml:space="preserve">. </w:t>
      </w:r>
      <w:r w:rsidRPr="00F3290F">
        <w:rPr>
          <w:rFonts w:cs="Times New Roman"/>
          <w:i/>
          <w:iCs/>
        </w:rPr>
        <w:t>v</w:t>
      </w:r>
      <w:r w:rsidRPr="00F3290F">
        <w:rPr>
          <w:rFonts w:cs="Times New Roman"/>
        </w:rPr>
        <w:t xml:space="preserve">. </w:t>
      </w:r>
      <w:r w:rsidRPr="00F3290F">
        <w:rPr>
          <w:rFonts w:cs="Times New Roman"/>
          <w:i/>
          <w:iCs/>
        </w:rPr>
        <w:t>Manninen</w:t>
      </w:r>
      <w:r w:rsidRPr="00F3290F">
        <w:rPr>
          <w:rFonts w:cs="Times New Roman"/>
        </w:rPr>
        <w:t xml:space="preserve">, [1987] 1 S.C.R. 1233, at pp. 1242-43). These were serious breaches, substantially impacting Mr. Lafrance’s </w:t>
      </w:r>
      <w:r w:rsidRPr="00F3290F">
        <w:rPr>
          <w:rFonts w:cs="Times New Roman"/>
          <w:i/>
        </w:rPr>
        <w:t>Charter</w:t>
      </w:r>
      <w:r w:rsidRPr="00F3290F">
        <w:rPr>
          <w:rFonts w:cs="Times New Roman"/>
        </w:rPr>
        <w:noBreakHyphen/>
        <w:t>protected interests, and admitting the evidence thereby obtained would bring the administration of justice into disrepute.</w:t>
      </w:r>
    </w:p>
    <w:p w14:paraId="5494857F" w14:textId="77777777" w:rsidR="000975C6" w:rsidRPr="00F3290F" w:rsidRDefault="000975C6" w:rsidP="000975C6">
      <w:pPr>
        <w:pStyle w:val="Title1LevelTitre1Niveau-AltL"/>
        <w:numPr>
          <w:ilvl w:val="0"/>
          <w:numId w:val="8"/>
        </w:numPr>
        <w:rPr>
          <w:rFonts w:cs="Times New Roman"/>
        </w:rPr>
      </w:pPr>
      <w:bookmarkStart w:id="3" w:name="_Toc97643539"/>
      <w:bookmarkStart w:id="4" w:name="_Toc103352560"/>
      <w:bookmarkStart w:id="5" w:name="_Toc103687568"/>
      <w:r w:rsidRPr="00F3290F">
        <w:rPr>
          <w:rFonts w:cs="Times New Roman"/>
        </w:rPr>
        <w:t>Facts</w:t>
      </w:r>
      <w:bookmarkEnd w:id="3"/>
      <w:bookmarkEnd w:id="4"/>
      <w:bookmarkEnd w:id="5"/>
    </w:p>
    <w:p w14:paraId="60D24A80" w14:textId="77777777" w:rsidR="000975C6" w:rsidRPr="00F3290F" w:rsidRDefault="000975C6" w:rsidP="000975C6">
      <w:pPr>
        <w:pStyle w:val="ParaNoNdepar-AltN"/>
        <w:rPr>
          <w:rFonts w:cs="Times New Roman"/>
        </w:rPr>
      </w:pPr>
      <w:r w:rsidRPr="00F3290F">
        <w:rPr>
          <w:rFonts w:cs="Times New Roman"/>
        </w:rPr>
        <w:t xml:space="preserve">On March 17, 2015, Anthony Yasinski was stabbed in the neck and died. The police suspected Mr. Lafrance’s involvement, as he was the last person to have contacted Mr. Yasinski prior to his death. </w:t>
      </w:r>
    </w:p>
    <w:p w14:paraId="7E8109E1" w14:textId="77777777" w:rsidR="000975C6" w:rsidRPr="00F3290F" w:rsidRDefault="000975C6" w:rsidP="000975C6">
      <w:pPr>
        <w:pStyle w:val="ParaNoNdepar-AltN"/>
        <w:rPr>
          <w:rFonts w:cs="Times New Roman"/>
        </w:rPr>
      </w:pPr>
      <w:r w:rsidRPr="00F3290F">
        <w:rPr>
          <w:rFonts w:cs="Times New Roman"/>
        </w:rPr>
        <w:t xml:space="preserve">Two interactions between the police and Mr. Lafrance followed, on March 19, 2015, and April 7, 2015, respectively. </w:t>
      </w:r>
    </w:p>
    <w:p w14:paraId="376506D5" w14:textId="77777777" w:rsidR="000975C6" w:rsidRPr="00F3290F" w:rsidRDefault="000975C6" w:rsidP="000975C6">
      <w:pPr>
        <w:pStyle w:val="Title2LevelTitre2Niveau"/>
        <w:numPr>
          <w:ilvl w:val="1"/>
          <w:numId w:val="8"/>
        </w:numPr>
        <w:rPr>
          <w:rFonts w:cs="Times New Roman"/>
        </w:rPr>
      </w:pPr>
      <w:bookmarkStart w:id="6" w:name="_Toc97643540"/>
      <w:bookmarkStart w:id="7" w:name="_Toc103352561"/>
      <w:bookmarkStart w:id="8" w:name="_Toc103687569"/>
      <w:r w:rsidRPr="00F3290F">
        <w:rPr>
          <w:rFonts w:cs="Times New Roman"/>
        </w:rPr>
        <w:t>March 19, 2015</w:t>
      </w:r>
      <w:bookmarkEnd w:id="6"/>
      <w:bookmarkEnd w:id="7"/>
      <w:bookmarkEnd w:id="8"/>
    </w:p>
    <w:p w14:paraId="39C3EA3A" w14:textId="77777777" w:rsidR="000975C6" w:rsidRPr="00F3290F" w:rsidRDefault="000975C6" w:rsidP="000975C6">
      <w:pPr>
        <w:pStyle w:val="ParaNoNdepar-AltN"/>
        <w:rPr>
          <w:rFonts w:cs="Times New Roman"/>
        </w:rPr>
      </w:pPr>
      <w:r w:rsidRPr="00F3290F">
        <w:rPr>
          <w:rFonts w:cs="Times New Roman"/>
        </w:rPr>
        <w:t xml:space="preserve">The police sought and obtained a search warrant to search Mr. Lafrance’s place of residence on the morning of March 19. </w:t>
      </w:r>
      <w:r>
        <w:rPr>
          <w:rFonts w:cs="Times New Roman"/>
        </w:rPr>
        <w:t>A</w:t>
      </w:r>
      <w:r w:rsidRPr="00F3290F">
        <w:rPr>
          <w:rFonts w:cs="Times New Roman"/>
        </w:rPr>
        <w:t xml:space="preserve"> police search team of 11 </w:t>
      </w:r>
      <w:r>
        <w:rPr>
          <w:rFonts w:cs="Times New Roman"/>
        </w:rPr>
        <w:t xml:space="preserve">⸺ many of which were wearing bulletproof vests and carrying firearms, including at least one “assault rifle” ⸺ </w:t>
      </w:r>
      <w:r w:rsidRPr="00F3290F">
        <w:rPr>
          <w:rFonts w:cs="Times New Roman"/>
        </w:rPr>
        <w:t xml:space="preserve">arrived in marked and unmarked police vehicles at 6:50 a.m., blocked off surrounding roads and entered the residence, making their way to Mr. Lafrance’s room and waking him. When he opened the door, they directed him to dress and leave his house immediately. When he asked the police for permission to look for his cat </w:t>
      </w:r>
      <w:r w:rsidRPr="00F3290F">
        <w:rPr>
          <w:rFonts w:cs="Times New Roman"/>
        </w:rPr>
        <w:lastRenderedPageBreak/>
        <w:t>(which had run outside when the police entered the residence), they permitted him to do so, led him outside, and accompanied him as he chased after it. At all times, Mr. Lafrance remained “in sight of police officers” and did not venture past the police cordon (A.R., vol. II, at pp. 93-94).</w:t>
      </w:r>
    </w:p>
    <w:p w14:paraId="2BFD8C89" w14:textId="77777777" w:rsidR="000975C6" w:rsidRPr="00F3290F" w:rsidRDefault="000975C6" w:rsidP="000975C6">
      <w:pPr>
        <w:pStyle w:val="ParaNoNdepar-AltN"/>
        <w:rPr>
          <w:rFonts w:cs="Times New Roman"/>
        </w:rPr>
      </w:pPr>
      <w:r w:rsidRPr="00F3290F">
        <w:rPr>
          <w:rFonts w:cs="Times New Roman"/>
        </w:rPr>
        <w:t xml:space="preserve">Shortly after retrieving the cat, Mr. Lafrance was approached by </w:t>
      </w:r>
      <w:r>
        <w:rPr>
          <w:rFonts w:cs="Times New Roman"/>
        </w:rPr>
        <w:t>Sergeant</w:t>
      </w:r>
      <w:r w:rsidRPr="00F3290F">
        <w:rPr>
          <w:rFonts w:cs="Times New Roman"/>
        </w:rPr>
        <w:t xml:space="preserve"> (then Corporal) </w:t>
      </w:r>
      <w:r>
        <w:rPr>
          <w:rFonts w:cs="Times New Roman"/>
        </w:rPr>
        <w:t xml:space="preserve">Eros </w:t>
      </w:r>
      <w:r w:rsidRPr="00F3290F">
        <w:rPr>
          <w:rFonts w:cs="Times New Roman"/>
        </w:rPr>
        <w:t xml:space="preserve">who, unbeknownst to Mr. Lafrance, had been assigned to interview him and had been waiting for him outside. </w:t>
      </w:r>
      <w:r>
        <w:rPr>
          <w:rFonts w:cs="Times New Roman"/>
        </w:rPr>
        <w:t>Sgt. </w:t>
      </w:r>
      <w:r w:rsidRPr="00F3290F">
        <w:rPr>
          <w:rFonts w:cs="Times New Roman"/>
        </w:rPr>
        <w:t>Eros was accompanied by S</w:t>
      </w:r>
      <w:r>
        <w:rPr>
          <w:rFonts w:cs="Times New Roman"/>
        </w:rPr>
        <w:t>taff Sergeant</w:t>
      </w:r>
      <w:r w:rsidRPr="00F3290F">
        <w:rPr>
          <w:rFonts w:cs="Times New Roman"/>
        </w:rPr>
        <w:t xml:space="preserve"> </w:t>
      </w:r>
      <w:r>
        <w:rPr>
          <w:rFonts w:cs="Times New Roman"/>
        </w:rPr>
        <w:t>(then Cpl.</w:t>
      </w:r>
      <w:r w:rsidRPr="00F3290F">
        <w:rPr>
          <w:rFonts w:cs="Times New Roman"/>
        </w:rPr>
        <w:t>)</w:t>
      </w:r>
      <w:r>
        <w:rPr>
          <w:rFonts w:cs="Times New Roman"/>
        </w:rPr>
        <w:t xml:space="preserve"> Zazulak,</w:t>
      </w:r>
      <w:r w:rsidRPr="00F3290F">
        <w:rPr>
          <w:rFonts w:cs="Times New Roman"/>
        </w:rPr>
        <w:t xml:space="preserve"> armed and wearing a bulletproof vest. It is undisputed that, at that time, Sgt.</w:t>
      </w:r>
      <w:r>
        <w:rPr>
          <w:rFonts w:cs="Times New Roman"/>
        </w:rPr>
        <w:t> </w:t>
      </w:r>
      <w:r w:rsidRPr="00F3290F">
        <w:rPr>
          <w:rFonts w:cs="Times New Roman"/>
        </w:rPr>
        <w:t xml:space="preserve">Eros did not have reasonable and probable grounds to proceed to arrest Mr. Lafrance. </w:t>
      </w:r>
    </w:p>
    <w:p w14:paraId="390538F7" w14:textId="77777777" w:rsidR="000975C6" w:rsidRPr="00F3290F" w:rsidRDefault="000975C6" w:rsidP="000975C6">
      <w:pPr>
        <w:pStyle w:val="ParaNoNdepar-AltN"/>
        <w:rPr>
          <w:rFonts w:cs="Times New Roman"/>
        </w:rPr>
      </w:pPr>
      <w:r w:rsidRPr="00F3290F">
        <w:rPr>
          <w:rFonts w:cs="Times New Roman"/>
        </w:rPr>
        <w:t>Sgt. Eros asked Mr. Lafrance to confirm his identity (which Mr. Lafrance did), advised him that he wanted to speak about an incident that occurred down the road — referring, of course, to Mr. Yasinski’s death — and asked him to come to the police station and provide a statement. Sgt. Eros told Mr. Lafrance that doing so would be a “completely voluntary” choice. Mr. Lafrance agreed to give a statement.</w:t>
      </w:r>
    </w:p>
    <w:p w14:paraId="1867235D" w14:textId="77777777" w:rsidR="000975C6" w:rsidRPr="00F3290F" w:rsidRDefault="000975C6" w:rsidP="000975C6">
      <w:pPr>
        <w:pStyle w:val="ParaNoNdepar-AltN"/>
        <w:rPr>
          <w:rFonts w:cs="Times New Roman"/>
        </w:rPr>
      </w:pPr>
      <w:r w:rsidRPr="00F3290F">
        <w:rPr>
          <w:rFonts w:cs="Times New Roman"/>
        </w:rPr>
        <w:t>Sgt. Eros and Mr. Lafrance discussed how he could make his way to the police station — whether by public transit, a ride with Sgt. </w:t>
      </w:r>
      <w:r>
        <w:rPr>
          <w:rFonts w:cs="Times New Roman"/>
        </w:rPr>
        <w:t>Eros and S/Sgt.</w:t>
      </w:r>
      <w:r w:rsidRPr="00F3290F">
        <w:rPr>
          <w:rFonts w:cs="Times New Roman"/>
        </w:rPr>
        <w:t> Zazulak in an unmarked police van, or by some alternative means. Having no money for bus fare, Mr. Lafrance chose to ride with Sgt. </w:t>
      </w:r>
      <w:r>
        <w:rPr>
          <w:rFonts w:cs="Times New Roman"/>
        </w:rPr>
        <w:t>Eros and S/Sgt.</w:t>
      </w:r>
      <w:r w:rsidRPr="00F3290F">
        <w:rPr>
          <w:rFonts w:cs="Times New Roman"/>
        </w:rPr>
        <w:t xml:space="preserve"> Zazulak. </w:t>
      </w:r>
    </w:p>
    <w:p w14:paraId="47C47323" w14:textId="77777777" w:rsidR="000975C6" w:rsidRPr="00F3290F" w:rsidRDefault="000975C6" w:rsidP="000975C6">
      <w:pPr>
        <w:pStyle w:val="ParaNoNdepar-AltN"/>
        <w:rPr>
          <w:rFonts w:cs="Times New Roman"/>
        </w:rPr>
      </w:pPr>
      <w:r w:rsidRPr="00F3290F">
        <w:rPr>
          <w:rFonts w:cs="Times New Roman"/>
        </w:rPr>
        <w:lastRenderedPageBreak/>
        <w:t>After a 20- to 25</w:t>
      </w:r>
      <w:r w:rsidRPr="00F3290F">
        <w:rPr>
          <w:rFonts w:cs="Times New Roman"/>
        </w:rPr>
        <w:noBreakHyphen/>
        <w:t>minute ride to the police station, Mr. Lafrance w</w:t>
      </w:r>
      <w:r>
        <w:rPr>
          <w:rFonts w:cs="Times New Roman"/>
        </w:rPr>
        <w:t>as escorted by Sgt. Eros and S/Sgt.</w:t>
      </w:r>
      <w:r w:rsidRPr="00F3290F">
        <w:rPr>
          <w:rFonts w:cs="Times New Roman"/>
        </w:rPr>
        <w:t> Zazulak through two controlled access key</w:t>
      </w:r>
      <w:r w:rsidRPr="00F3290F">
        <w:rPr>
          <w:rFonts w:cs="Times New Roman"/>
        </w:rPr>
        <w:noBreakHyphen/>
        <w:t xml:space="preserve">carded doors to an interview room at the back of the station. He was then left alone in the closed room for at least 17 minutes, unaware (because he had not been told) that the door was unlocked. When Sgt. Eros returned to the interview room and Mr. Lafrance asked to use the washroom, Sgt. Eros escorted him to the washroom, stood by while Mr. Lafrance used the washroom, then escorted him back to the interview room. </w:t>
      </w:r>
    </w:p>
    <w:p w14:paraId="5681E313" w14:textId="77777777" w:rsidR="000975C6" w:rsidRPr="00F3290F" w:rsidRDefault="000975C6" w:rsidP="000975C6">
      <w:pPr>
        <w:pStyle w:val="ParaNoNdepar-AltN"/>
        <w:rPr>
          <w:rFonts w:cs="Times New Roman"/>
        </w:rPr>
      </w:pPr>
      <w:r w:rsidRPr="00F3290F">
        <w:rPr>
          <w:rFonts w:cs="Times New Roman"/>
        </w:rPr>
        <w:t xml:space="preserve">Sgt. Eros then proceeded to interview Mr. Lafrance for approximately three and a half hours. He began by telling Mr. Lafrance that he did not need to speak with him, that the door to the interview room was unlocked and that he could leave at any time. But Sgt. Eros also informed him that they were currently in a “secure environment” and that, should Mr. Lafrance want to leave, use the washroom or take a smoke break, he would have to let Sgt. Eros know. </w:t>
      </w:r>
    </w:p>
    <w:p w14:paraId="4FF1362E" w14:textId="77777777" w:rsidR="000975C6" w:rsidRPr="00F3290F" w:rsidRDefault="000975C6" w:rsidP="000975C6">
      <w:pPr>
        <w:pStyle w:val="ParaNoNdepar-AltN"/>
        <w:rPr>
          <w:rFonts w:cs="Times New Roman"/>
        </w:rPr>
      </w:pPr>
      <w:r w:rsidRPr="00F3290F">
        <w:rPr>
          <w:rFonts w:cs="Times New Roman"/>
        </w:rPr>
        <w:t xml:space="preserve">Sgt. Eros then informed Mr. Lafrance that he was a suspect in Mr. Yasinski’s murder, and asked him about “what [his] days have been filled with and what [he had] been doing” prior to the police search of his home (A.R., vol. IV, at p. 82). Mr. Lafrance gave answers, some of which were relayed to the search team, leading them to seize items of interest. Sgt. Eros also took Mr. Lafrance’s fingerprints and DNA (prior to which he was offered a chance to speak with a lawyer) and seized his cellphone along with his clothes — all of which were taken after obtaining Mr. Lafrance’s consent. At the interview’s conclusion, police drove Mr. Lafrance home. </w:t>
      </w:r>
    </w:p>
    <w:p w14:paraId="73B85A39" w14:textId="77777777" w:rsidR="000975C6" w:rsidRPr="00F3290F" w:rsidRDefault="000975C6" w:rsidP="000975C6">
      <w:pPr>
        <w:pStyle w:val="Title2LevelTitre2Niveau"/>
        <w:numPr>
          <w:ilvl w:val="1"/>
          <w:numId w:val="8"/>
        </w:numPr>
        <w:rPr>
          <w:rFonts w:cs="Times New Roman"/>
        </w:rPr>
      </w:pPr>
      <w:bookmarkStart w:id="9" w:name="_Toc97643541"/>
      <w:bookmarkStart w:id="10" w:name="_Toc103352562"/>
      <w:bookmarkStart w:id="11" w:name="_Toc103687570"/>
      <w:r w:rsidRPr="00F3290F">
        <w:rPr>
          <w:rFonts w:cs="Times New Roman"/>
        </w:rPr>
        <w:lastRenderedPageBreak/>
        <w:t>April 7, 2015</w:t>
      </w:r>
      <w:bookmarkEnd w:id="9"/>
      <w:bookmarkEnd w:id="10"/>
      <w:bookmarkEnd w:id="11"/>
    </w:p>
    <w:p w14:paraId="026A42E8" w14:textId="77777777" w:rsidR="000975C6" w:rsidRPr="00F3290F" w:rsidRDefault="000975C6" w:rsidP="000975C6">
      <w:pPr>
        <w:pStyle w:val="ParaNoNdepar-AltN"/>
        <w:rPr>
          <w:rFonts w:cs="Times New Roman"/>
        </w:rPr>
      </w:pPr>
      <w:r w:rsidRPr="00F3290F">
        <w:rPr>
          <w:rFonts w:cs="Times New Roman"/>
        </w:rPr>
        <w:t>On April 7, the police arrested Mr. Lafrance for the murder of Mr. Yasinski. Shortly after the arrest, the arresting officer informed Mr. Lafrance of his right to counsel and that he would be given an opportunity to call a lawyer. Mr. Lafrance indicated that he understood this and asked to contact a “free lawyer”.</w:t>
      </w:r>
    </w:p>
    <w:p w14:paraId="41957E0C" w14:textId="77777777" w:rsidR="000975C6" w:rsidRPr="00F3290F" w:rsidRDefault="000975C6" w:rsidP="000975C6">
      <w:pPr>
        <w:pStyle w:val="ParaNoNdepar-AltN"/>
        <w:rPr>
          <w:rFonts w:cs="Times New Roman"/>
        </w:rPr>
      </w:pPr>
      <w:r w:rsidRPr="00F3290F">
        <w:rPr>
          <w:rFonts w:cs="Times New Roman"/>
        </w:rPr>
        <w:t xml:space="preserve">At the police station, Mr. Lafrance was escorted to a telephone room and spoke on the phone with a Legal Aid lawyer. This short conversation was Mr. Lafrance’s first time ever speaking with a lawyer, having never before been arrested or otherwise required to obtain legal services. When he finished the call, the arresting officer asked Mr. Lafrance if he had spoken to a lawyer and understood the advice, to which Mr. Lafrance answered yes. Mr. Lafrance was then moved to an interview room to be interviewed by Sgt. Eros. </w:t>
      </w:r>
    </w:p>
    <w:p w14:paraId="1F115BF2" w14:textId="77777777" w:rsidR="000975C6" w:rsidRPr="00F3290F" w:rsidRDefault="000975C6" w:rsidP="000975C6">
      <w:pPr>
        <w:pStyle w:val="ParaNoNdepar-AltN"/>
        <w:rPr>
          <w:rFonts w:cs="Times New Roman"/>
        </w:rPr>
      </w:pPr>
      <w:r w:rsidRPr="00F3290F">
        <w:rPr>
          <w:rFonts w:cs="Times New Roman"/>
        </w:rPr>
        <w:t xml:space="preserve">Several hours into the interview, Sgt. Eros told Mr. Lafrance that he did not believe his version of the events and that there was no doubt in his mind that Mr. Lafrance was responsible for killing Mr. Yasinski. As the tone of the interview shifted, Mr. Lafrance asked to speak with his father before continuing to answer Sgt. Eros’ questions. When Sgt. Eros asked him why, Mr. Lafrance explained that his father was his “only chance of getting a lawyer” and that he wanted a lawyer before going forward with anything else. He said that Legal Aid told him “to get a lawyer before [he] continue[s] talking” to sit down and talk about his situation (A.R., vol. V, at p. 139). In response, Sgt. Eros explained that he “ha[d] no problem” letting him talk </w:t>
      </w:r>
      <w:r w:rsidRPr="00F3290F">
        <w:rPr>
          <w:rFonts w:cs="Times New Roman"/>
        </w:rPr>
        <w:lastRenderedPageBreak/>
        <w:t>to his father (A.R., vol. V, at p. 138), but that Mr. Lafrance had already spoken to a lawyer. Mr. Lafrance, he said, may have misinterpreted</w:t>
      </w:r>
      <w:r w:rsidRPr="001F0887">
        <w:rPr>
          <w:rStyle w:val="Hyperlink"/>
          <w:vertAlign w:val="superscript"/>
        </w:rPr>
        <w:footnoteReference w:id="2"/>
      </w:r>
      <w:r w:rsidRPr="00F3290F">
        <w:rPr>
          <w:rFonts w:cs="Times New Roman"/>
        </w:rPr>
        <w:t xml:space="preserve"> the advice and so he explained to Mr. Lafrance that he could not have a lawyer present in the room with him during the custodial interview. Sgt. Eros testified, however, that he was satisfied that Mr. Lafrance understood his right to silence and his legal advice. </w:t>
      </w:r>
    </w:p>
    <w:p w14:paraId="78010543" w14:textId="77777777" w:rsidR="000975C6" w:rsidRPr="00F3290F" w:rsidRDefault="000975C6" w:rsidP="000975C6">
      <w:pPr>
        <w:pStyle w:val="ParaNoNdepar-AltN"/>
        <w:rPr>
          <w:rFonts w:cs="Times New Roman"/>
        </w:rPr>
      </w:pPr>
      <w:r w:rsidRPr="00F3290F">
        <w:rPr>
          <w:rFonts w:cs="Times New Roman"/>
        </w:rPr>
        <w:t xml:space="preserve">Sgt. Eros pressed ahead with his questioning and, shortly thereafter, Mr. Lafrance confessed to stabbing Mr. Yasinski. </w:t>
      </w:r>
    </w:p>
    <w:p w14:paraId="5A33DDF0" w14:textId="77777777" w:rsidR="000975C6" w:rsidRPr="00F3290F" w:rsidRDefault="000975C6" w:rsidP="000975C6">
      <w:pPr>
        <w:pStyle w:val="Title1LevelTitre1Niveau-AltL"/>
        <w:numPr>
          <w:ilvl w:val="0"/>
          <w:numId w:val="8"/>
        </w:numPr>
        <w:rPr>
          <w:rFonts w:cs="Times New Roman"/>
        </w:rPr>
      </w:pPr>
      <w:bookmarkStart w:id="12" w:name="_Toc97643542"/>
      <w:bookmarkStart w:id="13" w:name="_Toc103352563"/>
      <w:bookmarkStart w:id="14" w:name="_Toc103687571"/>
      <w:r w:rsidRPr="00F3290F">
        <w:rPr>
          <w:rFonts w:cs="Times New Roman"/>
        </w:rPr>
        <w:t>Issues</w:t>
      </w:r>
      <w:bookmarkEnd w:id="12"/>
      <w:bookmarkEnd w:id="13"/>
      <w:bookmarkEnd w:id="14"/>
    </w:p>
    <w:p w14:paraId="12D6311C" w14:textId="77777777" w:rsidR="000975C6" w:rsidRPr="00F3290F" w:rsidRDefault="000975C6" w:rsidP="000975C6">
      <w:pPr>
        <w:pStyle w:val="ParaNoNdepar-AltN"/>
        <w:rPr>
          <w:rFonts w:cs="Times New Roman"/>
        </w:rPr>
      </w:pPr>
      <w:r w:rsidRPr="00F3290F">
        <w:rPr>
          <w:rFonts w:cs="Times New Roman"/>
        </w:rPr>
        <w:t>This appeal presents three issues:</w:t>
      </w:r>
    </w:p>
    <w:p w14:paraId="3E26A862" w14:textId="77777777" w:rsidR="000975C6" w:rsidRPr="00F3290F" w:rsidRDefault="000975C6" w:rsidP="000975C6">
      <w:pPr>
        <w:pStyle w:val="ContinueParaSuitedupar-AltP"/>
        <w:numPr>
          <w:ilvl w:val="0"/>
          <w:numId w:val="21"/>
        </w:numPr>
        <w:ind w:left="1710" w:hanging="540"/>
        <w:rPr>
          <w:rFonts w:cs="Times New Roman"/>
        </w:rPr>
      </w:pPr>
      <w:r w:rsidRPr="00F3290F">
        <w:rPr>
          <w:rFonts w:cs="Times New Roman"/>
        </w:rPr>
        <w:t>Did the police detain Mr. Lafrance and breach his s. 10(b) right to counsel on March 19, 2015?</w:t>
      </w:r>
    </w:p>
    <w:p w14:paraId="6C168DB1" w14:textId="77777777" w:rsidR="000975C6" w:rsidRPr="00F3290F" w:rsidRDefault="000975C6" w:rsidP="000975C6">
      <w:pPr>
        <w:pStyle w:val="ContinueParaSuitedupar-AltP"/>
        <w:numPr>
          <w:ilvl w:val="0"/>
          <w:numId w:val="21"/>
        </w:numPr>
        <w:ind w:left="1710" w:hanging="540"/>
        <w:rPr>
          <w:rFonts w:cs="Times New Roman"/>
        </w:rPr>
      </w:pPr>
      <w:r w:rsidRPr="00F3290F">
        <w:rPr>
          <w:rFonts w:cs="Times New Roman"/>
        </w:rPr>
        <w:t>Did the police breach Mr. Lafrance’s s. 10(b) right to counsel by refusing to allow him to have a further consultation with a lawyer on April 7, 2015?</w:t>
      </w:r>
    </w:p>
    <w:p w14:paraId="3846B431" w14:textId="77777777" w:rsidR="000975C6" w:rsidRPr="00F3290F" w:rsidRDefault="000975C6" w:rsidP="000975C6">
      <w:pPr>
        <w:pStyle w:val="ContinueParaSuitedupar-AltP"/>
        <w:numPr>
          <w:ilvl w:val="0"/>
          <w:numId w:val="21"/>
        </w:numPr>
        <w:ind w:left="1710" w:hanging="540"/>
        <w:rPr>
          <w:rFonts w:cs="Times New Roman"/>
        </w:rPr>
      </w:pPr>
      <w:r w:rsidRPr="00F3290F">
        <w:rPr>
          <w:rFonts w:cs="Times New Roman"/>
        </w:rPr>
        <w:lastRenderedPageBreak/>
        <w:t>If the answer to either or both of the foregoing is “yes”, would the evidence obtained therefrom bring the administration of justice into disrepute, such that it must be excluded under s. 24(2)?</w:t>
      </w:r>
    </w:p>
    <w:p w14:paraId="0B7B7D11" w14:textId="77777777" w:rsidR="000975C6" w:rsidRPr="00F3290F" w:rsidRDefault="000975C6" w:rsidP="000975C6">
      <w:pPr>
        <w:pStyle w:val="Title1LevelTitre1Niveau-AltL"/>
        <w:numPr>
          <w:ilvl w:val="0"/>
          <w:numId w:val="8"/>
        </w:numPr>
        <w:rPr>
          <w:rFonts w:cs="Times New Roman"/>
        </w:rPr>
      </w:pPr>
      <w:bookmarkStart w:id="15" w:name="_Toc97643543"/>
      <w:bookmarkStart w:id="16" w:name="_Toc103352564"/>
      <w:bookmarkStart w:id="17" w:name="_Toc103687572"/>
      <w:r w:rsidRPr="00F3290F">
        <w:rPr>
          <w:rFonts w:cs="Times New Roman"/>
        </w:rPr>
        <w:t>Analysis</w:t>
      </w:r>
      <w:bookmarkEnd w:id="15"/>
      <w:bookmarkEnd w:id="16"/>
      <w:bookmarkEnd w:id="17"/>
    </w:p>
    <w:p w14:paraId="1B79B0AC" w14:textId="77777777" w:rsidR="000975C6" w:rsidRPr="00F3290F" w:rsidRDefault="000975C6" w:rsidP="000975C6">
      <w:pPr>
        <w:pStyle w:val="Title2LevelTitre2Niveau"/>
        <w:numPr>
          <w:ilvl w:val="1"/>
          <w:numId w:val="8"/>
        </w:numPr>
        <w:rPr>
          <w:rFonts w:cs="Times New Roman"/>
        </w:rPr>
      </w:pPr>
      <w:bookmarkStart w:id="18" w:name="_Toc97643544"/>
      <w:bookmarkStart w:id="19" w:name="_Toc103352565"/>
      <w:bookmarkStart w:id="20" w:name="_Toc103687573"/>
      <w:r w:rsidRPr="00F3290F">
        <w:rPr>
          <w:rFonts w:cs="Times New Roman"/>
        </w:rPr>
        <w:t>March 19, 2015</w:t>
      </w:r>
      <w:bookmarkEnd w:id="18"/>
      <w:bookmarkEnd w:id="19"/>
      <w:bookmarkEnd w:id="20"/>
    </w:p>
    <w:p w14:paraId="267B7281" w14:textId="77777777" w:rsidR="000975C6" w:rsidRPr="00F3290F" w:rsidRDefault="000975C6" w:rsidP="000975C6">
      <w:pPr>
        <w:pStyle w:val="ParaNoNdepar-AltN"/>
        <w:rPr>
          <w:rFonts w:cs="Times New Roman"/>
        </w:rPr>
      </w:pPr>
      <w:r w:rsidRPr="00F3290F">
        <w:rPr>
          <w:rFonts w:cs="Times New Roman"/>
        </w:rPr>
        <w:t>Mr. Lafrance’s straightforward argument regarding the March 19 encounter is this: he was detained when the police executed their search warrant, and that detention persisted during his interview at the police station as he felt, in the circumstances, obliged to comply with the request to speak with police. It follows that the police breached s. 10(b) by failing to advise him of his right to retain and instruct counsel upon detention (</w:t>
      </w:r>
      <w:r w:rsidRPr="00F3290F">
        <w:rPr>
          <w:rFonts w:cs="Times New Roman"/>
          <w:i/>
        </w:rPr>
        <w:t>Grant</w:t>
      </w:r>
      <w:r w:rsidRPr="00F3290F">
        <w:rPr>
          <w:rFonts w:cs="Times New Roman"/>
        </w:rPr>
        <w:t xml:space="preserve">, at para. 28). </w:t>
      </w:r>
    </w:p>
    <w:p w14:paraId="68E4854B" w14:textId="77777777" w:rsidR="000975C6" w:rsidRPr="00F3290F" w:rsidRDefault="000975C6" w:rsidP="000975C6">
      <w:pPr>
        <w:pStyle w:val="Title3LevelTitre3Niveau"/>
        <w:numPr>
          <w:ilvl w:val="2"/>
          <w:numId w:val="8"/>
        </w:numPr>
        <w:rPr>
          <w:rFonts w:cs="Times New Roman"/>
        </w:rPr>
      </w:pPr>
      <w:bookmarkStart w:id="21" w:name="_Toc97643545"/>
      <w:bookmarkStart w:id="22" w:name="_Toc103352566"/>
      <w:bookmarkStart w:id="23" w:name="_Toc103687574"/>
      <w:r w:rsidRPr="00F3290F">
        <w:rPr>
          <w:rFonts w:cs="Times New Roman"/>
        </w:rPr>
        <w:t>Detention</w:t>
      </w:r>
      <w:bookmarkEnd w:id="21"/>
      <w:bookmarkEnd w:id="22"/>
      <w:bookmarkEnd w:id="23"/>
    </w:p>
    <w:p w14:paraId="21DA848F" w14:textId="77777777" w:rsidR="000975C6" w:rsidRPr="00F3290F" w:rsidRDefault="000975C6" w:rsidP="000975C6">
      <w:pPr>
        <w:pStyle w:val="ParaNoNdepar-AltN"/>
        <w:rPr>
          <w:rFonts w:cs="Times New Roman"/>
        </w:rPr>
      </w:pPr>
      <w:r w:rsidRPr="00F3290F">
        <w:rPr>
          <w:rFonts w:cs="Times New Roman"/>
        </w:rPr>
        <w:t>Detention refers to “a suspension of an individual’s liberty interest by virtue of a significant physical or psychological restraint at the hands of the state” (</w:t>
      </w:r>
      <w:r w:rsidRPr="00F3290F">
        <w:rPr>
          <w:rFonts w:cs="Times New Roman"/>
          <w:i/>
        </w:rPr>
        <w:t>R. v. Suberu</w:t>
      </w:r>
      <w:r w:rsidRPr="00F3290F">
        <w:rPr>
          <w:rFonts w:cs="Times New Roman"/>
        </w:rPr>
        <w:t xml:space="preserve">, 2009 SCC 33, [2009] 2 S.C.R. 460, at para. 21; </w:t>
      </w:r>
      <w:r w:rsidRPr="00F3290F">
        <w:rPr>
          <w:rFonts w:cs="Times New Roman"/>
          <w:i/>
        </w:rPr>
        <w:t>Le</w:t>
      </w:r>
      <w:r w:rsidRPr="00F3290F">
        <w:rPr>
          <w:rFonts w:cs="Times New Roman"/>
        </w:rPr>
        <w:t>,</w:t>
      </w:r>
      <w:r w:rsidRPr="00F3290F">
        <w:rPr>
          <w:rFonts w:cs="Times New Roman"/>
          <w:i/>
        </w:rPr>
        <w:t xml:space="preserve"> </w:t>
      </w:r>
      <w:r w:rsidRPr="00F3290F">
        <w:rPr>
          <w:rFonts w:cs="Times New Roman"/>
        </w:rPr>
        <w:t>at para. 27). In the heat of the moment, it is not always easy for ordinary citizens, who may be uninformed of their rights or the scope of the police’s powers, to know whether they have a choice to comply with a request by the police.</w:t>
      </w:r>
      <w:r w:rsidRPr="00F3290F">
        <w:rPr>
          <w:rFonts w:eastAsia="Times New Roman" w:cs="Times New Roman"/>
          <w:szCs w:val="24"/>
          <w:lang w:eastAsia="en-CA"/>
        </w:rPr>
        <w:t xml:space="preserve"> </w:t>
      </w:r>
      <w:r w:rsidRPr="00F3290F">
        <w:rPr>
          <w:rFonts w:cs="Times New Roman"/>
        </w:rPr>
        <w:t>An individual may perceive “a routine interaction with the police as demanding a sense of obligation to comply with every request” (</w:t>
      </w:r>
      <w:r w:rsidRPr="00F3290F">
        <w:rPr>
          <w:rFonts w:cs="Times New Roman"/>
          <w:i/>
        </w:rPr>
        <w:t>Le</w:t>
      </w:r>
      <w:r w:rsidRPr="00F3290F">
        <w:rPr>
          <w:rFonts w:cs="Times New Roman"/>
        </w:rPr>
        <w:t xml:space="preserve">, </w:t>
      </w:r>
      <w:r w:rsidRPr="00F3290F">
        <w:rPr>
          <w:rFonts w:cs="Times New Roman"/>
        </w:rPr>
        <w:lastRenderedPageBreak/>
        <w:t xml:space="preserve">at para. 26, referring to S. Penney, V. Rondinelli and J. Stribopoulos, </w:t>
      </w:r>
      <w:r w:rsidRPr="00F3290F">
        <w:rPr>
          <w:rFonts w:cs="Times New Roman"/>
          <w:i/>
        </w:rPr>
        <w:t>Criminal Procedure in Canada</w:t>
      </w:r>
      <w:r w:rsidRPr="00F3290F">
        <w:rPr>
          <w:rFonts w:cs="Times New Roman"/>
        </w:rPr>
        <w:t xml:space="preserve"> (2nd ed. 2018), at p. 83). For that reason, this Court has recognized that, “even </w:t>
      </w:r>
      <w:r w:rsidRPr="00F3290F">
        <w:rPr>
          <w:rFonts w:cs="Times New Roman"/>
          <w:u w:val="single"/>
        </w:rPr>
        <w:t>absent</w:t>
      </w:r>
      <w:r w:rsidRPr="00F3290F">
        <w:rPr>
          <w:rFonts w:cs="Times New Roman"/>
        </w:rPr>
        <w:t xml:space="preserve"> physical restraint by the state, a detention exists in situations where a reasonable person in the accused’s shoes would feel obligated to </w:t>
      </w:r>
      <w:proofErr w:type="gramStart"/>
      <w:r w:rsidRPr="00F3290F">
        <w:rPr>
          <w:rFonts w:cs="Times New Roman"/>
        </w:rPr>
        <w:t>comply .</w:t>
      </w:r>
      <w:proofErr w:type="gramEnd"/>
      <w:r w:rsidRPr="00F3290F">
        <w:rPr>
          <w:rFonts w:cs="Times New Roman"/>
        </w:rPr>
        <w:t> . . and that they are not free to leave” (</w:t>
      </w:r>
      <w:r w:rsidRPr="00F3290F">
        <w:rPr>
          <w:rFonts w:cs="Times New Roman"/>
          <w:i/>
        </w:rPr>
        <w:t>Le</w:t>
      </w:r>
      <w:r w:rsidRPr="00F3290F">
        <w:rPr>
          <w:rFonts w:cs="Times New Roman"/>
        </w:rPr>
        <w:t>, at para. 26 (emphasis added)). Even so, not every encounter between state and citizen effects a detention (</w:t>
      </w:r>
      <w:r w:rsidRPr="00F3290F">
        <w:rPr>
          <w:rFonts w:cs="Times New Roman"/>
          <w:i/>
        </w:rPr>
        <w:t>Suberu</w:t>
      </w:r>
      <w:r w:rsidRPr="00F3290F">
        <w:rPr>
          <w:rFonts w:cs="Times New Roman"/>
        </w:rPr>
        <w:t xml:space="preserve">, at para. 3; </w:t>
      </w:r>
      <w:r w:rsidRPr="00F3290F">
        <w:rPr>
          <w:rFonts w:cs="Times New Roman"/>
          <w:i/>
        </w:rPr>
        <w:t>Le</w:t>
      </w:r>
      <w:r w:rsidRPr="00F3290F">
        <w:rPr>
          <w:rFonts w:cs="Times New Roman"/>
        </w:rPr>
        <w:t xml:space="preserve">, at para. 27); no detention is effected, and therefore s. 10(b) rights are not breached, where an individual voluntarily assists the police by, for example, freely agreeing to provide a statement. </w:t>
      </w:r>
    </w:p>
    <w:p w14:paraId="571C3485" w14:textId="77777777" w:rsidR="000975C6" w:rsidRPr="00F3290F" w:rsidRDefault="000975C6" w:rsidP="000975C6">
      <w:pPr>
        <w:pStyle w:val="ParaNoNdepar-AltN"/>
        <w:rPr>
          <w:rFonts w:cs="Times New Roman"/>
        </w:rPr>
      </w:pPr>
      <w:r w:rsidRPr="00F3290F">
        <w:rPr>
          <w:rFonts w:cs="Times New Roman"/>
        </w:rPr>
        <w:t xml:space="preserve">In this case, Mr. Lafrance says that his choice to cooperate with the police on March 19 was, in substance, </w:t>
      </w:r>
      <w:r w:rsidRPr="00F3290F">
        <w:rPr>
          <w:rFonts w:cs="Times New Roman"/>
          <w:i/>
        </w:rPr>
        <w:t>imposed</w:t>
      </w:r>
      <w:r w:rsidRPr="00F3290F">
        <w:rPr>
          <w:rFonts w:cs="Times New Roman"/>
        </w:rPr>
        <w:t xml:space="preserve"> by way of psychological constraints. Psychological detention exists where an individual is legally required to comply with a direction or demand by the police, or where </w:t>
      </w:r>
      <w:r w:rsidRPr="00F3290F">
        <w:rPr>
          <w:rFonts w:cs="Times New Roman"/>
          <w:lang w:val="en-US"/>
        </w:rPr>
        <w:t xml:space="preserve">“a reasonable person in [that individual’s] position would feel so obligated” and would “conclude that he or she was not free to go” </w:t>
      </w:r>
      <w:r w:rsidRPr="00F3290F">
        <w:rPr>
          <w:rFonts w:cs="Times New Roman"/>
        </w:rPr>
        <w:t>(</w:t>
      </w:r>
      <w:r w:rsidRPr="00F3290F">
        <w:rPr>
          <w:rFonts w:cs="Times New Roman"/>
          <w:i/>
        </w:rPr>
        <w:t>Grant</w:t>
      </w:r>
      <w:r w:rsidRPr="00F3290F">
        <w:rPr>
          <w:rFonts w:cs="Times New Roman"/>
        </w:rPr>
        <w:t>,</w:t>
      </w:r>
      <w:r w:rsidRPr="00F3290F">
        <w:rPr>
          <w:rFonts w:cs="Times New Roman"/>
          <w:i/>
        </w:rPr>
        <w:t xml:space="preserve"> </w:t>
      </w:r>
      <w:r w:rsidRPr="00F3290F">
        <w:rPr>
          <w:rFonts w:cs="Times New Roman"/>
        </w:rPr>
        <w:t>at paras. 30</w:t>
      </w:r>
      <w:r w:rsidRPr="00F3290F">
        <w:rPr>
          <w:rFonts w:cs="Times New Roman"/>
        </w:rPr>
        <w:noBreakHyphen/>
        <w:t xml:space="preserve">31; </w:t>
      </w:r>
      <w:r w:rsidRPr="00F3290F">
        <w:rPr>
          <w:rFonts w:cs="Times New Roman"/>
          <w:i/>
        </w:rPr>
        <w:t>Le</w:t>
      </w:r>
      <w:r w:rsidRPr="00F3290F">
        <w:rPr>
          <w:rFonts w:cs="Times New Roman"/>
        </w:rPr>
        <w:t xml:space="preserve">, at para. 25). It is that latter category which Mr. Lafrance says describes his circumstances. Three factors — identified in </w:t>
      </w:r>
      <w:r w:rsidRPr="00F3290F">
        <w:rPr>
          <w:rFonts w:cs="Times New Roman"/>
          <w:i/>
        </w:rPr>
        <w:t xml:space="preserve">Grant </w:t>
      </w:r>
      <w:r w:rsidRPr="00F3290F">
        <w:rPr>
          <w:rFonts w:cs="Times New Roman"/>
        </w:rPr>
        <w:t xml:space="preserve">and expanded upon in </w:t>
      </w:r>
      <w:r w:rsidRPr="00F3290F">
        <w:rPr>
          <w:rFonts w:cs="Times New Roman"/>
          <w:i/>
        </w:rPr>
        <w:t xml:space="preserve">Le </w:t>
      </w:r>
      <w:r w:rsidRPr="00F3290F">
        <w:rPr>
          <w:rFonts w:cs="Times New Roman"/>
        </w:rPr>
        <w:t xml:space="preserve">— are to be considered and balanced: </w:t>
      </w:r>
    </w:p>
    <w:p w14:paraId="7017B299" w14:textId="77777777" w:rsidR="000975C6" w:rsidRPr="00F3290F" w:rsidRDefault="000975C6" w:rsidP="000975C6">
      <w:pPr>
        <w:pStyle w:val="ContinueParaSuitedupar-AltP"/>
        <w:numPr>
          <w:ilvl w:val="0"/>
          <w:numId w:val="20"/>
        </w:numPr>
        <w:ind w:left="1710" w:hanging="540"/>
        <w:rPr>
          <w:rFonts w:cs="Times New Roman"/>
        </w:rPr>
      </w:pPr>
      <w:r w:rsidRPr="00F3290F">
        <w:rPr>
          <w:rFonts w:cs="Times New Roman"/>
        </w:rPr>
        <w:t xml:space="preserve">The circumstances giving rise to the encounter as they would reasonably be perceived by the individual; </w:t>
      </w:r>
    </w:p>
    <w:p w14:paraId="582B8114" w14:textId="77777777" w:rsidR="000975C6" w:rsidRPr="00F3290F" w:rsidRDefault="000975C6" w:rsidP="000975C6">
      <w:pPr>
        <w:pStyle w:val="ContinueParaSuitedupar-AltP"/>
        <w:numPr>
          <w:ilvl w:val="0"/>
          <w:numId w:val="20"/>
        </w:numPr>
        <w:ind w:left="1710" w:hanging="540"/>
        <w:rPr>
          <w:rFonts w:cs="Times New Roman"/>
        </w:rPr>
      </w:pPr>
      <w:r w:rsidRPr="00F3290F">
        <w:rPr>
          <w:rFonts w:cs="Times New Roman"/>
        </w:rPr>
        <w:t xml:space="preserve">The nature of the police conduct; and </w:t>
      </w:r>
    </w:p>
    <w:p w14:paraId="1803D2E1" w14:textId="77777777" w:rsidR="000975C6" w:rsidRPr="00F3290F" w:rsidRDefault="000975C6" w:rsidP="000975C6">
      <w:pPr>
        <w:pStyle w:val="ContinueParaSuitedupar-AltP"/>
        <w:numPr>
          <w:ilvl w:val="0"/>
          <w:numId w:val="20"/>
        </w:numPr>
        <w:ind w:left="1710" w:hanging="540"/>
        <w:rPr>
          <w:rFonts w:cs="Times New Roman"/>
        </w:rPr>
      </w:pPr>
      <w:r w:rsidRPr="00F3290F">
        <w:rPr>
          <w:rFonts w:cs="Times New Roman"/>
        </w:rPr>
        <w:lastRenderedPageBreak/>
        <w:t>The particular characteristics or circumstances of the individual where relevant (</w:t>
      </w:r>
      <w:r w:rsidRPr="00F3290F">
        <w:rPr>
          <w:rFonts w:cs="Times New Roman"/>
          <w:i/>
        </w:rPr>
        <w:t>Grant</w:t>
      </w:r>
      <w:r w:rsidRPr="00F3290F">
        <w:rPr>
          <w:rFonts w:cs="Times New Roman"/>
        </w:rPr>
        <w:t xml:space="preserve">, at para. 44; </w:t>
      </w:r>
      <w:r w:rsidRPr="00F3290F">
        <w:rPr>
          <w:rFonts w:cs="Times New Roman"/>
          <w:i/>
        </w:rPr>
        <w:t>Le</w:t>
      </w:r>
      <w:r w:rsidRPr="00F3290F">
        <w:rPr>
          <w:rFonts w:cs="Times New Roman"/>
        </w:rPr>
        <w:t>,</w:t>
      </w:r>
      <w:r w:rsidRPr="00F3290F">
        <w:rPr>
          <w:rFonts w:cs="Times New Roman"/>
          <w:i/>
        </w:rPr>
        <w:t xml:space="preserve"> </w:t>
      </w:r>
      <w:r w:rsidRPr="00F3290F">
        <w:rPr>
          <w:rFonts w:cs="Times New Roman"/>
        </w:rPr>
        <w:t>at para. 31).</w:t>
      </w:r>
    </w:p>
    <w:p w14:paraId="65BDC9D1" w14:textId="77777777" w:rsidR="000975C6" w:rsidRPr="00F3290F" w:rsidRDefault="000975C6" w:rsidP="000975C6">
      <w:pPr>
        <w:pStyle w:val="ParaNoNdepar-AltN"/>
        <w:rPr>
          <w:rFonts w:cs="Times New Roman"/>
        </w:rPr>
      </w:pPr>
      <w:r w:rsidRPr="00F3290F">
        <w:rPr>
          <w:rFonts w:cs="Times New Roman"/>
        </w:rPr>
        <w:t>The applicable standard of review here is that of correctness; the existence of a detention is a question of law (</w:t>
      </w:r>
      <w:r w:rsidRPr="00F3290F">
        <w:rPr>
          <w:rFonts w:cs="Times New Roman"/>
          <w:i/>
        </w:rPr>
        <w:t>R. v. Shepherd</w:t>
      </w:r>
      <w:r w:rsidRPr="00F3290F">
        <w:rPr>
          <w:rFonts w:cs="Times New Roman"/>
        </w:rPr>
        <w:t>,</w:t>
      </w:r>
      <w:r w:rsidRPr="00F3290F">
        <w:rPr>
          <w:rFonts w:cs="Times New Roman"/>
          <w:i/>
        </w:rPr>
        <w:t xml:space="preserve"> </w:t>
      </w:r>
      <w:r w:rsidRPr="00F3290F">
        <w:rPr>
          <w:rFonts w:cs="Times New Roman"/>
        </w:rPr>
        <w:t xml:space="preserve">2009 SCC 35, [2009] 2 S.C.R. 527, at paras. 18 and 20; </w:t>
      </w:r>
      <w:r w:rsidRPr="00F3290F">
        <w:rPr>
          <w:rFonts w:cs="Times New Roman"/>
          <w:i/>
        </w:rPr>
        <w:t>Grant</w:t>
      </w:r>
      <w:r w:rsidRPr="00F3290F">
        <w:rPr>
          <w:rFonts w:cs="Times New Roman"/>
        </w:rPr>
        <w:t>,</w:t>
      </w:r>
      <w:r w:rsidRPr="00F3290F">
        <w:rPr>
          <w:rFonts w:cs="Times New Roman"/>
          <w:i/>
        </w:rPr>
        <w:t xml:space="preserve"> </w:t>
      </w:r>
      <w:r w:rsidRPr="00F3290F">
        <w:rPr>
          <w:rFonts w:cs="Times New Roman"/>
        </w:rPr>
        <w:t xml:space="preserve">at para. 43; </w:t>
      </w:r>
      <w:r w:rsidRPr="00F3290F">
        <w:rPr>
          <w:rFonts w:cs="Times New Roman"/>
          <w:i/>
        </w:rPr>
        <w:t>Le</w:t>
      </w:r>
      <w:r w:rsidRPr="00F3290F">
        <w:rPr>
          <w:rFonts w:cs="Times New Roman"/>
        </w:rPr>
        <w:t>,</w:t>
      </w:r>
      <w:r w:rsidRPr="00F3290F">
        <w:rPr>
          <w:rFonts w:cs="Times New Roman"/>
          <w:i/>
        </w:rPr>
        <w:t xml:space="preserve"> </w:t>
      </w:r>
      <w:r w:rsidRPr="00F3290F">
        <w:rPr>
          <w:rFonts w:cs="Times New Roman"/>
        </w:rPr>
        <w:t xml:space="preserve">at para. 23). No deference is owed to the trial judge’s analysis and conclusion thereon. This is not to say that the </w:t>
      </w:r>
      <w:r w:rsidRPr="00F3290F">
        <w:rPr>
          <w:rFonts w:cs="Times New Roman"/>
          <w:i/>
        </w:rPr>
        <w:t>voir dire</w:t>
      </w:r>
      <w:r w:rsidRPr="00F3290F">
        <w:rPr>
          <w:rFonts w:cs="Times New Roman"/>
        </w:rPr>
        <w:t xml:space="preserve"> is irrelevant, since the trial judge’s findings of facts receive deference, absent a palpable and overriding error (</w:t>
      </w:r>
      <w:r w:rsidRPr="00F3290F">
        <w:rPr>
          <w:rFonts w:cs="Times New Roman"/>
          <w:i/>
        </w:rPr>
        <w:t>Grant</w:t>
      </w:r>
      <w:r w:rsidRPr="00F3290F">
        <w:rPr>
          <w:rFonts w:cs="Times New Roman"/>
        </w:rPr>
        <w:t>,</w:t>
      </w:r>
      <w:r w:rsidRPr="00F3290F">
        <w:rPr>
          <w:rFonts w:cs="Times New Roman"/>
          <w:i/>
        </w:rPr>
        <w:t xml:space="preserve"> </w:t>
      </w:r>
      <w:r w:rsidRPr="00F3290F">
        <w:rPr>
          <w:rFonts w:cs="Times New Roman"/>
        </w:rPr>
        <w:t xml:space="preserve">at paras. 43 and 45). </w:t>
      </w:r>
    </w:p>
    <w:p w14:paraId="3CF44D17" w14:textId="77777777" w:rsidR="000975C6" w:rsidRPr="00F3290F" w:rsidRDefault="000975C6" w:rsidP="000975C6">
      <w:pPr>
        <w:pStyle w:val="Title3LevelTitre3Niveau"/>
        <w:numPr>
          <w:ilvl w:val="2"/>
          <w:numId w:val="8"/>
        </w:numPr>
        <w:rPr>
          <w:rFonts w:cs="Times New Roman"/>
        </w:rPr>
      </w:pPr>
      <w:bookmarkStart w:id="24" w:name="_Toc97643546"/>
      <w:bookmarkStart w:id="25" w:name="_Toc103352567"/>
      <w:bookmarkStart w:id="26" w:name="_Toc103687575"/>
      <w:r w:rsidRPr="00F3290F">
        <w:rPr>
          <w:rFonts w:cs="Times New Roman"/>
          <w:i/>
        </w:rPr>
        <w:t>R. v. Moran</w:t>
      </w:r>
      <w:bookmarkEnd w:id="24"/>
      <w:bookmarkEnd w:id="25"/>
      <w:bookmarkEnd w:id="26"/>
    </w:p>
    <w:p w14:paraId="033E2FFE" w14:textId="77777777" w:rsidR="000975C6" w:rsidRPr="00F3290F" w:rsidRDefault="000975C6" w:rsidP="000975C6">
      <w:pPr>
        <w:pStyle w:val="ParaNoNdepar-AltN"/>
        <w:rPr>
          <w:rFonts w:cs="Times New Roman"/>
        </w:rPr>
      </w:pPr>
      <w:r w:rsidRPr="00F3290F">
        <w:rPr>
          <w:rFonts w:cs="Times New Roman"/>
        </w:rPr>
        <w:t xml:space="preserve">A jurisprudential point should be addressed before proceeding further. The Court of Appeal criticized the trial judge for not considering the factors pertinent to identifying a detention in </w:t>
      </w:r>
      <w:r w:rsidRPr="00F3290F">
        <w:rPr>
          <w:rFonts w:cs="Times New Roman"/>
          <w:i/>
        </w:rPr>
        <w:t xml:space="preserve">R. v. Moran </w:t>
      </w:r>
      <w:r w:rsidRPr="00F3290F">
        <w:rPr>
          <w:rFonts w:cs="Times New Roman"/>
        </w:rPr>
        <w:t xml:space="preserve">(1987), 36 C.C.C. (3d) 225 (Ont. C.A.). In my view, however, the trial judge did not err in this respect, since </w:t>
      </w:r>
      <w:r w:rsidRPr="00F3290F">
        <w:rPr>
          <w:rFonts w:cs="Times New Roman"/>
          <w:i/>
        </w:rPr>
        <w:t>Grant</w:t>
      </w:r>
      <w:r w:rsidRPr="00F3290F">
        <w:rPr>
          <w:rFonts w:cs="Times New Roman"/>
        </w:rPr>
        <w:t xml:space="preserve"> has displaced the authority of </w:t>
      </w:r>
      <w:r w:rsidRPr="00F3290F">
        <w:rPr>
          <w:rFonts w:cs="Times New Roman"/>
          <w:i/>
        </w:rPr>
        <w:t>Moran</w:t>
      </w:r>
      <w:r w:rsidRPr="00F3290F">
        <w:rPr>
          <w:rFonts w:cs="Times New Roman"/>
        </w:rPr>
        <w:t xml:space="preserve"> as stating the test for detention. </w:t>
      </w:r>
    </w:p>
    <w:p w14:paraId="03C3E570" w14:textId="77777777" w:rsidR="000975C6" w:rsidRPr="00F3290F" w:rsidRDefault="000975C6" w:rsidP="000975C6">
      <w:pPr>
        <w:pStyle w:val="ParaNoNdepar-AltN"/>
        <w:rPr>
          <w:rFonts w:cs="Times New Roman"/>
        </w:rPr>
      </w:pPr>
      <w:r w:rsidRPr="00F3290F">
        <w:rPr>
          <w:rFonts w:cs="Times New Roman"/>
        </w:rPr>
        <w:t xml:space="preserve">In </w:t>
      </w:r>
      <w:r w:rsidRPr="00F3290F">
        <w:rPr>
          <w:rFonts w:cs="Times New Roman"/>
          <w:i/>
        </w:rPr>
        <w:t>Moran</w:t>
      </w:r>
      <w:r w:rsidRPr="00F3290F">
        <w:rPr>
          <w:rFonts w:cs="Times New Roman"/>
        </w:rPr>
        <w:t>, an issue before the Court of Appeal for Ontario</w:t>
      </w:r>
      <w:r w:rsidRPr="00F3290F">
        <w:rPr>
          <w:rFonts w:cs="Times New Roman"/>
          <w:i/>
        </w:rPr>
        <w:t xml:space="preserve"> </w:t>
      </w:r>
      <w:r w:rsidRPr="00F3290F">
        <w:rPr>
          <w:rFonts w:cs="Times New Roman"/>
        </w:rPr>
        <w:t>was whether the trial judge had erred in concluding that Mr. Moran, who had been interviewed twice by police in connection with the murder of which he was eventually convicted, had not been detained during those interviews. In dismissing this ground of appeal, Martin J.A. identified a series of non</w:t>
      </w:r>
      <w:r w:rsidRPr="00F3290F">
        <w:rPr>
          <w:rFonts w:cs="Times New Roman"/>
        </w:rPr>
        <w:noBreakHyphen/>
        <w:t xml:space="preserve">exhaustive factors to assist in determining whether a person is detained at the time of questioning at a police station. </w:t>
      </w:r>
    </w:p>
    <w:p w14:paraId="0D45BC14" w14:textId="77777777" w:rsidR="000975C6" w:rsidRPr="00F3290F" w:rsidRDefault="000975C6" w:rsidP="000975C6">
      <w:pPr>
        <w:pStyle w:val="ParaNoNdepar-AltN"/>
        <w:rPr>
          <w:rFonts w:cs="Times New Roman"/>
        </w:rPr>
      </w:pPr>
      <w:r w:rsidRPr="00F3290F">
        <w:rPr>
          <w:rFonts w:cs="Times New Roman"/>
        </w:rPr>
        <w:lastRenderedPageBreak/>
        <w:t xml:space="preserve">I recognize that lower courts continue to refer to these factors when assessing detention under </w:t>
      </w:r>
      <w:r w:rsidRPr="00F3290F">
        <w:rPr>
          <w:rFonts w:cs="Times New Roman"/>
          <w:i/>
        </w:rPr>
        <w:t>Grant</w:t>
      </w:r>
      <w:r w:rsidRPr="00F3290F">
        <w:rPr>
          <w:rFonts w:cs="Times New Roman"/>
        </w:rPr>
        <w:t xml:space="preserve"> (see, e.g., </w:t>
      </w:r>
      <w:r w:rsidRPr="00F3290F">
        <w:rPr>
          <w:rFonts w:cs="Times New Roman"/>
          <w:i/>
        </w:rPr>
        <w:t>R. v. Seagull</w:t>
      </w:r>
      <w:r w:rsidRPr="00F3290F">
        <w:rPr>
          <w:rFonts w:cs="Times New Roman"/>
        </w:rPr>
        <w:t>, 2015 BCCA 164, 323 C.C.C. (3d) 361, at para. </w:t>
      </w:r>
      <w:r w:rsidRPr="005C3CC5">
        <w:rPr>
          <w:rFonts w:cs="Times New Roman"/>
          <w:lang w:val="en-US"/>
        </w:rPr>
        <w:t xml:space="preserve">38; </w:t>
      </w:r>
      <w:r w:rsidRPr="005C3CC5">
        <w:rPr>
          <w:rFonts w:cs="Times New Roman"/>
          <w:i/>
          <w:lang w:val="en-US"/>
        </w:rPr>
        <w:t>R. v. Tessier</w:t>
      </w:r>
      <w:r w:rsidRPr="005C3CC5">
        <w:rPr>
          <w:rFonts w:cs="Times New Roman"/>
          <w:lang w:val="en-US"/>
        </w:rPr>
        <w:t xml:space="preserve">, 2020 ABCA 289, </w:t>
      </w:r>
      <w:r>
        <w:rPr>
          <w:rFonts w:cs="Times New Roman"/>
          <w:lang w:val="en-US"/>
        </w:rPr>
        <w:t>12 Alta. L.R. (7th) 55</w:t>
      </w:r>
      <w:r w:rsidRPr="005C3CC5">
        <w:rPr>
          <w:rFonts w:cs="Times New Roman"/>
          <w:lang w:val="en-US"/>
        </w:rPr>
        <w:t>, at paras. </w:t>
      </w:r>
      <w:r w:rsidRPr="00F3290F">
        <w:rPr>
          <w:rFonts w:cs="Times New Roman"/>
        </w:rPr>
        <w:t>66</w:t>
      </w:r>
      <w:r w:rsidRPr="00F3290F">
        <w:rPr>
          <w:rFonts w:cs="Times New Roman"/>
        </w:rPr>
        <w:noBreakHyphen/>
        <w:t>69, leave to appeal granted</w:t>
      </w:r>
      <w:r>
        <w:rPr>
          <w:rFonts w:cs="Times New Roman"/>
        </w:rPr>
        <w:t xml:space="preserve">, </w:t>
      </w:r>
      <w:r w:rsidRPr="00EA3AF2">
        <w:rPr>
          <w:rFonts w:cs="Times New Roman"/>
          <w:i/>
        </w:rPr>
        <w:t>Bulletin of Proceedings</w:t>
      </w:r>
      <w:r>
        <w:rPr>
          <w:rFonts w:cs="Times New Roman"/>
        </w:rPr>
        <w:t>, March 4, 2021, at p. 2;</w:t>
      </w:r>
      <w:r w:rsidRPr="00F3290F">
        <w:rPr>
          <w:rFonts w:cs="Times New Roman"/>
        </w:rPr>
        <w:t xml:space="preserve"> </w:t>
      </w:r>
      <w:r w:rsidRPr="00F3290F">
        <w:rPr>
          <w:rFonts w:cs="Times New Roman"/>
          <w:i/>
        </w:rPr>
        <w:t>R. v. Eaton</w:t>
      </w:r>
      <w:r w:rsidRPr="00F3290F">
        <w:rPr>
          <w:rFonts w:cs="Times New Roman"/>
        </w:rPr>
        <w:t>,</w:t>
      </w:r>
      <w:r w:rsidRPr="00F3290F">
        <w:rPr>
          <w:rFonts w:cs="Times New Roman"/>
          <w:i/>
        </w:rPr>
        <w:t xml:space="preserve"> </w:t>
      </w:r>
      <w:r w:rsidRPr="00F3290F">
        <w:rPr>
          <w:rFonts w:cs="Times New Roman"/>
        </w:rPr>
        <w:t xml:space="preserve">2019 ONCA 891, at para. 12 (CanLII); </w:t>
      </w:r>
      <w:r w:rsidRPr="00F3290F">
        <w:rPr>
          <w:rFonts w:cs="Times New Roman"/>
          <w:i/>
        </w:rPr>
        <w:t>R. v. N.B</w:t>
      </w:r>
      <w:r w:rsidRPr="00F3290F">
        <w:rPr>
          <w:rFonts w:cs="Times New Roman"/>
        </w:rPr>
        <w:t xml:space="preserve">., 2018 ONCA 556, 362 C.C.C. (3d) 302, at para. 121). The view, whether stated explicitly or necessarily implicit in these judgments, is that the </w:t>
      </w:r>
      <w:r w:rsidRPr="00F3290F">
        <w:rPr>
          <w:rFonts w:cs="Times New Roman"/>
          <w:i/>
        </w:rPr>
        <w:t xml:space="preserve">Moran </w:t>
      </w:r>
      <w:r w:rsidRPr="00F3290F">
        <w:rPr>
          <w:rFonts w:cs="Times New Roman"/>
        </w:rPr>
        <w:t xml:space="preserve">factors are “useful” benchmarks when assessing detention per </w:t>
      </w:r>
      <w:r w:rsidRPr="00F3290F">
        <w:rPr>
          <w:rFonts w:cs="Times New Roman"/>
          <w:i/>
        </w:rPr>
        <w:t xml:space="preserve">Grant </w:t>
      </w:r>
      <w:r w:rsidRPr="00F3290F">
        <w:rPr>
          <w:rFonts w:cs="Times New Roman"/>
        </w:rPr>
        <w:t>(</w:t>
      </w:r>
      <w:r w:rsidRPr="00F3290F">
        <w:rPr>
          <w:rFonts w:cs="Times New Roman"/>
          <w:i/>
        </w:rPr>
        <w:t>Seagull</w:t>
      </w:r>
      <w:r w:rsidRPr="00F3290F">
        <w:rPr>
          <w:rFonts w:cs="Times New Roman"/>
        </w:rPr>
        <w:t xml:space="preserve">, at para. 38; </w:t>
      </w:r>
      <w:r w:rsidRPr="00F3290F">
        <w:rPr>
          <w:rFonts w:cs="Times New Roman"/>
          <w:i/>
        </w:rPr>
        <w:t>N.B.</w:t>
      </w:r>
      <w:r w:rsidRPr="00F3290F">
        <w:rPr>
          <w:rFonts w:cs="Times New Roman"/>
        </w:rPr>
        <w:t xml:space="preserve">, at para. 121). </w:t>
      </w:r>
    </w:p>
    <w:p w14:paraId="474D1330" w14:textId="77777777" w:rsidR="000975C6" w:rsidRPr="00F3290F" w:rsidRDefault="000975C6" w:rsidP="000975C6">
      <w:pPr>
        <w:pStyle w:val="ParaNoNdepar-AltN"/>
        <w:rPr>
          <w:rFonts w:cs="Times New Roman"/>
        </w:rPr>
      </w:pPr>
      <w:r w:rsidRPr="00F3290F">
        <w:rPr>
          <w:rFonts w:cs="Times New Roman"/>
        </w:rPr>
        <w:t xml:space="preserve">Respectfully, the better view is that, as a result of </w:t>
      </w:r>
      <w:r w:rsidRPr="00F3290F">
        <w:rPr>
          <w:rFonts w:cs="Times New Roman"/>
          <w:i/>
        </w:rPr>
        <w:t>Grant</w:t>
      </w:r>
      <w:r w:rsidRPr="00F3290F">
        <w:rPr>
          <w:rFonts w:cs="Times New Roman"/>
        </w:rPr>
        <w:t xml:space="preserve">, </w:t>
      </w:r>
      <w:r w:rsidRPr="00F3290F">
        <w:rPr>
          <w:rFonts w:cs="Times New Roman"/>
          <w:i/>
        </w:rPr>
        <w:t xml:space="preserve">Moran </w:t>
      </w:r>
      <w:r w:rsidRPr="00F3290F">
        <w:rPr>
          <w:rFonts w:cs="Times New Roman"/>
        </w:rPr>
        <w:t xml:space="preserve">is no longer good law (S. Coughlan and G. Luther, </w:t>
      </w:r>
      <w:r w:rsidRPr="00F3290F">
        <w:rPr>
          <w:rFonts w:cs="Times New Roman"/>
          <w:i/>
        </w:rPr>
        <w:t>Detention and Arrest</w:t>
      </w:r>
      <w:r w:rsidRPr="00F3290F">
        <w:rPr>
          <w:rFonts w:cs="Times New Roman"/>
        </w:rPr>
        <w:t xml:space="preserve"> (2nd ed. 2017), at p. 287), and it should no longer be applied or relied upon. In </w:t>
      </w:r>
      <w:r w:rsidRPr="00F3290F">
        <w:rPr>
          <w:rFonts w:cs="Times New Roman"/>
          <w:i/>
        </w:rPr>
        <w:t>Grant</w:t>
      </w:r>
      <w:r w:rsidRPr="00F3290F">
        <w:rPr>
          <w:rFonts w:cs="Times New Roman"/>
        </w:rPr>
        <w:t xml:space="preserve">, the test for detention was restated to direct the inquiry to the perspective of the reasonable person in the accused’s shoes. In contrast, the </w:t>
      </w:r>
      <w:r w:rsidRPr="00F3290F">
        <w:rPr>
          <w:rFonts w:cs="Times New Roman"/>
          <w:i/>
        </w:rPr>
        <w:t xml:space="preserve">Moran </w:t>
      </w:r>
      <w:r w:rsidRPr="00F3290F">
        <w:rPr>
          <w:rFonts w:cs="Times New Roman"/>
        </w:rPr>
        <w:t xml:space="preserve">factors focus principally on police conduct and information that will not be readily available to the accused at the time of detention (such as the stage of the police investigation). And, while the test in </w:t>
      </w:r>
      <w:r w:rsidRPr="00F3290F">
        <w:rPr>
          <w:rFonts w:cs="Times New Roman"/>
          <w:i/>
        </w:rPr>
        <w:t xml:space="preserve">Grant </w:t>
      </w:r>
      <w:r w:rsidRPr="00F3290F">
        <w:rPr>
          <w:rFonts w:cs="Times New Roman"/>
        </w:rPr>
        <w:t xml:space="preserve">is objective, </w:t>
      </w:r>
      <w:r w:rsidRPr="00F3290F">
        <w:rPr>
          <w:rFonts w:cs="Times New Roman"/>
          <w:i/>
        </w:rPr>
        <w:t>Moran</w:t>
      </w:r>
      <w:r w:rsidRPr="00F3290F">
        <w:rPr>
          <w:rFonts w:cs="Times New Roman"/>
        </w:rPr>
        <w:t xml:space="preserve"> encourages courts to consider the subjective perceptions and beliefs of the accused, thereby emphasizing considerations that play a limited (if any) role in an objective assessment (</w:t>
      </w:r>
      <w:r w:rsidRPr="00F3290F">
        <w:rPr>
          <w:rFonts w:cs="Times New Roman"/>
          <w:i/>
        </w:rPr>
        <w:t>Le</w:t>
      </w:r>
      <w:r w:rsidRPr="00F3290F">
        <w:rPr>
          <w:rFonts w:cs="Times New Roman"/>
        </w:rPr>
        <w:t>,</w:t>
      </w:r>
      <w:r w:rsidRPr="00F3290F">
        <w:rPr>
          <w:rFonts w:cs="Times New Roman"/>
          <w:i/>
        </w:rPr>
        <w:t xml:space="preserve"> </w:t>
      </w:r>
      <w:r w:rsidRPr="00F3290F">
        <w:rPr>
          <w:rFonts w:cs="Times New Roman"/>
        </w:rPr>
        <w:t>at paras. 111-17).</w:t>
      </w:r>
    </w:p>
    <w:p w14:paraId="72E5F167" w14:textId="77777777" w:rsidR="000975C6" w:rsidRPr="00F3290F" w:rsidRDefault="000975C6" w:rsidP="000975C6">
      <w:pPr>
        <w:pStyle w:val="ParaNoNdepar-AltN"/>
        <w:rPr>
          <w:rFonts w:cs="Times New Roman"/>
        </w:rPr>
      </w:pPr>
      <w:r w:rsidRPr="00F3290F">
        <w:rPr>
          <w:rFonts w:cs="Times New Roman"/>
        </w:rPr>
        <w:t xml:space="preserve">Further, and as noted, the scope of </w:t>
      </w:r>
      <w:r w:rsidRPr="00F3290F">
        <w:rPr>
          <w:rFonts w:cs="Times New Roman"/>
          <w:i/>
        </w:rPr>
        <w:t xml:space="preserve">Moran </w:t>
      </w:r>
      <w:r w:rsidRPr="00F3290F">
        <w:rPr>
          <w:rFonts w:cs="Times New Roman"/>
        </w:rPr>
        <w:t xml:space="preserve">is, by its own terms, confined to deciding whether a person who is questioned at a police station is detained. By design, then, </w:t>
      </w:r>
      <w:r w:rsidRPr="00F3290F">
        <w:rPr>
          <w:rFonts w:cs="Times New Roman"/>
          <w:i/>
        </w:rPr>
        <w:t>Moran</w:t>
      </w:r>
      <w:r w:rsidRPr="00F3290F">
        <w:rPr>
          <w:rFonts w:cs="Times New Roman"/>
        </w:rPr>
        <w:t xml:space="preserve"> applied in limited circumstances. </w:t>
      </w:r>
      <w:r w:rsidRPr="00F3290F">
        <w:rPr>
          <w:rFonts w:cs="Times New Roman"/>
          <w:i/>
        </w:rPr>
        <w:t xml:space="preserve">Grant </w:t>
      </w:r>
      <w:r w:rsidRPr="00F3290F">
        <w:rPr>
          <w:rFonts w:cs="Times New Roman"/>
        </w:rPr>
        <w:t xml:space="preserve">is comprehensive in scope, applying to every instance of alleged detention by police by addressing the full breadth </w:t>
      </w:r>
      <w:r w:rsidRPr="00F3290F">
        <w:rPr>
          <w:rFonts w:cs="Times New Roman"/>
        </w:rPr>
        <w:lastRenderedPageBreak/>
        <w:t>of circumstances that engage the right against self</w:t>
      </w:r>
      <w:r w:rsidRPr="00F3290F">
        <w:rPr>
          <w:rFonts w:cs="Times New Roman"/>
        </w:rPr>
        <w:noBreakHyphen/>
        <w:t xml:space="preserve">incrimination protected by s. 10 of the </w:t>
      </w:r>
      <w:r w:rsidRPr="00F3290F">
        <w:rPr>
          <w:rFonts w:cs="Times New Roman"/>
          <w:i/>
        </w:rPr>
        <w:t>Charter</w:t>
      </w:r>
      <w:r w:rsidRPr="00F3290F">
        <w:rPr>
          <w:rFonts w:cs="Times New Roman"/>
        </w:rPr>
        <w:t>, including investigative detentions (</w:t>
      </w:r>
      <w:r w:rsidRPr="00F3290F">
        <w:rPr>
          <w:rFonts w:cs="Times New Roman"/>
          <w:i/>
        </w:rPr>
        <w:t>R. v. Folker</w:t>
      </w:r>
      <w:r w:rsidRPr="00F3290F">
        <w:rPr>
          <w:rFonts w:cs="Times New Roman"/>
        </w:rPr>
        <w:t>,</w:t>
      </w:r>
      <w:r w:rsidRPr="00F3290F">
        <w:rPr>
          <w:rFonts w:cs="Times New Roman"/>
          <w:i/>
        </w:rPr>
        <w:t xml:space="preserve"> </w:t>
      </w:r>
      <w:r w:rsidRPr="00F3290F">
        <w:rPr>
          <w:rFonts w:cs="Times New Roman"/>
        </w:rPr>
        <w:t xml:space="preserve">2016 NLCA 1, 373 Nfld. &amp; P.E.I.R. 49, at paras. 74-79, per White J.A. (dissenting in part)). </w:t>
      </w:r>
    </w:p>
    <w:p w14:paraId="7A6AF4F9" w14:textId="77777777" w:rsidR="000975C6" w:rsidRPr="00F3290F" w:rsidRDefault="000975C6" w:rsidP="000975C6">
      <w:pPr>
        <w:pStyle w:val="Title3LevelTitre3Niveau"/>
        <w:numPr>
          <w:ilvl w:val="2"/>
          <w:numId w:val="8"/>
        </w:numPr>
        <w:rPr>
          <w:rFonts w:cs="Times New Roman"/>
        </w:rPr>
      </w:pPr>
      <w:bookmarkStart w:id="27" w:name="_Toc97643547"/>
      <w:bookmarkStart w:id="28" w:name="_Toc103352568"/>
      <w:bookmarkStart w:id="29" w:name="_Toc103687576"/>
      <w:r w:rsidRPr="00F3290F">
        <w:rPr>
          <w:rFonts w:cs="Times New Roman"/>
        </w:rPr>
        <w:t xml:space="preserve">Applying </w:t>
      </w:r>
      <w:r w:rsidRPr="00F3290F">
        <w:rPr>
          <w:rFonts w:cs="Times New Roman"/>
          <w:i/>
        </w:rPr>
        <w:t>Grant</w:t>
      </w:r>
      <w:r w:rsidRPr="00F3290F">
        <w:rPr>
          <w:rFonts w:cs="Times New Roman"/>
        </w:rPr>
        <w:t xml:space="preserve"> to the Events of March 19, 2015</w:t>
      </w:r>
      <w:bookmarkEnd w:id="27"/>
      <w:bookmarkEnd w:id="28"/>
      <w:bookmarkEnd w:id="29"/>
    </w:p>
    <w:p w14:paraId="7444FEB2" w14:textId="77777777" w:rsidR="000975C6" w:rsidRPr="00F3290F" w:rsidRDefault="000975C6" w:rsidP="000975C6">
      <w:pPr>
        <w:pStyle w:val="Title4LevelTitre4Niveau"/>
        <w:numPr>
          <w:ilvl w:val="3"/>
          <w:numId w:val="8"/>
        </w:numPr>
        <w:rPr>
          <w:rFonts w:cs="Times New Roman"/>
        </w:rPr>
      </w:pPr>
      <w:r w:rsidRPr="00F3290F">
        <w:rPr>
          <w:rFonts w:cs="Times New Roman"/>
        </w:rPr>
        <w:t>The Circumstances Giving Rise to the Encounter</w:t>
      </w:r>
    </w:p>
    <w:p w14:paraId="15EBF7D1" w14:textId="77777777" w:rsidR="000975C6" w:rsidRPr="00F3290F" w:rsidRDefault="000975C6" w:rsidP="000975C6">
      <w:pPr>
        <w:pStyle w:val="ParaNoNdepar-AltN"/>
        <w:rPr>
          <w:rFonts w:cs="Times New Roman"/>
        </w:rPr>
      </w:pPr>
      <w:r w:rsidRPr="00F3290F">
        <w:rPr>
          <w:rFonts w:cs="Times New Roman"/>
          <w:lang w:bidi="en-US"/>
        </w:rPr>
        <w:t>At this stage, the Court must consider how the circumstances of the encounter would have been reasonably perceived by Mr. </w:t>
      </w:r>
      <w:r w:rsidRPr="00F3290F">
        <w:rPr>
          <w:rFonts w:cs="Times New Roman"/>
        </w:rPr>
        <w:t>Lafrance</w:t>
      </w:r>
      <w:r w:rsidRPr="00F3290F">
        <w:rPr>
          <w:rFonts w:cs="Times New Roman"/>
          <w:lang w:bidi="en-US"/>
        </w:rPr>
        <w:t xml:space="preserve"> ⸺ more specifically, “whether the police were providing general assistance; maintaining general order; making general inquiries regarding a particular occurrence; or, singling [him out] for focused investigation” (</w:t>
      </w:r>
      <w:r w:rsidRPr="00F3290F">
        <w:rPr>
          <w:rFonts w:cs="Times New Roman"/>
          <w:i/>
          <w:lang w:bidi="en-US"/>
        </w:rPr>
        <w:t>Le</w:t>
      </w:r>
      <w:r w:rsidRPr="00F3290F">
        <w:rPr>
          <w:rFonts w:cs="Times New Roman"/>
          <w:lang w:bidi="en-US"/>
        </w:rPr>
        <w:t>,</w:t>
      </w:r>
      <w:r w:rsidRPr="00F3290F">
        <w:rPr>
          <w:rFonts w:cs="Times New Roman"/>
          <w:i/>
          <w:lang w:bidi="en-US"/>
        </w:rPr>
        <w:t xml:space="preserve"> </w:t>
      </w:r>
      <w:r w:rsidRPr="00F3290F">
        <w:rPr>
          <w:rFonts w:cs="Times New Roman"/>
          <w:lang w:bidi="en-US"/>
        </w:rPr>
        <w:t xml:space="preserve">at para. 31(a); </w:t>
      </w:r>
      <w:r w:rsidRPr="00F3290F">
        <w:rPr>
          <w:rFonts w:cs="Times New Roman"/>
          <w:i/>
          <w:lang w:bidi="en-US"/>
        </w:rPr>
        <w:t>Grant</w:t>
      </w:r>
      <w:r w:rsidRPr="00F3290F">
        <w:rPr>
          <w:rFonts w:cs="Times New Roman"/>
          <w:lang w:bidi="en-US"/>
        </w:rPr>
        <w:t>,</w:t>
      </w:r>
      <w:r w:rsidRPr="00F3290F">
        <w:rPr>
          <w:rFonts w:cs="Times New Roman"/>
          <w:i/>
          <w:lang w:bidi="en-US"/>
        </w:rPr>
        <w:t xml:space="preserve"> </w:t>
      </w:r>
      <w:r w:rsidRPr="00F3290F">
        <w:rPr>
          <w:rFonts w:cs="Times New Roman"/>
          <w:lang w:bidi="en-US"/>
        </w:rPr>
        <w:t>at para. 44(2)(a))</w:t>
      </w:r>
      <w:r w:rsidRPr="00F3290F">
        <w:rPr>
          <w:rFonts w:cs="Times New Roman"/>
        </w:rPr>
        <w:t xml:space="preserve">. </w:t>
      </w:r>
    </w:p>
    <w:p w14:paraId="188EB7DD" w14:textId="77777777" w:rsidR="000975C6" w:rsidRPr="00F3290F" w:rsidRDefault="000975C6" w:rsidP="000975C6">
      <w:pPr>
        <w:pStyle w:val="ParaNoNdepar-AltN"/>
        <w:rPr>
          <w:rFonts w:cs="Times New Roman"/>
        </w:rPr>
      </w:pPr>
      <w:r w:rsidRPr="00F3290F">
        <w:rPr>
          <w:rFonts w:cs="Times New Roman"/>
        </w:rPr>
        <w:t xml:space="preserve">I observe that the trial judge began by looking to the background information available to Sgt. Eros and the police during the initial steps of their investigation, including his assignment to speak to Mr. Lafrance outside the home. In </w:t>
      </w:r>
      <w:r w:rsidRPr="00F3290F">
        <w:rPr>
          <w:rFonts w:cs="Times New Roman"/>
          <w:i/>
        </w:rPr>
        <w:t>Le</w:t>
      </w:r>
      <w:r w:rsidRPr="00F3290F">
        <w:rPr>
          <w:rFonts w:cs="Times New Roman"/>
        </w:rPr>
        <w:t>, however (which I note was unavailable to the trial judge at the time of decision), the Court explained</w:t>
      </w:r>
      <w:r w:rsidRPr="00F3290F">
        <w:rPr>
          <w:rFonts w:cs="Times New Roman"/>
          <w:i/>
        </w:rPr>
        <w:t xml:space="preserve"> </w:t>
      </w:r>
      <w:r w:rsidRPr="00F3290F">
        <w:rPr>
          <w:rFonts w:cs="Times New Roman"/>
        </w:rPr>
        <w:t xml:space="preserve">that “investigative purposes are important when assessing whether the detention was arbitrary and whether the police were acting in good faith”, but “are less relevant” when reviewing the first </w:t>
      </w:r>
      <w:r w:rsidRPr="00F3290F">
        <w:rPr>
          <w:rFonts w:cs="Times New Roman"/>
          <w:i/>
        </w:rPr>
        <w:t xml:space="preserve">Grant </w:t>
      </w:r>
      <w:r w:rsidRPr="00F3290F">
        <w:rPr>
          <w:rFonts w:cs="Times New Roman"/>
        </w:rPr>
        <w:t>factor (paras. 37-38). Behind</w:t>
      </w:r>
      <w:r w:rsidRPr="00F3290F">
        <w:rPr>
          <w:rFonts w:cs="Times New Roman"/>
        </w:rPr>
        <w:noBreakHyphen/>
        <w:t>the</w:t>
      </w:r>
      <w:r w:rsidRPr="00F3290F">
        <w:rPr>
          <w:rFonts w:cs="Times New Roman"/>
        </w:rPr>
        <w:noBreakHyphen/>
        <w:t>scenes knowledge of a police investigation would not be known by a reasonable person in the accused’s position.</w:t>
      </w:r>
    </w:p>
    <w:p w14:paraId="36304FD5" w14:textId="77777777" w:rsidR="000975C6" w:rsidRPr="00F3290F" w:rsidRDefault="000975C6" w:rsidP="000975C6">
      <w:pPr>
        <w:pStyle w:val="ParaNoNdepar-AltN"/>
        <w:rPr>
          <w:rFonts w:cs="Times New Roman"/>
        </w:rPr>
      </w:pPr>
      <w:r w:rsidRPr="00F3290F">
        <w:rPr>
          <w:rFonts w:cs="Times New Roman"/>
        </w:rPr>
        <w:lastRenderedPageBreak/>
        <w:t xml:space="preserve">The analysis properly begins at the moment the encounter itself begins — in this case, when the police arrived at Mr. Lafrance’s home in marked and unmarked police vehicles, and at an early hour when Mr. Lafrance was asleep. Armed and wearing bulletproof vests, they entered the house, knocked on his bedroom door, and ordered him to dress and get out. They monitored him inside and outside the house. </w:t>
      </w:r>
    </w:p>
    <w:p w14:paraId="76738135" w14:textId="77777777" w:rsidR="000975C6" w:rsidRPr="00F3290F" w:rsidRDefault="000975C6" w:rsidP="000975C6">
      <w:pPr>
        <w:pStyle w:val="ParaNoNdepar-AltN"/>
        <w:rPr>
          <w:rFonts w:cs="Times New Roman"/>
        </w:rPr>
      </w:pPr>
      <w:r w:rsidRPr="00F3290F">
        <w:rPr>
          <w:rFonts w:cs="Times New Roman"/>
        </w:rPr>
        <w:t>In my view, it is inconceivable that a reasonable person in Mr. Lafrance’s shoes — woken and confronted by armed police officers in his home telling him to leave — would believe that they had arrived to “provid[e] general assistance”, “</w:t>
      </w:r>
      <w:r>
        <w:rPr>
          <w:rFonts w:cs="Times New Roman"/>
        </w:rPr>
        <w:t>maintai[</w:t>
      </w:r>
      <w:r w:rsidRPr="00F3290F">
        <w:rPr>
          <w:rFonts w:cs="Times New Roman"/>
        </w:rPr>
        <w:t>n</w:t>
      </w:r>
      <w:r>
        <w:rPr>
          <w:rFonts w:cs="Times New Roman"/>
        </w:rPr>
        <w:t>]</w:t>
      </w:r>
      <w:r w:rsidRPr="00F3290F">
        <w:rPr>
          <w:rFonts w:cs="Times New Roman"/>
        </w:rPr>
        <w:t xml:space="preserve"> general order” or make “general inquiries”. The reasonable person would immediately understand that he or she is being singled out for investigation. While, of course, the police were authorized by warrant and as such had “legitimate reasons” for the steps they took, this is not determinative of — and indeed is unlikely to affect — how a reasonable person perceives his or her interactions with the police (</w:t>
      </w:r>
      <w:r w:rsidRPr="00F3290F">
        <w:rPr>
          <w:rFonts w:cs="Times New Roman"/>
          <w:i/>
        </w:rPr>
        <w:t>Le</w:t>
      </w:r>
      <w:r w:rsidRPr="00F3290F">
        <w:rPr>
          <w:rFonts w:cs="Times New Roman"/>
        </w:rPr>
        <w:t>,</w:t>
      </w:r>
      <w:r w:rsidRPr="00F3290F">
        <w:rPr>
          <w:rFonts w:cs="Times New Roman"/>
          <w:i/>
        </w:rPr>
        <w:t xml:space="preserve"> </w:t>
      </w:r>
      <w:r w:rsidRPr="00F3290F">
        <w:rPr>
          <w:rFonts w:cs="Times New Roman"/>
        </w:rPr>
        <w:t>at paras. 37</w:t>
      </w:r>
      <w:r w:rsidRPr="00F3290F">
        <w:rPr>
          <w:rFonts w:cs="Times New Roman"/>
        </w:rPr>
        <w:noBreakHyphen/>
        <w:t xml:space="preserve">38). Indeed, the warrant itself, by authorizing the police to </w:t>
      </w:r>
      <w:r>
        <w:rPr>
          <w:rFonts w:cs="Times New Roman"/>
        </w:rPr>
        <w:t>search</w:t>
      </w:r>
      <w:r w:rsidRPr="00F3290F">
        <w:rPr>
          <w:rFonts w:cs="Times New Roman"/>
        </w:rPr>
        <w:t xml:space="preserve"> Mr. Lafrance’s home, reveals a targeted investigation.</w:t>
      </w:r>
    </w:p>
    <w:p w14:paraId="4830BE7F" w14:textId="77777777" w:rsidR="000975C6" w:rsidRPr="00F3290F" w:rsidRDefault="000975C6" w:rsidP="000975C6">
      <w:pPr>
        <w:pStyle w:val="ParaNoNdepar-AltN"/>
        <w:rPr>
          <w:rFonts w:cs="Times New Roman"/>
        </w:rPr>
      </w:pPr>
      <w:r w:rsidRPr="00F3290F">
        <w:rPr>
          <w:rFonts w:cs="Times New Roman"/>
        </w:rPr>
        <w:t xml:space="preserve">While the trial judgment recounts the facts of this initial police encounter (at para. 37), little consideration is given to the possibility that they gave rise to a detention. The trial judge’s focus, rather, was on the initial interaction between Mr. Lafrance and Sgt. Eros. But again, it is the moment that the interaction with police begins that must be considered. Mr. Lafrance’s interaction with Sgt. Eros was an extension of a series of events that began when the police entered Mr. Lafrance’s home, woke him up and ordered him to dress and leave. In any event, even had the </w:t>
      </w:r>
      <w:r w:rsidRPr="00F3290F">
        <w:rPr>
          <w:rFonts w:cs="Times New Roman"/>
        </w:rPr>
        <w:lastRenderedPageBreak/>
        <w:t>conversation between Sgt. Eros and Mr. Lafrance corresponded to the moment that detention arose, my conclusion would be the same: a reasonable person in Mr. Lafrance’s position would have felt singled out for investigation purposes when Sgt. Eros approached him, asked him to confirm his identity, and informed him that the police wanted to speak with him about a murder. This weighs in favo</w:t>
      </w:r>
      <w:r>
        <w:rPr>
          <w:rFonts w:cs="Times New Roman"/>
        </w:rPr>
        <w:t>u</w:t>
      </w:r>
      <w:r w:rsidRPr="00F3290F">
        <w:rPr>
          <w:rFonts w:cs="Times New Roman"/>
        </w:rPr>
        <w:t>r of a finding of detention.</w:t>
      </w:r>
    </w:p>
    <w:p w14:paraId="1108EBE0" w14:textId="77777777" w:rsidR="000975C6" w:rsidRPr="00F3290F" w:rsidRDefault="000975C6" w:rsidP="000975C6">
      <w:pPr>
        <w:pStyle w:val="Title4LevelTitre4Niveau"/>
        <w:numPr>
          <w:ilvl w:val="3"/>
          <w:numId w:val="8"/>
        </w:numPr>
        <w:tabs>
          <w:tab w:val="clear" w:pos="1152"/>
        </w:tabs>
        <w:rPr>
          <w:rFonts w:cs="Times New Roman"/>
        </w:rPr>
      </w:pPr>
      <w:r w:rsidRPr="00F3290F">
        <w:rPr>
          <w:rFonts w:cs="Times New Roman"/>
        </w:rPr>
        <w:t>The Nature of the Police Conduct</w:t>
      </w:r>
    </w:p>
    <w:p w14:paraId="1E4DACC5" w14:textId="77777777" w:rsidR="000975C6" w:rsidRPr="00F3290F" w:rsidRDefault="000975C6" w:rsidP="000975C6">
      <w:pPr>
        <w:pStyle w:val="ParaNoNdepar-AltN"/>
        <w:rPr>
          <w:rFonts w:cs="Times New Roman"/>
          <w:b/>
          <w:u w:val="single"/>
          <w:lang w:bidi="en-US"/>
        </w:rPr>
      </w:pPr>
      <w:r w:rsidRPr="00F3290F">
        <w:rPr>
          <w:rFonts w:cs="Times New Roman"/>
        </w:rPr>
        <w:t xml:space="preserve">The </w:t>
      </w:r>
      <w:r w:rsidRPr="00F3290F">
        <w:rPr>
          <w:rFonts w:cs="Times New Roman"/>
          <w:lang w:bidi="en-US"/>
        </w:rPr>
        <w:t xml:space="preserve">second </w:t>
      </w:r>
      <w:r w:rsidRPr="00F3290F">
        <w:rPr>
          <w:rFonts w:cs="Times New Roman"/>
          <w:i/>
          <w:lang w:bidi="en-US"/>
        </w:rPr>
        <w:t xml:space="preserve">Grant </w:t>
      </w:r>
      <w:r w:rsidRPr="00F3290F">
        <w:rPr>
          <w:rFonts w:cs="Times New Roman"/>
          <w:lang w:bidi="en-US"/>
        </w:rPr>
        <w:t>factor directs a court’s attention to the nature of the police conduct throughout the encounter. Specifically, their actions and language used, their use of physical contact, the place where the encounter occurred, the presence of others, and the duration of the encounter, may all play a role in shaping the perceptions of the reasonable person in the accused’s shoes (</w:t>
      </w:r>
      <w:r w:rsidRPr="00F3290F">
        <w:rPr>
          <w:rFonts w:cs="Times New Roman"/>
          <w:i/>
          <w:lang w:bidi="en-US"/>
        </w:rPr>
        <w:t>Grant</w:t>
      </w:r>
      <w:r w:rsidRPr="00F3290F">
        <w:rPr>
          <w:rFonts w:cs="Times New Roman"/>
          <w:lang w:bidi="en-US"/>
        </w:rPr>
        <w:t>,</w:t>
      </w:r>
      <w:r w:rsidRPr="00F3290F">
        <w:rPr>
          <w:rFonts w:cs="Times New Roman"/>
          <w:i/>
          <w:lang w:bidi="en-US"/>
        </w:rPr>
        <w:t xml:space="preserve"> </w:t>
      </w:r>
      <w:r w:rsidRPr="00F3290F">
        <w:rPr>
          <w:rFonts w:cs="Times New Roman"/>
          <w:lang w:bidi="en-US"/>
        </w:rPr>
        <w:t xml:space="preserve">at para. 44(2)(b); </w:t>
      </w:r>
      <w:r w:rsidRPr="00F3290F">
        <w:rPr>
          <w:rFonts w:cs="Times New Roman"/>
          <w:i/>
          <w:lang w:bidi="en-US"/>
        </w:rPr>
        <w:t>Le</w:t>
      </w:r>
      <w:r w:rsidRPr="00F3290F">
        <w:rPr>
          <w:rFonts w:cs="Times New Roman"/>
          <w:lang w:bidi="en-US"/>
        </w:rPr>
        <w:t>,</w:t>
      </w:r>
      <w:r w:rsidRPr="00F3290F">
        <w:rPr>
          <w:rFonts w:cs="Times New Roman"/>
          <w:i/>
          <w:lang w:bidi="en-US"/>
        </w:rPr>
        <w:t xml:space="preserve"> </w:t>
      </w:r>
      <w:r w:rsidRPr="00F3290F">
        <w:rPr>
          <w:rFonts w:cs="Times New Roman"/>
          <w:lang w:bidi="en-US"/>
        </w:rPr>
        <w:t>at para</w:t>
      </w:r>
      <w:r>
        <w:rPr>
          <w:rFonts w:cs="Times New Roman"/>
          <w:lang w:bidi="en-US"/>
        </w:rPr>
        <w:t>s</w:t>
      </w:r>
      <w:r w:rsidRPr="00F3290F">
        <w:rPr>
          <w:rFonts w:cs="Times New Roman"/>
          <w:lang w:bidi="en-US"/>
        </w:rPr>
        <w:t>. 31(b) and 43).</w:t>
      </w:r>
    </w:p>
    <w:p w14:paraId="24E9C47B" w14:textId="77777777" w:rsidR="000975C6" w:rsidRPr="00F3290F" w:rsidRDefault="000975C6" w:rsidP="000975C6">
      <w:pPr>
        <w:pStyle w:val="Title5LevelTitre5Niveau"/>
        <w:numPr>
          <w:ilvl w:val="4"/>
          <w:numId w:val="8"/>
        </w:numPr>
        <w:tabs>
          <w:tab w:val="clear" w:pos="1728"/>
        </w:tabs>
        <w:ind w:left="1170"/>
        <w:rPr>
          <w:rFonts w:cs="Times New Roman"/>
          <w:lang w:bidi="en-US"/>
        </w:rPr>
      </w:pPr>
      <w:r w:rsidRPr="00F3290F">
        <w:rPr>
          <w:rFonts w:cs="Times New Roman"/>
          <w:lang w:bidi="en-US"/>
        </w:rPr>
        <w:t>Actions and Language of the Police</w:t>
      </w:r>
    </w:p>
    <w:p w14:paraId="37235E07" w14:textId="77777777" w:rsidR="000975C6" w:rsidRPr="00F3290F" w:rsidRDefault="000975C6" w:rsidP="000975C6">
      <w:pPr>
        <w:pStyle w:val="ParaNoNdepar-AltN"/>
        <w:rPr>
          <w:rFonts w:cs="Times New Roman"/>
        </w:rPr>
      </w:pPr>
      <w:r w:rsidRPr="00F3290F">
        <w:rPr>
          <w:rFonts w:cs="Times New Roman"/>
        </w:rPr>
        <w:t xml:space="preserve">A central feature of the Crown’s position is its argument that an encounter is </w:t>
      </w:r>
      <w:r w:rsidRPr="00F3290F">
        <w:rPr>
          <w:rFonts w:cs="Times New Roman"/>
          <w:i/>
        </w:rPr>
        <w:t xml:space="preserve">prima facie </w:t>
      </w:r>
      <w:r w:rsidRPr="00F3290F">
        <w:rPr>
          <w:rFonts w:cs="Times New Roman"/>
        </w:rPr>
        <w:t xml:space="preserve">voluntary where the police explicitly inform an individual that he or she need not cooperate. This, the Crown says, functions as an intervening event that informs the interpretation of preceding and subsequent events so as to eliminate any possibility of police detention. The Crown relies particularly on these passages from </w:t>
      </w:r>
      <w:r w:rsidRPr="00F3290F">
        <w:rPr>
          <w:rFonts w:cs="Times New Roman"/>
          <w:i/>
        </w:rPr>
        <w:t>Grant</w:t>
      </w:r>
      <w:r w:rsidRPr="00F3290F">
        <w:rPr>
          <w:rFonts w:cs="Times New Roman"/>
        </w:rPr>
        <w:t>:</w:t>
      </w:r>
    </w:p>
    <w:p w14:paraId="62DB06FC" w14:textId="77777777" w:rsidR="000975C6" w:rsidRPr="00F3290F" w:rsidRDefault="000975C6" w:rsidP="000975C6">
      <w:pPr>
        <w:pStyle w:val="Citation-AltC"/>
        <w:tabs>
          <w:tab w:val="left" w:pos="1440"/>
        </w:tabs>
      </w:pPr>
      <w:r w:rsidRPr="00F3290F">
        <w:lastRenderedPageBreak/>
        <w:tab/>
        <w:t xml:space="preserve">The objective nature of this inquiry recognizes that the police must be able to know when a detention occurs, in order to allow them to fulfill their attendant obligations under the </w:t>
      </w:r>
      <w:r w:rsidRPr="00F3290F">
        <w:rPr>
          <w:i/>
        </w:rPr>
        <w:t>Charter</w:t>
      </w:r>
      <w:r w:rsidRPr="00F3290F">
        <w:t xml:space="preserve"> and afford the individual its added protections. However, the subjective intentions of the police are not determinative. (Questions such as police “good faith” may become relevant when the test for exclusion of evidence under s. 24(2) is applied, in cases where a </w:t>
      </w:r>
      <w:r w:rsidRPr="00F3290F">
        <w:rPr>
          <w:i/>
        </w:rPr>
        <w:t>Charter</w:t>
      </w:r>
      <w:r w:rsidRPr="00F3290F">
        <w:t xml:space="preserve"> breach is found.) While the test is objective, the individual’s particular circumstances and perceptions at the time may be relevant in assessing the reasonableness of any perceived power imbalance between the individual and the police, and thus the reasonableness of any perception that he or she had no choice but to comply with the police directive. To answer the question whether there is a detention involves a realistic appraisal of the entire interaction as it developed, not a minute parsing of words and movements. </w:t>
      </w:r>
      <w:r w:rsidRPr="00F3290F">
        <w:rPr>
          <w:u w:val="single"/>
        </w:rPr>
        <w:t>In those situations where the police may be uncertain whether their conduct is having a coercive effect on the individual, it is open to them to inform the subject in unambiguous terms that he or she is under no obligation to answer questions and is free to go.</w:t>
      </w:r>
      <w:r w:rsidRPr="00F3290F">
        <w:t xml:space="preserve"> It is for the trial judge, applying the proper legal principles to the particular facts of the case, to determine whether the line has been crossed between police conduct that respects liberty and the individual’s right to choose, and conduct that does not.</w:t>
      </w:r>
    </w:p>
    <w:p w14:paraId="07A7E697" w14:textId="77777777" w:rsidR="000975C6" w:rsidRPr="00F3290F" w:rsidRDefault="000975C6" w:rsidP="000975C6">
      <w:pPr>
        <w:pStyle w:val="Citation-AltC"/>
      </w:pPr>
    </w:p>
    <w:p w14:paraId="4F45D7B1" w14:textId="77777777" w:rsidR="000975C6" w:rsidRPr="00F3290F" w:rsidRDefault="000975C6" w:rsidP="000975C6">
      <w:pPr>
        <w:pStyle w:val="Citation-AltC"/>
        <w:jc w:val="center"/>
      </w:pPr>
      <w:r w:rsidRPr="00F3290F">
        <w:t>. . .</w:t>
      </w:r>
    </w:p>
    <w:p w14:paraId="45707AEA" w14:textId="77777777" w:rsidR="000975C6" w:rsidRPr="00F3290F" w:rsidRDefault="000975C6" w:rsidP="000975C6">
      <w:pPr>
        <w:pStyle w:val="Citation-AltC"/>
      </w:pPr>
    </w:p>
    <w:p w14:paraId="07284624" w14:textId="77777777" w:rsidR="000975C6" w:rsidRPr="00F3290F" w:rsidRDefault="000975C6" w:rsidP="000975C6">
      <w:pPr>
        <w:pStyle w:val="Citation-AltC"/>
        <w:tabs>
          <w:tab w:val="left" w:pos="1440"/>
        </w:tabs>
      </w:pPr>
      <w:r w:rsidRPr="00F3290F">
        <w:tab/>
        <w:t>Effective law enforcement is highly dependent on the cooperation of members of the public. The police must be able to act in a manner that fosters this cooperation, not discourage it. However, police investigative powers are not without limits. The notion of psychological detention recognizes the reality that police tactics, even in the absence of exercising actual physical restraint, may be coercive enough to effectively remove the individual’s choice to walk away from the police. This creates the risk that the person may reasonably feel compelled to incriminate himself or herself. Where that is the case, the police are no longer entitled simply to expect cooperation from an individu</w:t>
      </w:r>
      <w:r>
        <w:t xml:space="preserve">al. </w:t>
      </w:r>
      <w:r w:rsidRPr="00F3290F">
        <w:rPr>
          <w:u w:val="single"/>
        </w:rPr>
        <w:t>Unless, as stated earlier, the police inform the person that he or she is under no obligation to answer questions and is free to go, a detention may well crystallize and, when it does, the police must provide the subject with his or her s. 10(</w:t>
      </w:r>
      <w:r w:rsidRPr="00F3290F">
        <w:rPr>
          <w:i/>
          <w:u w:val="single"/>
        </w:rPr>
        <w:t>b</w:t>
      </w:r>
      <w:r w:rsidRPr="00F3290F">
        <w:rPr>
          <w:u w:val="single"/>
        </w:rPr>
        <w:t>) rights.</w:t>
      </w:r>
      <w:r w:rsidRPr="00F3290F">
        <w:t xml:space="preserve"> That the obligation arises only on detention represents part of the balance between, on the one hand, the individual rights protected by ss. 9 and 10 and enjoyed by all members of society, and on the other, the collective interest of all members of society in the ability of the police to act on their behalf to investigate and prevent crime. [Emphasis added; paras. 32 and 39.]</w:t>
      </w:r>
    </w:p>
    <w:p w14:paraId="2F179278" w14:textId="77777777" w:rsidR="000975C6" w:rsidRPr="00F3290F" w:rsidRDefault="000975C6" w:rsidP="000975C6">
      <w:pPr>
        <w:pStyle w:val="ParaNoNdepar-AltN"/>
        <w:rPr>
          <w:rFonts w:cs="Times New Roman"/>
        </w:rPr>
      </w:pPr>
      <w:r w:rsidRPr="00F3290F">
        <w:rPr>
          <w:rFonts w:cs="Times New Roman"/>
        </w:rPr>
        <w:lastRenderedPageBreak/>
        <w:t xml:space="preserve">On their own, these passages might support the Crown’s position. But in light of the entire judgment in </w:t>
      </w:r>
      <w:r w:rsidRPr="00F3290F">
        <w:rPr>
          <w:rFonts w:cs="Times New Roman"/>
          <w:i/>
        </w:rPr>
        <w:t>Grant</w:t>
      </w:r>
      <w:r w:rsidRPr="00F3290F">
        <w:rPr>
          <w:rFonts w:cs="Times New Roman"/>
        </w:rPr>
        <w:t>, they do not</w:t>
      </w:r>
      <w:r w:rsidRPr="00F3290F">
        <w:rPr>
          <w:rFonts w:cs="Times New Roman"/>
          <w:i/>
        </w:rPr>
        <w:t xml:space="preserve"> </w:t>
      </w:r>
      <w:r w:rsidRPr="00F3290F">
        <w:rPr>
          <w:rFonts w:cs="Times New Roman"/>
        </w:rPr>
        <w:t xml:space="preserve">support the view that such a police statement precludes finding a detention. In </w:t>
      </w:r>
      <w:r w:rsidRPr="00F3290F">
        <w:rPr>
          <w:rFonts w:cs="Times New Roman"/>
          <w:i/>
        </w:rPr>
        <w:t>Grant</w:t>
      </w:r>
      <w:r w:rsidRPr="00F3290F">
        <w:rPr>
          <w:rFonts w:cs="Times New Roman"/>
        </w:rPr>
        <w:t xml:space="preserve">, the Court conceived the test for detention so that no single consideration — including a statement from the police that the individual need not speak to them or could leave — would be determinative. Rather, what is required, as the first of these passages also states, is “a realistic appraisal of </w:t>
      </w:r>
      <w:r w:rsidRPr="00F3290F">
        <w:rPr>
          <w:rFonts w:cs="Times New Roman"/>
          <w:u w:val="single"/>
        </w:rPr>
        <w:t>the entire interaction</w:t>
      </w:r>
      <w:r w:rsidRPr="00F3290F">
        <w:rPr>
          <w:rFonts w:cs="Times New Roman"/>
        </w:rPr>
        <w:t xml:space="preserve"> as it developed” (para. 32 (emphasis added)). The passages in</w:t>
      </w:r>
      <w:r w:rsidRPr="00F3290F">
        <w:rPr>
          <w:rFonts w:cs="Times New Roman"/>
          <w:i/>
        </w:rPr>
        <w:t xml:space="preserve"> Grant</w:t>
      </w:r>
      <w:r w:rsidRPr="00F3290F">
        <w:rPr>
          <w:rFonts w:cs="Times New Roman"/>
        </w:rPr>
        <w:t xml:space="preserve"> relied on by the Crown were, therefore, </w:t>
      </w:r>
      <w:r w:rsidRPr="00F3290F">
        <w:rPr>
          <w:rFonts w:cs="Times New Roman"/>
          <w:i/>
        </w:rPr>
        <w:t>immediately</w:t>
      </w:r>
      <w:r w:rsidRPr="00F3290F">
        <w:rPr>
          <w:rFonts w:cs="Times New Roman"/>
        </w:rPr>
        <w:t xml:space="preserve"> coupled with the caution that it is ultimately “for the trial judge, applying the proper legal principles to the particular facts of the case, to determine whether the line has been crossed between police conduct that respects liberty and the individual’s right to choose, and conduct that does not” (para. 32). In other words, the assessment requires a broad view directed to </w:t>
      </w:r>
      <w:r w:rsidRPr="00F3290F">
        <w:rPr>
          <w:rFonts w:cs="Times New Roman"/>
          <w:i/>
        </w:rPr>
        <w:t>all</w:t>
      </w:r>
      <w:r w:rsidRPr="00F3290F">
        <w:rPr>
          <w:rFonts w:cs="Times New Roman"/>
        </w:rPr>
        <w:t xml:space="preserve"> circumstances of the case, from which view a court should not be distracted by a police officer’s statement that might, taken in isolation, militate against the finding of a detention. It is entirely possible that such an assurance, given at a very specific point and time of the interaction with the police, might lose any significance to a reasonable person in the detainee’s circumstances once the entirety of the encounter is accounted for. </w:t>
      </w:r>
    </w:p>
    <w:p w14:paraId="365AD2B2" w14:textId="77777777" w:rsidR="000975C6" w:rsidRPr="00F3290F" w:rsidRDefault="000975C6" w:rsidP="000975C6">
      <w:pPr>
        <w:pStyle w:val="ParaNoNdepar-AltN"/>
        <w:rPr>
          <w:rFonts w:cs="Times New Roman"/>
        </w:rPr>
      </w:pPr>
      <w:r w:rsidRPr="00F3290F">
        <w:rPr>
          <w:rFonts w:cs="Times New Roman"/>
        </w:rPr>
        <w:t xml:space="preserve">So understood, the test in </w:t>
      </w:r>
      <w:r w:rsidRPr="00F3290F">
        <w:rPr>
          <w:rFonts w:cs="Times New Roman"/>
          <w:i/>
        </w:rPr>
        <w:t>Grant</w:t>
      </w:r>
      <w:r w:rsidRPr="00F3290F">
        <w:rPr>
          <w:rFonts w:cs="Times New Roman"/>
        </w:rPr>
        <w:t xml:space="preserve"> is premised upon a practical reality of interactions between police and citizen, especially where the interaction concerns a criminal investigation. While words uttered by the police may hold a certain significance to trained and experienced police officers or to those trained in the law or otherwise already aware of their rights and how to exercise them, they may hold less </w:t>
      </w:r>
      <w:r w:rsidRPr="00F3290F">
        <w:rPr>
          <w:rFonts w:cs="Times New Roman"/>
        </w:rPr>
        <w:lastRenderedPageBreak/>
        <w:t xml:space="preserve">significance, or different significance, to vulnerable individuals unfamiliar with their </w:t>
      </w:r>
      <w:r w:rsidRPr="00F3290F">
        <w:rPr>
          <w:rFonts w:cs="Times New Roman"/>
          <w:i/>
        </w:rPr>
        <w:t xml:space="preserve">Charter </w:t>
      </w:r>
      <w:r w:rsidRPr="00F3290F">
        <w:rPr>
          <w:rFonts w:cs="Times New Roman"/>
        </w:rPr>
        <w:t xml:space="preserve">rights. This particular instance of the imbalance of power between state and citizen that characterizes our criminal justice system is exacerbated by the psychological dynamics of police interrogation, where even repeated assurances that a detainee is free to leave may be disregarded, especially by innocent persons seeking to absolve themselves of any wrongdoing. </w:t>
      </w:r>
    </w:p>
    <w:p w14:paraId="5551CCFB" w14:textId="77777777" w:rsidR="000975C6" w:rsidRPr="00F3290F" w:rsidRDefault="000975C6" w:rsidP="000975C6">
      <w:pPr>
        <w:pStyle w:val="ParaNoNdepar-AltN"/>
        <w:rPr>
          <w:rFonts w:cs="Times New Roman"/>
        </w:rPr>
      </w:pPr>
      <w:r w:rsidRPr="00F3290F">
        <w:rPr>
          <w:rFonts w:cs="Times New Roman"/>
        </w:rPr>
        <w:t xml:space="preserve">None of this is undermined by the appellate caselaw relied upon by the Crown, which either predates </w:t>
      </w:r>
      <w:r w:rsidRPr="00F3290F">
        <w:rPr>
          <w:rFonts w:cs="Times New Roman"/>
          <w:i/>
        </w:rPr>
        <w:t xml:space="preserve">Grant </w:t>
      </w:r>
      <w:r w:rsidRPr="00F3290F">
        <w:rPr>
          <w:rFonts w:cs="Times New Roman"/>
        </w:rPr>
        <w:t xml:space="preserve">(e.g. </w:t>
      </w:r>
      <w:r w:rsidRPr="00F3290F">
        <w:rPr>
          <w:rFonts w:cs="Times New Roman"/>
          <w:i/>
        </w:rPr>
        <w:t>R. v. Rajaratnam</w:t>
      </w:r>
      <w:r w:rsidRPr="00F3290F">
        <w:rPr>
          <w:rFonts w:cs="Times New Roman"/>
        </w:rPr>
        <w:t xml:space="preserve">, 2006 ABCA 333, 397 A.R. 126), or confirms that all the circumstances of a case must be examined to determine whether a detention occurred (e.g. </w:t>
      </w:r>
      <w:r w:rsidRPr="00F3290F">
        <w:rPr>
          <w:rFonts w:cs="Times New Roman"/>
          <w:i/>
        </w:rPr>
        <w:t>Seagull</w:t>
      </w:r>
      <w:r w:rsidRPr="00F3290F">
        <w:rPr>
          <w:rFonts w:cs="Times New Roman"/>
        </w:rPr>
        <w:t xml:space="preserve">, at paras. 49-60; </w:t>
      </w:r>
      <w:r w:rsidRPr="00F3290F">
        <w:rPr>
          <w:rFonts w:cs="Times New Roman"/>
          <w:i/>
        </w:rPr>
        <w:t>R. v. Van Wissen</w:t>
      </w:r>
      <w:r w:rsidRPr="00F3290F">
        <w:rPr>
          <w:rFonts w:cs="Times New Roman"/>
        </w:rPr>
        <w:t xml:space="preserve">, 2018 MBCA 110, 367 C.C.C. (3d) 186). I therefore reject the Crown’s submission that a detention </w:t>
      </w:r>
      <w:r w:rsidRPr="00F3290F">
        <w:rPr>
          <w:rFonts w:cs="Times New Roman"/>
          <w:i/>
        </w:rPr>
        <w:t xml:space="preserve">prima facie </w:t>
      </w:r>
      <w:r w:rsidRPr="00F3290F">
        <w:rPr>
          <w:rFonts w:cs="Times New Roman"/>
        </w:rPr>
        <w:t xml:space="preserve">cannot arise where police state that the individual may decline to speak with them or may leave whenever a statement is presented. In this regard, </w:t>
      </w:r>
      <w:r w:rsidRPr="00F3290F">
        <w:rPr>
          <w:rFonts w:cs="Times New Roman"/>
          <w:lang w:bidi="en-US"/>
        </w:rPr>
        <w:t>my colleagues also place substantial weight upon such statements. Indeed, they treat them as all but d</w:t>
      </w:r>
      <w:r w:rsidRPr="00F3290F">
        <w:rPr>
          <w:rFonts w:cs="Times New Roman"/>
        </w:rPr>
        <w:t xml:space="preserve">eterminative (as one might in considering the words used by police under the </w:t>
      </w:r>
      <w:r w:rsidRPr="00F3290F">
        <w:rPr>
          <w:rFonts w:cs="Times New Roman"/>
          <w:i/>
        </w:rPr>
        <w:t xml:space="preserve">Moran </w:t>
      </w:r>
      <w:r w:rsidRPr="00F3290F">
        <w:rPr>
          <w:rFonts w:cs="Times New Roman"/>
        </w:rPr>
        <w:t xml:space="preserve">framework), rather than focussing on the contextual factors that would affect the perception of the reasonable person in the accused’s shoes (as required by </w:t>
      </w:r>
      <w:r w:rsidRPr="00F3290F">
        <w:rPr>
          <w:rFonts w:cs="Times New Roman"/>
          <w:i/>
        </w:rPr>
        <w:t xml:space="preserve">Grant </w:t>
      </w:r>
      <w:r w:rsidRPr="00F3290F">
        <w:rPr>
          <w:rFonts w:cs="Times New Roman"/>
        </w:rPr>
        <w:t xml:space="preserve">and </w:t>
      </w:r>
      <w:r w:rsidRPr="00F3290F">
        <w:rPr>
          <w:rFonts w:cs="Times New Roman"/>
          <w:i/>
        </w:rPr>
        <w:t>Le</w:t>
      </w:r>
      <w:r w:rsidRPr="00F3290F">
        <w:rPr>
          <w:rFonts w:cs="Times New Roman"/>
        </w:rPr>
        <w:t xml:space="preserve">). </w:t>
      </w:r>
    </w:p>
    <w:p w14:paraId="3E319C9D" w14:textId="77777777" w:rsidR="000975C6" w:rsidRPr="00F3290F" w:rsidRDefault="000975C6" w:rsidP="000975C6">
      <w:pPr>
        <w:pStyle w:val="ParaNoNdepar-AltN"/>
        <w:rPr>
          <w:rFonts w:cs="Times New Roman"/>
        </w:rPr>
      </w:pPr>
      <w:r w:rsidRPr="00F3290F">
        <w:rPr>
          <w:rFonts w:cs="Times New Roman"/>
        </w:rPr>
        <w:t xml:space="preserve">To summarize: no single consideration, including a police statement to an individual that he or she is “not detained” or otherwise under any obligation to cooperate or may leave, is determinative of whether a detention has occurred. Where present, it is a single consideration among others for which a court should account in </w:t>
      </w:r>
      <w:r w:rsidRPr="00F3290F">
        <w:rPr>
          <w:rFonts w:cs="Times New Roman"/>
        </w:rPr>
        <w:lastRenderedPageBreak/>
        <w:t xml:space="preserve">deciding whether a reasonable person in the shoes of the accused would feel obliged to cooperate. It does not automatically turn the tide, and may not turn the tide at all, where other factors point to a finding of detention. </w:t>
      </w:r>
    </w:p>
    <w:p w14:paraId="10520E4D" w14:textId="77777777" w:rsidR="000975C6" w:rsidRPr="00F3290F" w:rsidRDefault="000975C6" w:rsidP="000975C6">
      <w:pPr>
        <w:pStyle w:val="ParaNoNdepar-AltN"/>
        <w:rPr>
          <w:rFonts w:cs="Times New Roman"/>
        </w:rPr>
      </w:pPr>
      <w:r w:rsidRPr="00F3290F">
        <w:rPr>
          <w:rFonts w:cs="Times New Roman"/>
        </w:rPr>
        <w:t>Indeed, Sgt. Eros’ statements to Mr. Lafrance</w:t>
      </w:r>
      <w:r w:rsidRPr="001F0887">
        <w:rPr>
          <w:rStyle w:val="Hyperlink"/>
          <w:vertAlign w:val="superscript"/>
        </w:rPr>
        <w:footnoteReference w:id="3"/>
      </w:r>
      <w:r w:rsidRPr="00F3290F">
        <w:rPr>
          <w:rFonts w:cs="Times New Roman"/>
        </w:rPr>
        <w:t xml:space="preserve"> do not turn the tide here. While they militate against a finding of detention, they are outweighed by circumstances that support the opposite conclusion, namely that a reasonable person in his position would have felt compelled to comply and unfree to leave. For example:</w:t>
      </w:r>
    </w:p>
    <w:p w14:paraId="36FB5C97" w14:textId="77777777" w:rsidR="000975C6" w:rsidRPr="00F3290F" w:rsidRDefault="000975C6" w:rsidP="000975C6">
      <w:pPr>
        <w:pStyle w:val="ContinueParaSuitedupar-AltP"/>
        <w:numPr>
          <w:ilvl w:val="0"/>
          <w:numId w:val="14"/>
        </w:numPr>
        <w:ind w:left="1710" w:hanging="540"/>
        <w:rPr>
          <w:rFonts w:cs="Times New Roman"/>
        </w:rPr>
      </w:pPr>
      <w:r w:rsidRPr="00F3290F">
        <w:rPr>
          <w:rFonts w:cs="Times New Roman"/>
        </w:rPr>
        <w:t>Mr. Lafrance awoke to 11 police officers at his residence, with vans, firearms and bulletproof vests, ordering him to dress and get out of the house;</w:t>
      </w:r>
    </w:p>
    <w:p w14:paraId="641BE4AB" w14:textId="77777777" w:rsidR="000975C6" w:rsidRPr="00F3290F" w:rsidRDefault="000975C6" w:rsidP="000975C6">
      <w:pPr>
        <w:pStyle w:val="ContinueParaSuitedupar-AltP"/>
        <w:numPr>
          <w:ilvl w:val="0"/>
          <w:numId w:val="14"/>
        </w:numPr>
        <w:ind w:left="1710" w:hanging="540"/>
        <w:rPr>
          <w:rFonts w:cs="Times New Roman"/>
        </w:rPr>
      </w:pPr>
      <w:r w:rsidRPr="00F3290F">
        <w:rPr>
          <w:rFonts w:cs="Times New Roman"/>
        </w:rPr>
        <w:t>The police accompanied Mr. Lafrance while he searched for his cat;</w:t>
      </w:r>
    </w:p>
    <w:p w14:paraId="1D206FD5" w14:textId="77777777" w:rsidR="000975C6" w:rsidRPr="00F3290F" w:rsidRDefault="000975C6" w:rsidP="000975C6">
      <w:pPr>
        <w:pStyle w:val="ContinueParaSuitedupar-AltP"/>
        <w:numPr>
          <w:ilvl w:val="0"/>
          <w:numId w:val="14"/>
        </w:numPr>
        <w:ind w:left="1710" w:hanging="540"/>
        <w:rPr>
          <w:rFonts w:cs="Times New Roman"/>
        </w:rPr>
      </w:pPr>
      <w:r w:rsidRPr="00F3290F">
        <w:rPr>
          <w:rFonts w:cs="Times New Roman"/>
        </w:rPr>
        <w:t xml:space="preserve">Sgt. Eros approached Mr. Lafrance after he went outside, asked him to confirm his identity and </w:t>
      </w:r>
      <w:r>
        <w:rPr>
          <w:rFonts w:cs="Times New Roman"/>
        </w:rPr>
        <w:t>told</w:t>
      </w:r>
      <w:r w:rsidRPr="00F3290F">
        <w:rPr>
          <w:rFonts w:cs="Times New Roman"/>
        </w:rPr>
        <w:t xml:space="preserve"> him that he wanted to ask him questions relating to Mr. Yasinski’s death;</w:t>
      </w:r>
    </w:p>
    <w:p w14:paraId="006EED97" w14:textId="77777777" w:rsidR="000975C6" w:rsidRPr="00F3290F" w:rsidRDefault="000975C6" w:rsidP="000975C6">
      <w:pPr>
        <w:pStyle w:val="ContinueParaSuitedupar-AltP"/>
        <w:numPr>
          <w:ilvl w:val="0"/>
          <w:numId w:val="14"/>
        </w:numPr>
        <w:ind w:left="1710" w:hanging="540"/>
        <w:rPr>
          <w:rFonts w:cs="Times New Roman"/>
        </w:rPr>
      </w:pPr>
      <w:r w:rsidRPr="00F3290F">
        <w:rPr>
          <w:rFonts w:cs="Times New Roman"/>
        </w:rPr>
        <w:lastRenderedPageBreak/>
        <w:t>The only practical means available to Mr. Lafrance for getting to the police station was for him to be driven, which he was in an unmarked police vehicle accompanied by two police officers;</w:t>
      </w:r>
    </w:p>
    <w:p w14:paraId="3A9D579A" w14:textId="77777777" w:rsidR="000975C6" w:rsidRPr="00F3290F" w:rsidRDefault="000975C6" w:rsidP="000975C6">
      <w:pPr>
        <w:pStyle w:val="ContinueParaSuitedupar-AltP"/>
        <w:numPr>
          <w:ilvl w:val="0"/>
          <w:numId w:val="14"/>
        </w:numPr>
        <w:ind w:left="1710" w:hanging="540"/>
        <w:rPr>
          <w:rFonts w:cs="Times New Roman"/>
        </w:rPr>
      </w:pPr>
      <w:r w:rsidRPr="00F3290F">
        <w:rPr>
          <w:rFonts w:cs="Times New Roman"/>
        </w:rPr>
        <w:t>At the station, the police brought Mr. Lafrance to an interview room at the back of the police station that was behind two sets of locked doors;</w:t>
      </w:r>
    </w:p>
    <w:p w14:paraId="41368D0F" w14:textId="77777777" w:rsidR="000975C6" w:rsidRPr="00F3290F" w:rsidRDefault="000975C6" w:rsidP="000975C6">
      <w:pPr>
        <w:pStyle w:val="ContinueParaSuitedupar-AltP"/>
        <w:numPr>
          <w:ilvl w:val="0"/>
          <w:numId w:val="14"/>
        </w:numPr>
        <w:ind w:left="1710" w:hanging="540"/>
        <w:rPr>
          <w:rFonts w:cs="Times New Roman"/>
        </w:rPr>
      </w:pPr>
      <w:r w:rsidRPr="00F3290F">
        <w:rPr>
          <w:rFonts w:cs="Times New Roman"/>
        </w:rPr>
        <w:t>The police left Mr. Lafrance in the interview room for at least 17 minutes, having closed the door behind them, and did not inform him that the doors were unlocked; and</w:t>
      </w:r>
    </w:p>
    <w:p w14:paraId="64CE3CC8" w14:textId="77777777" w:rsidR="000975C6" w:rsidRPr="00F3290F" w:rsidRDefault="000975C6" w:rsidP="000975C6">
      <w:pPr>
        <w:pStyle w:val="ContinueParaSuitedupar-AltP"/>
        <w:numPr>
          <w:ilvl w:val="0"/>
          <w:numId w:val="14"/>
        </w:numPr>
        <w:ind w:left="1710" w:hanging="540"/>
        <w:rPr>
          <w:rFonts w:cs="Times New Roman"/>
        </w:rPr>
      </w:pPr>
      <w:r w:rsidRPr="00F3290F">
        <w:rPr>
          <w:rFonts w:cs="Times New Roman"/>
        </w:rPr>
        <w:t>The police told Mr. Lafrance that he was in a secure environment, controlled his access to the outside of the interview room, and kept him under surveillance during the course of the interview, including escorting him to the bathroom.</w:t>
      </w:r>
    </w:p>
    <w:p w14:paraId="56FEB7AC" w14:textId="77777777" w:rsidR="000975C6" w:rsidRPr="00F3290F" w:rsidRDefault="000975C6" w:rsidP="000975C6">
      <w:pPr>
        <w:pStyle w:val="Title5LevelTitre5Niveau"/>
        <w:numPr>
          <w:ilvl w:val="4"/>
          <w:numId w:val="8"/>
        </w:numPr>
        <w:tabs>
          <w:tab w:val="clear" w:pos="1728"/>
        </w:tabs>
        <w:ind w:left="1170"/>
        <w:rPr>
          <w:rFonts w:cs="Times New Roman"/>
        </w:rPr>
      </w:pPr>
      <w:r w:rsidRPr="00F3290F">
        <w:rPr>
          <w:rFonts w:cs="Times New Roman"/>
        </w:rPr>
        <w:t>The Use of Physical Contact</w:t>
      </w:r>
    </w:p>
    <w:p w14:paraId="04D9145C" w14:textId="77777777" w:rsidR="000975C6" w:rsidRPr="00F3290F" w:rsidRDefault="000975C6" w:rsidP="000975C6">
      <w:pPr>
        <w:pStyle w:val="ParaNoNdepar-AltN"/>
        <w:rPr>
          <w:rFonts w:cs="Times New Roman"/>
        </w:rPr>
      </w:pPr>
      <w:r w:rsidRPr="00F3290F">
        <w:rPr>
          <w:rFonts w:cs="Times New Roman"/>
        </w:rPr>
        <w:t xml:space="preserve">As is evident from the analysis in </w:t>
      </w:r>
      <w:r w:rsidRPr="00F3290F">
        <w:rPr>
          <w:rFonts w:cs="Times New Roman"/>
          <w:i/>
        </w:rPr>
        <w:t xml:space="preserve">Le </w:t>
      </w:r>
      <w:r w:rsidRPr="00F3290F">
        <w:rPr>
          <w:rFonts w:cs="Times New Roman"/>
        </w:rPr>
        <w:t xml:space="preserve">(at para. 50) and </w:t>
      </w:r>
      <w:r w:rsidRPr="00F3290F">
        <w:rPr>
          <w:rFonts w:cs="Times New Roman"/>
          <w:i/>
        </w:rPr>
        <w:t>Grant</w:t>
      </w:r>
      <w:r w:rsidRPr="00F3290F">
        <w:rPr>
          <w:rFonts w:cs="Times New Roman"/>
        </w:rPr>
        <w:t xml:space="preserve"> (at paras. 50</w:t>
      </w:r>
      <w:r w:rsidRPr="00F3290F">
        <w:rPr>
          <w:rFonts w:cs="Times New Roman"/>
        </w:rPr>
        <w:noBreakHyphen/>
        <w:t xml:space="preserve">52), considering the use by police of physical </w:t>
      </w:r>
      <w:r w:rsidRPr="00F3290F">
        <w:rPr>
          <w:rFonts w:cs="Times New Roman"/>
          <w:i/>
        </w:rPr>
        <w:t>contact</w:t>
      </w:r>
      <w:r w:rsidRPr="00F3290F">
        <w:rPr>
          <w:rFonts w:cs="Times New Roman"/>
        </w:rPr>
        <w:t xml:space="preserve"> with a subject extends to their physical </w:t>
      </w:r>
      <w:r w:rsidRPr="00F3290F">
        <w:rPr>
          <w:rFonts w:cs="Times New Roman"/>
          <w:i/>
        </w:rPr>
        <w:t>proximity</w:t>
      </w:r>
      <w:r w:rsidRPr="00F3290F">
        <w:rPr>
          <w:rFonts w:cs="Times New Roman"/>
        </w:rPr>
        <w:t xml:space="preserve"> to a subject. Even where, strictly speaking, there is no physical contact, deliberate physical proximity within a small space can create an atmosphere that would lead a reasonable person to conclude that leaving is not possible </w:t>
      </w:r>
      <w:r w:rsidRPr="00F3290F">
        <w:rPr>
          <w:rFonts w:cs="Times New Roman"/>
        </w:rPr>
        <w:lastRenderedPageBreak/>
        <w:t>(</w:t>
      </w:r>
      <w:r w:rsidRPr="00F3290F">
        <w:rPr>
          <w:rFonts w:cs="Times New Roman"/>
          <w:i/>
        </w:rPr>
        <w:t>Le</w:t>
      </w:r>
      <w:r w:rsidRPr="00F3290F">
        <w:rPr>
          <w:rFonts w:cs="Times New Roman"/>
        </w:rPr>
        <w:t xml:space="preserve">, at para. 50; </w:t>
      </w:r>
      <w:r w:rsidRPr="00F3290F">
        <w:rPr>
          <w:rFonts w:cs="Times New Roman"/>
          <w:i/>
        </w:rPr>
        <w:t>Grant</w:t>
      </w:r>
      <w:r w:rsidRPr="00F3290F">
        <w:rPr>
          <w:rFonts w:cs="Times New Roman"/>
        </w:rPr>
        <w:t xml:space="preserve">, at para. 50). This makes sense, since physical proximity can indicate the </w:t>
      </w:r>
      <w:r w:rsidRPr="00F3290F">
        <w:rPr>
          <w:rFonts w:cs="Times New Roman"/>
          <w:i/>
        </w:rPr>
        <w:t>possibility</w:t>
      </w:r>
      <w:r w:rsidRPr="00F3290F">
        <w:rPr>
          <w:rFonts w:cs="Times New Roman"/>
        </w:rPr>
        <w:t xml:space="preserve"> of physical contact. And so, while nothing suggests that the police made any physical contact with Mr. Lafrance on March </w:t>
      </w:r>
      <w:proofErr w:type="gramStart"/>
      <w:r w:rsidRPr="00F3290F">
        <w:rPr>
          <w:rFonts w:cs="Times New Roman"/>
        </w:rPr>
        <w:t>19, that</w:t>
      </w:r>
      <w:proofErr w:type="gramEnd"/>
      <w:r w:rsidRPr="00F3290F">
        <w:rPr>
          <w:rFonts w:cs="Times New Roman"/>
        </w:rPr>
        <w:t xml:space="preserve"> is not exhaustive of this consideration. For example, a reasonable person in Mr. Lafrance’s shoes might, particularly after he was escorted to the bathroom, view the investigating officers’ constant proximity as suggesting that any attempt to leave, at least on his own, would be met with physical resistance.</w:t>
      </w:r>
    </w:p>
    <w:p w14:paraId="16EEBCDB" w14:textId="77777777" w:rsidR="000975C6" w:rsidRPr="00F3290F" w:rsidRDefault="000975C6" w:rsidP="000975C6">
      <w:pPr>
        <w:pStyle w:val="ParaNoNdepar-AltN"/>
        <w:rPr>
          <w:rFonts w:cs="Times New Roman"/>
        </w:rPr>
      </w:pPr>
      <w:r w:rsidRPr="00F3290F">
        <w:rPr>
          <w:rFonts w:cs="Times New Roman"/>
        </w:rPr>
        <w:t xml:space="preserve">All that said, and while the police chose to interview Mr. Lafrance in what Sgt. Eros described as the “secure environment” of an interview room, their conduct here is a far cry from </w:t>
      </w:r>
      <w:r w:rsidRPr="00F3290F">
        <w:rPr>
          <w:rFonts w:cs="Times New Roman"/>
          <w:i/>
        </w:rPr>
        <w:t>Le</w:t>
      </w:r>
      <w:r w:rsidRPr="00F3290F">
        <w:rPr>
          <w:rFonts w:cs="Times New Roman"/>
        </w:rPr>
        <w:t xml:space="preserve">, where the police officers intentionally positioned themselves in a way to block the exit from the backyard (para. 50). Neither the evidence here nor the trial judge’s findings suggest that the police sought to take advantage of the physical proximity in such a way. In my view, considerations of physical proximity alone would have little if any impact on whether a reasonable person in Mr. Lafrance’s position would feel free to decline to speak to police or to leave. </w:t>
      </w:r>
    </w:p>
    <w:p w14:paraId="5FCFD035" w14:textId="77777777" w:rsidR="000975C6" w:rsidRPr="00F3290F" w:rsidRDefault="000975C6" w:rsidP="000975C6">
      <w:pPr>
        <w:pStyle w:val="Title5LevelTitre5Niveau"/>
        <w:numPr>
          <w:ilvl w:val="4"/>
          <w:numId w:val="8"/>
        </w:numPr>
        <w:tabs>
          <w:tab w:val="clear" w:pos="1728"/>
        </w:tabs>
        <w:ind w:left="1170"/>
        <w:rPr>
          <w:rFonts w:cs="Times New Roman"/>
        </w:rPr>
      </w:pPr>
      <w:r w:rsidRPr="00F3290F">
        <w:rPr>
          <w:rFonts w:cs="Times New Roman"/>
        </w:rPr>
        <w:t>The Presence of Others</w:t>
      </w:r>
    </w:p>
    <w:p w14:paraId="4273795D" w14:textId="77777777" w:rsidR="000975C6" w:rsidRPr="00F3290F" w:rsidRDefault="000975C6" w:rsidP="000975C6">
      <w:pPr>
        <w:pStyle w:val="ParaNoNdepar-AltN"/>
        <w:rPr>
          <w:rFonts w:cs="Times New Roman"/>
        </w:rPr>
      </w:pPr>
      <w:r w:rsidRPr="00F3290F">
        <w:rPr>
          <w:rFonts w:cs="Times New Roman"/>
        </w:rPr>
        <w:t xml:space="preserve">This is a significant consideration here. Except while he was left alone in the interview room and in the bathroom, Mr. Lafrance was in the presence of at least one police officer throughout his interaction with the police, from the moment they awoke him in his home. Initially, he was under the supervision of an armed police search team that executed the warrant and monitored him while he was in and out of </w:t>
      </w:r>
      <w:r w:rsidRPr="00F3290F">
        <w:rPr>
          <w:rFonts w:cs="Times New Roman"/>
        </w:rPr>
        <w:lastRenderedPageBreak/>
        <w:t>the home. Following this, Sgt. </w:t>
      </w:r>
      <w:r>
        <w:rPr>
          <w:rFonts w:cs="Times New Roman"/>
        </w:rPr>
        <w:t>Eros and S/Sgt.</w:t>
      </w:r>
      <w:r w:rsidRPr="00F3290F">
        <w:rPr>
          <w:rFonts w:cs="Times New Roman"/>
        </w:rPr>
        <w:t> Zazulak were present throughout, from their initial encounter outside the home, to the ride to the police station, and the interview. These officers weighed approximately 220 lb. to 245 lb., respectively (while Mr. Lafrance weighed 130 lb.), and</w:t>
      </w:r>
      <w:r>
        <w:rPr>
          <w:rFonts w:cs="Times New Roman"/>
        </w:rPr>
        <w:t xml:space="preserve"> S/Sgt.</w:t>
      </w:r>
      <w:r w:rsidRPr="00F3290F">
        <w:rPr>
          <w:rFonts w:cs="Times New Roman"/>
        </w:rPr>
        <w:t xml:space="preserve"> Zazulak was armed and wearing a bulletproof vest. Their continued presence and supervision would tend to contribute to the perception of a reasonable person in Mr. Lafrance’s shoes that he or she was not free to decline to speak or to leave. </w:t>
      </w:r>
    </w:p>
    <w:p w14:paraId="6303C524" w14:textId="77777777" w:rsidR="000975C6" w:rsidRPr="00F3290F" w:rsidRDefault="000975C6" w:rsidP="000975C6">
      <w:pPr>
        <w:pStyle w:val="ParaNoNdepar-AltN"/>
        <w:rPr>
          <w:rFonts w:cs="Times New Roman"/>
          <w:lang w:val="en-US"/>
        </w:rPr>
      </w:pPr>
      <w:r w:rsidRPr="00F3290F">
        <w:rPr>
          <w:rFonts w:cs="Times New Roman"/>
          <w:lang w:val="en-US"/>
        </w:rPr>
        <w:t xml:space="preserve">My colleagues appear to understand this consideration, as it was stated in </w:t>
      </w:r>
      <w:r w:rsidRPr="00F3290F">
        <w:rPr>
          <w:rFonts w:cs="Times New Roman"/>
          <w:i/>
          <w:lang w:val="en-US"/>
        </w:rPr>
        <w:t>Le</w:t>
      </w:r>
      <w:r w:rsidRPr="00F3290F">
        <w:rPr>
          <w:rFonts w:cs="Times New Roman"/>
          <w:lang w:val="en-US"/>
        </w:rPr>
        <w:t>, as applying only to the presence of witnesses, as op</w:t>
      </w:r>
      <w:r>
        <w:rPr>
          <w:rFonts w:cs="Times New Roman"/>
          <w:lang w:val="en-US"/>
        </w:rPr>
        <w:t>posed to the police (para. 152</w:t>
      </w:r>
      <w:r w:rsidRPr="00F3290F">
        <w:rPr>
          <w:rFonts w:cs="Times New Roman"/>
          <w:lang w:val="en-US"/>
        </w:rPr>
        <w:t xml:space="preserve">). Putting aside that the police </w:t>
      </w:r>
      <w:r w:rsidRPr="00F3290F">
        <w:rPr>
          <w:rFonts w:cs="Times New Roman"/>
          <w:i/>
          <w:lang w:val="en-US"/>
        </w:rPr>
        <w:t>were</w:t>
      </w:r>
      <w:r w:rsidRPr="00F3290F">
        <w:rPr>
          <w:rFonts w:cs="Times New Roman"/>
          <w:lang w:val="en-US"/>
        </w:rPr>
        <w:t xml:space="preserve"> witnesses here, I see no good reason to keep to such a narrow purview. The “presence of others” was not a novel consideration in </w:t>
      </w:r>
      <w:r w:rsidRPr="00F3290F">
        <w:rPr>
          <w:rFonts w:cs="Times New Roman"/>
          <w:i/>
          <w:lang w:val="en-US"/>
        </w:rPr>
        <w:t>Le</w:t>
      </w:r>
      <w:r w:rsidRPr="00F3290F">
        <w:rPr>
          <w:rFonts w:cs="Times New Roman"/>
          <w:lang w:val="en-US"/>
        </w:rPr>
        <w:t xml:space="preserve">. It is one of the factors listed in </w:t>
      </w:r>
      <w:r w:rsidRPr="00F3290F">
        <w:rPr>
          <w:rFonts w:cs="Times New Roman"/>
          <w:i/>
          <w:lang w:val="en-US"/>
        </w:rPr>
        <w:t>Grant</w:t>
      </w:r>
      <w:r w:rsidRPr="00F3290F">
        <w:rPr>
          <w:rFonts w:cs="Times New Roman"/>
          <w:lang w:val="en-US"/>
        </w:rPr>
        <w:t xml:space="preserve"> to evaluate “</w:t>
      </w:r>
      <w:r>
        <w:rPr>
          <w:rFonts w:cs="Times New Roman"/>
          <w:lang w:val="en-US"/>
        </w:rPr>
        <w:t>[</w:t>
      </w:r>
      <w:r w:rsidRPr="00F3290F">
        <w:rPr>
          <w:rFonts w:cs="Times New Roman"/>
          <w:lang w:val="en-US"/>
        </w:rPr>
        <w:t>t</w:t>
      </w:r>
      <w:r>
        <w:rPr>
          <w:rFonts w:cs="Times New Roman"/>
          <w:lang w:val="en-US"/>
        </w:rPr>
        <w:t>]</w:t>
      </w:r>
      <w:r w:rsidRPr="00F3290F">
        <w:rPr>
          <w:rFonts w:cs="Times New Roman"/>
          <w:lang w:val="en-US"/>
        </w:rPr>
        <w:t xml:space="preserve">he nature of </w:t>
      </w:r>
      <w:r w:rsidRPr="00F3290F">
        <w:rPr>
          <w:rFonts w:cs="Times New Roman"/>
          <w:u w:val="single"/>
          <w:lang w:val="en-US"/>
        </w:rPr>
        <w:t>police</w:t>
      </w:r>
      <w:r w:rsidRPr="00F3290F">
        <w:rPr>
          <w:rFonts w:cs="Times New Roman"/>
          <w:lang w:val="en-US"/>
        </w:rPr>
        <w:t xml:space="preserve"> conduct” (para. 44(2</w:t>
      </w:r>
      <w:proofErr w:type="gramStart"/>
      <w:r w:rsidRPr="00F3290F">
        <w:rPr>
          <w:rFonts w:cs="Times New Roman"/>
          <w:lang w:val="en-US"/>
        </w:rPr>
        <w:t>)(</w:t>
      </w:r>
      <w:proofErr w:type="gramEnd"/>
      <w:r w:rsidRPr="00F3290F">
        <w:rPr>
          <w:rFonts w:cs="Times New Roman"/>
          <w:lang w:val="en-US"/>
        </w:rPr>
        <w:t xml:space="preserve">b) (emphasis added)). For that reason, the Court, in support of its finding of psychological detention in </w:t>
      </w:r>
      <w:r w:rsidRPr="00F3290F">
        <w:rPr>
          <w:rFonts w:cs="Times New Roman"/>
          <w:i/>
          <w:lang w:val="en-US"/>
        </w:rPr>
        <w:t>Grant</w:t>
      </w:r>
      <w:r w:rsidRPr="00F3290F">
        <w:rPr>
          <w:rFonts w:cs="Times New Roman"/>
          <w:lang w:val="en-US"/>
        </w:rPr>
        <w:t xml:space="preserve">, pointed to the presence of other police at the time of the encounter (paras. 49-52). The point is that all police conduct relevant to whether a reasonable person in Mr. Lafrance’s shoes would have understood himself or herself as free to leave must be considered. Indeed, that the witnesses were police, if anything, weighs more heavily in finding a detention than if they were mere bystanders. </w:t>
      </w:r>
    </w:p>
    <w:p w14:paraId="22AEE68C" w14:textId="77777777" w:rsidR="000975C6" w:rsidRPr="00F3290F" w:rsidRDefault="000975C6" w:rsidP="000975C6">
      <w:pPr>
        <w:pStyle w:val="Title5LevelTitre5Niveau"/>
        <w:numPr>
          <w:ilvl w:val="4"/>
          <w:numId w:val="8"/>
        </w:numPr>
        <w:tabs>
          <w:tab w:val="clear" w:pos="1728"/>
        </w:tabs>
        <w:ind w:left="1170"/>
        <w:rPr>
          <w:rFonts w:cs="Times New Roman"/>
        </w:rPr>
      </w:pPr>
      <w:r w:rsidRPr="00F3290F">
        <w:rPr>
          <w:rFonts w:cs="Times New Roman"/>
        </w:rPr>
        <w:t>The Place and Duration of the Encounter</w:t>
      </w:r>
    </w:p>
    <w:p w14:paraId="2ACF54FD" w14:textId="77777777" w:rsidR="000975C6" w:rsidRPr="00F3290F" w:rsidRDefault="000975C6" w:rsidP="000975C6">
      <w:pPr>
        <w:pStyle w:val="ParaNoNdepar-AltN"/>
        <w:rPr>
          <w:rFonts w:cs="Times New Roman"/>
        </w:rPr>
      </w:pPr>
      <w:r w:rsidRPr="00F3290F">
        <w:rPr>
          <w:rFonts w:cs="Times New Roman"/>
        </w:rPr>
        <w:t xml:space="preserve">The entirety of Mr. Lafrance’s encounter with the police spans several locations and various periods of time. In my view, considerations of place and time </w:t>
      </w:r>
      <w:r w:rsidRPr="00F3290F">
        <w:rPr>
          <w:rFonts w:cs="Times New Roman"/>
        </w:rPr>
        <w:lastRenderedPageBreak/>
        <w:t>would lead a reasonable person in Mr. Lafrance’s shoes to believe he had to cooperate with the police.</w:t>
      </w:r>
    </w:p>
    <w:p w14:paraId="6EFC365D" w14:textId="77777777" w:rsidR="000975C6" w:rsidRPr="00F3290F" w:rsidRDefault="000975C6" w:rsidP="000975C6">
      <w:pPr>
        <w:pStyle w:val="ParaNoNdepar-AltN"/>
        <w:rPr>
          <w:rFonts w:cs="Times New Roman"/>
        </w:rPr>
      </w:pPr>
      <w:r w:rsidRPr="00F3290F">
        <w:rPr>
          <w:rFonts w:cs="Times New Roman"/>
        </w:rPr>
        <w:t>The initial early morning encounter occurred inside Mr. Lafrance’s home. Any police intrusion into a home “is reasonably experienced as more forceful, coercive and threatening than when similar state action occurs in public” (</w:t>
      </w:r>
      <w:r w:rsidRPr="00F3290F">
        <w:rPr>
          <w:rFonts w:cs="Times New Roman"/>
          <w:i/>
        </w:rPr>
        <w:t>Le</w:t>
      </w:r>
      <w:r w:rsidRPr="00F3290F">
        <w:rPr>
          <w:rFonts w:cs="Times New Roman"/>
        </w:rPr>
        <w:t xml:space="preserve">, at para. 51). This remains true, irrespective of whether the intrusion is authorized by warrant, although depending on the circumstances of the intrusion, its impact may be mitigated where, as here, </w:t>
      </w:r>
      <w:proofErr w:type="gramStart"/>
      <w:r w:rsidRPr="00F3290F">
        <w:rPr>
          <w:rFonts w:cs="Times New Roman"/>
        </w:rPr>
        <w:t>police</w:t>
      </w:r>
      <w:proofErr w:type="gramEnd"/>
      <w:r w:rsidRPr="00F3290F">
        <w:rPr>
          <w:rFonts w:cs="Times New Roman"/>
        </w:rPr>
        <w:t xml:space="preserve"> inform the occupant that they have a search warrant. </w:t>
      </w:r>
    </w:p>
    <w:p w14:paraId="5CBE806D" w14:textId="77777777" w:rsidR="000975C6" w:rsidRPr="00F3290F" w:rsidRDefault="000975C6" w:rsidP="000975C6">
      <w:pPr>
        <w:pStyle w:val="ParaNoNdepar-AltN"/>
        <w:rPr>
          <w:rFonts w:cs="Times New Roman"/>
        </w:rPr>
      </w:pPr>
      <w:r w:rsidRPr="00F3290F">
        <w:rPr>
          <w:rFonts w:cs="Times New Roman"/>
        </w:rPr>
        <w:t>Even where that happens, however, the mode of entry into the household, while authorized by law, may be reasonably perceived as intimidating. It is to my mind indisputable that this would have been so in the circumstances of this intrusion. No reasonable person in Mr. Lafrance’s shoes would have had all misgivings just melt away with the assurance that the 11</w:t>
      </w:r>
      <w:r>
        <w:rPr>
          <w:rFonts w:cs="Times New Roman"/>
        </w:rPr>
        <w:t xml:space="preserve"> </w:t>
      </w:r>
      <w:r w:rsidRPr="00F3290F">
        <w:rPr>
          <w:rFonts w:cs="Times New Roman"/>
        </w:rPr>
        <w:t xml:space="preserve">police officers who had just awoken him inside his home and ordered him out had first obtained a search warrant. Thus, the impact of a police intrusion into a home may be mitigated where they inform the occupant that they have a search warrant. But police and reviewing courts must also be alive to the possibility that the execution of a warrant at a residence — being a means by which the police exercises control of </w:t>
      </w:r>
      <w:r w:rsidRPr="00F3290F">
        <w:rPr>
          <w:rFonts w:cs="Times New Roman"/>
          <w:i/>
        </w:rPr>
        <w:t xml:space="preserve">the home </w:t>
      </w:r>
      <w:r w:rsidRPr="00F3290F">
        <w:rPr>
          <w:rFonts w:cs="Times New Roman"/>
        </w:rPr>
        <w:t xml:space="preserve">— can itself </w:t>
      </w:r>
      <w:r w:rsidRPr="00F3290F">
        <w:rPr>
          <w:rFonts w:cs="Times New Roman"/>
          <w:i/>
        </w:rPr>
        <w:t>support</w:t>
      </w:r>
      <w:r w:rsidRPr="00F3290F">
        <w:rPr>
          <w:rFonts w:cs="Times New Roman"/>
        </w:rPr>
        <w:t xml:space="preserve"> the finding of a detention where it is also applied in such a manner as to take control of </w:t>
      </w:r>
      <w:r w:rsidRPr="00F3290F">
        <w:rPr>
          <w:rFonts w:cs="Times New Roman"/>
          <w:i/>
        </w:rPr>
        <w:t>the person</w:t>
      </w:r>
      <w:r w:rsidRPr="00F3290F">
        <w:rPr>
          <w:rFonts w:cs="Times New Roman"/>
        </w:rPr>
        <w:t>. This is precisely what occurred here: police ordered Mr. Lafrance to get dressed and leave, then monitored him as he made his way outside to a pre</w:t>
      </w:r>
      <w:r w:rsidRPr="00F3290F">
        <w:rPr>
          <w:rFonts w:cs="Times New Roman"/>
        </w:rPr>
        <w:noBreakHyphen/>
        <w:t>arranged encounter with a waiting Sgt. Eros.</w:t>
      </w:r>
    </w:p>
    <w:p w14:paraId="1351AC25" w14:textId="77777777" w:rsidR="000975C6" w:rsidRPr="00F3290F" w:rsidRDefault="000975C6" w:rsidP="000975C6">
      <w:pPr>
        <w:pStyle w:val="ParaNoNdepar-AltN"/>
        <w:rPr>
          <w:rFonts w:cs="Times New Roman"/>
        </w:rPr>
      </w:pPr>
      <w:r w:rsidRPr="00F3290F">
        <w:rPr>
          <w:rFonts w:cs="Times New Roman"/>
        </w:rPr>
        <w:lastRenderedPageBreak/>
        <w:t>The encounter continued after Sgt. Eros took over and made the request for a statement, and during the ride to the police station. I note that, in concluding that Mr. Lafrance was not detained at that time, the trial judge considered that he had agreed to go to the detachment to allay suspicion. My colleagues do the same, stressing Mr. Lafrance’s subjective perceptions as “par</w:t>
      </w:r>
      <w:r>
        <w:rPr>
          <w:rFonts w:cs="Times New Roman"/>
        </w:rPr>
        <w:t>ticularly significant” (para. 162</w:t>
      </w:r>
      <w:r w:rsidRPr="00F3290F">
        <w:rPr>
          <w:rFonts w:cs="Times New Roman"/>
        </w:rPr>
        <w:t>). The test is principally objective (</w:t>
      </w:r>
      <w:r w:rsidRPr="00F3290F">
        <w:rPr>
          <w:rFonts w:cs="Times New Roman"/>
          <w:i/>
        </w:rPr>
        <w:t>Le</w:t>
      </w:r>
      <w:r w:rsidRPr="00F3290F">
        <w:rPr>
          <w:rFonts w:cs="Times New Roman"/>
        </w:rPr>
        <w:t xml:space="preserve">, at para. 114). Undue focus on an individual’s subjective perception detracts from the rationales underlying the objective test (para. 115). Therefore, rather than focusing on “what was in the accused’s mind at a particular moment in time”, the inquiry is into “how the police behaved and, considering the totality of the </w:t>
      </w:r>
      <w:r>
        <w:rPr>
          <w:rFonts w:cs="Times New Roman"/>
        </w:rPr>
        <w:t xml:space="preserve">circumstances, how such </w:t>
      </w:r>
      <w:proofErr w:type="gramStart"/>
      <w:r>
        <w:rPr>
          <w:rFonts w:cs="Times New Roman"/>
        </w:rPr>
        <w:t>behavi[</w:t>
      </w:r>
      <w:proofErr w:type="gramEnd"/>
      <w:r>
        <w:rPr>
          <w:rFonts w:cs="Times New Roman"/>
        </w:rPr>
        <w:t>ou</w:t>
      </w:r>
      <w:r w:rsidRPr="00F3290F">
        <w:rPr>
          <w:rFonts w:cs="Times New Roman"/>
        </w:rPr>
        <w:t>r</w:t>
      </w:r>
      <w:r>
        <w:rPr>
          <w:rFonts w:cs="Times New Roman"/>
        </w:rPr>
        <w:t>]</w:t>
      </w:r>
      <w:r w:rsidRPr="00F3290F">
        <w:rPr>
          <w:rFonts w:cs="Times New Roman"/>
        </w:rPr>
        <w:t xml:space="preserve"> would be reasonably perceived” (para. 116). </w:t>
      </w:r>
    </w:p>
    <w:p w14:paraId="3F45B30D" w14:textId="77777777" w:rsidR="000975C6" w:rsidRPr="00F3290F" w:rsidRDefault="000975C6" w:rsidP="000975C6">
      <w:pPr>
        <w:pStyle w:val="ParaNoNdepar-AltN"/>
        <w:rPr>
          <w:rFonts w:cs="Times New Roman"/>
        </w:rPr>
      </w:pPr>
      <w:r w:rsidRPr="00F3290F">
        <w:rPr>
          <w:rFonts w:cs="Times New Roman"/>
        </w:rPr>
        <w:t xml:space="preserve">This is not to suggest that police are to be taken as detaining an individual by giving them a ride to the police station. The question is whether a reasonable person in the passenger’s shoes would believe that he or she could cease cooperating by asking the police to stop the vehicle and leave; the answer will depend on all the circumstances of the case (Coughlan and Luther, at p. 291), including what has already transpired. And given what had already transpired in this case, a reasonable person in Mr. Lafrance’s position would not in my judgment have felt remotely free to do so. </w:t>
      </w:r>
    </w:p>
    <w:p w14:paraId="6FF2C89F" w14:textId="77777777" w:rsidR="000975C6" w:rsidRPr="00F3290F" w:rsidRDefault="000975C6" w:rsidP="000975C6">
      <w:pPr>
        <w:pStyle w:val="ParaNoNdepar-AltN"/>
        <w:rPr>
          <w:rFonts w:cs="Times New Roman"/>
        </w:rPr>
      </w:pPr>
      <w:r w:rsidRPr="00F3290F">
        <w:rPr>
          <w:rFonts w:cs="Times New Roman"/>
        </w:rPr>
        <w:t>The encounter then persisted through a three</w:t>
      </w:r>
      <w:r w:rsidRPr="00F3290F">
        <w:rPr>
          <w:rFonts w:cs="Times New Roman"/>
        </w:rPr>
        <w:noBreakHyphen/>
        <w:t>and</w:t>
      </w:r>
      <w:r w:rsidRPr="00F3290F">
        <w:rPr>
          <w:rFonts w:cs="Times New Roman"/>
        </w:rPr>
        <w:noBreakHyphen/>
        <w:t>a</w:t>
      </w:r>
      <w:r w:rsidRPr="00F3290F">
        <w:rPr>
          <w:rFonts w:cs="Times New Roman"/>
        </w:rPr>
        <w:noBreakHyphen/>
        <w:t>half</w:t>
      </w:r>
      <w:r w:rsidRPr="00F3290F">
        <w:rPr>
          <w:rFonts w:cs="Times New Roman"/>
        </w:rPr>
        <w:noBreakHyphen/>
        <w:t xml:space="preserve">hour interview at the police station, in an interview room described by Sgt. Eros as a “secure environment”, accessible as I have already noted through two sets of locked doors. The “security” of that environment — comprising both the interview room and the </w:t>
      </w:r>
      <w:r w:rsidRPr="00F3290F">
        <w:rPr>
          <w:rFonts w:cs="Times New Roman"/>
        </w:rPr>
        <w:lastRenderedPageBreak/>
        <w:t xml:space="preserve">surrounding facility through which it was accessed — would tend to affirm in the mind of someone in Mr. Lafrance’s position that he or she is not free to leave at will. </w:t>
      </w:r>
    </w:p>
    <w:p w14:paraId="50075FDE" w14:textId="77777777" w:rsidR="000975C6" w:rsidRPr="00F3290F" w:rsidRDefault="000975C6" w:rsidP="000975C6">
      <w:pPr>
        <w:pStyle w:val="ParaNoNdepar-AltN"/>
        <w:rPr>
          <w:rFonts w:cs="Times New Roman"/>
        </w:rPr>
      </w:pPr>
      <w:r w:rsidRPr="00F3290F">
        <w:rPr>
          <w:rFonts w:cs="Times New Roman"/>
        </w:rPr>
        <w:t>In sum, this was a single, lengthy police encounter. While it spanned several locations, each of them have features — the overwhelming show of force in the intrusion into the home, the long ride to the police station and the secure environment for a lengthy interview — that, taken as a whole, support the view that someone in Mr. Lafrance’s position would reasonably have perceived that he or she could not leave (</w:t>
      </w:r>
      <w:r w:rsidRPr="00F3290F">
        <w:rPr>
          <w:rFonts w:cs="Times New Roman"/>
          <w:i/>
        </w:rPr>
        <w:t>Le</w:t>
      </w:r>
      <w:r w:rsidRPr="00F3290F">
        <w:rPr>
          <w:rFonts w:cs="Times New Roman"/>
        </w:rPr>
        <w:t>,</w:t>
      </w:r>
      <w:r w:rsidRPr="00F3290F">
        <w:rPr>
          <w:rFonts w:cs="Times New Roman"/>
          <w:i/>
        </w:rPr>
        <w:t xml:space="preserve"> </w:t>
      </w:r>
      <w:r w:rsidRPr="00F3290F">
        <w:rPr>
          <w:rFonts w:cs="Times New Roman"/>
        </w:rPr>
        <w:t>at para. 66). This supports a finding of detention.</w:t>
      </w:r>
    </w:p>
    <w:p w14:paraId="45F594E6" w14:textId="77777777" w:rsidR="000975C6" w:rsidRPr="00F3290F" w:rsidRDefault="000975C6" w:rsidP="000975C6">
      <w:pPr>
        <w:pStyle w:val="Title4LevelTitre4Niveau"/>
        <w:numPr>
          <w:ilvl w:val="3"/>
          <w:numId w:val="8"/>
        </w:numPr>
        <w:tabs>
          <w:tab w:val="clear" w:pos="1152"/>
        </w:tabs>
        <w:rPr>
          <w:rFonts w:cs="Times New Roman"/>
        </w:rPr>
      </w:pPr>
      <w:r w:rsidRPr="00F3290F">
        <w:rPr>
          <w:rFonts w:cs="Times New Roman"/>
        </w:rPr>
        <w:t>The Particular Circumstances of the Accused</w:t>
      </w:r>
    </w:p>
    <w:p w14:paraId="795E1FCE" w14:textId="77777777" w:rsidR="000975C6" w:rsidRPr="00F3290F" w:rsidRDefault="000975C6" w:rsidP="000975C6">
      <w:pPr>
        <w:pStyle w:val="ParaNoNdepar-AltN"/>
        <w:rPr>
          <w:rFonts w:cs="Times New Roman"/>
          <w:b/>
        </w:rPr>
      </w:pPr>
      <w:r w:rsidRPr="00F3290F">
        <w:rPr>
          <w:rFonts w:cs="Times New Roman"/>
          <w:lang w:bidi="en-US"/>
        </w:rPr>
        <w:t xml:space="preserve">The final </w:t>
      </w:r>
      <w:r w:rsidRPr="00F3290F">
        <w:rPr>
          <w:rFonts w:cs="Times New Roman"/>
          <w:i/>
          <w:lang w:bidi="en-US"/>
        </w:rPr>
        <w:t>Grant</w:t>
      </w:r>
      <w:r w:rsidRPr="00F3290F">
        <w:rPr>
          <w:rFonts w:cs="Times New Roman"/>
          <w:lang w:bidi="en-US"/>
        </w:rPr>
        <w:t xml:space="preserve"> factor requires a court to consider, where relevant, the individual’s “</w:t>
      </w:r>
      <w:proofErr w:type="gramStart"/>
      <w:r w:rsidRPr="00F3290F">
        <w:rPr>
          <w:rFonts w:cs="Times New Roman"/>
          <w:lang w:bidi="en-US"/>
        </w:rPr>
        <w:t>age[</w:t>
      </w:r>
      <w:proofErr w:type="gramEnd"/>
      <w:r w:rsidRPr="00F3290F">
        <w:rPr>
          <w:rFonts w:cs="Times New Roman"/>
          <w:lang w:bidi="en-US"/>
        </w:rPr>
        <w:t>,] physical stature[,] minority status[, and] level of sophistication” (</w:t>
      </w:r>
      <w:r w:rsidRPr="00F3290F">
        <w:rPr>
          <w:rFonts w:cs="Times New Roman"/>
          <w:i/>
          <w:lang w:bidi="en-US"/>
        </w:rPr>
        <w:t>Grant</w:t>
      </w:r>
      <w:r w:rsidRPr="00F3290F">
        <w:rPr>
          <w:rFonts w:cs="Times New Roman"/>
          <w:lang w:bidi="en-US"/>
        </w:rPr>
        <w:t>,</w:t>
      </w:r>
      <w:r w:rsidRPr="00F3290F">
        <w:rPr>
          <w:rFonts w:cs="Times New Roman"/>
          <w:i/>
          <w:lang w:bidi="en-US"/>
        </w:rPr>
        <w:t xml:space="preserve"> </w:t>
      </w:r>
      <w:r w:rsidRPr="00F3290F">
        <w:rPr>
          <w:rFonts w:cs="Times New Roman"/>
          <w:lang w:bidi="en-US"/>
        </w:rPr>
        <w:t xml:space="preserve">at para. 44(2)(c); </w:t>
      </w:r>
      <w:r w:rsidRPr="00F3290F">
        <w:rPr>
          <w:rFonts w:cs="Times New Roman"/>
          <w:i/>
          <w:lang w:bidi="en-US"/>
        </w:rPr>
        <w:t>Le</w:t>
      </w:r>
      <w:r w:rsidRPr="00F3290F">
        <w:rPr>
          <w:rFonts w:cs="Times New Roman"/>
          <w:lang w:bidi="en-US"/>
        </w:rPr>
        <w:t>,</w:t>
      </w:r>
      <w:r w:rsidRPr="00F3290F">
        <w:rPr>
          <w:rFonts w:cs="Times New Roman"/>
          <w:i/>
          <w:lang w:bidi="en-US"/>
        </w:rPr>
        <w:t xml:space="preserve"> </w:t>
      </w:r>
      <w:r w:rsidRPr="00F3290F">
        <w:rPr>
          <w:rFonts w:cs="Times New Roman"/>
          <w:lang w:bidi="en-US"/>
        </w:rPr>
        <w:t xml:space="preserve">at para. 31(c)). </w:t>
      </w:r>
    </w:p>
    <w:p w14:paraId="2AF72363" w14:textId="77777777" w:rsidR="000975C6" w:rsidRPr="00F3290F" w:rsidRDefault="000975C6" w:rsidP="000975C6">
      <w:pPr>
        <w:pStyle w:val="ParaNoNdepar-AltN"/>
        <w:rPr>
          <w:rFonts w:cs="Times New Roman"/>
        </w:rPr>
      </w:pPr>
      <w:r w:rsidRPr="00F3290F">
        <w:rPr>
          <w:rFonts w:cs="Times New Roman"/>
        </w:rPr>
        <w:t xml:space="preserve">While the trial judge acknowledged that Mr. Lafrance was young, Indigenous and had minimal police exposure at that time (para. 79), in my respectful view more was required to properly account for how the characteristics he quite rightly identified — Mr. Lafrance’s youth, his Indigenous background and his inexperience — might shape the perspective of the reasonable person in his shoes, imbued with those characteristics. These are not factors to be checked off a list; </w:t>
      </w:r>
      <w:r w:rsidRPr="00F3290F">
        <w:rPr>
          <w:rFonts w:cs="Times New Roman"/>
          <w:i/>
        </w:rPr>
        <w:t>Grant</w:t>
      </w:r>
      <w:r w:rsidRPr="00F3290F">
        <w:rPr>
          <w:rFonts w:cs="Times New Roman"/>
        </w:rPr>
        <w:t xml:space="preserve"> requires more than a straightforward acknowledgement of their presence, but actual consideration of how </w:t>
      </w:r>
      <w:r w:rsidRPr="00F3290F">
        <w:rPr>
          <w:rFonts w:cs="Times New Roman"/>
        </w:rPr>
        <w:lastRenderedPageBreak/>
        <w:t xml:space="preserve">these various characteristics might impact the reasonable view of the matter as held by someone in like circumstances. I turn now to doing just that. </w:t>
      </w:r>
    </w:p>
    <w:p w14:paraId="6615690D" w14:textId="77777777" w:rsidR="000975C6" w:rsidRPr="00F3290F" w:rsidRDefault="000975C6" w:rsidP="000975C6">
      <w:pPr>
        <w:pStyle w:val="Title5LevelTitre5Niveau"/>
        <w:numPr>
          <w:ilvl w:val="4"/>
          <w:numId w:val="8"/>
        </w:numPr>
        <w:tabs>
          <w:tab w:val="clear" w:pos="1728"/>
        </w:tabs>
        <w:ind w:left="1170"/>
        <w:rPr>
          <w:rFonts w:cs="Times New Roman"/>
        </w:rPr>
      </w:pPr>
      <w:r w:rsidRPr="00F3290F">
        <w:rPr>
          <w:rFonts w:cs="Times New Roman"/>
        </w:rPr>
        <w:t>Youth</w:t>
      </w:r>
    </w:p>
    <w:p w14:paraId="5E6BFAA0" w14:textId="77777777" w:rsidR="000975C6" w:rsidRPr="00F3290F" w:rsidRDefault="000975C6" w:rsidP="000975C6">
      <w:pPr>
        <w:pStyle w:val="ParaNoNdepar-AltN"/>
        <w:rPr>
          <w:rFonts w:cs="Times New Roman"/>
        </w:rPr>
      </w:pPr>
      <w:r w:rsidRPr="00F3290F">
        <w:rPr>
          <w:rFonts w:cs="Times New Roman"/>
        </w:rPr>
        <w:t xml:space="preserve">Mr. Lafrance’s youth — he was 19 years old — is a crucial consideration that I say, again respectfully, should have received more attention. </w:t>
      </w:r>
      <w:r w:rsidRPr="00F3290F">
        <w:rPr>
          <w:rFonts w:cs="Times New Roman"/>
          <w:lang w:bidi="en-US"/>
        </w:rPr>
        <w:t>A reasonable person’s perceptions are inevitably shaped by the knowledge and powers of discernment that comes with age and life experience (</w:t>
      </w:r>
      <w:r w:rsidRPr="00F3290F">
        <w:rPr>
          <w:rFonts w:cs="Times New Roman"/>
          <w:i/>
          <w:lang w:bidi="en-US"/>
        </w:rPr>
        <w:t>Le</w:t>
      </w:r>
      <w:r w:rsidRPr="00F3290F">
        <w:rPr>
          <w:rFonts w:cs="Times New Roman"/>
          <w:lang w:bidi="en-US"/>
        </w:rPr>
        <w:t>,</w:t>
      </w:r>
      <w:r w:rsidRPr="00F3290F">
        <w:rPr>
          <w:rFonts w:cs="Times New Roman"/>
          <w:i/>
          <w:lang w:bidi="en-US"/>
        </w:rPr>
        <w:t xml:space="preserve"> </w:t>
      </w:r>
      <w:r w:rsidRPr="00F3290F">
        <w:rPr>
          <w:rFonts w:cs="Times New Roman"/>
          <w:lang w:bidi="en-US"/>
        </w:rPr>
        <w:t>at para. 122). Youth — even the youth of early adulthood — aggravates the power imbalance between the state and the individual, making it “more pronounced, evident and acute” (para. 122). It is simply unrealistic to suggest that a reasonable 19</w:t>
      </w:r>
      <w:r w:rsidRPr="00F3290F">
        <w:rPr>
          <w:rFonts w:cs="Times New Roman"/>
          <w:lang w:bidi="en-US"/>
        </w:rPr>
        <w:noBreakHyphen/>
        <w:t>year</w:t>
      </w:r>
      <w:r w:rsidRPr="00F3290F">
        <w:rPr>
          <w:rFonts w:cs="Times New Roman"/>
          <w:lang w:bidi="en-US"/>
        </w:rPr>
        <w:noBreakHyphen/>
        <w:t xml:space="preserve">old will, even in the presence of police statements to the contrary, feel anything but constrained to respond positively to the request to give a statement, following immediately upon the sort of police entry into his home that occurred here. </w:t>
      </w:r>
    </w:p>
    <w:p w14:paraId="6F7AC355" w14:textId="77777777" w:rsidR="000975C6" w:rsidRPr="00F3290F" w:rsidRDefault="000975C6" w:rsidP="000975C6">
      <w:pPr>
        <w:pStyle w:val="Title5LevelTitre5Niveau"/>
        <w:numPr>
          <w:ilvl w:val="4"/>
          <w:numId w:val="8"/>
        </w:numPr>
        <w:tabs>
          <w:tab w:val="clear" w:pos="1728"/>
        </w:tabs>
        <w:ind w:left="1170"/>
        <w:rPr>
          <w:rFonts w:cs="Times New Roman"/>
        </w:rPr>
      </w:pPr>
      <w:r w:rsidRPr="00F3290F">
        <w:rPr>
          <w:rFonts w:cs="Times New Roman"/>
        </w:rPr>
        <w:t>Race</w:t>
      </w:r>
    </w:p>
    <w:p w14:paraId="53A493B5" w14:textId="77777777" w:rsidR="000975C6" w:rsidRPr="00F3290F" w:rsidRDefault="000975C6" w:rsidP="000975C6">
      <w:pPr>
        <w:pStyle w:val="ParaNoNdepar-AltN"/>
        <w:rPr>
          <w:rFonts w:cs="Times New Roman"/>
        </w:rPr>
      </w:pPr>
      <w:r w:rsidRPr="00F3290F">
        <w:rPr>
          <w:rFonts w:cs="Times New Roman"/>
          <w:lang w:bidi="en-US"/>
        </w:rPr>
        <w:t xml:space="preserve">This Court in </w:t>
      </w:r>
      <w:r w:rsidRPr="00F3290F">
        <w:rPr>
          <w:rFonts w:cs="Times New Roman"/>
          <w:i/>
        </w:rPr>
        <w:t>Le</w:t>
      </w:r>
      <w:r w:rsidRPr="00F3290F">
        <w:rPr>
          <w:rFonts w:cs="Times New Roman"/>
        </w:rPr>
        <w:t xml:space="preserve"> emphasized that the objective analysis in </w:t>
      </w:r>
      <w:r w:rsidRPr="00F3290F">
        <w:rPr>
          <w:rFonts w:cs="Times New Roman"/>
          <w:i/>
        </w:rPr>
        <w:t>Grant</w:t>
      </w:r>
      <w:r w:rsidRPr="00F3290F">
        <w:rPr>
          <w:rFonts w:cs="Times New Roman"/>
        </w:rPr>
        <w:t xml:space="preserve"> must be applied in a manner that accounts for the distinct experiences and particular knowledge of racialized communities in Canada:</w:t>
      </w:r>
    </w:p>
    <w:p w14:paraId="6BC35C18" w14:textId="77777777" w:rsidR="000975C6" w:rsidRPr="00F3290F" w:rsidRDefault="000975C6" w:rsidP="000975C6">
      <w:pPr>
        <w:pStyle w:val="Citation-AltC"/>
      </w:pPr>
      <w:r w:rsidRPr="00F3290F">
        <w:tab/>
        <w:t xml:space="preserve">In </w:t>
      </w:r>
      <w:r w:rsidRPr="00F3290F">
        <w:rPr>
          <w:i/>
        </w:rPr>
        <w:t>Grant</w:t>
      </w:r>
      <w:r w:rsidRPr="00F3290F">
        <w:t xml:space="preserve">, this Court recognized how the legal standard on which a detention is measured is based on a reasonable person in like circumstances and that this norm needs to account for diverse realities. By expressly including the race of the accused as a potentially relevant consideration, </w:t>
      </w:r>
      <w:r w:rsidRPr="00F3290F">
        <w:lastRenderedPageBreak/>
        <w:t xml:space="preserve">this Court acknowledged that, based on distinct experiences and particular knowledge, various groups of people may have their own history with law enforcement and that this experience and knowledge could bear on whether and when a detention has reasonably occurred. Thus, to truly engage in the “realistic appraisal of the entire interaction”, as required in </w:t>
      </w:r>
      <w:r w:rsidRPr="00F3290F">
        <w:rPr>
          <w:i/>
        </w:rPr>
        <w:t>Grant</w:t>
      </w:r>
      <w:r w:rsidRPr="00F3290F">
        <w:t xml:space="preserve"> (at para. 32), courts must appreciate that individuals in some communities may have different experiences and relationships with police than others and such may impact upon their reasonable perceptions of whether and when they are being detained. [para. 73]</w:t>
      </w:r>
    </w:p>
    <w:p w14:paraId="40B100A7" w14:textId="77777777" w:rsidR="000975C6" w:rsidRPr="00F3290F" w:rsidRDefault="000975C6" w:rsidP="000975C6">
      <w:pPr>
        <w:pStyle w:val="ParaNoNdepar-AltN"/>
        <w:rPr>
          <w:rFonts w:cs="Times New Roman"/>
        </w:rPr>
      </w:pPr>
      <w:r w:rsidRPr="00F3290F">
        <w:rPr>
          <w:rFonts w:cs="Times New Roman"/>
        </w:rPr>
        <w:t>The question that trial judges must answer is “how a reasonable person of a similar racial background would perceive the interaction with the police” (</w:t>
      </w:r>
      <w:r w:rsidRPr="00F3290F">
        <w:rPr>
          <w:rFonts w:cs="Times New Roman"/>
          <w:i/>
        </w:rPr>
        <w:t>Le</w:t>
      </w:r>
      <w:r w:rsidRPr="00F3290F">
        <w:rPr>
          <w:rFonts w:cs="Times New Roman"/>
        </w:rPr>
        <w:t>,</w:t>
      </w:r>
      <w:r w:rsidRPr="00F3290F">
        <w:rPr>
          <w:rFonts w:cs="Times New Roman"/>
          <w:i/>
        </w:rPr>
        <w:t xml:space="preserve"> </w:t>
      </w:r>
      <w:r w:rsidRPr="00F3290F">
        <w:rPr>
          <w:rFonts w:cs="Times New Roman"/>
        </w:rPr>
        <w:t>at para. 75). To answer this question, courts must take into consideration “the larger, historic and social context of race relations between the police and the various racial groups and individuals in our society” (</w:t>
      </w:r>
      <w:r w:rsidRPr="00F3290F">
        <w:rPr>
          <w:rFonts w:cs="Times New Roman"/>
          <w:i/>
        </w:rPr>
        <w:t>Le</w:t>
      </w:r>
      <w:r w:rsidRPr="00F3290F">
        <w:rPr>
          <w:rFonts w:cs="Times New Roman"/>
        </w:rPr>
        <w:t>,</w:t>
      </w:r>
      <w:r w:rsidRPr="00F3290F">
        <w:rPr>
          <w:rFonts w:cs="Times New Roman"/>
          <w:i/>
        </w:rPr>
        <w:t xml:space="preserve"> </w:t>
      </w:r>
      <w:r w:rsidRPr="00F3290F">
        <w:rPr>
          <w:rFonts w:cs="Times New Roman"/>
        </w:rPr>
        <w:t>at para. 75). The reasonable person in an accused’s shoes is presumed to be aware of this (</w:t>
      </w:r>
      <w:r w:rsidRPr="00F3290F">
        <w:rPr>
          <w:rFonts w:cs="Times New Roman"/>
          <w:i/>
        </w:rPr>
        <w:t>Le</w:t>
      </w:r>
      <w:r w:rsidRPr="00F3290F">
        <w:rPr>
          <w:rFonts w:cs="Times New Roman"/>
        </w:rPr>
        <w:t>,</w:t>
      </w:r>
      <w:r w:rsidRPr="00F3290F">
        <w:rPr>
          <w:rFonts w:cs="Times New Roman"/>
          <w:i/>
        </w:rPr>
        <w:t xml:space="preserve"> </w:t>
      </w:r>
      <w:r w:rsidRPr="00F3290F">
        <w:rPr>
          <w:rFonts w:cs="Times New Roman"/>
        </w:rPr>
        <w:t>at para. 75). Moreover, this consideration is to be undertaken with sensitivity and prudence. Even in the absence of testimony on the point, trial judges assessing whether a racialized person was detained must be alive to the potential significance of this consideration (</w:t>
      </w:r>
      <w:r w:rsidRPr="00F3290F">
        <w:rPr>
          <w:rFonts w:cs="Times New Roman"/>
          <w:i/>
        </w:rPr>
        <w:t>Le</w:t>
      </w:r>
      <w:r w:rsidRPr="00F3290F">
        <w:rPr>
          <w:rFonts w:cs="Times New Roman"/>
        </w:rPr>
        <w:t xml:space="preserve">, at paras. 98 and 106; </w:t>
      </w:r>
      <w:r w:rsidRPr="00F3290F">
        <w:rPr>
          <w:rFonts w:cs="Times New Roman"/>
          <w:i/>
        </w:rPr>
        <w:t>R. v. Theriault</w:t>
      </w:r>
      <w:r w:rsidRPr="00F3290F">
        <w:rPr>
          <w:rFonts w:cs="Times New Roman"/>
        </w:rPr>
        <w:t xml:space="preserve">, 2021 ONCA 517, 157 O.R. (3d) 241, at para. 143). </w:t>
      </w:r>
    </w:p>
    <w:p w14:paraId="6172CAED" w14:textId="77777777" w:rsidR="000975C6" w:rsidRPr="00F3290F" w:rsidRDefault="000975C6" w:rsidP="000975C6">
      <w:pPr>
        <w:pStyle w:val="ParaNoNdepar-AltN"/>
        <w:rPr>
          <w:rFonts w:cs="Times New Roman"/>
        </w:rPr>
      </w:pPr>
      <w:r w:rsidRPr="00F3290F">
        <w:rPr>
          <w:rFonts w:cs="Times New Roman"/>
        </w:rPr>
        <w:t>As recognized by the trial judge, Mr. Lafrance is Indigenous. As such, he is a member of a population that continues to be disproportionally subjected to police encounters and overrepresented in the criminal justice system (</w:t>
      </w:r>
      <w:r w:rsidRPr="00F3290F">
        <w:rPr>
          <w:rFonts w:cs="Times New Roman"/>
          <w:i/>
        </w:rPr>
        <w:t>R. v. Gladue</w:t>
      </w:r>
      <w:r w:rsidRPr="00F3290F">
        <w:rPr>
          <w:rFonts w:cs="Times New Roman"/>
        </w:rPr>
        <w:t>,</w:t>
      </w:r>
      <w:r w:rsidRPr="00F3290F">
        <w:rPr>
          <w:rFonts w:cs="Times New Roman"/>
          <w:i/>
        </w:rPr>
        <w:t xml:space="preserve"> </w:t>
      </w:r>
      <w:r w:rsidRPr="00F3290F">
        <w:rPr>
          <w:rFonts w:cs="Times New Roman"/>
        </w:rPr>
        <w:t>[1999] 1 S.C.R. 688,</w:t>
      </w:r>
      <w:r w:rsidRPr="00F3290F">
        <w:rPr>
          <w:rFonts w:cs="Times New Roman"/>
          <w:i/>
        </w:rPr>
        <w:t xml:space="preserve"> </w:t>
      </w:r>
      <w:r w:rsidRPr="00F3290F">
        <w:rPr>
          <w:rFonts w:cs="Times New Roman"/>
        </w:rPr>
        <w:t xml:space="preserve">at paras. 58-65; </w:t>
      </w:r>
      <w:r w:rsidRPr="00F3290F">
        <w:rPr>
          <w:rFonts w:cs="Times New Roman"/>
          <w:i/>
        </w:rPr>
        <w:t>R. v. Ipeelee</w:t>
      </w:r>
      <w:r w:rsidRPr="00F3290F">
        <w:rPr>
          <w:rFonts w:cs="Times New Roman"/>
        </w:rPr>
        <w:t>,</w:t>
      </w:r>
      <w:r w:rsidRPr="00F3290F">
        <w:rPr>
          <w:rFonts w:cs="Times New Roman"/>
          <w:i/>
        </w:rPr>
        <w:t xml:space="preserve"> </w:t>
      </w:r>
      <w:r w:rsidRPr="00F3290F">
        <w:rPr>
          <w:rFonts w:cs="Times New Roman"/>
        </w:rPr>
        <w:t xml:space="preserve">2012 SCC 13, [2012] 1 S.C.R. 433, at paras. 57-60; </w:t>
      </w:r>
      <w:r w:rsidRPr="00F3290F">
        <w:rPr>
          <w:rFonts w:cs="Times New Roman"/>
          <w:i/>
        </w:rPr>
        <w:t>Le</w:t>
      </w:r>
      <w:r w:rsidRPr="00F3290F">
        <w:rPr>
          <w:rFonts w:cs="Times New Roman"/>
        </w:rPr>
        <w:t xml:space="preserve">, at paras. 90-97 and 108). The assessment of whether an Indigenous person was detained must be mindful of “[g]enerations of systematic racism, discriminatory policies and practices directed at Indigenous people” and of the role of </w:t>
      </w:r>
      <w:r w:rsidRPr="00F3290F">
        <w:rPr>
          <w:rFonts w:cs="Times New Roman"/>
        </w:rPr>
        <w:lastRenderedPageBreak/>
        <w:t xml:space="preserve">police in implementing these policies and practices </w:t>
      </w:r>
      <w:r>
        <w:rPr>
          <w:rFonts w:cs="Times New Roman"/>
        </w:rPr>
        <w:t>(Statistics Canada</w:t>
      </w:r>
      <w:r w:rsidRPr="00F3290F">
        <w:rPr>
          <w:rFonts w:cs="Times New Roman"/>
        </w:rPr>
        <w:t xml:space="preserve">, </w:t>
      </w:r>
      <w:r w:rsidRPr="00927F13">
        <w:rPr>
          <w:rFonts w:cs="Times New Roman"/>
          <w:i/>
        </w:rPr>
        <w:t xml:space="preserve">Perceptions of and experiences with police and the justice system among the Black and Indigenous populations in Canada </w:t>
      </w:r>
      <w:r w:rsidRPr="00F3290F">
        <w:rPr>
          <w:rFonts w:cs="Times New Roman"/>
          <w:lang w:val="en-US"/>
        </w:rPr>
        <w:t>(February 2022</w:t>
      </w:r>
      <w:r>
        <w:rPr>
          <w:rFonts w:cs="Times New Roman"/>
          <w:lang w:val="en-US"/>
        </w:rPr>
        <w:t>)</w:t>
      </w:r>
      <w:r w:rsidRPr="00F3290F">
        <w:rPr>
          <w:rFonts w:cs="Times New Roman"/>
          <w:lang w:val="en-US"/>
        </w:rPr>
        <w:t>, at p. 12</w:t>
      </w:r>
      <w:r w:rsidRPr="00F3290F">
        <w:rPr>
          <w:rFonts w:cs="Times New Roman"/>
        </w:rPr>
        <w:t>). This has fostered mistrust, confirmed by the finding of a February 2022 study that “[a] higher proportion of Indigenous people under 40 felt police were doing poorly at enforcing the laws, promptly responding to calls, ensuring the safety of citizens, and treating people fairly compared to the similarly aged non</w:t>
      </w:r>
      <w:r w:rsidRPr="00F3290F">
        <w:rPr>
          <w:rFonts w:cs="Times New Roman"/>
        </w:rPr>
        <w:noBreakHyphen/>
        <w:t>Indigenous, non</w:t>
      </w:r>
      <w:r w:rsidRPr="00F3290F">
        <w:rPr>
          <w:rFonts w:cs="Times New Roman"/>
        </w:rPr>
        <w:noBreakHyphen/>
        <w:t>visible minority population” (</w:t>
      </w:r>
      <w:r>
        <w:rPr>
          <w:rFonts w:cs="Times New Roman"/>
        </w:rPr>
        <w:t>Statistics Canada</w:t>
      </w:r>
      <w:r w:rsidRPr="00F3290F">
        <w:rPr>
          <w:rFonts w:cs="Times New Roman"/>
        </w:rPr>
        <w:t>, at p. 11). This finding applied equally to older Indigenous people (</w:t>
      </w:r>
      <w:r>
        <w:rPr>
          <w:rFonts w:cs="Times New Roman"/>
        </w:rPr>
        <w:t>Statistics Canada</w:t>
      </w:r>
      <w:r w:rsidRPr="00F3290F">
        <w:rPr>
          <w:rFonts w:cs="Times New Roman"/>
        </w:rPr>
        <w:t xml:space="preserve">, at p. 11). </w:t>
      </w:r>
    </w:p>
    <w:p w14:paraId="0BDFD226" w14:textId="77777777" w:rsidR="000975C6" w:rsidRPr="00F3290F" w:rsidRDefault="000975C6" w:rsidP="000975C6">
      <w:pPr>
        <w:pStyle w:val="ParaNoNdepar-AltN"/>
        <w:rPr>
          <w:rFonts w:cs="Times New Roman"/>
        </w:rPr>
      </w:pPr>
      <w:r w:rsidRPr="00F3290F">
        <w:rPr>
          <w:rFonts w:cs="Times New Roman"/>
        </w:rPr>
        <w:t>This consideration will often weigh in favo</w:t>
      </w:r>
      <w:r>
        <w:rPr>
          <w:rFonts w:cs="Times New Roman"/>
        </w:rPr>
        <w:t>u</w:t>
      </w:r>
      <w:r w:rsidRPr="00F3290F">
        <w:rPr>
          <w:rFonts w:cs="Times New Roman"/>
        </w:rPr>
        <w:t xml:space="preserve">r of finding a detention, but not invariably. A court cannot simply assume that all Indigenous people’s experiences with the police are </w:t>
      </w:r>
      <w:r w:rsidRPr="00F3290F">
        <w:rPr>
          <w:rFonts w:cs="Times New Roman"/>
          <w:i/>
        </w:rPr>
        <w:t>Charter</w:t>
      </w:r>
      <w:r w:rsidRPr="00F3290F">
        <w:rPr>
          <w:rFonts w:cs="Times New Roman"/>
        </w:rPr>
        <w:t xml:space="preserve"> non</w:t>
      </w:r>
      <w:r w:rsidRPr="00F3290F">
        <w:rPr>
          <w:rFonts w:cs="Times New Roman"/>
        </w:rPr>
        <w:noBreakHyphen/>
        <w:t>compliant or otherwise oppressive. And not all Indigenous people will be vulnerable, at all or in the same way, when interacting with police (</w:t>
      </w:r>
      <w:r w:rsidRPr="00F3290F">
        <w:rPr>
          <w:rFonts w:cs="Times New Roman"/>
          <w:lang w:val="en-US" w:bidi="en-US"/>
        </w:rPr>
        <w:t xml:space="preserve">K. G. Watkins, “The Vulnerability of Aboriginal Suspects When Questioned by Police: Mitigating Risk and Maximizing the Reliability of Statement Evidence” (2016), 63 </w:t>
      </w:r>
      <w:r w:rsidRPr="00F3290F">
        <w:rPr>
          <w:rFonts w:cs="Times New Roman"/>
          <w:i/>
          <w:lang w:val="en-US" w:bidi="en-US"/>
        </w:rPr>
        <w:t>Crim. L.Q.</w:t>
      </w:r>
      <w:r w:rsidRPr="00F3290F">
        <w:rPr>
          <w:rFonts w:cs="Times New Roman"/>
          <w:lang w:val="en-US" w:bidi="en-US"/>
        </w:rPr>
        <w:t xml:space="preserve"> 474, at p. 479</w:t>
      </w:r>
      <w:r w:rsidRPr="00F3290F">
        <w:rPr>
          <w:rFonts w:cs="Times New Roman"/>
        </w:rPr>
        <w:t xml:space="preserve">). The point is not that </w:t>
      </w:r>
      <w:r w:rsidRPr="00F3290F">
        <w:rPr>
          <w:rFonts w:cs="Times New Roman"/>
          <w:i/>
        </w:rPr>
        <w:t xml:space="preserve">Grant </w:t>
      </w:r>
      <w:r w:rsidRPr="00F3290F">
        <w:rPr>
          <w:rFonts w:cs="Times New Roman"/>
        </w:rPr>
        <w:t xml:space="preserve">or </w:t>
      </w:r>
      <w:r w:rsidRPr="00F3290F">
        <w:rPr>
          <w:rFonts w:cs="Times New Roman"/>
          <w:i/>
        </w:rPr>
        <w:t>Le</w:t>
      </w:r>
      <w:r w:rsidRPr="00F3290F">
        <w:rPr>
          <w:rFonts w:cs="Times New Roman"/>
        </w:rPr>
        <w:t xml:space="preserve"> leave no room for nuance in evaluating interactions between Indigenous people and the police; it is, rather, that trial judges must be alive to (1) “the relational aspect” between the police and Indigenous persons (</w:t>
      </w:r>
      <w:r w:rsidRPr="00F3290F">
        <w:rPr>
          <w:rFonts w:cs="Times New Roman"/>
          <w:i/>
        </w:rPr>
        <w:t>Le</w:t>
      </w:r>
      <w:r w:rsidRPr="00F3290F">
        <w:rPr>
          <w:rFonts w:cs="Times New Roman"/>
        </w:rPr>
        <w:t>,</w:t>
      </w:r>
      <w:r w:rsidRPr="00F3290F">
        <w:rPr>
          <w:rFonts w:cs="Times New Roman"/>
          <w:i/>
        </w:rPr>
        <w:t xml:space="preserve"> </w:t>
      </w:r>
      <w:r w:rsidRPr="00F3290F">
        <w:rPr>
          <w:rFonts w:cs="Times New Roman"/>
        </w:rPr>
        <w:t>at para. 81), characterized as it has been by an overwhelming power imbalance and history of discrimination; and (2) the resulting possibility that their interactions would reasonably be perceived by Indigenous persons as depriving them of choice to cooperate.</w:t>
      </w:r>
    </w:p>
    <w:p w14:paraId="248DAC6F" w14:textId="77777777" w:rsidR="000975C6" w:rsidRPr="00F3290F" w:rsidRDefault="000975C6" w:rsidP="000975C6">
      <w:pPr>
        <w:pStyle w:val="ParaNoNdepar-AltN"/>
        <w:rPr>
          <w:rFonts w:cs="Times New Roman"/>
        </w:rPr>
      </w:pPr>
      <w:r w:rsidRPr="00F3290F">
        <w:rPr>
          <w:rFonts w:cs="Times New Roman"/>
        </w:rPr>
        <w:lastRenderedPageBreak/>
        <w:t xml:space="preserve">Taking the foregoing and the record of this case into account, it would appear that Mr. Lafrance’s Indigenous background played no significant role in shaping his perception of his obligation to cooperate with the police on March 19. But, to be clear, that is not the question. Again, the inquiry is </w:t>
      </w:r>
      <w:r w:rsidRPr="00F3290F">
        <w:rPr>
          <w:rFonts w:cs="Times New Roman"/>
          <w:i/>
        </w:rPr>
        <w:t>objective</w:t>
      </w:r>
      <w:r w:rsidRPr="00F3290F">
        <w:rPr>
          <w:rFonts w:cs="Times New Roman"/>
        </w:rPr>
        <w:t>, not grounded in his subjective impressions. The question, then, is whether the reasonable person in Mr. Lafrance’s position would understand his or her options as limited to cooperating by reason of an Indigenous background. On this slender record, and absent any evidence to the contrary regarding Mr. Lafrance</w:t>
      </w:r>
      <w:r w:rsidRPr="00F3290F">
        <w:rPr>
          <w:rFonts w:cs="Times New Roman"/>
          <w:lang w:val="en-US"/>
        </w:rPr>
        <w:t>’s circumstances, his Indigenous background is a factor that weighs somewhat in favo</w:t>
      </w:r>
      <w:r>
        <w:rPr>
          <w:rFonts w:cs="Times New Roman"/>
          <w:lang w:val="en-US"/>
        </w:rPr>
        <w:t>u</w:t>
      </w:r>
      <w:r w:rsidRPr="00F3290F">
        <w:rPr>
          <w:rFonts w:cs="Times New Roman"/>
          <w:lang w:val="en-US"/>
        </w:rPr>
        <w:t xml:space="preserve">r of detention, albeit not heavily. This accounts for what I have already described as the overrepresentation of Indigenous peoples in the criminal justice system, and </w:t>
      </w:r>
      <w:r w:rsidRPr="00F3290F">
        <w:rPr>
          <w:rFonts w:cs="Times New Roman"/>
        </w:rPr>
        <w:t>the “relational aspect” of the interaction between Indigenous people and police that must always be borne in mind.</w:t>
      </w:r>
    </w:p>
    <w:p w14:paraId="6A1CF3BD" w14:textId="77777777" w:rsidR="000975C6" w:rsidRPr="00F3290F" w:rsidRDefault="000975C6" w:rsidP="000975C6">
      <w:pPr>
        <w:pStyle w:val="Title5LevelTitre5Niveau"/>
        <w:numPr>
          <w:ilvl w:val="4"/>
          <w:numId w:val="8"/>
        </w:numPr>
        <w:tabs>
          <w:tab w:val="clear" w:pos="1728"/>
        </w:tabs>
        <w:ind w:left="1170"/>
        <w:rPr>
          <w:rFonts w:cs="Times New Roman"/>
        </w:rPr>
      </w:pPr>
      <w:r w:rsidRPr="00F3290F">
        <w:rPr>
          <w:rFonts w:cs="Times New Roman"/>
        </w:rPr>
        <w:t>Level of Sophistication</w:t>
      </w:r>
    </w:p>
    <w:p w14:paraId="73BF9C8F" w14:textId="77777777" w:rsidR="000975C6" w:rsidRPr="00F3290F" w:rsidRDefault="000975C6" w:rsidP="000975C6">
      <w:pPr>
        <w:pStyle w:val="ParaNoNdepar-AltN"/>
        <w:rPr>
          <w:rFonts w:cs="Times New Roman"/>
        </w:rPr>
      </w:pPr>
      <w:r w:rsidRPr="00F3290F">
        <w:rPr>
          <w:rFonts w:cs="Times New Roman"/>
        </w:rPr>
        <w:t>The trial judge held that Mr. Lafrance was a “not unsophisticated” individual with minimal exposure to the police (paras. 79 and 81). He characterized Mr. Lafrance, a high school graduate who had studied power engineering, as intelligent. I see no palpable and overriding error in these findings.</w:t>
      </w:r>
    </w:p>
    <w:p w14:paraId="18E6004E" w14:textId="77777777" w:rsidR="000975C6" w:rsidRPr="00F3290F" w:rsidRDefault="000975C6" w:rsidP="000975C6">
      <w:pPr>
        <w:pStyle w:val="ParaNoNdepar-AltN"/>
        <w:rPr>
          <w:rFonts w:cs="Times New Roman"/>
        </w:rPr>
      </w:pPr>
      <w:r w:rsidRPr="00F3290F">
        <w:rPr>
          <w:rFonts w:cs="Times New Roman"/>
        </w:rPr>
        <w:t xml:space="preserve">My point of respectful departure from the trial judge is in applying these findings to decide how a reasonable person in Mr. Lafrance’s position would perceive his options in his interactions with the police. “Sophistication”, without elaboration, may be an unhelpful ascription; here, the trial judge noted only that “[a]t best, the </w:t>
      </w:r>
      <w:r w:rsidRPr="00F3290F">
        <w:rPr>
          <w:rFonts w:cs="Times New Roman"/>
        </w:rPr>
        <w:lastRenderedPageBreak/>
        <w:t xml:space="preserve">accused was naïve in deciding his participation would counter police suspicion” (para. 81), which tends to undermine, not explain, the ascription. “Intelligence”, while more precise, does not necessarily connote an understanding of legal rights, including the right to refuse to cooperate with the police. Mr. Lafrance, for example, had never before found himself in circumstances requiring him to know his rights (which, if anything, suggests a </w:t>
      </w:r>
      <w:r w:rsidRPr="00F3290F">
        <w:rPr>
          <w:rFonts w:cs="Times New Roman"/>
          <w:i/>
        </w:rPr>
        <w:t>lack</w:t>
      </w:r>
      <w:r w:rsidRPr="00F3290F">
        <w:rPr>
          <w:rFonts w:cs="Times New Roman"/>
        </w:rPr>
        <w:t xml:space="preserve"> of sophistication in a crucial respect here).</w:t>
      </w:r>
    </w:p>
    <w:p w14:paraId="4AA6689B" w14:textId="77777777" w:rsidR="000975C6" w:rsidRPr="00F3290F" w:rsidRDefault="000975C6" w:rsidP="000975C6">
      <w:pPr>
        <w:pStyle w:val="ParaNoNdepar-AltN"/>
        <w:rPr>
          <w:rFonts w:cs="Times New Roman"/>
        </w:rPr>
      </w:pPr>
      <w:r w:rsidRPr="00F3290F">
        <w:rPr>
          <w:rFonts w:cs="Times New Roman"/>
        </w:rPr>
        <w:t xml:space="preserve">All told, the trial judge’s finding of Mr. Lafrance’s sophistication (or, more accurately, lack of </w:t>
      </w:r>
      <w:r w:rsidRPr="00F3290F">
        <w:rPr>
          <w:rFonts w:cs="Times New Roman"/>
          <w:i/>
        </w:rPr>
        <w:t>un</w:t>
      </w:r>
      <w:r w:rsidRPr="00F3290F">
        <w:rPr>
          <w:rFonts w:cs="Times New Roman"/>
        </w:rPr>
        <w:t xml:space="preserve">sophistication) does not undermine the case for finding a detention. Rather, his lack of experience with the police and unfamiliarity with his </w:t>
      </w:r>
      <w:r w:rsidRPr="00F3290F">
        <w:rPr>
          <w:rFonts w:cs="Times New Roman"/>
          <w:i/>
        </w:rPr>
        <w:t xml:space="preserve">Charter </w:t>
      </w:r>
      <w:r w:rsidRPr="00F3290F">
        <w:rPr>
          <w:rFonts w:cs="Times New Roman"/>
        </w:rPr>
        <w:t>rights bolsters it.</w:t>
      </w:r>
    </w:p>
    <w:p w14:paraId="6D07EBF4" w14:textId="77777777" w:rsidR="000975C6" w:rsidRPr="00F3290F" w:rsidRDefault="000975C6" w:rsidP="000975C6">
      <w:pPr>
        <w:pStyle w:val="Title3LevelTitre3Niveau"/>
        <w:numPr>
          <w:ilvl w:val="2"/>
          <w:numId w:val="8"/>
        </w:numPr>
        <w:rPr>
          <w:rFonts w:cs="Times New Roman"/>
        </w:rPr>
      </w:pPr>
      <w:bookmarkStart w:id="30" w:name="_Toc97643548"/>
      <w:bookmarkStart w:id="31" w:name="_Toc103352569"/>
      <w:bookmarkStart w:id="32" w:name="_Toc103687577"/>
      <w:r w:rsidRPr="00F3290F">
        <w:rPr>
          <w:rFonts w:cs="Times New Roman"/>
        </w:rPr>
        <w:t>Conclusion Regarding the Encounter of March 19, 2015</w:t>
      </w:r>
      <w:bookmarkEnd w:id="30"/>
      <w:bookmarkEnd w:id="31"/>
      <w:bookmarkEnd w:id="32"/>
    </w:p>
    <w:p w14:paraId="63F3F430" w14:textId="77777777" w:rsidR="000975C6" w:rsidRPr="00F3290F" w:rsidRDefault="000975C6" w:rsidP="000975C6">
      <w:pPr>
        <w:pStyle w:val="ParaNoNdepar-AltN"/>
        <w:rPr>
          <w:rFonts w:cs="Times New Roman"/>
        </w:rPr>
      </w:pPr>
      <w:r w:rsidRPr="00F3290F">
        <w:rPr>
          <w:rFonts w:cs="Times New Roman"/>
        </w:rPr>
        <w:t xml:space="preserve">All three </w:t>
      </w:r>
      <w:r w:rsidRPr="00F3290F">
        <w:rPr>
          <w:rFonts w:cs="Times New Roman"/>
          <w:i/>
        </w:rPr>
        <w:t>Grant</w:t>
      </w:r>
      <w:r w:rsidRPr="00F3290F">
        <w:rPr>
          <w:rFonts w:cs="Times New Roman"/>
        </w:rPr>
        <w:t xml:space="preserve"> factors — the circumstances giving rise to the encounter, the nature of the police conduct, and the particular characteristics or circumstances of the individual — weigh decisively here, on the facts of this case, in favour of finding that Mr. Lafrance was first detained when he, a young Indigenous man with minimal police exposure, was awoken in the early morning by the police inside his home, and commanded to get dressed and leave. He continued to be detained throughout the encounter, including outside the home, in the police van and in the interview room of the police station, all of which involved the near-continuous supervision and presence of the police, until the conclusion of his interview on March 19, and I so find. </w:t>
      </w:r>
    </w:p>
    <w:p w14:paraId="20EBBBB8" w14:textId="77777777" w:rsidR="000975C6" w:rsidRPr="00F3290F" w:rsidRDefault="000975C6" w:rsidP="000975C6">
      <w:pPr>
        <w:pStyle w:val="ParaNoNdepar-AltN"/>
        <w:rPr>
          <w:rFonts w:cs="Times New Roman"/>
        </w:rPr>
      </w:pPr>
      <w:r w:rsidRPr="00F3290F">
        <w:rPr>
          <w:rFonts w:cs="Times New Roman"/>
        </w:rPr>
        <w:lastRenderedPageBreak/>
        <w:t xml:space="preserve">It follows that police were required to inform Mr. Lafrance of his s. 10(b) right to counsel and to afford him the opportunity of exercising it, and breached that right by failing to do so. My colleagues say that this conclusion means that the combination of an accused young person and the execution of a search warrant will always result in a finding of detention (para. </w:t>
      </w:r>
      <w:r>
        <w:rPr>
          <w:rFonts w:cs="Times New Roman"/>
        </w:rPr>
        <w:t>160</w:t>
      </w:r>
      <w:r w:rsidRPr="00F3290F">
        <w:rPr>
          <w:rFonts w:cs="Times New Roman"/>
        </w:rPr>
        <w:t xml:space="preserve">). But that is not so; it is only where the police execute a warrant in a way that leads the reasonable person in the accused’s shoes to believe that, in the entirety of the circumstances, he or she is not free to leave, that a detention would arise. Such was the case here: given the overwhelming force in which a team of police officers arrived at Mr. Lafrance’s home, ordered him to get dressed and leave his home, and monitored his every movement, the officers should have recognized that a reasonable person in Mr. Lafrance’s shoes would feel obliged to comply with their demands and would conclude that he or she was not free to go. In such situations, the police should have informed him of his rights under s. 10(b) of the </w:t>
      </w:r>
      <w:r w:rsidRPr="00F3290F">
        <w:rPr>
          <w:rFonts w:cs="Times New Roman"/>
          <w:i/>
        </w:rPr>
        <w:t>Charter</w:t>
      </w:r>
      <w:r w:rsidRPr="00F3290F">
        <w:rPr>
          <w:rFonts w:cs="Times New Roman"/>
        </w:rPr>
        <w:t>. I will turn to the consequences of this breach below, after considering his encounter with police on April 7.</w:t>
      </w:r>
    </w:p>
    <w:p w14:paraId="0E8D3300" w14:textId="77777777" w:rsidR="000975C6" w:rsidRPr="00F3290F" w:rsidRDefault="000975C6" w:rsidP="000975C6">
      <w:pPr>
        <w:pStyle w:val="Title2LevelTitre2Niveau"/>
        <w:numPr>
          <w:ilvl w:val="1"/>
          <w:numId w:val="8"/>
        </w:numPr>
        <w:rPr>
          <w:rFonts w:cs="Times New Roman"/>
        </w:rPr>
      </w:pPr>
      <w:bookmarkStart w:id="33" w:name="_Toc97643549"/>
      <w:bookmarkStart w:id="34" w:name="_Toc103352570"/>
      <w:bookmarkStart w:id="35" w:name="_Toc103687578"/>
      <w:r w:rsidRPr="00F3290F">
        <w:rPr>
          <w:rFonts w:cs="Times New Roman"/>
        </w:rPr>
        <w:t>April 7, 2015</w:t>
      </w:r>
      <w:bookmarkEnd w:id="33"/>
      <w:bookmarkEnd w:id="34"/>
      <w:bookmarkEnd w:id="35"/>
    </w:p>
    <w:p w14:paraId="59EA4078" w14:textId="77777777" w:rsidR="000975C6" w:rsidRPr="00F3290F" w:rsidRDefault="000975C6" w:rsidP="000975C6">
      <w:pPr>
        <w:pStyle w:val="ParaNoNdepar-AltN"/>
        <w:rPr>
          <w:rFonts w:cs="Times New Roman"/>
        </w:rPr>
      </w:pPr>
      <w:r w:rsidRPr="00F3290F">
        <w:rPr>
          <w:rFonts w:cs="Times New Roman"/>
        </w:rPr>
        <w:t xml:space="preserve">Mr. Lafrance says that he could not properly exercise his right to counsel under s. 10(b) on April 7, after he was arrested. Sgt. Eros, he says, should have allowed him to speak with his father so he could obtain his own lawyer and receive further legal advice. </w:t>
      </w:r>
    </w:p>
    <w:p w14:paraId="0AB821A6" w14:textId="77777777" w:rsidR="000975C6" w:rsidRPr="00F3290F" w:rsidRDefault="000975C6" w:rsidP="000975C6">
      <w:pPr>
        <w:pStyle w:val="ParaNoNdepar-AltN"/>
        <w:rPr>
          <w:rFonts w:cs="Times New Roman"/>
        </w:rPr>
      </w:pPr>
      <w:r w:rsidRPr="00F3290F">
        <w:rPr>
          <w:rFonts w:cs="Times New Roman"/>
        </w:rPr>
        <w:lastRenderedPageBreak/>
        <w:t xml:space="preserve">Citing </w:t>
      </w:r>
      <w:r w:rsidRPr="00F3290F">
        <w:rPr>
          <w:rFonts w:cs="Times New Roman"/>
          <w:i/>
        </w:rPr>
        <w:t>Sinclair</w:t>
      </w:r>
      <w:r w:rsidRPr="00F3290F">
        <w:rPr>
          <w:rFonts w:cs="Times New Roman"/>
        </w:rPr>
        <w:t xml:space="preserve">, the trial judge concluded that the </w:t>
      </w:r>
      <w:r w:rsidRPr="00F3290F">
        <w:rPr>
          <w:rFonts w:cs="Times New Roman"/>
          <w:i/>
        </w:rPr>
        <w:t>Charter</w:t>
      </w:r>
      <w:r w:rsidRPr="00F3290F">
        <w:rPr>
          <w:rFonts w:cs="Times New Roman"/>
        </w:rPr>
        <w:t xml:space="preserve"> did not compel Sgt. Eros to accede to Mr. Lafrance’s request for a further consultation. The majority of the Court of Appeal, however, viewed Mr. Lafrance’s request to speak with his father as falling within what </w:t>
      </w:r>
      <w:r w:rsidRPr="00F3290F">
        <w:rPr>
          <w:rFonts w:cs="Times New Roman"/>
          <w:i/>
        </w:rPr>
        <w:t>Sinclair</w:t>
      </w:r>
      <w:r w:rsidRPr="00F3290F">
        <w:rPr>
          <w:rFonts w:cs="Times New Roman"/>
        </w:rPr>
        <w:t xml:space="preserve"> described as a “change in circumstances” suggesting a significant alteration of the choice to be made by the accused. Mr. Lafrance’s request, said the majority, “show[ed] that [he] may not have understood the initial s. 10(b) advice he received from legal aid counsel [. . .], that he needed the opportunity to pose further questions of counsel and have those questions answered, and that the initial advice he received, viewed contextually, was no longer sufficient” (para. 53). Alternatively, the majority would have held that Mr. Lafrance’s case would “fall within an open category, one not expressly defined in </w:t>
      </w:r>
      <w:r w:rsidRPr="00F3290F">
        <w:rPr>
          <w:rFonts w:cs="Times New Roman"/>
          <w:i/>
        </w:rPr>
        <w:t>Sinclair</w:t>
      </w:r>
      <w:r w:rsidRPr="00F3290F">
        <w:rPr>
          <w:rFonts w:cs="Times New Roman"/>
        </w:rPr>
        <w:t>” (paras. 53 and 64).</w:t>
      </w:r>
    </w:p>
    <w:p w14:paraId="54EF9FEA" w14:textId="77777777" w:rsidR="000975C6" w:rsidRPr="00F3290F" w:rsidRDefault="000975C6" w:rsidP="000975C6">
      <w:pPr>
        <w:pStyle w:val="ParaNoNdepar-AltN"/>
        <w:rPr>
          <w:rFonts w:cs="Times New Roman"/>
        </w:rPr>
      </w:pPr>
      <w:r w:rsidRPr="00F3290F">
        <w:rPr>
          <w:rFonts w:cs="Times New Roman"/>
        </w:rPr>
        <w:t xml:space="preserve">For the reasons that follow, I am closer to the Court of Appeal’s view of the matter. As I will explain, this matter falls within the “change in circumstances” category described in </w:t>
      </w:r>
      <w:r w:rsidRPr="00F3290F">
        <w:rPr>
          <w:rFonts w:cs="Times New Roman"/>
          <w:i/>
        </w:rPr>
        <w:t>Sinclair</w:t>
      </w:r>
      <w:r w:rsidRPr="00F3290F">
        <w:rPr>
          <w:rFonts w:cs="Times New Roman"/>
        </w:rPr>
        <w:t>. Given this conclusion, I need not address the Court of Appeal’s alternative position that this case falls within an open</w:t>
      </w:r>
      <w:r w:rsidRPr="00F3290F">
        <w:rPr>
          <w:rFonts w:cs="Times New Roman"/>
        </w:rPr>
        <w:noBreakHyphen/>
        <w:t xml:space="preserve">ended </w:t>
      </w:r>
      <w:r w:rsidRPr="00F3290F">
        <w:rPr>
          <w:rFonts w:cs="Times New Roman"/>
          <w:i/>
        </w:rPr>
        <w:t xml:space="preserve">Sinclair </w:t>
      </w:r>
      <w:r w:rsidRPr="00F3290F">
        <w:rPr>
          <w:rFonts w:cs="Times New Roman"/>
        </w:rPr>
        <w:t>category.</w:t>
      </w:r>
    </w:p>
    <w:p w14:paraId="07D6C035" w14:textId="77777777" w:rsidR="000975C6" w:rsidRPr="00F3290F" w:rsidRDefault="000975C6" w:rsidP="000975C6">
      <w:pPr>
        <w:pStyle w:val="Title3LevelTitre3Niveau"/>
        <w:numPr>
          <w:ilvl w:val="2"/>
          <w:numId w:val="8"/>
        </w:numPr>
        <w:rPr>
          <w:rFonts w:cs="Times New Roman"/>
        </w:rPr>
      </w:pPr>
      <w:bookmarkStart w:id="36" w:name="_Toc97643550"/>
      <w:bookmarkStart w:id="37" w:name="_Toc103352571"/>
      <w:bookmarkStart w:id="38" w:name="_Toc103687579"/>
      <w:r w:rsidRPr="00F3290F">
        <w:rPr>
          <w:rFonts w:cs="Times New Roman"/>
        </w:rPr>
        <w:t xml:space="preserve">The Purpose of Section 10(b) and the </w:t>
      </w:r>
      <w:r w:rsidRPr="00F3290F">
        <w:rPr>
          <w:rFonts w:cs="Times New Roman"/>
          <w:i/>
        </w:rPr>
        <w:t xml:space="preserve">Sinclair </w:t>
      </w:r>
      <w:r w:rsidRPr="00F3290F">
        <w:rPr>
          <w:rFonts w:cs="Times New Roman"/>
        </w:rPr>
        <w:t>Framework</w:t>
      </w:r>
      <w:bookmarkEnd w:id="36"/>
      <w:bookmarkEnd w:id="37"/>
      <w:bookmarkEnd w:id="38"/>
    </w:p>
    <w:p w14:paraId="54986FD1" w14:textId="77777777" w:rsidR="000975C6" w:rsidRPr="00F3290F" w:rsidRDefault="000975C6" w:rsidP="000975C6">
      <w:pPr>
        <w:pStyle w:val="ParaNoNdepar-AltN"/>
        <w:rPr>
          <w:rFonts w:cs="Times New Roman"/>
        </w:rPr>
      </w:pPr>
      <w:r w:rsidRPr="00F3290F">
        <w:rPr>
          <w:rFonts w:cs="Times New Roman"/>
        </w:rPr>
        <w:t xml:space="preserve">In </w:t>
      </w:r>
      <w:r w:rsidRPr="00F3290F">
        <w:rPr>
          <w:rFonts w:cs="Times New Roman"/>
          <w:i/>
        </w:rPr>
        <w:t>Sinclair</w:t>
      </w:r>
      <w:r w:rsidRPr="00F3290F">
        <w:rPr>
          <w:rFonts w:cs="Times New Roman"/>
        </w:rPr>
        <w:t>, the accused was arrested for second</w:t>
      </w:r>
      <w:r w:rsidRPr="00F3290F">
        <w:rPr>
          <w:rFonts w:cs="Times New Roman"/>
        </w:rPr>
        <w:noBreakHyphen/>
        <w:t>degree murder, advised of his right to counsel and allowed two three</w:t>
      </w:r>
      <w:r w:rsidRPr="00F3290F">
        <w:rPr>
          <w:rFonts w:cs="Times New Roman"/>
        </w:rPr>
        <w:noBreakHyphen/>
        <w:t xml:space="preserve">minute conversations with a lawyer of his choice. He was then interviewed for five hours, during which time his repeated requests to have his lawyer present or to speak with him again were refused. Eventually, he </w:t>
      </w:r>
      <w:r w:rsidRPr="00F3290F">
        <w:rPr>
          <w:rFonts w:cs="Times New Roman"/>
        </w:rPr>
        <w:lastRenderedPageBreak/>
        <w:t>confessed after the interviewing officer made him believe that police had found incriminating evidence confirming his involvement. The accused sought to have his confession excluded, alleging a breach of s. 10(b).</w:t>
      </w:r>
    </w:p>
    <w:p w14:paraId="77069876" w14:textId="77777777" w:rsidR="000975C6" w:rsidRPr="00F3290F" w:rsidRDefault="000975C6" w:rsidP="000975C6">
      <w:pPr>
        <w:pStyle w:val="ParaNoNdepar-AltN"/>
        <w:rPr>
          <w:rFonts w:cs="Times New Roman"/>
        </w:rPr>
      </w:pPr>
      <w:r w:rsidRPr="00F3290F">
        <w:rPr>
          <w:rFonts w:cs="Times New Roman"/>
        </w:rPr>
        <w:t>This Court ruled his confession admissible. Section 10(b) does not confer the right to have a lawyer present during a police investigation. And, a single consultation with a lawyer is constitutionally sufficient, absent a change in circumstances or new developments that suggest that the choice faced by the accused has been “significantly altered, requiring further advice on the new situation, in order to fulfill the purpose of s. 10(</w:t>
      </w:r>
      <w:r w:rsidRPr="00F3290F">
        <w:rPr>
          <w:rFonts w:cs="Times New Roman"/>
          <w:i/>
          <w:iCs/>
        </w:rPr>
        <w:t>b</w:t>
      </w:r>
      <w:r w:rsidRPr="00F3290F">
        <w:rPr>
          <w:rFonts w:cs="Times New Roman"/>
        </w:rPr>
        <w:t>) of providing the accused with legal advice relevant to the choice of whether to cooperate with the police investigation or not” (</w:t>
      </w:r>
      <w:r w:rsidRPr="00F3290F">
        <w:rPr>
          <w:rFonts w:cs="Times New Roman"/>
          <w:i/>
        </w:rPr>
        <w:t>Sinclair</w:t>
      </w:r>
      <w:r w:rsidRPr="00F3290F">
        <w:rPr>
          <w:rFonts w:cs="Times New Roman"/>
        </w:rPr>
        <w:t xml:space="preserve">, at para. 65). Such a change in circumstances or new development is not demonstrated, the Court added, where police engage in “the </w:t>
      </w:r>
      <w:proofErr w:type="gramStart"/>
      <w:r w:rsidRPr="00F3290F">
        <w:rPr>
          <w:rFonts w:cs="Times New Roman"/>
        </w:rPr>
        <w:t>common .</w:t>
      </w:r>
      <w:proofErr w:type="gramEnd"/>
      <w:r w:rsidRPr="00F3290F">
        <w:rPr>
          <w:rFonts w:cs="Times New Roman"/>
        </w:rPr>
        <w:t xml:space="preserve"> . . tactic of gradually revealing (actual or fake) evidence to the detainee in order to demonstrate or exaggerate the strength of the case against [them]” (para. 60). </w:t>
      </w:r>
    </w:p>
    <w:p w14:paraId="5313EA84" w14:textId="77777777" w:rsidR="000975C6" w:rsidRPr="00F3290F" w:rsidRDefault="000975C6" w:rsidP="000975C6">
      <w:pPr>
        <w:pStyle w:val="ParaNoNdepar-AltN"/>
        <w:rPr>
          <w:rFonts w:cs="Times New Roman"/>
        </w:rPr>
      </w:pPr>
      <w:r w:rsidRPr="00F3290F">
        <w:rPr>
          <w:rFonts w:cs="Times New Roman"/>
        </w:rPr>
        <w:t>This followed, said the Court, from the purpose of s. 10(b), being “to provide a detainee with an opportunity to obtain legal advice relevant to his legal situation” (</w:t>
      </w:r>
      <w:r w:rsidRPr="00F3290F">
        <w:rPr>
          <w:rFonts w:cs="Times New Roman"/>
          <w:i/>
        </w:rPr>
        <w:t>Sinclair</w:t>
      </w:r>
      <w:r w:rsidRPr="00F3290F">
        <w:rPr>
          <w:rFonts w:cs="Times New Roman"/>
        </w:rPr>
        <w:t xml:space="preserve">, at para. 24) or, more particularly, “to allow the detainee not only to be informed of his rights and obligations under the law but, equally if not more important, to obtain advice as to how to exercise those rights” (para. 26, citing </w:t>
      </w:r>
      <w:r w:rsidRPr="00F3290F">
        <w:rPr>
          <w:rFonts w:cs="Times New Roman"/>
          <w:i/>
        </w:rPr>
        <w:t>Manninen</w:t>
      </w:r>
      <w:r w:rsidRPr="00F3290F">
        <w:rPr>
          <w:rFonts w:cs="Times New Roman"/>
        </w:rPr>
        <w:t xml:space="preserve">, at pp. 1242-43). In the context of a custodial interrogation, the Court added that s. 10(b) seeks “to support the detainee’s right to choose whether to cooperate with </w:t>
      </w:r>
      <w:r w:rsidRPr="00F3290F">
        <w:rPr>
          <w:rFonts w:cs="Times New Roman"/>
        </w:rPr>
        <w:lastRenderedPageBreak/>
        <w:t xml:space="preserve">the police investigation or not, by giving him access to legal advice on the situation [they are] facing” (para. 32). </w:t>
      </w:r>
    </w:p>
    <w:p w14:paraId="3E18A956" w14:textId="77777777" w:rsidR="000975C6" w:rsidRPr="00F3290F" w:rsidRDefault="000975C6" w:rsidP="000975C6">
      <w:pPr>
        <w:pStyle w:val="ParaNoNdepar-AltN"/>
        <w:rPr>
          <w:rFonts w:cs="Times New Roman"/>
        </w:rPr>
      </w:pPr>
      <w:r w:rsidRPr="00F3290F">
        <w:rPr>
          <w:rFonts w:cs="Times New Roman"/>
        </w:rPr>
        <w:t>So understood, s. 10(b) reminds police of the</w:t>
      </w:r>
      <w:r>
        <w:rPr>
          <w:rFonts w:cs="Times New Roman"/>
        </w:rPr>
        <w:t xml:space="preserve"> </w:t>
      </w:r>
      <w:r w:rsidRPr="00F3290F">
        <w:rPr>
          <w:rFonts w:cs="Times New Roman"/>
        </w:rPr>
        <w:t xml:space="preserve">constitutional limits to their interrogation of detainees. As this Court also recognized in </w:t>
      </w:r>
      <w:r w:rsidRPr="00F3290F">
        <w:rPr>
          <w:rFonts w:cs="Times New Roman"/>
          <w:i/>
        </w:rPr>
        <w:t>Clarkson v. The Queen</w:t>
      </w:r>
      <w:r w:rsidRPr="00F3290F">
        <w:rPr>
          <w:rFonts w:cs="Times New Roman"/>
        </w:rPr>
        <w:t xml:space="preserve">, [1986] 1 S.C.R. 383, at pp. 394-95, underlying s. 10(b) is a concern to mitigate the unfairness that prevails where </w:t>
      </w:r>
      <w:r w:rsidRPr="00F3290F">
        <w:rPr>
          <w:rFonts w:cs="Times New Roman"/>
          <w:i/>
        </w:rPr>
        <w:t>the police</w:t>
      </w:r>
      <w:r w:rsidRPr="00F3290F">
        <w:rPr>
          <w:rFonts w:cs="Times New Roman"/>
        </w:rPr>
        <w:t xml:space="preserve"> understand the accused’s right to choose whether to speak to them, but </w:t>
      </w:r>
      <w:r w:rsidRPr="00F3290F">
        <w:rPr>
          <w:rFonts w:cs="Times New Roman"/>
          <w:i/>
        </w:rPr>
        <w:t>the accused</w:t>
      </w:r>
      <w:r w:rsidRPr="00F3290F">
        <w:rPr>
          <w:rFonts w:cs="Times New Roman"/>
        </w:rPr>
        <w:t xml:space="preserve"> may lack that understanding. Key to realizing s. 10(b)’s promise to detainees of fair treatment is furnishing access to legal advice, since that advice is meant to level the playing field by ensuring, first of all, that detainees </w:t>
      </w:r>
      <w:r w:rsidRPr="00F3290F">
        <w:rPr>
          <w:rFonts w:cs="Times New Roman"/>
          <w:i/>
        </w:rPr>
        <w:t>do</w:t>
      </w:r>
      <w:r w:rsidRPr="00F3290F">
        <w:rPr>
          <w:rFonts w:cs="Times New Roman"/>
        </w:rPr>
        <w:t xml:space="preserve"> understand their rights, “chief among which is [the] right to silence” (</w:t>
      </w:r>
      <w:r w:rsidRPr="00F3290F">
        <w:rPr>
          <w:rFonts w:cs="Times New Roman"/>
          <w:i/>
        </w:rPr>
        <w:t>R. v. Hebert</w:t>
      </w:r>
      <w:r w:rsidRPr="00F3290F">
        <w:rPr>
          <w:rFonts w:cs="Times New Roman"/>
        </w:rPr>
        <w:t>, [1990] 2 S.C.R. 151, at p. 176); and, secondly, that they understand how to exercise those rights (</w:t>
      </w:r>
      <w:r w:rsidRPr="00F3290F">
        <w:rPr>
          <w:rFonts w:cs="Times New Roman"/>
          <w:i/>
        </w:rPr>
        <w:t>Sinclair</w:t>
      </w:r>
      <w:r w:rsidRPr="00F3290F">
        <w:rPr>
          <w:rFonts w:cs="Times New Roman"/>
        </w:rPr>
        <w:t xml:space="preserve">, at para. 29). This includes knowing of </w:t>
      </w:r>
      <w:r w:rsidRPr="00F3290F">
        <w:rPr>
          <w:rFonts w:cs="Times New Roman"/>
          <w:lang w:val="en-US" w:bidi="en-US"/>
        </w:rPr>
        <w:t xml:space="preserve">“the benefits and drawbacks of cooperating with the police investigation, as well as strategies to resist cooperation should that be the detainee’s choice” (C.A. reasons, at para. 48). </w:t>
      </w:r>
    </w:p>
    <w:p w14:paraId="53252AD9" w14:textId="77777777" w:rsidR="000975C6" w:rsidRPr="00F3290F" w:rsidRDefault="000975C6" w:rsidP="000975C6">
      <w:pPr>
        <w:pStyle w:val="ParaNoNdepar-AltN"/>
        <w:rPr>
          <w:rFonts w:cs="Times New Roman"/>
          <w:lang w:bidi="en-US"/>
        </w:rPr>
      </w:pPr>
      <w:r w:rsidRPr="00F3290F">
        <w:rPr>
          <w:rFonts w:cs="Times New Roman"/>
        </w:rPr>
        <w:t xml:space="preserve">Properly understood and applied, </w:t>
      </w:r>
      <w:r w:rsidRPr="00F3290F">
        <w:rPr>
          <w:rFonts w:cs="Times New Roman"/>
          <w:i/>
        </w:rPr>
        <w:t>Sinclair</w:t>
      </w:r>
      <w:r w:rsidRPr="00F3290F">
        <w:rPr>
          <w:rFonts w:cs="Times New Roman"/>
        </w:rPr>
        <w:t xml:space="preserve"> gives effect to s. 10(b) and achieves its purpose. It identifies within s. 10(b) an informational component (requiring police to advise detainees of their right to counsel), and an implementational component (requiring police to allow detainees to exercise their right to consult counsel), which implicitly includes “</w:t>
      </w:r>
      <w:r w:rsidRPr="00F3290F">
        <w:rPr>
          <w:rFonts w:cs="Times New Roman"/>
          <w:lang w:bidi="en-US"/>
        </w:rPr>
        <w:t>a duty on the police to hold off questioning until the detainee has had a reasonable opportunity to consult counsel”</w:t>
      </w:r>
      <w:r w:rsidRPr="00F3290F" w:rsidDel="00003C6B">
        <w:rPr>
          <w:rFonts w:cs="Times New Roman"/>
          <w:lang w:bidi="en-US"/>
        </w:rPr>
        <w:t xml:space="preserve"> </w:t>
      </w:r>
      <w:r w:rsidRPr="00F3290F">
        <w:rPr>
          <w:rFonts w:cs="Times New Roman"/>
          <w:lang w:bidi="en-US"/>
        </w:rPr>
        <w:t>(para. </w:t>
      </w:r>
      <w:r w:rsidRPr="00F3290F">
        <w:rPr>
          <w:rFonts w:cs="Times New Roman"/>
        </w:rPr>
        <w:t>27)</w:t>
      </w:r>
      <w:r w:rsidRPr="00F3290F">
        <w:rPr>
          <w:rFonts w:cs="Times New Roman"/>
          <w:lang w:bidi="en-US"/>
        </w:rPr>
        <w:t xml:space="preserve">. And, as just noted, </w:t>
      </w:r>
      <w:r w:rsidRPr="00F3290F">
        <w:rPr>
          <w:rFonts w:cs="Times New Roman"/>
          <w:i/>
          <w:lang w:bidi="en-US"/>
        </w:rPr>
        <w:t>Sinclair</w:t>
      </w:r>
      <w:r w:rsidRPr="00F3290F">
        <w:rPr>
          <w:rFonts w:cs="Times New Roman"/>
          <w:lang w:bidi="en-US"/>
        </w:rPr>
        <w:t xml:space="preserve"> also recognized that the implementational component of s. 10(b) imposes upon police a further obligation: to provide a detainee with a reasonable </w:t>
      </w:r>
      <w:r w:rsidRPr="00F3290F">
        <w:rPr>
          <w:rFonts w:cs="Times New Roman"/>
          <w:lang w:bidi="en-US"/>
        </w:rPr>
        <w:lastRenderedPageBreak/>
        <w:t xml:space="preserve">opportunity to consult counsel </w:t>
      </w:r>
      <w:r w:rsidRPr="00F3290F">
        <w:rPr>
          <w:rFonts w:cs="Times New Roman"/>
          <w:i/>
          <w:lang w:bidi="en-US"/>
        </w:rPr>
        <w:t>again</w:t>
      </w:r>
      <w:r w:rsidRPr="00F3290F">
        <w:rPr>
          <w:rFonts w:cs="Times New Roman"/>
          <w:lang w:bidi="en-US"/>
        </w:rPr>
        <w:t xml:space="preserve"> if a change in circumstances or a new development makes this necessary to fulfill s. 10(b)’s purpose (para. 53). Three non</w:t>
      </w:r>
      <w:r w:rsidRPr="00F3290F">
        <w:rPr>
          <w:rFonts w:cs="Times New Roman"/>
          <w:lang w:bidi="en-US"/>
        </w:rPr>
        <w:noBreakHyphen/>
        <w:t>exhaustive categories of exceptional circumstances triggering this duty were identified (</w:t>
      </w:r>
      <w:r>
        <w:rPr>
          <w:rFonts w:cs="Times New Roman"/>
          <w:lang w:bidi="en-US"/>
        </w:rPr>
        <w:t xml:space="preserve">at </w:t>
      </w:r>
      <w:r w:rsidRPr="00F3290F">
        <w:rPr>
          <w:rFonts w:cs="Times New Roman"/>
          <w:lang w:bidi="en-US"/>
        </w:rPr>
        <w:t>paras. 49-52): (1) the police invite the accused to take part in non</w:t>
      </w:r>
      <w:r w:rsidRPr="00F3290F">
        <w:rPr>
          <w:rFonts w:cs="Times New Roman"/>
          <w:lang w:bidi="en-US"/>
        </w:rPr>
        <w:noBreakHyphen/>
        <w:t>routine procedures that counsel would not consider at the time of the initial consultation; (2)</w:t>
      </w:r>
      <w:r>
        <w:rPr>
          <w:rFonts w:cs="Times New Roman"/>
          <w:lang w:bidi="en-US"/>
        </w:rPr>
        <w:t xml:space="preserve"> there is </w:t>
      </w:r>
      <w:r w:rsidRPr="00F3290F">
        <w:rPr>
          <w:rFonts w:cs="Times New Roman"/>
          <w:lang w:bidi="en-US"/>
        </w:rPr>
        <w:t>a change in jeopardy that could affect the adequacy of the advice received during the initial consultation; and (3) there is reason to question the detainee’s understanding of his rights. It is that third category which the Court of Appeal thought applicable here. I agree.</w:t>
      </w:r>
    </w:p>
    <w:p w14:paraId="53E9A22B" w14:textId="77777777" w:rsidR="000975C6" w:rsidRPr="00F3290F" w:rsidRDefault="000975C6" w:rsidP="000975C6">
      <w:pPr>
        <w:pStyle w:val="ParaNoNdepar-AltN"/>
        <w:rPr>
          <w:rFonts w:cs="Times New Roman"/>
          <w:lang w:bidi="en-US"/>
        </w:rPr>
      </w:pPr>
      <w:r w:rsidRPr="00F3290F">
        <w:rPr>
          <w:rFonts w:cs="Times New Roman"/>
        </w:rPr>
        <w:t xml:space="preserve">In </w:t>
      </w:r>
      <w:r w:rsidRPr="00F3290F">
        <w:rPr>
          <w:rFonts w:cs="Times New Roman"/>
          <w:i/>
        </w:rPr>
        <w:t>Sinclair</w:t>
      </w:r>
      <w:r w:rsidRPr="00F3290F">
        <w:rPr>
          <w:rFonts w:cs="Times New Roman"/>
        </w:rPr>
        <w:t xml:space="preserve">, this category was “broadly” stated as covering, </w:t>
      </w:r>
      <w:r w:rsidRPr="00F3290F">
        <w:rPr>
          <w:rFonts w:cs="Times New Roman"/>
          <w:i/>
        </w:rPr>
        <w:t>inter alia</w:t>
      </w:r>
      <w:r w:rsidRPr="00F3290F">
        <w:rPr>
          <w:rFonts w:cs="Times New Roman"/>
        </w:rPr>
        <w:t>, “circumstances indicating that the detainee may not have understood the initial s. 10(</w:t>
      </w:r>
      <w:r w:rsidRPr="00F3290F">
        <w:rPr>
          <w:rFonts w:cs="Times New Roman"/>
          <w:i/>
          <w:iCs/>
        </w:rPr>
        <w:t>b</w:t>
      </w:r>
      <w:r w:rsidRPr="00F3290F">
        <w:rPr>
          <w:rFonts w:cs="Times New Roman"/>
        </w:rPr>
        <w:t xml:space="preserve">) advice of his right to counsel”, which “impose on the police a duty to give him a further opportunity to talk to a lawyer” (para. 52). This raises the question of how such circumstances are to be identified </w:t>
      </w:r>
      <w:r w:rsidRPr="00F3290F">
        <w:rPr>
          <w:rFonts w:cs="Times New Roman"/>
          <w:lang w:bidi="en-US"/>
        </w:rPr>
        <w:t xml:space="preserve">⸺ </w:t>
      </w:r>
      <w:r w:rsidRPr="00F3290F">
        <w:rPr>
          <w:rFonts w:cs="Times New Roman"/>
        </w:rPr>
        <w:t>that is, what it means for a detainee to not understand “the initial s. 10(</w:t>
      </w:r>
      <w:r w:rsidRPr="00F3290F">
        <w:rPr>
          <w:rFonts w:cs="Times New Roman"/>
          <w:i/>
        </w:rPr>
        <w:t>b</w:t>
      </w:r>
      <w:r w:rsidRPr="00F3290F">
        <w:rPr>
          <w:rFonts w:cs="Times New Roman"/>
        </w:rPr>
        <w:t xml:space="preserve">) advice” such that a second legal consultation is necessary. I note, parenthetically, that the third category also covers a different type of potential s. 10(b) breach, i.e., where “the police undermine the legal advice that the detainee has received [in a way that] may have the effect of distorting or nullifying it” (para. 52; see </w:t>
      </w:r>
      <w:r w:rsidRPr="00F3290F">
        <w:rPr>
          <w:rFonts w:cs="Times New Roman"/>
          <w:i/>
        </w:rPr>
        <w:t>R. v. Dussault</w:t>
      </w:r>
      <w:r w:rsidRPr="00F3290F">
        <w:rPr>
          <w:rFonts w:cs="Times New Roman"/>
        </w:rPr>
        <w:t xml:space="preserve">, 2022 SCC 16, at para. 35). The Court’s recent judgment in </w:t>
      </w:r>
      <w:r w:rsidRPr="00F3290F">
        <w:rPr>
          <w:rFonts w:cs="Times New Roman"/>
          <w:i/>
        </w:rPr>
        <w:t xml:space="preserve">Dussault </w:t>
      </w:r>
      <w:r w:rsidRPr="00F3290F">
        <w:rPr>
          <w:rFonts w:cs="Times New Roman"/>
        </w:rPr>
        <w:t xml:space="preserve">comprehensively reviews the kind of police conduct that could be said to “undermine” the legal advice that a detainee receives (paras. 36-45). </w:t>
      </w:r>
    </w:p>
    <w:p w14:paraId="44FF3592" w14:textId="77777777" w:rsidR="000975C6" w:rsidRPr="00F3290F" w:rsidRDefault="000975C6" w:rsidP="000975C6">
      <w:pPr>
        <w:pStyle w:val="ParaNoNdepar-AltN"/>
        <w:rPr>
          <w:rFonts w:cs="Times New Roman"/>
          <w:lang w:bidi="en-US"/>
        </w:rPr>
      </w:pPr>
      <w:r w:rsidRPr="00F3290F">
        <w:rPr>
          <w:rFonts w:cs="Times New Roman"/>
          <w:lang w:bidi="en-US"/>
        </w:rPr>
        <w:lastRenderedPageBreak/>
        <w:t xml:space="preserve">The caselaw reveals two general approaches to assessing detainees’ understanding of s. 10(b) advice. The first — narrower, relative to the second — tends to focus on the fact of the earlier consultation or, where applicable, on a detainee’s assertion of his or her right to silence (see, e.g., </w:t>
      </w:r>
      <w:r w:rsidRPr="00F3290F">
        <w:rPr>
          <w:rFonts w:cs="Times New Roman"/>
          <w:i/>
          <w:lang w:bidi="en-US"/>
        </w:rPr>
        <w:t>R. v. Pagé</w:t>
      </w:r>
      <w:r w:rsidRPr="00F3290F">
        <w:rPr>
          <w:rFonts w:cs="Times New Roman"/>
          <w:lang w:bidi="en-US"/>
        </w:rPr>
        <w:t xml:space="preserve">, 2018 QCCS 5553, at paras. 20-21 (CanLII); </w:t>
      </w:r>
      <w:r w:rsidRPr="00F3290F">
        <w:rPr>
          <w:rFonts w:cs="Times New Roman"/>
          <w:i/>
          <w:lang w:bidi="en-US"/>
        </w:rPr>
        <w:t>R. v. Smith</w:t>
      </w:r>
      <w:r w:rsidRPr="00F3290F">
        <w:rPr>
          <w:rFonts w:cs="Times New Roman"/>
          <w:lang w:bidi="en-US"/>
        </w:rPr>
        <w:t xml:space="preserve">, 2015 ABQB 624, at paras. 66-68 (CanLII); </w:t>
      </w:r>
      <w:r w:rsidRPr="00F3290F">
        <w:rPr>
          <w:rFonts w:cs="Times New Roman"/>
          <w:i/>
          <w:lang w:bidi="en-US"/>
        </w:rPr>
        <w:t>R. v. Ejigu</w:t>
      </w:r>
      <w:r w:rsidRPr="00F3290F">
        <w:rPr>
          <w:rFonts w:cs="Times New Roman"/>
          <w:lang w:bidi="en-US"/>
        </w:rPr>
        <w:t xml:space="preserve">, 2012 BCSC 1673, at para. 58 (CanLII); and </w:t>
      </w:r>
      <w:r w:rsidRPr="00F3290F">
        <w:rPr>
          <w:rFonts w:cs="Times New Roman"/>
          <w:i/>
          <w:lang w:bidi="en-US"/>
        </w:rPr>
        <w:t>R. v. Jongbloets</w:t>
      </w:r>
      <w:r w:rsidRPr="00F3290F">
        <w:rPr>
          <w:rFonts w:cs="Times New Roman"/>
          <w:lang w:bidi="en-US"/>
        </w:rPr>
        <w:t>, 2017 BCSC 740, at paras. 109-10 and 113 (CanLII)). The second approach inquires into “the overall context”, or “the situation ‘on the ground’” (</w:t>
      </w:r>
      <w:r w:rsidRPr="00F3290F">
        <w:rPr>
          <w:rFonts w:cs="Times New Roman"/>
          <w:i/>
          <w:lang w:bidi="en-US"/>
        </w:rPr>
        <w:t>R. v. A.R.M.</w:t>
      </w:r>
      <w:r w:rsidRPr="00F3290F">
        <w:rPr>
          <w:rFonts w:cs="Times New Roman"/>
          <w:lang w:bidi="en-US"/>
        </w:rPr>
        <w:t xml:space="preserve">, 2011 ABCA 98, 599 A.R. 343, at paras. 25 and 40) that properly inform the reasonable perceptions of police of whether detainees understand their right to silence and how to exercise it (see, e.g., </w:t>
      </w:r>
      <w:r w:rsidRPr="00F3290F">
        <w:rPr>
          <w:rFonts w:cs="Times New Roman"/>
          <w:i/>
          <w:lang w:bidi="en-US"/>
        </w:rPr>
        <w:t>R. v. Laquette</w:t>
      </w:r>
      <w:r w:rsidRPr="00F3290F">
        <w:rPr>
          <w:rFonts w:cs="Times New Roman"/>
          <w:lang w:bidi="en-US"/>
        </w:rPr>
        <w:t xml:space="preserve">, 2021 MBQB 177, at para. 93 (CanLII): “Perhaps, in this case, </w:t>
      </w:r>
      <w:r w:rsidRPr="00F3290F">
        <w:rPr>
          <w:rFonts w:cs="Times New Roman"/>
          <w:u w:val="single"/>
          <w:lang w:bidi="en-US"/>
        </w:rPr>
        <w:t>the Applicant, because of her youth and inexperience in engaging with law enforcement, should have been afforded [a further consultation with legal counsel]</w:t>
      </w:r>
      <w:r w:rsidRPr="00F3290F">
        <w:rPr>
          <w:rFonts w:cs="Times New Roman"/>
          <w:lang w:bidi="en-US"/>
        </w:rPr>
        <w:t xml:space="preserve">” (emphasis added); </w:t>
      </w:r>
      <w:r w:rsidRPr="00F3290F">
        <w:rPr>
          <w:rFonts w:cs="Times New Roman"/>
          <w:i/>
          <w:lang w:bidi="en-US"/>
        </w:rPr>
        <w:t>R. v. Hunt</w:t>
      </w:r>
      <w:r w:rsidRPr="00F3290F">
        <w:rPr>
          <w:rFonts w:cs="Times New Roman"/>
          <w:lang w:bidi="en-US"/>
        </w:rPr>
        <w:t xml:space="preserve">, 2020 ONCJ 627, at para. 51 (CanLII): “In most cases, it can be inferred from the circumstances that the detainee understands what he or she has been told, but where there are circumstances where the detainee may not understand his or her [right to counsel], the police must take steps to facilitate that understanding </w:t>
      </w:r>
      <w:r w:rsidRPr="00F3290F">
        <w:rPr>
          <w:rFonts w:cs="Times New Roman"/>
          <w:u w:val="single"/>
          <w:lang w:bidi="en-US"/>
        </w:rPr>
        <w:t>[including] giving consideration to the detainee’s understanding and capacity to understand</w:t>
      </w:r>
      <w:r w:rsidRPr="00F3290F">
        <w:rPr>
          <w:rFonts w:cs="Times New Roman"/>
          <w:lang w:bidi="en-US"/>
        </w:rPr>
        <w:t xml:space="preserve">” (emphasis added); and </w:t>
      </w:r>
      <w:r w:rsidRPr="00F3290F">
        <w:rPr>
          <w:rFonts w:cs="Times New Roman"/>
          <w:i/>
          <w:lang w:bidi="en-US"/>
        </w:rPr>
        <w:t>R. v. Fedoseev</w:t>
      </w:r>
      <w:r w:rsidRPr="00F3290F">
        <w:rPr>
          <w:rFonts w:cs="Times New Roman"/>
          <w:lang w:bidi="en-US"/>
        </w:rPr>
        <w:t xml:space="preserve">, 2014 ABPC 192, 597 A.R. 1, at paras. 55-63). </w:t>
      </w:r>
    </w:p>
    <w:p w14:paraId="0DB6F5BD" w14:textId="77777777" w:rsidR="000975C6" w:rsidRPr="00F3290F" w:rsidRDefault="000975C6" w:rsidP="000975C6">
      <w:pPr>
        <w:pStyle w:val="ParaNoNdepar-AltN"/>
        <w:rPr>
          <w:rFonts w:cs="Times New Roman"/>
          <w:lang w:bidi="en-US"/>
        </w:rPr>
      </w:pPr>
      <w:r w:rsidRPr="00F3290F">
        <w:rPr>
          <w:rFonts w:cs="Times New Roman"/>
        </w:rPr>
        <w:t xml:space="preserve">Bearing in mind that the third </w:t>
      </w:r>
      <w:r w:rsidRPr="00F3290F">
        <w:rPr>
          <w:rFonts w:cs="Times New Roman"/>
          <w:i/>
        </w:rPr>
        <w:t>Sinclair</w:t>
      </w:r>
      <w:r w:rsidRPr="00F3290F">
        <w:rPr>
          <w:rFonts w:cs="Times New Roman"/>
        </w:rPr>
        <w:t xml:space="preserve"> category was “broadly” stated by this Court by reference to “circumstances” indicating that “the detainee may not have understood the initial s. 10(</w:t>
      </w:r>
      <w:r w:rsidRPr="00EA3AF2">
        <w:rPr>
          <w:rFonts w:cs="Times New Roman"/>
          <w:i/>
          <w:iCs/>
        </w:rPr>
        <w:t>b</w:t>
      </w:r>
      <w:r w:rsidRPr="00F3290F">
        <w:rPr>
          <w:rFonts w:cs="Times New Roman"/>
        </w:rPr>
        <w:t>) advice”, two points merit emphasizing (</w:t>
      </w:r>
      <w:r w:rsidRPr="00F3290F">
        <w:rPr>
          <w:rFonts w:cs="Times New Roman"/>
          <w:i/>
        </w:rPr>
        <w:t>Sinclair</w:t>
      </w:r>
      <w:r w:rsidRPr="00F3290F">
        <w:rPr>
          <w:rFonts w:cs="Times New Roman"/>
        </w:rPr>
        <w:t xml:space="preserve">, at </w:t>
      </w:r>
      <w:r w:rsidRPr="00F3290F">
        <w:rPr>
          <w:rFonts w:cs="Times New Roman"/>
        </w:rPr>
        <w:lastRenderedPageBreak/>
        <w:t xml:space="preserve">para. 52). First, the inquiry is into </w:t>
      </w:r>
      <w:r w:rsidRPr="00F3290F">
        <w:rPr>
          <w:rFonts w:cs="Times New Roman"/>
          <w:i/>
        </w:rPr>
        <w:t>circumstances</w:t>
      </w:r>
      <w:r w:rsidRPr="00F3290F">
        <w:rPr>
          <w:rFonts w:cs="Times New Roman"/>
        </w:rPr>
        <w:t xml:space="preserve">, stated </w:t>
      </w:r>
      <w:r w:rsidRPr="00F3290F">
        <w:rPr>
          <w:rFonts w:cs="Times New Roman"/>
          <w:i/>
        </w:rPr>
        <w:t>broadly</w:t>
      </w:r>
      <w:r w:rsidRPr="00F3290F">
        <w:rPr>
          <w:rFonts w:cs="Times New Roman"/>
        </w:rPr>
        <w:t>. This connotes an examination not merely of whether the detainee consulted legal counsel, but of the entire context in which the police</w:t>
      </w:r>
      <w:r w:rsidRPr="00F3290F">
        <w:rPr>
          <w:rFonts w:cs="Times New Roman"/>
        </w:rPr>
        <w:noBreakHyphen/>
        <w:t xml:space="preserve">detainee interaction occurred (as in </w:t>
      </w:r>
      <w:r w:rsidRPr="00F3290F">
        <w:rPr>
          <w:rFonts w:cs="Times New Roman"/>
          <w:i/>
        </w:rPr>
        <w:t>A.R.M.</w:t>
      </w:r>
      <w:r w:rsidRPr="00F3290F">
        <w:rPr>
          <w:rFonts w:cs="Times New Roman"/>
        </w:rPr>
        <w:t xml:space="preserve">), including the circumstances of the detainee (as in </w:t>
      </w:r>
      <w:r w:rsidRPr="00F3290F">
        <w:rPr>
          <w:rFonts w:cs="Times New Roman"/>
          <w:i/>
        </w:rPr>
        <w:t>Laquette</w:t>
      </w:r>
      <w:r w:rsidRPr="00F3290F">
        <w:rPr>
          <w:rFonts w:cs="Times New Roman"/>
        </w:rPr>
        <w:t xml:space="preserve"> and </w:t>
      </w:r>
      <w:r w:rsidRPr="00F3290F">
        <w:rPr>
          <w:rFonts w:cs="Times New Roman"/>
          <w:i/>
        </w:rPr>
        <w:t>Hunt</w:t>
      </w:r>
      <w:r w:rsidRPr="00F3290F">
        <w:rPr>
          <w:rFonts w:cs="Times New Roman"/>
        </w:rPr>
        <w:t xml:space="preserve">). Secondly, and therefore, an inquiry strictly into whether a detainee understood that he or she could remain silent is not sufficient. The issue, after all, is not merely whether the detainee was </w:t>
      </w:r>
      <w:r w:rsidRPr="00F3290F">
        <w:rPr>
          <w:rFonts w:cs="Times New Roman"/>
          <w:i/>
        </w:rPr>
        <w:t>advised</w:t>
      </w:r>
      <w:r w:rsidRPr="00F3290F">
        <w:rPr>
          <w:rFonts w:cs="Times New Roman"/>
        </w:rPr>
        <w:t>; the third category presumes that to have occurred. Section 10(b) requires much more than that (</w:t>
      </w:r>
      <w:r w:rsidRPr="00F3290F">
        <w:rPr>
          <w:rFonts w:cs="Times New Roman"/>
          <w:lang w:bidi="en-US"/>
        </w:rPr>
        <w:t xml:space="preserve">a point repeatedly stressed in </w:t>
      </w:r>
      <w:r w:rsidRPr="00F3290F">
        <w:rPr>
          <w:rFonts w:cs="Times New Roman"/>
          <w:i/>
          <w:lang w:bidi="en-US"/>
        </w:rPr>
        <w:t>Sinclair</w:t>
      </w:r>
      <w:r w:rsidRPr="00F3290F">
        <w:rPr>
          <w:rFonts w:cs="Times New Roman"/>
          <w:lang w:bidi="en-US"/>
        </w:rPr>
        <w:t xml:space="preserve">: see </w:t>
      </w:r>
      <w:r w:rsidRPr="00F3290F">
        <w:rPr>
          <w:rFonts w:cs="Times New Roman"/>
        </w:rPr>
        <w:t>paras. 2, 24</w:t>
      </w:r>
      <w:r w:rsidRPr="00F3290F">
        <w:rPr>
          <w:rFonts w:cs="Times New Roman"/>
        </w:rPr>
        <w:noBreakHyphen/>
        <w:t>26, 28</w:t>
      </w:r>
      <w:r w:rsidRPr="00F3290F">
        <w:rPr>
          <w:rFonts w:cs="Times New Roman"/>
        </w:rPr>
        <w:noBreakHyphen/>
        <w:t>29, 32, 47</w:t>
      </w:r>
      <w:r w:rsidRPr="00F3290F">
        <w:rPr>
          <w:rFonts w:cs="Times New Roman"/>
        </w:rPr>
        <w:noBreakHyphen/>
        <w:t xml:space="preserve">48, 53, 57 and 65). Rather, it is that the detainee </w:t>
      </w:r>
      <w:r w:rsidRPr="00F3290F">
        <w:rPr>
          <w:rFonts w:cs="Times New Roman"/>
          <w:i/>
        </w:rPr>
        <w:t xml:space="preserve">may not have understood </w:t>
      </w:r>
      <w:r w:rsidRPr="00F3290F">
        <w:rPr>
          <w:rFonts w:cs="Times New Roman"/>
        </w:rPr>
        <w:t xml:space="preserve">the legal advice he or she received </w:t>
      </w:r>
      <w:r w:rsidRPr="00F3290F">
        <w:rPr>
          <w:rFonts w:cs="Times New Roman"/>
          <w:i/>
        </w:rPr>
        <w:t>including</w:t>
      </w:r>
      <w:r w:rsidRPr="00F3290F">
        <w:rPr>
          <w:rFonts w:cs="Times New Roman"/>
        </w:rPr>
        <w:t xml:space="preserve">, as the Court of Appeal correctly noted, whether and how to exercise the right to silence, which itself includes “the benefits and drawbacks of cooperating” and “strategies to resist cooperation” where that is the detainee’s choice. </w:t>
      </w:r>
    </w:p>
    <w:p w14:paraId="3EFE0304" w14:textId="77777777" w:rsidR="000975C6" w:rsidRPr="00F3290F" w:rsidRDefault="000975C6" w:rsidP="000975C6">
      <w:pPr>
        <w:pStyle w:val="ParaNoNdepar-AltN"/>
        <w:rPr>
          <w:rFonts w:cs="Times New Roman"/>
          <w:lang w:val="en-US" w:bidi="en-US"/>
        </w:rPr>
      </w:pPr>
      <w:r w:rsidRPr="00F3290F">
        <w:rPr>
          <w:rFonts w:cs="Times New Roman"/>
        </w:rPr>
        <w:t xml:space="preserve">Such an approach is not only more faithful to </w:t>
      </w:r>
      <w:r w:rsidRPr="00F3290F">
        <w:rPr>
          <w:rFonts w:cs="Times New Roman"/>
          <w:i/>
        </w:rPr>
        <w:t>Sinclair</w:t>
      </w:r>
      <w:r w:rsidRPr="00F3290F">
        <w:rPr>
          <w:rFonts w:cs="Times New Roman"/>
        </w:rPr>
        <w:t xml:space="preserve">; it is also consistent with this Court’s direction in </w:t>
      </w:r>
      <w:r w:rsidRPr="00F3290F">
        <w:rPr>
          <w:rFonts w:cs="Times New Roman"/>
          <w:i/>
        </w:rPr>
        <w:t>Grant</w:t>
      </w:r>
      <w:r w:rsidRPr="00F3290F">
        <w:rPr>
          <w:rFonts w:cs="Times New Roman"/>
        </w:rPr>
        <w:t xml:space="preserve"> that “[c]onstitutional guarantees such as ss. 9 and 10 should be interpreted in a ‘generous rather than . . . legalistic [way], aimed at fulfilling the purpose of the guarantee and securing for individuals the full benefit of the </w:t>
      </w:r>
      <w:r w:rsidRPr="00F3290F">
        <w:rPr>
          <w:rFonts w:cs="Times New Roman"/>
          <w:i/>
        </w:rPr>
        <w:t>Charter</w:t>
      </w:r>
      <w:r w:rsidRPr="00F3290F">
        <w:rPr>
          <w:rFonts w:cs="Times New Roman"/>
        </w:rPr>
        <w:t xml:space="preserve">’s protection’” (para. 16, citing </w:t>
      </w:r>
      <w:r w:rsidRPr="00F3290F">
        <w:rPr>
          <w:rFonts w:cs="Times New Roman"/>
          <w:i/>
          <w:iCs/>
        </w:rPr>
        <w:t>R. v. Big M Drug Mart Ltd.</w:t>
      </w:r>
      <w:r w:rsidRPr="00F3290F">
        <w:rPr>
          <w:rFonts w:cs="Times New Roman"/>
        </w:rPr>
        <w:t xml:space="preserve">, [1985] 1 S.C.R. 295, at p. 344). I have already stressed that s. 10(b)’s purpose is not achieved merely by allowing the detainee an opportunity to be advised of the right to silence, but also extends to advice regarding how to exercise that right in the face of police interrogation. And coupled with </w:t>
      </w:r>
      <w:r w:rsidRPr="00F3290F">
        <w:rPr>
          <w:rFonts w:cs="Times New Roman"/>
          <w:i/>
        </w:rPr>
        <w:t>Sinclair</w:t>
      </w:r>
      <w:r w:rsidRPr="00F3290F">
        <w:rPr>
          <w:rFonts w:cs="Times New Roman"/>
        </w:rPr>
        <w:t xml:space="preserve">’s concern for the circumstances of the detention, which I have explained include the circumstances of the detainee, it follows that the purposive </w:t>
      </w:r>
      <w:r w:rsidRPr="00F3290F">
        <w:rPr>
          <w:rFonts w:cs="Times New Roman"/>
        </w:rPr>
        <w:lastRenderedPageBreak/>
        <w:t xml:space="preserve">and generous understanding of s. 10(b) mandated by </w:t>
      </w:r>
      <w:r w:rsidRPr="00F3290F">
        <w:rPr>
          <w:rFonts w:cs="Times New Roman"/>
          <w:i/>
        </w:rPr>
        <w:t>Grant</w:t>
      </w:r>
      <w:r w:rsidRPr="00F3290F">
        <w:rPr>
          <w:rFonts w:cs="Times New Roman"/>
        </w:rPr>
        <w:t xml:space="preserve"> recognizes that the exercise by accused persons of that right depends on access to legal advice regarding “</w:t>
      </w:r>
      <w:r w:rsidRPr="00F3290F">
        <w:rPr>
          <w:rFonts w:cs="Times New Roman"/>
          <w:u w:val="single"/>
        </w:rPr>
        <w:t xml:space="preserve">the </w:t>
      </w:r>
      <w:r>
        <w:rPr>
          <w:rFonts w:cs="Times New Roman"/>
          <w:u w:val="single"/>
        </w:rPr>
        <w:t>[</w:t>
      </w:r>
      <w:r w:rsidRPr="00F3290F">
        <w:rPr>
          <w:rFonts w:cs="Times New Roman"/>
          <w:u w:val="single"/>
        </w:rPr>
        <w:t>particular</w:t>
      </w:r>
      <w:r>
        <w:rPr>
          <w:rFonts w:cs="Times New Roman"/>
          <w:u w:val="single"/>
        </w:rPr>
        <w:t>]</w:t>
      </w:r>
      <w:r w:rsidRPr="00F3290F">
        <w:rPr>
          <w:rFonts w:cs="Times New Roman"/>
          <w:u w:val="single"/>
        </w:rPr>
        <w:t xml:space="preserve"> situation [they are</w:t>
      </w:r>
      <w:r>
        <w:rPr>
          <w:rFonts w:cs="Times New Roman"/>
          <w:u w:val="single"/>
        </w:rPr>
        <w:t>]</w:t>
      </w:r>
      <w:r w:rsidRPr="00F3290F">
        <w:rPr>
          <w:rFonts w:cs="Times New Roman"/>
          <w:u w:val="single"/>
        </w:rPr>
        <w:t xml:space="preserve"> facing</w:t>
      </w:r>
      <w:r w:rsidRPr="00F3290F">
        <w:rPr>
          <w:rFonts w:cs="Times New Roman"/>
        </w:rPr>
        <w:t xml:space="preserve">”, conveyed </w:t>
      </w:r>
      <w:r w:rsidRPr="00EA3AF2">
        <w:rPr>
          <w:rFonts w:cs="Times New Roman"/>
          <w:i/>
        </w:rPr>
        <w:t>in a manner that they understand</w:t>
      </w:r>
      <w:r w:rsidRPr="00F3290F">
        <w:rPr>
          <w:rFonts w:cs="Times New Roman"/>
          <w:i/>
        </w:rPr>
        <w:t xml:space="preserve"> </w:t>
      </w:r>
      <w:r w:rsidRPr="00F3290F">
        <w:rPr>
          <w:rFonts w:cs="Times New Roman"/>
        </w:rPr>
        <w:t>(</w:t>
      </w:r>
      <w:r w:rsidRPr="00F3290F">
        <w:rPr>
          <w:rFonts w:cs="Times New Roman"/>
          <w:i/>
        </w:rPr>
        <w:t>Sinclair</w:t>
      </w:r>
      <w:r w:rsidRPr="00F3290F">
        <w:rPr>
          <w:rFonts w:cs="Times New Roman"/>
        </w:rPr>
        <w:t xml:space="preserve">, at para. 32 (emphasis added)). </w:t>
      </w:r>
    </w:p>
    <w:p w14:paraId="31C68280" w14:textId="77777777" w:rsidR="000975C6" w:rsidRPr="00F3290F" w:rsidRDefault="000975C6" w:rsidP="000975C6">
      <w:pPr>
        <w:pStyle w:val="ParaNoNdepar-AltN"/>
        <w:rPr>
          <w:rFonts w:cs="Times New Roman"/>
        </w:rPr>
      </w:pPr>
      <w:r w:rsidRPr="00F3290F">
        <w:rPr>
          <w:rFonts w:cs="Times New Roman"/>
        </w:rPr>
        <w:t xml:space="preserve">Absent that understanding, the work done by our jurisprudence (notably, in </w:t>
      </w:r>
      <w:r w:rsidRPr="00F3290F">
        <w:rPr>
          <w:rFonts w:cs="Times New Roman"/>
          <w:i/>
        </w:rPr>
        <w:t>Grant</w:t>
      </w:r>
      <w:r w:rsidRPr="00F3290F">
        <w:rPr>
          <w:rFonts w:cs="Times New Roman"/>
        </w:rPr>
        <w:t xml:space="preserve"> and </w:t>
      </w:r>
      <w:r w:rsidRPr="00F3290F">
        <w:rPr>
          <w:rFonts w:cs="Times New Roman"/>
          <w:i/>
        </w:rPr>
        <w:t>Le</w:t>
      </w:r>
      <w:r w:rsidRPr="00F3290F">
        <w:rPr>
          <w:rFonts w:cs="Times New Roman"/>
        </w:rPr>
        <w:t xml:space="preserve">) on detention under s. 9 to account for and mitigate the power imbalance between the state </w:t>
      </w:r>
      <w:r>
        <w:rPr>
          <w:rFonts w:cs="Times New Roman"/>
        </w:rPr>
        <w:t xml:space="preserve">and a detainee </w:t>
      </w:r>
      <w:r w:rsidRPr="00F3290F">
        <w:rPr>
          <w:rFonts w:cs="Times New Roman"/>
        </w:rPr>
        <w:t xml:space="preserve">would be undone by an impoverished understanding of s. 10(b)’s protections, inconsistent with </w:t>
      </w:r>
      <w:r w:rsidRPr="00F3290F">
        <w:rPr>
          <w:rFonts w:cs="Times New Roman"/>
          <w:i/>
        </w:rPr>
        <w:t>Sinclair</w:t>
      </w:r>
      <w:r w:rsidRPr="00F3290F">
        <w:rPr>
          <w:rFonts w:cs="Times New Roman"/>
        </w:rPr>
        <w:t xml:space="preserve"> itself and corrosive of the liberty of the subject. A purposive and generous understanding of s. 10(b) and, by extension, of the third </w:t>
      </w:r>
      <w:r w:rsidRPr="00F3290F">
        <w:rPr>
          <w:rFonts w:cs="Times New Roman"/>
          <w:i/>
        </w:rPr>
        <w:t>Sinclair</w:t>
      </w:r>
      <w:r w:rsidRPr="00F3290F">
        <w:rPr>
          <w:rFonts w:cs="Times New Roman"/>
        </w:rPr>
        <w:t xml:space="preserve"> category, also reflects that practical reality of police</w:t>
      </w:r>
      <w:r w:rsidRPr="00F3290F">
        <w:rPr>
          <w:rFonts w:cs="Times New Roman"/>
        </w:rPr>
        <w:noBreakHyphen/>
        <w:t xml:space="preserve">citizen interactions of which I have already spoken, and which obtains </w:t>
      </w:r>
      <w:r w:rsidRPr="00F3290F">
        <w:rPr>
          <w:rFonts w:cs="Times New Roman"/>
          <w:i/>
        </w:rPr>
        <w:t>a fortiori</w:t>
      </w:r>
      <w:r w:rsidRPr="00F3290F">
        <w:rPr>
          <w:rFonts w:cs="Times New Roman"/>
        </w:rPr>
        <w:t xml:space="preserve"> in circumstances of arrest or detention: the detainee is in a position of disadvantage relative to the state (V. A. MacDonnell, “</w:t>
      </w:r>
      <w:r>
        <w:rPr>
          <w:rFonts w:cs="Times New Roman"/>
          <w:i/>
        </w:rPr>
        <w:t>R v</w:t>
      </w:r>
      <w:r w:rsidRPr="00F3290F">
        <w:rPr>
          <w:rFonts w:cs="Times New Roman"/>
          <w:i/>
        </w:rPr>
        <w:t xml:space="preserve"> Sinclair</w:t>
      </w:r>
      <w:r w:rsidRPr="00F3290F">
        <w:rPr>
          <w:rFonts w:cs="Times New Roman"/>
        </w:rPr>
        <w:t xml:space="preserve">: Balancing Individual Rights and Societal Interests Outside of Section 1 of the </w:t>
      </w:r>
      <w:r w:rsidRPr="00F3290F">
        <w:rPr>
          <w:rFonts w:cs="Times New Roman"/>
          <w:i/>
        </w:rPr>
        <w:t>Charter</w:t>
      </w:r>
      <w:r w:rsidRPr="00F3290F">
        <w:rPr>
          <w:rFonts w:cs="Times New Roman"/>
        </w:rPr>
        <w:t xml:space="preserve">” (2012), 38 </w:t>
      </w:r>
      <w:r w:rsidRPr="00F3290F">
        <w:rPr>
          <w:rFonts w:cs="Times New Roman"/>
          <w:i/>
        </w:rPr>
        <w:t>Queen’s L.J.</w:t>
      </w:r>
      <w:r w:rsidRPr="00F3290F">
        <w:rPr>
          <w:rFonts w:cs="Times New Roman"/>
        </w:rPr>
        <w:t xml:space="preserve"> 137, at p. 156). This disadvantage is no small matter, particularly given that the police may employ tactics such as lying during an interrogation. It is only by ensuring that detainees obtain legal advice that accounts for </w:t>
      </w:r>
      <w:r w:rsidRPr="00F3290F">
        <w:rPr>
          <w:rFonts w:cs="Times New Roman"/>
          <w:i/>
        </w:rPr>
        <w:t>the particular situation they face</w:t>
      </w:r>
      <w:r w:rsidRPr="00F3290F">
        <w:rPr>
          <w:rFonts w:cs="Times New Roman"/>
        </w:rPr>
        <w:t xml:space="preserve">, conveyed </w:t>
      </w:r>
      <w:r w:rsidRPr="00F3290F">
        <w:rPr>
          <w:rFonts w:cs="Times New Roman"/>
          <w:i/>
        </w:rPr>
        <w:t>in a manner they can understand</w:t>
      </w:r>
      <w:r w:rsidRPr="00F3290F">
        <w:rPr>
          <w:rFonts w:cs="Times New Roman"/>
        </w:rPr>
        <w:t xml:space="preserve">, that s. 10(b) can meaningfully redress the imbalance of power between the state (whose agents know the detainee’s rights) and the detainee (who may not). </w:t>
      </w:r>
    </w:p>
    <w:p w14:paraId="27893E5F" w14:textId="77777777" w:rsidR="000975C6" w:rsidRPr="00F3290F" w:rsidRDefault="000975C6" w:rsidP="000975C6">
      <w:pPr>
        <w:pStyle w:val="ParaNoNdepar-AltN"/>
        <w:rPr>
          <w:rFonts w:cs="Times New Roman"/>
        </w:rPr>
      </w:pPr>
      <w:r w:rsidRPr="00F3290F">
        <w:rPr>
          <w:rFonts w:cs="Times New Roman"/>
        </w:rPr>
        <w:t xml:space="preserve">My colleagues say it is inaccurate to describe s. 10(b)’s </w:t>
      </w:r>
      <w:r w:rsidRPr="00F3290F">
        <w:rPr>
          <w:rFonts w:cs="Times New Roman"/>
          <w:lang w:val="en-US"/>
        </w:rPr>
        <w:t>purpose as being “to mitigate the imbalance between the ind</w:t>
      </w:r>
      <w:r>
        <w:rPr>
          <w:rFonts w:cs="Times New Roman"/>
          <w:lang w:val="en-US"/>
        </w:rPr>
        <w:t>ividual and the state” (para. 168</w:t>
      </w:r>
      <w:r w:rsidRPr="00F3290F">
        <w:rPr>
          <w:rFonts w:cs="Times New Roman"/>
          <w:lang w:val="en-US"/>
        </w:rPr>
        <w:t xml:space="preserve">). With </w:t>
      </w:r>
      <w:r w:rsidRPr="00F3290F">
        <w:rPr>
          <w:rFonts w:cs="Times New Roman"/>
          <w:lang w:val="en-US"/>
        </w:rPr>
        <w:lastRenderedPageBreak/>
        <w:t xml:space="preserve">respect, this proposition is uncontroversial. Despite my colleagues’ view to the contrary, it follows from this Court’s statement in </w:t>
      </w:r>
      <w:r w:rsidRPr="00F3290F">
        <w:rPr>
          <w:rFonts w:cs="Times New Roman"/>
          <w:i/>
          <w:lang w:val="en-GB"/>
        </w:rPr>
        <w:t xml:space="preserve">R. </w:t>
      </w:r>
      <w:r w:rsidRPr="00F3290F">
        <w:rPr>
          <w:rFonts w:cs="Times New Roman"/>
          <w:i/>
          <w:iCs/>
          <w:lang w:val="en-GB"/>
        </w:rPr>
        <w:t>v.</w:t>
      </w:r>
      <w:r w:rsidRPr="00F3290F">
        <w:rPr>
          <w:rFonts w:cs="Times New Roman"/>
          <w:i/>
          <w:lang w:val="en-GB"/>
        </w:rPr>
        <w:t xml:space="preserve"> Willier</w:t>
      </w:r>
      <w:r w:rsidRPr="00F3290F">
        <w:rPr>
          <w:rFonts w:cs="Times New Roman"/>
          <w:lang w:val="en-US"/>
        </w:rPr>
        <w:t>, 2010 SCC 37, [2010] 2 S.C.R. 429, at para. 28, that “s. 10(</w:t>
      </w:r>
      <w:r w:rsidRPr="00F3290F">
        <w:rPr>
          <w:rFonts w:cs="Times New Roman"/>
          <w:i/>
          <w:iCs/>
          <w:lang w:val="en-US"/>
        </w:rPr>
        <w:t>b</w:t>
      </w:r>
      <w:r w:rsidRPr="00F3290F">
        <w:rPr>
          <w:rFonts w:cs="Times New Roman"/>
          <w:lang w:val="en-US"/>
        </w:rPr>
        <w:t>) provides detainees with an opportunity to contact counsel in circumstances where they are deprived of liberty and in the control of the state, and thus vulnerable to the exercise of its power and in a position of legal jeopardy”,</w:t>
      </w:r>
      <w:r w:rsidRPr="00F3290F">
        <w:rPr>
          <w:rFonts w:cs="Times New Roman"/>
          <w:lang w:val="en-US" w:bidi="en-US"/>
        </w:rPr>
        <w:t xml:space="preserve"> and that “[t]he purpose of s. 10(</w:t>
      </w:r>
      <w:r w:rsidRPr="00F3290F">
        <w:rPr>
          <w:rFonts w:cs="Times New Roman"/>
          <w:i/>
          <w:iCs/>
          <w:lang w:val="en-US" w:bidi="en-US"/>
        </w:rPr>
        <w:t>b</w:t>
      </w:r>
      <w:r w:rsidRPr="00F3290F">
        <w:rPr>
          <w:rFonts w:cs="Times New Roman"/>
          <w:lang w:val="en-US" w:bidi="en-US"/>
        </w:rPr>
        <w:t>) is to provide detainees an opportunity to m</w:t>
      </w:r>
      <w:r>
        <w:rPr>
          <w:rFonts w:cs="Times New Roman"/>
          <w:lang w:val="en-US" w:bidi="en-US"/>
        </w:rPr>
        <w:t>itigate this legal disadvantage</w:t>
      </w:r>
      <w:r w:rsidRPr="00F3290F">
        <w:rPr>
          <w:rFonts w:cs="Times New Roman"/>
          <w:lang w:val="en-US"/>
        </w:rPr>
        <w:t>”</w:t>
      </w:r>
      <w:r>
        <w:rPr>
          <w:rFonts w:cs="Times New Roman"/>
          <w:lang w:val="en-US"/>
        </w:rPr>
        <w:t>.</w:t>
      </w:r>
      <w:r w:rsidRPr="00F3290F">
        <w:rPr>
          <w:rFonts w:cs="Times New Roman"/>
          <w:lang w:val="en-US"/>
        </w:rPr>
        <w:t xml:space="preserve"> While my colleagues claim that </w:t>
      </w:r>
      <w:r w:rsidRPr="00F3290F">
        <w:rPr>
          <w:rFonts w:cs="Times New Roman"/>
          <w:i/>
          <w:lang w:val="en-US"/>
        </w:rPr>
        <w:t>Sinclair</w:t>
      </w:r>
      <w:r w:rsidRPr="00F3290F">
        <w:rPr>
          <w:rFonts w:cs="Times New Roman"/>
          <w:lang w:val="en-US"/>
        </w:rPr>
        <w:t>, at paras. 30</w:t>
      </w:r>
      <w:r w:rsidRPr="00F3290F">
        <w:rPr>
          <w:rFonts w:cs="Times New Roman"/>
          <w:lang w:val="en-US"/>
        </w:rPr>
        <w:noBreakHyphen/>
        <w:t xml:space="preserve">31, rejects this view, this is, again said respectfully, a misreading of </w:t>
      </w:r>
      <w:r w:rsidRPr="00F3290F">
        <w:rPr>
          <w:rFonts w:cs="Times New Roman"/>
          <w:i/>
          <w:lang w:val="en-US"/>
        </w:rPr>
        <w:t>Sinclair</w:t>
      </w:r>
      <w:r w:rsidRPr="00F3290F">
        <w:rPr>
          <w:rFonts w:cs="Times New Roman"/>
          <w:lang w:val="en-US"/>
        </w:rPr>
        <w:t xml:space="preserve">. At issue in those passages was </w:t>
      </w:r>
      <w:r w:rsidRPr="00F3290F">
        <w:rPr>
          <w:rFonts w:cs="Times New Roman"/>
          <w:i/>
          <w:lang w:val="en-US"/>
        </w:rPr>
        <w:t>not</w:t>
      </w:r>
      <w:r>
        <w:rPr>
          <w:rFonts w:cs="Times New Roman"/>
          <w:lang w:val="en-US"/>
        </w:rPr>
        <w:t xml:space="preserve"> whether s. </w:t>
      </w:r>
      <w:r w:rsidRPr="00F3290F">
        <w:rPr>
          <w:rFonts w:cs="Times New Roman"/>
          <w:lang w:val="en-US"/>
        </w:rPr>
        <w:t xml:space="preserve">10(b)’s purpose is to cure that power imbalance, but </w:t>
      </w:r>
      <w:r w:rsidRPr="00F3290F">
        <w:rPr>
          <w:rFonts w:cs="Times New Roman"/>
          <w:i/>
          <w:lang w:val="en-US"/>
        </w:rPr>
        <w:t>how</w:t>
      </w:r>
      <w:r w:rsidRPr="00F3290F">
        <w:rPr>
          <w:rFonts w:cs="Times New Roman"/>
          <w:lang w:val="en-US"/>
        </w:rPr>
        <w:t xml:space="preserve"> it does so. The dissenters LeBel and Fish JJ. </w:t>
      </w:r>
      <w:proofErr w:type="gramStart"/>
      <w:r w:rsidRPr="00F3290F">
        <w:rPr>
          <w:rFonts w:cs="Times New Roman"/>
          <w:lang w:val="en-US"/>
        </w:rPr>
        <w:t>maintained</w:t>
      </w:r>
      <w:proofErr w:type="gramEnd"/>
      <w:r w:rsidRPr="00F3290F">
        <w:rPr>
          <w:rFonts w:cs="Times New Roman"/>
          <w:lang w:val="en-US"/>
        </w:rPr>
        <w:t xml:space="preserve"> that it does so </w:t>
      </w:r>
      <w:r w:rsidRPr="00F3290F">
        <w:rPr>
          <w:rFonts w:cs="Times New Roman"/>
          <w:i/>
          <w:lang w:val="en-US"/>
        </w:rPr>
        <w:t>by conferring a continuing right to counsel</w:t>
      </w:r>
      <w:r w:rsidRPr="00F3290F">
        <w:rPr>
          <w:rFonts w:cs="Times New Roman"/>
          <w:lang w:val="en-US"/>
        </w:rPr>
        <w:t xml:space="preserve"> throughout the accused’s police interview (paras. 30 and 154). The majority, however, held that it does so by conferring a right to consult counsel “to obtain information and advice imm</w:t>
      </w:r>
      <w:r>
        <w:rPr>
          <w:rFonts w:cs="Times New Roman"/>
          <w:lang w:val="en-US"/>
        </w:rPr>
        <w:t>ediately upon detention” (para. </w:t>
      </w:r>
      <w:r w:rsidRPr="00F3290F">
        <w:rPr>
          <w:rFonts w:cs="Times New Roman"/>
          <w:lang w:val="en-US"/>
        </w:rPr>
        <w:t>31) in order to fulfill “the purpose of s. 10(</w:t>
      </w:r>
      <w:r w:rsidRPr="00F3290F">
        <w:rPr>
          <w:rFonts w:cs="Times New Roman"/>
          <w:i/>
          <w:lang w:val="en-US"/>
        </w:rPr>
        <w:t>b</w:t>
      </w:r>
      <w:proofErr w:type="gramStart"/>
      <w:r w:rsidRPr="00F3290F">
        <w:rPr>
          <w:rFonts w:cs="Times New Roman"/>
          <w:lang w:val="en-US"/>
        </w:rPr>
        <w:t>) .</w:t>
      </w:r>
      <w:proofErr w:type="gramEnd"/>
      <w:r w:rsidRPr="00F3290F">
        <w:rPr>
          <w:rFonts w:cs="Times New Roman"/>
          <w:lang w:val="en-US"/>
        </w:rPr>
        <w:t xml:space="preserve"> . . to support the detainee’s right to choose whether to cooperate with the police investigation or not, </w:t>
      </w:r>
      <w:r w:rsidRPr="00F3290F">
        <w:rPr>
          <w:rFonts w:cs="Times New Roman"/>
          <w:u w:val="single"/>
          <w:lang w:val="en-US"/>
        </w:rPr>
        <w:t xml:space="preserve">by giving </w:t>
      </w:r>
      <w:r>
        <w:rPr>
          <w:rFonts w:cs="Times New Roman"/>
          <w:u w:val="single"/>
          <w:lang w:val="en-US"/>
        </w:rPr>
        <w:t>[</w:t>
      </w:r>
      <w:r w:rsidRPr="00F3290F">
        <w:rPr>
          <w:rFonts w:cs="Times New Roman"/>
          <w:u w:val="single"/>
          <w:lang w:val="en-US"/>
        </w:rPr>
        <w:t>them</w:t>
      </w:r>
      <w:r>
        <w:rPr>
          <w:rFonts w:cs="Times New Roman"/>
          <w:u w:val="single"/>
          <w:lang w:val="en-US"/>
        </w:rPr>
        <w:t>]</w:t>
      </w:r>
      <w:r w:rsidRPr="00F3290F">
        <w:rPr>
          <w:rFonts w:cs="Times New Roman"/>
          <w:u w:val="single"/>
          <w:lang w:val="en-US"/>
        </w:rPr>
        <w:t xml:space="preserve"> access to legal advice on the situation he is facing</w:t>
      </w:r>
      <w:r w:rsidRPr="00F3290F">
        <w:rPr>
          <w:rFonts w:cs="Times New Roman"/>
          <w:lang w:val="en-US"/>
        </w:rPr>
        <w:t xml:space="preserve">” </w:t>
      </w:r>
      <w:r>
        <w:rPr>
          <w:rFonts w:cs="Times New Roman"/>
          <w:lang w:val="en-US"/>
        </w:rPr>
        <w:t>(para. </w:t>
      </w:r>
      <w:r w:rsidRPr="00F3290F">
        <w:rPr>
          <w:rFonts w:cs="Times New Roman"/>
          <w:lang w:val="en-US"/>
        </w:rPr>
        <w:t xml:space="preserve">32 (emphasis added)). </w:t>
      </w:r>
    </w:p>
    <w:p w14:paraId="572A7C21" w14:textId="77777777" w:rsidR="000975C6" w:rsidRPr="00F3290F" w:rsidRDefault="000975C6" w:rsidP="000975C6">
      <w:pPr>
        <w:pStyle w:val="ParaNoNdepar-AltN"/>
        <w:rPr>
          <w:rFonts w:cs="Times New Roman"/>
          <w:lang w:val="en-US" w:bidi="en-US"/>
        </w:rPr>
      </w:pPr>
      <w:r w:rsidRPr="00F3290F">
        <w:rPr>
          <w:rFonts w:cs="Times New Roman"/>
        </w:rPr>
        <w:t xml:space="preserve">The degree of imbalance between police and detainee will of course vary from case to case, depending on the particular circumstances of the detainees themselves. Specific characteristics </w:t>
      </w:r>
      <w:r w:rsidRPr="00F3290F">
        <w:rPr>
          <w:rFonts w:cs="Times New Roman"/>
          <w:lang w:val="en-US" w:bidi="en-US"/>
        </w:rPr>
        <w:t xml:space="preserve">of individual detainees </w:t>
      </w:r>
      <w:r w:rsidRPr="00F3290F">
        <w:rPr>
          <w:rFonts w:cs="Times New Roman"/>
        </w:rPr>
        <w:t>(described as “</w:t>
      </w:r>
      <w:r w:rsidRPr="00F3290F">
        <w:rPr>
          <w:rFonts w:cs="Times New Roman"/>
          <w:lang w:val="en-US" w:bidi="en-US"/>
        </w:rPr>
        <w:t xml:space="preserve">vulnerabilities” in the context of police interrogation) can influence the course of custodial interviews. Investigating officers and reviewing courts must be alive to the possibility that these vulnerabilities, which may relate to gender, youth, age, race, </w:t>
      </w:r>
      <w:r w:rsidRPr="00F3290F">
        <w:rPr>
          <w:rFonts w:cs="Times New Roman"/>
          <w:lang w:val="en-US" w:bidi="en-US"/>
        </w:rPr>
        <w:lastRenderedPageBreak/>
        <w:t xml:space="preserve">mental health, language comprehension, cognitive capacity or other considerations, coupled with developments that may occur in the course of police interrogation, will have rendered a detainee’s initial legal advice inadequate, impairing his or her ability to make an informed choice about whether to cooperate with the police. In such situations, </w:t>
      </w:r>
      <w:r w:rsidRPr="00F3290F">
        <w:rPr>
          <w:rFonts w:cs="Times New Roman"/>
          <w:i/>
          <w:lang w:val="en-US" w:bidi="en-US"/>
        </w:rPr>
        <w:t xml:space="preserve">Sinclair </w:t>
      </w:r>
      <w:r w:rsidRPr="00F3290F">
        <w:rPr>
          <w:rFonts w:cs="Times New Roman"/>
          <w:lang w:val="en-US" w:bidi="en-US"/>
        </w:rPr>
        <w:t xml:space="preserve">requires that an accused is entitled to an additional consultation to even the playing field. </w:t>
      </w:r>
    </w:p>
    <w:p w14:paraId="13E8F1FB" w14:textId="77777777" w:rsidR="000975C6" w:rsidRPr="00F3290F" w:rsidRDefault="000975C6" w:rsidP="000975C6">
      <w:pPr>
        <w:pStyle w:val="Title3LevelTitre3Niveau"/>
        <w:numPr>
          <w:ilvl w:val="2"/>
          <w:numId w:val="8"/>
        </w:numPr>
        <w:rPr>
          <w:rFonts w:cs="Times New Roman"/>
          <w:lang w:val="en-US" w:bidi="en-US"/>
        </w:rPr>
      </w:pPr>
      <w:bookmarkStart w:id="39" w:name="_Toc97643551"/>
      <w:bookmarkStart w:id="40" w:name="_Toc103352572"/>
      <w:bookmarkStart w:id="41" w:name="_Toc103687580"/>
      <w:r w:rsidRPr="00F3290F">
        <w:rPr>
          <w:rFonts w:cs="Times New Roman"/>
          <w:lang w:val="en-US" w:bidi="en-US"/>
        </w:rPr>
        <w:t>The Need for a Second Consultation on April 7, 2015</w:t>
      </w:r>
      <w:bookmarkEnd w:id="39"/>
      <w:bookmarkEnd w:id="40"/>
      <w:bookmarkEnd w:id="41"/>
    </w:p>
    <w:p w14:paraId="6A97E48D" w14:textId="77777777" w:rsidR="000975C6" w:rsidRPr="00F3290F" w:rsidRDefault="000975C6" w:rsidP="000975C6">
      <w:pPr>
        <w:pStyle w:val="ParaNoNdepar-AltN"/>
        <w:rPr>
          <w:rFonts w:cs="Times New Roman"/>
          <w:lang w:val="en-US" w:bidi="en-US"/>
        </w:rPr>
      </w:pPr>
      <w:r w:rsidRPr="00F3290F">
        <w:rPr>
          <w:rFonts w:cs="Times New Roman"/>
          <w:lang w:val="en-US" w:bidi="en-US"/>
        </w:rPr>
        <w:t>With the foregoing in mind, I turn now to consider whether the police breached Mr. </w:t>
      </w:r>
      <w:r w:rsidRPr="00F3290F">
        <w:rPr>
          <w:rFonts w:cs="Times New Roman"/>
        </w:rPr>
        <w:t>Lafrance’s</w:t>
      </w:r>
      <w:r w:rsidRPr="00F3290F">
        <w:rPr>
          <w:rFonts w:cs="Times New Roman"/>
          <w:lang w:val="en-US" w:bidi="en-US"/>
        </w:rPr>
        <w:t xml:space="preserve"> s. 10(b) right to counsel by refusing to allow him to seek a second consultation with a lawyer. </w:t>
      </w:r>
    </w:p>
    <w:p w14:paraId="6027E22B" w14:textId="77777777" w:rsidR="000975C6" w:rsidRPr="00F3290F" w:rsidRDefault="000975C6" w:rsidP="000975C6">
      <w:pPr>
        <w:pStyle w:val="ParaNoNdepar-AltN"/>
        <w:rPr>
          <w:rFonts w:cs="Times New Roman"/>
          <w:lang w:val="en-US" w:bidi="en-US"/>
        </w:rPr>
      </w:pPr>
      <w:r w:rsidRPr="00F3290F">
        <w:rPr>
          <w:rFonts w:cs="Times New Roman"/>
          <w:lang w:val="en-US" w:bidi="en-US"/>
        </w:rPr>
        <w:t xml:space="preserve">The police fulfilled the informational component </w:t>
      </w:r>
      <w:r>
        <w:rPr>
          <w:rFonts w:cs="Times New Roman"/>
          <w:lang w:val="en-US" w:bidi="en-US"/>
        </w:rPr>
        <w:t xml:space="preserve">of </w:t>
      </w:r>
      <w:r w:rsidRPr="00F3290F">
        <w:rPr>
          <w:rFonts w:cs="Times New Roman"/>
          <w:lang w:val="en-US" w:bidi="en-US"/>
        </w:rPr>
        <w:t>s. 10(b). Having arrested Mr. </w:t>
      </w:r>
      <w:r w:rsidRPr="00F3290F">
        <w:rPr>
          <w:rFonts w:cs="Times New Roman"/>
        </w:rPr>
        <w:t>Lafrance</w:t>
      </w:r>
      <w:r w:rsidRPr="00F3290F">
        <w:rPr>
          <w:rFonts w:cs="Times New Roman"/>
          <w:lang w:val="en-US" w:bidi="en-US"/>
        </w:rPr>
        <w:t xml:space="preserve"> for murder, they told him of the reason for his arrest, and of his right to silence. Likewise, the police also, initially at least, satisfied the implementational component: upon arrival at the police station, Mr. </w:t>
      </w:r>
      <w:r w:rsidRPr="00F3290F">
        <w:rPr>
          <w:rFonts w:cs="Times New Roman"/>
        </w:rPr>
        <w:t>Lafrance</w:t>
      </w:r>
      <w:r w:rsidRPr="00F3290F">
        <w:rPr>
          <w:rFonts w:cs="Times New Roman"/>
          <w:lang w:val="en-US" w:bidi="en-US"/>
        </w:rPr>
        <w:t xml:space="preserve"> was taken to a telephone room and was able to speak with a lawyer from Legal Aid. Sgt. Eros deferred starting the interview until Mr. </w:t>
      </w:r>
      <w:r w:rsidRPr="00F3290F">
        <w:rPr>
          <w:rFonts w:cs="Times New Roman"/>
        </w:rPr>
        <w:t>Lafrance</w:t>
      </w:r>
      <w:r w:rsidRPr="00F3290F">
        <w:rPr>
          <w:rFonts w:cs="Times New Roman"/>
          <w:lang w:val="en-US" w:bidi="en-US"/>
        </w:rPr>
        <w:t xml:space="preserve"> confirmed that he had received and understood the advice given to him by Legal Aid. </w:t>
      </w:r>
    </w:p>
    <w:p w14:paraId="751C6981" w14:textId="77777777" w:rsidR="000975C6" w:rsidRPr="00F3290F" w:rsidRDefault="000975C6" w:rsidP="000975C6">
      <w:pPr>
        <w:pStyle w:val="ParaNoNdepar-AltN"/>
        <w:rPr>
          <w:rFonts w:cs="Times New Roman"/>
          <w:lang w:val="en-US" w:bidi="en-US"/>
        </w:rPr>
      </w:pPr>
      <w:r w:rsidRPr="00F3290F">
        <w:rPr>
          <w:rFonts w:cs="Times New Roman"/>
          <w:lang w:val="en-US" w:bidi="en-US"/>
        </w:rPr>
        <w:t xml:space="preserve">The question therefore arises whether any of the exceptions in </w:t>
      </w:r>
      <w:r w:rsidRPr="00F3290F">
        <w:rPr>
          <w:rFonts w:cs="Times New Roman"/>
          <w:i/>
          <w:lang w:val="en-US" w:bidi="en-US"/>
        </w:rPr>
        <w:t xml:space="preserve">Sinclair </w:t>
      </w:r>
      <w:r w:rsidRPr="00F3290F">
        <w:rPr>
          <w:rFonts w:cs="Times New Roman"/>
          <w:lang w:val="en-US" w:bidi="en-US"/>
        </w:rPr>
        <w:t>applied to require the police to allow Mr. </w:t>
      </w:r>
      <w:r w:rsidRPr="00F3290F">
        <w:rPr>
          <w:rFonts w:cs="Times New Roman"/>
        </w:rPr>
        <w:t>Lafrance</w:t>
      </w:r>
      <w:r w:rsidRPr="00F3290F">
        <w:rPr>
          <w:rFonts w:cs="Times New Roman"/>
          <w:lang w:val="en-US" w:bidi="en-US"/>
        </w:rPr>
        <w:t xml:space="preserve"> another opportunity to consult with counsel. I do not agree with Mr. </w:t>
      </w:r>
      <w:r w:rsidRPr="00F3290F">
        <w:rPr>
          <w:rFonts w:cs="Times New Roman"/>
        </w:rPr>
        <w:t>Lafrance</w:t>
      </w:r>
      <w:r w:rsidRPr="00F3290F">
        <w:rPr>
          <w:rFonts w:cs="Times New Roman"/>
          <w:lang w:val="en-US" w:bidi="en-US"/>
        </w:rPr>
        <w:t xml:space="preserve"> that his circumstances would fit into </w:t>
      </w:r>
      <w:r w:rsidRPr="00F3290F">
        <w:rPr>
          <w:rFonts w:cs="Times New Roman"/>
          <w:i/>
          <w:lang w:val="en-US" w:bidi="en-US"/>
        </w:rPr>
        <w:t>any</w:t>
      </w:r>
      <w:r w:rsidRPr="00F3290F">
        <w:rPr>
          <w:rFonts w:cs="Times New Roman"/>
          <w:lang w:val="en-US" w:bidi="en-US"/>
        </w:rPr>
        <w:t xml:space="preserve"> of </w:t>
      </w:r>
      <w:r w:rsidRPr="00F3290F">
        <w:rPr>
          <w:rFonts w:cs="Times New Roman"/>
          <w:lang w:val="en-US" w:bidi="en-US"/>
        </w:rPr>
        <w:lastRenderedPageBreak/>
        <w:t xml:space="preserve">the three </w:t>
      </w:r>
      <w:r w:rsidRPr="00F3290F">
        <w:rPr>
          <w:rFonts w:cs="Times New Roman"/>
          <w:i/>
          <w:lang w:val="en-US" w:bidi="en-US"/>
        </w:rPr>
        <w:t xml:space="preserve">Sinclair </w:t>
      </w:r>
      <w:r w:rsidRPr="00F3290F">
        <w:rPr>
          <w:rFonts w:cs="Times New Roman"/>
          <w:lang w:val="en-US" w:bidi="en-US"/>
        </w:rPr>
        <w:t>categories of exceptional circumstances that require an additional consultation. The first category — where police invite the accused to take part in non</w:t>
      </w:r>
      <w:r w:rsidRPr="00F3290F">
        <w:rPr>
          <w:rFonts w:cs="Times New Roman"/>
          <w:lang w:val="en-US" w:bidi="en-US"/>
        </w:rPr>
        <w:noBreakHyphen/>
        <w:t>routine procedures that counsel would not consider at the time of the initial consultation — does not apply, because the police here did not employ any new or unusual investigative techniques. Likewise, the second category — a change in jeopardy which could affect the adequacy of the advice received during the initial to the actual situation — is inapplicable because there was no change in jeopardy during the interview. Mr. </w:t>
      </w:r>
      <w:r w:rsidRPr="00F3290F">
        <w:rPr>
          <w:rFonts w:cs="Times New Roman"/>
        </w:rPr>
        <w:t>Lafrance</w:t>
      </w:r>
      <w:r w:rsidRPr="00F3290F">
        <w:rPr>
          <w:rFonts w:cs="Times New Roman"/>
          <w:lang w:val="en-US" w:bidi="en-US"/>
        </w:rPr>
        <w:t xml:space="preserve"> had been informed that he was accused of murder and that remained true at all times during the interview on April 7. </w:t>
      </w:r>
    </w:p>
    <w:p w14:paraId="5E086A8E" w14:textId="77777777" w:rsidR="000975C6" w:rsidRPr="00F3290F" w:rsidRDefault="000975C6" w:rsidP="000975C6">
      <w:pPr>
        <w:pStyle w:val="ParaNoNdepar-AltN"/>
        <w:rPr>
          <w:rFonts w:cs="Times New Roman"/>
          <w:lang w:val="en-US" w:bidi="en-US"/>
        </w:rPr>
      </w:pPr>
      <w:r w:rsidRPr="00F3290F">
        <w:rPr>
          <w:rFonts w:cs="Times New Roman"/>
          <w:lang w:val="en-US" w:bidi="en-US"/>
        </w:rPr>
        <w:t>The difficulty arises, however, from Mr. </w:t>
      </w:r>
      <w:r w:rsidRPr="00F3290F">
        <w:rPr>
          <w:rFonts w:cs="Times New Roman"/>
        </w:rPr>
        <w:t>Lafrance’s</w:t>
      </w:r>
      <w:r w:rsidRPr="00F3290F">
        <w:rPr>
          <w:rFonts w:cs="Times New Roman"/>
          <w:lang w:val="en-US" w:bidi="en-US"/>
        </w:rPr>
        <w:t xml:space="preserve"> request in the course of the police interview to speak with his father because that was his “only chance of getting a lawyer”. The Crown argues that there is no constitutional right to speak to a detainee’s father, but that is not a fair characterization of Mr. </w:t>
      </w:r>
      <w:r w:rsidRPr="00F3290F">
        <w:rPr>
          <w:rFonts w:cs="Times New Roman"/>
        </w:rPr>
        <w:t>Lafrance’s</w:t>
      </w:r>
      <w:r w:rsidRPr="00F3290F">
        <w:rPr>
          <w:rFonts w:cs="Times New Roman"/>
          <w:lang w:val="en-US" w:bidi="en-US"/>
        </w:rPr>
        <w:t xml:space="preserve"> request, which drew an explicit connection between talking to his father and talking to a lawyer:</w:t>
      </w:r>
    </w:p>
    <w:p w14:paraId="03ECAA9F" w14:textId="77777777" w:rsidR="000975C6" w:rsidRPr="00F3290F" w:rsidRDefault="000975C6" w:rsidP="000975C6">
      <w:pPr>
        <w:pStyle w:val="Citation-AltC"/>
        <w:rPr>
          <w:lang w:val="en-US" w:bidi="en-US"/>
        </w:rPr>
      </w:pPr>
      <w:r w:rsidRPr="00F3290F">
        <w:rPr>
          <w:lang w:val="en-US" w:bidi="en-US"/>
        </w:rPr>
        <w:t>Q. Alright so what happens Nigel?</w:t>
      </w:r>
    </w:p>
    <w:p w14:paraId="295A51DB" w14:textId="77777777" w:rsidR="000975C6" w:rsidRPr="00F3290F" w:rsidRDefault="000975C6" w:rsidP="000975C6">
      <w:pPr>
        <w:pStyle w:val="Citation-AltC"/>
        <w:rPr>
          <w:lang w:val="en-US" w:bidi="en-US"/>
        </w:rPr>
      </w:pPr>
      <w:r w:rsidRPr="00F3290F">
        <w:rPr>
          <w:lang w:val="en-US" w:bidi="en-US"/>
        </w:rPr>
        <w:t xml:space="preserve">A. Well </w:t>
      </w:r>
      <w:r w:rsidRPr="00F3290F">
        <w:t>–</w:t>
      </w:r>
      <w:r w:rsidRPr="00F3290F">
        <w:rPr>
          <w:lang w:val="en-US" w:bidi="en-US"/>
        </w:rPr>
        <w:t>.</w:t>
      </w:r>
    </w:p>
    <w:p w14:paraId="09030BF7" w14:textId="77777777" w:rsidR="000975C6" w:rsidRPr="00F3290F" w:rsidRDefault="000975C6" w:rsidP="000975C6">
      <w:pPr>
        <w:pStyle w:val="Citation-AltC"/>
      </w:pPr>
      <w:r w:rsidRPr="00F3290F">
        <w:rPr>
          <w:lang w:val="en-US" w:bidi="en-US"/>
        </w:rPr>
        <w:t>Q.</w:t>
      </w:r>
      <w:r w:rsidRPr="00F3290F">
        <w:t xml:space="preserve"> What – what went on?</w:t>
      </w:r>
    </w:p>
    <w:p w14:paraId="54EEA832" w14:textId="77777777" w:rsidR="000975C6" w:rsidRPr="00F3290F" w:rsidRDefault="000975C6" w:rsidP="000975C6">
      <w:pPr>
        <w:pStyle w:val="Citation-AltC"/>
        <w:rPr>
          <w:lang w:val="en-US" w:bidi="en-US"/>
        </w:rPr>
      </w:pPr>
      <w:r w:rsidRPr="00F3290F">
        <w:rPr>
          <w:lang w:val="en-US" w:bidi="en-US"/>
        </w:rPr>
        <w:t xml:space="preserve">A. Well I would – ah </w:t>
      </w:r>
      <w:r w:rsidRPr="00F3290F">
        <w:rPr>
          <w:u w:val="single"/>
          <w:lang w:val="en-US" w:bidi="en-US"/>
        </w:rPr>
        <w:t>I want to talk to my dad before I continue</w:t>
      </w:r>
      <w:r w:rsidRPr="00F3290F">
        <w:rPr>
          <w:lang w:val="en-US" w:bidi="en-US"/>
        </w:rPr>
        <w:t>.</w:t>
      </w:r>
    </w:p>
    <w:p w14:paraId="62B7591C" w14:textId="77777777" w:rsidR="000975C6" w:rsidRPr="00F3290F" w:rsidRDefault="000975C6" w:rsidP="000975C6">
      <w:pPr>
        <w:pStyle w:val="Citation-AltC"/>
        <w:rPr>
          <w:lang w:val="en-US" w:bidi="en-US"/>
        </w:rPr>
      </w:pPr>
      <w:r w:rsidRPr="00F3290F">
        <w:rPr>
          <w:lang w:val="en-US" w:bidi="en-US"/>
        </w:rPr>
        <w:t xml:space="preserve">Q. Ok </w:t>
      </w:r>
      <w:proofErr w:type="gramStart"/>
      <w:r w:rsidRPr="00F3290F">
        <w:rPr>
          <w:lang w:val="en-US" w:bidi="en-US"/>
        </w:rPr>
        <w:t>wh</w:t>
      </w:r>
      <w:proofErr w:type="gramEnd"/>
      <w:r w:rsidRPr="00F3290F">
        <w:rPr>
          <w:lang w:val="en-US" w:bidi="en-US"/>
        </w:rPr>
        <w:t xml:space="preserve"> – why do you say that?</w:t>
      </w:r>
    </w:p>
    <w:p w14:paraId="2EE263EF" w14:textId="77777777" w:rsidR="000975C6" w:rsidRPr="00F3290F" w:rsidRDefault="000975C6" w:rsidP="000975C6">
      <w:pPr>
        <w:pStyle w:val="Citation-AltC"/>
        <w:ind w:left="1440" w:hanging="274"/>
        <w:rPr>
          <w:lang w:val="en-US" w:bidi="en-US"/>
        </w:rPr>
      </w:pPr>
      <w:r w:rsidRPr="00F3290F">
        <w:rPr>
          <w:lang w:val="en-US" w:bidi="en-US"/>
        </w:rPr>
        <w:t xml:space="preserve">A. </w:t>
      </w:r>
      <w:r w:rsidRPr="00F3290F">
        <w:rPr>
          <w:u w:val="single"/>
          <w:lang w:val="en-US" w:bidi="en-US"/>
        </w:rPr>
        <w:t>Cause well he’s – well he’s my only chance of getting a lawyer and I just – I don’t know.</w:t>
      </w:r>
      <w:r w:rsidRPr="00F3290F">
        <w:rPr>
          <w:b/>
          <w:lang w:val="en-US" w:bidi="en-US"/>
        </w:rPr>
        <w:t xml:space="preserve"> </w:t>
      </w:r>
      <w:r w:rsidRPr="00F3290F">
        <w:rPr>
          <w:lang w:val="en-US" w:bidi="en-US"/>
        </w:rPr>
        <w:t>[Emphasis added.]</w:t>
      </w:r>
    </w:p>
    <w:p w14:paraId="3E209CB8" w14:textId="77777777" w:rsidR="000975C6" w:rsidRPr="00F3290F" w:rsidRDefault="000975C6" w:rsidP="000975C6">
      <w:pPr>
        <w:pStyle w:val="Citation-AltC"/>
        <w:ind w:left="1440" w:hanging="274"/>
        <w:rPr>
          <w:lang w:val="en-US" w:bidi="en-US"/>
        </w:rPr>
      </w:pPr>
    </w:p>
    <w:p w14:paraId="042910F8" w14:textId="77777777" w:rsidR="000975C6" w:rsidRPr="00F3290F" w:rsidRDefault="000975C6" w:rsidP="000975C6">
      <w:pPr>
        <w:pStyle w:val="Citation-AltC"/>
        <w:ind w:left="1440" w:hanging="274"/>
        <w:rPr>
          <w:b/>
          <w:lang w:val="en-US" w:bidi="en-US"/>
        </w:rPr>
      </w:pPr>
      <w:r w:rsidRPr="00F3290F">
        <w:rPr>
          <w:lang w:val="en-US" w:bidi="en-US"/>
        </w:rPr>
        <w:t>(A.R., vol. V, at p. 137)</w:t>
      </w:r>
    </w:p>
    <w:p w14:paraId="367CB091" w14:textId="77777777" w:rsidR="000975C6" w:rsidRPr="00F3290F" w:rsidRDefault="000975C6" w:rsidP="000975C6">
      <w:pPr>
        <w:pStyle w:val="ParaNoNdepar-AltN"/>
        <w:numPr>
          <w:ilvl w:val="0"/>
          <w:numId w:val="0"/>
        </w:numPr>
        <w:rPr>
          <w:rFonts w:cs="Times New Roman"/>
          <w:lang w:val="en-US" w:bidi="en-US"/>
        </w:rPr>
      </w:pPr>
      <w:r w:rsidRPr="00F3290F">
        <w:rPr>
          <w:rFonts w:cs="Times New Roman"/>
          <w:lang w:val="en-US" w:bidi="en-US"/>
        </w:rPr>
        <w:lastRenderedPageBreak/>
        <w:t>It is also inaccurate to describe Mr. </w:t>
      </w:r>
      <w:r w:rsidRPr="00F3290F">
        <w:rPr>
          <w:rFonts w:cs="Times New Roman"/>
        </w:rPr>
        <w:t>Lafrance</w:t>
      </w:r>
      <w:r w:rsidRPr="00F3290F">
        <w:rPr>
          <w:rFonts w:cs="Times New Roman"/>
          <w:lang w:val="en-US" w:bidi="en-US"/>
        </w:rPr>
        <w:t xml:space="preserve">, as the Crown and trial judge do, as simply requesting that a lawyer be present with him during the interview. He clarified to Sgt. Eros that what he really sought was an opportunity to </w:t>
      </w:r>
      <w:r w:rsidRPr="00F3290F">
        <w:rPr>
          <w:rFonts w:cs="Times New Roman"/>
          <w:i/>
          <w:lang w:val="en-US" w:bidi="en-US"/>
        </w:rPr>
        <w:t>get</w:t>
      </w:r>
      <w:r w:rsidRPr="00F3290F">
        <w:rPr>
          <w:rFonts w:cs="Times New Roman"/>
          <w:lang w:val="en-US" w:bidi="en-US"/>
        </w:rPr>
        <w:t xml:space="preserve">, and </w:t>
      </w:r>
      <w:r w:rsidRPr="00F3290F">
        <w:rPr>
          <w:rFonts w:cs="Times New Roman"/>
          <w:i/>
          <w:lang w:val="en-US" w:bidi="en-US"/>
        </w:rPr>
        <w:t>speak to</w:t>
      </w:r>
      <w:r w:rsidRPr="00F3290F">
        <w:rPr>
          <w:rFonts w:cs="Times New Roman"/>
          <w:lang w:val="en-US" w:bidi="en-US"/>
        </w:rPr>
        <w:t>, a lawyer:</w:t>
      </w:r>
    </w:p>
    <w:p w14:paraId="688E8689" w14:textId="77777777" w:rsidR="000975C6" w:rsidRPr="00F3290F" w:rsidRDefault="000975C6" w:rsidP="000975C6">
      <w:pPr>
        <w:pStyle w:val="Citation-AltC"/>
        <w:ind w:left="1440" w:hanging="274"/>
        <w:rPr>
          <w:lang w:val="en-US" w:bidi="en-US"/>
        </w:rPr>
      </w:pPr>
      <w:r w:rsidRPr="00F3290F">
        <w:rPr>
          <w:lang w:val="en-US" w:bidi="en-US"/>
        </w:rPr>
        <w:t xml:space="preserve">A. Well no they told me – </w:t>
      </w:r>
      <w:r w:rsidRPr="00F3290F">
        <w:rPr>
          <w:u w:val="single"/>
          <w:lang w:val="en-US" w:bidi="en-US"/>
        </w:rPr>
        <w:t>they told me to get a lawyer before I continue talking</w:t>
      </w:r>
      <w:r w:rsidRPr="00F3290F">
        <w:rPr>
          <w:lang w:val="en-US" w:bidi="en-US"/>
        </w:rPr>
        <w:t>.</w:t>
      </w:r>
    </w:p>
    <w:p w14:paraId="3ECC2A22" w14:textId="77777777" w:rsidR="000975C6" w:rsidRPr="00F3290F" w:rsidRDefault="000975C6" w:rsidP="000975C6">
      <w:pPr>
        <w:pStyle w:val="Citation-AltC"/>
        <w:rPr>
          <w:lang w:val="en-US" w:bidi="en-US"/>
        </w:rPr>
      </w:pPr>
      <w:r w:rsidRPr="00F3290F">
        <w:rPr>
          <w:lang w:val="en-US" w:bidi="en-US"/>
        </w:rPr>
        <w:t>Q. Ok what do you mean by told you to get a lawyer?</w:t>
      </w:r>
    </w:p>
    <w:p w14:paraId="39793790" w14:textId="77777777" w:rsidR="000975C6" w:rsidRPr="00F3290F" w:rsidRDefault="000975C6" w:rsidP="000975C6">
      <w:pPr>
        <w:pStyle w:val="Citation-AltC"/>
        <w:rPr>
          <w:lang w:val="en-US" w:bidi="en-US"/>
        </w:rPr>
      </w:pPr>
      <w:r w:rsidRPr="00F3290F">
        <w:rPr>
          <w:lang w:val="en-US" w:bidi="en-US"/>
        </w:rPr>
        <w:t>A. Like someone that can come down and sit with me.</w:t>
      </w:r>
    </w:p>
    <w:p w14:paraId="7A5567A6" w14:textId="77777777" w:rsidR="000975C6" w:rsidRPr="00F3290F" w:rsidRDefault="000975C6" w:rsidP="000975C6">
      <w:pPr>
        <w:pStyle w:val="Citation-AltC"/>
        <w:rPr>
          <w:lang w:val="en-US" w:bidi="en-US"/>
        </w:rPr>
      </w:pPr>
      <w:r w:rsidRPr="00F3290F">
        <w:rPr>
          <w:lang w:val="en-US" w:bidi="en-US"/>
        </w:rPr>
        <w:t>Q. Ok.</w:t>
      </w:r>
    </w:p>
    <w:p w14:paraId="3976516D" w14:textId="77777777" w:rsidR="000975C6" w:rsidRPr="00F3290F" w:rsidRDefault="000975C6" w:rsidP="000975C6">
      <w:pPr>
        <w:pStyle w:val="Citation-AltC"/>
        <w:rPr>
          <w:lang w:val="en-US" w:bidi="en-US"/>
        </w:rPr>
      </w:pPr>
      <w:r w:rsidRPr="00F3290F">
        <w:rPr>
          <w:lang w:val="en-US" w:bidi="en-US"/>
        </w:rPr>
        <w:t>A. Instead of just over the phone.</w:t>
      </w:r>
    </w:p>
    <w:p w14:paraId="0B1EA1D6" w14:textId="77777777" w:rsidR="000975C6" w:rsidRPr="00F3290F" w:rsidRDefault="000975C6" w:rsidP="000975C6">
      <w:pPr>
        <w:pStyle w:val="Citation-AltC"/>
        <w:ind w:left="1440" w:hanging="274"/>
        <w:rPr>
          <w:lang w:val="en-US" w:bidi="en-US"/>
        </w:rPr>
      </w:pPr>
      <w:r w:rsidRPr="00F3290F">
        <w:rPr>
          <w:lang w:val="en-US" w:bidi="en-US"/>
        </w:rPr>
        <w:t>Q. There’s a person that ah you know what – and the way that that kinda goes ah – I won’t say it’s, it’s bad advice but it’s maybe miss – a little bit miss as – miss ah – interrupted. Um there’s not any time or any process during our interview</w:t>
      </w:r>
      <w:r>
        <w:rPr>
          <w:lang w:val="en-US" w:bidi="en-US"/>
        </w:rPr>
        <w:t xml:space="preserve"> </w:t>
      </w:r>
      <w:r w:rsidRPr="00F3290F">
        <w:rPr>
          <w:lang w:val="en-US" w:bidi="en-US"/>
        </w:rPr>
        <w:t>–.</w:t>
      </w:r>
    </w:p>
    <w:p w14:paraId="31333D0D" w14:textId="77777777" w:rsidR="000975C6" w:rsidRPr="00F3290F" w:rsidRDefault="000975C6" w:rsidP="000975C6">
      <w:pPr>
        <w:pStyle w:val="Citation-AltC"/>
        <w:rPr>
          <w:lang w:val="en-US" w:bidi="en-US"/>
        </w:rPr>
      </w:pPr>
      <w:r w:rsidRPr="00F3290F">
        <w:rPr>
          <w:lang w:val="en-US" w:bidi="en-US"/>
        </w:rPr>
        <w:t>A. Um?</w:t>
      </w:r>
    </w:p>
    <w:p w14:paraId="15B9D8F1" w14:textId="77777777" w:rsidR="000975C6" w:rsidRPr="00F3290F" w:rsidRDefault="000975C6" w:rsidP="000975C6">
      <w:pPr>
        <w:pStyle w:val="Citation-AltC"/>
        <w:rPr>
          <w:lang w:val="en-US" w:bidi="en-US"/>
        </w:rPr>
      </w:pPr>
      <w:r w:rsidRPr="00F3290F">
        <w:rPr>
          <w:lang w:val="en-US" w:bidi="en-US"/>
        </w:rPr>
        <w:t>Q. Where we’re gonna have a lawyer sitting in the room with us.</w:t>
      </w:r>
    </w:p>
    <w:p w14:paraId="15C45864" w14:textId="77777777" w:rsidR="000975C6" w:rsidRPr="00F3290F" w:rsidRDefault="000975C6" w:rsidP="000975C6">
      <w:pPr>
        <w:pStyle w:val="Citation-AltC"/>
        <w:rPr>
          <w:lang w:val="en-US" w:bidi="en-US"/>
        </w:rPr>
      </w:pPr>
      <w:r w:rsidRPr="00F3290F">
        <w:rPr>
          <w:lang w:val="en-US" w:bidi="en-US"/>
        </w:rPr>
        <w:t xml:space="preserve">A. </w:t>
      </w:r>
      <w:r w:rsidRPr="00F3290F">
        <w:rPr>
          <w:u w:val="single"/>
          <w:lang w:val="en-US" w:bidi="en-US"/>
        </w:rPr>
        <w:t xml:space="preserve">No, no I – </w:t>
      </w:r>
      <w:r>
        <w:rPr>
          <w:u w:val="single"/>
          <w:lang w:val="en-US" w:bidi="en-US"/>
        </w:rPr>
        <w:t xml:space="preserve">I </w:t>
      </w:r>
      <w:r w:rsidRPr="00F3290F">
        <w:rPr>
          <w:u w:val="single"/>
          <w:lang w:val="en-US" w:bidi="en-US"/>
        </w:rPr>
        <w:t>mean, no mean like so</w:t>
      </w:r>
      <w:r w:rsidRPr="00F3290F">
        <w:rPr>
          <w:lang w:val="en-US" w:bidi="en-US"/>
        </w:rPr>
        <w:t xml:space="preserve"> –</w:t>
      </w:r>
      <w:r>
        <w:rPr>
          <w:lang w:val="en-US" w:bidi="en-US"/>
        </w:rPr>
        <w:t>.</w:t>
      </w:r>
    </w:p>
    <w:p w14:paraId="287FA8B4" w14:textId="77777777" w:rsidR="000975C6" w:rsidRPr="00F3290F" w:rsidRDefault="000975C6" w:rsidP="000975C6">
      <w:pPr>
        <w:pStyle w:val="Citation-AltC"/>
        <w:rPr>
          <w:lang w:val="en-US" w:bidi="en-US"/>
        </w:rPr>
      </w:pPr>
      <w:r w:rsidRPr="00F3290F">
        <w:rPr>
          <w:lang w:val="en-US" w:bidi="en-US"/>
        </w:rPr>
        <w:t>Q. Ok.</w:t>
      </w:r>
    </w:p>
    <w:p w14:paraId="4477D9F5" w14:textId="77777777" w:rsidR="000975C6" w:rsidRPr="00F3290F" w:rsidRDefault="000975C6" w:rsidP="000975C6">
      <w:pPr>
        <w:pStyle w:val="Citation-AltC"/>
        <w:rPr>
          <w:lang w:val="en-US" w:bidi="en-US"/>
        </w:rPr>
      </w:pPr>
      <w:r w:rsidRPr="00F3290F">
        <w:rPr>
          <w:lang w:val="en-US" w:bidi="en-US"/>
        </w:rPr>
        <w:t xml:space="preserve">A. </w:t>
      </w:r>
      <w:r w:rsidRPr="00F3290F">
        <w:rPr>
          <w:u w:val="single"/>
          <w:lang w:val="en-US" w:bidi="en-US"/>
        </w:rPr>
        <w:t>Like for me to sit down with them personally.</w:t>
      </w:r>
    </w:p>
    <w:p w14:paraId="44F15A4E" w14:textId="77777777" w:rsidR="000975C6" w:rsidRPr="00F3290F" w:rsidRDefault="000975C6" w:rsidP="000975C6">
      <w:pPr>
        <w:pStyle w:val="Citation-AltC"/>
        <w:rPr>
          <w:lang w:val="en-US" w:bidi="en-US"/>
        </w:rPr>
      </w:pPr>
      <w:r w:rsidRPr="00F3290F">
        <w:rPr>
          <w:lang w:val="en-US" w:bidi="en-US"/>
        </w:rPr>
        <w:t>Q. Ok.</w:t>
      </w:r>
    </w:p>
    <w:p w14:paraId="7A22350E" w14:textId="77777777" w:rsidR="000975C6" w:rsidRPr="00F3290F" w:rsidRDefault="000975C6" w:rsidP="000975C6">
      <w:pPr>
        <w:pStyle w:val="Citation-AltC"/>
      </w:pPr>
      <w:r w:rsidRPr="00F3290F">
        <w:rPr>
          <w:lang w:val="en-US" w:bidi="en-US"/>
        </w:rPr>
        <w:t xml:space="preserve">A. </w:t>
      </w:r>
      <w:r w:rsidRPr="00F3290F">
        <w:rPr>
          <w:u w:val="single"/>
          <w:lang w:val="en-US" w:bidi="en-US"/>
        </w:rPr>
        <w:t>To talk to.</w:t>
      </w:r>
      <w:r w:rsidRPr="00F3290F">
        <w:rPr>
          <w:lang w:val="en-US" w:bidi="en-US"/>
        </w:rPr>
        <w:t xml:space="preserve"> [</w:t>
      </w:r>
      <w:r w:rsidRPr="00F3290F">
        <w:t>Emphasis added.]</w:t>
      </w:r>
    </w:p>
    <w:p w14:paraId="0D5A484F" w14:textId="77777777" w:rsidR="000975C6" w:rsidRPr="00F3290F" w:rsidRDefault="000975C6" w:rsidP="000975C6">
      <w:pPr>
        <w:pStyle w:val="Citation-AltC"/>
      </w:pPr>
    </w:p>
    <w:p w14:paraId="5B94B9AB" w14:textId="77777777" w:rsidR="000975C6" w:rsidRPr="00F3290F" w:rsidRDefault="000975C6" w:rsidP="000975C6">
      <w:pPr>
        <w:pStyle w:val="Citation-AltC"/>
        <w:rPr>
          <w:lang w:val="en-US" w:bidi="en-US"/>
        </w:rPr>
      </w:pPr>
      <w:r w:rsidRPr="00F3290F">
        <w:t>(A.R., vol. V, at p. 139)</w:t>
      </w:r>
    </w:p>
    <w:p w14:paraId="73A3AD16" w14:textId="77777777" w:rsidR="000975C6" w:rsidRPr="00F3290F" w:rsidRDefault="000975C6" w:rsidP="000975C6">
      <w:pPr>
        <w:pStyle w:val="ParaNoNdepar-AltN"/>
        <w:rPr>
          <w:rFonts w:cs="Times New Roman"/>
          <w:lang w:val="en-US" w:bidi="en-US"/>
        </w:rPr>
      </w:pPr>
      <w:r w:rsidRPr="00F3290F">
        <w:rPr>
          <w:rFonts w:cs="Times New Roman"/>
          <w:lang w:val="en-US" w:bidi="en-US"/>
        </w:rPr>
        <w:t>Sgt. Eros then questioned Mr. </w:t>
      </w:r>
      <w:r w:rsidRPr="00F3290F">
        <w:rPr>
          <w:rFonts w:cs="Times New Roman"/>
        </w:rPr>
        <w:t>Lafrance</w:t>
      </w:r>
      <w:r w:rsidRPr="00F3290F">
        <w:rPr>
          <w:rFonts w:cs="Times New Roman"/>
          <w:lang w:val="en-US" w:bidi="en-US"/>
        </w:rPr>
        <w:t xml:space="preserve"> about his conversation with Legal Aid. While Mr. </w:t>
      </w:r>
      <w:r w:rsidRPr="00F3290F">
        <w:rPr>
          <w:rFonts w:cs="Times New Roman"/>
        </w:rPr>
        <w:t>Lafrance</w:t>
      </w:r>
      <w:r w:rsidRPr="00F3290F">
        <w:rPr>
          <w:rFonts w:cs="Times New Roman"/>
          <w:lang w:val="en-US" w:bidi="en-US"/>
        </w:rPr>
        <w:t xml:space="preserve"> acknowledged that he was told that he did not have to say anything, there were also clear signs that either the legal advice he obtained was incorrect, or he did not understand how his s. 10(b) rights applied to his current circumstances. Mr. </w:t>
      </w:r>
      <w:r w:rsidRPr="00F3290F">
        <w:rPr>
          <w:rFonts w:cs="Times New Roman"/>
        </w:rPr>
        <w:t>Lafrance</w:t>
      </w:r>
      <w:r w:rsidRPr="00F3290F">
        <w:rPr>
          <w:rFonts w:cs="Times New Roman"/>
          <w:lang w:val="en-US" w:bidi="en-US"/>
        </w:rPr>
        <w:t xml:space="preserve"> explained to Sgt. Eros that the advice he obtained from Legal Aid was to “get a lawyer before [he] continue talking” and get “someone that can come down and sit with [him]” (A.R., vol. V, at p. 139) — indicating either that Mr. </w:t>
      </w:r>
      <w:r w:rsidRPr="00F3290F">
        <w:rPr>
          <w:rFonts w:cs="Times New Roman"/>
        </w:rPr>
        <w:t>Lafrance</w:t>
      </w:r>
      <w:r w:rsidRPr="00F3290F">
        <w:rPr>
          <w:rFonts w:cs="Times New Roman"/>
          <w:lang w:val="en-US" w:bidi="en-US"/>
        </w:rPr>
        <w:t xml:space="preserve"> had incorrectly interpreted the advice he received or, as Sgt. Eros hinted at, that he had received “bad advice”.</w:t>
      </w:r>
      <w:r w:rsidRPr="00F3290F">
        <w:rPr>
          <w:rFonts w:eastAsia="Times New Roman" w:cs="Times New Roman"/>
          <w:szCs w:val="24"/>
          <w:lang w:val="en-US" w:eastAsia="en-CA" w:bidi="en-US"/>
        </w:rPr>
        <w:t xml:space="preserve"> </w:t>
      </w:r>
    </w:p>
    <w:p w14:paraId="69340845" w14:textId="77777777" w:rsidR="000975C6" w:rsidRPr="00F3290F" w:rsidRDefault="000975C6" w:rsidP="000975C6">
      <w:pPr>
        <w:pStyle w:val="ParaNoNdepar-AltN"/>
        <w:rPr>
          <w:rFonts w:cs="Times New Roman"/>
          <w:lang w:val="en-US" w:bidi="en-US"/>
        </w:rPr>
      </w:pPr>
      <w:r w:rsidRPr="00F3290F">
        <w:rPr>
          <w:rFonts w:eastAsia="Times New Roman" w:cs="Times New Roman"/>
          <w:lang w:val="en-US" w:eastAsia="en-CA" w:bidi="en-US"/>
        </w:rPr>
        <w:lastRenderedPageBreak/>
        <w:t>This represents, to my mind, a critical moment in Mr. </w:t>
      </w:r>
      <w:r w:rsidRPr="00F3290F">
        <w:rPr>
          <w:rFonts w:cs="Times New Roman"/>
        </w:rPr>
        <w:t>Lafrance’s</w:t>
      </w:r>
      <w:r w:rsidRPr="00F3290F">
        <w:rPr>
          <w:rFonts w:eastAsia="Times New Roman" w:cs="Times New Roman"/>
          <w:lang w:val="en-US" w:eastAsia="en-CA" w:bidi="en-US"/>
        </w:rPr>
        <w:t xml:space="preserve"> encounter with the police. Faced with a detainee who was obviously ignorant as to his rights, Sgt. Eros had a choice: to press ahead with the interview, whether despite or because of that ignorance; or, to allow the subject an opportunity to clarify his rights and how to exercise them in his circumstances. Sgt. Eros chose the former course; the Constitution demanded the latter.</w:t>
      </w:r>
      <w:r w:rsidRPr="00F3290F">
        <w:rPr>
          <w:rFonts w:eastAsia="Times New Roman" w:cs="Times New Roman"/>
          <w:lang w:eastAsia="en-CA" w:bidi="en-US"/>
        </w:rPr>
        <w:t xml:space="preserve"> </w:t>
      </w:r>
    </w:p>
    <w:p w14:paraId="0C2E32D6" w14:textId="77777777" w:rsidR="000975C6" w:rsidRPr="00F3290F" w:rsidRDefault="000975C6" w:rsidP="000975C6">
      <w:pPr>
        <w:pStyle w:val="ParaNoNdepar-AltN"/>
        <w:rPr>
          <w:rFonts w:cs="Times New Roman"/>
          <w:lang w:val="en-US"/>
        </w:rPr>
      </w:pPr>
      <w:r w:rsidRPr="00F3290F">
        <w:rPr>
          <w:rFonts w:eastAsia="Times New Roman" w:cs="Times New Roman"/>
          <w:lang w:eastAsia="en-CA"/>
        </w:rPr>
        <w:t>There was ample reason here to question Mr. </w:t>
      </w:r>
      <w:r w:rsidRPr="00F3290F">
        <w:rPr>
          <w:rFonts w:cs="Times New Roman"/>
        </w:rPr>
        <w:t>Lafrance’s</w:t>
      </w:r>
      <w:r w:rsidRPr="00F3290F">
        <w:rPr>
          <w:rFonts w:eastAsia="Times New Roman" w:cs="Times New Roman"/>
          <w:lang w:eastAsia="en-CA"/>
        </w:rPr>
        <w:t xml:space="preserve"> understanding of his s. 10(b) right, bringing his circumstances within the third </w:t>
      </w:r>
      <w:r w:rsidRPr="00F3290F">
        <w:rPr>
          <w:rFonts w:eastAsia="Times New Roman" w:cs="Times New Roman"/>
          <w:i/>
          <w:lang w:eastAsia="en-CA"/>
        </w:rPr>
        <w:t>Sinclair</w:t>
      </w:r>
      <w:r w:rsidRPr="00F3290F">
        <w:rPr>
          <w:rFonts w:eastAsia="Times New Roman" w:cs="Times New Roman"/>
          <w:lang w:eastAsia="en-CA"/>
        </w:rPr>
        <w:t xml:space="preserve"> category.</w:t>
      </w:r>
      <w:r w:rsidRPr="00F3290F">
        <w:rPr>
          <w:rFonts w:cs="Times New Roman"/>
          <w:lang w:val="en-US"/>
        </w:rPr>
        <w:t xml:space="preserve"> While it is true that general confusion or a “</w:t>
      </w:r>
      <w:proofErr w:type="gramStart"/>
      <w:r w:rsidRPr="00F3290F">
        <w:rPr>
          <w:rFonts w:cs="Times New Roman"/>
          <w:lang w:val="en-US"/>
        </w:rPr>
        <w:t>nee[</w:t>
      </w:r>
      <w:proofErr w:type="gramEnd"/>
      <w:r w:rsidRPr="00F3290F">
        <w:rPr>
          <w:rFonts w:cs="Times New Roman"/>
          <w:lang w:val="en-US"/>
        </w:rPr>
        <w:t>d for] help” is not a ground for further consultation with counsel (</w:t>
      </w:r>
      <w:r w:rsidRPr="00F3290F">
        <w:rPr>
          <w:rFonts w:cs="Times New Roman"/>
          <w:i/>
          <w:lang w:val="en-US"/>
        </w:rPr>
        <w:t>Sinclair</w:t>
      </w:r>
      <w:r>
        <w:rPr>
          <w:rFonts w:cs="Times New Roman"/>
          <w:lang w:val="en-US"/>
        </w:rPr>
        <w:t>, at para. 55), Mr. </w:t>
      </w:r>
      <w:r w:rsidRPr="00F3290F">
        <w:rPr>
          <w:rFonts w:cs="Times New Roman"/>
          <w:lang w:val="en-US"/>
        </w:rPr>
        <w:t>Lafrance was not, as my colleagues say, experiencing “mere confusion</w:t>
      </w:r>
      <w:r>
        <w:rPr>
          <w:rFonts w:cs="Times New Roman"/>
          <w:lang w:val="en-US"/>
        </w:rPr>
        <w:t>” or “discomfort” (paras. 177</w:t>
      </w:r>
      <w:r w:rsidRPr="00F3290F">
        <w:rPr>
          <w:rFonts w:cs="Times New Roman"/>
          <w:lang w:val="en-US"/>
        </w:rPr>
        <w:t>-</w:t>
      </w:r>
      <w:r>
        <w:rPr>
          <w:rFonts w:cs="Times New Roman"/>
          <w:lang w:val="en-US"/>
        </w:rPr>
        <w:t>83 (emphasis deleted)</w:t>
      </w:r>
      <w:r w:rsidRPr="00F3290F">
        <w:rPr>
          <w:rFonts w:cs="Times New Roman"/>
          <w:lang w:val="en-US"/>
        </w:rPr>
        <w:t xml:space="preserve">). To explain, and as my colleagues acknowledge, a “changed circumstance” can arise “[w]hen there is reason to question the detainee’s understanding </w:t>
      </w:r>
      <w:r>
        <w:rPr>
          <w:rFonts w:cs="Times New Roman"/>
          <w:lang w:val="en-US"/>
        </w:rPr>
        <w:t>of his s. 10(b) right” (para. 172</w:t>
      </w:r>
      <w:r w:rsidRPr="00F3290F">
        <w:rPr>
          <w:rFonts w:cs="Times New Roman"/>
          <w:lang w:val="en-US"/>
        </w:rPr>
        <w:t>). That is this case. His confusion was an “objective indicat[or] that renewed legal consultation was required to permit him to make a meaningful choice as to whether to cooperate with the police investigation or refuse to do so” (</w:t>
      </w:r>
      <w:r w:rsidRPr="00F3290F">
        <w:rPr>
          <w:rFonts w:cs="Times New Roman"/>
          <w:i/>
          <w:lang w:val="en-US"/>
        </w:rPr>
        <w:t>Sinclair</w:t>
      </w:r>
      <w:r w:rsidRPr="00F3290F">
        <w:rPr>
          <w:rFonts w:cs="Times New Roman"/>
          <w:lang w:val="en-US"/>
        </w:rPr>
        <w:t>, at para. 55). And this is because the information t</w:t>
      </w:r>
      <w:r>
        <w:rPr>
          <w:rFonts w:cs="Times New Roman"/>
          <w:lang w:val="en-US"/>
        </w:rPr>
        <w:t>o which he had a right under s. </w:t>
      </w:r>
      <w:r w:rsidRPr="00F3290F">
        <w:rPr>
          <w:rFonts w:cs="Times New Roman"/>
          <w:lang w:val="en-US"/>
        </w:rPr>
        <w:t xml:space="preserve">10(b) had not been conveyed, either at all or in a manner he understood (para. 52). </w:t>
      </w:r>
    </w:p>
    <w:p w14:paraId="6360E134" w14:textId="77777777" w:rsidR="000975C6" w:rsidRPr="00F3290F" w:rsidRDefault="000975C6" w:rsidP="000975C6">
      <w:pPr>
        <w:pStyle w:val="ParaNoNdepar-AltN"/>
        <w:rPr>
          <w:rFonts w:cs="Times New Roman"/>
          <w:lang w:val="en-US" w:bidi="en-US"/>
        </w:rPr>
      </w:pPr>
      <w:r w:rsidRPr="00F3290F">
        <w:rPr>
          <w:rFonts w:cs="Times New Roman"/>
          <w:lang w:val="en-US" w:bidi="en-US"/>
        </w:rPr>
        <w:t>The concern that should reasonably have arisen in the mind of the investigating officer that Mr. </w:t>
      </w:r>
      <w:r w:rsidRPr="00F3290F">
        <w:rPr>
          <w:rFonts w:cs="Times New Roman"/>
        </w:rPr>
        <w:t>Lafrance</w:t>
      </w:r>
      <w:r w:rsidRPr="00F3290F">
        <w:rPr>
          <w:rFonts w:cs="Times New Roman"/>
          <w:lang w:val="en-US" w:bidi="en-US"/>
        </w:rPr>
        <w:t xml:space="preserve"> may not have understood his rights and how to exercise them is affirmed, if not heightened, when considered in light of Mr. </w:t>
      </w:r>
      <w:r w:rsidRPr="00F3290F">
        <w:rPr>
          <w:rFonts w:cs="Times New Roman"/>
        </w:rPr>
        <w:t>Lafrance’s</w:t>
      </w:r>
      <w:r w:rsidRPr="00F3290F">
        <w:rPr>
          <w:rFonts w:cs="Times New Roman"/>
          <w:lang w:val="en-US" w:bidi="en-US"/>
        </w:rPr>
        <w:t xml:space="preserve"> </w:t>
      </w:r>
      <w:r w:rsidRPr="00F3290F">
        <w:rPr>
          <w:rFonts w:cs="Times New Roman"/>
          <w:lang w:val="en-US" w:bidi="en-US"/>
        </w:rPr>
        <w:lastRenderedPageBreak/>
        <w:t xml:space="preserve">particular characteristics. It </w:t>
      </w:r>
      <w:r>
        <w:rPr>
          <w:rFonts w:cs="Times New Roman"/>
          <w:lang w:val="en-US" w:bidi="en-US"/>
        </w:rPr>
        <w:t>is entirely plausible that a 19</w:t>
      </w:r>
      <w:r>
        <w:rPr>
          <w:rFonts w:cs="Times New Roman"/>
          <w:lang w:val="en-US" w:bidi="en-US"/>
        </w:rPr>
        <w:noBreakHyphen/>
        <w:t>year</w:t>
      </w:r>
      <w:r>
        <w:rPr>
          <w:rFonts w:cs="Times New Roman"/>
          <w:lang w:val="en-US" w:bidi="en-US"/>
        </w:rPr>
        <w:noBreakHyphen/>
      </w:r>
      <w:r w:rsidRPr="00F3290F">
        <w:rPr>
          <w:rFonts w:cs="Times New Roman"/>
          <w:lang w:val="en-US" w:bidi="en-US"/>
        </w:rPr>
        <w:t xml:space="preserve">old with no previous experience of detention or custodial interviews might have difficulty understanding his or her rights, not ever having had to exercise them or even speak with a lawyer before. While the trial judge found him “not unsophisticated”, as I have already explained he was obviously </w:t>
      </w:r>
      <w:r w:rsidRPr="00F3290F">
        <w:rPr>
          <w:rFonts w:cs="Times New Roman"/>
          <w:i/>
          <w:lang w:val="en-US" w:bidi="en-US"/>
        </w:rPr>
        <w:t>un</w:t>
      </w:r>
      <w:r w:rsidRPr="00F3290F">
        <w:rPr>
          <w:rFonts w:cs="Times New Roman"/>
          <w:lang w:val="en-US" w:bidi="en-US"/>
        </w:rPr>
        <w:t>sophisticated in ways that matter here. Finally, and while, as I have explained, it is not clear that this was a present factor in this case, in view of Mr. </w:t>
      </w:r>
      <w:r w:rsidRPr="00F3290F">
        <w:rPr>
          <w:rFonts w:cs="Times New Roman"/>
        </w:rPr>
        <w:t>Lafrance’s</w:t>
      </w:r>
      <w:r w:rsidRPr="00F3290F">
        <w:rPr>
          <w:rFonts w:cs="Times New Roman"/>
          <w:lang w:val="en-US" w:bidi="en-US"/>
        </w:rPr>
        <w:t xml:space="preserve"> Indigenous heritage I note that investigating officers and reviewing courts should be alive to the pronounced power imbalance that arises from the unique, historical vulnerability of Indigenous people in their encounters with the criminal justice system (Watkins, at pp. 493-95). All these considerations — none of which are taken into consideration by my colleagues — further support the conclusion that Mr. </w:t>
      </w:r>
      <w:r w:rsidRPr="00F3290F">
        <w:rPr>
          <w:rFonts w:cs="Times New Roman"/>
        </w:rPr>
        <w:t>Lafrance’s</w:t>
      </w:r>
      <w:r w:rsidRPr="00F3290F">
        <w:rPr>
          <w:rFonts w:cs="Times New Roman"/>
          <w:lang w:val="en-US" w:bidi="en-US"/>
        </w:rPr>
        <w:t xml:space="preserve"> circumstances fall within the third </w:t>
      </w:r>
      <w:r w:rsidRPr="00F3290F">
        <w:rPr>
          <w:rFonts w:cs="Times New Roman"/>
          <w:i/>
          <w:lang w:val="en-US" w:bidi="en-US"/>
        </w:rPr>
        <w:t>Sinclair</w:t>
      </w:r>
      <w:r w:rsidRPr="00F3290F">
        <w:rPr>
          <w:rFonts w:cs="Times New Roman"/>
          <w:lang w:val="en-US" w:bidi="en-US"/>
        </w:rPr>
        <w:t xml:space="preserve"> category.</w:t>
      </w:r>
    </w:p>
    <w:p w14:paraId="16AC8134" w14:textId="77777777" w:rsidR="000975C6" w:rsidRPr="00F3290F" w:rsidRDefault="000975C6" w:rsidP="000975C6">
      <w:pPr>
        <w:pStyle w:val="Title3LevelTitre3Niveau"/>
        <w:numPr>
          <w:ilvl w:val="2"/>
          <w:numId w:val="8"/>
        </w:numPr>
        <w:rPr>
          <w:rFonts w:cs="Times New Roman"/>
          <w:lang w:val="en-US" w:bidi="en-US"/>
        </w:rPr>
      </w:pPr>
      <w:bookmarkStart w:id="42" w:name="_Toc97643552"/>
      <w:bookmarkStart w:id="43" w:name="_Toc103352573"/>
      <w:bookmarkStart w:id="44" w:name="_Toc103687581"/>
      <w:r w:rsidRPr="00F3290F">
        <w:rPr>
          <w:rFonts w:cs="Times New Roman"/>
          <w:lang w:val="en-US" w:bidi="en-US"/>
        </w:rPr>
        <w:t>Conclusion on Breach of Section 10(b) on April 7, 2015</w:t>
      </w:r>
      <w:bookmarkEnd w:id="42"/>
      <w:bookmarkEnd w:id="43"/>
      <w:bookmarkEnd w:id="44"/>
    </w:p>
    <w:p w14:paraId="72E55E49" w14:textId="77777777" w:rsidR="000975C6" w:rsidRPr="00F3290F" w:rsidRDefault="000975C6" w:rsidP="000975C6">
      <w:pPr>
        <w:pStyle w:val="ParaNoNdepar-AltN"/>
        <w:rPr>
          <w:rFonts w:cs="Times New Roman"/>
          <w:lang w:val="en-US" w:bidi="en-US"/>
        </w:rPr>
      </w:pPr>
      <w:r w:rsidRPr="00F3290F">
        <w:rPr>
          <w:rFonts w:cs="Times New Roman"/>
          <w:lang w:val="en-US" w:bidi="en-US"/>
        </w:rPr>
        <w:t>The police breached Mr. </w:t>
      </w:r>
      <w:r w:rsidRPr="00F3290F">
        <w:rPr>
          <w:rFonts w:cs="Times New Roman"/>
        </w:rPr>
        <w:t>Lafrance’s</w:t>
      </w:r>
      <w:r w:rsidRPr="00F3290F">
        <w:rPr>
          <w:rFonts w:cs="Times New Roman"/>
          <w:lang w:val="en-US" w:bidi="en-US"/>
        </w:rPr>
        <w:t xml:space="preserve"> s. 10(b) right to counsel by refusing to provide another opportunity to consult with a lawyer despite there being reason to conclude that he had not understood his s. 10(b) advice, even after having spoken with Legal Aid. I now turn to the consequences that follow from this breach and from the March 19 breach of Mr. </w:t>
      </w:r>
      <w:r w:rsidRPr="00F3290F">
        <w:rPr>
          <w:rFonts w:cs="Times New Roman"/>
        </w:rPr>
        <w:t>Lafrance’s</w:t>
      </w:r>
      <w:r w:rsidRPr="00F3290F">
        <w:rPr>
          <w:rFonts w:cs="Times New Roman"/>
          <w:lang w:val="en-US" w:bidi="en-US"/>
        </w:rPr>
        <w:t xml:space="preserve"> s. 10(b) right. </w:t>
      </w:r>
    </w:p>
    <w:p w14:paraId="645F11C6" w14:textId="77777777" w:rsidR="000975C6" w:rsidRPr="00F3290F" w:rsidRDefault="000975C6" w:rsidP="000975C6">
      <w:pPr>
        <w:pStyle w:val="Title2LevelTitre2Niveau"/>
        <w:numPr>
          <w:ilvl w:val="1"/>
          <w:numId w:val="8"/>
        </w:numPr>
        <w:rPr>
          <w:rFonts w:cs="Times New Roman"/>
        </w:rPr>
      </w:pPr>
      <w:bookmarkStart w:id="45" w:name="_Toc97643553"/>
      <w:bookmarkStart w:id="46" w:name="_Toc103352574"/>
      <w:bookmarkStart w:id="47" w:name="_Toc103687582"/>
      <w:r w:rsidRPr="00F3290F">
        <w:rPr>
          <w:rFonts w:cs="Times New Roman"/>
        </w:rPr>
        <w:t>Section 24(2) of the Charter</w:t>
      </w:r>
      <w:bookmarkEnd w:id="45"/>
      <w:bookmarkEnd w:id="46"/>
      <w:bookmarkEnd w:id="47"/>
    </w:p>
    <w:p w14:paraId="2E39D17E" w14:textId="77777777" w:rsidR="000975C6" w:rsidRPr="00F3290F" w:rsidRDefault="000975C6" w:rsidP="000975C6">
      <w:pPr>
        <w:pStyle w:val="ParaNoNdepar-AltN"/>
        <w:rPr>
          <w:rFonts w:cs="Times New Roman"/>
        </w:rPr>
      </w:pPr>
      <w:r w:rsidRPr="00F3290F">
        <w:rPr>
          <w:rFonts w:cs="Times New Roman"/>
        </w:rPr>
        <w:lastRenderedPageBreak/>
        <w:t xml:space="preserve">Section 24(2) of the </w:t>
      </w:r>
      <w:r w:rsidRPr="00F3290F">
        <w:rPr>
          <w:rFonts w:cs="Times New Roman"/>
          <w:i/>
        </w:rPr>
        <w:t>Charter</w:t>
      </w:r>
      <w:r w:rsidRPr="00F3290F">
        <w:rPr>
          <w:rFonts w:cs="Times New Roman"/>
        </w:rPr>
        <w:t xml:space="preserve"> is remedial: its purpose is to uphold </w:t>
      </w:r>
      <w:r w:rsidRPr="00F3290F">
        <w:rPr>
          <w:rFonts w:cs="Times New Roman"/>
          <w:i/>
        </w:rPr>
        <w:t xml:space="preserve">Charter </w:t>
      </w:r>
      <w:r w:rsidRPr="00F3290F">
        <w:rPr>
          <w:rFonts w:cs="Times New Roman"/>
        </w:rPr>
        <w:t>rights by providing effective remedies to those whose rights have been breached (</w:t>
      </w:r>
      <w:r w:rsidRPr="00F3290F">
        <w:rPr>
          <w:rFonts w:cs="Times New Roman"/>
          <w:i/>
        </w:rPr>
        <w:t>R. v. 974649 Ontario Inc.</w:t>
      </w:r>
      <w:r w:rsidRPr="00F3290F">
        <w:rPr>
          <w:rFonts w:cs="Times New Roman"/>
        </w:rPr>
        <w:t xml:space="preserve">, 2001 SCC 81, [2001] 3 S.C.R. 575, at paras. 19 and 21). And its text is categorical: where evidence was obtained in a manner that infringed a </w:t>
      </w:r>
      <w:r w:rsidRPr="00F3290F">
        <w:rPr>
          <w:rFonts w:cs="Times New Roman"/>
          <w:i/>
        </w:rPr>
        <w:t>Charter</w:t>
      </w:r>
      <w:r w:rsidRPr="00F3290F">
        <w:rPr>
          <w:rFonts w:cs="Times New Roman"/>
        </w:rPr>
        <w:t xml:space="preserve"> right or freedom, that evidence </w:t>
      </w:r>
      <w:r w:rsidRPr="00F3290F">
        <w:rPr>
          <w:rFonts w:cs="Times New Roman"/>
          <w:i/>
        </w:rPr>
        <w:t>shall</w:t>
      </w:r>
      <w:r w:rsidRPr="00F3290F">
        <w:rPr>
          <w:rFonts w:cs="Times New Roman"/>
        </w:rPr>
        <w:t xml:space="preserve"> be excluded if it is established that, having regard to all the circumstances, its admission would bring the administration of justice into disrepute (</w:t>
      </w:r>
      <w:r w:rsidRPr="00F3290F">
        <w:rPr>
          <w:rFonts w:cs="Times New Roman"/>
          <w:i/>
        </w:rPr>
        <w:t>Le</w:t>
      </w:r>
      <w:r w:rsidRPr="00F3290F">
        <w:rPr>
          <w:rFonts w:cs="Times New Roman"/>
        </w:rPr>
        <w:t xml:space="preserve">, at para. 139). The standpoint to be adopted throughout is, therefore, that of the administration of justice. As this Court emphasized in </w:t>
      </w:r>
      <w:r w:rsidRPr="00F3290F">
        <w:rPr>
          <w:rFonts w:cs="Times New Roman"/>
          <w:i/>
        </w:rPr>
        <w:t>Le</w:t>
      </w:r>
      <w:r w:rsidRPr="00F3290F">
        <w:rPr>
          <w:rFonts w:cs="Times New Roman"/>
        </w:rPr>
        <w:t>:</w:t>
      </w:r>
    </w:p>
    <w:p w14:paraId="7B268C36" w14:textId="77777777" w:rsidR="000975C6" w:rsidRPr="00F3290F" w:rsidRDefault="000975C6" w:rsidP="000975C6">
      <w:pPr>
        <w:pStyle w:val="Citation-AltC"/>
      </w:pPr>
      <w:r w:rsidRPr="00F3290F">
        <w:tab/>
        <w:t xml:space="preserve">Where the state seeks to benefit from the evidentiary fruits of </w:t>
      </w:r>
      <w:r w:rsidRPr="00F3290F">
        <w:rPr>
          <w:i/>
        </w:rPr>
        <w:t>Charter</w:t>
      </w:r>
      <w:r w:rsidRPr="00F3290F">
        <w:noBreakHyphen/>
        <w:t xml:space="preserve">offending conduct, our focus must be directed not to the impact of state misconduct upon </w:t>
      </w:r>
      <w:r w:rsidRPr="00F3290F">
        <w:rPr>
          <w:i/>
        </w:rPr>
        <w:t>the criminal trial</w:t>
      </w:r>
      <w:r w:rsidRPr="00F3290F">
        <w:t xml:space="preserve">, but upon </w:t>
      </w:r>
      <w:r w:rsidRPr="00F3290F">
        <w:rPr>
          <w:i/>
        </w:rPr>
        <w:t>the administration of justice</w:t>
      </w:r>
      <w:r w:rsidRPr="00F3290F">
        <w:t xml:space="preserve">. Courts must also bear in mind that the fact of a </w:t>
      </w:r>
      <w:r w:rsidRPr="00F3290F">
        <w:rPr>
          <w:i/>
        </w:rPr>
        <w:t>Charter</w:t>
      </w:r>
      <w:r w:rsidRPr="00F3290F">
        <w:t xml:space="preserve"> breach signifies, in and of itself, injustice, and a consequent diminishment of administration of justice. What courts are mandated by s. 24(2) to consider is whether the admission of evidence risks doing further damage by diminishing </w:t>
      </w:r>
      <w:r w:rsidRPr="00F3290F">
        <w:rPr>
          <w:i/>
        </w:rPr>
        <w:t>the</w:t>
      </w:r>
      <w:r w:rsidRPr="00F3290F">
        <w:t xml:space="preserve"> </w:t>
      </w:r>
      <w:r w:rsidRPr="00F3290F">
        <w:rPr>
          <w:i/>
        </w:rPr>
        <w:t>reputation</w:t>
      </w:r>
      <w:r w:rsidRPr="00F3290F">
        <w:t xml:space="preserve"> of the administration of justice — such that, for example, reasonable members of Canadian society might wonder whether courts take individual rights and freedoms from police misconduct seriously. We endorse this Court’s caution in </w:t>
      </w:r>
      <w:r w:rsidRPr="00F3290F">
        <w:rPr>
          <w:i/>
        </w:rPr>
        <w:t>Grant</w:t>
      </w:r>
      <w:r w:rsidRPr="00F3290F">
        <w:t xml:space="preserve">, at para. 68, that, while the exclusion of evidence “may provoke immediate criticism”, our focus is on “the overall repute of the justice system, viewed in the long term” by a reasonable person, informed of all relevant circumstances and of the importance of </w:t>
      </w:r>
      <w:r w:rsidRPr="00F3290F">
        <w:rPr>
          <w:i/>
        </w:rPr>
        <w:t>Charter</w:t>
      </w:r>
      <w:r w:rsidRPr="00F3290F">
        <w:t xml:space="preserve"> rights. [Emphasis in original; para. 140.]</w:t>
      </w:r>
    </w:p>
    <w:p w14:paraId="10DDF1BA" w14:textId="77777777" w:rsidR="000975C6" w:rsidRPr="00F3290F" w:rsidRDefault="000975C6" w:rsidP="000975C6">
      <w:pPr>
        <w:pStyle w:val="ParaNoNdepar-AltN"/>
        <w:rPr>
          <w:rFonts w:cs="Times New Roman"/>
        </w:rPr>
      </w:pPr>
      <w:r w:rsidRPr="00F3290F">
        <w:rPr>
          <w:rFonts w:cs="Times New Roman"/>
        </w:rPr>
        <w:t xml:space="preserve">Would, then, allowing the Crown to rely on the evidence obtained on March 19 and April 7 in breach of Mr. Lafrance’s </w:t>
      </w:r>
      <w:r w:rsidRPr="00F3290F">
        <w:rPr>
          <w:rFonts w:cs="Times New Roman"/>
          <w:i/>
        </w:rPr>
        <w:t xml:space="preserve">Charter </w:t>
      </w:r>
      <w:r w:rsidRPr="00F3290F">
        <w:rPr>
          <w:rFonts w:cs="Times New Roman"/>
        </w:rPr>
        <w:t xml:space="preserve">rights bring the administration of justice into disrepute? Deciding this entails considering and balancing the three lines of inquiry identified in </w:t>
      </w:r>
      <w:r w:rsidRPr="00F3290F">
        <w:rPr>
          <w:rFonts w:cs="Times New Roman"/>
          <w:i/>
        </w:rPr>
        <w:t>Grant</w:t>
      </w:r>
      <w:r w:rsidRPr="00F3290F">
        <w:rPr>
          <w:rFonts w:cs="Times New Roman"/>
        </w:rPr>
        <w:t xml:space="preserve">: (1) the seriousness of the </w:t>
      </w:r>
      <w:r w:rsidRPr="00F3290F">
        <w:rPr>
          <w:rFonts w:cs="Times New Roman"/>
          <w:i/>
        </w:rPr>
        <w:t>Charter</w:t>
      </w:r>
      <w:r w:rsidRPr="00F3290F">
        <w:rPr>
          <w:rFonts w:cs="Times New Roman"/>
        </w:rPr>
        <w:noBreakHyphen/>
        <w:t xml:space="preserve">infringing conduct; (2) the impact on the </w:t>
      </w:r>
      <w:r w:rsidRPr="00F3290F">
        <w:rPr>
          <w:rFonts w:cs="Times New Roman"/>
          <w:i/>
        </w:rPr>
        <w:t>Charter</w:t>
      </w:r>
      <w:r w:rsidRPr="00F3290F">
        <w:rPr>
          <w:rFonts w:cs="Times New Roman"/>
        </w:rPr>
        <w:noBreakHyphen/>
        <w:t xml:space="preserve">protected interests of the accused; and (3) society’s interest in the adjudication of the case on its merits (para. 71; </w:t>
      </w:r>
      <w:r w:rsidRPr="00F3290F">
        <w:rPr>
          <w:rFonts w:cs="Times New Roman"/>
          <w:i/>
        </w:rPr>
        <w:lastRenderedPageBreak/>
        <w:t>Le</w:t>
      </w:r>
      <w:r w:rsidRPr="00F3290F">
        <w:rPr>
          <w:rFonts w:cs="Times New Roman"/>
        </w:rPr>
        <w:t xml:space="preserve">, at paras. 139-42; </w:t>
      </w:r>
      <w:r w:rsidRPr="00F3290F">
        <w:rPr>
          <w:rFonts w:cs="Times New Roman"/>
          <w:i/>
        </w:rPr>
        <w:t>R. v. Tim</w:t>
      </w:r>
      <w:r w:rsidRPr="00F3290F">
        <w:rPr>
          <w:rFonts w:cs="Times New Roman"/>
        </w:rPr>
        <w:t>, 2022 SCC 12, at para. 74). While the first two lines of inquiry typically work in tandem, it is not necessary that both of them support exclusion in order for a court to determine that admission would bring the administration of justice into disrepute (</w:t>
      </w:r>
      <w:r w:rsidRPr="00F3290F">
        <w:rPr>
          <w:rFonts w:cs="Times New Roman"/>
          <w:i/>
        </w:rPr>
        <w:t>Le</w:t>
      </w:r>
      <w:r w:rsidRPr="00F3290F">
        <w:rPr>
          <w:rFonts w:cs="Times New Roman"/>
        </w:rPr>
        <w:t xml:space="preserve">, at para. 141). As the Court said in </w:t>
      </w:r>
      <w:r w:rsidRPr="00F3290F">
        <w:rPr>
          <w:rFonts w:cs="Times New Roman"/>
          <w:i/>
        </w:rPr>
        <w:t>Le</w:t>
      </w:r>
      <w:r w:rsidRPr="00F3290F">
        <w:rPr>
          <w:rFonts w:cs="Times New Roman"/>
        </w:rPr>
        <w:t xml:space="preserve">, “[i]t is the sum, and not the average, of those first two lines of inquiry that determines the pull towards exclusion” (para. 141). In other words, it is the </w:t>
      </w:r>
      <w:r w:rsidRPr="00F3290F">
        <w:rPr>
          <w:rFonts w:cs="Times New Roman"/>
          <w:i/>
        </w:rPr>
        <w:t>cumulative</w:t>
      </w:r>
      <w:r w:rsidRPr="00F3290F">
        <w:rPr>
          <w:rFonts w:cs="Times New Roman"/>
        </w:rPr>
        <w:t xml:space="preserve"> weight of the first two lines of inquiry that trial judges must consider and balance against the third line of inquiry when assessing whether evidence should be excluded. That is why the third line — which typically pulls towards a finding that admission would not bring the administration of justice into disrepute — will seldom tip the scale in favour of admissibility when the two first lines, taken together, make a strong case for exclusion (</w:t>
      </w:r>
      <w:r w:rsidRPr="00F3290F">
        <w:rPr>
          <w:rFonts w:cs="Times New Roman"/>
          <w:i/>
        </w:rPr>
        <w:t>Le</w:t>
      </w:r>
      <w:r w:rsidRPr="00F3290F">
        <w:rPr>
          <w:rFonts w:cs="Times New Roman"/>
        </w:rPr>
        <w:t>,</w:t>
      </w:r>
      <w:r w:rsidRPr="00F3290F">
        <w:rPr>
          <w:rFonts w:cs="Times New Roman"/>
          <w:i/>
        </w:rPr>
        <w:t xml:space="preserve"> </w:t>
      </w:r>
      <w:r w:rsidRPr="00F3290F">
        <w:rPr>
          <w:rFonts w:cs="Times New Roman"/>
        </w:rPr>
        <w:t xml:space="preserve">at para. 142; </w:t>
      </w:r>
      <w:r w:rsidRPr="00F3290F">
        <w:rPr>
          <w:rFonts w:cs="Times New Roman"/>
          <w:i/>
        </w:rPr>
        <w:t>R. v. Paterson</w:t>
      </w:r>
      <w:r w:rsidRPr="00F3290F">
        <w:rPr>
          <w:rFonts w:cs="Times New Roman"/>
        </w:rPr>
        <w:t>,</w:t>
      </w:r>
      <w:r w:rsidRPr="00F3290F">
        <w:rPr>
          <w:rFonts w:cs="Times New Roman"/>
          <w:i/>
        </w:rPr>
        <w:t xml:space="preserve"> </w:t>
      </w:r>
      <w:r w:rsidRPr="00F3290F">
        <w:rPr>
          <w:rFonts w:cs="Times New Roman"/>
        </w:rPr>
        <w:t>2017 SCC 15, [2017] 1 S.C.R. 202,</w:t>
      </w:r>
      <w:r w:rsidRPr="00F3290F">
        <w:rPr>
          <w:rFonts w:cs="Times New Roman"/>
          <w:i/>
        </w:rPr>
        <w:t xml:space="preserve"> </w:t>
      </w:r>
      <w:r w:rsidRPr="00F3290F">
        <w:rPr>
          <w:rFonts w:cs="Times New Roman"/>
        </w:rPr>
        <w:t>at para. 56).</w:t>
      </w:r>
    </w:p>
    <w:p w14:paraId="2D8F14A9" w14:textId="77777777" w:rsidR="000975C6" w:rsidRPr="00F3290F" w:rsidRDefault="000975C6" w:rsidP="000975C6">
      <w:pPr>
        <w:pStyle w:val="ParaNoNdepar-AltN"/>
        <w:rPr>
          <w:rFonts w:cs="Times New Roman"/>
        </w:rPr>
      </w:pPr>
      <w:r w:rsidRPr="00F3290F">
        <w:rPr>
          <w:rFonts w:cs="Times New Roman"/>
        </w:rPr>
        <w:t>An analysis pursuant to s. 24(2) — which is an exercise in judicial discretion by the trial judge — attracts deference as to the supporting findings of fact (</w:t>
      </w:r>
      <w:r w:rsidRPr="00F3290F">
        <w:rPr>
          <w:rFonts w:cs="Times New Roman"/>
          <w:i/>
        </w:rPr>
        <w:t>Grant</w:t>
      </w:r>
      <w:r w:rsidRPr="00F3290F">
        <w:rPr>
          <w:rFonts w:cs="Times New Roman"/>
        </w:rPr>
        <w:t>,</w:t>
      </w:r>
      <w:r w:rsidRPr="00F3290F">
        <w:rPr>
          <w:rFonts w:cs="Times New Roman"/>
          <w:i/>
        </w:rPr>
        <w:t xml:space="preserve"> </w:t>
      </w:r>
      <w:r w:rsidRPr="00F3290F">
        <w:rPr>
          <w:rFonts w:cs="Times New Roman"/>
        </w:rPr>
        <w:t>at paras. 43 and 86). But the application of the law to the facts is a question of law (</w:t>
      </w:r>
      <w:r w:rsidRPr="00F3290F">
        <w:rPr>
          <w:rFonts w:cs="Times New Roman"/>
          <w:i/>
        </w:rPr>
        <w:t>Grant</w:t>
      </w:r>
      <w:r w:rsidRPr="00F3290F">
        <w:rPr>
          <w:rFonts w:cs="Times New Roman"/>
        </w:rPr>
        <w:t xml:space="preserve">, para. 43). Further, an appellate court owes no deference where it disagrees with the trial judge’s conclusions on the </w:t>
      </w:r>
      <w:r w:rsidRPr="00F3290F">
        <w:rPr>
          <w:rFonts w:cs="Times New Roman"/>
          <w:i/>
        </w:rPr>
        <w:t xml:space="preserve">Charter </w:t>
      </w:r>
      <w:r w:rsidRPr="00F3290F">
        <w:rPr>
          <w:rFonts w:cs="Times New Roman"/>
        </w:rPr>
        <w:t>breaches (</w:t>
      </w:r>
      <w:r w:rsidRPr="00F3290F">
        <w:rPr>
          <w:rFonts w:cs="Times New Roman"/>
          <w:i/>
        </w:rPr>
        <w:t>Le</w:t>
      </w:r>
      <w:r w:rsidRPr="00F3290F">
        <w:rPr>
          <w:rFonts w:cs="Times New Roman"/>
        </w:rPr>
        <w:t xml:space="preserve">, at para. 138; </w:t>
      </w:r>
      <w:r w:rsidRPr="00F3290F">
        <w:rPr>
          <w:rFonts w:cs="Times New Roman"/>
          <w:i/>
        </w:rPr>
        <w:t>Grant</w:t>
      </w:r>
      <w:r w:rsidRPr="00F3290F">
        <w:rPr>
          <w:rFonts w:cs="Times New Roman"/>
        </w:rPr>
        <w:t xml:space="preserve">, at para. 129; </w:t>
      </w:r>
      <w:r w:rsidRPr="00F3290F">
        <w:rPr>
          <w:rFonts w:cs="Times New Roman"/>
          <w:i/>
        </w:rPr>
        <w:t>Paterson</w:t>
      </w:r>
      <w:r w:rsidRPr="00F3290F">
        <w:rPr>
          <w:rFonts w:cs="Times New Roman"/>
        </w:rPr>
        <w:t>, at para. 42).</w:t>
      </w:r>
    </w:p>
    <w:p w14:paraId="651851B0" w14:textId="77777777" w:rsidR="000975C6" w:rsidRPr="00F3290F" w:rsidRDefault="000975C6" w:rsidP="000975C6">
      <w:pPr>
        <w:pStyle w:val="ParaNoNdepar-AltN"/>
        <w:rPr>
          <w:rFonts w:cs="Times New Roman"/>
        </w:rPr>
      </w:pPr>
      <w:r w:rsidRPr="00F3290F">
        <w:rPr>
          <w:rFonts w:cs="Times New Roman"/>
        </w:rPr>
        <w:t xml:space="preserve">Here, the trial judge did not consider s. 24(2), given his conclusion that the police did not breach Mr. Lafrance’s </w:t>
      </w:r>
      <w:r w:rsidRPr="00F3290F">
        <w:rPr>
          <w:rFonts w:cs="Times New Roman"/>
          <w:i/>
        </w:rPr>
        <w:t xml:space="preserve">Charter </w:t>
      </w:r>
      <w:r w:rsidRPr="00F3290F">
        <w:rPr>
          <w:rFonts w:cs="Times New Roman"/>
        </w:rPr>
        <w:t xml:space="preserve">rights. Instead, it was the Court of Appeal that considered the </w:t>
      </w:r>
      <w:r w:rsidRPr="00F3290F">
        <w:rPr>
          <w:rFonts w:cs="Times New Roman"/>
          <w:i/>
        </w:rPr>
        <w:t xml:space="preserve">Grant </w:t>
      </w:r>
      <w:r w:rsidRPr="00F3290F">
        <w:rPr>
          <w:rFonts w:cs="Times New Roman"/>
        </w:rPr>
        <w:t xml:space="preserve">factors and held that admission of the evidence would bring the administration of justice into disrepute. This Court does not lack jurisdiction to </w:t>
      </w:r>
      <w:r w:rsidRPr="00F3290F">
        <w:rPr>
          <w:rFonts w:cs="Times New Roman"/>
        </w:rPr>
        <w:lastRenderedPageBreak/>
        <w:t>consider alleged errors in the s. 24(2) analysis of the Court of Appeal (</w:t>
      </w:r>
      <w:r w:rsidRPr="00F3290F">
        <w:rPr>
          <w:rFonts w:cs="Times New Roman"/>
          <w:i/>
        </w:rPr>
        <w:t>R. v. Reilly</w:t>
      </w:r>
      <w:r w:rsidRPr="00F3290F">
        <w:rPr>
          <w:rFonts w:cs="Times New Roman"/>
        </w:rPr>
        <w:t>, 2021 SCC 38). But we must bear in mind that this Court and the Court of Appeal are, essentially, on identical footing for an analysis under s. 24(2), neither court having had the benefit of observing the witnesses or hearing testimony first</w:t>
      </w:r>
      <w:r w:rsidRPr="00F3290F">
        <w:rPr>
          <w:rFonts w:cs="Times New Roman"/>
        </w:rPr>
        <w:noBreakHyphen/>
        <w:t xml:space="preserve">hand. I will therefore conduct a fresh s. 24(2) analysis. As I will explain, however, I largely agree with the Court of Appeal’s analysis. </w:t>
      </w:r>
    </w:p>
    <w:p w14:paraId="7102B2EA" w14:textId="77777777" w:rsidR="000975C6" w:rsidRPr="00F3290F" w:rsidRDefault="000975C6" w:rsidP="000975C6">
      <w:pPr>
        <w:pStyle w:val="Title3LevelTitre3Niveau"/>
        <w:numPr>
          <w:ilvl w:val="2"/>
          <w:numId w:val="8"/>
        </w:numPr>
        <w:rPr>
          <w:rFonts w:cs="Times New Roman"/>
        </w:rPr>
      </w:pPr>
      <w:bookmarkStart w:id="48" w:name="_Toc97643554"/>
      <w:bookmarkStart w:id="49" w:name="_Toc103352575"/>
      <w:bookmarkStart w:id="50" w:name="_Toc103687583"/>
      <w:r w:rsidRPr="00F3290F">
        <w:rPr>
          <w:rFonts w:cs="Times New Roman"/>
        </w:rPr>
        <w:t xml:space="preserve">Seriousness of the </w:t>
      </w:r>
      <w:r w:rsidRPr="00F3290F">
        <w:rPr>
          <w:rFonts w:cs="Times New Roman"/>
          <w:i/>
        </w:rPr>
        <w:t>Charter</w:t>
      </w:r>
      <w:r w:rsidRPr="00F3290F">
        <w:rPr>
          <w:rFonts w:cs="Times New Roman"/>
        </w:rPr>
        <w:noBreakHyphen/>
        <w:t>Infringing Conduct</w:t>
      </w:r>
      <w:bookmarkEnd w:id="48"/>
      <w:bookmarkEnd w:id="49"/>
      <w:bookmarkEnd w:id="50"/>
    </w:p>
    <w:p w14:paraId="0F969D04" w14:textId="77777777" w:rsidR="000975C6" w:rsidRPr="00F3290F" w:rsidRDefault="000975C6" w:rsidP="000975C6">
      <w:pPr>
        <w:pStyle w:val="ParaNoNdepar-AltN"/>
        <w:rPr>
          <w:rFonts w:cs="Times New Roman"/>
        </w:rPr>
      </w:pPr>
      <w:r w:rsidRPr="00F3290F">
        <w:rPr>
          <w:rFonts w:cs="Times New Roman"/>
        </w:rPr>
        <w:t xml:space="preserve">The first </w:t>
      </w:r>
      <w:r w:rsidRPr="00F3290F">
        <w:rPr>
          <w:rFonts w:cs="Times New Roman"/>
          <w:i/>
        </w:rPr>
        <w:t>Grant</w:t>
      </w:r>
      <w:r w:rsidRPr="00F3290F">
        <w:rPr>
          <w:rFonts w:cs="Times New Roman"/>
        </w:rPr>
        <w:t xml:space="preserve"> inquiry speaks to the importance of courts dissociating themselves from evidence obtained as a result of police failure to meet </w:t>
      </w:r>
      <w:r w:rsidRPr="00F3290F">
        <w:rPr>
          <w:rFonts w:cs="Times New Roman"/>
          <w:i/>
        </w:rPr>
        <w:t>Charter</w:t>
      </w:r>
      <w:r w:rsidRPr="00F3290F">
        <w:rPr>
          <w:rFonts w:cs="Times New Roman"/>
        </w:rPr>
        <w:t xml:space="preserve"> standards, because of its negative impact on the reputation of the administration of justice (</w:t>
      </w:r>
      <w:r w:rsidRPr="00F3290F">
        <w:rPr>
          <w:rFonts w:cs="Times New Roman"/>
          <w:i/>
        </w:rPr>
        <w:t>Le</w:t>
      </w:r>
      <w:r w:rsidRPr="00F3290F">
        <w:rPr>
          <w:rFonts w:cs="Times New Roman"/>
        </w:rPr>
        <w:t>, at para. 143). In deciding whether this is necessary, they must “situate that conduct on a scale of culpability” (</w:t>
      </w:r>
      <w:r w:rsidRPr="00F3290F">
        <w:rPr>
          <w:rFonts w:cs="Times New Roman"/>
          <w:i/>
        </w:rPr>
        <w:t>Paterson</w:t>
      </w:r>
      <w:r w:rsidRPr="00F3290F">
        <w:rPr>
          <w:rFonts w:cs="Times New Roman"/>
        </w:rPr>
        <w:t>,</w:t>
      </w:r>
      <w:r w:rsidRPr="00F3290F">
        <w:rPr>
          <w:rFonts w:cs="Times New Roman"/>
          <w:i/>
        </w:rPr>
        <w:t xml:space="preserve"> </w:t>
      </w:r>
      <w:r w:rsidRPr="00F3290F">
        <w:rPr>
          <w:rFonts w:cs="Times New Roman"/>
        </w:rPr>
        <w:t xml:space="preserve">at para. 43; see also </w:t>
      </w:r>
      <w:r w:rsidRPr="00F3290F">
        <w:rPr>
          <w:rFonts w:cs="Times New Roman"/>
          <w:i/>
        </w:rPr>
        <w:t>Tim</w:t>
      </w:r>
      <w:r w:rsidRPr="00F3290F">
        <w:rPr>
          <w:rFonts w:cs="Times New Roman"/>
        </w:rPr>
        <w:t xml:space="preserve">, at para. 82). Inadvertent or minor violations tend only to minimally undermine public confidence in the rule of law and, consequently, bear only slightly upon the reputation of the administration of justice, while evidence obtained “through a wilful or reckless disregard of </w:t>
      </w:r>
      <w:r w:rsidRPr="00F3290F">
        <w:rPr>
          <w:rFonts w:cs="Times New Roman"/>
          <w:i/>
        </w:rPr>
        <w:t>Charter</w:t>
      </w:r>
      <w:r w:rsidRPr="00F3290F">
        <w:rPr>
          <w:rFonts w:cs="Times New Roman"/>
        </w:rPr>
        <w:t xml:space="preserve"> rights will inevitably have a negative effect on the public confidence in the rule of law” (</w:t>
      </w:r>
      <w:r w:rsidRPr="00F3290F">
        <w:rPr>
          <w:rFonts w:cs="Times New Roman"/>
          <w:i/>
        </w:rPr>
        <w:t>Paterson</w:t>
      </w:r>
      <w:r w:rsidRPr="00F3290F">
        <w:rPr>
          <w:rFonts w:cs="Times New Roman"/>
        </w:rPr>
        <w:t>,</w:t>
      </w:r>
      <w:r w:rsidRPr="00F3290F">
        <w:rPr>
          <w:rFonts w:cs="Times New Roman"/>
          <w:i/>
        </w:rPr>
        <w:t xml:space="preserve"> </w:t>
      </w:r>
      <w:r w:rsidRPr="00F3290F">
        <w:rPr>
          <w:rFonts w:cs="Times New Roman"/>
        </w:rPr>
        <w:t xml:space="preserve">at para. 43; </w:t>
      </w:r>
      <w:r w:rsidRPr="00F3290F">
        <w:rPr>
          <w:rFonts w:cs="Times New Roman"/>
          <w:i/>
        </w:rPr>
        <w:t>Grant</w:t>
      </w:r>
      <w:r w:rsidRPr="00F3290F">
        <w:rPr>
          <w:rFonts w:cs="Times New Roman"/>
        </w:rPr>
        <w:t>,</w:t>
      </w:r>
      <w:r w:rsidRPr="00F3290F">
        <w:rPr>
          <w:rFonts w:cs="Times New Roman"/>
          <w:i/>
        </w:rPr>
        <w:t xml:space="preserve"> </w:t>
      </w:r>
      <w:r w:rsidRPr="00F3290F">
        <w:rPr>
          <w:rFonts w:cs="Times New Roman"/>
        </w:rPr>
        <w:t xml:space="preserve">at para. 74; see also </w:t>
      </w:r>
      <w:r w:rsidRPr="00F3290F">
        <w:rPr>
          <w:rFonts w:cs="Times New Roman"/>
          <w:i/>
        </w:rPr>
        <w:t>Le</w:t>
      </w:r>
      <w:r w:rsidRPr="00F3290F">
        <w:rPr>
          <w:rFonts w:cs="Times New Roman"/>
        </w:rPr>
        <w:t xml:space="preserve">, at para. 143; </w:t>
      </w:r>
      <w:r w:rsidRPr="00F3290F">
        <w:rPr>
          <w:rFonts w:cs="Times New Roman"/>
          <w:i/>
        </w:rPr>
        <w:t>R. v. Harrison</w:t>
      </w:r>
      <w:r w:rsidRPr="00F3290F">
        <w:rPr>
          <w:rFonts w:cs="Times New Roman"/>
        </w:rPr>
        <w:t>,</w:t>
      </w:r>
      <w:r w:rsidRPr="00F3290F">
        <w:rPr>
          <w:rFonts w:cs="Times New Roman"/>
          <w:i/>
        </w:rPr>
        <w:t xml:space="preserve"> </w:t>
      </w:r>
      <w:r w:rsidRPr="00F3290F">
        <w:rPr>
          <w:rFonts w:cs="Times New Roman"/>
        </w:rPr>
        <w:t>2009 SCC 34,</w:t>
      </w:r>
      <w:r w:rsidRPr="00F3290F">
        <w:rPr>
          <w:rFonts w:cs="Times New Roman"/>
          <w:i/>
        </w:rPr>
        <w:t xml:space="preserve"> </w:t>
      </w:r>
      <w:r w:rsidRPr="00F3290F">
        <w:rPr>
          <w:rFonts w:cs="Times New Roman"/>
        </w:rPr>
        <w:t>[2009] 2 S.C.R. 494,</w:t>
      </w:r>
      <w:r w:rsidRPr="00F3290F">
        <w:rPr>
          <w:rFonts w:cs="Times New Roman"/>
          <w:i/>
        </w:rPr>
        <w:t xml:space="preserve"> </w:t>
      </w:r>
      <w:r w:rsidRPr="00F3290F">
        <w:rPr>
          <w:rFonts w:cs="Times New Roman"/>
        </w:rPr>
        <w:t xml:space="preserve">at para. 22). And evidence obtained by police negligence in meeting </w:t>
      </w:r>
      <w:r w:rsidRPr="00F3290F">
        <w:rPr>
          <w:rFonts w:cs="Times New Roman"/>
          <w:i/>
        </w:rPr>
        <w:t>Charter</w:t>
      </w:r>
      <w:r w:rsidRPr="00F3290F">
        <w:rPr>
          <w:rFonts w:cs="Times New Roman"/>
        </w:rPr>
        <w:t xml:space="preserve"> standards does not qualify as a “good faith” error, but instead supports a conclusion that a court should dissociate itself from such evidence (</w:t>
      </w:r>
      <w:r w:rsidRPr="00F3290F">
        <w:rPr>
          <w:rFonts w:cs="Times New Roman"/>
          <w:i/>
        </w:rPr>
        <w:t>Le</w:t>
      </w:r>
      <w:r w:rsidRPr="00F3290F">
        <w:rPr>
          <w:rFonts w:cs="Times New Roman"/>
        </w:rPr>
        <w:t xml:space="preserve">, at para. 143; </w:t>
      </w:r>
      <w:r w:rsidRPr="00F3290F">
        <w:rPr>
          <w:rFonts w:cs="Times New Roman"/>
          <w:i/>
        </w:rPr>
        <w:t>Tim</w:t>
      </w:r>
      <w:r w:rsidRPr="00F3290F">
        <w:rPr>
          <w:rFonts w:cs="Times New Roman"/>
        </w:rPr>
        <w:t>, at para. 85).</w:t>
      </w:r>
    </w:p>
    <w:p w14:paraId="20126C69" w14:textId="77777777" w:rsidR="000975C6" w:rsidRPr="00F3290F" w:rsidRDefault="000975C6" w:rsidP="000975C6">
      <w:pPr>
        <w:pStyle w:val="ParaNoNdepar-AltN"/>
        <w:rPr>
          <w:rFonts w:cs="Times New Roman"/>
        </w:rPr>
      </w:pPr>
      <w:r w:rsidRPr="00F3290F">
        <w:rPr>
          <w:rFonts w:cs="Times New Roman"/>
        </w:rPr>
        <w:lastRenderedPageBreak/>
        <w:t xml:space="preserve">The Court of Appeal described the denial of the right to counsel on March 19 and April 7 as “particularly serious given the grave nature of the offence under investigation, the potential consequences of conviction on [Mr. Lafrance] and his particular vulnerability given his young age and circumstances in life” (para. 79). While it did not believe that these breaches “occurred through a willful or reckless disregard of </w:t>
      </w:r>
      <w:r w:rsidRPr="00F3290F">
        <w:rPr>
          <w:rFonts w:cs="Times New Roman"/>
          <w:i/>
        </w:rPr>
        <w:t xml:space="preserve">Charter </w:t>
      </w:r>
      <w:r w:rsidRPr="00F3290F">
        <w:rPr>
          <w:rFonts w:cs="Times New Roman"/>
        </w:rPr>
        <w:t xml:space="preserve">rights”, the Court of Appeal nevertheless held that the </w:t>
      </w:r>
      <w:r w:rsidRPr="00F3290F">
        <w:rPr>
          <w:rFonts w:cs="Times New Roman"/>
          <w:i/>
        </w:rPr>
        <w:t>Charter</w:t>
      </w:r>
      <w:r w:rsidRPr="00F3290F">
        <w:rPr>
          <w:rFonts w:cs="Times New Roman"/>
        </w:rPr>
        <w:noBreakHyphen/>
        <w:t xml:space="preserve">infringing conduct remained serious (para. 80). </w:t>
      </w:r>
    </w:p>
    <w:p w14:paraId="7DD5B655" w14:textId="77777777" w:rsidR="000975C6" w:rsidRPr="00F3290F" w:rsidRDefault="000975C6" w:rsidP="000975C6">
      <w:pPr>
        <w:pStyle w:val="ParaNoNdepar-AltN"/>
        <w:rPr>
          <w:rFonts w:cs="Times New Roman"/>
        </w:rPr>
      </w:pPr>
      <w:r w:rsidRPr="00F3290F">
        <w:rPr>
          <w:rFonts w:cs="Times New Roman"/>
        </w:rPr>
        <w:t xml:space="preserve">I agree entirely. That the </w:t>
      </w:r>
      <w:r w:rsidRPr="00F3290F">
        <w:rPr>
          <w:rFonts w:cs="Times New Roman"/>
          <w:i/>
        </w:rPr>
        <w:t xml:space="preserve">Charter </w:t>
      </w:r>
      <w:r w:rsidRPr="00F3290F">
        <w:rPr>
          <w:rFonts w:cs="Times New Roman"/>
        </w:rPr>
        <w:t>infringing conduct here was not reckless does not mean that police acted in “good faith” or that the absence of recklessness is a mitigating factor (</w:t>
      </w:r>
      <w:r w:rsidRPr="00F3290F">
        <w:rPr>
          <w:rFonts w:cs="Times New Roman"/>
          <w:i/>
        </w:rPr>
        <w:t>Le</w:t>
      </w:r>
      <w:r w:rsidRPr="00F3290F">
        <w:rPr>
          <w:rFonts w:cs="Times New Roman"/>
        </w:rPr>
        <w:t>,</w:t>
      </w:r>
      <w:r w:rsidRPr="00F3290F">
        <w:rPr>
          <w:rFonts w:cs="Times New Roman"/>
          <w:i/>
        </w:rPr>
        <w:t xml:space="preserve"> </w:t>
      </w:r>
      <w:r w:rsidRPr="00F3290F">
        <w:rPr>
          <w:rFonts w:cs="Times New Roman"/>
        </w:rPr>
        <w:t xml:space="preserve">at para. 143; </w:t>
      </w:r>
      <w:r w:rsidRPr="00F3290F">
        <w:rPr>
          <w:rFonts w:cs="Times New Roman"/>
          <w:i/>
        </w:rPr>
        <w:t>Paterson</w:t>
      </w:r>
      <w:r w:rsidRPr="00F3290F">
        <w:rPr>
          <w:rFonts w:cs="Times New Roman"/>
        </w:rPr>
        <w:t>,</w:t>
      </w:r>
      <w:r w:rsidRPr="00F3290F">
        <w:rPr>
          <w:rFonts w:cs="Times New Roman"/>
          <w:i/>
        </w:rPr>
        <w:t xml:space="preserve"> </w:t>
      </w:r>
      <w:r w:rsidRPr="00F3290F">
        <w:rPr>
          <w:rFonts w:cs="Times New Roman"/>
        </w:rPr>
        <w:t xml:space="preserve">at para. 44; </w:t>
      </w:r>
      <w:r w:rsidRPr="00F3290F">
        <w:rPr>
          <w:rFonts w:cs="Times New Roman"/>
          <w:i/>
        </w:rPr>
        <w:t>Harrison</w:t>
      </w:r>
      <w:r w:rsidRPr="00F3290F">
        <w:rPr>
          <w:rFonts w:cs="Times New Roman"/>
        </w:rPr>
        <w:t>,</w:t>
      </w:r>
      <w:r w:rsidRPr="00F3290F">
        <w:rPr>
          <w:rFonts w:cs="Times New Roman"/>
          <w:i/>
        </w:rPr>
        <w:t xml:space="preserve"> </w:t>
      </w:r>
      <w:r w:rsidRPr="00F3290F">
        <w:rPr>
          <w:rFonts w:cs="Times New Roman"/>
        </w:rPr>
        <w:t xml:space="preserve">at para. 25; </w:t>
      </w:r>
      <w:r w:rsidRPr="00F3290F">
        <w:rPr>
          <w:rFonts w:cs="Times New Roman"/>
          <w:i/>
        </w:rPr>
        <w:t>R. v. Buhay</w:t>
      </w:r>
      <w:r w:rsidRPr="00F3290F">
        <w:rPr>
          <w:rFonts w:cs="Times New Roman"/>
        </w:rPr>
        <w:t xml:space="preserve">, 2003 SCC 30, [2003] 1 S.C.R. 631, at para. 59). On both March 19 and April 7, the police conduct resulted in serious breaches of Mr. Lafrance’s </w:t>
      </w:r>
      <w:r w:rsidRPr="00F3290F">
        <w:rPr>
          <w:rFonts w:cs="Times New Roman"/>
          <w:i/>
        </w:rPr>
        <w:t xml:space="preserve">Charter </w:t>
      </w:r>
      <w:r w:rsidRPr="00F3290F">
        <w:rPr>
          <w:rFonts w:cs="Times New Roman"/>
        </w:rPr>
        <w:t>rights. This favours a finding that admission of the resulting evidence would bring the administration of justice into disrepute.</w:t>
      </w:r>
    </w:p>
    <w:p w14:paraId="0AC0D1F2" w14:textId="77777777" w:rsidR="000975C6" w:rsidRPr="00F3290F" w:rsidRDefault="000975C6" w:rsidP="000975C6">
      <w:pPr>
        <w:pStyle w:val="Title3LevelTitre3Niveau"/>
        <w:numPr>
          <w:ilvl w:val="2"/>
          <w:numId w:val="8"/>
        </w:numPr>
        <w:rPr>
          <w:rFonts w:cs="Times New Roman"/>
        </w:rPr>
      </w:pPr>
      <w:bookmarkStart w:id="51" w:name="_Toc97643555"/>
      <w:bookmarkStart w:id="52" w:name="_Toc103352576"/>
      <w:bookmarkStart w:id="53" w:name="_Toc103687584"/>
      <w:r w:rsidRPr="00F3290F">
        <w:rPr>
          <w:rFonts w:cs="Times New Roman"/>
        </w:rPr>
        <w:t xml:space="preserve">Impact of the Breaches on the </w:t>
      </w:r>
      <w:r w:rsidRPr="00F3290F">
        <w:rPr>
          <w:rFonts w:cs="Times New Roman"/>
          <w:i/>
        </w:rPr>
        <w:t>Charter</w:t>
      </w:r>
      <w:r w:rsidRPr="00F3290F">
        <w:rPr>
          <w:rFonts w:cs="Times New Roman"/>
        </w:rPr>
        <w:noBreakHyphen/>
        <w:t>Protected Interests of the Accused</w:t>
      </w:r>
      <w:bookmarkEnd w:id="51"/>
      <w:bookmarkEnd w:id="52"/>
      <w:bookmarkEnd w:id="53"/>
    </w:p>
    <w:p w14:paraId="2242D628" w14:textId="77777777" w:rsidR="000975C6" w:rsidRPr="00F3290F" w:rsidRDefault="000975C6" w:rsidP="000975C6">
      <w:pPr>
        <w:pStyle w:val="ParaNoNdepar-AltN"/>
        <w:rPr>
          <w:rFonts w:cs="Times New Roman"/>
        </w:rPr>
      </w:pPr>
      <w:r w:rsidRPr="00F3290F">
        <w:rPr>
          <w:rFonts w:cs="Times New Roman"/>
        </w:rPr>
        <w:t xml:space="preserve">The second </w:t>
      </w:r>
      <w:r w:rsidRPr="00F3290F">
        <w:rPr>
          <w:rFonts w:cs="Times New Roman"/>
          <w:i/>
        </w:rPr>
        <w:t>Grant</w:t>
      </w:r>
      <w:r w:rsidRPr="00F3290F">
        <w:rPr>
          <w:rFonts w:cs="Times New Roman"/>
        </w:rPr>
        <w:t xml:space="preserve"> inquiry requires the Court to consider whether, from the standpoint of society’s interest in respect for </w:t>
      </w:r>
      <w:r w:rsidRPr="00F3290F">
        <w:rPr>
          <w:rFonts w:cs="Times New Roman"/>
          <w:i/>
        </w:rPr>
        <w:t>Charter</w:t>
      </w:r>
      <w:r w:rsidRPr="00F3290F">
        <w:rPr>
          <w:rFonts w:cs="Times New Roman"/>
        </w:rPr>
        <w:t xml:space="preserve"> rights, the admission of evidence tainted by the </w:t>
      </w:r>
      <w:r w:rsidRPr="00F3290F">
        <w:rPr>
          <w:rFonts w:cs="Times New Roman"/>
          <w:i/>
        </w:rPr>
        <w:t>Charter</w:t>
      </w:r>
      <w:r w:rsidRPr="00F3290F">
        <w:rPr>
          <w:rFonts w:cs="Times New Roman"/>
        </w:rPr>
        <w:t xml:space="preserve"> breach would bring the administration of justice into disrepute (</w:t>
      </w:r>
      <w:r w:rsidRPr="00F3290F">
        <w:rPr>
          <w:rFonts w:cs="Times New Roman"/>
          <w:i/>
        </w:rPr>
        <w:t>Le</w:t>
      </w:r>
      <w:r w:rsidRPr="00F3290F">
        <w:rPr>
          <w:rFonts w:cs="Times New Roman"/>
        </w:rPr>
        <w:t xml:space="preserve">, at para. 151). Like the first inquiry, this inquiry is into the degree of seriousness. As a general rule, “[t]he more serious the impact on the accused’s protected interests, the greater the risk that admission of the evidence may signal to the public that </w:t>
      </w:r>
      <w:r w:rsidRPr="00F3290F">
        <w:rPr>
          <w:rFonts w:cs="Times New Roman"/>
          <w:i/>
        </w:rPr>
        <w:t>Charter</w:t>
      </w:r>
      <w:r w:rsidRPr="00F3290F">
        <w:rPr>
          <w:rFonts w:cs="Times New Roman"/>
        </w:rPr>
        <w:t xml:space="preserve"> </w:t>
      </w:r>
      <w:r w:rsidRPr="00F3290F">
        <w:rPr>
          <w:rFonts w:cs="Times New Roman"/>
        </w:rPr>
        <w:lastRenderedPageBreak/>
        <w:t>rights, however high</w:t>
      </w:r>
      <w:r w:rsidRPr="00F3290F">
        <w:rPr>
          <w:rFonts w:cs="Times New Roman"/>
        </w:rPr>
        <w:noBreakHyphen/>
        <w:t>sounding, are of little actual avail to the citizen, breeding public cynicism and bringing the administration of justice into disrepute” (</w:t>
      </w:r>
      <w:r w:rsidRPr="00F3290F">
        <w:rPr>
          <w:rFonts w:cs="Times New Roman"/>
          <w:i/>
        </w:rPr>
        <w:t>Grant</w:t>
      </w:r>
      <w:r w:rsidRPr="00F3290F">
        <w:rPr>
          <w:rFonts w:cs="Times New Roman"/>
        </w:rPr>
        <w:t xml:space="preserve">, at para. 76; </w:t>
      </w:r>
      <w:r w:rsidRPr="00F3290F">
        <w:rPr>
          <w:rFonts w:cs="Times New Roman"/>
          <w:i/>
        </w:rPr>
        <w:t>Le</w:t>
      </w:r>
      <w:r w:rsidRPr="00F3290F">
        <w:rPr>
          <w:rFonts w:cs="Times New Roman"/>
        </w:rPr>
        <w:t>, at para. 151).</w:t>
      </w:r>
    </w:p>
    <w:p w14:paraId="791E7A92" w14:textId="77777777" w:rsidR="000975C6" w:rsidRPr="00F3290F" w:rsidRDefault="000975C6" w:rsidP="000975C6">
      <w:pPr>
        <w:pStyle w:val="ParaNoNdepar-AltN"/>
        <w:rPr>
          <w:rFonts w:cs="Times New Roman"/>
        </w:rPr>
      </w:pPr>
      <w:r w:rsidRPr="00F3290F">
        <w:rPr>
          <w:rFonts w:cs="Times New Roman"/>
        </w:rPr>
        <w:t>This case involved two breaches of s. 10(b). While not determinative, I am alive to the Court’s description of the right guaranteed by s. 10(b) as “the single most important organizing principle in criminal law” (</w:t>
      </w:r>
      <w:r w:rsidRPr="00F3290F">
        <w:rPr>
          <w:rFonts w:cs="Times New Roman"/>
          <w:i/>
        </w:rPr>
        <w:t>R. v. P. (M.B.)</w:t>
      </w:r>
      <w:r w:rsidRPr="00F3290F">
        <w:rPr>
          <w:rFonts w:cs="Times New Roman"/>
        </w:rPr>
        <w:t>, [1994] 1 S.C.R. 555, at p. 577). Any breach of this provision “undermines the detainee’s right to make a meaningful and informed choice whether to speak, the related right to silence, and, most fundamentally, the protection against testimonial self</w:t>
      </w:r>
      <w:r w:rsidRPr="00F3290F">
        <w:rPr>
          <w:rFonts w:cs="Times New Roman"/>
        </w:rPr>
        <w:noBreakHyphen/>
        <w:t>incrimination” (</w:t>
      </w:r>
      <w:r w:rsidRPr="00F3290F">
        <w:rPr>
          <w:rFonts w:cs="Times New Roman"/>
          <w:i/>
        </w:rPr>
        <w:t>Grant</w:t>
      </w:r>
      <w:r w:rsidRPr="00F3290F">
        <w:rPr>
          <w:rFonts w:cs="Times New Roman"/>
        </w:rPr>
        <w:t xml:space="preserve">, at para. 95). As the Court of Appeal’s analysis makes plain, those particular consequences were of a serious nature here: “[Mr. Lafrance] was led to confess to killing a person without having an opportunity for a thorough, reflective discussion with a lawyer fully apprised of his jeopardy” (para. 82). I see no basis to diverge from the Court of Appeal’s assessment that this had “a serious impact” on Mr. Lafrance’s </w:t>
      </w:r>
      <w:r w:rsidRPr="00F3290F">
        <w:rPr>
          <w:rFonts w:cs="Times New Roman"/>
          <w:i/>
        </w:rPr>
        <w:t xml:space="preserve">Charter </w:t>
      </w:r>
      <w:r w:rsidRPr="00F3290F">
        <w:rPr>
          <w:rFonts w:cs="Times New Roman"/>
        </w:rPr>
        <w:t>rights</w:t>
      </w:r>
      <w:r>
        <w:rPr>
          <w:rFonts w:cs="Times New Roman"/>
        </w:rPr>
        <w:t xml:space="preserve"> (</w:t>
      </w:r>
      <w:r w:rsidRPr="00F3290F">
        <w:rPr>
          <w:rFonts w:cs="Times New Roman"/>
        </w:rPr>
        <w:t xml:space="preserve">para. 82). The second line of </w:t>
      </w:r>
      <w:r w:rsidRPr="00F3290F">
        <w:rPr>
          <w:rFonts w:cs="Times New Roman"/>
          <w:i/>
        </w:rPr>
        <w:t xml:space="preserve">Grant </w:t>
      </w:r>
      <w:r w:rsidRPr="00F3290F">
        <w:rPr>
          <w:rFonts w:cs="Times New Roman"/>
        </w:rPr>
        <w:t>supports the view that admitting this evidence would bring the administration of justice into disrepute.</w:t>
      </w:r>
    </w:p>
    <w:p w14:paraId="21511C2A" w14:textId="77777777" w:rsidR="000975C6" w:rsidRPr="00F3290F" w:rsidRDefault="000975C6" w:rsidP="000975C6">
      <w:pPr>
        <w:pStyle w:val="Title3LevelTitre3Niveau"/>
        <w:numPr>
          <w:ilvl w:val="2"/>
          <w:numId w:val="8"/>
        </w:numPr>
        <w:rPr>
          <w:rFonts w:cs="Times New Roman"/>
        </w:rPr>
      </w:pPr>
      <w:bookmarkStart w:id="54" w:name="_Toc97643556"/>
      <w:bookmarkStart w:id="55" w:name="_Toc103352577"/>
      <w:bookmarkStart w:id="56" w:name="_Toc103687585"/>
      <w:r w:rsidRPr="00F3290F">
        <w:rPr>
          <w:rFonts w:cs="Times New Roman"/>
        </w:rPr>
        <w:t>Society’s Interest in the Adjudication for the Case on its Merits</w:t>
      </w:r>
      <w:bookmarkEnd w:id="54"/>
      <w:bookmarkEnd w:id="55"/>
      <w:bookmarkEnd w:id="56"/>
    </w:p>
    <w:p w14:paraId="3FB24B1A" w14:textId="77777777" w:rsidR="000975C6" w:rsidRPr="00F3290F" w:rsidRDefault="000975C6" w:rsidP="000975C6">
      <w:pPr>
        <w:pStyle w:val="ParaNoNdepar-AltN"/>
        <w:rPr>
          <w:rFonts w:cs="Times New Roman"/>
        </w:rPr>
      </w:pPr>
      <w:r w:rsidRPr="00F3290F">
        <w:rPr>
          <w:rFonts w:cs="Times New Roman"/>
        </w:rPr>
        <w:t xml:space="preserve">The third </w:t>
      </w:r>
      <w:r w:rsidRPr="00F3290F">
        <w:rPr>
          <w:rFonts w:cs="Times New Roman"/>
          <w:i/>
        </w:rPr>
        <w:t>Grant</w:t>
      </w:r>
      <w:r w:rsidRPr="00F3290F">
        <w:rPr>
          <w:rFonts w:cs="Times New Roman"/>
        </w:rPr>
        <w:t xml:space="preserve"> line is concerned with the societal interest in “an adjudication on the merits”, coupled with a focus on the impact of state misconduct upon the reputation of the administration of justice (</w:t>
      </w:r>
      <w:r w:rsidRPr="00F3290F">
        <w:rPr>
          <w:rFonts w:cs="Times New Roman"/>
          <w:i/>
        </w:rPr>
        <w:t>Le</w:t>
      </w:r>
      <w:r w:rsidRPr="00F3290F">
        <w:rPr>
          <w:rFonts w:cs="Times New Roman"/>
        </w:rPr>
        <w:t xml:space="preserve">, at para. 158). Society’s interest in an adjudication of the case on its merits typically pulls towards a finding that </w:t>
      </w:r>
      <w:r w:rsidRPr="00F3290F">
        <w:rPr>
          <w:rFonts w:cs="Times New Roman"/>
        </w:rPr>
        <w:lastRenderedPageBreak/>
        <w:t>admission of the evidence would not bring the administration of justice into disrepute, but not all considerations will pull in this direction (</w:t>
      </w:r>
      <w:r w:rsidRPr="00F3290F">
        <w:rPr>
          <w:rFonts w:cs="Times New Roman"/>
          <w:i/>
        </w:rPr>
        <w:t>Le</w:t>
      </w:r>
      <w:r w:rsidRPr="00F3290F">
        <w:rPr>
          <w:rFonts w:cs="Times New Roman"/>
        </w:rPr>
        <w:t>,</w:t>
      </w:r>
      <w:r w:rsidRPr="00F3290F">
        <w:rPr>
          <w:rFonts w:cs="Times New Roman"/>
          <w:i/>
        </w:rPr>
        <w:t xml:space="preserve"> </w:t>
      </w:r>
      <w:r w:rsidRPr="00F3290F">
        <w:rPr>
          <w:rFonts w:cs="Times New Roman"/>
        </w:rPr>
        <w:t xml:space="preserve">at paras. 142 and 158). As the Court explained in </w:t>
      </w:r>
      <w:r w:rsidRPr="00F3290F">
        <w:rPr>
          <w:rFonts w:cs="Times New Roman"/>
          <w:i/>
        </w:rPr>
        <w:t>Le</w:t>
      </w:r>
      <w:r w:rsidRPr="00F3290F">
        <w:rPr>
          <w:rFonts w:cs="Times New Roman"/>
        </w:rPr>
        <w:t>:</w:t>
      </w:r>
    </w:p>
    <w:p w14:paraId="35F8081A" w14:textId="77777777" w:rsidR="000975C6" w:rsidRPr="00F3290F" w:rsidRDefault="000975C6" w:rsidP="000975C6">
      <w:pPr>
        <w:pStyle w:val="Citation-AltC"/>
      </w:pPr>
      <w:r w:rsidRPr="00F3290F">
        <w:t>While this inquiry is concerned with the societal interest in “</w:t>
      </w:r>
      <w:proofErr w:type="gramStart"/>
      <w:r w:rsidRPr="00F3290F">
        <w:t>an</w:t>
      </w:r>
      <w:proofErr w:type="gramEnd"/>
      <w:r w:rsidRPr="00F3290F">
        <w:t xml:space="preserve"> adjudication on the merits” (</w:t>
      </w:r>
      <w:r w:rsidRPr="00F3290F">
        <w:rPr>
          <w:i/>
        </w:rPr>
        <w:t>Grant</w:t>
      </w:r>
      <w:r w:rsidRPr="00F3290F">
        <w:t>, at para. 85), the focus, as we have already explained, must be upon the impact of state misconduct upon the reputation of the administration of justice. While disrepute may result from the exclusion of relevant and reliable evidence (</w:t>
      </w:r>
      <w:r w:rsidRPr="00F3290F">
        <w:rPr>
          <w:i/>
        </w:rPr>
        <w:t>Grant</w:t>
      </w:r>
      <w:r w:rsidRPr="00F3290F">
        <w:t>, at para. 81), so too might it result from admitting evidence that deprives the accused of a fair hearing or that amounts to “judicial condonation of unacceptable conduct by the investigatory and prosecutorial agencies” (</w:t>
      </w:r>
      <w:r>
        <w:t>[</w:t>
      </w:r>
      <w:r w:rsidRPr="00F3290F">
        <w:rPr>
          <w:i/>
        </w:rPr>
        <w:t>R. v.</w:t>
      </w:r>
      <w:r>
        <w:t>]</w:t>
      </w:r>
      <w:r w:rsidRPr="00F3290F">
        <w:rPr>
          <w:i/>
        </w:rPr>
        <w:t xml:space="preserve"> </w:t>
      </w:r>
      <w:proofErr w:type="gramStart"/>
      <w:r w:rsidRPr="00F3290F">
        <w:rPr>
          <w:i/>
        </w:rPr>
        <w:t>Collins</w:t>
      </w:r>
      <w:r>
        <w:t>[</w:t>
      </w:r>
      <w:proofErr w:type="gramEnd"/>
      <w:r w:rsidRPr="00F3290F">
        <w:t>, [1987] 1 S.C.R. 265</w:t>
      </w:r>
      <w:r>
        <w:t>]</w:t>
      </w:r>
      <w:r w:rsidRPr="00F3290F">
        <w:t>, at p. 281). An “adjudication on the merits”, in a rule of law state, presupposes an adjudication grounded in legality and respect for longstanding constitutional norms. [para. 158]</w:t>
      </w:r>
    </w:p>
    <w:p w14:paraId="075B9741" w14:textId="77777777" w:rsidR="000975C6" w:rsidRPr="00F3290F" w:rsidRDefault="000975C6" w:rsidP="000975C6">
      <w:pPr>
        <w:pStyle w:val="ParaNoNdepar-AltN"/>
        <w:rPr>
          <w:rFonts w:cs="Times New Roman"/>
        </w:rPr>
      </w:pPr>
      <w:r w:rsidRPr="00F3290F">
        <w:rPr>
          <w:rFonts w:cs="Times New Roman"/>
        </w:rPr>
        <w:t>The Court of Appeal did not explicitly state whether this line of inquiry favo</w:t>
      </w:r>
      <w:r>
        <w:rPr>
          <w:rFonts w:cs="Times New Roman"/>
        </w:rPr>
        <w:t>u</w:t>
      </w:r>
      <w:r w:rsidRPr="00F3290F">
        <w:rPr>
          <w:rFonts w:cs="Times New Roman"/>
        </w:rPr>
        <w:t>rs admission or exclusion, but the majority’s reasons tend to suggest that it only slightly favo</w:t>
      </w:r>
      <w:r>
        <w:rPr>
          <w:rFonts w:cs="Times New Roman"/>
        </w:rPr>
        <w:t>u</w:t>
      </w:r>
      <w:r w:rsidRPr="00F3290F">
        <w:rPr>
          <w:rFonts w:cs="Times New Roman"/>
        </w:rPr>
        <w:t xml:space="preserve">rs admission (paras. 83-84). While the evidence appeared </w:t>
      </w:r>
      <w:r w:rsidRPr="00F3290F">
        <w:rPr>
          <w:rFonts w:cs="Times New Roman"/>
          <w:i/>
        </w:rPr>
        <w:t>prima facie</w:t>
      </w:r>
      <w:r w:rsidRPr="00F3290F">
        <w:rPr>
          <w:rFonts w:cs="Times New Roman"/>
        </w:rPr>
        <w:t xml:space="preserve"> reliable given its nature as a confession, it was “largely extraneous to the core of the Crown’s case”, given that Mr. Lafrance confessed only to having caused Mr. Yasinski’s death and not to having planned or intended to kill him (para. 84). The remaining evidence, the majority observed, did not leave the Crown without a case on either manslaughter or second degree murder. </w:t>
      </w:r>
    </w:p>
    <w:p w14:paraId="5FC648DE" w14:textId="77777777" w:rsidR="000975C6" w:rsidRPr="00F3290F" w:rsidRDefault="000975C6" w:rsidP="000975C6">
      <w:pPr>
        <w:pStyle w:val="ParaNoNdepar-AltN"/>
        <w:rPr>
          <w:rFonts w:cs="Times New Roman"/>
        </w:rPr>
      </w:pPr>
      <w:r w:rsidRPr="00F3290F">
        <w:rPr>
          <w:rFonts w:cs="Times New Roman"/>
        </w:rPr>
        <w:t xml:space="preserve">I agree with what I understand to be the Court of Appeal’s conclusion that the third </w:t>
      </w:r>
      <w:r w:rsidRPr="00F3290F">
        <w:rPr>
          <w:rFonts w:cs="Times New Roman"/>
          <w:i/>
        </w:rPr>
        <w:t>Grant</w:t>
      </w:r>
      <w:r w:rsidRPr="00F3290F">
        <w:rPr>
          <w:rFonts w:cs="Times New Roman"/>
        </w:rPr>
        <w:t xml:space="preserve"> line supports admission, but not heavily so. The evidence relates to a serious criminal offence, but society’s interests are not strongly affected given the other evidence available to the Crown on re</w:t>
      </w:r>
      <w:r w:rsidRPr="00F3290F">
        <w:rPr>
          <w:rFonts w:cs="Times New Roman"/>
        </w:rPr>
        <w:noBreakHyphen/>
        <w:t>trial. </w:t>
      </w:r>
    </w:p>
    <w:p w14:paraId="54E64596" w14:textId="77777777" w:rsidR="000975C6" w:rsidRPr="00F3290F" w:rsidRDefault="000975C6" w:rsidP="000975C6">
      <w:pPr>
        <w:pStyle w:val="Title3LevelTitre3Niveau"/>
        <w:numPr>
          <w:ilvl w:val="2"/>
          <w:numId w:val="8"/>
        </w:numPr>
        <w:jc w:val="both"/>
        <w:rPr>
          <w:rFonts w:cs="Times New Roman"/>
        </w:rPr>
      </w:pPr>
      <w:bookmarkStart w:id="57" w:name="_Toc97643557"/>
      <w:bookmarkStart w:id="58" w:name="_Toc103352578"/>
      <w:bookmarkStart w:id="59" w:name="_Toc103687586"/>
      <w:r w:rsidRPr="00F3290F">
        <w:rPr>
          <w:rFonts w:cs="Times New Roman"/>
        </w:rPr>
        <w:lastRenderedPageBreak/>
        <w:t>Admission of the Evidence Would Bring the Administration of Justice Into Disrepute</w:t>
      </w:r>
      <w:bookmarkEnd w:id="57"/>
      <w:bookmarkEnd w:id="58"/>
      <w:bookmarkEnd w:id="59"/>
    </w:p>
    <w:p w14:paraId="21087CA3" w14:textId="77777777" w:rsidR="000975C6" w:rsidRPr="00F3290F" w:rsidRDefault="000975C6" w:rsidP="000975C6">
      <w:pPr>
        <w:pStyle w:val="ParaNoNdepar-AltN"/>
        <w:rPr>
          <w:rFonts w:cs="Times New Roman"/>
        </w:rPr>
      </w:pPr>
      <w:r w:rsidRPr="00F3290F">
        <w:rPr>
          <w:rFonts w:cs="Times New Roman"/>
        </w:rPr>
        <w:t xml:space="preserve">Taken together, the three </w:t>
      </w:r>
      <w:r w:rsidRPr="00F3290F">
        <w:rPr>
          <w:rFonts w:cs="Times New Roman"/>
          <w:i/>
        </w:rPr>
        <w:t xml:space="preserve">Grant </w:t>
      </w:r>
      <w:r w:rsidRPr="00F3290F">
        <w:rPr>
          <w:rFonts w:cs="Times New Roman"/>
        </w:rPr>
        <w:t>lines of inquiry confirm that the admission of the evidence would bring the administration of justice into disrepute. These were two serious breaches with a correspondingly significant impact on the s. 10(b) rights of Mr. Lafrance. The first and second lines of inquiry therefore present a strong case for exclusion of the evidence. On the other hand, society’s interest favo</w:t>
      </w:r>
      <w:r>
        <w:rPr>
          <w:rFonts w:cs="Times New Roman"/>
        </w:rPr>
        <w:t>u</w:t>
      </w:r>
      <w:r w:rsidRPr="00F3290F">
        <w:rPr>
          <w:rFonts w:cs="Times New Roman"/>
        </w:rPr>
        <w:t>rs admission of the evidence, but not strongly. Taken cumulatively, the strength of the first two lines of inquiry overwhelms the moderate impact on society’s interest in the truth</w:t>
      </w:r>
      <w:r w:rsidRPr="00F3290F">
        <w:rPr>
          <w:rFonts w:cs="Times New Roman"/>
        </w:rPr>
        <w:noBreakHyphen/>
        <w:t>seeking function of the criminal trial process. </w:t>
      </w:r>
    </w:p>
    <w:p w14:paraId="5DA23754" w14:textId="77777777" w:rsidR="000975C6" w:rsidRPr="00F3290F" w:rsidRDefault="000975C6" w:rsidP="000975C6">
      <w:pPr>
        <w:pStyle w:val="ParaNoNdepar-AltN"/>
        <w:rPr>
          <w:rFonts w:cs="Times New Roman"/>
        </w:rPr>
      </w:pPr>
      <w:r w:rsidRPr="00F3290F">
        <w:rPr>
          <w:rFonts w:cs="Times New Roman"/>
        </w:rPr>
        <w:t xml:space="preserve">It follows that the evidence obtained as a result of the breaches of Mr. Lafrance’s </w:t>
      </w:r>
      <w:r w:rsidRPr="00F3290F">
        <w:rPr>
          <w:rFonts w:cs="Times New Roman"/>
          <w:i/>
        </w:rPr>
        <w:t>Charter</w:t>
      </w:r>
      <w:r w:rsidRPr="00F3290F">
        <w:rPr>
          <w:rFonts w:cs="Times New Roman"/>
        </w:rPr>
        <w:t xml:space="preserve"> rights on March 19 and April 7 must be excluded.</w:t>
      </w:r>
    </w:p>
    <w:p w14:paraId="3331819C" w14:textId="77777777" w:rsidR="000975C6" w:rsidRPr="00F3290F" w:rsidRDefault="000975C6" w:rsidP="000975C6">
      <w:pPr>
        <w:pStyle w:val="Title1LevelTitre1Niveau-AltL"/>
        <w:numPr>
          <w:ilvl w:val="0"/>
          <w:numId w:val="8"/>
        </w:numPr>
        <w:rPr>
          <w:rFonts w:cs="Times New Roman"/>
        </w:rPr>
      </w:pPr>
      <w:bookmarkStart w:id="60" w:name="_Toc97643558"/>
      <w:bookmarkStart w:id="61" w:name="_Toc103352579"/>
      <w:bookmarkStart w:id="62" w:name="_Toc103687587"/>
      <w:r w:rsidRPr="00F3290F">
        <w:rPr>
          <w:rFonts w:cs="Times New Roman"/>
        </w:rPr>
        <w:t>Conclusion</w:t>
      </w:r>
      <w:bookmarkEnd w:id="60"/>
      <w:bookmarkEnd w:id="61"/>
      <w:bookmarkEnd w:id="62"/>
    </w:p>
    <w:p w14:paraId="0D460D53" w14:textId="77777777" w:rsidR="000975C6" w:rsidRPr="00F3290F" w:rsidRDefault="000975C6" w:rsidP="000975C6">
      <w:pPr>
        <w:pStyle w:val="ParaNoNdepar-AltN"/>
        <w:rPr>
          <w:rFonts w:cs="Times New Roman"/>
        </w:rPr>
      </w:pPr>
      <w:r w:rsidRPr="00F3290F">
        <w:rPr>
          <w:rFonts w:cs="Times New Roman"/>
        </w:rPr>
        <w:t>I would dismiss the appeal. </w:t>
      </w:r>
    </w:p>
    <w:p w14:paraId="28A73B5B" w14:textId="77777777" w:rsidR="000975C6" w:rsidRDefault="000975C6" w:rsidP="00566361">
      <w:pPr>
        <w:pStyle w:val="SCCNormalDoubleSpacing"/>
        <w:spacing w:after="480"/>
      </w:pPr>
    </w:p>
    <w:p w14:paraId="70B36476" w14:textId="4DE38D46" w:rsidR="000975C6" w:rsidRDefault="000975C6" w:rsidP="000975C6">
      <w:pPr>
        <w:ind w:firstLine="1134"/>
        <w:jc w:val="both"/>
      </w:pPr>
      <w:r w:rsidRPr="00173A02">
        <w:t xml:space="preserve">The reasons of </w:t>
      </w:r>
      <w:r>
        <w:t xml:space="preserve">Wagner C.J. and Moldaver, </w:t>
      </w:r>
      <w:r w:rsidRPr="005E6846">
        <w:t>Côté and Rowe</w:t>
      </w:r>
      <w:r>
        <w:t xml:space="preserve"> J</w:t>
      </w:r>
      <w:r w:rsidRPr="00173A02">
        <w:t xml:space="preserve">J. </w:t>
      </w:r>
      <w:proofErr w:type="gramStart"/>
      <w:r w:rsidRPr="00173A02">
        <w:t>were</w:t>
      </w:r>
      <w:proofErr w:type="gramEnd"/>
      <w:r w:rsidRPr="00173A02">
        <w:t xml:space="preserve"> delivered by</w:t>
      </w:r>
    </w:p>
    <w:p w14:paraId="2DAFA194" w14:textId="77777777" w:rsidR="000975C6" w:rsidRDefault="000975C6" w:rsidP="000975C6">
      <w:pPr>
        <w:ind w:firstLine="1134"/>
        <w:jc w:val="both"/>
      </w:pPr>
    </w:p>
    <w:p w14:paraId="37EA3B6A" w14:textId="77777777" w:rsidR="000975C6" w:rsidRPr="00D60576" w:rsidRDefault="000975C6" w:rsidP="001F0887">
      <w:pPr>
        <w:pStyle w:val="JudgeJuge"/>
        <w:tabs>
          <w:tab w:val="clear" w:pos="1260"/>
          <w:tab w:val="left" w:pos="1134"/>
        </w:tabs>
      </w:pPr>
      <w:r w:rsidRPr="00D60576">
        <w:tab/>
        <w:t xml:space="preserve">Côté and Rowe JJ. — </w:t>
      </w:r>
    </w:p>
    <w:p w14:paraId="2FF61CE3" w14:textId="77777777" w:rsidR="000975C6" w:rsidRPr="001F0887" w:rsidRDefault="000975C6" w:rsidP="001F0887">
      <w:pPr>
        <w:pStyle w:val="Title1LevelTitre1Niveau-AltL"/>
        <w:numPr>
          <w:ilvl w:val="0"/>
          <w:numId w:val="45"/>
        </w:numPr>
        <w:jc w:val="both"/>
        <w:rPr>
          <w:rFonts w:cs="Times New Roman"/>
        </w:rPr>
      </w:pPr>
      <w:r w:rsidRPr="001F0887">
        <w:rPr>
          <w:rFonts w:cs="Times New Roman"/>
        </w:rPr>
        <w:t>Introduction</w:t>
      </w:r>
    </w:p>
    <w:p w14:paraId="0FBEFFF8" w14:textId="77777777" w:rsidR="000975C6" w:rsidRPr="00D60576" w:rsidRDefault="000975C6" w:rsidP="000975C6">
      <w:pPr>
        <w:pStyle w:val="ParaNoNdepar-AltN"/>
      </w:pPr>
      <w:r w:rsidRPr="00D60576">
        <w:lastRenderedPageBreak/>
        <w:t>This case involves what should be a straightforward application of this Court’s jurisprudence under ss. 9</w:t>
      </w:r>
      <w:r>
        <w:t xml:space="preserve"> (the right against arbitrary detention)</w:t>
      </w:r>
      <w:r w:rsidRPr="00D60576">
        <w:t>, 10</w:t>
      </w:r>
      <w:r>
        <w:t>(b)</w:t>
      </w:r>
      <w:r w:rsidRPr="00D60576">
        <w:t xml:space="preserve"> </w:t>
      </w:r>
      <w:r>
        <w:t xml:space="preserve">(the right to retain and instruct counsel on detention) </w:t>
      </w:r>
      <w:r w:rsidRPr="00D60576">
        <w:t xml:space="preserve">and 24(2) </w:t>
      </w:r>
      <w:r>
        <w:t xml:space="preserve">(exclusion of unconstitutionally obtained evidence when its admission would bring the administration of justice into disrepute) </w:t>
      </w:r>
      <w:r w:rsidRPr="00D60576">
        <w:t xml:space="preserve">of the </w:t>
      </w:r>
      <w:r w:rsidRPr="00635ED1">
        <w:rPr>
          <w:i/>
        </w:rPr>
        <w:t>Canadian</w:t>
      </w:r>
      <w:r>
        <w:t xml:space="preserve"> </w:t>
      </w:r>
      <w:r w:rsidRPr="00D60576">
        <w:rPr>
          <w:i/>
        </w:rPr>
        <w:t>Charter</w:t>
      </w:r>
      <w:r>
        <w:rPr>
          <w:i/>
        </w:rPr>
        <w:t xml:space="preserve"> of Rights and Freedoms</w:t>
      </w:r>
      <w:r w:rsidRPr="00D60576">
        <w:t>. The majority of this Court begins its analysis by acknowledging this, but proceeds to adopt interpretations of those sections that depart from that jurisprudence. We cannot agree with that approach and the proposed outcome of this case.</w:t>
      </w:r>
    </w:p>
    <w:p w14:paraId="2D6E75DB" w14:textId="77777777" w:rsidR="000975C6" w:rsidRPr="00D60576" w:rsidRDefault="000975C6" w:rsidP="000975C6">
      <w:pPr>
        <w:pStyle w:val="Title1LevelTitre1Niveau-AltL"/>
        <w:jc w:val="both"/>
        <w:rPr>
          <w:rFonts w:cs="Times New Roman"/>
        </w:rPr>
      </w:pPr>
      <w:r>
        <w:rPr>
          <w:rFonts w:cs="Times New Roman"/>
        </w:rPr>
        <w:t>Facts and Decisions B</w:t>
      </w:r>
      <w:r w:rsidRPr="00D60576">
        <w:rPr>
          <w:rFonts w:cs="Times New Roman"/>
        </w:rPr>
        <w:t>elow</w:t>
      </w:r>
    </w:p>
    <w:p w14:paraId="01AC2535" w14:textId="77777777" w:rsidR="000975C6" w:rsidRPr="00D60576" w:rsidRDefault="000975C6" w:rsidP="000975C6">
      <w:pPr>
        <w:pStyle w:val="ParaNoNdepar-AltN"/>
        <w:rPr>
          <w:rFonts w:cs="Times New Roman"/>
        </w:rPr>
      </w:pPr>
      <w:r w:rsidRPr="00D60576">
        <w:rPr>
          <w:rFonts w:cs="Times New Roman"/>
        </w:rPr>
        <w:t>We do not find it necessary to repeat all the facts and issues as set out by our colleagues, but we wish to comment briefly on the findings of the trial judge and the analysis applied to those findings by the Court of Appeal.</w:t>
      </w:r>
    </w:p>
    <w:p w14:paraId="441C2324" w14:textId="77777777" w:rsidR="000975C6" w:rsidRPr="00D60576" w:rsidRDefault="000975C6" w:rsidP="000975C6">
      <w:pPr>
        <w:pStyle w:val="ParaNoNdepar-AltN"/>
        <w:rPr>
          <w:rFonts w:cs="Times New Roman"/>
        </w:rPr>
      </w:pPr>
      <w:r w:rsidRPr="00D60576">
        <w:rPr>
          <w:rFonts w:cs="Times New Roman"/>
        </w:rPr>
        <w:t xml:space="preserve">The respondent, Nigel Vernon Lafrance, an Indigenous man who was 19 years old at the time, was linked to the killing of Anthony Yasinski, his drug dealer, on March 17, 2015. </w:t>
      </w:r>
      <w:r>
        <w:rPr>
          <w:rFonts w:cs="Times New Roman"/>
        </w:rPr>
        <w:t>Mr. Lafrance</w:t>
      </w:r>
      <w:r w:rsidRPr="00D60576">
        <w:rPr>
          <w:rFonts w:cs="Times New Roman"/>
        </w:rPr>
        <w:t xml:space="preserve"> was the last person Mr. Yasin</w:t>
      </w:r>
      <w:r>
        <w:rPr>
          <w:rFonts w:cs="Times New Roman"/>
        </w:rPr>
        <w:t>s</w:t>
      </w:r>
      <w:r w:rsidRPr="00D60576">
        <w:rPr>
          <w:rFonts w:cs="Times New Roman"/>
        </w:rPr>
        <w:t>ki communicated with on his cellphone. Therefore, police quickly identified Mr. Lafrance as a person of interest.</w:t>
      </w:r>
    </w:p>
    <w:p w14:paraId="067D0176" w14:textId="77777777" w:rsidR="000975C6" w:rsidRPr="00D60576" w:rsidRDefault="000975C6" w:rsidP="000975C6">
      <w:pPr>
        <w:pStyle w:val="ParaNoNdepar-AltN"/>
        <w:rPr>
          <w:rFonts w:cs="Times New Roman"/>
        </w:rPr>
      </w:pPr>
      <w:r w:rsidRPr="00D60576">
        <w:rPr>
          <w:rFonts w:cs="Times New Roman"/>
        </w:rPr>
        <w:t>Police obtained a search warrant for Mr. Lafrance’s residence and</w:t>
      </w:r>
      <w:r>
        <w:rPr>
          <w:rFonts w:cs="Times New Roman"/>
        </w:rPr>
        <w:t>,</w:t>
      </w:r>
      <w:r w:rsidRPr="00D60576">
        <w:rPr>
          <w:rFonts w:cs="Times New Roman"/>
        </w:rPr>
        <w:t xml:space="preserve"> while executing it on March 19, 2015, asked </w:t>
      </w:r>
      <w:r>
        <w:rPr>
          <w:rFonts w:cs="Times New Roman"/>
        </w:rPr>
        <w:t>him</w:t>
      </w:r>
      <w:r w:rsidRPr="00D60576">
        <w:rPr>
          <w:rFonts w:cs="Times New Roman"/>
        </w:rPr>
        <w:t xml:space="preserve"> if he would provide a statement at the police station. Mr. Lafrance was informed that his participation was voluntary and that he did </w:t>
      </w:r>
      <w:r w:rsidRPr="00D60576">
        <w:rPr>
          <w:rFonts w:cs="Times New Roman"/>
        </w:rPr>
        <w:lastRenderedPageBreak/>
        <w:t>not have to provide a statement. Nonetheless, he chose to do so and accompanied police officers to the station</w:t>
      </w:r>
      <w:r>
        <w:rPr>
          <w:rFonts w:cs="Times New Roman"/>
        </w:rPr>
        <w:t xml:space="preserve"> where he was interviewed by Sgt. Eros</w:t>
      </w:r>
      <w:r w:rsidRPr="00D60576">
        <w:rPr>
          <w:rFonts w:cs="Times New Roman"/>
        </w:rPr>
        <w:t>. He was not informed of his s. 10(</w:t>
      </w:r>
      <w:r w:rsidRPr="00635ED1">
        <w:rPr>
          <w:rFonts w:cs="Times New Roman"/>
        </w:rPr>
        <w:t>b</w:t>
      </w:r>
      <w:r w:rsidRPr="00D60576">
        <w:rPr>
          <w:rFonts w:cs="Times New Roman"/>
        </w:rPr>
        <w:t>) rights at this interview.</w:t>
      </w:r>
    </w:p>
    <w:p w14:paraId="04ADCD22" w14:textId="77777777" w:rsidR="000975C6" w:rsidRPr="00D60576" w:rsidRDefault="000975C6" w:rsidP="000975C6">
      <w:pPr>
        <w:pStyle w:val="ParaNoNdepar-AltN"/>
        <w:rPr>
          <w:rFonts w:cs="Times New Roman"/>
        </w:rPr>
      </w:pPr>
      <w:r>
        <w:rPr>
          <w:rFonts w:cs="Times New Roman"/>
        </w:rPr>
        <w:t>Almost three w</w:t>
      </w:r>
      <w:r w:rsidRPr="00D60576">
        <w:rPr>
          <w:rFonts w:cs="Times New Roman"/>
        </w:rPr>
        <w:t xml:space="preserve">eeks later on April 7, 2015, </w:t>
      </w:r>
      <w:r>
        <w:rPr>
          <w:rFonts w:cs="Times New Roman"/>
        </w:rPr>
        <w:t>Mr. Lafrance</w:t>
      </w:r>
      <w:r w:rsidRPr="00D60576">
        <w:rPr>
          <w:rFonts w:cs="Times New Roman"/>
        </w:rPr>
        <w:t xml:space="preserve"> was arrested for the murder </w:t>
      </w:r>
      <w:r>
        <w:rPr>
          <w:rFonts w:cs="Times New Roman"/>
        </w:rPr>
        <w:t>of the victim a</w:t>
      </w:r>
      <w:r w:rsidRPr="00D60576">
        <w:rPr>
          <w:rFonts w:cs="Times New Roman"/>
        </w:rPr>
        <w:t>nd inter</w:t>
      </w:r>
      <w:r>
        <w:rPr>
          <w:rFonts w:cs="Times New Roman"/>
        </w:rPr>
        <w:t>viewed</w:t>
      </w:r>
      <w:r w:rsidRPr="00D60576">
        <w:rPr>
          <w:rFonts w:cs="Times New Roman"/>
        </w:rPr>
        <w:t xml:space="preserve"> at the police station again. When Mr. Lafrance arrived at the RCMP detachment, he was supplied with telephone books and a telephone number for Legal Aid Alberta. Mr. Lafrance spoke to a lawyer for approximately 15 minutes. After that conversation, an officer asked whether Mr. Lafrance understood the advice, to which he responded “</w:t>
      </w:r>
      <w:r w:rsidRPr="00635ED1">
        <w:rPr>
          <w:rFonts w:cs="Times New Roman"/>
          <w:u w:val="single"/>
        </w:rPr>
        <w:t>yes</w:t>
      </w:r>
      <w:r w:rsidRPr="00D60576">
        <w:rPr>
          <w:rFonts w:cs="Times New Roman"/>
        </w:rPr>
        <w:t xml:space="preserve">”. The officer asked, then, if the lawyer would be attending the RCMP detachment, to which </w:t>
      </w:r>
      <w:r>
        <w:rPr>
          <w:rFonts w:cs="Times New Roman"/>
        </w:rPr>
        <w:t>he</w:t>
      </w:r>
      <w:r w:rsidRPr="00D60576">
        <w:rPr>
          <w:rFonts w:cs="Times New Roman"/>
        </w:rPr>
        <w:t xml:space="preserve"> responded “</w:t>
      </w:r>
      <w:r w:rsidRPr="00635ED1">
        <w:rPr>
          <w:rFonts w:cs="Times New Roman"/>
          <w:u w:val="single"/>
        </w:rPr>
        <w:t>no</w:t>
      </w:r>
      <w:r>
        <w:rPr>
          <w:rFonts w:cs="Times New Roman"/>
        </w:rPr>
        <w:t>”</w:t>
      </w:r>
      <w:r w:rsidRPr="00D60576">
        <w:rPr>
          <w:rFonts w:cs="Times New Roman"/>
        </w:rPr>
        <w:t xml:space="preserve"> </w:t>
      </w:r>
      <w:r>
        <w:rPr>
          <w:rFonts w:cs="Times New Roman"/>
        </w:rPr>
        <w:t>(</w:t>
      </w:r>
      <w:r w:rsidRPr="00D60576">
        <w:rPr>
          <w:rFonts w:cs="Times New Roman"/>
        </w:rPr>
        <w:t xml:space="preserve">see </w:t>
      </w:r>
      <w:r>
        <w:rPr>
          <w:rFonts w:cs="Times New Roman"/>
        </w:rPr>
        <w:t xml:space="preserve">trial reasons, 2017 </w:t>
      </w:r>
      <w:r w:rsidRPr="00D60576">
        <w:rPr>
          <w:rFonts w:cs="Times New Roman"/>
        </w:rPr>
        <w:t>ABQB</w:t>
      </w:r>
      <w:r>
        <w:rPr>
          <w:rFonts w:cs="Times New Roman"/>
        </w:rPr>
        <w:t xml:space="preserve"> 746</w:t>
      </w:r>
      <w:r w:rsidRPr="00D60576">
        <w:rPr>
          <w:rFonts w:cs="Times New Roman"/>
        </w:rPr>
        <w:t xml:space="preserve">, </w:t>
      </w:r>
      <w:r>
        <w:rPr>
          <w:rFonts w:cs="Times New Roman"/>
        </w:rPr>
        <w:t xml:space="preserve">399 C.R.R. (2d) 184, </w:t>
      </w:r>
      <w:r w:rsidRPr="00D60576">
        <w:rPr>
          <w:rFonts w:cs="Times New Roman"/>
        </w:rPr>
        <w:t>at para. 124; R.F., at para. 7</w:t>
      </w:r>
      <w:r>
        <w:rPr>
          <w:rFonts w:cs="Times New Roman"/>
        </w:rPr>
        <w:t xml:space="preserve"> (emphasis added)</w:t>
      </w:r>
      <w:r w:rsidRPr="00D60576">
        <w:rPr>
          <w:rFonts w:cs="Times New Roman"/>
        </w:rPr>
        <w:t>).</w:t>
      </w:r>
    </w:p>
    <w:p w14:paraId="1AA34CD9" w14:textId="77777777" w:rsidR="000975C6" w:rsidRPr="00D60576" w:rsidRDefault="000975C6" w:rsidP="000975C6">
      <w:pPr>
        <w:pStyle w:val="ParaNoNdepar-AltN"/>
        <w:rPr>
          <w:rFonts w:cs="Times New Roman"/>
        </w:rPr>
      </w:pPr>
      <w:r w:rsidRPr="00D60576">
        <w:rPr>
          <w:rFonts w:cs="Times New Roman"/>
        </w:rPr>
        <w:t xml:space="preserve">The questioning did not begin until after </w:t>
      </w:r>
      <w:r>
        <w:rPr>
          <w:rFonts w:cs="Times New Roman"/>
        </w:rPr>
        <w:t>Sgt. Eros</w:t>
      </w:r>
      <w:r w:rsidRPr="00D60576">
        <w:rPr>
          <w:rFonts w:cs="Times New Roman"/>
        </w:rPr>
        <w:t xml:space="preserve"> was informed that Mr. </w:t>
      </w:r>
      <w:r>
        <w:rPr>
          <w:rFonts w:cs="Times New Roman"/>
        </w:rPr>
        <w:t xml:space="preserve">Lafrance had consulted counsel. During the interview, </w:t>
      </w:r>
      <w:r w:rsidRPr="00D60576">
        <w:rPr>
          <w:rFonts w:cs="Times New Roman"/>
        </w:rPr>
        <w:t xml:space="preserve">five and a half hours </w:t>
      </w:r>
      <w:r>
        <w:rPr>
          <w:rFonts w:cs="Times New Roman"/>
        </w:rPr>
        <w:t>after speaking with Legal Aid</w:t>
      </w:r>
      <w:r w:rsidRPr="00D60576">
        <w:rPr>
          <w:rFonts w:cs="Times New Roman"/>
        </w:rPr>
        <w:t>, Mr. Lafrance asked to call his father who, according to him, would be able to help him get a lawyer to come to the station. Police refused that request on the basis that he had already spoken to a lawyer. Mr. Lafrance subsequently confessed to the killing.</w:t>
      </w:r>
    </w:p>
    <w:p w14:paraId="05C7DCDA" w14:textId="77777777" w:rsidR="000975C6" w:rsidRPr="00D60576" w:rsidRDefault="000975C6" w:rsidP="000975C6">
      <w:pPr>
        <w:pStyle w:val="ParaNoNdepar-AltN"/>
        <w:rPr>
          <w:rFonts w:cs="Times New Roman"/>
        </w:rPr>
      </w:pPr>
      <w:r w:rsidRPr="00D60576">
        <w:rPr>
          <w:rFonts w:cs="Times New Roman"/>
        </w:rPr>
        <w:t xml:space="preserve">At trial, </w:t>
      </w:r>
      <w:r>
        <w:rPr>
          <w:rFonts w:cs="Times New Roman"/>
        </w:rPr>
        <w:t>Mr. Lafrance</w:t>
      </w:r>
      <w:r w:rsidRPr="00D60576">
        <w:rPr>
          <w:rFonts w:cs="Times New Roman"/>
        </w:rPr>
        <w:t xml:space="preserve"> challenged the admission of the evidence obtained as a result of the March 19, 2015 statement and the April 7, 2015 statement</w:t>
      </w:r>
      <w:r>
        <w:rPr>
          <w:rFonts w:cs="Times New Roman"/>
        </w:rPr>
        <w:t xml:space="preserve">, </w:t>
      </w:r>
      <w:r w:rsidRPr="00D60576">
        <w:rPr>
          <w:rFonts w:cs="Times New Roman"/>
        </w:rPr>
        <w:t>confession and evidence obtained as a result.</w:t>
      </w:r>
    </w:p>
    <w:p w14:paraId="5F705DA0" w14:textId="77777777" w:rsidR="000975C6" w:rsidRPr="00D60576" w:rsidRDefault="000975C6" w:rsidP="000975C6">
      <w:pPr>
        <w:pStyle w:val="ParaNoNdepar-AltN"/>
        <w:rPr>
          <w:rFonts w:cs="Times New Roman"/>
        </w:rPr>
      </w:pPr>
      <w:r w:rsidRPr="00D60576">
        <w:rPr>
          <w:rFonts w:cs="Times New Roman"/>
        </w:rPr>
        <w:lastRenderedPageBreak/>
        <w:t xml:space="preserve">The trial judge found that there were no breaches of </w:t>
      </w:r>
      <w:r>
        <w:rPr>
          <w:rFonts w:cs="Times New Roman"/>
        </w:rPr>
        <w:t>Mr. Lafrance</w:t>
      </w:r>
      <w:r w:rsidRPr="00D60576">
        <w:rPr>
          <w:rFonts w:cs="Times New Roman"/>
        </w:rPr>
        <w:t>’s s. 10(</w:t>
      </w:r>
      <w:r w:rsidRPr="00635ED1">
        <w:rPr>
          <w:rFonts w:cs="Times New Roman"/>
        </w:rPr>
        <w:t>b</w:t>
      </w:r>
      <w:r w:rsidRPr="00D60576">
        <w:rPr>
          <w:rFonts w:cs="Times New Roman"/>
        </w:rPr>
        <w:t xml:space="preserve">) or other </w:t>
      </w:r>
      <w:r w:rsidRPr="00D60576">
        <w:rPr>
          <w:rFonts w:cs="Times New Roman"/>
          <w:i/>
        </w:rPr>
        <w:t>Charter</w:t>
      </w:r>
      <w:r w:rsidRPr="00D60576">
        <w:rPr>
          <w:rFonts w:cs="Times New Roman"/>
        </w:rPr>
        <w:t xml:space="preserve"> rights. Regarding the March 19, 2015 interview, the trial judge found Mr. Lafrance was not detained within the meaning of s</w:t>
      </w:r>
      <w:r>
        <w:rPr>
          <w:rFonts w:cs="Times New Roman"/>
        </w:rPr>
        <w:t>s</w:t>
      </w:r>
      <w:r w:rsidRPr="00D60576">
        <w:rPr>
          <w:rFonts w:cs="Times New Roman"/>
        </w:rPr>
        <w:t>. </w:t>
      </w:r>
      <w:r>
        <w:rPr>
          <w:rFonts w:cs="Times New Roman"/>
        </w:rPr>
        <w:t xml:space="preserve">9 and </w:t>
      </w:r>
      <w:r w:rsidRPr="00D60576">
        <w:rPr>
          <w:rFonts w:cs="Times New Roman"/>
        </w:rPr>
        <w:t>10(</w:t>
      </w:r>
      <w:r w:rsidRPr="00635ED1">
        <w:rPr>
          <w:rFonts w:cs="Times New Roman"/>
        </w:rPr>
        <w:t>b</w:t>
      </w:r>
      <w:r w:rsidRPr="00D60576">
        <w:rPr>
          <w:rFonts w:cs="Times New Roman"/>
        </w:rPr>
        <w:t xml:space="preserve">). Police repeated several times that </w:t>
      </w:r>
      <w:r>
        <w:rPr>
          <w:rFonts w:cs="Times New Roman"/>
        </w:rPr>
        <w:t>he</w:t>
      </w:r>
      <w:r w:rsidRPr="00D60576">
        <w:rPr>
          <w:rFonts w:cs="Times New Roman"/>
        </w:rPr>
        <w:t xml:space="preserve"> could leave whenever he liked, and he understood these statements. Any statement to the contrary was not credible as it was belied by his “at ease” and “cooperative” manner in the interview (para. 73). </w:t>
      </w:r>
      <w:r>
        <w:rPr>
          <w:rFonts w:cs="Times New Roman"/>
        </w:rPr>
        <w:t>Mr. Lafrance</w:t>
      </w:r>
      <w:r w:rsidRPr="00D60576">
        <w:rPr>
          <w:rFonts w:cs="Times New Roman"/>
        </w:rPr>
        <w:t xml:space="preserve"> was “naïve”, but “not unsophisticated” (para. 81). In fact, the trial judge found that Mr. Lafrance tactically participated in the interview because he believed this could counter police suspicion.</w:t>
      </w:r>
    </w:p>
    <w:p w14:paraId="74C4B96F" w14:textId="77777777" w:rsidR="000975C6" w:rsidRPr="00D60576" w:rsidRDefault="000975C6" w:rsidP="000975C6">
      <w:pPr>
        <w:pStyle w:val="ParaNoNdepar-AltN"/>
        <w:rPr>
          <w:rFonts w:cs="Times New Roman"/>
        </w:rPr>
      </w:pPr>
      <w:r w:rsidRPr="00D60576">
        <w:rPr>
          <w:rFonts w:cs="Times New Roman"/>
        </w:rPr>
        <w:t xml:space="preserve">Further, the trial judge found that police properly implemented </w:t>
      </w:r>
      <w:r>
        <w:rPr>
          <w:rFonts w:cs="Times New Roman"/>
        </w:rPr>
        <w:t>Mr. Lafrance’s</w:t>
      </w:r>
      <w:r w:rsidRPr="00D60576">
        <w:rPr>
          <w:rFonts w:cs="Times New Roman"/>
        </w:rPr>
        <w:t xml:space="preserve"> s. 10(</w:t>
      </w:r>
      <w:r w:rsidRPr="00635ED1">
        <w:rPr>
          <w:rFonts w:cs="Times New Roman"/>
        </w:rPr>
        <w:t>b</w:t>
      </w:r>
      <w:r w:rsidRPr="00D60576">
        <w:rPr>
          <w:rFonts w:cs="Times New Roman"/>
        </w:rPr>
        <w:t>) right</w:t>
      </w:r>
      <w:r>
        <w:rPr>
          <w:rFonts w:cs="Times New Roman"/>
        </w:rPr>
        <w:t>s</w:t>
      </w:r>
      <w:r w:rsidRPr="00D60576">
        <w:rPr>
          <w:rFonts w:cs="Times New Roman"/>
        </w:rPr>
        <w:t xml:space="preserve"> on April 7, 2015. </w:t>
      </w:r>
      <w:r>
        <w:rPr>
          <w:rFonts w:cs="Times New Roman"/>
        </w:rPr>
        <w:t>Mr. Lafrance</w:t>
      </w:r>
      <w:r w:rsidRPr="00D60576">
        <w:rPr>
          <w:rFonts w:cs="Times New Roman"/>
        </w:rPr>
        <w:t xml:space="preserve"> was not entitled in law to a further consultation with a lawyer after his conversation with Legal Aid. The trial judge found that none of the circumstances that would require a further consultation under </w:t>
      </w:r>
      <w:r w:rsidRPr="00D60576">
        <w:rPr>
          <w:rFonts w:cs="Times New Roman"/>
          <w:i/>
          <w:shd w:val="clear" w:color="auto" w:fill="FFFFFF"/>
          <w:lang w:val="en-GB"/>
        </w:rPr>
        <w:t>R. </w:t>
      </w:r>
      <w:r w:rsidRPr="00D60576">
        <w:rPr>
          <w:rFonts w:cs="Times New Roman"/>
          <w:i/>
          <w:iCs/>
          <w:shd w:val="clear" w:color="auto" w:fill="FFFFFF"/>
          <w:lang w:val="en-GB"/>
        </w:rPr>
        <w:t>v.</w:t>
      </w:r>
      <w:r w:rsidRPr="00D60576">
        <w:rPr>
          <w:rFonts w:cs="Times New Roman"/>
          <w:i/>
          <w:shd w:val="clear" w:color="auto" w:fill="FFFFFF"/>
          <w:lang w:val="en-GB"/>
        </w:rPr>
        <w:t> Sinclair</w:t>
      </w:r>
      <w:r w:rsidRPr="00D60576">
        <w:rPr>
          <w:rFonts w:cs="Times New Roman"/>
          <w:shd w:val="clear" w:color="auto" w:fill="FFFFFF"/>
        </w:rPr>
        <w:t>, 2010 SCC 35</w:t>
      </w:r>
      <w:r w:rsidRPr="00D60576">
        <w:rPr>
          <w:rFonts w:cs="Times New Roman"/>
          <w:shd w:val="clear" w:color="auto" w:fill="FFFFFF"/>
          <w:lang w:val="en-GB"/>
        </w:rPr>
        <w:t>, [2010] 2 S.C.R. 310</w:t>
      </w:r>
      <w:r>
        <w:rPr>
          <w:rFonts w:cs="Times New Roman"/>
          <w:shd w:val="clear" w:color="auto" w:fill="FFFFFF"/>
          <w:lang w:val="en-GB"/>
        </w:rPr>
        <w:t>,</w:t>
      </w:r>
      <w:r w:rsidRPr="00D60576">
        <w:rPr>
          <w:rFonts w:cs="Times New Roman"/>
        </w:rPr>
        <w:t xml:space="preserve"> arose in this case.</w:t>
      </w:r>
    </w:p>
    <w:p w14:paraId="3A0AD042" w14:textId="77777777" w:rsidR="000975C6" w:rsidRPr="00D60576" w:rsidRDefault="000975C6" w:rsidP="000975C6">
      <w:pPr>
        <w:pStyle w:val="ParaNoNdepar-AltN"/>
        <w:rPr>
          <w:rFonts w:cs="Times New Roman"/>
        </w:rPr>
      </w:pPr>
      <w:r w:rsidRPr="00D60576">
        <w:rPr>
          <w:rFonts w:cs="Times New Roman"/>
        </w:rPr>
        <w:t>The trial judge commented that even assuming there was a breach of s. 10(</w:t>
      </w:r>
      <w:r w:rsidRPr="00635ED1">
        <w:rPr>
          <w:rFonts w:cs="Times New Roman"/>
        </w:rPr>
        <w:t>b</w:t>
      </w:r>
      <w:r w:rsidRPr="00D60576">
        <w:rPr>
          <w:rFonts w:cs="Times New Roman"/>
        </w:rPr>
        <w:t>) on March 19, 2015, its effect on the admissibility of evidence had to be considered. He found that since the Crown did not seek to introduce any evidence or the statement obtained on March 19, 2015, the issue of exclusion of this evidence under s. 24(2) was moot. The trial judge also found an insufficient causal, temporal or contextual connection between the March 19, 2015 statement and the April 7, 2015 statement such that any breach on March 19, 2015</w:t>
      </w:r>
      <w:r>
        <w:rPr>
          <w:rFonts w:cs="Times New Roman"/>
        </w:rPr>
        <w:t>,</w:t>
      </w:r>
      <w:r w:rsidRPr="00D60576">
        <w:rPr>
          <w:rFonts w:cs="Times New Roman"/>
        </w:rPr>
        <w:t xml:space="preserve"> did not taint the confession or other evidence obtained as a result of the April 7, 2015 inter</w:t>
      </w:r>
      <w:r>
        <w:rPr>
          <w:rFonts w:cs="Times New Roman"/>
        </w:rPr>
        <w:t>rogation</w:t>
      </w:r>
      <w:r w:rsidRPr="00D60576">
        <w:rPr>
          <w:rFonts w:cs="Times New Roman"/>
        </w:rPr>
        <w:t xml:space="preserve">. In reaching this </w:t>
      </w:r>
      <w:r w:rsidRPr="00D60576">
        <w:rPr>
          <w:rFonts w:cs="Times New Roman"/>
        </w:rPr>
        <w:lastRenderedPageBreak/>
        <w:t>conclusion</w:t>
      </w:r>
      <w:r>
        <w:rPr>
          <w:rFonts w:cs="Times New Roman"/>
        </w:rPr>
        <w:t>,</w:t>
      </w:r>
      <w:r w:rsidRPr="00D60576">
        <w:rPr>
          <w:rFonts w:cs="Times New Roman"/>
        </w:rPr>
        <w:t xml:space="preserve"> the trial judge relied on Mr. Lafrance’s own testimony that the March 19, 2015 statement “had nothing to do with</w:t>
      </w:r>
      <w:r>
        <w:rPr>
          <w:rFonts w:cs="Times New Roman"/>
        </w:rPr>
        <w:t>”</w:t>
      </w:r>
      <w:r w:rsidRPr="00D60576">
        <w:rPr>
          <w:rFonts w:cs="Times New Roman"/>
        </w:rPr>
        <w:t xml:space="preserve"> him providing the April 7, 2015 statement (para. 99).</w:t>
      </w:r>
    </w:p>
    <w:p w14:paraId="4BE45469" w14:textId="77777777" w:rsidR="000975C6" w:rsidRPr="00D60576" w:rsidRDefault="000975C6" w:rsidP="000975C6">
      <w:pPr>
        <w:pStyle w:val="ParaNoNdepar-AltN"/>
        <w:rPr>
          <w:rFonts w:cs="Times New Roman"/>
        </w:rPr>
      </w:pPr>
      <w:r w:rsidRPr="00D60576">
        <w:rPr>
          <w:rFonts w:cs="Times New Roman"/>
        </w:rPr>
        <w:t xml:space="preserve">Consequently, the trial judge did not exclude any evidence and dismissed Mr. Lafrance’s </w:t>
      </w:r>
      <w:r w:rsidRPr="00D60576">
        <w:rPr>
          <w:rFonts w:cs="Times New Roman"/>
          <w:i/>
        </w:rPr>
        <w:t>Charter</w:t>
      </w:r>
      <w:r w:rsidRPr="00D60576">
        <w:rPr>
          <w:rFonts w:cs="Times New Roman"/>
        </w:rPr>
        <w:t xml:space="preserve"> application. Mr. Lafrance was convicted by a jury of second degree murder.</w:t>
      </w:r>
    </w:p>
    <w:p w14:paraId="11871138" w14:textId="77777777" w:rsidR="000975C6" w:rsidRPr="00D60576" w:rsidRDefault="000975C6" w:rsidP="000975C6">
      <w:pPr>
        <w:pStyle w:val="ParaNoNdepar-AltN"/>
        <w:rPr>
          <w:rFonts w:cs="Times New Roman"/>
        </w:rPr>
      </w:pPr>
      <w:r w:rsidRPr="00D60576">
        <w:rPr>
          <w:rFonts w:cs="Times New Roman"/>
        </w:rPr>
        <w:t>Mr. Lafrance appealed his conviction based in part on the s. 10(</w:t>
      </w:r>
      <w:r w:rsidRPr="00635ED1">
        <w:rPr>
          <w:rFonts w:cs="Times New Roman"/>
        </w:rPr>
        <w:t>b</w:t>
      </w:r>
      <w:r w:rsidRPr="00D60576">
        <w:rPr>
          <w:rFonts w:cs="Times New Roman"/>
        </w:rPr>
        <w:t xml:space="preserve">) </w:t>
      </w:r>
      <w:r w:rsidRPr="00D60576">
        <w:rPr>
          <w:rFonts w:cs="Times New Roman"/>
          <w:i/>
        </w:rPr>
        <w:t>Charter</w:t>
      </w:r>
      <w:r w:rsidRPr="00D60576">
        <w:rPr>
          <w:rFonts w:cs="Times New Roman"/>
        </w:rPr>
        <w:t xml:space="preserve"> rulings. The majority of the Alberta Court of Appeal found the trial judge erred in concluding there were no s. 10(</w:t>
      </w:r>
      <w:r w:rsidRPr="00635ED1">
        <w:rPr>
          <w:rFonts w:cs="Times New Roman"/>
        </w:rPr>
        <w:t>b</w:t>
      </w:r>
      <w:r w:rsidRPr="00D60576">
        <w:rPr>
          <w:rFonts w:cs="Times New Roman"/>
        </w:rPr>
        <w:t xml:space="preserve">) </w:t>
      </w:r>
      <w:r w:rsidRPr="00D60576">
        <w:rPr>
          <w:rFonts w:cs="Times New Roman"/>
          <w:i/>
        </w:rPr>
        <w:t>Charter</w:t>
      </w:r>
      <w:r w:rsidRPr="00D60576">
        <w:rPr>
          <w:rFonts w:cs="Times New Roman"/>
        </w:rPr>
        <w:t xml:space="preserve"> breaches</w:t>
      </w:r>
      <w:r>
        <w:rPr>
          <w:rFonts w:cs="Times New Roman"/>
        </w:rPr>
        <w:t xml:space="preserve"> (2021 ABCA 51, 20 Alta. L.R. (7</w:t>
      </w:r>
      <w:r w:rsidRPr="00635ED1">
        <w:rPr>
          <w:rFonts w:cs="Times New Roman"/>
        </w:rPr>
        <w:t>th</w:t>
      </w:r>
      <w:r>
        <w:rPr>
          <w:rFonts w:cs="Times New Roman"/>
        </w:rPr>
        <w:t>) 211)</w:t>
      </w:r>
      <w:r w:rsidRPr="00D60576">
        <w:rPr>
          <w:rFonts w:cs="Times New Roman"/>
        </w:rPr>
        <w:t xml:space="preserve">. The majority stated that the trial judge did not appreciate the stage of the police investigation and undervalued </w:t>
      </w:r>
      <w:r>
        <w:rPr>
          <w:rFonts w:cs="Times New Roman"/>
        </w:rPr>
        <w:t>Mr. Lafrance</w:t>
      </w:r>
      <w:r w:rsidRPr="00D60576">
        <w:rPr>
          <w:rFonts w:cs="Times New Roman"/>
        </w:rPr>
        <w:t xml:space="preserve">’s perceptions as a young Indigenous man and, therefore, erred in his analysis of whether there was a detention on March 19, 2015. The majority concluded that </w:t>
      </w:r>
      <w:r>
        <w:rPr>
          <w:rFonts w:cs="Times New Roman"/>
        </w:rPr>
        <w:t>he</w:t>
      </w:r>
      <w:r w:rsidRPr="00D60576">
        <w:rPr>
          <w:rFonts w:cs="Times New Roman"/>
        </w:rPr>
        <w:t xml:space="preserve"> was detained and, accordingly, should have been provided with his s. 10(</w:t>
      </w:r>
      <w:r w:rsidRPr="00635ED1">
        <w:rPr>
          <w:rFonts w:cs="Times New Roman"/>
        </w:rPr>
        <w:t>b</w:t>
      </w:r>
      <w:r w:rsidRPr="00D60576">
        <w:rPr>
          <w:rFonts w:cs="Times New Roman"/>
        </w:rPr>
        <w:t>) right</w:t>
      </w:r>
      <w:r>
        <w:rPr>
          <w:rFonts w:cs="Times New Roman"/>
        </w:rPr>
        <w:t>s.</w:t>
      </w:r>
    </w:p>
    <w:p w14:paraId="05AC595B" w14:textId="77777777" w:rsidR="000975C6" w:rsidRPr="00D60576" w:rsidRDefault="000975C6" w:rsidP="000975C6">
      <w:pPr>
        <w:pStyle w:val="ParaNoNdepar-AltN"/>
        <w:rPr>
          <w:rFonts w:cs="Times New Roman"/>
        </w:rPr>
      </w:pPr>
      <w:r w:rsidRPr="00D60576">
        <w:rPr>
          <w:rFonts w:cs="Times New Roman"/>
        </w:rPr>
        <w:t xml:space="preserve">As for April 7, 2015, </w:t>
      </w:r>
      <w:r>
        <w:rPr>
          <w:rFonts w:cs="Times New Roman"/>
        </w:rPr>
        <w:t>Mr. Lafrance</w:t>
      </w:r>
      <w:r w:rsidRPr="00D60576">
        <w:rPr>
          <w:rFonts w:cs="Times New Roman"/>
        </w:rPr>
        <w:t xml:space="preserve"> was confused by </w:t>
      </w:r>
      <w:r>
        <w:rPr>
          <w:rFonts w:cs="Times New Roman"/>
        </w:rPr>
        <w:t xml:space="preserve">the </w:t>
      </w:r>
      <w:r w:rsidRPr="00D60576">
        <w:rPr>
          <w:rFonts w:cs="Times New Roman"/>
        </w:rPr>
        <w:t>Legal Aid</w:t>
      </w:r>
      <w:r>
        <w:rPr>
          <w:rFonts w:cs="Times New Roman"/>
        </w:rPr>
        <w:t xml:space="preserve"> lawyer</w:t>
      </w:r>
      <w:r w:rsidRPr="00D60576">
        <w:rPr>
          <w:rFonts w:cs="Times New Roman"/>
        </w:rPr>
        <w:t xml:space="preserve">’s advice. </w:t>
      </w:r>
      <w:r>
        <w:rPr>
          <w:rFonts w:cs="Times New Roman"/>
        </w:rPr>
        <w:t xml:space="preserve">The majority of the Court of Appeal concluded that a second consultation was required under </w:t>
      </w:r>
      <w:r w:rsidRPr="00E37121">
        <w:rPr>
          <w:rFonts w:cs="Times New Roman"/>
          <w:i/>
        </w:rPr>
        <w:t>Sinclair</w:t>
      </w:r>
      <w:r>
        <w:rPr>
          <w:rFonts w:cs="Times New Roman"/>
        </w:rPr>
        <w:t xml:space="preserve"> because the advice was insufficient or, arguably, as a result of new procedures. It also concluded that even if no category expressly described in </w:t>
      </w:r>
      <w:r w:rsidRPr="00E37121">
        <w:rPr>
          <w:rFonts w:cs="Times New Roman"/>
          <w:i/>
        </w:rPr>
        <w:t xml:space="preserve">Sinclair </w:t>
      </w:r>
      <w:r>
        <w:rPr>
          <w:rFonts w:cs="Times New Roman"/>
        </w:rPr>
        <w:t xml:space="preserve">applied, a new consultation was necessary to fulfill the purpose of s. 10(b). </w:t>
      </w:r>
      <w:r w:rsidRPr="00D60576">
        <w:rPr>
          <w:rFonts w:cs="Times New Roman"/>
        </w:rPr>
        <w:t xml:space="preserve">Failure to provide </w:t>
      </w:r>
      <w:r>
        <w:rPr>
          <w:rFonts w:cs="Times New Roman"/>
        </w:rPr>
        <w:t>Mr. Lafrance</w:t>
      </w:r>
      <w:r w:rsidRPr="00D60576">
        <w:rPr>
          <w:rFonts w:cs="Times New Roman"/>
        </w:rPr>
        <w:t xml:space="preserve"> with a further consultation was </w:t>
      </w:r>
      <w:proofErr w:type="gramStart"/>
      <w:r w:rsidRPr="00D60576">
        <w:rPr>
          <w:rFonts w:cs="Times New Roman"/>
        </w:rPr>
        <w:t>a</w:t>
      </w:r>
      <w:proofErr w:type="gramEnd"/>
      <w:r w:rsidRPr="00D60576">
        <w:rPr>
          <w:rFonts w:cs="Times New Roman"/>
        </w:rPr>
        <w:t xml:space="preserve"> s. 10(</w:t>
      </w:r>
      <w:r w:rsidRPr="00635ED1">
        <w:rPr>
          <w:rFonts w:cs="Times New Roman"/>
        </w:rPr>
        <w:t>b</w:t>
      </w:r>
      <w:r w:rsidRPr="00D60576">
        <w:rPr>
          <w:rFonts w:cs="Times New Roman"/>
        </w:rPr>
        <w:t xml:space="preserve">) breach. The majority of the Court of Appeal therefore allowed the appeal, held that the evidence </w:t>
      </w:r>
      <w:r w:rsidRPr="00D60576">
        <w:rPr>
          <w:rFonts w:cs="Times New Roman"/>
        </w:rPr>
        <w:lastRenderedPageBreak/>
        <w:t>obtained as a result of the March 19, 2015 statement and the April 7, 2015 statement be excluded and ordered a new trial.</w:t>
      </w:r>
    </w:p>
    <w:p w14:paraId="3FEC9A87" w14:textId="77777777" w:rsidR="000975C6" w:rsidRPr="00D60576" w:rsidRDefault="000975C6" w:rsidP="000975C6">
      <w:pPr>
        <w:pStyle w:val="ParaNoNdepar-AltN"/>
        <w:rPr>
          <w:rFonts w:cs="Times New Roman"/>
        </w:rPr>
      </w:pPr>
      <w:r w:rsidRPr="00D60576">
        <w:rPr>
          <w:rFonts w:cs="Times New Roman"/>
        </w:rPr>
        <w:t>Wakeling J.A.</w:t>
      </w:r>
      <w:r>
        <w:rPr>
          <w:rFonts w:cs="Times New Roman"/>
        </w:rPr>
        <w:t>,</w:t>
      </w:r>
      <w:r w:rsidRPr="00D60576">
        <w:rPr>
          <w:rFonts w:cs="Times New Roman"/>
        </w:rPr>
        <w:t xml:space="preserve"> in dissent</w:t>
      </w:r>
      <w:r>
        <w:rPr>
          <w:rFonts w:cs="Times New Roman"/>
        </w:rPr>
        <w:t>,</w:t>
      </w:r>
      <w:r w:rsidRPr="00D60576">
        <w:rPr>
          <w:rFonts w:cs="Times New Roman"/>
        </w:rPr>
        <w:t xml:space="preserve"> concluded that the trial judge did not commit any errors and there were no s. 10(</w:t>
      </w:r>
      <w:r w:rsidRPr="00635ED1">
        <w:rPr>
          <w:rFonts w:cs="Times New Roman"/>
        </w:rPr>
        <w:t>b</w:t>
      </w:r>
      <w:r w:rsidRPr="00D60576">
        <w:rPr>
          <w:rFonts w:cs="Times New Roman"/>
        </w:rPr>
        <w:t xml:space="preserve">) breaches. Regarding March 19, 2015, he was of the view that there was no detention because the police told Mr. Lafrance several times that he was free to leave. Absent exceptional circumstances, which did not arise, that should be a bright line test that is determinative of detention. With regard to April 7, 2015, </w:t>
      </w:r>
      <w:r>
        <w:rPr>
          <w:rFonts w:cs="Times New Roman"/>
        </w:rPr>
        <w:t>Mr. Lafrance</w:t>
      </w:r>
      <w:r w:rsidRPr="00D60576">
        <w:rPr>
          <w:rFonts w:cs="Times New Roman"/>
        </w:rPr>
        <w:t xml:space="preserve"> received and understood</w:t>
      </w:r>
      <w:r>
        <w:rPr>
          <w:rFonts w:cs="Times New Roman"/>
        </w:rPr>
        <w:t xml:space="preserve"> the</w:t>
      </w:r>
      <w:r w:rsidRPr="00D60576">
        <w:rPr>
          <w:rFonts w:cs="Times New Roman"/>
        </w:rPr>
        <w:t xml:space="preserve"> Legal Aid</w:t>
      </w:r>
      <w:r>
        <w:rPr>
          <w:rFonts w:cs="Times New Roman"/>
        </w:rPr>
        <w:t xml:space="preserve"> lawyer</w:t>
      </w:r>
      <w:r w:rsidRPr="00D60576">
        <w:rPr>
          <w:rFonts w:cs="Times New Roman"/>
        </w:rPr>
        <w:t>’s advice. He had no right to talk to his father or to further consult a lawyer. Wakeling J.A. would have dismissed the appeal.</w:t>
      </w:r>
    </w:p>
    <w:p w14:paraId="72F0F5CC" w14:textId="77777777" w:rsidR="000975C6" w:rsidRPr="00D60576" w:rsidRDefault="000975C6" w:rsidP="000975C6">
      <w:pPr>
        <w:pStyle w:val="Title1LevelTitre1Niveau-AltL"/>
        <w:jc w:val="both"/>
        <w:rPr>
          <w:rFonts w:cs="Times New Roman"/>
        </w:rPr>
      </w:pPr>
      <w:r w:rsidRPr="00D60576">
        <w:rPr>
          <w:rFonts w:cs="Times New Roman"/>
        </w:rPr>
        <w:t>A</w:t>
      </w:r>
      <w:r>
        <w:rPr>
          <w:rFonts w:cs="Times New Roman"/>
        </w:rPr>
        <w:t>nalysis</w:t>
      </w:r>
    </w:p>
    <w:p w14:paraId="21127B43" w14:textId="77777777" w:rsidR="000975C6" w:rsidRPr="00D60576" w:rsidRDefault="000975C6" w:rsidP="000975C6">
      <w:pPr>
        <w:pStyle w:val="ParaNoNdepar-AltN"/>
        <w:rPr>
          <w:rFonts w:cs="Times New Roman"/>
        </w:rPr>
      </w:pPr>
      <w:r w:rsidRPr="00D60576">
        <w:rPr>
          <w:rFonts w:cs="Times New Roman"/>
        </w:rPr>
        <w:t>We disagree with the majority on three key issues. First, we are of the view that Mr. Lafrance was not detained within the meaning of s. 10(</w:t>
      </w:r>
      <w:r w:rsidRPr="00635ED1">
        <w:rPr>
          <w:rFonts w:cs="Times New Roman"/>
        </w:rPr>
        <w:t>b</w:t>
      </w:r>
      <w:r w:rsidRPr="00D60576">
        <w:rPr>
          <w:rFonts w:cs="Times New Roman"/>
        </w:rPr>
        <w:t xml:space="preserve">) of the </w:t>
      </w:r>
      <w:r w:rsidRPr="00D60576">
        <w:rPr>
          <w:rFonts w:cs="Times New Roman"/>
          <w:i/>
        </w:rPr>
        <w:t>Charter</w:t>
      </w:r>
      <w:r w:rsidRPr="00D60576">
        <w:rPr>
          <w:rFonts w:cs="Times New Roman"/>
        </w:rPr>
        <w:t xml:space="preserve"> on March 19, 2015. Second, we conclude that Mr. Lafrance was not entitled to a second consultation with counsel under s. 10(</w:t>
      </w:r>
      <w:r w:rsidRPr="00635ED1">
        <w:rPr>
          <w:rFonts w:cs="Times New Roman"/>
        </w:rPr>
        <w:t>b</w:t>
      </w:r>
      <w:r w:rsidRPr="00D60576">
        <w:rPr>
          <w:rFonts w:cs="Times New Roman"/>
        </w:rPr>
        <w:t>)</w:t>
      </w:r>
      <w:r w:rsidRPr="00D60576">
        <w:rPr>
          <w:rFonts w:cs="Times New Roman"/>
          <w:i/>
        </w:rPr>
        <w:t xml:space="preserve"> </w:t>
      </w:r>
      <w:r w:rsidRPr="00D60576">
        <w:rPr>
          <w:rFonts w:cs="Times New Roman"/>
        </w:rPr>
        <w:t xml:space="preserve">during the April 7, 2015 interrogation. Third, if Mr. Lafrance was detained on March 19, 2015, there is an insufficient link between the resulting </w:t>
      </w:r>
      <w:r w:rsidRPr="00D60576">
        <w:rPr>
          <w:rFonts w:cs="Times New Roman"/>
          <w:i/>
        </w:rPr>
        <w:t xml:space="preserve">Charter </w:t>
      </w:r>
      <w:r w:rsidRPr="00D60576">
        <w:rPr>
          <w:rFonts w:cs="Times New Roman"/>
        </w:rPr>
        <w:t>breach and the evidence</w:t>
      </w:r>
      <w:r>
        <w:rPr>
          <w:rFonts w:cs="Times New Roman"/>
        </w:rPr>
        <w:t xml:space="preserve"> relating to the April 7, </w:t>
      </w:r>
      <w:r w:rsidRPr="00D60576">
        <w:rPr>
          <w:rFonts w:cs="Times New Roman"/>
        </w:rPr>
        <w:t>2015 interrogation that he sought to exclude under s. 24(2).</w:t>
      </w:r>
    </w:p>
    <w:p w14:paraId="5D0F7F65" w14:textId="77777777" w:rsidR="000975C6" w:rsidRPr="00D60576" w:rsidRDefault="000975C6" w:rsidP="000975C6">
      <w:pPr>
        <w:pStyle w:val="Title2LevelTitre2Niveau"/>
        <w:jc w:val="both"/>
        <w:rPr>
          <w:rFonts w:cs="Times New Roman"/>
          <w:i w:val="0"/>
        </w:rPr>
      </w:pPr>
      <w:r>
        <w:rPr>
          <w:rFonts w:cs="Times New Roman"/>
        </w:rPr>
        <w:t>Mr. Lafrance</w:t>
      </w:r>
      <w:r w:rsidRPr="00D60576">
        <w:rPr>
          <w:rFonts w:cs="Times New Roman"/>
        </w:rPr>
        <w:t xml:space="preserve"> </w:t>
      </w:r>
      <w:r>
        <w:rPr>
          <w:rFonts w:cs="Times New Roman"/>
        </w:rPr>
        <w:t>Was N</w:t>
      </w:r>
      <w:r w:rsidRPr="00D60576">
        <w:rPr>
          <w:rFonts w:cs="Times New Roman"/>
        </w:rPr>
        <w:t xml:space="preserve">ot </w:t>
      </w:r>
      <w:r>
        <w:rPr>
          <w:rFonts w:cs="Times New Roman"/>
        </w:rPr>
        <w:t>D</w:t>
      </w:r>
      <w:r w:rsidRPr="00D60576">
        <w:rPr>
          <w:rFonts w:cs="Times New Roman"/>
        </w:rPr>
        <w:t>e</w:t>
      </w:r>
      <w:r>
        <w:rPr>
          <w:rFonts w:cs="Times New Roman"/>
        </w:rPr>
        <w:t xml:space="preserve">tained Within the Meaning of Sections 9 and </w:t>
      </w:r>
      <w:r w:rsidRPr="00D60576">
        <w:rPr>
          <w:rFonts w:cs="Times New Roman"/>
        </w:rPr>
        <w:t>10(b) of the Charter on March 19, 2015</w:t>
      </w:r>
    </w:p>
    <w:p w14:paraId="36973F87" w14:textId="77777777" w:rsidR="000975C6" w:rsidRPr="00D60576" w:rsidRDefault="000975C6" w:rsidP="000975C6">
      <w:pPr>
        <w:pStyle w:val="ParaNoNdepar-AltN"/>
        <w:rPr>
          <w:rFonts w:cs="Times New Roman"/>
        </w:rPr>
      </w:pPr>
      <w:r w:rsidRPr="00D60576">
        <w:rPr>
          <w:rFonts w:cs="Times New Roman"/>
        </w:rPr>
        <w:lastRenderedPageBreak/>
        <w:t>We are of the view that Mr. Lafrance was neither psychologically nor physically detained by police on March 19, 2015. Our disagreement with the majority turns on three keys points.</w:t>
      </w:r>
    </w:p>
    <w:p w14:paraId="636CDEDB" w14:textId="77777777" w:rsidR="000975C6" w:rsidRPr="00D60576" w:rsidRDefault="000975C6" w:rsidP="000975C6">
      <w:pPr>
        <w:pStyle w:val="ParaNoNdepar-AltN"/>
        <w:rPr>
          <w:rFonts w:cs="Times New Roman"/>
        </w:rPr>
      </w:pPr>
      <w:r w:rsidRPr="00D60576">
        <w:rPr>
          <w:rFonts w:cs="Times New Roman"/>
        </w:rPr>
        <w:t>First, while the majority states that the trial judge’s findings of fact are entitled to deference (at para. 23), it then goes on to substitute its own view of the evidence for that of the trial judge. The majority pays scant attention to the trial judge’s findings as to the interactions between police and Mr. Lafrance. Further, the evidence that the majority relies on for its findings that the police engaged in coercive behaviour — except as necessary for the proper execution of the search warrant — was rejected by the trial judge. In our view, a deferential approach leads to the conclusion that police did not engage in coercive behaviour toward Mr. Lafrance, but rather acted in a professional, non-confrontational manner on March 19, 2015.</w:t>
      </w:r>
    </w:p>
    <w:p w14:paraId="62AE55F7" w14:textId="77777777" w:rsidR="000975C6" w:rsidRPr="00D60576" w:rsidRDefault="000975C6" w:rsidP="000975C6">
      <w:pPr>
        <w:pStyle w:val="ParaNoNdepar-AltN"/>
        <w:rPr>
          <w:rFonts w:cs="Times New Roman"/>
          <w:szCs w:val="24"/>
        </w:rPr>
      </w:pPr>
      <w:r w:rsidRPr="00D60576">
        <w:rPr>
          <w:rFonts w:cs="Times New Roman"/>
        </w:rPr>
        <w:t xml:space="preserve">Second, we consider that the majority overemphasizes the perspective of a reasonable person in the particular circumstances of </w:t>
      </w:r>
      <w:r>
        <w:rPr>
          <w:rFonts w:cs="Times New Roman"/>
        </w:rPr>
        <w:t>the accused</w:t>
      </w:r>
      <w:r w:rsidRPr="00D60576">
        <w:rPr>
          <w:rFonts w:cs="Times New Roman"/>
        </w:rPr>
        <w:t>. This approach provides little to no guidance to police in determining whether they have psychologically detained someone in carrying out their regular duties. It risks turning every common police encounter into a detention and</w:t>
      </w:r>
      <w:r>
        <w:rPr>
          <w:rFonts w:cs="Times New Roman"/>
        </w:rPr>
        <w:t xml:space="preserve"> </w:t>
      </w:r>
      <w:r w:rsidRPr="00D60576">
        <w:rPr>
          <w:rFonts w:cs="Times New Roman"/>
        </w:rPr>
        <w:t xml:space="preserve">creating situations where police are unable to control whether they breach </w:t>
      </w:r>
      <w:r w:rsidRPr="00D60576">
        <w:rPr>
          <w:rFonts w:cs="Times New Roman"/>
          <w:i/>
          <w:iCs/>
        </w:rPr>
        <w:t>Charter</w:t>
      </w:r>
      <w:r w:rsidRPr="00D60576">
        <w:rPr>
          <w:rFonts w:cs="Times New Roman"/>
        </w:rPr>
        <w:t xml:space="preserve"> rights. For example, what reasons for the detention should the police provide to </w:t>
      </w:r>
      <w:r>
        <w:rPr>
          <w:rFonts w:cs="Times New Roman"/>
        </w:rPr>
        <w:t>an individual,</w:t>
      </w:r>
      <w:r w:rsidRPr="00D60576">
        <w:rPr>
          <w:rFonts w:cs="Times New Roman"/>
        </w:rPr>
        <w:t xml:space="preserve"> as required by s. 10(</w:t>
      </w:r>
      <w:r w:rsidRPr="002E64B0">
        <w:rPr>
          <w:rFonts w:cs="Times New Roman"/>
          <w:iCs/>
        </w:rPr>
        <w:t>a</w:t>
      </w:r>
      <w:r w:rsidRPr="00D60576">
        <w:rPr>
          <w:rFonts w:cs="Times New Roman"/>
        </w:rPr>
        <w:t xml:space="preserve">), where they have no intention to detain </w:t>
      </w:r>
      <w:r>
        <w:rPr>
          <w:rFonts w:cs="Times New Roman"/>
        </w:rPr>
        <w:t xml:space="preserve">him or her, </w:t>
      </w:r>
      <w:r w:rsidRPr="00D60576">
        <w:rPr>
          <w:rFonts w:cs="Times New Roman"/>
        </w:rPr>
        <w:t xml:space="preserve">but a reasonable person may nonetheless conclude a detention exists? How can the police avoid infringing the right under s. 9 against arbitrary detention when they are seeking to obtain information? It </w:t>
      </w:r>
      <w:r w:rsidRPr="00D60576">
        <w:rPr>
          <w:rFonts w:cs="Times New Roman"/>
        </w:rPr>
        <w:lastRenderedPageBreak/>
        <w:t>does a disservice to the administration of justice if we put police in a “Catch</w:t>
      </w:r>
      <w:r w:rsidRPr="00D60576">
        <w:rPr>
          <w:rFonts w:cs="Times New Roman"/>
        </w:rPr>
        <w:noBreakHyphen/>
        <w:t xml:space="preserve">22” situation regarding psychological detention when they want </w:t>
      </w:r>
      <w:r>
        <w:rPr>
          <w:rFonts w:cs="Times New Roman"/>
        </w:rPr>
        <w:t xml:space="preserve">to </w:t>
      </w:r>
      <w:r w:rsidRPr="00D60576">
        <w:rPr>
          <w:rFonts w:cs="Times New Roman"/>
        </w:rPr>
        <w:t>put questions to an individual.</w:t>
      </w:r>
    </w:p>
    <w:p w14:paraId="5524DFD6" w14:textId="77777777" w:rsidR="000975C6" w:rsidRPr="00D60576" w:rsidRDefault="000975C6" w:rsidP="000975C6">
      <w:pPr>
        <w:pStyle w:val="ParaNoNdepar-AltN"/>
        <w:rPr>
          <w:rFonts w:cs="Times New Roman"/>
        </w:rPr>
      </w:pPr>
      <w:r w:rsidRPr="00D60576">
        <w:rPr>
          <w:rFonts w:cs="Times New Roman"/>
        </w:rPr>
        <w:t xml:space="preserve">Third, we accord greater weight than does the majority to the police </w:t>
      </w:r>
      <w:r>
        <w:rPr>
          <w:rFonts w:cs="Times New Roman"/>
        </w:rPr>
        <w:t xml:space="preserve">officers’ </w:t>
      </w:r>
      <w:r w:rsidRPr="00D60576">
        <w:rPr>
          <w:rFonts w:cs="Times New Roman"/>
        </w:rPr>
        <w:t>testimony that they made clear to Mr. Lafrance that he did not need to speak to them and was free to leave. We agree with the majority that a finding of detention is not precluded by such statements by police. However, the interaction between police and the individual must be considered in light of all relevant circumstances. Thus, coercive behaviour or accusatory questioning may negate police assurances that the individual need not speak to them and is free to go.</w:t>
      </w:r>
    </w:p>
    <w:p w14:paraId="02ABFF4B" w14:textId="77777777" w:rsidR="000975C6" w:rsidRPr="00D60576" w:rsidRDefault="000975C6" w:rsidP="000975C6">
      <w:pPr>
        <w:pStyle w:val="ParaNoNdepar-AltN"/>
        <w:rPr>
          <w:rFonts w:cs="Times New Roman"/>
        </w:rPr>
      </w:pPr>
      <w:r w:rsidRPr="00D60576">
        <w:rPr>
          <w:rFonts w:cs="Times New Roman"/>
        </w:rPr>
        <w:t xml:space="preserve">But police statements to such </w:t>
      </w:r>
      <w:r>
        <w:rPr>
          <w:rFonts w:cs="Times New Roman"/>
        </w:rPr>
        <w:t>e</w:t>
      </w:r>
      <w:r w:rsidRPr="00D60576">
        <w:rPr>
          <w:rFonts w:cs="Times New Roman"/>
        </w:rPr>
        <w:t xml:space="preserve">ffect are not merely “a single consideration among others”, as the majority suggests (para. 39). In our view, as the New Brunswick Court of Appeal stated in </w:t>
      </w:r>
      <w:r w:rsidRPr="00D60576">
        <w:rPr>
          <w:rFonts w:cs="Times New Roman"/>
          <w:i/>
        </w:rPr>
        <w:t>R. v. Way</w:t>
      </w:r>
      <w:r w:rsidRPr="00D60576">
        <w:rPr>
          <w:rFonts w:cs="Times New Roman"/>
        </w:rPr>
        <w:t>, 2011 NBCA 92,</w:t>
      </w:r>
      <w:r>
        <w:rPr>
          <w:rFonts w:cs="Times New Roman"/>
        </w:rPr>
        <w:t xml:space="preserve"> 377 N.B.R. (2d) 25,</w:t>
      </w:r>
      <w:r w:rsidRPr="00D60576">
        <w:rPr>
          <w:rFonts w:cs="Times New Roman"/>
          <w:i/>
        </w:rPr>
        <w:t xml:space="preserve"> </w:t>
      </w:r>
      <w:r>
        <w:rPr>
          <w:rFonts w:cs="Times New Roman"/>
        </w:rPr>
        <w:t xml:space="preserve">“detention </w:t>
      </w:r>
      <w:r w:rsidRPr="00D60576">
        <w:rPr>
          <w:rFonts w:cs="Times New Roman"/>
        </w:rPr>
        <w:t>will certainly be much more difficult to establish when such information has been genuinely provided” (para. 40). This is consistent with the role of unambiguous police statements that an individual is free to leave as contemplated by this Court in</w:t>
      </w:r>
      <w:r w:rsidRPr="00D60576">
        <w:rPr>
          <w:rFonts w:cs="Times New Roman"/>
          <w:i/>
        </w:rPr>
        <w:t xml:space="preserve"> </w:t>
      </w:r>
      <w:r>
        <w:rPr>
          <w:rFonts w:cs="Times New Roman"/>
          <w:i/>
        </w:rPr>
        <w:t xml:space="preserve">R. v. </w:t>
      </w:r>
      <w:r w:rsidRPr="00D60576">
        <w:rPr>
          <w:rFonts w:cs="Times New Roman"/>
          <w:i/>
        </w:rPr>
        <w:t>Grant</w:t>
      </w:r>
      <w:r w:rsidRPr="00D60576">
        <w:rPr>
          <w:rFonts w:cs="Times New Roman"/>
        </w:rPr>
        <w:t xml:space="preserve">, </w:t>
      </w:r>
      <w:r>
        <w:rPr>
          <w:rFonts w:cs="Times New Roman"/>
        </w:rPr>
        <w:t xml:space="preserve">2009 SCC 32, [2009] 2 S.C.R. 353, </w:t>
      </w:r>
      <w:r w:rsidRPr="00D60576">
        <w:rPr>
          <w:rFonts w:cs="Times New Roman"/>
        </w:rPr>
        <w:t>at paras. 32 and 39.</w:t>
      </w:r>
    </w:p>
    <w:p w14:paraId="1B6D9EF7" w14:textId="77777777" w:rsidR="000975C6" w:rsidRPr="00D60576" w:rsidRDefault="000975C6" w:rsidP="000975C6">
      <w:pPr>
        <w:pStyle w:val="ParaNoNdepar-AltN"/>
        <w:rPr>
          <w:rFonts w:cs="Times New Roman"/>
        </w:rPr>
      </w:pPr>
      <w:r w:rsidRPr="00D60576">
        <w:rPr>
          <w:rFonts w:cs="Times New Roman"/>
        </w:rPr>
        <w:t xml:space="preserve">Our position is supported by numerous cases decided since </w:t>
      </w:r>
      <w:r w:rsidRPr="00D60576">
        <w:rPr>
          <w:rFonts w:cs="Times New Roman"/>
          <w:i/>
        </w:rPr>
        <w:t>Grant</w:t>
      </w:r>
      <w:r w:rsidRPr="00D60576">
        <w:rPr>
          <w:rFonts w:cs="Times New Roman"/>
        </w:rPr>
        <w:t xml:space="preserve">. The vast majority of decisions applying the </w:t>
      </w:r>
      <w:r w:rsidRPr="00D60576">
        <w:rPr>
          <w:rFonts w:cs="Times New Roman"/>
          <w:i/>
        </w:rPr>
        <w:t xml:space="preserve">Grant </w:t>
      </w:r>
      <w:r w:rsidRPr="00D60576">
        <w:rPr>
          <w:rFonts w:cs="Times New Roman"/>
        </w:rPr>
        <w:t xml:space="preserve">framework have held that individuals are not detained within the meaning of s. 9 or </w:t>
      </w:r>
      <w:r>
        <w:rPr>
          <w:rFonts w:cs="Times New Roman"/>
        </w:rPr>
        <w:t>s. </w:t>
      </w:r>
      <w:r w:rsidRPr="00D60576">
        <w:rPr>
          <w:rFonts w:cs="Times New Roman"/>
        </w:rPr>
        <w:t>10(</w:t>
      </w:r>
      <w:r w:rsidRPr="002E64B0">
        <w:rPr>
          <w:rFonts w:cs="Times New Roman"/>
        </w:rPr>
        <w:t>b</w:t>
      </w:r>
      <w:r w:rsidRPr="00D60576">
        <w:rPr>
          <w:rFonts w:cs="Times New Roman"/>
        </w:rPr>
        <w:t xml:space="preserve">) of the </w:t>
      </w:r>
      <w:r w:rsidRPr="00D60576">
        <w:rPr>
          <w:rFonts w:cs="Times New Roman"/>
          <w:i/>
        </w:rPr>
        <w:t>Charter</w:t>
      </w:r>
      <w:r w:rsidRPr="00D60576">
        <w:rPr>
          <w:rFonts w:cs="Times New Roman"/>
        </w:rPr>
        <w:t xml:space="preserve"> where they are unambiguously informed by police that they are free to go (see </w:t>
      </w:r>
      <w:r w:rsidRPr="00D60576">
        <w:rPr>
          <w:rFonts w:cs="Times New Roman"/>
          <w:i/>
        </w:rPr>
        <w:t>R. v. Todd</w:t>
      </w:r>
      <w:r w:rsidRPr="00D60576">
        <w:rPr>
          <w:rFonts w:cs="Times New Roman"/>
        </w:rPr>
        <w:t xml:space="preserve">, 2019 SKCA </w:t>
      </w:r>
      <w:r w:rsidRPr="00D60576">
        <w:rPr>
          <w:rFonts w:cs="Times New Roman"/>
        </w:rPr>
        <w:lastRenderedPageBreak/>
        <w:t xml:space="preserve">36, </w:t>
      </w:r>
      <w:r>
        <w:rPr>
          <w:rFonts w:cs="Times New Roman"/>
        </w:rPr>
        <w:t xml:space="preserve">[2019] 9 W.W.R. 207, </w:t>
      </w:r>
      <w:r w:rsidRPr="00D60576">
        <w:rPr>
          <w:rFonts w:cs="Times New Roman"/>
        </w:rPr>
        <w:t>at paras. 63</w:t>
      </w:r>
      <w:r w:rsidRPr="00D60576">
        <w:rPr>
          <w:rFonts w:cs="Times New Roman"/>
        </w:rPr>
        <w:noBreakHyphen/>
        <w:t xml:space="preserve">69; </w:t>
      </w:r>
      <w:r w:rsidRPr="00D60576">
        <w:rPr>
          <w:rFonts w:cs="Times New Roman"/>
          <w:i/>
        </w:rPr>
        <w:t>R. v. Tran</w:t>
      </w:r>
      <w:r w:rsidRPr="00D60576">
        <w:rPr>
          <w:rFonts w:cs="Times New Roman"/>
        </w:rPr>
        <w:t xml:space="preserve">, 2010 ABCA 211, </w:t>
      </w:r>
      <w:r>
        <w:rPr>
          <w:rFonts w:cs="Times New Roman"/>
        </w:rPr>
        <w:t xml:space="preserve">482 A.R. 357, </w:t>
      </w:r>
      <w:r w:rsidRPr="00D60576">
        <w:rPr>
          <w:rFonts w:cs="Times New Roman"/>
        </w:rPr>
        <w:t>at paras. 25</w:t>
      </w:r>
      <w:r w:rsidRPr="00D60576">
        <w:rPr>
          <w:rFonts w:cs="Times New Roman"/>
        </w:rPr>
        <w:noBreakHyphen/>
        <w:t xml:space="preserve">30; </w:t>
      </w:r>
      <w:r w:rsidRPr="00D60576">
        <w:rPr>
          <w:rFonts w:cs="Times New Roman"/>
          <w:i/>
        </w:rPr>
        <w:t>R. v. Schrenk</w:t>
      </w:r>
      <w:r w:rsidRPr="00D60576">
        <w:rPr>
          <w:rFonts w:cs="Times New Roman"/>
        </w:rPr>
        <w:t xml:space="preserve">, 2010 MBCA 38, </w:t>
      </w:r>
      <w:r>
        <w:rPr>
          <w:rFonts w:cs="Times New Roman"/>
        </w:rPr>
        <w:t xml:space="preserve">255 Man. R. (2d) 12, </w:t>
      </w:r>
      <w:r w:rsidRPr="00D60576">
        <w:rPr>
          <w:rFonts w:cs="Times New Roman"/>
        </w:rPr>
        <w:t xml:space="preserve">at para. 56; </w:t>
      </w:r>
      <w:r w:rsidRPr="00D60576">
        <w:rPr>
          <w:rFonts w:cs="Times New Roman"/>
          <w:i/>
        </w:rPr>
        <w:t>R. v. Hermkens</w:t>
      </w:r>
      <w:r>
        <w:rPr>
          <w:rFonts w:cs="Times New Roman"/>
          <w:i/>
        </w:rPr>
        <w:t xml:space="preserve"> &amp; Moran</w:t>
      </w:r>
      <w:r w:rsidRPr="00D60576">
        <w:rPr>
          <w:rFonts w:cs="Times New Roman"/>
        </w:rPr>
        <w:t>, 2021 ABQB 885, at paras. 223</w:t>
      </w:r>
      <w:r>
        <w:rPr>
          <w:rFonts w:cs="Times New Roman"/>
        </w:rPr>
        <w:noBreakHyphen/>
      </w:r>
      <w:r w:rsidRPr="00D60576">
        <w:rPr>
          <w:rFonts w:cs="Times New Roman"/>
        </w:rPr>
        <w:t>34</w:t>
      </w:r>
      <w:r>
        <w:rPr>
          <w:rFonts w:cs="Times New Roman"/>
        </w:rPr>
        <w:t xml:space="preserve"> (CanLII)</w:t>
      </w:r>
      <w:r w:rsidRPr="00D60576">
        <w:rPr>
          <w:rFonts w:cs="Times New Roman"/>
        </w:rPr>
        <w:t xml:space="preserve">; </w:t>
      </w:r>
      <w:r w:rsidRPr="00D60576">
        <w:rPr>
          <w:rFonts w:cs="Times New Roman"/>
          <w:i/>
        </w:rPr>
        <w:t>R. v. Heppner</w:t>
      </w:r>
      <w:r w:rsidRPr="00D60576">
        <w:rPr>
          <w:rFonts w:cs="Times New Roman"/>
        </w:rPr>
        <w:t>, 2017 BCSC 894, at para</w:t>
      </w:r>
      <w:r>
        <w:rPr>
          <w:rFonts w:cs="Times New Roman"/>
        </w:rPr>
        <w:t>s</w:t>
      </w:r>
      <w:r w:rsidRPr="00D60576">
        <w:rPr>
          <w:rFonts w:cs="Times New Roman"/>
        </w:rPr>
        <w:t>. </w:t>
      </w:r>
      <w:r>
        <w:rPr>
          <w:rFonts w:cs="Times New Roman"/>
        </w:rPr>
        <w:t xml:space="preserve">125 and </w:t>
      </w:r>
      <w:r w:rsidRPr="00D60576">
        <w:rPr>
          <w:rFonts w:cs="Times New Roman"/>
        </w:rPr>
        <w:t>127</w:t>
      </w:r>
      <w:r>
        <w:rPr>
          <w:rFonts w:cs="Times New Roman"/>
        </w:rPr>
        <w:t xml:space="preserve"> (CanLII)</w:t>
      </w:r>
      <w:r w:rsidRPr="00D60576">
        <w:rPr>
          <w:rFonts w:cs="Times New Roman"/>
        </w:rPr>
        <w:t xml:space="preserve">; </w:t>
      </w:r>
      <w:r w:rsidRPr="00D60576">
        <w:rPr>
          <w:rFonts w:cs="Times New Roman"/>
          <w:i/>
          <w:iCs/>
        </w:rPr>
        <w:t>R. v. Roach</w:t>
      </w:r>
      <w:r w:rsidRPr="00D60576">
        <w:rPr>
          <w:rFonts w:cs="Times New Roman"/>
        </w:rPr>
        <w:t>,</w:t>
      </w:r>
      <w:r>
        <w:rPr>
          <w:rFonts w:cs="Times New Roman"/>
        </w:rPr>
        <w:t xml:space="preserve"> </w:t>
      </w:r>
      <w:r w:rsidRPr="00D60576">
        <w:rPr>
          <w:rFonts w:cs="Times New Roman"/>
        </w:rPr>
        <w:t>2012 NLTD(G)</w:t>
      </w:r>
      <w:r>
        <w:rPr>
          <w:rFonts w:cs="Times New Roman"/>
        </w:rPr>
        <w:t xml:space="preserve"> </w:t>
      </w:r>
      <w:r w:rsidRPr="00D60576">
        <w:rPr>
          <w:rFonts w:cs="Times New Roman"/>
        </w:rPr>
        <w:t xml:space="preserve">21, </w:t>
      </w:r>
      <w:r>
        <w:rPr>
          <w:rFonts w:cs="Times New Roman"/>
        </w:rPr>
        <w:t xml:space="preserve">319 Nfld. &amp; P.E.I.R. 231, </w:t>
      </w:r>
      <w:r w:rsidRPr="00D60576">
        <w:rPr>
          <w:rFonts w:cs="Times New Roman"/>
        </w:rPr>
        <w:t>at paras. 44</w:t>
      </w:r>
      <w:r w:rsidRPr="00D60576">
        <w:rPr>
          <w:rFonts w:cs="Times New Roman"/>
        </w:rPr>
        <w:noBreakHyphen/>
        <w:t xml:space="preserve">45; </w:t>
      </w:r>
      <w:r w:rsidRPr="00D60576">
        <w:rPr>
          <w:rFonts w:cs="Times New Roman"/>
          <w:i/>
        </w:rPr>
        <w:t>R. v. Bristol</w:t>
      </w:r>
      <w:r w:rsidRPr="00D60576">
        <w:rPr>
          <w:rFonts w:cs="Times New Roman"/>
        </w:rPr>
        <w:t>, 2011 ABQB 73, at paras. 22</w:t>
      </w:r>
      <w:r w:rsidRPr="00D60576">
        <w:rPr>
          <w:rFonts w:cs="Times New Roman"/>
        </w:rPr>
        <w:noBreakHyphen/>
        <w:t>23</w:t>
      </w:r>
      <w:r>
        <w:rPr>
          <w:rFonts w:cs="Times New Roman"/>
        </w:rPr>
        <w:t xml:space="preserve"> (CanLII)</w:t>
      </w:r>
      <w:r w:rsidRPr="00D60576">
        <w:rPr>
          <w:rFonts w:cs="Times New Roman"/>
        </w:rPr>
        <w:t xml:space="preserve">; </w:t>
      </w:r>
      <w:r w:rsidRPr="00D60576">
        <w:rPr>
          <w:rFonts w:cs="Times New Roman"/>
          <w:i/>
        </w:rPr>
        <w:t>R. v. Bucknell</w:t>
      </w:r>
      <w:r w:rsidRPr="00D60576">
        <w:rPr>
          <w:rFonts w:cs="Times New Roman"/>
        </w:rPr>
        <w:t>, 2021 BCPC 308, at paras. 99</w:t>
      </w:r>
      <w:r w:rsidRPr="00D60576">
        <w:rPr>
          <w:rFonts w:cs="Times New Roman"/>
        </w:rPr>
        <w:noBreakHyphen/>
        <w:t>109</w:t>
      </w:r>
      <w:r>
        <w:rPr>
          <w:rFonts w:cs="Times New Roman"/>
        </w:rPr>
        <w:t xml:space="preserve"> (CanLII)</w:t>
      </w:r>
      <w:r w:rsidRPr="00D60576">
        <w:rPr>
          <w:rFonts w:cs="Times New Roman"/>
        </w:rPr>
        <w:t xml:space="preserve">; </w:t>
      </w:r>
      <w:r w:rsidRPr="00D60576">
        <w:rPr>
          <w:rFonts w:cs="Times New Roman"/>
          <w:i/>
        </w:rPr>
        <w:t>R. v. Giulioni</w:t>
      </w:r>
      <w:r w:rsidRPr="00D60576">
        <w:rPr>
          <w:rFonts w:cs="Times New Roman"/>
        </w:rPr>
        <w:t>, 2011 NLTD</w:t>
      </w:r>
      <w:r>
        <w:rPr>
          <w:rFonts w:cs="Times New Roman"/>
        </w:rPr>
        <w:t>(G)</w:t>
      </w:r>
      <w:r w:rsidRPr="00D60576">
        <w:rPr>
          <w:rFonts w:cs="Times New Roman"/>
        </w:rPr>
        <w:t xml:space="preserve"> 117, </w:t>
      </w:r>
      <w:r>
        <w:rPr>
          <w:rFonts w:cs="Times New Roman"/>
        </w:rPr>
        <w:t xml:space="preserve">313 Nfld. &amp; P.E.I.R. 220, </w:t>
      </w:r>
      <w:r w:rsidRPr="00D60576">
        <w:rPr>
          <w:rFonts w:cs="Times New Roman"/>
        </w:rPr>
        <w:t xml:space="preserve">at para. 29; </w:t>
      </w:r>
      <w:r w:rsidRPr="00D60576">
        <w:rPr>
          <w:rFonts w:cs="Times New Roman"/>
          <w:i/>
        </w:rPr>
        <w:t>R. v. Wheeler</w:t>
      </w:r>
      <w:r w:rsidRPr="00D60576">
        <w:rPr>
          <w:rFonts w:cs="Times New Roman"/>
        </w:rPr>
        <w:t>, 2010 YKTC 7</w:t>
      </w:r>
      <w:r>
        <w:rPr>
          <w:rFonts w:cs="Times New Roman"/>
        </w:rPr>
        <w:t>, at para. 11 (CanLII)</w:t>
      </w:r>
      <w:r w:rsidRPr="00D60576">
        <w:rPr>
          <w:rFonts w:cs="Times New Roman"/>
        </w:rPr>
        <w:t xml:space="preserve">; </w:t>
      </w:r>
      <w:r w:rsidRPr="00D60576">
        <w:rPr>
          <w:rFonts w:cs="Times New Roman"/>
          <w:i/>
        </w:rPr>
        <w:t>R. v. Rodh</w:t>
      </w:r>
      <w:r w:rsidRPr="00D60576">
        <w:rPr>
          <w:rFonts w:cs="Times New Roman"/>
        </w:rPr>
        <w:t>, 2010 SKPC 150</w:t>
      </w:r>
      <w:r>
        <w:rPr>
          <w:rFonts w:cs="Times New Roman"/>
        </w:rPr>
        <w:t>, 364 Sask. R. 96, at para. 25)</w:t>
      </w:r>
      <w:r w:rsidRPr="00D60576">
        <w:rPr>
          <w:rFonts w:cs="Times New Roman"/>
        </w:rPr>
        <w:t xml:space="preserve">. Consequently, unambiguous police statements that an individual is under no obligation to comply should weigh heavily against a finding of psychological detention, absent police conduct undermining this message (see </w:t>
      </w:r>
      <w:r w:rsidRPr="00D60576">
        <w:rPr>
          <w:rFonts w:cs="Times New Roman"/>
          <w:i/>
        </w:rPr>
        <w:t>R. v. Jackman</w:t>
      </w:r>
      <w:r w:rsidRPr="00D60576">
        <w:rPr>
          <w:rFonts w:cs="Times New Roman"/>
        </w:rPr>
        <w:t xml:space="preserve">, 2011 </w:t>
      </w:r>
      <w:proofErr w:type="gramStart"/>
      <w:r w:rsidRPr="00D60576">
        <w:rPr>
          <w:rFonts w:cs="Times New Roman"/>
        </w:rPr>
        <w:t>NLTD</w:t>
      </w:r>
      <w:r>
        <w:rPr>
          <w:rFonts w:cs="Times New Roman"/>
        </w:rPr>
        <w:t>(</w:t>
      </w:r>
      <w:proofErr w:type="gramEnd"/>
      <w:r>
        <w:rPr>
          <w:rFonts w:cs="Times New Roman"/>
        </w:rPr>
        <w:t>G)</w:t>
      </w:r>
      <w:r w:rsidRPr="00D60576">
        <w:rPr>
          <w:rFonts w:cs="Times New Roman"/>
        </w:rPr>
        <w:t xml:space="preserve"> 116, </w:t>
      </w:r>
      <w:r>
        <w:rPr>
          <w:rFonts w:cs="Times New Roman"/>
        </w:rPr>
        <w:t xml:space="preserve">313 Nfld. &amp; P.E.I.R. 203, </w:t>
      </w:r>
      <w:r w:rsidRPr="00D60576">
        <w:rPr>
          <w:rFonts w:cs="Times New Roman"/>
        </w:rPr>
        <w:t>at paras. 42</w:t>
      </w:r>
      <w:r w:rsidRPr="00D60576">
        <w:rPr>
          <w:rFonts w:cs="Times New Roman"/>
        </w:rPr>
        <w:noBreakHyphen/>
        <w:t>43).</w:t>
      </w:r>
    </w:p>
    <w:p w14:paraId="57781E7B" w14:textId="77777777" w:rsidR="000975C6" w:rsidRPr="00D60576" w:rsidRDefault="000975C6" w:rsidP="000975C6">
      <w:pPr>
        <w:pStyle w:val="ParaNoNdepar-AltN"/>
        <w:rPr>
          <w:rFonts w:cs="Times New Roman"/>
        </w:rPr>
      </w:pPr>
      <w:r w:rsidRPr="00D60576">
        <w:rPr>
          <w:rFonts w:cs="Times New Roman"/>
        </w:rPr>
        <w:t xml:space="preserve">This is not to say that statements by police that the individual is free to go are “all but determinative” or that they justify turning the focus away from contextual factors, as the majority suggests in describing our position (para. 38). We acknowledge that the particular circumstances of the individual are pertinent in determining whether </w:t>
      </w:r>
      <w:r>
        <w:rPr>
          <w:rFonts w:cs="Times New Roman"/>
        </w:rPr>
        <w:t>a reasonable person c</w:t>
      </w:r>
      <w:r w:rsidRPr="00D60576">
        <w:rPr>
          <w:rFonts w:cs="Times New Roman"/>
        </w:rPr>
        <w:t xml:space="preserve">ould consider that police by their conduct have undermined such statements. A person subject to accusatory questioning or coercive behaviour </w:t>
      </w:r>
      <w:r>
        <w:rPr>
          <w:rFonts w:cs="Times New Roman"/>
        </w:rPr>
        <w:t>c</w:t>
      </w:r>
      <w:r w:rsidRPr="00D60576">
        <w:rPr>
          <w:rFonts w:cs="Times New Roman"/>
        </w:rPr>
        <w:t xml:space="preserve">ould reasonably feel detained by police regardless of statements to the contrary. The threshold may be lower for vulnerable individuals who are unfamiliar with their </w:t>
      </w:r>
      <w:r w:rsidRPr="00D60576">
        <w:rPr>
          <w:rFonts w:cs="Times New Roman"/>
          <w:i/>
        </w:rPr>
        <w:t xml:space="preserve">Charter </w:t>
      </w:r>
      <w:r w:rsidRPr="00D60576">
        <w:rPr>
          <w:rFonts w:cs="Times New Roman"/>
        </w:rPr>
        <w:t>rights. This is particularly true in cases of “</w:t>
      </w:r>
      <w:r w:rsidRPr="00D60576">
        <w:rPr>
          <w:rFonts w:cs="Times New Roman"/>
          <w:u w:val="single"/>
        </w:rPr>
        <w:t>intensive</w:t>
      </w:r>
      <w:r w:rsidRPr="00D60576">
        <w:rPr>
          <w:rFonts w:cs="Times New Roman"/>
        </w:rPr>
        <w:t xml:space="preserve"> interrogation” (S. Penney, “Police Questioning in the Charter Era: Adjudicative versus Regulatory Rule</w:t>
      </w:r>
      <w:r w:rsidRPr="00D60576">
        <w:rPr>
          <w:rFonts w:cs="Times New Roman"/>
        </w:rPr>
        <w:noBreakHyphen/>
        <w:t xml:space="preserve">making </w:t>
      </w:r>
      <w:r w:rsidRPr="00D60576">
        <w:rPr>
          <w:rFonts w:cs="Times New Roman"/>
        </w:rPr>
        <w:lastRenderedPageBreak/>
        <w:t>and the Problem of False Confessions” (2012)</w:t>
      </w:r>
      <w:r>
        <w:rPr>
          <w:rFonts w:cs="Times New Roman"/>
        </w:rPr>
        <w:t>,</w:t>
      </w:r>
      <w:r w:rsidRPr="00D60576">
        <w:rPr>
          <w:rFonts w:cs="Times New Roman"/>
        </w:rPr>
        <w:t xml:space="preserve"> 57 </w:t>
      </w:r>
      <w:r w:rsidRPr="00D25E84">
        <w:rPr>
          <w:rFonts w:cs="Times New Roman"/>
          <w:i/>
        </w:rPr>
        <w:t>S.C.L.R.</w:t>
      </w:r>
      <w:r w:rsidRPr="00D60576">
        <w:rPr>
          <w:rFonts w:cs="Times New Roman"/>
        </w:rPr>
        <w:t xml:space="preserve"> (</w:t>
      </w:r>
      <w:r>
        <w:rPr>
          <w:rFonts w:cs="Times New Roman"/>
        </w:rPr>
        <w:t>2</w:t>
      </w:r>
      <w:r w:rsidRPr="00D60576">
        <w:rPr>
          <w:rFonts w:cs="Times New Roman"/>
        </w:rPr>
        <w:t>d) 263, at p. 287</w:t>
      </w:r>
      <w:r>
        <w:rPr>
          <w:rFonts w:cs="Times New Roman"/>
        </w:rPr>
        <w:t xml:space="preserve"> (emphasis added)</w:t>
      </w:r>
      <w:r w:rsidRPr="00D60576">
        <w:rPr>
          <w:rFonts w:cs="Times New Roman"/>
        </w:rPr>
        <w:t>).</w:t>
      </w:r>
    </w:p>
    <w:p w14:paraId="363640BB" w14:textId="77777777" w:rsidR="000975C6" w:rsidRPr="00D60576" w:rsidRDefault="000975C6" w:rsidP="000975C6">
      <w:pPr>
        <w:pStyle w:val="ParaNoNdepar-AltN"/>
        <w:rPr>
          <w:rFonts w:cs="Times New Roman"/>
        </w:rPr>
      </w:pPr>
      <w:r w:rsidRPr="00D60576">
        <w:rPr>
          <w:rFonts w:cs="Times New Roman"/>
        </w:rPr>
        <w:t xml:space="preserve">None of these concerns apply here. Although Mr. Lafrance is a young, Indigenous person with no experience akin to that on March 19, 2015, the police did not undermine their statements that he was free to go and under no obligation to cooperate. In dealing with Mr. Lafrance, police repeatedly reminded him that he was under no obligation to cooperate and could leave at any time; they also ensured that he understood his </w:t>
      </w:r>
      <w:r w:rsidRPr="00D60576">
        <w:rPr>
          <w:rFonts w:cs="Times New Roman"/>
          <w:i/>
        </w:rPr>
        <w:t>Charter</w:t>
      </w:r>
      <w:r w:rsidRPr="00D60576">
        <w:rPr>
          <w:rFonts w:cs="Times New Roman"/>
        </w:rPr>
        <w:t xml:space="preserve"> right to silence at the beginning of the interview of March 19, 2015. Mr. Lafrance was eager to cooperate in order to allay suspicion.</w:t>
      </w:r>
    </w:p>
    <w:p w14:paraId="5A5E1CED" w14:textId="77777777" w:rsidR="000975C6" w:rsidRPr="00D60576" w:rsidRDefault="000975C6" w:rsidP="000975C6">
      <w:pPr>
        <w:pStyle w:val="ParaNoNdepar-AltN"/>
        <w:rPr>
          <w:rFonts w:cs="Times New Roman"/>
        </w:rPr>
      </w:pPr>
      <w:r w:rsidRPr="00D60576">
        <w:rPr>
          <w:rFonts w:cs="Times New Roman"/>
        </w:rPr>
        <w:t xml:space="preserve">Applying the </w:t>
      </w:r>
      <w:r w:rsidRPr="00D60576">
        <w:rPr>
          <w:rFonts w:cs="Times New Roman"/>
          <w:i/>
        </w:rPr>
        <w:t xml:space="preserve">Grant </w:t>
      </w:r>
      <w:r w:rsidRPr="00D60576">
        <w:rPr>
          <w:rFonts w:cs="Times New Roman"/>
        </w:rPr>
        <w:t>framework, we conclude that Mr. Lafrance was not psychologically or otherwise detained at any point during his dealings with the police on March 19, 2015; thus</w:t>
      </w:r>
      <w:r>
        <w:rPr>
          <w:rFonts w:cs="Times New Roman"/>
        </w:rPr>
        <w:t>,</w:t>
      </w:r>
      <w:r w:rsidRPr="00D60576">
        <w:rPr>
          <w:rFonts w:cs="Times New Roman"/>
        </w:rPr>
        <w:t xml:space="preserve"> there </w:t>
      </w:r>
      <w:r>
        <w:rPr>
          <w:rFonts w:cs="Times New Roman"/>
        </w:rPr>
        <w:t>wa</w:t>
      </w:r>
      <w:r w:rsidRPr="00D60576">
        <w:rPr>
          <w:rFonts w:cs="Times New Roman"/>
        </w:rPr>
        <w:t>s no requirement that he be advised by police of his right to counsel under s. 10(</w:t>
      </w:r>
      <w:r w:rsidRPr="00D25E84">
        <w:rPr>
          <w:rFonts w:cs="Times New Roman"/>
        </w:rPr>
        <w:t>b</w:t>
      </w:r>
      <w:r w:rsidRPr="00D60576">
        <w:rPr>
          <w:rFonts w:cs="Times New Roman"/>
        </w:rPr>
        <w:t xml:space="preserve">) of the </w:t>
      </w:r>
      <w:r w:rsidRPr="00D60576">
        <w:rPr>
          <w:rFonts w:cs="Times New Roman"/>
          <w:i/>
        </w:rPr>
        <w:t>Charter</w:t>
      </w:r>
      <w:r w:rsidRPr="00D60576">
        <w:rPr>
          <w:rFonts w:cs="Times New Roman"/>
        </w:rPr>
        <w:t>.</w:t>
      </w:r>
    </w:p>
    <w:p w14:paraId="67888584" w14:textId="77777777" w:rsidR="000975C6" w:rsidRPr="00D60576" w:rsidRDefault="000975C6" w:rsidP="000975C6">
      <w:pPr>
        <w:pStyle w:val="Title3LevelTitre3Niveau"/>
        <w:jc w:val="both"/>
        <w:rPr>
          <w:rFonts w:cs="Times New Roman"/>
        </w:rPr>
      </w:pPr>
      <w:r>
        <w:rPr>
          <w:rFonts w:cs="Times New Roman"/>
        </w:rPr>
        <w:t>Circumstances Giving R</w:t>
      </w:r>
      <w:r w:rsidRPr="00D60576">
        <w:rPr>
          <w:rFonts w:cs="Times New Roman"/>
        </w:rPr>
        <w:t xml:space="preserve">ise to the </w:t>
      </w:r>
      <w:r>
        <w:rPr>
          <w:rFonts w:cs="Times New Roman"/>
        </w:rPr>
        <w:t>E</w:t>
      </w:r>
      <w:r w:rsidRPr="00D60576">
        <w:rPr>
          <w:rFonts w:cs="Times New Roman"/>
        </w:rPr>
        <w:t>ncounter</w:t>
      </w:r>
    </w:p>
    <w:p w14:paraId="7B76F57C" w14:textId="77777777" w:rsidR="000975C6" w:rsidRPr="00D60576" w:rsidRDefault="000975C6" w:rsidP="000975C6">
      <w:pPr>
        <w:pStyle w:val="ParaNoNdepar-AltN"/>
        <w:rPr>
          <w:rFonts w:cs="Times New Roman"/>
        </w:rPr>
      </w:pPr>
      <w:r w:rsidRPr="00D60576">
        <w:rPr>
          <w:rFonts w:cs="Times New Roman"/>
        </w:rPr>
        <w:t>According to the majority, “little consideration is given to the possibility that [the facts of the initial police encounter] gave rise to a detention” (para. 33). In the majority’s view, the overwhelming force manifested by police in the execution of the search warrant of the residence, combined with Mr. Lafrance’s personal characteristics, are determinative (para. </w:t>
      </w:r>
      <w:r>
        <w:rPr>
          <w:rFonts w:cs="Times New Roman"/>
        </w:rPr>
        <w:t>51</w:t>
      </w:r>
      <w:r w:rsidRPr="00D60576">
        <w:rPr>
          <w:rFonts w:cs="Times New Roman"/>
        </w:rPr>
        <w:t>).</w:t>
      </w:r>
    </w:p>
    <w:p w14:paraId="1DB4A2C4" w14:textId="77777777" w:rsidR="000975C6" w:rsidRPr="00D60576" w:rsidRDefault="000975C6" w:rsidP="000975C6">
      <w:pPr>
        <w:pStyle w:val="ParaNoNdepar-AltN"/>
        <w:rPr>
          <w:rFonts w:cs="Times New Roman"/>
        </w:rPr>
      </w:pPr>
      <w:r w:rsidRPr="00D60576">
        <w:rPr>
          <w:rFonts w:cs="Times New Roman"/>
        </w:rPr>
        <w:lastRenderedPageBreak/>
        <w:t xml:space="preserve">But the majority’s critique is unfounded, as the trial judge </w:t>
      </w:r>
      <w:r w:rsidRPr="00D60576">
        <w:rPr>
          <w:rFonts w:cs="Times New Roman"/>
          <w:i/>
        </w:rPr>
        <w:t xml:space="preserve">did </w:t>
      </w:r>
      <w:r w:rsidRPr="00D60576">
        <w:rPr>
          <w:rFonts w:cs="Times New Roman"/>
        </w:rPr>
        <w:t>consider the context in which police first interacted with Mr. Lafrance and its relevance to whether or not he was detained. The trial judge explained that the encounter began when police awoke Mr. Lafrance in the course of executing the search warrant, at para. 37:</w:t>
      </w:r>
    </w:p>
    <w:p w14:paraId="35D4F17A" w14:textId="77777777" w:rsidR="000975C6" w:rsidRPr="00D60576" w:rsidRDefault="000975C6" w:rsidP="000975C6">
      <w:pPr>
        <w:pStyle w:val="Citation-AltC"/>
        <w:ind w:firstLine="274"/>
      </w:pPr>
      <w:r>
        <w:t>Before encountering Sgt. </w:t>
      </w:r>
      <w:r w:rsidRPr="00D60576">
        <w:t>Eros, Mr.</w:t>
      </w:r>
      <w:r>
        <w:t> </w:t>
      </w:r>
      <w:r w:rsidRPr="00D60576">
        <w:t xml:space="preserve">Lafrance had been awakened by three police officers executing the search warrant. </w:t>
      </w:r>
      <w:r>
        <w:t>[Mr.] </w:t>
      </w:r>
      <w:r w:rsidRPr="00D60576">
        <w:t xml:space="preserve">Lafrance was told he could not remain in the home while the search warrant was being executed. This was standard police practice and applied to all residence occupants. Outside the residence </w:t>
      </w:r>
      <w:r>
        <w:t>[Mr.] </w:t>
      </w:r>
      <w:r w:rsidRPr="00D60576">
        <w:t>Lafrance, in the vicinity of police, retrieved his cat which had escaped from inside the residence. S</w:t>
      </w:r>
      <w:r>
        <w:t>ergeant </w:t>
      </w:r>
      <w:r w:rsidRPr="00D60576">
        <w:t xml:space="preserve">Eros approached </w:t>
      </w:r>
      <w:r>
        <w:t>[Mr.] </w:t>
      </w:r>
      <w:r w:rsidRPr="00D60576">
        <w:t xml:space="preserve">Lafrance in the garage area. After confirming </w:t>
      </w:r>
      <w:r>
        <w:t>[Mr.] </w:t>
      </w:r>
      <w:r w:rsidRPr="00D60576">
        <w:t>Lafrance’s identity they had a brief conversation conce</w:t>
      </w:r>
      <w:r>
        <w:t>rning the stabbing nearby. Sergeant </w:t>
      </w:r>
      <w:r w:rsidRPr="00D60576">
        <w:t xml:space="preserve">Eros told </w:t>
      </w:r>
      <w:r>
        <w:t>[Mr.] </w:t>
      </w:r>
      <w:r w:rsidRPr="00D60576">
        <w:t>Lafrance he wanted to speak with him about his involvement in an incident that had occurred down the road.</w:t>
      </w:r>
    </w:p>
    <w:p w14:paraId="4540989B" w14:textId="77777777" w:rsidR="000975C6" w:rsidRPr="00D60576" w:rsidRDefault="000975C6" w:rsidP="000975C6">
      <w:pPr>
        <w:pStyle w:val="ContinueParaSuitedupar-AltP"/>
        <w:rPr>
          <w:rFonts w:cs="Times New Roman"/>
        </w:rPr>
      </w:pPr>
      <w:r w:rsidRPr="00D60576">
        <w:rPr>
          <w:rFonts w:cs="Times New Roman"/>
        </w:rPr>
        <w:t>Indeed, the brief remarks of the trial judge on the initial encounter, read in context, indicate that the search warrant was executed professionally and disclosed no signs of unnecessary coercion. With respect, the majority’s assertion concerning “the overwhelming show of force in the intrusion into the home” (para. 51) plainly contradicts the trial judge’s assessment of the initial encounter.</w:t>
      </w:r>
    </w:p>
    <w:p w14:paraId="5A2B507E" w14:textId="77777777" w:rsidR="000975C6" w:rsidRPr="00D60576" w:rsidRDefault="000975C6" w:rsidP="000975C6">
      <w:pPr>
        <w:pStyle w:val="ParaNoNdepar-AltN"/>
        <w:rPr>
          <w:rFonts w:cs="Times New Roman"/>
        </w:rPr>
      </w:pPr>
      <w:r w:rsidRPr="00D60576">
        <w:rPr>
          <w:rFonts w:cs="Times New Roman"/>
        </w:rPr>
        <w:t>After verifying Mr. Lafrance’s identity, “S</w:t>
      </w:r>
      <w:r>
        <w:rPr>
          <w:rFonts w:cs="Times New Roman"/>
        </w:rPr>
        <w:t>ergeant</w:t>
      </w:r>
      <w:r w:rsidRPr="00D60576">
        <w:rPr>
          <w:rFonts w:cs="Times New Roman"/>
        </w:rPr>
        <w:t xml:space="preserve"> Eros testified he asked whether </w:t>
      </w:r>
      <w:r>
        <w:t>[Mr.] </w:t>
      </w:r>
      <w:r w:rsidRPr="00D60576">
        <w:rPr>
          <w:rFonts w:cs="Times New Roman"/>
        </w:rPr>
        <w:t>Lafrance would be willing to provide a voluntary statement. S</w:t>
      </w:r>
      <w:r>
        <w:rPr>
          <w:rFonts w:cs="Times New Roman"/>
        </w:rPr>
        <w:t>ergeant</w:t>
      </w:r>
      <w:r w:rsidRPr="00D60576">
        <w:rPr>
          <w:rFonts w:cs="Times New Roman"/>
        </w:rPr>
        <w:t xml:space="preserve"> Eros explained that </w:t>
      </w:r>
      <w:r>
        <w:t>[Mr.] </w:t>
      </w:r>
      <w:r w:rsidRPr="00D60576">
        <w:rPr>
          <w:rFonts w:cs="Times New Roman"/>
        </w:rPr>
        <w:t>Lafrance was free to leave, and that it was up to him to decide whether he would accompany Sgt. Eros or make a statement” (</w:t>
      </w:r>
      <w:r>
        <w:rPr>
          <w:rFonts w:cs="Times New Roman"/>
        </w:rPr>
        <w:t>trial reasons,</w:t>
      </w:r>
      <w:r w:rsidRPr="00D60576">
        <w:rPr>
          <w:rFonts w:cs="Times New Roman"/>
        </w:rPr>
        <w:t xml:space="preserve"> at para. 38). At that point, police were only “in the preliminary stages of an investigation into </w:t>
      </w:r>
      <w:r>
        <w:t>[Mr.] </w:t>
      </w:r>
      <w:r w:rsidRPr="00D60576">
        <w:rPr>
          <w:rFonts w:cs="Times New Roman"/>
        </w:rPr>
        <w:t>Yasinski’s homicide” (para. 78).</w:t>
      </w:r>
    </w:p>
    <w:p w14:paraId="4ABBD7FA" w14:textId="77777777" w:rsidR="000975C6" w:rsidRPr="00D60576" w:rsidRDefault="000975C6" w:rsidP="000975C6">
      <w:pPr>
        <w:pStyle w:val="ParaNoNdepar-AltN"/>
        <w:rPr>
          <w:rFonts w:cs="Times New Roman"/>
        </w:rPr>
      </w:pPr>
      <w:r w:rsidRPr="00D60576">
        <w:rPr>
          <w:rFonts w:cs="Times New Roman"/>
        </w:rPr>
        <w:lastRenderedPageBreak/>
        <w:t>We agree with the majority that a reasonable person in Mr. Lafrance’s position would feel singled out for investigation. However, “[f]ocussed suspicion, in and of itself, does not tu</w:t>
      </w:r>
      <w:r>
        <w:rPr>
          <w:rFonts w:cs="Times New Roman"/>
        </w:rPr>
        <w:t>rn the encounter into a detention</w:t>
      </w:r>
      <w:r w:rsidRPr="00D60576">
        <w:rPr>
          <w:rFonts w:cs="Times New Roman"/>
        </w:rPr>
        <w:t>” (</w:t>
      </w:r>
      <w:r w:rsidRPr="00D60576">
        <w:rPr>
          <w:rFonts w:cs="Times New Roman"/>
          <w:i/>
        </w:rPr>
        <w:t>Grant</w:t>
      </w:r>
      <w:r w:rsidRPr="00D60576">
        <w:rPr>
          <w:rFonts w:cs="Times New Roman"/>
        </w:rPr>
        <w:t xml:space="preserve">, at para. 41). The significance of this </w:t>
      </w:r>
      <w:r>
        <w:rPr>
          <w:rFonts w:cs="Times New Roman"/>
        </w:rPr>
        <w:t xml:space="preserve">consideration </w:t>
      </w:r>
      <w:r w:rsidRPr="00D60576">
        <w:rPr>
          <w:rFonts w:cs="Times New Roman"/>
        </w:rPr>
        <w:t>is diminished in these circumstances by statements by the police that Mr. Lafrance was free to leave — as did all the other occupants of the house.</w:t>
      </w:r>
    </w:p>
    <w:p w14:paraId="2359625F" w14:textId="77777777" w:rsidR="000975C6" w:rsidRPr="00D60576" w:rsidRDefault="000975C6" w:rsidP="000975C6">
      <w:pPr>
        <w:pStyle w:val="Title3LevelTitre3Niveau"/>
        <w:jc w:val="both"/>
        <w:rPr>
          <w:rFonts w:cs="Times New Roman"/>
        </w:rPr>
      </w:pPr>
      <w:r>
        <w:rPr>
          <w:rFonts w:cs="Times New Roman"/>
        </w:rPr>
        <w:t>Police C</w:t>
      </w:r>
      <w:r w:rsidRPr="00D60576">
        <w:rPr>
          <w:rFonts w:cs="Times New Roman"/>
        </w:rPr>
        <w:t>onduct</w:t>
      </w:r>
    </w:p>
    <w:p w14:paraId="371F941B" w14:textId="77777777" w:rsidR="000975C6" w:rsidRPr="00D60576" w:rsidRDefault="000975C6" w:rsidP="000975C6">
      <w:pPr>
        <w:pStyle w:val="ParaNoNdepar-AltN"/>
        <w:rPr>
          <w:rFonts w:cs="Times New Roman"/>
        </w:rPr>
      </w:pPr>
      <w:r w:rsidRPr="00D60576">
        <w:rPr>
          <w:rFonts w:cs="Times New Roman"/>
        </w:rPr>
        <w:t>Key to our conclusion on detention are the police statements on several occasions that Mr. Lafrance was under no obligation to cooperate, and he was free to leave at any time. The passages highlighted by the majority bear repeating: “you don’t have to provide me a statement . . . that it would be completely voluntary on your point”, “you don’t hafta sit here and speak with me today”, “you are at any time Nigel free to leave”, “we (unintelligible) responsibility to ensure that you’re aware of </w:t>
      </w:r>
      <w:r>
        <w:rPr>
          <w:rFonts w:cs="Times New Roman"/>
        </w:rPr>
        <w:t>–</w:t>
      </w:r>
      <w:r w:rsidRPr="00D60576">
        <w:rPr>
          <w:rFonts w:cs="Times New Roman"/>
        </w:rPr>
        <w:t> of your rights and . . . and like I said that</w:t>
      </w:r>
      <w:r>
        <w:rPr>
          <w:rFonts w:cs="Times New Roman"/>
        </w:rPr>
        <w:t> –</w:t>
      </w:r>
      <w:r w:rsidRPr="00D60576">
        <w:rPr>
          <w:rFonts w:cs="Times New Roman"/>
        </w:rPr>
        <w:t> that includes the ability to</w:t>
      </w:r>
      <w:r>
        <w:rPr>
          <w:rFonts w:cs="Times New Roman"/>
        </w:rPr>
        <w:t xml:space="preserve"> leave whenever you want to”, “[v]</w:t>
      </w:r>
      <w:r w:rsidRPr="00D60576">
        <w:rPr>
          <w:rFonts w:cs="Times New Roman"/>
        </w:rPr>
        <w:t>oluntary that you don’t have to sit here and speak with me”, “you say you’re willing to talk now . . . right in half an hour, 20 minutes</w:t>
      </w:r>
      <w:r w:rsidRPr="00D60576">
        <w:rPr>
          <w:rFonts w:cs="Times New Roman"/>
          <w:lang w:val="en-US"/>
        </w:rPr>
        <w:t>, two hours you’re </w:t>
      </w:r>
      <w:r>
        <w:rPr>
          <w:rFonts w:cs="Times New Roman"/>
          <w:lang w:val="en-US"/>
        </w:rPr>
        <w:t>–</w:t>
      </w:r>
      <w:r w:rsidRPr="00D60576">
        <w:rPr>
          <w:rFonts w:cs="Times New Roman"/>
        </w:rPr>
        <w:t> </w:t>
      </w:r>
      <w:r w:rsidRPr="00D60576">
        <w:rPr>
          <w:rFonts w:cs="Times New Roman"/>
          <w:lang w:val="en-US"/>
        </w:rPr>
        <w:t>you decide that </w:t>
      </w:r>
      <w:r>
        <w:rPr>
          <w:rFonts w:cs="Times New Roman"/>
          <w:lang w:val="en-US"/>
        </w:rPr>
        <w:t>–</w:t>
      </w:r>
      <w:r w:rsidRPr="00D60576">
        <w:rPr>
          <w:rFonts w:cs="Times New Roman"/>
        </w:rPr>
        <w:t> </w:t>
      </w:r>
      <w:r w:rsidRPr="00D60576">
        <w:rPr>
          <w:rFonts w:cs="Times New Roman"/>
          <w:lang w:val="en-US"/>
        </w:rPr>
        <w:t>that you no longer wanta speak with me . . . Um you just have to let me know . . . Okay and at that point in time, we’ll stop and we’ll move on</w:t>
      </w:r>
      <w:r w:rsidRPr="00D60576">
        <w:rPr>
          <w:rFonts w:cs="Times New Roman"/>
        </w:rPr>
        <w:t>”, and “some people think well now that I’ve agreed to it . . . I’m stuck here right . . . And </w:t>
      </w:r>
      <w:r>
        <w:rPr>
          <w:rFonts w:cs="Times New Roman"/>
        </w:rPr>
        <w:t>–</w:t>
      </w:r>
      <w:r w:rsidRPr="00D60576">
        <w:rPr>
          <w:rFonts w:cs="Times New Roman"/>
        </w:rPr>
        <w:t> that’s absolutely not the case” (</w:t>
      </w:r>
      <w:r>
        <w:rPr>
          <w:rFonts w:cs="Times New Roman"/>
        </w:rPr>
        <w:t xml:space="preserve">fn. 3, quoting </w:t>
      </w:r>
      <w:r w:rsidRPr="00D60576">
        <w:rPr>
          <w:rFonts w:cs="Times New Roman"/>
        </w:rPr>
        <w:t>A.R., vol. IV, at pp. 56, 64</w:t>
      </w:r>
      <w:r>
        <w:rPr>
          <w:rFonts w:cs="Times New Roman"/>
        </w:rPr>
        <w:t xml:space="preserve"> and 72-</w:t>
      </w:r>
      <w:r w:rsidRPr="00D60576">
        <w:rPr>
          <w:rFonts w:cs="Times New Roman"/>
        </w:rPr>
        <w:t>74).</w:t>
      </w:r>
    </w:p>
    <w:p w14:paraId="51818F1F" w14:textId="77777777" w:rsidR="000975C6" w:rsidRPr="00D60576" w:rsidRDefault="000975C6" w:rsidP="000975C6">
      <w:pPr>
        <w:pStyle w:val="ParaNoNdepar-AltN"/>
        <w:rPr>
          <w:rFonts w:cs="Times New Roman"/>
        </w:rPr>
      </w:pPr>
      <w:r w:rsidRPr="00D60576">
        <w:rPr>
          <w:rFonts w:cs="Times New Roman"/>
        </w:rPr>
        <w:lastRenderedPageBreak/>
        <w:t>The question, in our view, is whether police by their conduct undermined their statements. The record demonstrates that they did not.</w:t>
      </w:r>
    </w:p>
    <w:p w14:paraId="725C84C1" w14:textId="77777777" w:rsidR="000975C6" w:rsidRPr="00D60576" w:rsidRDefault="000975C6" w:rsidP="000975C6">
      <w:pPr>
        <w:pStyle w:val="Title4LevelTitre4Niveau"/>
        <w:tabs>
          <w:tab w:val="clear" w:pos="900"/>
        </w:tabs>
        <w:jc w:val="both"/>
        <w:rPr>
          <w:rFonts w:cs="Times New Roman"/>
          <w:u w:val="single"/>
        </w:rPr>
      </w:pPr>
      <w:r>
        <w:rPr>
          <w:rFonts w:cs="Times New Roman"/>
        </w:rPr>
        <w:t>Actions and L</w:t>
      </w:r>
      <w:r w:rsidRPr="00D60576">
        <w:rPr>
          <w:rFonts w:cs="Times New Roman"/>
        </w:rPr>
        <w:t xml:space="preserve">anguage of </w:t>
      </w:r>
      <w:r>
        <w:rPr>
          <w:rFonts w:cs="Times New Roman"/>
        </w:rPr>
        <w:t>P</w:t>
      </w:r>
      <w:r w:rsidRPr="00D60576">
        <w:rPr>
          <w:rFonts w:cs="Times New Roman"/>
        </w:rPr>
        <w:t>olice</w:t>
      </w:r>
    </w:p>
    <w:p w14:paraId="625DE0EA" w14:textId="77777777" w:rsidR="000975C6" w:rsidRPr="00D60576" w:rsidRDefault="000975C6" w:rsidP="000975C6">
      <w:pPr>
        <w:pStyle w:val="ParaNoNdepar-AltN"/>
        <w:rPr>
          <w:rFonts w:cs="Times New Roman"/>
        </w:rPr>
      </w:pPr>
      <w:r w:rsidRPr="00D60576">
        <w:rPr>
          <w:rFonts w:cs="Times New Roman"/>
        </w:rPr>
        <w:t xml:space="preserve">Conspicuously absent from the majority’s list of factors relating to police actions and language (at para. 40) is the evidence as to how police actually interacted with Mr. Lafrance. The record demonstrates that Sgt. Eros did not pressure Mr. Lafrance to come to the police station. Not only did Sgt. Eros specify that coming to the station was “completely voluntary”, but he also mentioned that the interview did not need to take place that day. Indeed, Sgt. Eros asked Mr. Lafrance whether he had to go to work or to “any appointments or anything like that”, stressing that he did not “wanna hold [Mr. Lafrance] up from anything” (A.R., vol. IV, </w:t>
      </w:r>
      <w:r>
        <w:rPr>
          <w:rFonts w:cs="Times New Roman"/>
        </w:rPr>
        <w:t xml:space="preserve">at </w:t>
      </w:r>
      <w:r w:rsidRPr="00D60576">
        <w:rPr>
          <w:rFonts w:cs="Times New Roman"/>
        </w:rPr>
        <w:t>p. 57). S</w:t>
      </w:r>
      <w:r>
        <w:rPr>
          <w:rFonts w:cs="Times New Roman"/>
        </w:rPr>
        <w:t>ergeant</w:t>
      </w:r>
      <w:r w:rsidRPr="00D60576">
        <w:rPr>
          <w:rFonts w:cs="Times New Roman"/>
        </w:rPr>
        <w:t> Eros’ approach preserved Mr. Lafrance’s freedom of choice.</w:t>
      </w:r>
    </w:p>
    <w:p w14:paraId="468A5423" w14:textId="77777777" w:rsidR="000975C6" w:rsidRPr="00D60576" w:rsidRDefault="000975C6" w:rsidP="000975C6">
      <w:pPr>
        <w:pStyle w:val="ParaNoNdepar-AltN"/>
        <w:rPr>
          <w:rFonts w:cs="Times New Roman"/>
        </w:rPr>
      </w:pPr>
      <w:r w:rsidRPr="00D60576">
        <w:rPr>
          <w:rFonts w:cs="Times New Roman"/>
        </w:rPr>
        <w:t>In his own words, Mr. La</w:t>
      </w:r>
      <w:r>
        <w:rPr>
          <w:rFonts w:cs="Times New Roman"/>
        </w:rPr>
        <w:t>f</w:t>
      </w:r>
      <w:r w:rsidRPr="00D60576">
        <w:rPr>
          <w:rFonts w:cs="Times New Roman"/>
        </w:rPr>
        <w:t xml:space="preserve">rance “had no problems with how anybody treated [him] that day” because police treated him “respectfully and politely” at every stage of the interaction; “everything went smooth” (A.R., vol. III, </w:t>
      </w:r>
      <w:r>
        <w:rPr>
          <w:rFonts w:cs="Times New Roman"/>
        </w:rPr>
        <w:t xml:space="preserve">at </w:t>
      </w:r>
      <w:r w:rsidRPr="00D60576">
        <w:rPr>
          <w:rFonts w:cs="Times New Roman"/>
        </w:rPr>
        <w:t>pp. 220</w:t>
      </w:r>
      <w:r w:rsidRPr="00D60576">
        <w:rPr>
          <w:rFonts w:cs="Times New Roman"/>
        </w:rPr>
        <w:noBreakHyphen/>
        <w:t xml:space="preserve">21). Thus, the trial judge found that Mr. Lafrance “was comfortable with what occurred that day” (para. 56). Police did not undermine their various statements that he was free to leave, either before or after the interview. In fact, in </w:t>
      </w:r>
      <w:r>
        <w:rPr>
          <w:rFonts w:cs="Times New Roman"/>
        </w:rPr>
        <w:t xml:space="preserve">relation to </w:t>
      </w:r>
      <w:r w:rsidRPr="00D60576">
        <w:rPr>
          <w:rFonts w:cs="Times New Roman"/>
        </w:rPr>
        <w:t>the collection of physical evidence subsequent to the interview, the trial judge noted that “</w:t>
      </w:r>
      <w:r>
        <w:rPr>
          <w:rFonts w:cs="Times New Roman"/>
        </w:rPr>
        <w:t>[Mr.] </w:t>
      </w:r>
      <w:r w:rsidRPr="00D60576">
        <w:rPr>
          <w:rFonts w:cs="Times New Roman"/>
        </w:rPr>
        <w:t>Lafrance and Sgt. Eros continue</w:t>
      </w:r>
      <w:r>
        <w:rPr>
          <w:rFonts w:cs="Times New Roman"/>
        </w:rPr>
        <w:t>[d]</w:t>
      </w:r>
      <w:r w:rsidRPr="00D60576">
        <w:rPr>
          <w:rFonts w:cs="Times New Roman"/>
        </w:rPr>
        <w:t xml:space="preserve"> their banter” (para. 58).</w:t>
      </w:r>
    </w:p>
    <w:p w14:paraId="43CAA878" w14:textId="77777777" w:rsidR="000975C6" w:rsidRPr="00D60576" w:rsidRDefault="000975C6" w:rsidP="000975C6">
      <w:pPr>
        <w:pStyle w:val="ParaNoNdepar-AltN"/>
        <w:rPr>
          <w:rFonts w:cs="Times New Roman"/>
        </w:rPr>
      </w:pPr>
      <w:r w:rsidRPr="00D60576">
        <w:rPr>
          <w:rFonts w:cs="Times New Roman"/>
        </w:rPr>
        <w:lastRenderedPageBreak/>
        <w:t>In such circumstances, we do not find any reviewable error in the trial judge’s decision. With respect, a careful and deferential review of the record requires a rejection of the factors that — according to the majority — “</w:t>
      </w:r>
      <w:r>
        <w:rPr>
          <w:rFonts w:cs="Times New Roman"/>
        </w:rPr>
        <w:t>outweig[</w:t>
      </w:r>
      <w:r w:rsidRPr="00D60576">
        <w:rPr>
          <w:rFonts w:cs="Times New Roman"/>
        </w:rPr>
        <w:t>h</w:t>
      </w:r>
      <w:r>
        <w:rPr>
          <w:rFonts w:cs="Times New Roman"/>
        </w:rPr>
        <w:t>]</w:t>
      </w:r>
      <w:r w:rsidRPr="00D60576">
        <w:rPr>
          <w:rFonts w:cs="Times New Roman"/>
        </w:rPr>
        <w:t>” the police statements that Mr. Lafrance was free to go (para. 40). To further demonstrate why, we will address the conduct of the police in greater detail.</w:t>
      </w:r>
    </w:p>
    <w:p w14:paraId="50ADD0B2" w14:textId="77777777" w:rsidR="000975C6" w:rsidRPr="00D60576" w:rsidRDefault="000975C6" w:rsidP="000975C6">
      <w:pPr>
        <w:pStyle w:val="Title5LevelTitre5Niveau"/>
        <w:tabs>
          <w:tab w:val="clear" w:pos="1440"/>
          <w:tab w:val="num" w:pos="1728"/>
        </w:tabs>
        <w:ind w:left="1134" w:hanging="578"/>
        <w:jc w:val="both"/>
        <w:rPr>
          <w:rFonts w:cs="Times New Roman"/>
        </w:rPr>
      </w:pPr>
      <w:r>
        <w:rPr>
          <w:rFonts w:cs="Times New Roman"/>
        </w:rPr>
        <w:t>Execution of the Search W</w:t>
      </w:r>
      <w:r w:rsidRPr="00D60576">
        <w:rPr>
          <w:rFonts w:cs="Times New Roman"/>
        </w:rPr>
        <w:t>arrant</w:t>
      </w:r>
    </w:p>
    <w:p w14:paraId="372C12FB" w14:textId="77777777" w:rsidR="000975C6" w:rsidRPr="00D60576" w:rsidRDefault="000975C6" w:rsidP="000975C6">
      <w:pPr>
        <w:pStyle w:val="ParaNoNdepar-AltN"/>
        <w:rPr>
          <w:rFonts w:cs="Times New Roman"/>
        </w:rPr>
      </w:pPr>
      <w:r w:rsidRPr="00D60576">
        <w:rPr>
          <w:rFonts w:cs="Times New Roman"/>
        </w:rPr>
        <w:t xml:space="preserve">Apart from the instructions by police relating to the execution of the search warrant — which were authorized by law — there is no evidence of any “conduct [giving] rise to an impression of control” </w:t>
      </w:r>
      <w:r>
        <w:rPr>
          <w:rFonts w:cs="Times New Roman"/>
        </w:rPr>
        <w:t>(</w:t>
      </w:r>
      <w:r w:rsidRPr="00D60576">
        <w:rPr>
          <w:rFonts w:cs="Times New Roman"/>
          <w:i/>
        </w:rPr>
        <w:t>Grant</w:t>
      </w:r>
      <w:r w:rsidRPr="00D60576">
        <w:rPr>
          <w:rFonts w:cs="Times New Roman"/>
        </w:rPr>
        <w:t>, at para. 51</w:t>
      </w:r>
      <w:r>
        <w:rPr>
          <w:rFonts w:cs="Times New Roman"/>
        </w:rPr>
        <w:t>)</w:t>
      </w:r>
      <w:r w:rsidRPr="00D60576">
        <w:rPr>
          <w:rFonts w:cs="Times New Roman"/>
        </w:rPr>
        <w:t>. We acknowledge that police exercised control over the home, thereby ordering all its occupants — including Mr. Lafrance — to leave their residence under supervision. But it does not follow from this that Mr. Lafrance was psychologically detained.</w:t>
      </w:r>
    </w:p>
    <w:p w14:paraId="30E10A9D" w14:textId="77777777" w:rsidR="000975C6" w:rsidRPr="00D60576" w:rsidRDefault="000975C6" w:rsidP="000975C6">
      <w:pPr>
        <w:pStyle w:val="ParaNoNdepar-AltN"/>
        <w:rPr>
          <w:rFonts w:cs="Times New Roman"/>
        </w:rPr>
      </w:pPr>
      <w:r w:rsidRPr="00D60576">
        <w:rPr>
          <w:rFonts w:cs="Times New Roman"/>
        </w:rPr>
        <w:t xml:space="preserve">In our view, it is appropriate to distinguish between control over the home and control over the person. However, the majority collapses the distinction between the two. This is particularly manifest in its conclusion, which refers only to police actions necessary and proper for </w:t>
      </w:r>
      <w:r w:rsidRPr="00D60576">
        <w:rPr>
          <w:rFonts w:cs="Times New Roman"/>
          <w:i/>
        </w:rPr>
        <w:t>the execution of the search warrant</w:t>
      </w:r>
      <w:r w:rsidRPr="00D60576">
        <w:rPr>
          <w:rFonts w:cs="Times New Roman"/>
        </w:rPr>
        <w:t>: “</w:t>
      </w:r>
      <w:r w:rsidRPr="00D60576">
        <w:rPr>
          <w:rFonts w:cs="Times New Roman"/>
          <w:u w:val="single"/>
        </w:rPr>
        <w:t>Given the overwhelming force in which a team of police officers arrived at Mr. Lafrance’s home, ordered him to get dressed and leave his home, and monitored his every movement</w:t>
      </w:r>
      <w:r w:rsidRPr="00D60576">
        <w:rPr>
          <w:rFonts w:cs="Times New Roman"/>
        </w:rPr>
        <w:t xml:space="preserve">, the officers should have recognized that a reasonable person in Mr. Lafrance’s shoes would feel obliged to comply with their demands and would conclude that he or she was not free to go” (para. 64 </w:t>
      </w:r>
      <w:r>
        <w:rPr>
          <w:rFonts w:cs="Times New Roman"/>
        </w:rPr>
        <w:t>(emphasis added)</w:t>
      </w:r>
      <w:r w:rsidRPr="00D60576">
        <w:rPr>
          <w:rFonts w:cs="Times New Roman"/>
        </w:rPr>
        <w:t>).</w:t>
      </w:r>
    </w:p>
    <w:p w14:paraId="4461044C" w14:textId="77777777" w:rsidR="000975C6" w:rsidRPr="00D60576" w:rsidRDefault="000975C6" w:rsidP="000975C6">
      <w:pPr>
        <w:pStyle w:val="ParaNoNdepar-AltN"/>
        <w:rPr>
          <w:rFonts w:cs="Times New Roman"/>
        </w:rPr>
      </w:pPr>
      <w:r w:rsidRPr="00D60576">
        <w:rPr>
          <w:rFonts w:cs="Times New Roman"/>
        </w:rPr>
        <w:lastRenderedPageBreak/>
        <w:t xml:space="preserve">It is uncontroversial that Mr. Lafrance had to comply with these demands </w:t>
      </w:r>
      <w:r w:rsidRPr="00D60576">
        <w:rPr>
          <w:rFonts w:cs="Times New Roman"/>
          <w:i/>
        </w:rPr>
        <w:t>because they pertained to the proper execution of the search warrant</w:t>
      </w:r>
      <w:r w:rsidRPr="00D60576">
        <w:rPr>
          <w:rFonts w:cs="Times New Roman"/>
        </w:rPr>
        <w:t xml:space="preserve">. Indeed, all the occupants of the residence were subject to such orders, as the trial judge duly noted (para. 37). Police monitoring of the residents </w:t>
      </w:r>
      <w:r w:rsidRPr="00D60576">
        <w:rPr>
          <w:rFonts w:cs="Times New Roman"/>
          <w:i/>
        </w:rPr>
        <w:t xml:space="preserve">inside </w:t>
      </w:r>
      <w:r w:rsidRPr="00D60576">
        <w:rPr>
          <w:rFonts w:cs="Times New Roman"/>
        </w:rPr>
        <w:t>the home was also closely related to the integrity of their search, rather than specific to Mr. Lafrance.</w:t>
      </w:r>
    </w:p>
    <w:p w14:paraId="58EEBA97" w14:textId="77777777" w:rsidR="000975C6" w:rsidRPr="00D60576" w:rsidRDefault="000975C6" w:rsidP="000975C6">
      <w:pPr>
        <w:pStyle w:val="ParaNoNdepar-AltN"/>
        <w:rPr>
          <w:rFonts w:cs="Times New Roman"/>
        </w:rPr>
      </w:pPr>
      <w:r w:rsidRPr="00D60576">
        <w:rPr>
          <w:rFonts w:cs="Times New Roman"/>
        </w:rPr>
        <w:t xml:space="preserve">The majority’s remark that Mr. Lafrance’s every movement was monitored </w:t>
      </w:r>
      <w:r w:rsidRPr="00D60576">
        <w:rPr>
          <w:rFonts w:cs="Times New Roman"/>
          <w:i/>
        </w:rPr>
        <w:t>outside</w:t>
      </w:r>
      <w:r w:rsidRPr="00D60576">
        <w:rPr>
          <w:rFonts w:cs="Times New Roman"/>
        </w:rPr>
        <w:t xml:space="preserve"> the home (see paras. </w:t>
      </w:r>
      <w:r>
        <w:rPr>
          <w:rFonts w:cs="Times New Roman"/>
        </w:rPr>
        <w:t>8, 31, 43, 47 and</w:t>
      </w:r>
      <w:r w:rsidRPr="00D60576">
        <w:rPr>
          <w:rFonts w:cs="Times New Roman"/>
        </w:rPr>
        <w:t xml:space="preserve"> 6</w:t>
      </w:r>
      <w:r>
        <w:rPr>
          <w:rFonts w:cs="Times New Roman"/>
        </w:rPr>
        <w:t>3-64</w:t>
      </w:r>
      <w:r w:rsidRPr="00D60576">
        <w:rPr>
          <w:rFonts w:cs="Times New Roman"/>
        </w:rPr>
        <w:t>) attests to its lack of deference to the trial judge’s findings of fact. The only basis in the record for this conclusion is Mr. Lafrance’s claim that police “chaperoned” him while he was attempting to retrieve his cat (</w:t>
      </w:r>
      <w:r>
        <w:rPr>
          <w:rFonts w:cs="Times New Roman"/>
        </w:rPr>
        <w:t>R.</w:t>
      </w:r>
      <w:r w:rsidRPr="00D60576">
        <w:rPr>
          <w:rFonts w:cs="Times New Roman"/>
        </w:rPr>
        <w:t xml:space="preserve">F, </w:t>
      </w:r>
      <w:r>
        <w:rPr>
          <w:rFonts w:cs="Times New Roman"/>
        </w:rPr>
        <w:t xml:space="preserve">at </w:t>
      </w:r>
      <w:r w:rsidRPr="00D60576">
        <w:rPr>
          <w:rFonts w:cs="Times New Roman"/>
        </w:rPr>
        <w:t>para</w:t>
      </w:r>
      <w:r>
        <w:rPr>
          <w:rFonts w:cs="Times New Roman"/>
        </w:rPr>
        <w:t>s</w:t>
      </w:r>
      <w:r w:rsidRPr="00D60576">
        <w:rPr>
          <w:rFonts w:cs="Times New Roman"/>
        </w:rPr>
        <w:t>. </w:t>
      </w:r>
      <w:r>
        <w:rPr>
          <w:rFonts w:cs="Times New Roman"/>
        </w:rPr>
        <w:t xml:space="preserve">7 and </w:t>
      </w:r>
      <w:r w:rsidRPr="00D60576">
        <w:rPr>
          <w:rFonts w:cs="Times New Roman"/>
        </w:rPr>
        <w:t xml:space="preserve">32; A.R., vol. III, </w:t>
      </w:r>
      <w:r>
        <w:rPr>
          <w:rFonts w:cs="Times New Roman"/>
        </w:rPr>
        <w:t xml:space="preserve">at </w:t>
      </w:r>
      <w:r w:rsidRPr="00D60576">
        <w:rPr>
          <w:rFonts w:cs="Times New Roman"/>
        </w:rPr>
        <w:t>pp. 91</w:t>
      </w:r>
      <w:r w:rsidRPr="00D60576">
        <w:rPr>
          <w:rFonts w:cs="Times New Roman"/>
        </w:rPr>
        <w:noBreakHyphen/>
      </w:r>
      <w:r>
        <w:rPr>
          <w:rFonts w:cs="Times New Roman"/>
        </w:rPr>
        <w:t>93</w:t>
      </w:r>
      <w:r w:rsidRPr="00D60576">
        <w:rPr>
          <w:rFonts w:cs="Times New Roman"/>
        </w:rPr>
        <w:t>). The trial judge, we stress, expressed “insurmountable concerns about the credibility of [Mr.] Lafrance’s evidence” (para. 34). The trial judge found Mr. Lafrance to be generally “dishonest”, highlighting several “implausible” and “unreasonable and self</w:t>
      </w:r>
      <w:r w:rsidRPr="00D60576">
        <w:rPr>
          <w:rFonts w:cs="Times New Roman"/>
        </w:rPr>
        <w:noBreakHyphen/>
        <w:t>serving” statements from his testimony (paras. 28, 31</w:t>
      </w:r>
      <w:r>
        <w:rPr>
          <w:rFonts w:cs="Times New Roman"/>
        </w:rPr>
        <w:t xml:space="preserve"> and</w:t>
      </w:r>
      <w:r w:rsidRPr="00D60576">
        <w:rPr>
          <w:rFonts w:cs="Times New Roman"/>
        </w:rPr>
        <w:t xml:space="preserve"> 34). More specifically, Mr. Lafrance’s testimony was rejected “where it </w:t>
      </w:r>
      <w:r>
        <w:rPr>
          <w:rFonts w:cs="Times New Roman"/>
        </w:rPr>
        <w:t>[was]</w:t>
      </w:r>
      <w:r w:rsidRPr="00D60576">
        <w:rPr>
          <w:rFonts w:cs="Times New Roman"/>
        </w:rPr>
        <w:t xml:space="preserve"> not consistent with that of police officers” (para. 34).</w:t>
      </w:r>
    </w:p>
    <w:p w14:paraId="59790AAC" w14:textId="77777777" w:rsidR="000975C6" w:rsidRPr="00D60576" w:rsidRDefault="000975C6" w:rsidP="000975C6">
      <w:pPr>
        <w:pStyle w:val="ParaNoNdepar-AltN"/>
        <w:rPr>
          <w:rFonts w:cs="Times New Roman"/>
        </w:rPr>
      </w:pPr>
      <w:r w:rsidRPr="00D60576">
        <w:rPr>
          <w:rFonts w:cs="Times New Roman"/>
        </w:rPr>
        <w:t>By contrast, Sgt. Eros — a “credible and reliable witness” whose testimony the trial judge found to be “honest and accurate” (</w:t>
      </w:r>
      <w:r>
        <w:rPr>
          <w:rFonts w:cs="Times New Roman"/>
        </w:rPr>
        <w:t>paras. 19 and</w:t>
      </w:r>
      <w:r w:rsidRPr="00D60576">
        <w:rPr>
          <w:rFonts w:cs="Times New Roman"/>
        </w:rPr>
        <w:t xml:space="preserve"> 24) — said that “the officers that were outside at that time were </w:t>
      </w:r>
      <w:r w:rsidRPr="00D60576">
        <w:rPr>
          <w:rFonts w:cs="Times New Roman"/>
          <w:u w:val="single"/>
        </w:rPr>
        <w:t>assisting [Mr. Lafrance] to try to locate the cat</w:t>
      </w:r>
      <w:r w:rsidRPr="00D60576">
        <w:rPr>
          <w:rFonts w:cs="Times New Roman"/>
        </w:rPr>
        <w:t xml:space="preserve">” (A.R., vol. II, </w:t>
      </w:r>
      <w:r>
        <w:rPr>
          <w:rFonts w:cs="Times New Roman"/>
        </w:rPr>
        <w:t xml:space="preserve">at </w:t>
      </w:r>
      <w:r w:rsidRPr="00D60576">
        <w:rPr>
          <w:rFonts w:cs="Times New Roman"/>
        </w:rPr>
        <w:t>p. 103</w:t>
      </w:r>
      <w:r>
        <w:rPr>
          <w:rFonts w:cs="Times New Roman"/>
        </w:rPr>
        <w:t xml:space="preserve"> (emphasis added)</w:t>
      </w:r>
      <w:r w:rsidRPr="00D60576">
        <w:rPr>
          <w:rFonts w:cs="Times New Roman"/>
        </w:rPr>
        <w:t xml:space="preserve">). Furthermore, Sgt. Eros could not recall seeing officers in the immediate proximity of </w:t>
      </w:r>
      <w:r>
        <w:rPr>
          <w:rFonts w:cs="Times New Roman"/>
        </w:rPr>
        <w:t>Mr. Lafrance</w:t>
      </w:r>
      <w:r w:rsidRPr="00D60576">
        <w:rPr>
          <w:rFonts w:cs="Times New Roman"/>
        </w:rPr>
        <w:t xml:space="preserve"> while he was trying to get the cat (</w:t>
      </w:r>
      <w:r>
        <w:rPr>
          <w:rFonts w:cs="Times New Roman"/>
        </w:rPr>
        <w:t>at</w:t>
      </w:r>
      <w:r w:rsidRPr="00D60576">
        <w:rPr>
          <w:rFonts w:cs="Times New Roman"/>
        </w:rPr>
        <w:t xml:space="preserve"> p. 103), but simply noted that “[h]e would have been in sight of police officers” (p. 9</w:t>
      </w:r>
      <w:r>
        <w:rPr>
          <w:rFonts w:cs="Times New Roman"/>
        </w:rPr>
        <w:t>3</w:t>
      </w:r>
      <w:r w:rsidRPr="00D60576">
        <w:rPr>
          <w:rFonts w:cs="Times New Roman"/>
        </w:rPr>
        <w:t>). S</w:t>
      </w:r>
      <w:r>
        <w:rPr>
          <w:rFonts w:cs="Times New Roman"/>
        </w:rPr>
        <w:t>ergeant</w:t>
      </w:r>
      <w:r w:rsidRPr="00D60576">
        <w:rPr>
          <w:rFonts w:cs="Times New Roman"/>
        </w:rPr>
        <w:t xml:space="preserve"> Eros’ testimony is reflected in the trial judge’s </w:t>
      </w:r>
      <w:r w:rsidRPr="00D60576">
        <w:rPr>
          <w:rFonts w:cs="Times New Roman"/>
        </w:rPr>
        <w:lastRenderedPageBreak/>
        <w:t>findings that police were merely “in the vicinity” of Mr. Lafrance at the time (</w:t>
      </w:r>
      <w:r>
        <w:rPr>
          <w:rFonts w:cs="Times New Roman"/>
        </w:rPr>
        <w:t xml:space="preserve">at </w:t>
      </w:r>
      <w:r w:rsidRPr="00D60576">
        <w:rPr>
          <w:rFonts w:cs="Times New Roman"/>
        </w:rPr>
        <w:t>para. 37) and that he “was not being told to stay with police; he was simply instructed to leave the residence” (para. 43). These findings by the trial judge do not support a conclusion that Mr. Lafrance was subject to psychological detention.</w:t>
      </w:r>
    </w:p>
    <w:p w14:paraId="139B3DD5" w14:textId="77777777" w:rsidR="000975C6" w:rsidRPr="00D60576" w:rsidRDefault="000975C6" w:rsidP="000975C6">
      <w:pPr>
        <w:pStyle w:val="Title5LevelTitre5Niveau"/>
        <w:tabs>
          <w:tab w:val="clear" w:pos="1440"/>
          <w:tab w:val="num" w:pos="1728"/>
        </w:tabs>
        <w:ind w:left="1134" w:hanging="578"/>
        <w:jc w:val="both"/>
        <w:rPr>
          <w:rFonts w:cs="Times New Roman"/>
        </w:rPr>
      </w:pPr>
      <w:r>
        <w:rPr>
          <w:rFonts w:cs="Times New Roman"/>
        </w:rPr>
        <w:t>Ride to the Police S</w:t>
      </w:r>
      <w:r w:rsidRPr="00D60576">
        <w:rPr>
          <w:rFonts w:cs="Times New Roman"/>
        </w:rPr>
        <w:t>tation</w:t>
      </w:r>
    </w:p>
    <w:p w14:paraId="459FC395" w14:textId="77777777" w:rsidR="000975C6" w:rsidRPr="00D60576" w:rsidRDefault="000975C6" w:rsidP="000975C6">
      <w:pPr>
        <w:pStyle w:val="ParaNoNdepar-AltN"/>
        <w:rPr>
          <w:rFonts w:cs="Times New Roman"/>
        </w:rPr>
      </w:pPr>
      <w:r w:rsidRPr="00D60576">
        <w:rPr>
          <w:rFonts w:cs="Times New Roman"/>
        </w:rPr>
        <w:t>The initial interaction at Mr. Lafrance’s residence was followed by a 20</w:t>
      </w:r>
      <w:r w:rsidRPr="00D60576">
        <w:rPr>
          <w:rFonts w:cs="Times New Roman"/>
        </w:rPr>
        <w:noBreakHyphen/>
        <w:t>minute ride to the police station in an unmarked police vehicle. We disagree with the majority’s assertion that this militates in favour of detention; in doing so</w:t>
      </w:r>
      <w:r>
        <w:rPr>
          <w:rFonts w:cs="Times New Roman"/>
        </w:rPr>
        <w:t>,</w:t>
      </w:r>
      <w:r w:rsidRPr="00D60576">
        <w:rPr>
          <w:rFonts w:cs="Times New Roman"/>
        </w:rPr>
        <w:t xml:space="preserve"> we are mindful of police conduct relating to the ride and the fact that Mr. Lafrance </w:t>
      </w:r>
      <w:r w:rsidRPr="00D60576">
        <w:rPr>
          <w:rFonts w:cs="Times New Roman"/>
          <w:i/>
        </w:rPr>
        <w:t xml:space="preserve">chose </w:t>
      </w:r>
      <w:r w:rsidRPr="00D60576">
        <w:rPr>
          <w:rFonts w:cs="Times New Roman"/>
        </w:rPr>
        <w:t>this option.</w:t>
      </w:r>
    </w:p>
    <w:p w14:paraId="1D1F159B" w14:textId="77777777" w:rsidR="000975C6" w:rsidRPr="00D60576" w:rsidRDefault="000975C6" w:rsidP="000975C6">
      <w:pPr>
        <w:pStyle w:val="ParaNoNdepar-AltN"/>
        <w:rPr>
          <w:rFonts w:cs="Times New Roman"/>
        </w:rPr>
      </w:pPr>
      <w:r w:rsidRPr="00D60576">
        <w:rPr>
          <w:rFonts w:cs="Times New Roman"/>
        </w:rPr>
        <w:t>The majority states that “[t]he only practical means available to Mr. La</w:t>
      </w:r>
      <w:r>
        <w:rPr>
          <w:rFonts w:cs="Times New Roman"/>
        </w:rPr>
        <w:t>f</w:t>
      </w:r>
      <w:r w:rsidRPr="00D60576">
        <w:rPr>
          <w:rFonts w:cs="Times New Roman"/>
        </w:rPr>
        <w:t xml:space="preserve">rance for getting to the police station was for him to be driven, which he was in an unmarked police vehicle accompanied by two police officers” (para. 40). Yet, this contradicts the trial judge’s factual findings. The trial judge found that “[Mr.] Lafrance agreed he had transportation ‘options of people who had vehicles at home’” (para. 39), based on his statement in cross-examination. The other occupants of the residence present at the time — Mr. Lafrance’s girlfriend and his father as well as </w:t>
      </w:r>
      <w:r>
        <w:rPr>
          <w:rFonts w:cs="Times New Roman"/>
        </w:rPr>
        <w:t>one of the downstairs tenants</w:t>
      </w:r>
      <w:r w:rsidRPr="00D60576">
        <w:rPr>
          <w:rFonts w:cs="Times New Roman"/>
        </w:rPr>
        <w:t xml:space="preserve"> — “all left the house and went their different ways” (A.R., vol. III, </w:t>
      </w:r>
      <w:r>
        <w:rPr>
          <w:rFonts w:cs="Times New Roman"/>
        </w:rPr>
        <w:t xml:space="preserve">at </w:t>
      </w:r>
      <w:r w:rsidRPr="00D60576">
        <w:rPr>
          <w:rFonts w:cs="Times New Roman"/>
        </w:rPr>
        <w:t xml:space="preserve">p. 214). Stated differently, Mr. Lafrance had multiple transportation options, but he </w:t>
      </w:r>
      <w:r w:rsidRPr="00D60576">
        <w:rPr>
          <w:rFonts w:cs="Times New Roman"/>
          <w:i/>
        </w:rPr>
        <w:t xml:space="preserve">chose </w:t>
      </w:r>
      <w:r w:rsidRPr="00D60576">
        <w:rPr>
          <w:rFonts w:cs="Times New Roman"/>
        </w:rPr>
        <w:t>to accompany Sgt. Eros to the station in the police car (</w:t>
      </w:r>
      <w:r>
        <w:rPr>
          <w:rFonts w:cs="Times New Roman"/>
        </w:rPr>
        <w:t>trial reasons</w:t>
      </w:r>
      <w:r w:rsidRPr="00D60576">
        <w:rPr>
          <w:rFonts w:cs="Times New Roman"/>
        </w:rPr>
        <w:t>, at para. 39).</w:t>
      </w:r>
    </w:p>
    <w:p w14:paraId="4C8C930E" w14:textId="77777777" w:rsidR="000975C6" w:rsidRPr="00D60576" w:rsidRDefault="000975C6" w:rsidP="000975C6">
      <w:pPr>
        <w:pStyle w:val="ParaNoNdepar-AltN"/>
        <w:rPr>
          <w:rFonts w:cs="Times New Roman"/>
        </w:rPr>
      </w:pPr>
      <w:r w:rsidRPr="00D60576">
        <w:rPr>
          <w:rFonts w:cs="Times New Roman"/>
        </w:rPr>
        <w:lastRenderedPageBreak/>
        <w:t>The conversation on the way to the police station was “lighthearted”, and Mr. Lafrance’s “comfortable demeanour and engagement indicate his participation was entirely voluntary and a produ</w:t>
      </w:r>
      <w:r>
        <w:rPr>
          <w:rFonts w:cs="Times New Roman"/>
        </w:rPr>
        <w:t>c[t]</w:t>
      </w:r>
      <w:r w:rsidRPr="00D60576">
        <w:rPr>
          <w:rFonts w:cs="Times New Roman"/>
        </w:rPr>
        <w:t xml:space="preserve"> of deliberate choice” (</w:t>
      </w:r>
      <w:r>
        <w:rPr>
          <w:rFonts w:cs="Times New Roman"/>
        </w:rPr>
        <w:t>trial reasons, at paras. 42 and</w:t>
      </w:r>
      <w:r w:rsidRPr="00D60576">
        <w:rPr>
          <w:rFonts w:cs="Times New Roman"/>
        </w:rPr>
        <w:t xml:space="preserve"> 44). From the parking lot to the interview room, Mr. Lafrance “was not held, or in any sense physically controlled or guided” by police (para. 4</w:t>
      </w:r>
      <w:r>
        <w:rPr>
          <w:rFonts w:cs="Times New Roman"/>
        </w:rPr>
        <w:t>2</w:t>
      </w:r>
      <w:r w:rsidRPr="00D60576">
        <w:rPr>
          <w:rFonts w:cs="Times New Roman"/>
        </w:rPr>
        <w:t>).</w:t>
      </w:r>
    </w:p>
    <w:p w14:paraId="47F25F52" w14:textId="77777777" w:rsidR="000975C6" w:rsidRPr="00D60576" w:rsidRDefault="000975C6" w:rsidP="000975C6">
      <w:pPr>
        <w:pStyle w:val="Title5LevelTitre5Niveau"/>
        <w:tabs>
          <w:tab w:val="clear" w:pos="1440"/>
          <w:tab w:val="num" w:pos="1728"/>
        </w:tabs>
        <w:ind w:left="1134" w:hanging="578"/>
        <w:jc w:val="both"/>
        <w:rPr>
          <w:rFonts w:cs="Times New Roman"/>
        </w:rPr>
      </w:pPr>
      <w:r w:rsidRPr="00D60576">
        <w:rPr>
          <w:rFonts w:cs="Times New Roman"/>
        </w:rPr>
        <w:t>Interview</w:t>
      </w:r>
    </w:p>
    <w:p w14:paraId="383FA175" w14:textId="77777777" w:rsidR="000975C6" w:rsidRPr="00D60576" w:rsidRDefault="000975C6" w:rsidP="000975C6">
      <w:pPr>
        <w:pStyle w:val="ParaNoNdepar-AltN"/>
        <w:rPr>
          <w:rFonts w:cs="Times New Roman"/>
        </w:rPr>
      </w:pPr>
      <w:r w:rsidRPr="00D60576">
        <w:rPr>
          <w:rFonts w:cs="Times New Roman"/>
        </w:rPr>
        <w:t xml:space="preserve">At the outset of the interview, Sgt. Eros “stresses something that is ‘important’: the statement is voluntary and </w:t>
      </w:r>
      <w:r>
        <w:rPr>
          <w:rFonts w:cs="Times New Roman"/>
        </w:rPr>
        <w:t>[Mr.] </w:t>
      </w:r>
      <w:r w:rsidRPr="00D60576">
        <w:rPr>
          <w:rFonts w:cs="Times New Roman"/>
        </w:rPr>
        <w:t>Lafrance can leave at any time” (</w:t>
      </w:r>
      <w:r>
        <w:rPr>
          <w:rFonts w:cs="Times New Roman"/>
        </w:rPr>
        <w:t>trial reasons, at</w:t>
      </w:r>
      <w:r w:rsidRPr="00D60576">
        <w:rPr>
          <w:rFonts w:cs="Times New Roman"/>
        </w:rPr>
        <w:t xml:space="preserve"> para. 47). The trial judge note</w:t>
      </w:r>
      <w:r>
        <w:rPr>
          <w:rFonts w:cs="Times New Roman"/>
        </w:rPr>
        <w:t>d</w:t>
      </w:r>
      <w:r w:rsidRPr="00D60576">
        <w:rPr>
          <w:rFonts w:cs="Times New Roman"/>
        </w:rPr>
        <w:t xml:space="preserve"> that Sgt. Eros devoted “[a]pproximately the first 15 minutes of the interview [to] explaining the process and the related legal rights of [Mr.] Lafrance” (para. 51).</w:t>
      </w:r>
    </w:p>
    <w:p w14:paraId="7C21E915" w14:textId="77777777" w:rsidR="000975C6" w:rsidRPr="00D60576" w:rsidRDefault="000975C6" w:rsidP="000975C6">
      <w:pPr>
        <w:pStyle w:val="ParaNoNdepar-AltN"/>
        <w:rPr>
          <w:rFonts w:cs="Times New Roman"/>
        </w:rPr>
      </w:pPr>
      <w:r w:rsidRPr="00D60576">
        <w:rPr>
          <w:rFonts w:cs="Times New Roman"/>
        </w:rPr>
        <w:t xml:space="preserve">What is more, the nature of the interview militates against a finding of psychological detention. As the trial judge pointed out, Sgt. Eros’ “interview style was deliberately non-accusatory”, and his “questioning </w:t>
      </w:r>
      <w:r>
        <w:rPr>
          <w:rFonts w:cs="Times New Roman"/>
        </w:rPr>
        <w:t>[was] focused on information</w:t>
      </w:r>
      <w:r>
        <w:rPr>
          <w:rFonts w:cs="Times New Roman"/>
        </w:rPr>
        <w:noBreakHyphen/>
      </w:r>
      <w:r w:rsidRPr="00D60576">
        <w:rPr>
          <w:rFonts w:cs="Times New Roman"/>
        </w:rPr>
        <w:t>gathering</w:t>
      </w:r>
      <w:r>
        <w:rPr>
          <w:rFonts w:cs="Times New Roman"/>
        </w:rPr>
        <w:t>”</w:t>
      </w:r>
      <w:r w:rsidRPr="00D60576">
        <w:rPr>
          <w:rFonts w:cs="Times New Roman"/>
        </w:rPr>
        <w:t xml:space="preserve"> (paras. 75</w:t>
      </w:r>
      <w:r>
        <w:rPr>
          <w:rFonts w:cs="Times New Roman"/>
        </w:rPr>
        <w:t xml:space="preserve"> and</w:t>
      </w:r>
      <w:r w:rsidRPr="00D60576">
        <w:rPr>
          <w:rFonts w:cs="Times New Roman"/>
        </w:rPr>
        <w:t xml:space="preserve"> 77). Sergeant Eros provided Mr. Lafrance with an </w:t>
      </w:r>
      <w:r>
        <w:rPr>
          <w:rFonts w:cs="Times New Roman"/>
        </w:rPr>
        <w:t>“</w:t>
      </w:r>
      <w:r w:rsidRPr="00D60576">
        <w:rPr>
          <w:rFonts w:cs="Times New Roman"/>
        </w:rPr>
        <w:t>opportunity to answer questions ‘freely and flexibly’ and of his ‘free will’” (para. 75). Mr. Lafrance “was not confronted with evidence pointing to his guilt. He was not accused of an offence” (para. 77). These findings indicate that police carefully avoided anything akin to accusatory interrogation.</w:t>
      </w:r>
    </w:p>
    <w:p w14:paraId="3BF7B3D4" w14:textId="77777777" w:rsidR="000975C6" w:rsidRPr="00D60576" w:rsidRDefault="000975C6" w:rsidP="000975C6">
      <w:pPr>
        <w:pStyle w:val="Title5LevelTitre5Niveau"/>
        <w:tabs>
          <w:tab w:val="clear" w:pos="1440"/>
          <w:tab w:val="num" w:pos="1728"/>
        </w:tabs>
        <w:ind w:left="1134" w:hanging="578"/>
        <w:jc w:val="both"/>
        <w:rPr>
          <w:rFonts w:cs="Times New Roman"/>
        </w:rPr>
      </w:pPr>
      <w:r w:rsidRPr="00D60576">
        <w:rPr>
          <w:rFonts w:cs="Times New Roman"/>
        </w:rPr>
        <w:t xml:space="preserve">Collection of </w:t>
      </w:r>
      <w:r>
        <w:rPr>
          <w:rFonts w:cs="Times New Roman"/>
        </w:rPr>
        <w:t>P</w:t>
      </w:r>
      <w:r w:rsidRPr="00D60576">
        <w:rPr>
          <w:rFonts w:cs="Times New Roman"/>
        </w:rPr>
        <w:t xml:space="preserve">hysical </w:t>
      </w:r>
      <w:r>
        <w:rPr>
          <w:rFonts w:cs="Times New Roman"/>
        </w:rPr>
        <w:t>E</w:t>
      </w:r>
      <w:r w:rsidRPr="00D60576">
        <w:rPr>
          <w:rFonts w:cs="Times New Roman"/>
        </w:rPr>
        <w:t>vidence</w:t>
      </w:r>
    </w:p>
    <w:p w14:paraId="28BAA6C1" w14:textId="77777777" w:rsidR="000975C6" w:rsidRPr="00D60576" w:rsidRDefault="000975C6" w:rsidP="000975C6">
      <w:pPr>
        <w:pStyle w:val="ParaNoNdepar-AltN"/>
        <w:rPr>
          <w:rFonts w:cs="Times New Roman"/>
        </w:rPr>
      </w:pPr>
      <w:r w:rsidRPr="00D60576">
        <w:rPr>
          <w:rFonts w:cs="Times New Roman"/>
        </w:rPr>
        <w:lastRenderedPageBreak/>
        <w:t xml:space="preserve">After the interview, police asked Mr. Lafrance whether he would consent to provide DNA and fingerprint samples, as well as </w:t>
      </w:r>
      <w:r>
        <w:rPr>
          <w:rFonts w:cs="Times New Roman"/>
        </w:rPr>
        <w:t xml:space="preserve">some of </w:t>
      </w:r>
      <w:r w:rsidRPr="00D60576">
        <w:rPr>
          <w:rFonts w:cs="Times New Roman"/>
        </w:rPr>
        <w:t xml:space="preserve">his clothes and </w:t>
      </w:r>
      <w:r>
        <w:rPr>
          <w:rFonts w:cs="Times New Roman"/>
        </w:rPr>
        <w:t xml:space="preserve">his </w:t>
      </w:r>
      <w:r w:rsidRPr="00D60576">
        <w:rPr>
          <w:rFonts w:cs="Times New Roman"/>
        </w:rPr>
        <w:t>cellphone, which he did without reservation. Mr. Lafrance also agreed to have the police photograph his hands. It is noteworthy that police expressly gave him an opportunity to speak to a lawyer prior to the DNA testing, but he declined the offer.</w:t>
      </w:r>
    </w:p>
    <w:p w14:paraId="1B9C12AE" w14:textId="77777777" w:rsidR="000975C6" w:rsidRPr="00D60576" w:rsidRDefault="000975C6" w:rsidP="000975C6">
      <w:pPr>
        <w:pStyle w:val="ParaNoNdepar-AltN"/>
        <w:rPr>
          <w:rFonts w:cs="Times New Roman"/>
        </w:rPr>
      </w:pPr>
      <w:r w:rsidRPr="00D60576">
        <w:rPr>
          <w:rFonts w:cs="Times New Roman"/>
        </w:rPr>
        <w:t xml:space="preserve">The evidence demonstrates Mr. Lafrance was keen to collaborate. The trial judge noted that Mr. Lafrance “volunteer[ed] for </w:t>
      </w:r>
      <w:r>
        <w:rPr>
          <w:rFonts w:cs="Times New Roman"/>
        </w:rPr>
        <w:t>fingerprinting even before Sgt. </w:t>
      </w:r>
      <w:r w:rsidRPr="00D60576">
        <w:rPr>
          <w:rFonts w:cs="Times New Roman"/>
        </w:rPr>
        <w:t>Eros completed his request” (para. 57). Moreover, Mr. Lafrance voluntarily provided additional, unsolicited information on his cellphone, as the trial judge noted</w:t>
      </w:r>
      <w:r>
        <w:rPr>
          <w:rFonts w:cs="Times New Roman"/>
        </w:rPr>
        <w:t>,</w:t>
      </w:r>
      <w:r w:rsidRPr="00D60576">
        <w:rPr>
          <w:rFonts w:cs="Times New Roman"/>
        </w:rPr>
        <w:t xml:space="preserve"> at para. 68:</w:t>
      </w:r>
    </w:p>
    <w:p w14:paraId="4D856B83" w14:textId="77777777" w:rsidR="000975C6" w:rsidRPr="00D60576" w:rsidRDefault="000975C6" w:rsidP="000975C6">
      <w:pPr>
        <w:pStyle w:val="Citation-AltC"/>
      </w:pPr>
      <w:r w:rsidRPr="00D60576">
        <w:t xml:space="preserve">I note </w:t>
      </w:r>
      <w:r>
        <w:t>[Mr.] </w:t>
      </w:r>
      <w:r w:rsidRPr="00D60576">
        <w:t xml:space="preserve">Lafrance did not merely provide the RCMP with the cell phone and assured them it was not locked with a password or passcode, </w:t>
      </w:r>
      <w:r>
        <w:t>[Mr.] </w:t>
      </w:r>
      <w:r w:rsidRPr="00D60576">
        <w:t>Lafrance also explained a quirk of that cell phone to assist the RCMP investigators. The cell phone had a bent battery, and that meant the cell phone would reset itself unexpected</w:t>
      </w:r>
      <w:r>
        <w:t>[ly]</w:t>
      </w:r>
      <w:r w:rsidRPr="00D60576">
        <w:t xml:space="preserve">. The implication behind </w:t>
      </w:r>
      <w:r>
        <w:t>[Mr.] </w:t>
      </w:r>
      <w:r w:rsidRPr="00D60576">
        <w:t xml:space="preserve">Lafrance sharing that fact is he wanted the RCMP to be able to fairly evaluate whatever kind of information they might </w:t>
      </w:r>
      <w:r>
        <w:t>obtai[n]</w:t>
      </w:r>
      <w:r w:rsidRPr="00D60576">
        <w:t xml:space="preserve"> from the cell phone</w:t>
      </w:r>
      <w:r>
        <w:t>.</w:t>
      </w:r>
    </w:p>
    <w:p w14:paraId="127A5350" w14:textId="77777777" w:rsidR="000975C6" w:rsidRPr="00D60576" w:rsidRDefault="000975C6" w:rsidP="000975C6">
      <w:pPr>
        <w:pStyle w:val="ParaNoNdepar-AltN"/>
        <w:rPr>
          <w:rFonts w:cs="Times New Roman"/>
        </w:rPr>
      </w:pPr>
      <w:r w:rsidRPr="00D60576">
        <w:rPr>
          <w:rFonts w:cs="Times New Roman"/>
        </w:rPr>
        <w:t>A further indication of police conduct is the nature of the communication between Sgt. Eros and Mr. Lafrance during collection of the physical evidence. The trial judge noted that “[Mr.] Lafrance and Sgt. Eros continue</w:t>
      </w:r>
      <w:r>
        <w:rPr>
          <w:rFonts w:cs="Times New Roman"/>
        </w:rPr>
        <w:t>[d]</w:t>
      </w:r>
      <w:r w:rsidRPr="00D60576">
        <w:rPr>
          <w:rFonts w:cs="Times New Roman"/>
        </w:rPr>
        <w:t xml:space="preserve"> their banter”. Nothing in the foregoing support</w:t>
      </w:r>
      <w:r>
        <w:rPr>
          <w:rFonts w:cs="Times New Roman"/>
        </w:rPr>
        <w:t>s</w:t>
      </w:r>
      <w:r w:rsidRPr="00D60576">
        <w:rPr>
          <w:rFonts w:cs="Times New Roman"/>
        </w:rPr>
        <w:t xml:space="preserve"> the conclusion that a reasonable person in Mr. Lafrance’s position would feel detained.</w:t>
      </w:r>
    </w:p>
    <w:p w14:paraId="79DAEBEA" w14:textId="77777777" w:rsidR="000975C6" w:rsidRPr="00D60576" w:rsidRDefault="000975C6" w:rsidP="000975C6">
      <w:pPr>
        <w:pStyle w:val="Title4LevelTitre4Niveau"/>
        <w:tabs>
          <w:tab w:val="clear" w:pos="900"/>
        </w:tabs>
        <w:jc w:val="both"/>
        <w:rPr>
          <w:rFonts w:cs="Times New Roman"/>
        </w:rPr>
      </w:pPr>
      <w:r>
        <w:rPr>
          <w:rFonts w:cs="Times New Roman"/>
        </w:rPr>
        <w:t>Physical C</w:t>
      </w:r>
      <w:r w:rsidRPr="00D60576">
        <w:rPr>
          <w:rFonts w:cs="Times New Roman"/>
        </w:rPr>
        <w:t>ontact</w:t>
      </w:r>
    </w:p>
    <w:p w14:paraId="5E9977A0" w14:textId="77777777" w:rsidR="000975C6" w:rsidRPr="00D60576" w:rsidRDefault="000975C6" w:rsidP="000975C6">
      <w:pPr>
        <w:pStyle w:val="ParaNoNdepar-AltN"/>
        <w:rPr>
          <w:rFonts w:cs="Times New Roman"/>
        </w:rPr>
      </w:pPr>
      <w:r w:rsidRPr="00D60576">
        <w:rPr>
          <w:rFonts w:cs="Times New Roman"/>
        </w:rPr>
        <w:lastRenderedPageBreak/>
        <w:t xml:space="preserve">Physical contact is particularly significant in determining whether individuals informed by police they are free to go are nevertheless psychologically detained. Statements about freedom to leave would not be reasonably perceived as genuine where police, directly or indirectly, restrict the subject’s liberty of movement. This can include situations where physical proximity has an objectively oppressive effect on the individual — for example, where police officers deliberately position themselves within a small space “in a manner to block the exit” </w:t>
      </w:r>
      <w:r>
        <w:rPr>
          <w:rFonts w:cs="Times New Roman"/>
        </w:rPr>
        <w:t>(</w:t>
      </w:r>
      <w:r w:rsidRPr="007E78D6">
        <w:rPr>
          <w:rFonts w:cs="Times New Roman"/>
          <w:i/>
        </w:rPr>
        <w:t>R. v.</w:t>
      </w:r>
      <w:r>
        <w:rPr>
          <w:rFonts w:cs="Times New Roman"/>
        </w:rPr>
        <w:t xml:space="preserve"> </w:t>
      </w:r>
      <w:r w:rsidRPr="00D60576">
        <w:rPr>
          <w:rFonts w:cs="Times New Roman"/>
          <w:i/>
        </w:rPr>
        <w:t>Le</w:t>
      </w:r>
      <w:r w:rsidRPr="00D60576">
        <w:rPr>
          <w:rFonts w:cs="Times New Roman"/>
        </w:rPr>
        <w:t xml:space="preserve">, </w:t>
      </w:r>
      <w:r>
        <w:rPr>
          <w:rFonts w:cs="Times New Roman"/>
        </w:rPr>
        <w:t xml:space="preserve">2019 SCC 34, [2019] 2 S.C.R. 692, </w:t>
      </w:r>
      <w:r w:rsidRPr="00D60576">
        <w:rPr>
          <w:rFonts w:cs="Times New Roman"/>
        </w:rPr>
        <w:t>at para. 50</w:t>
      </w:r>
      <w:r>
        <w:rPr>
          <w:rFonts w:cs="Times New Roman"/>
        </w:rPr>
        <w:t>)</w:t>
      </w:r>
      <w:r w:rsidRPr="00D60576">
        <w:rPr>
          <w:rFonts w:cs="Times New Roman"/>
        </w:rPr>
        <w:t>.</w:t>
      </w:r>
    </w:p>
    <w:p w14:paraId="408F2CA3" w14:textId="77777777" w:rsidR="000975C6" w:rsidRPr="00D60576" w:rsidRDefault="000975C6" w:rsidP="000975C6">
      <w:pPr>
        <w:pStyle w:val="ParaNoNdepar-AltN"/>
        <w:rPr>
          <w:rFonts w:cs="Times New Roman"/>
        </w:rPr>
      </w:pPr>
      <w:r w:rsidRPr="00D60576">
        <w:rPr>
          <w:rFonts w:cs="Times New Roman"/>
        </w:rPr>
        <w:t>We agree with the majority that there was no evidence of physical contact or oppressive proximity that could support a finding of psychological detention in this case. On the contrary, the trial judge found no evidence of physical obstruction by police at any stage of the encounter (paras. 43</w:t>
      </w:r>
      <w:r>
        <w:rPr>
          <w:rFonts w:cs="Times New Roman"/>
        </w:rPr>
        <w:t xml:space="preserve">, </w:t>
      </w:r>
      <w:r w:rsidRPr="00D60576">
        <w:rPr>
          <w:rFonts w:cs="Times New Roman"/>
        </w:rPr>
        <w:t>45</w:t>
      </w:r>
      <w:r>
        <w:rPr>
          <w:rFonts w:cs="Times New Roman"/>
        </w:rPr>
        <w:t xml:space="preserve"> and 70</w:t>
      </w:r>
      <w:r w:rsidRPr="00D60576">
        <w:rPr>
          <w:rFonts w:cs="Times New Roman"/>
        </w:rPr>
        <w:t>).</w:t>
      </w:r>
    </w:p>
    <w:p w14:paraId="4FB03830" w14:textId="77777777" w:rsidR="000975C6" w:rsidRPr="00D60576" w:rsidRDefault="000975C6" w:rsidP="000975C6">
      <w:pPr>
        <w:pStyle w:val="Title4LevelTitre4Niveau"/>
        <w:tabs>
          <w:tab w:val="clear" w:pos="900"/>
        </w:tabs>
        <w:jc w:val="both"/>
        <w:rPr>
          <w:rFonts w:cs="Times New Roman"/>
        </w:rPr>
      </w:pPr>
      <w:r w:rsidRPr="00D60576">
        <w:rPr>
          <w:rFonts w:cs="Times New Roman"/>
        </w:rPr>
        <w:t xml:space="preserve">Presence of </w:t>
      </w:r>
      <w:r>
        <w:rPr>
          <w:rFonts w:cs="Times New Roman"/>
        </w:rPr>
        <w:t>O</w:t>
      </w:r>
      <w:r w:rsidRPr="00D60576">
        <w:rPr>
          <w:rFonts w:cs="Times New Roman"/>
        </w:rPr>
        <w:t>thers</w:t>
      </w:r>
    </w:p>
    <w:p w14:paraId="36687483" w14:textId="77777777" w:rsidR="000975C6" w:rsidRPr="00D60576" w:rsidRDefault="000975C6" w:rsidP="000975C6">
      <w:pPr>
        <w:pStyle w:val="ParaNoNdepar-AltN"/>
        <w:rPr>
          <w:rFonts w:cs="Times New Roman"/>
        </w:rPr>
      </w:pPr>
      <w:r w:rsidRPr="00D60576">
        <w:rPr>
          <w:rFonts w:cs="Times New Roman"/>
        </w:rPr>
        <w:t xml:space="preserve">The majority uses the presence of others as a “significant consideration” (para. 43) in that Mr. Lafrance was in the presence of police throughout the interaction. We disagree. Nothing in the record indicates the police brought in more officers than reasonably necessary to ensure police and public safety and the effectiveness of the search. Moreover, </w:t>
      </w:r>
      <w:r w:rsidRPr="00D60576">
        <w:rPr>
          <w:rFonts w:cs="Times New Roman"/>
          <w:i/>
        </w:rPr>
        <w:t xml:space="preserve">Le </w:t>
      </w:r>
      <w:r w:rsidRPr="00D60576">
        <w:rPr>
          <w:rFonts w:cs="Times New Roman"/>
        </w:rPr>
        <w:t>makes clear</w:t>
      </w:r>
      <w:r>
        <w:rPr>
          <w:rFonts w:cs="Times New Roman"/>
        </w:rPr>
        <w:t>,</w:t>
      </w:r>
      <w:r w:rsidRPr="00D60576">
        <w:rPr>
          <w:rFonts w:cs="Times New Roman"/>
        </w:rPr>
        <w:t xml:space="preserve"> at para. 63, </w:t>
      </w:r>
      <w:r>
        <w:rPr>
          <w:rFonts w:cs="Times New Roman"/>
        </w:rPr>
        <w:t xml:space="preserve">that </w:t>
      </w:r>
      <w:r w:rsidRPr="00D60576">
        <w:rPr>
          <w:rFonts w:cs="Times New Roman"/>
        </w:rPr>
        <w:t xml:space="preserve">the “presence of others” refers to witnesses, </w:t>
      </w:r>
      <w:r w:rsidRPr="00D60576">
        <w:rPr>
          <w:rFonts w:cs="Times New Roman"/>
          <w:i/>
        </w:rPr>
        <w:t xml:space="preserve">not </w:t>
      </w:r>
      <w:r>
        <w:rPr>
          <w:rFonts w:cs="Times New Roman"/>
        </w:rPr>
        <w:t>police officers:</w:t>
      </w:r>
    </w:p>
    <w:p w14:paraId="604A8EB8" w14:textId="77777777" w:rsidR="000975C6" w:rsidRPr="00D60576" w:rsidRDefault="000975C6" w:rsidP="000975C6">
      <w:pPr>
        <w:pStyle w:val="Citation-AltC"/>
        <w:ind w:firstLine="274"/>
      </w:pPr>
      <w:r w:rsidRPr="00D60576">
        <w:t xml:space="preserve">In this case, the presence of others would likely increase, not decrease, a reasonable person’s perception that they were being detained. Each man </w:t>
      </w:r>
      <w:r w:rsidRPr="00D60576">
        <w:lastRenderedPageBreak/>
        <w:t>witnessed what was happening to them all. The presence of others clearly did not prevent the police entry in the first place or provide any privacy, security or protection against incursions thereafter. Each man saw that the police asked each of them who they were and what they were doing.</w:t>
      </w:r>
    </w:p>
    <w:p w14:paraId="27520D79" w14:textId="77777777" w:rsidR="000975C6" w:rsidRPr="00D60576" w:rsidRDefault="000975C6" w:rsidP="000975C6">
      <w:pPr>
        <w:pStyle w:val="ContinueParaSuitedupar-AltP"/>
        <w:rPr>
          <w:rFonts w:cs="Times New Roman"/>
        </w:rPr>
      </w:pPr>
      <w:r w:rsidRPr="00D60576">
        <w:rPr>
          <w:rFonts w:cs="Times New Roman"/>
        </w:rPr>
        <w:t xml:space="preserve">Indeed, an assessment of the presence of police officers throughout the encounter at this stage, although relevant, is redundant with the considerations already assessed by the majority in discussing the actions and language of police as well as </w:t>
      </w:r>
      <w:r>
        <w:rPr>
          <w:rFonts w:cs="Times New Roman"/>
        </w:rPr>
        <w:t>their</w:t>
      </w:r>
      <w:r w:rsidRPr="00D60576">
        <w:rPr>
          <w:rFonts w:cs="Times New Roman"/>
        </w:rPr>
        <w:t xml:space="preserve"> proximity to Mr. Lafrance.</w:t>
      </w:r>
    </w:p>
    <w:p w14:paraId="11DBB2A0" w14:textId="77777777" w:rsidR="000975C6" w:rsidRPr="00D60576" w:rsidRDefault="000975C6" w:rsidP="000975C6">
      <w:pPr>
        <w:pStyle w:val="ParaNoNdepar-AltN"/>
        <w:rPr>
          <w:rFonts w:cs="Times New Roman"/>
        </w:rPr>
      </w:pPr>
      <w:r w:rsidRPr="00D60576">
        <w:rPr>
          <w:rFonts w:cs="Times New Roman"/>
        </w:rPr>
        <w:t>In any event, the presence of other police officers (in addition to Sgt. Eros) is of no consequence in this case given how the police conducted themselves. As well, there were no other members of the public around Mr. Lafrance from the moment he accepted to go to the police station.</w:t>
      </w:r>
    </w:p>
    <w:p w14:paraId="34606B88" w14:textId="77777777" w:rsidR="000975C6" w:rsidRPr="00D60576" w:rsidRDefault="000975C6" w:rsidP="000975C6">
      <w:pPr>
        <w:pStyle w:val="Title4LevelTitre4Niveau"/>
        <w:tabs>
          <w:tab w:val="clear" w:pos="900"/>
        </w:tabs>
        <w:jc w:val="both"/>
        <w:rPr>
          <w:rFonts w:cs="Times New Roman"/>
        </w:rPr>
      </w:pPr>
      <w:r w:rsidRPr="00D60576">
        <w:rPr>
          <w:rFonts w:cs="Times New Roman"/>
        </w:rPr>
        <w:t xml:space="preserve">Place and </w:t>
      </w:r>
      <w:r>
        <w:rPr>
          <w:rFonts w:cs="Times New Roman"/>
        </w:rPr>
        <w:t>Duration of the E</w:t>
      </w:r>
      <w:r w:rsidRPr="00D60576">
        <w:rPr>
          <w:rFonts w:cs="Times New Roman"/>
        </w:rPr>
        <w:t>ncounter</w:t>
      </w:r>
    </w:p>
    <w:p w14:paraId="720A1E37" w14:textId="77777777" w:rsidR="000975C6" w:rsidRPr="00D60576" w:rsidRDefault="000975C6" w:rsidP="000975C6">
      <w:pPr>
        <w:pStyle w:val="ParaNoNdepar-AltN"/>
        <w:rPr>
          <w:rFonts w:cs="Times New Roman"/>
        </w:rPr>
      </w:pPr>
      <w:r w:rsidRPr="00D60576">
        <w:rPr>
          <w:rFonts w:cs="Times New Roman"/>
        </w:rPr>
        <w:t>The interview at the police station and the taking of physical evidence at the end of the interview</w:t>
      </w:r>
      <w:r>
        <w:rPr>
          <w:rFonts w:cs="Times New Roman"/>
        </w:rPr>
        <w:t xml:space="preserve"> warrant</w:t>
      </w:r>
      <w:r w:rsidRPr="00D60576">
        <w:rPr>
          <w:rFonts w:cs="Times New Roman"/>
        </w:rPr>
        <w:t xml:space="preserve"> close attention. At the outset, Sgt. Eros informed Mr. Lafrance that the door of the interview room was unlocked and that he was “at any </w:t>
      </w:r>
      <w:proofErr w:type="gramStart"/>
      <w:r w:rsidRPr="00D60576">
        <w:rPr>
          <w:rFonts w:cs="Times New Roman"/>
        </w:rPr>
        <w:t xml:space="preserve">time </w:t>
      </w:r>
      <w:r>
        <w:rPr>
          <w:rFonts w:cs="Times New Roman"/>
        </w:rPr>
        <w:t>.</w:t>
      </w:r>
      <w:proofErr w:type="gramEnd"/>
      <w:r>
        <w:rPr>
          <w:rFonts w:cs="Times New Roman"/>
        </w:rPr>
        <w:t xml:space="preserve"> . . </w:t>
      </w:r>
      <w:r w:rsidRPr="00D60576">
        <w:rPr>
          <w:rFonts w:cs="Times New Roman"/>
        </w:rPr>
        <w:t>free to leave” (</w:t>
      </w:r>
      <w:r>
        <w:rPr>
          <w:rFonts w:cs="Times New Roman"/>
        </w:rPr>
        <w:t>trial reasons</w:t>
      </w:r>
      <w:r w:rsidRPr="00D60576">
        <w:rPr>
          <w:rFonts w:cs="Times New Roman"/>
        </w:rPr>
        <w:t>, at para. 47). At the same time</w:t>
      </w:r>
      <w:r>
        <w:rPr>
          <w:rFonts w:cs="Times New Roman"/>
        </w:rPr>
        <w:t>, Sgt. </w:t>
      </w:r>
      <w:r w:rsidRPr="00D60576">
        <w:rPr>
          <w:rFonts w:cs="Times New Roman"/>
        </w:rPr>
        <w:t xml:space="preserve">Eros indicated that they were in a “secure environment”, so that Mr. Lafrance would need to be accompanied by police for “smoke or bathroom breaks” (para. 48). Given that Mr. Lafrance knew he could leave at any time, we agree with the trial judge that the fact that he would need to be accompanied while in the secured area of the station is “inconsequential” (para. 70). This is further supported by the trial judge’s statement </w:t>
      </w:r>
      <w:r w:rsidRPr="00D60576">
        <w:rPr>
          <w:rFonts w:cs="Times New Roman"/>
        </w:rPr>
        <w:lastRenderedPageBreak/>
        <w:t>that “this procedure was not a product of the [non</w:t>
      </w:r>
      <w:r w:rsidRPr="00D60576">
        <w:rPr>
          <w:rFonts w:cs="Times New Roman"/>
        </w:rPr>
        <w:noBreakHyphen/>
        <w:t xml:space="preserve">accusatory] interview process and was not unique to [Mr.] Lafrance” (para. 71). Simply put, an individual is not detained </w:t>
      </w:r>
      <w:r>
        <w:rPr>
          <w:rFonts w:cs="Times New Roman"/>
        </w:rPr>
        <w:t>just</w:t>
      </w:r>
      <w:r w:rsidRPr="00D60576">
        <w:rPr>
          <w:rFonts w:cs="Times New Roman"/>
        </w:rPr>
        <w:t xml:space="preserve"> because he or she is the subject of a police interview </w:t>
      </w:r>
      <w:r>
        <w:rPr>
          <w:rFonts w:cs="Times New Roman"/>
        </w:rPr>
        <w:t>(</w:t>
      </w:r>
      <w:r w:rsidRPr="00D60576">
        <w:rPr>
          <w:rFonts w:cs="Times New Roman"/>
          <w:i/>
        </w:rPr>
        <w:t>Grant</w:t>
      </w:r>
      <w:r w:rsidRPr="00D60576">
        <w:rPr>
          <w:rFonts w:cs="Times New Roman"/>
        </w:rPr>
        <w:t>, at para. 26</w:t>
      </w:r>
      <w:r>
        <w:rPr>
          <w:rFonts w:cs="Times New Roman"/>
        </w:rPr>
        <w:t>, quoting from</w:t>
      </w:r>
      <w:r w:rsidRPr="00D60576">
        <w:rPr>
          <w:rFonts w:cs="Times New Roman"/>
        </w:rPr>
        <w:t xml:space="preserve"> </w:t>
      </w:r>
      <w:r w:rsidRPr="00D60576">
        <w:rPr>
          <w:rFonts w:cs="Times New Roman"/>
          <w:i/>
        </w:rPr>
        <w:t xml:space="preserve">R. </w:t>
      </w:r>
      <w:r w:rsidRPr="00D60576">
        <w:rPr>
          <w:rFonts w:cs="Times New Roman"/>
          <w:i/>
          <w:iCs/>
        </w:rPr>
        <w:t>v</w:t>
      </w:r>
      <w:r w:rsidRPr="00D60576">
        <w:rPr>
          <w:rFonts w:cs="Times New Roman"/>
          <w:i/>
        </w:rPr>
        <w:t>. Mann</w:t>
      </w:r>
      <w:r w:rsidRPr="00D60576">
        <w:rPr>
          <w:rFonts w:cs="Times New Roman"/>
        </w:rPr>
        <w:t>, 2004 SCC 52, [2004] 3 S.C.R. 59, at para. 19</w:t>
      </w:r>
      <w:r>
        <w:rPr>
          <w:rFonts w:cs="Times New Roman"/>
        </w:rPr>
        <w:t>)</w:t>
      </w:r>
      <w:r w:rsidRPr="00D60576">
        <w:rPr>
          <w:rFonts w:cs="Times New Roman"/>
        </w:rPr>
        <w:t>.</w:t>
      </w:r>
    </w:p>
    <w:p w14:paraId="09360DB5" w14:textId="77777777" w:rsidR="000975C6" w:rsidRPr="00D60576" w:rsidRDefault="000975C6" w:rsidP="000975C6">
      <w:pPr>
        <w:pStyle w:val="ParaNoNdepar-AltN"/>
        <w:rPr>
          <w:rFonts w:cs="Times New Roman"/>
        </w:rPr>
      </w:pPr>
      <w:r w:rsidRPr="00D60576">
        <w:rPr>
          <w:rFonts w:cs="Times New Roman"/>
        </w:rPr>
        <w:t>Regard must be had to the duration of the interview — about 3 </w:t>
      </w:r>
      <w:r>
        <w:rPr>
          <w:rFonts w:cs="Times New Roman"/>
        </w:rPr>
        <w:t>and a half</w:t>
      </w:r>
      <w:r w:rsidRPr="00D60576">
        <w:rPr>
          <w:rFonts w:cs="Times New Roman"/>
        </w:rPr>
        <w:t xml:space="preserve"> hours, including “approximately 30 </w:t>
      </w:r>
      <w:proofErr w:type="gramStart"/>
      <w:r w:rsidRPr="00D60576">
        <w:rPr>
          <w:rFonts w:cs="Times New Roman"/>
        </w:rPr>
        <w:t>min</w:t>
      </w:r>
      <w:r>
        <w:rPr>
          <w:rFonts w:cs="Times New Roman"/>
        </w:rPr>
        <w:t>[</w:t>
      </w:r>
      <w:proofErr w:type="gramEnd"/>
      <w:r w:rsidRPr="00D60576">
        <w:rPr>
          <w:rFonts w:cs="Times New Roman"/>
        </w:rPr>
        <w:t>utes</w:t>
      </w:r>
      <w:r>
        <w:rPr>
          <w:rFonts w:cs="Times New Roman"/>
        </w:rPr>
        <w:t>]</w:t>
      </w:r>
      <w:r w:rsidRPr="00D60576">
        <w:rPr>
          <w:rFonts w:cs="Times New Roman"/>
        </w:rPr>
        <w:t xml:space="preserve"> (involving two separate occasions) during which </w:t>
      </w:r>
      <w:r>
        <w:rPr>
          <w:rFonts w:cs="Times New Roman"/>
        </w:rPr>
        <w:t>[Mr.] </w:t>
      </w:r>
      <w:r w:rsidRPr="00D60576">
        <w:rPr>
          <w:rFonts w:cs="Times New Roman"/>
        </w:rPr>
        <w:t>Lafrance was alone in the interview room” (</w:t>
      </w:r>
      <w:r>
        <w:rPr>
          <w:rFonts w:cs="Times New Roman"/>
        </w:rPr>
        <w:t>trial reasons</w:t>
      </w:r>
      <w:r w:rsidRPr="00D60576">
        <w:rPr>
          <w:rFonts w:cs="Times New Roman"/>
        </w:rPr>
        <w:t>, at para. 46). Intensive interrogation, particularly if it lasts for a long time, can reasonably lead to the conclusion that the individual is being detained.</w:t>
      </w:r>
    </w:p>
    <w:p w14:paraId="79B8979E" w14:textId="77777777" w:rsidR="000975C6" w:rsidRPr="00D60576" w:rsidRDefault="000975C6" w:rsidP="000975C6">
      <w:pPr>
        <w:pStyle w:val="ParaNoNdepar-AltN"/>
        <w:rPr>
          <w:rFonts w:cs="Times New Roman"/>
        </w:rPr>
      </w:pPr>
      <w:r w:rsidRPr="00D60576">
        <w:rPr>
          <w:rFonts w:cs="Times New Roman"/>
        </w:rPr>
        <w:t>The trial judge, however, was alive to this issue. He noted that the “interview was lengthier than generally occurred in non-accusatory sessions” (para. 19; see also para. 89). The trial judge commented on the nature of the interview as follows:</w:t>
      </w:r>
    </w:p>
    <w:p w14:paraId="399D7173" w14:textId="77777777" w:rsidR="000975C6" w:rsidRPr="00D60576" w:rsidRDefault="000975C6" w:rsidP="000975C6">
      <w:pPr>
        <w:pStyle w:val="Citation-AltC"/>
        <w:ind w:firstLine="274"/>
      </w:pPr>
      <w:r w:rsidRPr="00D60576">
        <w:t xml:space="preserve">The March 19, 2015 interview recordings indicate there is a steady dialogue exchange between Sgt. Eros and </w:t>
      </w:r>
      <w:r>
        <w:t>[Mr.] </w:t>
      </w:r>
      <w:r w:rsidRPr="00D60576">
        <w:t>Lafrance. S</w:t>
      </w:r>
      <w:r>
        <w:t>ergeant</w:t>
      </w:r>
      <w:r w:rsidRPr="00D60576">
        <w:t> Eros intended this be a conversation, and not an interrogation. His interview style was deliberately non-accusatory. It was designed to offer</w:t>
      </w:r>
      <w:r>
        <w:t xml:space="preserve"> [Mr.] </w:t>
      </w:r>
      <w:r w:rsidRPr="00D60576">
        <w:t>Lafrance the opportunity to answer questions “freely and flexibly” and of his “free will”. His interview style was deliberately non-accusatory.</w:t>
      </w:r>
    </w:p>
    <w:p w14:paraId="681615BA" w14:textId="77777777" w:rsidR="000975C6" w:rsidRPr="00D60576" w:rsidRDefault="000975C6" w:rsidP="000975C6">
      <w:pPr>
        <w:pStyle w:val="Citation-AltC"/>
      </w:pPr>
    </w:p>
    <w:p w14:paraId="324C6F51" w14:textId="77777777" w:rsidR="000975C6" w:rsidRPr="00D60576" w:rsidRDefault="000975C6" w:rsidP="000975C6">
      <w:pPr>
        <w:pStyle w:val="Citation-AltC"/>
        <w:jc w:val="center"/>
      </w:pPr>
      <w:r>
        <w:t>. . .</w:t>
      </w:r>
    </w:p>
    <w:p w14:paraId="39573BBC" w14:textId="77777777" w:rsidR="000975C6" w:rsidRPr="00D60576" w:rsidRDefault="000975C6" w:rsidP="000975C6">
      <w:pPr>
        <w:pStyle w:val="Citation-AltC"/>
        <w:jc w:val="center"/>
      </w:pPr>
    </w:p>
    <w:p w14:paraId="629B75CF" w14:textId="77777777" w:rsidR="000975C6" w:rsidRPr="00D60576" w:rsidRDefault="000975C6" w:rsidP="000975C6">
      <w:pPr>
        <w:pStyle w:val="Citation-AltC"/>
        <w:ind w:firstLine="274"/>
      </w:pPr>
      <w:r w:rsidRPr="00D60576">
        <w:t>The manner in which the March 19, 2015 interview was conducted was also not oppressive. Instead, it was a conversation. S</w:t>
      </w:r>
      <w:r>
        <w:t>ergeant</w:t>
      </w:r>
      <w:r w:rsidRPr="00D60576">
        <w:t> Eros directed his inquiries in an open</w:t>
      </w:r>
      <w:r w:rsidRPr="00D60576">
        <w:noBreakHyphen/>
        <w:t>ended and non-accusatory manner. In effect, this interview was a direct, fair information gathering procedure.</w:t>
      </w:r>
      <w:r>
        <w:t xml:space="preserve"> [paras. 75 and 90]</w:t>
      </w:r>
    </w:p>
    <w:p w14:paraId="0103703A" w14:textId="77777777" w:rsidR="000975C6" w:rsidRPr="00D60576" w:rsidRDefault="000975C6" w:rsidP="000975C6">
      <w:pPr>
        <w:pStyle w:val="ContinueParaSuitedupar-AltP"/>
        <w:rPr>
          <w:rFonts w:cs="Times New Roman"/>
        </w:rPr>
      </w:pPr>
      <w:r w:rsidRPr="00D60576">
        <w:rPr>
          <w:rFonts w:cs="Times New Roman"/>
        </w:rPr>
        <w:lastRenderedPageBreak/>
        <w:t>In these circumstances, having regard to the conversational interview style and the absence of any confrontation, we see no basis to differ from the trial judge</w:t>
      </w:r>
      <w:r>
        <w:rPr>
          <w:rFonts w:cs="Times New Roman"/>
        </w:rPr>
        <w:t>’s conclusion</w:t>
      </w:r>
      <w:r w:rsidRPr="00D60576">
        <w:rPr>
          <w:rFonts w:cs="Times New Roman"/>
        </w:rPr>
        <w:t xml:space="preserve"> that the length of the interview does not suffice to turn it into a coercive interrogation or, ultimately, constitute (alone or with earlier events) the basis of a psychological detention.</w:t>
      </w:r>
    </w:p>
    <w:p w14:paraId="7BF5155E" w14:textId="77777777" w:rsidR="000975C6" w:rsidRPr="00D60576" w:rsidRDefault="000975C6" w:rsidP="000975C6">
      <w:pPr>
        <w:pStyle w:val="Title4LevelTitre4Niveau"/>
        <w:tabs>
          <w:tab w:val="clear" w:pos="900"/>
        </w:tabs>
        <w:jc w:val="both"/>
        <w:rPr>
          <w:rFonts w:cs="Times New Roman"/>
        </w:rPr>
      </w:pPr>
      <w:r w:rsidRPr="00D60576">
        <w:rPr>
          <w:rFonts w:cs="Times New Roman"/>
        </w:rPr>
        <w:t>Summary</w:t>
      </w:r>
    </w:p>
    <w:p w14:paraId="0441AF1D" w14:textId="77777777" w:rsidR="000975C6" w:rsidRPr="00D60576" w:rsidRDefault="000975C6" w:rsidP="000975C6">
      <w:pPr>
        <w:pStyle w:val="ParaNoNdepar-AltN"/>
        <w:rPr>
          <w:rFonts w:cs="Times New Roman"/>
        </w:rPr>
      </w:pPr>
      <w:r w:rsidRPr="00D60576">
        <w:rPr>
          <w:rFonts w:cs="Times New Roman"/>
        </w:rPr>
        <w:t>In assessing police conduct, the majority substitutes its own view of the evidence for that of the trial judge, relying in part on the controverted evidence of Mr. Lafrance — a witness found to be dishonest. There is no credible evidence that police gave orders or closely monitored Mr. Lafrance for purposes other than the execution of the search warrant.</w:t>
      </w:r>
    </w:p>
    <w:p w14:paraId="66E7A334" w14:textId="77777777" w:rsidR="000975C6" w:rsidRPr="00D60576" w:rsidRDefault="000975C6" w:rsidP="000975C6">
      <w:pPr>
        <w:pStyle w:val="ParaNoNdepar-AltN"/>
        <w:tabs>
          <w:tab w:val="left" w:pos="6096"/>
        </w:tabs>
        <w:rPr>
          <w:rFonts w:cs="Times New Roman"/>
        </w:rPr>
      </w:pPr>
      <w:r w:rsidRPr="00D60576">
        <w:rPr>
          <w:rFonts w:cs="Times New Roman"/>
        </w:rPr>
        <w:t xml:space="preserve">Rather, the events — viewed in their entirety in line with the trial judge’s findings of fact — indicate that police asserted control over the home without coercing Mr. Lafrance, except to the extent necessary for the execution of the search warrant. In dealing with Mr. Lafrance, Sgt. Eros repeatedly reminded him that he was under no obligation to cooperate and could leave at any time, as well as ensuring that he understood his </w:t>
      </w:r>
      <w:r w:rsidRPr="00D60576">
        <w:rPr>
          <w:rFonts w:cs="Times New Roman"/>
          <w:i/>
        </w:rPr>
        <w:t>Charter</w:t>
      </w:r>
      <w:r w:rsidRPr="00D60576">
        <w:rPr>
          <w:rFonts w:cs="Times New Roman"/>
        </w:rPr>
        <w:t xml:space="preserve"> right to silence at the beginning of the interview. Far from disclosing coercive behaviour, the evidence suggests Sgt. Eros had a lighthearted conversation with Mr. Lafrance during the ride to the police station, and the pair continued to banter after the conversational, non-confrontational interview. Nothing in </w:t>
      </w:r>
      <w:r w:rsidRPr="00D60576">
        <w:rPr>
          <w:rFonts w:cs="Times New Roman"/>
        </w:rPr>
        <w:lastRenderedPageBreak/>
        <w:t>the foregoing constitutes a basis to contradict the trial judge’s conclusion that Mr. Lafrance was not subject to psychological detention.</w:t>
      </w:r>
    </w:p>
    <w:p w14:paraId="5F6D0085" w14:textId="77777777" w:rsidR="000975C6" w:rsidRPr="00D60576" w:rsidRDefault="000975C6" w:rsidP="000975C6">
      <w:pPr>
        <w:pStyle w:val="Title3LevelTitre3Niveau"/>
        <w:jc w:val="both"/>
        <w:rPr>
          <w:rFonts w:cs="Times New Roman"/>
        </w:rPr>
      </w:pPr>
      <w:r>
        <w:rPr>
          <w:rFonts w:cs="Times New Roman"/>
        </w:rPr>
        <w:t>Particular C</w:t>
      </w:r>
      <w:r w:rsidRPr="00D60576">
        <w:rPr>
          <w:rFonts w:cs="Times New Roman"/>
        </w:rPr>
        <w:t xml:space="preserve">ircumstances of the </w:t>
      </w:r>
      <w:r>
        <w:rPr>
          <w:rFonts w:cs="Times New Roman"/>
        </w:rPr>
        <w:t>Individual</w:t>
      </w:r>
    </w:p>
    <w:p w14:paraId="73B9C71B" w14:textId="77777777" w:rsidR="000975C6" w:rsidRPr="00D60576" w:rsidRDefault="000975C6" w:rsidP="000975C6">
      <w:pPr>
        <w:pStyle w:val="ParaNoNdepar-AltN"/>
        <w:rPr>
          <w:rFonts w:cs="Times New Roman"/>
        </w:rPr>
      </w:pPr>
      <w:r w:rsidRPr="00D60576">
        <w:rPr>
          <w:rFonts w:cs="Times New Roman"/>
        </w:rPr>
        <w:t xml:space="preserve">The trial judge “acknowledge[d] Mr. Lafrance was youthful, </w:t>
      </w:r>
      <w:r>
        <w:rPr>
          <w:rFonts w:cs="Times New Roman"/>
        </w:rPr>
        <w:t>[</w:t>
      </w:r>
      <w:r w:rsidRPr="00D60576">
        <w:rPr>
          <w:rFonts w:cs="Times New Roman"/>
        </w:rPr>
        <w:t>I</w:t>
      </w:r>
      <w:r>
        <w:rPr>
          <w:rFonts w:cs="Times New Roman"/>
        </w:rPr>
        <w:t>]</w:t>
      </w:r>
      <w:r w:rsidRPr="00D60576">
        <w:rPr>
          <w:rFonts w:cs="Times New Roman"/>
        </w:rPr>
        <w:t>ndigenous and had minimal police exposure at that time” (para. 79). As to physical stature, “[i]t is clear [Mr.] Lafrance is physically smaller than Sgt. Eros and his partner” (para. 73). Moreover, the trial judge found that Mr. Lafrance was “demonstrably intelligent” and “not unsophisticated”, although he “was naïve in deciding his participation would counter police suspicion” (paras. 80</w:t>
      </w:r>
      <w:r w:rsidRPr="00D60576">
        <w:rPr>
          <w:rFonts w:cs="Times New Roman"/>
        </w:rPr>
        <w:noBreakHyphen/>
        <w:t>81</w:t>
      </w:r>
      <w:r>
        <w:rPr>
          <w:rFonts w:cs="Times New Roman"/>
        </w:rPr>
        <w:t xml:space="preserve"> and</w:t>
      </w:r>
      <w:r w:rsidRPr="00D60576">
        <w:rPr>
          <w:rFonts w:cs="Times New Roman"/>
        </w:rPr>
        <w:t xml:space="preserve"> 91).</w:t>
      </w:r>
    </w:p>
    <w:p w14:paraId="39183A04" w14:textId="77777777" w:rsidR="000975C6" w:rsidRPr="00D60576" w:rsidRDefault="000975C6" w:rsidP="000975C6">
      <w:pPr>
        <w:pStyle w:val="ParaNoNdepar-AltN"/>
        <w:rPr>
          <w:rFonts w:cs="Times New Roman"/>
        </w:rPr>
      </w:pPr>
      <w:r w:rsidRPr="00D60576">
        <w:rPr>
          <w:rFonts w:cs="Times New Roman"/>
        </w:rPr>
        <w:t xml:space="preserve">An individual’s youth, Indigenous background, lack of experience, and small stature are all material in determining whether police undermined statements that the subject was free to go. But such factors are </w:t>
      </w:r>
      <w:r w:rsidRPr="00D60576">
        <w:rPr>
          <w:rFonts w:cs="Times New Roman"/>
          <w:szCs w:val="24"/>
        </w:rPr>
        <w:t xml:space="preserve">not determinative. </w:t>
      </w:r>
      <w:r w:rsidRPr="00D60576">
        <w:rPr>
          <w:rFonts w:cs="Times New Roman"/>
        </w:rPr>
        <w:t xml:space="preserve">Yet the majority seems to say (at para. 54) that detention </w:t>
      </w:r>
      <w:r w:rsidRPr="00D60576">
        <w:rPr>
          <w:rFonts w:cs="Times New Roman"/>
          <w:i/>
        </w:rPr>
        <w:t xml:space="preserve">automatically </w:t>
      </w:r>
      <w:r w:rsidRPr="00D60576">
        <w:rPr>
          <w:rFonts w:cs="Times New Roman"/>
        </w:rPr>
        <w:t xml:space="preserve">arises where police interview a young adult after executing a search warrant at his or her residence. That the detention inquiry is objective does not mean the reviewing court must conduct an abstract analysis unsupported by evidence </w:t>
      </w:r>
      <w:r>
        <w:rPr>
          <w:rFonts w:cs="Times New Roman"/>
        </w:rPr>
        <w:t>(</w:t>
      </w:r>
      <w:r w:rsidRPr="00D60576">
        <w:rPr>
          <w:rFonts w:cs="Times New Roman"/>
          <w:i/>
        </w:rPr>
        <w:t>Grant</w:t>
      </w:r>
      <w:r w:rsidRPr="00D60576">
        <w:rPr>
          <w:rFonts w:cs="Times New Roman"/>
        </w:rPr>
        <w:t xml:space="preserve">, at para. 32; </w:t>
      </w:r>
      <w:r w:rsidRPr="00D60576">
        <w:rPr>
          <w:rFonts w:cs="Times New Roman"/>
          <w:i/>
        </w:rPr>
        <w:t>R. v. Suberu</w:t>
      </w:r>
      <w:r w:rsidRPr="00D60576">
        <w:rPr>
          <w:rFonts w:cs="Times New Roman"/>
        </w:rPr>
        <w:t>, 2009 SCC 33, [2009] 2 S.C.R. 460, at para. 28</w:t>
      </w:r>
      <w:r>
        <w:rPr>
          <w:rFonts w:cs="Times New Roman"/>
        </w:rPr>
        <w:t>)</w:t>
      </w:r>
      <w:r w:rsidRPr="00D60576">
        <w:rPr>
          <w:rFonts w:cs="Times New Roman"/>
        </w:rPr>
        <w:t xml:space="preserve">. Contrary to the majority’s claim (at para. 64), there is no evidentiary support for the assertion that the execution of the search warrant in this case was conducted in a manner that would make a reasonable person in </w:t>
      </w:r>
      <w:r>
        <w:rPr>
          <w:rFonts w:cs="Times New Roman"/>
        </w:rPr>
        <w:t>Mr. Lafrance</w:t>
      </w:r>
      <w:r w:rsidRPr="00D60576">
        <w:rPr>
          <w:rFonts w:cs="Times New Roman"/>
        </w:rPr>
        <w:t xml:space="preserve">’s position feel detained. It follows that the majority’s conclusions appear to be based on the circumstances of </w:t>
      </w:r>
      <w:r>
        <w:rPr>
          <w:rFonts w:cs="Times New Roman"/>
        </w:rPr>
        <w:t>Mr. Lafrance</w:t>
      </w:r>
      <w:r w:rsidRPr="00D60576">
        <w:rPr>
          <w:rFonts w:cs="Times New Roman"/>
        </w:rPr>
        <w:t xml:space="preserve"> only.</w:t>
      </w:r>
    </w:p>
    <w:p w14:paraId="717671CF" w14:textId="77777777" w:rsidR="000975C6" w:rsidRPr="00D60576" w:rsidRDefault="000975C6" w:rsidP="000975C6">
      <w:pPr>
        <w:pStyle w:val="ParaNoNdepar-AltN"/>
        <w:rPr>
          <w:rFonts w:cs="Times New Roman"/>
        </w:rPr>
      </w:pPr>
      <w:r w:rsidRPr="00D60576">
        <w:rPr>
          <w:rFonts w:cs="Times New Roman"/>
        </w:rPr>
        <w:lastRenderedPageBreak/>
        <w:t>Having regard to Mr. Lafrance’s particular circumstances, we acknowledge that police needed to tread carefully, but they did so, such that even having regard to Mr. Lafrance’s personal characteristics, he was not psychologically detained.</w:t>
      </w:r>
    </w:p>
    <w:p w14:paraId="67F9018A" w14:textId="77777777" w:rsidR="000975C6" w:rsidRPr="00D60576" w:rsidRDefault="000975C6" w:rsidP="000975C6">
      <w:pPr>
        <w:pStyle w:val="ParaNoNdepar-AltN"/>
        <w:rPr>
          <w:rFonts w:cs="Times New Roman"/>
        </w:rPr>
      </w:pPr>
      <w:r w:rsidRPr="00D60576">
        <w:rPr>
          <w:rFonts w:cs="Times New Roman"/>
        </w:rPr>
        <w:t xml:space="preserve">This conclusion is buttressed by the trial judge’s factual determinations as to Mr. Lafrance’s perceptions of the events. Such subjective considerations, although not determinative, help to </w:t>
      </w:r>
      <w:r>
        <w:rPr>
          <w:rFonts w:cs="Times New Roman"/>
        </w:rPr>
        <w:t>assess</w:t>
      </w:r>
      <w:r w:rsidRPr="00D60576">
        <w:rPr>
          <w:rFonts w:cs="Times New Roman"/>
        </w:rPr>
        <w:t xml:space="preserve"> whether a reasonable person in Mr. Lafrance’s position would have perceived</w:t>
      </w:r>
      <w:r>
        <w:rPr>
          <w:rFonts w:cs="Times New Roman"/>
        </w:rPr>
        <w:t xml:space="preserve"> the police conduct as coercive</w:t>
      </w:r>
      <w:r w:rsidRPr="00D60576">
        <w:rPr>
          <w:rFonts w:cs="Times New Roman"/>
        </w:rPr>
        <w:t xml:space="preserve"> </w:t>
      </w:r>
      <w:r>
        <w:rPr>
          <w:rFonts w:cs="Times New Roman"/>
        </w:rPr>
        <w:t>(</w:t>
      </w:r>
      <w:r w:rsidRPr="00D60576">
        <w:rPr>
          <w:rFonts w:cs="Times New Roman"/>
          <w:i/>
        </w:rPr>
        <w:t>Grant</w:t>
      </w:r>
      <w:r w:rsidRPr="00D60576">
        <w:rPr>
          <w:rFonts w:cs="Times New Roman"/>
        </w:rPr>
        <w:t xml:space="preserve">, at para. 32; </w:t>
      </w:r>
      <w:r w:rsidRPr="00D60576">
        <w:rPr>
          <w:rFonts w:cs="Times New Roman"/>
          <w:i/>
        </w:rPr>
        <w:t>Suberu</w:t>
      </w:r>
      <w:r w:rsidRPr="00D60576">
        <w:rPr>
          <w:rFonts w:cs="Times New Roman"/>
        </w:rPr>
        <w:t>, at paras. 28</w:t>
      </w:r>
      <w:r>
        <w:rPr>
          <w:rFonts w:cs="Times New Roman"/>
        </w:rPr>
        <w:t xml:space="preserve"> and</w:t>
      </w:r>
      <w:r w:rsidRPr="00D60576">
        <w:rPr>
          <w:rFonts w:cs="Times New Roman"/>
        </w:rPr>
        <w:t xml:space="preserve"> 32</w:t>
      </w:r>
      <w:r>
        <w:rPr>
          <w:rFonts w:cs="Times New Roman"/>
        </w:rPr>
        <w:t>)</w:t>
      </w:r>
      <w:r w:rsidRPr="00D60576">
        <w:rPr>
          <w:rFonts w:cs="Times New Roman"/>
        </w:rPr>
        <w:t>. The following findings of fact are particularly significant in this regard:</w:t>
      </w:r>
    </w:p>
    <w:p w14:paraId="56BD0856" w14:textId="77777777" w:rsidR="000975C6" w:rsidRPr="00D60576" w:rsidRDefault="000975C6" w:rsidP="000975C6">
      <w:pPr>
        <w:pStyle w:val="ParaNoNdepar-AltN"/>
        <w:numPr>
          <w:ilvl w:val="0"/>
          <w:numId w:val="43"/>
        </w:numPr>
        <w:ind w:left="1559" w:hanging="357"/>
        <w:rPr>
          <w:rFonts w:cs="Times New Roman"/>
        </w:rPr>
      </w:pPr>
      <w:r w:rsidRPr="00D60576">
        <w:rPr>
          <w:rFonts w:cs="Times New Roman"/>
        </w:rPr>
        <w:t>Mr. Lafrance “agreed he went to the detachment and then interviewed so he could allay suspicions and be discounted as a suspect. His comfortable demeanour and engagement indicate his participation was entirely voluntary and a produc</w:t>
      </w:r>
      <w:r>
        <w:rPr>
          <w:rFonts w:cs="Times New Roman"/>
        </w:rPr>
        <w:t>[t]</w:t>
      </w:r>
      <w:r w:rsidRPr="00D60576">
        <w:rPr>
          <w:rFonts w:cs="Times New Roman"/>
        </w:rPr>
        <w:t xml:space="preserve"> of deliberate choice” (</w:t>
      </w:r>
      <w:r>
        <w:rPr>
          <w:rFonts w:cs="Times New Roman"/>
        </w:rPr>
        <w:t>trial reasons</w:t>
      </w:r>
      <w:r w:rsidRPr="00D60576">
        <w:rPr>
          <w:rFonts w:cs="Times New Roman"/>
        </w:rPr>
        <w:t>, at para. 44);</w:t>
      </w:r>
    </w:p>
    <w:p w14:paraId="2CF5B917" w14:textId="77777777" w:rsidR="000975C6" w:rsidRPr="00D60576" w:rsidRDefault="000975C6" w:rsidP="000975C6">
      <w:pPr>
        <w:pStyle w:val="ParaNoNdepar-AltN"/>
        <w:numPr>
          <w:ilvl w:val="0"/>
          <w:numId w:val="43"/>
        </w:numPr>
        <w:ind w:left="1559" w:hanging="357"/>
        <w:rPr>
          <w:rFonts w:cs="Times New Roman"/>
        </w:rPr>
      </w:pPr>
      <w:r w:rsidRPr="00D60576">
        <w:rPr>
          <w:rFonts w:cs="Times New Roman"/>
        </w:rPr>
        <w:t xml:space="preserve">“[T]hroughout the process </w:t>
      </w:r>
      <w:r>
        <w:rPr>
          <w:rFonts w:cs="Times New Roman"/>
        </w:rPr>
        <w:t>[Mr.] </w:t>
      </w:r>
      <w:r w:rsidRPr="00D60576">
        <w:rPr>
          <w:rFonts w:cs="Times New Roman"/>
        </w:rPr>
        <w:t xml:space="preserve">Lafrance never appears to be compelled, frightened or intimidated. He appears at ease. </w:t>
      </w:r>
      <w:r>
        <w:rPr>
          <w:rFonts w:cs="Times New Roman"/>
        </w:rPr>
        <w:t>[Mr.] </w:t>
      </w:r>
      <w:r w:rsidRPr="00D60576">
        <w:rPr>
          <w:rFonts w:cs="Times New Roman"/>
        </w:rPr>
        <w:t xml:space="preserve">Lafrance is cooperative throughout the interview. His manner is friendly and open. There is no indication of defensive body language. Instead, at points </w:t>
      </w:r>
      <w:r>
        <w:rPr>
          <w:rFonts w:cs="Times New Roman"/>
        </w:rPr>
        <w:t>[Mr.] </w:t>
      </w:r>
      <w:r w:rsidRPr="00D60576">
        <w:rPr>
          <w:rFonts w:cs="Times New Roman"/>
        </w:rPr>
        <w:t>Lafrance leans forward, into the conversation” (para. 73);</w:t>
      </w:r>
    </w:p>
    <w:p w14:paraId="69CA65C5" w14:textId="77777777" w:rsidR="000975C6" w:rsidRPr="00D60576" w:rsidRDefault="000975C6" w:rsidP="000975C6">
      <w:pPr>
        <w:pStyle w:val="ParaNoNdepar-AltN"/>
        <w:numPr>
          <w:ilvl w:val="0"/>
          <w:numId w:val="43"/>
        </w:numPr>
        <w:ind w:left="1559" w:hanging="357"/>
        <w:rPr>
          <w:rFonts w:cs="Times New Roman"/>
        </w:rPr>
      </w:pPr>
      <w:r w:rsidRPr="00D60576">
        <w:rPr>
          <w:rFonts w:cs="Times New Roman"/>
        </w:rPr>
        <w:lastRenderedPageBreak/>
        <w:t>Mr. Lafrance “understood police direction that he was free to leave at any time. He also acknowledged tactically answering questions to counter police suspicion” (para. 74).</w:t>
      </w:r>
    </w:p>
    <w:p w14:paraId="14AF1C2C" w14:textId="77777777" w:rsidR="000975C6" w:rsidRPr="00D60576" w:rsidRDefault="000975C6" w:rsidP="000975C6">
      <w:pPr>
        <w:pStyle w:val="ParaNoNdepar-AltN"/>
        <w:rPr>
          <w:rFonts w:cs="Times New Roman"/>
        </w:rPr>
      </w:pPr>
      <w:r w:rsidRPr="00D60576">
        <w:rPr>
          <w:rFonts w:cs="Times New Roman"/>
        </w:rPr>
        <w:t>These findings of fact confirm what is otherwise objectively ascertainable: a reasonable person in Mr. Lafrance’s shoes would not have perceived the police conduct as a significant deprivation of his liberty. Police did not exert pressure or control over him. Indeed, Mr. Lafrance himself was eager to cooperate so as to allay suspicions. This, too, militates against a finding of psychological detention.</w:t>
      </w:r>
    </w:p>
    <w:p w14:paraId="1CD88327" w14:textId="77777777" w:rsidR="000975C6" w:rsidRPr="00D60576" w:rsidRDefault="000975C6" w:rsidP="000975C6">
      <w:pPr>
        <w:pStyle w:val="Title3LevelTitre3Niveau"/>
        <w:jc w:val="both"/>
        <w:rPr>
          <w:rFonts w:cs="Times New Roman"/>
        </w:rPr>
      </w:pPr>
      <w:r w:rsidRPr="00D60576">
        <w:rPr>
          <w:rFonts w:cs="Times New Roman"/>
        </w:rPr>
        <w:t>Conclusion</w:t>
      </w:r>
    </w:p>
    <w:p w14:paraId="392C275D" w14:textId="77777777" w:rsidR="000975C6" w:rsidRPr="00D60576" w:rsidRDefault="000975C6" w:rsidP="000975C6">
      <w:pPr>
        <w:pStyle w:val="ParaNoNdepar-AltN"/>
        <w:rPr>
          <w:rFonts w:cs="Times New Roman"/>
        </w:rPr>
      </w:pPr>
      <w:r w:rsidRPr="00D60576">
        <w:rPr>
          <w:rFonts w:cs="Times New Roman"/>
        </w:rPr>
        <w:t>We conclude Mr. Lafrance was not detained within the meaning of s</w:t>
      </w:r>
      <w:r>
        <w:rPr>
          <w:rFonts w:cs="Times New Roman"/>
        </w:rPr>
        <w:t>s</w:t>
      </w:r>
      <w:r w:rsidRPr="00D60576">
        <w:rPr>
          <w:rFonts w:cs="Times New Roman"/>
        </w:rPr>
        <w:t>. </w:t>
      </w:r>
      <w:r>
        <w:rPr>
          <w:rFonts w:cs="Times New Roman"/>
        </w:rPr>
        <w:t xml:space="preserve">9 and </w:t>
      </w:r>
      <w:r w:rsidRPr="00D60576">
        <w:rPr>
          <w:rFonts w:cs="Times New Roman"/>
        </w:rPr>
        <w:t>10(</w:t>
      </w:r>
      <w:r w:rsidRPr="000725E0">
        <w:rPr>
          <w:rFonts w:cs="Times New Roman"/>
        </w:rPr>
        <w:t>b</w:t>
      </w:r>
      <w:r w:rsidRPr="00D60576">
        <w:rPr>
          <w:rFonts w:cs="Times New Roman"/>
        </w:rPr>
        <w:t xml:space="preserve">) of the </w:t>
      </w:r>
      <w:r w:rsidRPr="00D60576">
        <w:rPr>
          <w:rFonts w:cs="Times New Roman"/>
          <w:i/>
        </w:rPr>
        <w:t xml:space="preserve">Charter </w:t>
      </w:r>
      <w:r w:rsidRPr="00D60576">
        <w:rPr>
          <w:rFonts w:cs="Times New Roman"/>
        </w:rPr>
        <w:t>in his interactions with police on March 19, 2015. Based on a deferential approach to the trial judge’s findings of fact, a reasonable person in Mr. Lafrance’s position would not have felt compelled to go to the police station and participate in the interview. This conclusion is reinforced by the fact that he chose to cooperate</w:t>
      </w:r>
      <w:r>
        <w:rPr>
          <w:rFonts w:cs="Times New Roman"/>
        </w:rPr>
        <w:t>,</w:t>
      </w:r>
      <w:r w:rsidRPr="00D60576">
        <w:rPr>
          <w:rFonts w:cs="Times New Roman"/>
        </w:rPr>
        <w:t xml:space="preserve"> seeking to allay police suspicion. Mr. Lafrance’s objective personal characteristics, although significant to the inquiry, do not turn the tide in these circumstances.</w:t>
      </w:r>
    </w:p>
    <w:p w14:paraId="6DEEFD77" w14:textId="77777777" w:rsidR="000975C6" w:rsidRPr="00D60576" w:rsidRDefault="000975C6" w:rsidP="000975C6">
      <w:pPr>
        <w:pStyle w:val="Title2LevelTitre2Niveau"/>
        <w:jc w:val="both"/>
        <w:rPr>
          <w:rFonts w:cs="Times New Roman"/>
        </w:rPr>
      </w:pPr>
      <w:r>
        <w:rPr>
          <w:rFonts w:cs="Times New Roman"/>
        </w:rPr>
        <w:t>Mr. Lafrance</w:t>
      </w:r>
      <w:r w:rsidRPr="00D60576">
        <w:rPr>
          <w:rFonts w:cs="Times New Roman"/>
        </w:rPr>
        <w:t xml:space="preserve">’s </w:t>
      </w:r>
      <w:r>
        <w:rPr>
          <w:rFonts w:cs="Times New Roman"/>
        </w:rPr>
        <w:t>Section</w:t>
      </w:r>
      <w:r w:rsidRPr="00D60576">
        <w:rPr>
          <w:rFonts w:cs="Times New Roman"/>
        </w:rPr>
        <w:t xml:space="preserve"> 10(b) </w:t>
      </w:r>
      <w:r>
        <w:rPr>
          <w:rFonts w:cs="Times New Roman"/>
        </w:rPr>
        <w:t>Right to C</w:t>
      </w:r>
      <w:r w:rsidRPr="00D60576">
        <w:rPr>
          <w:rFonts w:cs="Times New Roman"/>
        </w:rPr>
        <w:t>ounsel</w:t>
      </w:r>
      <w:r>
        <w:rPr>
          <w:rFonts w:cs="Times New Roman"/>
        </w:rPr>
        <w:t xml:space="preserve"> W</w:t>
      </w:r>
      <w:r w:rsidRPr="00D60576">
        <w:rPr>
          <w:rFonts w:cs="Times New Roman"/>
        </w:rPr>
        <w:t xml:space="preserve">as </w:t>
      </w:r>
      <w:r>
        <w:rPr>
          <w:rFonts w:cs="Times New Roman"/>
        </w:rPr>
        <w:t>N</w:t>
      </w:r>
      <w:r w:rsidRPr="00D60576">
        <w:rPr>
          <w:rFonts w:cs="Times New Roman"/>
        </w:rPr>
        <w:t>ot</w:t>
      </w:r>
      <w:r>
        <w:rPr>
          <w:rFonts w:cs="Times New Roman"/>
        </w:rPr>
        <w:t xml:space="preserve"> V</w:t>
      </w:r>
      <w:r w:rsidRPr="00D60576">
        <w:rPr>
          <w:rFonts w:cs="Times New Roman"/>
        </w:rPr>
        <w:t xml:space="preserve">iolated on April 7, 2015, </w:t>
      </w:r>
      <w:r>
        <w:rPr>
          <w:rFonts w:cs="Times New Roman"/>
        </w:rPr>
        <w:t>W</w:t>
      </w:r>
      <w:r w:rsidRPr="00D60576">
        <w:rPr>
          <w:rFonts w:cs="Times New Roman"/>
        </w:rPr>
        <w:t xml:space="preserve">hen </w:t>
      </w:r>
      <w:r>
        <w:rPr>
          <w:rFonts w:cs="Times New Roman"/>
        </w:rPr>
        <w:t>H</w:t>
      </w:r>
      <w:r w:rsidRPr="00D60576">
        <w:rPr>
          <w:rFonts w:cs="Times New Roman"/>
        </w:rPr>
        <w:t xml:space="preserve">e </w:t>
      </w:r>
      <w:r>
        <w:rPr>
          <w:rFonts w:cs="Times New Roman"/>
        </w:rPr>
        <w:t>Was Not P</w:t>
      </w:r>
      <w:r w:rsidRPr="00D60576">
        <w:rPr>
          <w:rFonts w:cs="Times New Roman"/>
        </w:rPr>
        <w:t xml:space="preserve">ermitted a </w:t>
      </w:r>
      <w:r>
        <w:rPr>
          <w:rFonts w:cs="Times New Roman"/>
        </w:rPr>
        <w:t>S</w:t>
      </w:r>
      <w:r w:rsidRPr="00D60576">
        <w:rPr>
          <w:rFonts w:cs="Times New Roman"/>
        </w:rPr>
        <w:t xml:space="preserve">econd </w:t>
      </w:r>
      <w:r>
        <w:rPr>
          <w:rFonts w:cs="Times New Roman"/>
        </w:rPr>
        <w:t>Consultation With C</w:t>
      </w:r>
      <w:r w:rsidRPr="00D60576">
        <w:rPr>
          <w:rFonts w:cs="Times New Roman"/>
        </w:rPr>
        <w:t>ounsel</w:t>
      </w:r>
    </w:p>
    <w:p w14:paraId="047EA08A" w14:textId="77777777" w:rsidR="000975C6" w:rsidRPr="00D60576" w:rsidRDefault="000975C6" w:rsidP="000975C6">
      <w:pPr>
        <w:pStyle w:val="ParaNoNdepar-AltN"/>
        <w:tabs>
          <w:tab w:val="clear" w:pos="1152"/>
          <w:tab w:val="left" w:pos="1166"/>
        </w:tabs>
        <w:rPr>
          <w:rFonts w:cs="Times New Roman"/>
        </w:rPr>
      </w:pPr>
      <w:r w:rsidRPr="00D60576">
        <w:rPr>
          <w:rFonts w:cs="Times New Roman"/>
        </w:rPr>
        <w:lastRenderedPageBreak/>
        <w:t>Mr. Lafrance’s next argument is that when he was inter</w:t>
      </w:r>
      <w:r>
        <w:rPr>
          <w:rFonts w:cs="Times New Roman"/>
        </w:rPr>
        <w:t>viewed</w:t>
      </w:r>
      <w:r w:rsidRPr="00D60576">
        <w:rPr>
          <w:rFonts w:cs="Times New Roman"/>
        </w:rPr>
        <w:t xml:space="preserve"> on April 7, 2015, t</w:t>
      </w:r>
      <w:r w:rsidRPr="00D60576">
        <w:rPr>
          <w:rFonts w:cs="Times New Roman"/>
          <w:szCs w:val="24"/>
        </w:rPr>
        <w:t xml:space="preserve">he police should have </w:t>
      </w:r>
      <w:r w:rsidRPr="00D60576">
        <w:rPr>
          <w:rFonts w:cs="Times New Roman"/>
        </w:rPr>
        <w:t xml:space="preserve">permitted him to have a second consultation with counsel. He argues that when police did not permit this, his </w:t>
      </w:r>
      <w:r>
        <w:rPr>
          <w:rFonts w:cs="Times New Roman"/>
        </w:rPr>
        <w:t>s. </w:t>
      </w:r>
      <w:r w:rsidRPr="00D60576">
        <w:rPr>
          <w:rFonts w:cs="Times New Roman"/>
        </w:rPr>
        <w:t>10(</w:t>
      </w:r>
      <w:r w:rsidRPr="000725E0">
        <w:rPr>
          <w:rFonts w:cs="Times New Roman"/>
        </w:rPr>
        <w:t>b</w:t>
      </w:r>
      <w:r w:rsidRPr="00D60576">
        <w:rPr>
          <w:rFonts w:cs="Times New Roman"/>
        </w:rPr>
        <w:t>) right</w:t>
      </w:r>
      <w:r>
        <w:rPr>
          <w:rFonts w:cs="Times New Roman"/>
        </w:rPr>
        <w:t>s</w:t>
      </w:r>
      <w:r w:rsidRPr="00D60576">
        <w:rPr>
          <w:rFonts w:cs="Times New Roman"/>
        </w:rPr>
        <w:t xml:space="preserve"> w</w:t>
      </w:r>
      <w:r>
        <w:rPr>
          <w:rFonts w:cs="Times New Roman"/>
        </w:rPr>
        <w:t>ere</w:t>
      </w:r>
      <w:r w:rsidRPr="00D60576">
        <w:rPr>
          <w:rFonts w:cs="Times New Roman"/>
        </w:rPr>
        <w:t xml:space="preserve"> infringed. The majority agrees. With respect, we do not.</w:t>
      </w:r>
    </w:p>
    <w:p w14:paraId="08E18D9A" w14:textId="77777777" w:rsidR="000975C6" w:rsidRPr="00D60576" w:rsidRDefault="000975C6" w:rsidP="000975C6">
      <w:pPr>
        <w:pStyle w:val="Title3LevelTitre3Niveau"/>
        <w:jc w:val="both"/>
        <w:rPr>
          <w:rFonts w:cs="Times New Roman"/>
        </w:rPr>
      </w:pPr>
      <w:r w:rsidRPr="00D60576">
        <w:rPr>
          <w:rFonts w:cs="Times New Roman"/>
        </w:rPr>
        <w:t>Legal Principles</w:t>
      </w:r>
    </w:p>
    <w:p w14:paraId="5001FAA7" w14:textId="77777777" w:rsidR="000975C6" w:rsidRPr="00D60576" w:rsidRDefault="000975C6" w:rsidP="000975C6">
      <w:pPr>
        <w:pStyle w:val="ParaNoNdepar-AltN"/>
        <w:rPr>
          <w:rFonts w:cs="Times New Roman"/>
        </w:rPr>
      </w:pPr>
      <w:r w:rsidRPr="00D60576">
        <w:rPr>
          <w:rFonts w:cs="Times New Roman"/>
        </w:rPr>
        <w:t xml:space="preserve">This issue is governed by this Court’s decisions in </w:t>
      </w:r>
      <w:r w:rsidRPr="00D60576">
        <w:rPr>
          <w:rFonts w:cs="Times New Roman"/>
          <w:i/>
          <w:shd w:val="clear" w:color="auto" w:fill="FFFFFF"/>
          <w:lang w:val="en-GB"/>
        </w:rPr>
        <w:t>Sinclair</w:t>
      </w:r>
      <w:r w:rsidRPr="00D60576">
        <w:rPr>
          <w:rFonts w:cs="Times New Roman"/>
          <w:shd w:val="clear" w:color="auto" w:fill="FFFFFF"/>
          <w:lang w:val="en-GB"/>
        </w:rPr>
        <w:t xml:space="preserve"> and its companion cases </w:t>
      </w:r>
      <w:r w:rsidRPr="00D60576">
        <w:rPr>
          <w:rFonts w:cs="Times New Roman"/>
          <w:i/>
          <w:shd w:val="clear" w:color="auto" w:fill="FFFFFF"/>
          <w:lang w:val="en-GB"/>
        </w:rPr>
        <w:t>R. </w:t>
      </w:r>
      <w:r w:rsidRPr="00D60576">
        <w:rPr>
          <w:rFonts w:cs="Times New Roman"/>
          <w:i/>
          <w:iCs/>
          <w:shd w:val="clear" w:color="auto" w:fill="FFFFFF"/>
          <w:lang w:val="en-GB"/>
        </w:rPr>
        <w:t>v.</w:t>
      </w:r>
      <w:r w:rsidRPr="00D60576">
        <w:rPr>
          <w:rFonts w:cs="Times New Roman"/>
          <w:i/>
          <w:shd w:val="clear" w:color="auto" w:fill="FFFFFF"/>
          <w:lang w:val="en-GB"/>
        </w:rPr>
        <w:t> McCrimmon</w:t>
      </w:r>
      <w:r w:rsidRPr="00D60576">
        <w:rPr>
          <w:rFonts w:cs="Times New Roman"/>
          <w:shd w:val="clear" w:color="auto" w:fill="FFFFFF"/>
        </w:rPr>
        <w:t xml:space="preserve">, 2010 SCC 36, [2010] 2 S.C.R </w:t>
      </w:r>
      <w:r>
        <w:rPr>
          <w:rFonts w:cs="Times New Roman"/>
          <w:shd w:val="clear" w:color="auto" w:fill="FFFFFF"/>
        </w:rPr>
        <w:t xml:space="preserve">402, </w:t>
      </w:r>
      <w:r w:rsidRPr="00D60576">
        <w:rPr>
          <w:rFonts w:cs="Times New Roman"/>
          <w:shd w:val="clear" w:color="auto" w:fill="FFFFFF"/>
        </w:rPr>
        <w:t xml:space="preserve">and </w:t>
      </w:r>
      <w:r w:rsidRPr="00D60576">
        <w:rPr>
          <w:rFonts w:cs="Times New Roman"/>
          <w:i/>
          <w:shd w:val="clear" w:color="auto" w:fill="FFFFFF"/>
          <w:lang w:val="en-GB"/>
        </w:rPr>
        <w:t>R. </w:t>
      </w:r>
      <w:r w:rsidRPr="00D60576">
        <w:rPr>
          <w:rFonts w:cs="Times New Roman"/>
          <w:i/>
          <w:iCs/>
          <w:shd w:val="clear" w:color="auto" w:fill="FFFFFF"/>
          <w:lang w:val="en-GB"/>
        </w:rPr>
        <w:t>v.</w:t>
      </w:r>
      <w:r w:rsidRPr="00D60576">
        <w:rPr>
          <w:rFonts w:cs="Times New Roman"/>
          <w:i/>
          <w:shd w:val="clear" w:color="auto" w:fill="FFFFFF"/>
          <w:lang w:val="en-GB"/>
        </w:rPr>
        <w:t> Willier</w:t>
      </w:r>
      <w:r w:rsidRPr="00D60576">
        <w:rPr>
          <w:rFonts w:cs="Times New Roman"/>
          <w:shd w:val="clear" w:color="auto" w:fill="FFFFFF"/>
        </w:rPr>
        <w:t>, 2010 SCC 37, [2010] 2 S.C.R. 429</w:t>
      </w:r>
      <w:r>
        <w:rPr>
          <w:rFonts w:cs="Times New Roman"/>
          <w:shd w:val="clear" w:color="auto" w:fill="FFFFFF"/>
        </w:rPr>
        <w:t>.</w:t>
      </w:r>
    </w:p>
    <w:p w14:paraId="76F9AADC" w14:textId="77777777" w:rsidR="000975C6" w:rsidRPr="00D60576" w:rsidRDefault="000975C6" w:rsidP="000975C6">
      <w:pPr>
        <w:pStyle w:val="ParaNoNdepar-AltN"/>
        <w:rPr>
          <w:rFonts w:cs="Times New Roman"/>
        </w:rPr>
      </w:pPr>
      <w:r w:rsidRPr="00D60576">
        <w:rPr>
          <w:rFonts w:cs="Times New Roman"/>
        </w:rPr>
        <w:t>Section 10(</w:t>
      </w:r>
      <w:r w:rsidRPr="000725E0">
        <w:rPr>
          <w:rFonts w:cs="Times New Roman"/>
        </w:rPr>
        <w:t>b</w:t>
      </w:r>
      <w:r w:rsidRPr="00D60576">
        <w:rPr>
          <w:rFonts w:cs="Times New Roman"/>
        </w:rPr>
        <w:t>)’s purpose is to provide a detainee with an opportunity to obtain information and legal advi</w:t>
      </w:r>
      <w:r>
        <w:rPr>
          <w:rFonts w:cs="Times New Roman"/>
        </w:rPr>
        <w:t>ce relevant to his or her</w:t>
      </w:r>
      <w:r w:rsidRPr="00D60576">
        <w:rPr>
          <w:rFonts w:cs="Times New Roman"/>
        </w:rPr>
        <w:t xml:space="preserve"> legal situation upon detention </w:t>
      </w:r>
      <w:r>
        <w:rPr>
          <w:rFonts w:cs="Times New Roman"/>
        </w:rPr>
        <w:t>(</w:t>
      </w:r>
      <w:r w:rsidRPr="00D60576">
        <w:rPr>
          <w:rFonts w:cs="Times New Roman"/>
          <w:i/>
        </w:rPr>
        <w:t>Sinclair</w:t>
      </w:r>
      <w:r w:rsidRPr="00D60576">
        <w:rPr>
          <w:rFonts w:cs="Times New Roman"/>
        </w:rPr>
        <w:t>, at paras. </w:t>
      </w:r>
      <w:r>
        <w:rPr>
          <w:rFonts w:cs="Times New Roman"/>
        </w:rPr>
        <w:t>25 and</w:t>
      </w:r>
      <w:r w:rsidRPr="00D60576">
        <w:rPr>
          <w:rFonts w:cs="Times New Roman"/>
        </w:rPr>
        <w:t xml:space="preserve"> 31</w:t>
      </w:r>
      <w:r>
        <w:rPr>
          <w:rFonts w:cs="Times New Roman"/>
        </w:rPr>
        <w:t>)</w:t>
      </w:r>
      <w:r w:rsidRPr="00D60576">
        <w:rPr>
          <w:rFonts w:cs="Times New Roman"/>
        </w:rPr>
        <w:t>. The protection offered by s. 10(</w:t>
      </w:r>
      <w:r w:rsidRPr="000725E0">
        <w:rPr>
          <w:rFonts w:cs="Times New Roman"/>
        </w:rPr>
        <w:t>b</w:t>
      </w:r>
      <w:r w:rsidRPr="00D60576">
        <w:rPr>
          <w:rFonts w:cs="Times New Roman"/>
        </w:rPr>
        <w:t xml:space="preserve">) ensures </w:t>
      </w:r>
      <w:r>
        <w:rPr>
          <w:rFonts w:cs="Times New Roman"/>
        </w:rPr>
        <w:t>“</w:t>
      </w:r>
      <w:r w:rsidRPr="00D60576">
        <w:rPr>
          <w:rFonts w:cs="Times New Roman"/>
        </w:rPr>
        <w:t xml:space="preserve">that a suspect is able to make a choice to speak to the police </w:t>
      </w:r>
      <w:r>
        <w:rPr>
          <w:rFonts w:cs="Times New Roman"/>
        </w:rPr>
        <w:t xml:space="preserve">investigators </w:t>
      </w:r>
      <w:r w:rsidRPr="00D60576">
        <w:rPr>
          <w:rFonts w:cs="Times New Roman"/>
        </w:rPr>
        <w:t>that is both free and informed</w:t>
      </w:r>
      <w:r>
        <w:rPr>
          <w:rFonts w:cs="Times New Roman"/>
        </w:rPr>
        <w:t>”</w:t>
      </w:r>
      <w:r w:rsidRPr="00D60576">
        <w:rPr>
          <w:rFonts w:cs="Times New Roman"/>
        </w:rPr>
        <w:t xml:space="preserve"> </w:t>
      </w:r>
      <w:r>
        <w:rPr>
          <w:rFonts w:cs="Times New Roman"/>
        </w:rPr>
        <w:t>(</w:t>
      </w:r>
      <w:r w:rsidRPr="00D60576">
        <w:rPr>
          <w:rFonts w:cs="Times New Roman"/>
          <w:i/>
        </w:rPr>
        <w:t>Sinclair</w:t>
      </w:r>
      <w:r w:rsidRPr="00D60576">
        <w:rPr>
          <w:rFonts w:cs="Times New Roman"/>
        </w:rPr>
        <w:t xml:space="preserve">, at paras. 25 and 32, citing </w:t>
      </w:r>
      <w:r w:rsidRPr="00D60576">
        <w:rPr>
          <w:rFonts w:cs="Times New Roman"/>
          <w:i/>
        </w:rPr>
        <w:t>R. v. Hebert</w:t>
      </w:r>
      <w:r w:rsidRPr="00D60576">
        <w:rPr>
          <w:rFonts w:cs="Times New Roman"/>
        </w:rPr>
        <w:t>, [1990] 2 S.C.R. 151, at pp. 176</w:t>
      </w:r>
      <w:r w:rsidRPr="00D60576">
        <w:rPr>
          <w:rFonts w:cs="Times New Roman"/>
        </w:rPr>
        <w:noBreakHyphen/>
        <w:t>77</w:t>
      </w:r>
      <w:r>
        <w:rPr>
          <w:rFonts w:cs="Times New Roman"/>
        </w:rPr>
        <w:t>)</w:t>
      </w:r>
      <w:r w:rsidRPr="00D60576">
        <w:rPr>
          <w:rFonts w:cs="Times New Roman"/>
        </w:rPr>
        <w:t>.</w:t>
      </w:r>
    </w:p>
    <w:p w14:paraId="631CC416" w14:textId="77777777" w:rsidR="000975C6" w:rsidRPr="00D60576" w:rsidRDefault="000975C6" w:rsidP="000975C6">
      <w:pPr>
        <w:pStyle w:val="ParaNoNdepar-AltN"/>
        <w:rPr>
          <w:rFonts w:cs="Times New Roman"/>
        </w:rPr>
      </w:pPr>
      <w:r w:rsidRPr="00D60576">
        <w:rPr>
          <w:rFonts w:cs="Times New Roman"/>
        </w:rPr>
        <w:t>The majority suggests that s. 10(</w:t>
      </w:r>
      <w:r w:rsidRPr="000725E0">
        <w:rPr>
          <w:rFonts w:cs="Times New Roman"/>
        </w:rPr>
        <w:t>b</w:t>
      </w:r>
      <w:r w:rsidRPr="00D60576">
        <w:rPr>
          <w:rFonts w:cs="Times New Roman"/>
        </w:rPr>
        <w:t xml:space="preserve">)’s purpose is to mitigate the imbalance between the individual and the state, similar to the purposes of s. 9 </w:t>
      </w:r>
      <w:r>
        <w:rPr>
          <w:rFonts w:cs="Times New Roman"/>
        </w:rPr>
        <w:t>(</w:t>
      </w:r>
      <w:r w:rsidRPr="00D60576">
        <w:rPr>
          <w:rFonts w:cs="Times New Roman"/>
        </w:rPr>
        <w:t>see the majority’s reasons</w:t>
      </w:r>
      <w:r>
        <w:rPr>
          <w:rFonts w:cs="Times New Roman"/>
        </w:rPr>
        <w:t>,</w:t>
      </w:r>
      <w:r w:rsidRPr="00D60576">
        <w:rPr>
          <w:rFonts w:cs="Times New Roman"/>
        </w:rPr>
        <w:t xml:space="preserve"> at paras. 76</w:t>
      </w:r>
      <w:r w:rsidRPr="00D60576">
        <w:rPr>
          <w:rFonts w:cs="Times New Roman"/>
        </w:rPr>
        <w:noBreakHyphen/>
      </w:r>
      <w:r>
        <w:rPr>
          <w:rFonts w:cs="Times New Roman"/>
        </w:rPr>
        <w:t>7</w:t>
      </w:r>
      <w:r w:rsidRPr="00D60576">
        <w:rPr>
          <w:rFonts w:cs="Times New Roman"/>
        </w:rPr>
        <w:t>7</w:t>
      </w:r>
      <w:r>
        <w:rPr>
          <w:rFonts w:cs="Times New Roman"/>
        </w:rPr>
        <w:t>)</w:t>
      </w:r>
      <w:r w:rsidRPr="00D60576">
        <w:rPr>
          <w:rFonts w:cs="Times New Roman"/>
        </w:rPr>
        <w:t xml:space="preserve">. This is not accurate. To the contrary, this Court in </w:t>
      </w:r>
      <w:r w:rsidRPr="00D60576">
        <w:rPr>
          <w:rFonts w:cs="Times New Roman"/>
          <w:i/>
        </w:rPr>
        <w:t>Sinclair</w:t>
      </w:r>
      <w:r w:rsidRPr="00D60576">
        <w:rPr>
          <w:rFonts w:cs="Times New Roman"/>
        </w:rPr>
        <w:t xml:space="preserve"> expressly rejected this view, stating at paras. 30</w:t>
      </w:r>
      <w:r w:rsidRPr="00D60576">
        <w:rPr>
          <w:rFonts w:cs="Times New Roman"/>
        </w:rPr>
        <w:noBreakHyphen/>
        <w:t>31:</w:t>
      </w:r>
    </w:p>
    <w:p w14:paraId="619B7E18" w14:textId="77777777" w:rsidR="000975C6" w:rsidRPr="00D60576" w:rsidRDefault="000975C6" w:rsidP="000975C6">
      <w:pPr>
        <w:pStyle w:val="Citation-AltC"/>
        <w:ind w:firstLine="274"/>
      </w:pPr>
      <w:r w:rsidRPr="00D60576">
        <w:t xml:space="preserve">Mr. Sinclair argues that the purpose </w:t>
      </w:r>
      <w:r w:rsidRPr="00CE2AB7">
        <w:t>of s. 10(</w:t>
      </w:r>
      <w:r w:rsidRPr="00D60576">
        <w:rPr>
          <w:i/>
          <w:iCs/>
        </w:rPr>
        <w:t>b</w:t>
      </w:r>
      <w:r w:rsidRPr="00D60576">
        <w:t>) is broader than this. In his view, accepted by our colleagues LeBel and Fish JJ., the purpose of</w:t>
      </w:r>
      <w:r w:rsidRPr="00CE2AB7">
        <w:t xml:space="preserve"> </w:t>
      </w:r>
      <w:r w:rsidRPr="00CE2AB7">
        <w:lastRenderedPageBreak/>
        <w:t>s. 10</w:t>
      </w:r>
      <w:r w:rsidRPr="00D60576">
        <w:t>(</w:t>
      </w:r>
      <w:r w:rsidRPr="00D60576">
        <w:rPr>
          <w:i/>
          <w:iCs/>
        </w:rPr>
        <w:t>b</w:t>
      </w:r>
      <w:r w:rsidRPr="00D60576">
        <w:t xml:space="preserve">) is to advise the detainee on how to deal with police questions. The detainee, it is argued, is in the power of the police. </w:t>
      </w:r>
      <w:r w:rsidRPr="00D60576">
        <w:rPr>
          <w:u w:val="single"/>
        </w:rPr>
        <w:t>The purpose of</w:t>
      </w:r>
      <w:r w:rsidRPr="00CE2AB7">
        <w:rPr>
          <w:u w:val="single"/>
        </w:rPr>
        <w:t xml:space="preserve"> s. 10</w:t>
      </w:r>
      <w:r w:rsidRPr="00D60576">
        <w:rPr>
          <w:u w:val="single"/>
        </w:rPr>
        <w:t>(</w:t>
      </w:r>
      <w:r w:rsidRPr="00D60576">
        <w:rPr>
          <w:i/>
          <w:iCs/>
          <w:u w:val="single"/>
        </w:rPr>
        <w:t>b</w:t>
      </w:r>
      <w:r w:rsidRPr="00D60576">
        <w:rPr>
          <w:u w:val="single"/>
        </w:rPr>
        <w:t>) is to restore a power-balance between the detainee and the police in the coercive atmosphere of the police investigation. On this view, the purpose of the right is not so much informational as protective.</w:t>
      </w:r>
    </w:p>
    <w:p w14:paraId="25415375" w14:textId="77777777" w:rsidR="000975C6" w:rsidRPr="00D60576" w:rsidRDefault="000975C6" w:rsidP="000975C6">
      <w:pPr>
        <w:pStyle w:val="Citation-AltC"/>
      </w:pPr>
    </w:p>
    <w:p w14:paraId="562B8931" w14:textId="77777777" w:rsidR="000975C6" w:rsidRPr="00D60576" w:rsidRDefault="000975C6" w:rsidP="000975C6">
      <w:pPr>
        <w:pStyle w:val="Citation-AltC"/>
        <w:ind w:firstLine="274"/>
      </w:pPr>
      <w:r w:rsidRPr="00D60576">
        <w:rPr>
          <w:u w:val="single"/>
        </w:rPr>
        <w:t xml:space="preserve">We cannot accept this view of the purpose of </w:t>
      </w:r>
      <w:r w:rsidRPr="00CE2AB7">
        <w:rPr>
          <w:u w:val="single"/>
        </w:rPr>
        <w:t>s. 10</w:t>
      </w:r>
      <w:r w:rsidRPr="00D60576">
        <w:rPr>
          <w:u w:val="single"/>
        </w:rPr>
        <w:t>(</w:t>
      </w:r>
      <w:r w:rsidRPr="00D60576">
        <w:rPr>
          <w:i/>
          <w:iCs/>
          <w:u w:val="single"/>
        </w:rPr>
        <w:t>b</w:t>
      </w:r>
      <w:r w:rsidRPr="00D60576">
        <w:rPr>
          <w:u w:val="single"/>
        </w:rPr>
        <w:t>).</w:t>
      </w:r>
      <w:r w:rsidRPr="00D60576">
        <w:t xml:space="preserve"> As will be discussed more fully below, this view of</w:t>
      </w:r>
      <w:r w:rsidRPr="00CE2AB7">
        <w:t xml:space="preserve"> s. 10</w:t>
      </w:r>
      <w:r w:rsidRPr="00D60576">
        <w:t>(</w:t>
      </w:r>
      <w:r w:rsidRPr="00D60576">
        <w:rPr>
          <w:i/>
          <w:iCs/>
        </w:rPr>
        <w:t>b</w:t>
      </w:r>
      <w:r w:rsidRPr="00D60576">
        <w:t>) goes against 25 years of jurisprudence defining</w:t>
      </w:r>
      <w:r w:rsidRPr="00CE2AB7">
        <w:t xml:space="preserve"> s. 10</w:t>
      </w:r>
      <w:r w:rsidRPr="00D60576">
        <w:t>(</w:t>
      </w:r>
      <w:r w:rsidRPr="00D60576">
        <w:rPr>
          <w:i/>
          <w:iCs/>
        </w:rPr>
        <w:t>b</w:t>
      </w:r>
      <w:r w:rsidRPr="00D60576">
        <w:t xml:space="preserve">) in terms of the right to consult counsel to obtain information and advice immediately upon detention, but not as providing ongoing legal assistance during the course of the interview that follows, regardless of the circumstances. </w:t>
      </w:r>
      <w:r>
        <w:t>[</w:t>
      </w:r>
      <w:r w:rsidRPr="00D60576">
        <w:t>Emphasis added.</w:t>
      </w:r>
      <w:r>
        <w:t>]</w:t>
      </w:r>
    </w:p>
    <w:p w14:paraId="5F3B06E6" w14:textId="77777777" w:rsidR="000975C6" w:rsidRPr="00D60576" w:rsidRDefault="000975C6" w:rsidP="000975C6">
      <w:pPr>
        <w:pStyle w:val="ParaNoNdepar-AltN"/>
        <w:rPr>
          <w:rFonts w:cs="Times New Roman"/>
        </w:rPr>
      </w:pPr>
      <w:r w:rsidRPr="00D60576">
        <w:rPr>
          <w:rFonts w:cs="Times New Roman"/>
        </w:rPr>
        <w:t xml:space="preserve">There is no basis to depart from </w:t>
      </w:r>
      <w:r w:rsidRPr="00D60576">
        <w:rPr>
          <w:rFonts w:cs="Times New Roman"/>
          <w:i/>
        </w:rPr>
        <w:t xml:space="preserve">Sinclair </w:t>
      </w:r>
      <w:r w:rsidRPr="00D60576">
        <w:rPr>
          <w:rFonts w:cs="Times New Roman"/>
        </w:rPr>
        <w:t>on this point, or to find that s</w:t>
      </w:r>
      <w:r>
        <w:rPr>
          <w:rFonts w:cs="Times New Roman"/>
        </w:rPr>
        <w:t>.</w:t>
      </w:r>
      <w:r w:rsidRPr="00D60576">
        <w:rPr>
          <w:rFonts w:cs="Times New Roman"/>
        </w:rPr>
        <w:t> 10(</w:t>
      </w:r>
      <w:r w:rsidRPr="000725E0">
        <w:rPr>
          <w:rFonts w:cs="Times New Roman"/>
        </w:rPr>
        <w:t>b</w:t>
      </w:r>
      <w:r w:rsidRPr="00D60576">
        <w:rPr>
          <w:rFonts w:cs="Times New Roman"/>
        </w:rPr>
        <w:t xml:space="preserve">) is intended to shield the </w:t>
      </w:r>
      <w:r>
        <w:rPr>
          <w:rFonts w:cs="Times New Roman"/>
        </w:rPr>
        <w:t>detainee</w:t>
      </w:r>
      <w:r w:rsidRPr="00D60576">
        <w:rPr>
          <w:rFonts w:cs="Times New Roman"/>
        </w:rPr>
        <w:t xml:space="preserve"> from legitimate interrogation by police (</w:t>
      </w:r>
      <w:r w:rsidRPr="00D60576">
        <w:rPr>
          <w:rFonts w:cs="Times New Roman"/>
          <w:i/>
        </w:rPr>
        <w:t>Sinclair</w:t>
      </w:r>
      <w:r w:rsidRPr="00D60576">
        <w:rPr>
          <w:rFonts w:cs="Times New Roman"/>
        </w:rPr>
        <w:t xml:space="preserve">, at para. 25). Nor does </w:t>
      </w:r>
      <w:r w:rsidRPr="00D60576">
        <w:rPr>
          <w:rFonts w:cs="Times New Roman"/>
          <w:i/>
        </w:rPr>
        <w:t>Willier</w:t>
      </w:r>
      <w:r w:rsidRPr="00D60576">
        <w:rPr>
          <w:rFonts w:cs="Times New Roman"/>
        </w:rPr>
        <w:t xml:space="preserve"> say that the purpose of s. 10(</w:t>
      </w:r>
      <w:r w:rsidRPr="00641E04">
        <w:rPr>
          <w:rFonts w:cs="Times New Roman"/>
        </w:rPr>
        <w:t>b</w:t>
      </w:r>
      <w:r w:rsidRPr="00D60576">
        <w:rPr>
          <w:rFonts w:cs="Times New Roman"/>
        </w:rPr>
        <w:t>) is to protect a</w:t>
      </w:r>
      <w:r>
        <w:rPr>
          <w:rFonts w:cs="Times New Roman"/>
        </w:rPr>
        <w:t xml:space="preserve"> detainee</w:t>
      </w:r>
      <w:r w:rsidRPr="00D60576">
        <w:rPr>
          <w:rFonts w:cs="Times New Roman"/>
        </w:rPr>
        <w:t xml:space="preserve"> from an exercise of state power. Rather it is to “provide [the detainee] </w:t>
      </w:r>
      <w:r w:rsidRPr="00641E04">
        <w:rPr>
          <w:rFonts w:cs="Times New Roman"/>
          <w:u w:val="single"/>
        </w:rPr>
        <w:t>an opportunity</w:t>
      </w:r>
      <w:r w:rsidRPr="00D60576">
        <w:rPr>
          <w:rFonts w:cs="Times New Roman"/>
        </w:rPr>
        <w:t xml:space="preserve"> to mitigate [the] legal disadvantage” relative to the state and </w:t>
      </w:r>
      <w:r>
        <w:rPr>
          <w:rFonts w:cs="Times New Roman"/>
        </w:rPr>
        <w:t>“</w:t>
      </w:r>
      <w:r w:rsidRPr="00D60576">
        <w:rPr>
          <w:rFonts w:cs="Times New Roman"/>
        </w:rPr>
        <w:t>to support the detainee’s right to choose whether to cooperate with the police investigation or not, by giving him access to legal advice on the situation he is facing</w:t>
      </w:r>
      <w:r>
        <w:rPr>
          <w:rFonts w:cs="Times New Roman"/>
        </w:rPr>
        <w:t>”</w:t>
      </w:r>
      <w:r w:rsidRPr="00D60576">
        <w:rPr>
          <w:rFonts w:cs="Times New Roman"/>
        </w:rPr>
        <w:t xml:space="preserve"> </w:t>
      </w:r>
      <w:r>
        <w:rPr>
          <w:rFonts w:cs="Times New Roman"/>
        </w:rPr>
        <w:t>(</w:t>
      </w:r>
      <w:r w:rsidRPr="00D60576">
        <w:rPr>
          <w:rFonts w:cs="Times New Roman"/>
          <w:i/>
        </w:rPr>
        <w:t>Willier</w:t>
      </w:r>
      <w:r w:rsidRPr="00D60576">
        <w:rPr>
          <w:rFonts w:cs="Times New Roman"/>
        </w:rPr>
        <w:t xml:space="preserve">, at para 28; </w:t>
      </w:r>
      <w:r w:rsidRPr="00D60576">
        <w:rPr>
          <w:rFonts w:cs="Times New Roman"/>
          <w:i/>
        </w:rPr>
        <w:t>Sinclair</w:t>
      </w:r>
      <w:r w:rsidRPr="00D60576">
        <w:rPr>
          <w:rFonts w:cs="Times New Roman"/>
        </w:rPr>
        <w:t>, at para. 32</w:t>
      </w:r>
      <w:r>
        <w:rPr>
          <w:rFonts w:cs="Times New Roman"/>
        </w:rPr>
        <w:t>)</w:t>
      </w:r>
      <w:r w:rsidRPr="00D60576">
        <w:rPr>
          <w:rFonts w:cs="Times New Roman"/>
        </w:rPr>
        <w:t>.</w:t>
      </w:r>
    </w:p>
    <w:p w14:paraId="7684872F" w14:textId="77777777" w:rsidR="000975C6" w:rsidRPr="00D60576" w:rsidRDefault="000975C6" w:rsidP="000975C6">
      <w:pPr>
        <w:pStyle w:val="ParaNoNdepar-AltN"/>
        <w:rPr>
          <w:rFonts w:cs="Times New Roman"/>
        </w:rPr>
      </w:pPr>
      <w:r w:rsidRPr="00D60576">
        <w:rPr>
          <w:rFonts w:cs="Times New Roman"/>
        </w:rPr>
        <w:t>Section 10(</w:t>
      </w:r>
      <w:r w:rsidRPr="00641E04">
        <w:rPr>
          <w:rFonts w:cs="Times New Roman"/>
        </w:rPr>
        <w:t>b</w:t>
      </w:r>
      <w:r w:rsidRPr="00D60576">
        <w:rPr>
          <w:rFonts w:cs="Times New Roman"/>
        </w:rPr>
        <w:t>)’s purpose is achieved in two ways. It imposes on the police a duty to advise the detainee of his or her right to counsel (informational component) and to give the detainee an opportunity to exercise his or her right to consult counsel (implementational component). It is not in issue that in this case, the informational component was met.</w:t>
      </w:r>
    </w:p>
    <w:p w14:paraId="554309EA" w14:textId="77777777" w:rsidR="000975C6" w:rsidRPr="00D60576" w:rsidRDefault="000975C6" w:rsidP="000975C6">
      <w:pPr>
        <w:pStyle w:val="ParaNoNdepar-AltN"/>
        <w:rPr>
          <w:rFonts w:cs="Times New Roman"/>
        </w:rPr>
      </w:pPr>
      <w:r w:rsidRPr="00D60576">
        <w:rPr>
          <w:rFonts w:cs="Times New Roman"/>
        </w:rPr>
        <w:t>The implementational component is “[n]</w:t>
      </w:r>
      <w:proofErr w:type="gramStart"/>
      <w:r w:rsidRPr="00D60576">
        <w:rPr>
          <w:rFonts w:cs="Times New Roman"/>
        </w:rPr>
        <w:t>ormally .</w:t>
      </w:r>
      <w:proofErr w:type="gramEnd"/>
      <w:r w:rsidRPr="00D60576">
        <w:rPr>
          <w:rFonts w:cs="Times New Roman"/>
        </w:rPr>
        <w:t> . . achieved by a single consultation at the time of d</w:t>
      </w:r>
      <w:r>
        <w:rPr>
          <w:rFonts w:cs="Times New Roman"/>
        </w:rPr>
        <w:t>etention or shortly thereafter”</w:t>
      </w:r>
      <w:r w:rsidRPr="00D60576">
        <w:rPr>
          <w:rFonts w:cs="Times New Roman"/>
        </w:rPr>
        <w:t xml:space="preserve"> </w:t>
      </w:r>
      <w:r>
        <w:rPr>
          <w:rFonts w:cs="Times New Roman"/>
        </w:rPr>
        <w:t>(</w:t>
      </w:r>
      <w:r w:rsidRPr="00D60576">
        <w:rPr>
          <w:rFonts w:cs="Times New Roman"/>
          <w:i/>
        </w:rPr>
        <w:t>Sinclair</w:t>
      </w:r>
      <w:r w:rsidRPr="00D60576">
        <w:rPr>
          <w:rFonts w:cs="Times New Roman"/>
        </w:rPr>
        <w:t>, at para. 47</w:t>
      </w:r>
      <w:r>
        <w:rPr>
          <w:rFonts w:cs="Times New Roman"/>
        </w:rPr>
        <w:t>)</w:t>
      </w:r>
      <w:r w:rsidRPr="00D60576">
        <w:rPr>
          <w:rFonts w:cs="Times New Roman"/>
        </w:rPr>
        <w:t xml:space="preserve">. A few </w:t>
      </w:r>
      <w:r w:rsidRPr="00D60576">
        <w:rPr>
          <w:rFonts w:cs="Times New Roman"/>
        </w:rPr>
        <w:lastRenderedPageBreak/>
        <w:t xml:space="preserve">minutes on the phone with counsel may suffice, even for serious charges </w:t>
      </w:r>
      <w:r>
        <w:rPr>
          <w:rFonts w:cs="Times New Roman"/>
        </w:rPr>
        <w:t>(</w:t>
      </w:r>
      <w:r w:rsidRPr="00D60576">
        <w:rPr>
          <w:rFonts w:cs="Times New Roman"/>
        </w:rPr>
        <w:t xml:space="preserve">see </w:t>
      </w:r>
      <w:r w:rsidRPr="00D60576">
        <w:rPr>
          <w:rFonts w:cs="Times New Roman"/>
          <w:i/>
        </w:rPr>
        <w:t>Willier</w:t>
      </w:r>
      <w:r>
        <w:rPr>
          <w:rFonts w:cs="Times New Roman"/>
        </w:rPr>
        <w:t>)</w:t>
      </w:r>
      <w:r w:rsidRPr="00D60576">
        <w:rPr>
          <w:rFonts w:cs="Times New Roman"/>
        </w:rPr>
        <w:t xml:space="preserve">. </w:t>
      </w:r>
      <w:r w:rsidRPr="00D60576">
        <w:rPr>
          <w:rFonts w:cs="Times New Roman"/>
          <w:i/>
        </w:rPr>
        <w:t>Sinclair</w:t>
      </w:r>
      <w:r w:rsidRPr="00D60576">
        <w:rPr>
          <w:rFonts w:cs="Times New Roman"/>
        </w:rPr>
        <w:t xml:space="preserve"> is clear that s</w:t>
      </w:r>
      <w:r>
        <w:rPr>
          <w:rFonts w:cs="Times New Roman"/>
        </w:rPr>
        <w:t>.</w:t>
      </w:r>
      <w:r w:rsidRPr="00D60576">
        <w:rPr>
          <w:rFonts w:cs="Times New Roman"/>
        </w:rPr>
        <w:t> 10(</w:t>
      </w:r>
      <w:r w:rsidRPr="00641E04">
        <w:rPr>
          <w:rFonts w:cs="Times New Roman"/>
        </w:rPr>
        <w:t>b</w:t>
      </w:r>
      <w:r w:rsidRPr="00D60576">
        <w:rPr>
          <w:rFonts w:cs="Times New Roman"/>
        </w:rPr>
        <w:t xml:space="preserve">) does </w:t>
      </w:r>
      <w:r w:rsidRPr="00D60576">
        <w:rPr>
          <w:rFonts w:cs="Times New Roman"/>
          <w:i/>
        </w:rPr>
        <w:t>not</w:t>
      </w:r>
      <w:r w:rsidRPr="00D60576">
        <w:rPr>
          <w:rFonts w:cs="Times New Roman"/>
        </w:rPr>
        <w:t xml:space="preserve"> provide a constitutional right </w:t>
      </w:r>
      <w:r>
        <w:rPr>
          <w:rFonts w:cs="Times New Roman"/>
        </w:rPr>
        <w:t>“</w:t>
      </w:r>
      <w:r w:rsidRPr="00D60576">
        <w:rPr>
          <w:rFonts w:cs="Times New Roman"/>
        </w:rPr>
        <w:t>to ongoing legal assistance during the course of the interview</w:t>
      </w:r>
      <w:r>
        <w:rPr>
          <w:rFonts w:cs="Times New Roman"/>
        </w:rPr>
        <w:t>”</w:t>
      </w:r>
      <w:r w:rsidRPr="00D60576">
        <w:rPr>
          <w:rFonts w:cs="Times New Roman"/>
        </w:rPr>
        <w:t xml:space="preserve">, or to have counsel present throughout the interview </w:t>
      </w:r>
      <w:r>
        <w:rPr>
          <w:rFonts w:cs="Times New Roman"/>
        </w:rPr>
        <w:t>(</w:t>
      </w:r>
      <w:r w:rsidRPr="00D60576">
        <w:rPr>
          <w:rFonts w:cs="Times New Roman"/>
        </w:rPr>
        <w:t>para</w:t>
      </w:r>
      <w:r>
        <w:rPr>
          <w:rFonts w:cs="Times New Roman"/>
        </w:rPr>
        <w:t>s</w:t>
      </w:r>
      <w:r w:rsidRPr="00D60576">
        <w:rPr>
          <w:rFonts w:cs="Times New Roman"/>
        </w:rPr>
        <w:t>. 31</w:t>
      </w:r>
      <w:r>
        <w:rPr>
          <w:rFonts w:cs="Times New Roman"/>
        </w:rPr>
        <w:t xml:space="preserve"> and 36)</w:t>
      </w:r>
      <w:r w:rsidRPr="00D60576">
        <w:rPr>
          <w:rFonts w:cs="Times New Roman"/>
        </w:rPr>
        <w:t>.</w:t>
      </w:r>
    </w:p>
    <w:p w14:paraId="07E028F5" w14:textId="77777777" w:rsidR="000975C6" w:rsidRPr="00D60576" w:rsidRDefault="000975C6" w:rsidP="000975C6">
      <w:pPr>
        <w:pStyle w:val="ParaNoNdepar-AltN"/>
        <w:rPr>
          <w:rFonts w:cs="Times New Roman"/>
        </w:rPr>
      </w:pPr>
      <w:r w:rsidRPr="00D60576">
        <w:rPr>
          <w:rFonts w:cs="Times New Roman"/>
        </w:rPr>
        <w:t xml:space="preserve">Sometimes, however, a second consultation with counsel will be required. In </w:t>
      </w:r>
      <w:r w:rsidRPr="00D60576">
        <w:rPr>
          <w:rFonts w:cs="Times New Roman"/>
          <w:i/>
        </w:rPr>
        <w:t>Sinclair</w:t>
      </w:r>
      <w:r w:rsidRPr="00D60576">
        <w:rPr>
          <w:rFonts w:cs="Times New Roman"/>
        </w:rPr>
        <w:t>, this Court described three categories of “changed circumstances” that will require a second consultation, at paras. 2 and 50</w:t>
      </w:r>
      <w:r w:rsidRPr="00D60576">
        <w:rPr>
          <w:rFonts w:cs="Times New Roman"/>
        </w:rPr>
        <w:noBreakHyphen/>
        <w:t xml:space="preserve">54: </w:t>
      </w:r>
    </w:p>
    <w:p w14:paraId="3D8FF567" w14:textId="77777777" w:rsidR="000975C6" w:rsidRPr="00D60576" w:rsidRDefault="000975C6" w:rsidP="000975C6">
      <w:pPr>
        <w:pStyle w:val="ParaNoNdepar-AltN"/>
        <w:numPr>
          <w:ilvl w:val="0"/>
          <w:numId w:val="37"/>
        </w:numPr>
        <w:ind w:left="1559" w:hanging="357"/>
        <w:rPr>
          <w:rFonts w:cs="Times New Roman"/>
        </w:rPr>
      </w:pPr>
      <w:r w:rsidRPr="00D60576">
        <w:rPr>
          <w:rFonts w:cs="Times New Roman"/>
        </w:rPr>
        <w:t>When there are new procedures involving the detainee;</w:t>
      </w:r>
    </w:p>
    <w:p w14:paraId="56C64550" w14:textId="77777777" w:rsidR="000975C6" w:rsidRPr="00D60576" w:rsidRDefault="000975C6" w:rsidP="000975C6">
      <w:pPr>
        <w:pStyle w:val="ParaNoNdepar-AltN"/>
        <w:numPr>
          <w:ilvl w:val="0"/>
          <w:numId w:val="37"/>
        </w:numPr>
        <w:ind w:left="1559" w:hanging="357"/>
        <w:rPr>
          <w:rFonts w:cs="Times New Roman"/>
        </w:rPr>
      </w:pPr>
      <w:r w:rsidRPr="00D60576">
        <w:rPr>
          <w:rFonts w:cs="Times New Roman"/>
        </w:rPr>
        <w:t>When there is a change in the detainee’s jeopardy; or</w:t>
      </w:r>
    </w:p>
    <w:p w14:paraId="0F5DE030" w14:textId="77777777" w:rsidR="000975C6" w:rsidRPr="00D60576" w:rsidRDefault="000975C6" w:rsidP="000975C6">
      <w:pPr>
        <w:pStyle w:val="ParaNoNdepar-AltN"/>
        <w:numPr>
          <w:ilvl w:val="0"/>
          <w:numId w:val="37"/>
        </w:numPr>
        <w:ind w:left="1559" w:hanging="357"/>
        <w:rPr>
          <w:rFonts w:cs="Times New Roman"/>
          <w:szCs w:val="24"/>
        </w:rPr>
      </w:pPr>
      <w:r w:rsidRPr="00D60576">
        <w:rPr>
          <w:rFonts w:cs="Times New Roman"/>
        </w:rPr>
        <w:t>When there is reason to question the det</w:t>
      </w:r>
      <w:r>
        <w:rPr>
          <w:rFonts w:cs="Times New Roman"/>
        </w:rPr>
        <w:t>ainee’s understanding of his or her</w:t>
      </w:r>
      <w:r w:rsidRPr="00D60576">
        <w:rPr>
          <w:rFonts w:cs="Times New Roman"/>
        </w:rPr>
        <w:t xml:space="preserve"> s. 10(</w:t>
      </w:r>
      <w:r w:rsidRPr="007A73BE">
        <w:rPr>
          <w:rFonts w:cs="Times New Roman"/>
        </w:rPr>
        <w:t>b</w:t>
      </w:r>
      <w:r w:rsidRPr="00D60576">
        <w:rPr>
          <w:rFonts w:cs="Times New Roman"/>
        </w:rPr>
        <w:t xml:space="preserve">) </w:t>
      </w:r>
      <w:r w:rsidRPr="00D60576">
        <w:rPr>
          <w:rFonts w:cs="Times New Roman"/>
          <w:szCs w:val="24"/>
        </w:rPr>
        <w:t>right</w:t>
      </w:r>
      <w:r>
        <w:rPr>
          <w:rFonts w:cs="Times New Roman"/>
          <w:szCs w:val="24"/>
        </w:rPr>
        <w:t>.</w:t>
      </w:r>
    </w:p>
    <w:p w14:paraId="1F6E47EA" w14:textId="77777777" w:rsidR="000975C6" w:rsidRPr="00D60576" w:rsidRDefault="000975C6" w:rsidP="000975C6">
      <w:pPr>
        <w:pStyle w:val="ParaNoNdepar-AltN"/>
        <w:rPr>
          <w:rFonts w:cs="Times New Roman"/>
        </w:rPr>
      </w:pPr>
      <w:r w:rsidRPr="00D60576">
        <w:rPr>
          <w:rFonts w:cs="Times New Roman"/>
        </w:rPr>
        <w:t>Where the circumstances do not fall into a previously recognized category, the question is whether a further opportunity to consult a lawyer</w:t>
      </w:r>
      <w:r>
        <w:rPr>
          <w:rFonts w:cs="Times New Roman"/>
        </w:rPr>
        <w:t xml:space="preserve"> </w:t>
      </w:r>
      <w:r w:rsidRPr="00D60576">
        <w:rPr>
          <w:rFonts w:cs="Times New Roman"/>
        </w:rPr>
        <w:t>is necessary to fulfill s. 10(</w:t>
      </w:r>
      <w:r w:rsidRPr="007A73BE">
        <w:rPr>
          <w:rFonts w:cs="Times New Roman"/>
          <w:iCs/>
        </w:rPr>
        <w:t>b</w:t>
      </w:r>
      <w:r w:rsidRPr="00D60576">
        <w:rPr>
          <w:rFonts w:cs="Times New Roman"/>
        </w:rPr>
        <w:t xml:space="preserve">)’s purpose of providing the detainee with advice in the new or emergent situation. The principle underlying the cases is that to require a second consultation, there must be a change in circumstances such that the choice faced by the </w:t>
      </w:r>
      <w:r>
        <w:rPr>
          <w:rFonts w:cs="Times New Roman"/>
        </w:rPr>
        <w:t>detainee</w:t>
      </w:r>
      <w:r w:rsidRPr="00D60576">
        <w:rPr>
          <w:rFonts w:cs="Times New Roman"/>
        </w:rPr>
        <w:t xml:space="preserve"> has been “significantly altered, requiring further advice on the new situation, in order to fulfill the purpose of s. 10(</w:t>
      </w:r>
      <w:r w:rsidRPr="006C7E9F">
        <w:rPr>
          <w:rFonts w:cs="Times New Roman"/>
          <w:i/>
        </w:rPr>
        <w:t>b</w:t>
      </w:r>
      <w:r w:rsidRPr="00D60576">
        <w:rPr>
          <w:rFonts w:cs="Times New Roman"/>
        </w:rPr>
        <w:t xml:space="preserve">)” </w:t>
      </w:r>
      <w:r>
        <w:rPr>
          <w:rFonts w:cs="Times New Roman"/>
        </w:rPr>
        <w:t>(</w:t>
      </w:r>
      <w:r w:rsidRPr="00D60576">
        <w:rPr>
          <w:rFonts w:cs="Times New Roman"/>
          <w:i/>
        </w:rPr>
        <w:t>Sinclair</w:t>
      </w:r>
      <w:r w:rsidRPr="00D60576">
        <w:rPr>
          <w:rFonts w:cs="Times New Roman"/>
        </w:rPr>
        <w:t>, at paras. 54</w:t>
      </w:r>
      <w:r>
        <w:rPr>
          <w:rFonts w:cs="Times New Roman"/>
        </w:rPr>
        <w:t xml:space="preserve"> and</w:t>
      </w:r>
      <w:r w:rsidRPr="00D60576">
        <w:rPr>
          <w:rFonts w:cs="Times New Roman"/>
        </w:rPr>
        <w:t xml:space="preserve"> 65</w:t>
      </w:r>
      <w:r>
        <w:rPr>
          <w:rFonts w:cs="Times New Roman"/>
        </w:rPr>
        <w:t>)</w:t>
      </w:r>
      <w:r w:rsidRPr="00D60576">
        <w:rPr>
          <w:rFonts w:cs="Times New Roman"/>
        </w:rPr>
        <w:t xml:space="preserve">. </w:t>
      </w:r>
    </w:p>
    <w:p w14:paraId="64C99181" w14:textId="77777777" w:rsidR="000975C6" w:rsidRPr="00D60576" w:rsidRDefault="000975C6" w:rsidP="000975C6">
      <w:pPr>
        <w:pStyle w:val="Title3LevelTitre3Niveau"/>
        <w:jc w:val="both"/>
        <w:rPr>
          <w:rFonts w:cs="Times New Roman"/>
        </w:rPr>
      </w:pPr>
      <w:r w:rsidRPr="00D60576">
        <w:rPr>
          <w:rFonts w:cs="Times New Roman"/>
        </w:rPr>
        <w:lastRenderedPageBreak/>
        <w:t xml:space="preserve">Application to the </w:t>
      </w:r>
      <w:r>
        <w:rPr>
          <w:rFonts w:cs="Times New Roman"/>
        </w:rPr>
        <w:t>C</w:t>
      </w:r>
      <w:r w:rsidRPr="00D60576">
        <w:rPr>
          <w:rFonts w:cs="Times New Roman"/>
        </w:rPr>
        <w:t>ase</w:t>
      </w:r>
    </w:p>
    <w:p w14:paraId="23DFF63B" w14:textId="77777777" w:rsidR="000975C6" w:rsidRPr="00D60576" w:rsidRDefault="000975C6" w:rsidP="000975C6">
      <w:pPr>
        <w:pStyle w:val="ParaNoNdepar-AltN"/>
        <w:rPr>
          <w:rFonts w:cs="Times New Roman"/>
        </w:rPr>
      </w:pPr>
      <w:r w:rsidRPr="00D60576">
        <w:rPr>
          <w:rFonts w:cs="Times New Roman"/>
        </w:rPr>
        <w:t xml:space="preserve">The majority concludes that Mr. Lafrance’s situation fits within the third </w:t>
      </w:r>
      <w:r w:rsidRPr="00D60576">
        <w:rPr>
          <w:rFonts w:cs="Times New Roman"/>
          <w:i/>
        </w:rPr>
        <w:t>Sinclair</w:t>
      </w:r>
      <w:r w:rsidRPr="00D60576">
        <w:rPr>
          <w:rFonts w:cs="Times New Roman"/>
        </w:rPr>
        <w:t xml:space="preserve"> category, i.e. that there was reason to question Mr. Lafrance’s understanding of his s. 10(</w:t>
      </w:r>
      <w:r w:rsidRPr="007A73BE">
        <w:rPr>
          <w:rFonts w:cs="Times New Roman"/>
        </w:rPr>
        <w:t>b</w:t>
      </w:r>
      <w:r w:rsidRPr="00D60576">
        <w:rPr>
          <w:rFonts w:cs="Times New Roman"/>
        </w:rPr>
        <w:t xml:space="preserve">) </w:t>
      </w:r>
      <w:r w:rsidRPr="00D60576">
        <w:rPr>
          <w:rFonts w:cs="Times New Roman"/>
          <w:szCs w:val="24"/>
        </w:rPr>
        <w:t xml:space="preserve">right. The police should have </w:t>
      </w:r>
      <w:r w:rsidRPr="00D60576">
        <w:rPr>
          <w:rFonts w:cs="Times New Roman"/>
        </w:rPr>
        <w:t>permitted him to have a second consultation with counsel, but did not. Therefore, his 10(</w:t>
      </w:r>
      <w:r w:rsidRPr="007A73BE">
        <w:rPr>
          <w:rFonts w:cs="Times New Roman"/>
        </w:rPr>
        <w:t>b</w:t>
      </w:r>
      <w:r w:rsidRPr="00D60576">
        <w:rPr>
          <w:rFonts w:cs="Times New Roman"/>
        </w:rPr>
        <w:t>) rights were infringed, the majority concludes.</w:t>
      </w:r>
    </w:p>
    <w:p w14:paraId="61F5EC48" w14:textId="77777777" w:rsidR="000975C6" w:rsidRPr="00D60576" w:rsidRDefault="000975C6" w:rsidP="000975C6">
      <w:pPr>
        <w:pStyle w:val="ParaNoNdepar-AltN"/>
        <w:rPr>
          <w:rFonts w:cs="Times New Roman"/>
        </w:rPr>
      </w:pPr>
      <w:r w:rsidRPr="00D60576">
        <w:rPr>
          <w:rFonts w:cs="Times New Roman"/>
        </w:rPr>
        <w:t xml:space="preserve">The third category is engaged in circumstances such as when a </w:t>
      </w:r>
      <w:r>
        <w:rPr>
          <w:rFonts w:cs="Times New Roman"/>
          <w:szCs w:val="24"/>
        </w:rPr>
        <w:t>detainee who has waived his or her</w:t>
      </w:r>
      <w:r w:rsidRPr="00D60576">
        <w:rPr>
          <w:rFonts w:cs="Times New Roman"/>
          <w:szCs w:val="24"/>
        </w:rPr>
        <w:t xml:space="preserve"> right to counsel may not have understood </w:t>
      </w:r>
      <w:r>
        <w:rPr>
          <w:rFonts w:cs="Times New Roman"/>
          <w:szCs w:val="24"/>
        </w:rPr>
        <w:t>t</w:t>
      </w:r>
      <w:r w:rsidRPr="00D60576">
        <w:rPr>
          <w:rFonts w:cs="Times New Roman"/>
          <w:szCs w:val="24"/>
        </w:rPr>
        <w:t xml:space="preserve">his right when he or she waived it </w:t>
      </w:r>
      <w:r>
        <w:rPr>
          <w:rFonts w:cs="Times New Roman"/>
          <w:szCs w:val="24"/>
        </w:rPr>
        <w:t>(</w:t>
      </w:r>
      <w:r w:rsidRPr="00D60576">
        <w:rPr>
          <w:rFonts w:cs="Times New Roman"/>
          <w:i/>
          <w:szCs w:val="24"/>
        </w:rPr>
        <w:t>Sinclair</w:t>
      </w:r>
      <w:r w:rsidRPr="00D60576">
        <w:rPr>
          <w:rFonts w:cs="Times New Roman"/>
          <w:szCs w:val="24"/>
        </w:rPr>
        <w:t xml:space="preserve">, at para. 52; </w:t>
      </w:r>
      <w:r w:rsidRPr="00D60576">
        <w:rPr>
          <w:rFonts w:cs="Times New Roman"/>
          <w:i/>
          <w:szCs w:val="24"/>
        </w:rPr>
        <w:t>R. v. Prosper</w:t>
      </w:r>
      <w:r w:rsidRPr="00D60576">
        <w:rPr>
          <w:rFonts w:cs="Times New Roman"/>
          <w:szCs w:val="24"/>
        </w:rPr>
        <w:t>, [1994] 3 S.C.R. 236</w:t>
      </w:r>
      <w:r>
        <w:rPr>
          <w:rFonts w:cs="Times New Roman"/>
          <w:szCs w:val="24"/>
        </w:rPr>
        <w:t>,</w:t>
      </w:r>
      <w:r w:rsidRPr="00D60576">
        <w:rPr>
          <w:rFonts w:cs="Times New Roman"/>
          <w:szCs w:val="24"/>
        </w:rPr>
        <w:t xml:space="preserve"> at pp. 282</w:t>
      </w:r>
      <w:r w:rsidRPr="00D60576">
        <w:rPr>
          <w:rFonts w:cs="Times New Roman"/>
          <w:szCs w:val="24"/>
        </w:rPr>
        <w:noBreakHyphen/>
        <w:t>84</w:t>
      </w:r>
      <w:r>
        <w:rPr>
          <w:rFonts w:cs="Times New Roman"/>
          <w:szCs w:val="24"/>
        </w:rPr>
        <w:t>)</w:t>
      </w:r>
      <w:r w:rsidRPr="00D60576">
        <w:rPr>
          <w:rFonts w:cs="Times New Roman"/>
          <w:szCs w:val="24"/>
        </w:rPr>
        <w:t xml:space="preserve">. </w:t>
      </w:r>
      <w:r w:rsidRPr="00D60576">
        <w:rPr>
          <w:rFonts w:cs="Times New Roman"/>
        </w:rPr>
        <w:t xml:space="preserve">It can also apply if police undermine the advice provided by counsel </w:t>
      </w:r>
      <w:r>
        <w:rPr>
          <w:rFonts w:cs="Times New Roman"/>
        </w:rPr>
        <w:t>(</w:t>
      </w:r>
      <w:r w:rsidRPr="00D60576">
        <w:rPr>
          <w:rFonts w:cs="Times New Roman"/>
          <w:i/>
        </w:rPr>
        <w:t>Sinclair</w:t>
      </w:r>
      <w:r w:rsidRPr="00D60576">
        <w:rPr>
          <w:rFonts w:cs="Times New Roman"/>
        </w:rPr>
        <w:t xml:space="preserve">, at para. 52; </w:t>
      </w:r>
      <w:r w:rsidRPr="00D60576">
        <w:rPr>
          <w:rFonts w:cs="Times New Roman"/>
          <w:i/>
        </w:rPr>
        <w:t>R. v. Dussault</w:t>
      </w:r>
      <w:r w:rsidRPr="00D60576">
        <w:rPr>
          <w:rFonts w:cs="Times New Roman"/>
        </w:rPr>
        <w:t>, 2022 SCC 16</w:t>
      </w:r>
      <w:r>
        <w:rPr>
          <w:rFonts w:cs="Times New Roman"/>
        </w:rPr>
        <w:t>)</w:t>
      </w:r>
      <w:r w:rsidRPr="00D60576">
        <w:rPr>
          <w:rFonts w:cs="Times New Roman"/>
        </w:rPr>
        <w:t xml:space="preserve">. More generally, it </w:t>
      </w:r>
      <w:r w:rsidRPr="00D60576">
        <w:rPr>
          <w:rFonts w:cs="Times New Roman"/>
          <w:szCs w:val="24"/>
        </w:rPr>
        <w:t>applies when circumstances indicate that the “detainee may not have understood the initial s. 10(</w:t>
      </w:r>
      <w:r w:rsidRPr="00D60576">
        <w:rPr>
          <w:rFonts w:cs="Times New Roman"/>
          <w:i/>
          <w:iCs/>
          <w:szCs w:val="24"/>
        </w:rPr>
        <w:t>b</w:t>
      </w:r>
      <w:r w:rsidRPr="00D60576">
        <w:rPr>
          <w:rFonts w:cs="Times New Roman"/>
          <w:szCs w:val="24"/>
        </w:rPr>
        <w:t>) advice of his right to counsel”</w:t>
      </w:r>
      <w:r w:rsidRPr="00D60576">
        <w:rPr>
          <w:rFonts w:cs="Times New Roman"/>
        </w:rPr>
        <w:t xml:space="preserve"> </w:t>
      </w:r>
      <w:r>
        <w:rPr>
          <w:rFonts w:cs="Times New Roman"/>
        </w:rPr>
        <w:t>(</w:t>
      </w:r>
      <w:r w:rsidRPr="00D60576">
        <w:rPr>
          <w:rFonts w:cs="Times New Roman"/>
          <w:i/>
        </w:rPr>
        <w:t>Sinclair</w:t>
      </w:r>
      <w:r w:rsidRPr="00D60576">
        <w:rPr>
          <w:rFonts w:cs="Times New Roman"/>
        </w:rPr>
        <w:t>, at para. 52</w:t>
      </w:r>
      <w:r>
        <w:rPr>
          <w:rFonts w:cs="Times New Roman"/>
        </w:rPr>
        <w:t>)</w:t>
      </w:r>
      <w:r w:rsidRPr="00D60576">
        <w:rPr>
          <w:rFonts w:cs="Times New Roman"/>
        </w:rPr>
        <w:t>. There is no basis for the foregoing in this case.</w:t>
      </w:r>
    </w:p>
    <w:p w14:paraId="32765E7F" w14:textId="77777777" w:rsidR="000975C6" w:rsidRPr="00D60576" w:rsidRDefault="000975C6" w:rsidP="000975C6">
      <w:pPr>
        <w:pStyle w:val="ParaNoNdepar-AltN"/>
        <w:rPr>
          <w:rFonts w:cs="Times New Roman"/>
        </w:rPr>
      </w:pPr>
      <w:r w:rsidRPr="00D60576">
        <w:rPr>
          <w:rFonts w:cs="Times New Roman"/>
        </w:rPr>
        <w:t xml:space="preserve">The fact that a detainee demonstrates hesitancy or concern during an </w:t>
      </w:r>
      <w:r>
        <w:rPr>
          <w:rFonts w:cs="Times New Roman"/>
        </w:rPr>
        <w:t xml:space="preserve">interview or </w:t>
      </w:r>
      <w:r w:rsidRPr="00D60576">
        <w:rPr>
          <w:rFonts w:cs="Times New Roman"/>
        </w:rPr>
        <w:t xml:space="preserve">interrogation is not, on its own, sufficient to establish that he or she did not have a full opportunity to consult with counsel. </w:t>
      </w:r>
      <w:r w:rsidRPr="00D60576">
        <w:rPr>
          <w:rFonts w:cs="Times New Roman"/>
          <w:szCs w:val="24"/>
        </w:rPr>
        <w:t xml:space="preserve">It is assumed that the legal advice received was sufficient in relation to how the detainee should exercise his or her rights in the context of the police investigative interview </w:t>
      </w:r>
      <w:r>
        <w:rPr>
          <w:rFonts w:cs="Times New Roman"/>
          <w:szCs w:val="24"/>
        </w:rPr>
        <w:t>(</w:t>
      </w:r>
      <w:r w:rsidRPr="00D60576">
        <w:rPr>
          <w:rFonts w:cs="Times New Roman"/>
          <w:i/>
          <w:szCs w:val="24"/>
        </w:rPr>
        <w:t>Sinclair</w:t>
      </w:r>
      <w:r w:rsidRPr="00D60576">
        <w:rPr>
          <w:rFonts w:cs="Times New Roman"/>
          <w:szCs w:val="24"/>
        </w:rPr>
        <w:t xml:space="preserve">, at para. 57; </w:t>
      </w:r>
      <w:r w:rsidRPr="00D60576">
        <w:rPr>
          <w:rFonts w:cs="Times New Roman"/>
          <w:i/>
        </w:rPr>
        <w:t>McCrimmon</w:t>
      </w:r>
      <w:r w:rsidRPr="00D60576">
        <w:rPr>
          <w:rFonts w:cs="Times New Roman"/>
        </w:rPr>
        <w:t xml:space="preserve"> at paras. 23</w:t>
      </w:r>
      <w:r w:rsidRPr="00D60576">
        <w:rPr>
          <w:rFonts w:cs="Times New Roman"/>
        </w:rPr>
        <w:noBreakHyphen/>
        <w:t>24</w:t>
      </w:r>
      <w:r>
        <w:rPr>
          <w:rFonts w:cs="Times New Roman"/>
        </w:rPr>
        <w:t>)</w:t>
      </w:r>
      <w:r w:rsidRPr="00D60576">
        <w:rPr>
          <w:rFonts w:cs="Times New Roman"/>
          <w:szCs w:val="24"/>
        </w:rPr>
        <w:t xml:space="preserve">. As the Court held in </w:t>
      </w:r>
      <w:r w:rsidRPr="00D60576">
        <w:rPr>
          <w:rFonts w:cs="Times New Roman"/>
          <w:i/>
          <w:szCs w:val="24"/>
        </w:rPr>
        <w:t>Willier</w:t>
      </w:r>
      <w:r w:rsidRPr="00D60576">
        <w:rPr>
          <w:rFonts w:cs="Times New Roman"/>
          <w:szCs w:val="24"/>
        </w:rPr>
        <w:t xml:space="preserve">, at para. 42, “unless a detainee indicates, diligently and reasonably, that the advice he or she received is inadequate, the police </w:t>
      </w:r>
      <w:r w:rsidRPr="00D60576">
        <w:rPr>
          <w:rFonts w:cs="Times New Roman"/>
          <w:szCs w:val="24"/>
        </w:rPr>
        <w:lastRenderedPageBreak/>
        <w:t>may assume that the detainee is satisfied with the exercised right to counsel and are entitled to commence an investigative interview”</w:t>
      </w:r>
      <w:r>
        <w:rPr>
          <w:rFonts w:cs="Times New Roman"/>
          <w:szCs w:val="24"/>
        </w:rPr>
        <w:t>.</w:t>
      </w:r>
      <w:r w:rsidRPr="00D60576">
        <w:rPr>
          <w:rFonts w:cs="Times New Roman"/>
        </w:rPr>
        <w:t xml:space="preserve"> Only where there is an objective change in circumstances, or objective reason to believe the initial consultation was deficient, will the need for a second consultation arise</w:t>
      </w:r>
      <w:r w:rsidRPr="00D60576">
        <w:rPr>
          <w:rFonts w:cs="Times New Roman"/>
          <w:szCs w:val="24"/>
        </w:rPr>
        <w:t>.</w:t>
      </w:r>
    </w:p>
    <w:p w14:paraId="02140DE6" w14:textId="77777777" w:rsidR="000975C6" w:rsidRPr="00D60576" w:rsidRDefault="000975C6" w:rsidP="000975C6">
      <w:pPr>
        <w:pStyle w:val="ParaNoNdepar-AltN"/>
        <w:rPr>
          <w:rFonts w:cs="Times New Roman"/>
        </w:rPr>
      </w:pPr>
      <w:r w:rsidRPr="00D60576">
        <w:rPr>
          <w:rFonts w:cs="Times New Roman"/>
        </w:rPr>
        <w:t>When his interactions with police are reviewed, it cannot seriously be questioned that Mr. Lafrance’s choice to speak to the investigator</w:t>
      </w:r>
      <w:r>
        <w:rPr>
          <w:rFonts w:cs="Times New Roman"/>
        </w:rPr>
        <w:t>s was both free and informed.</w:t>
      </w:r>
    </w:p>
    <w:p w14:paraId="5665E946" w14:textId="77777777" w:rsidR="000975C6" w:rsidRPr="00D60576" w:rsidRDefault="000975C6" w:rsidP="000975C6">
      <w:pPr>
        <w:pStyle w:val="ParaNoNdepar-AltN"/>
        <w:rPr>
          <w:rFonts w:cs="Times New Roman"/>
        </w:rPr>
      </w:pPr>
      <w:r w:rsidRPr="00D60576">
        <w:rPr>
          <w:rFonts w:cs="Times New Roman"/>
          <w:shd w:val="clear" w:color="auto" w:fill="FFFFFF"/>
        </w:rPr>
        <w:t>The majority refers to two portions of the April 7, 2015 inter</w:t>
      </w:r>
      <w:r>
        <w:rPr>
          <w:rFonts w:cs="Times New Roman"/>
          <w:shd w:val="clear" w:color="auto" w:fill="FFFFFF"/>
        </w:rPr>
        <w:t>view</w:t>
      </w:r>
      <w:r w:rsidRPr="00D60576">
        <w:rPr>
          <w:rFonts w:cs="Times New Roman"/>
          <w:shd w:val="clear" w:color="auto" w:fill="FFFFFF"/>
        </w:rPr>
        <w:t xml:space="preserve"> in support of its conclusion that Mr. Lafrance’s 10(</w:t>
      </w:r>
      <w:r w:rsidRPr="007A73BE">
        <w:rPr>
          <w:rFonts w:cs="Times New Roman"/>
          <w:shd w:val="clear" w:color="auto" w:fill="FFFFFF"/>
        </w:rPr>
        <w:t>b</w:t>
      </w:r>
      <w:r w:rsidRPr="00D60576">
        <w:rPr>
          <w:rFonts w:cs="Times New Roman"/>
          <w:shd w:val="clear" w:color="auto" w:fill="FFFFFF"/>
        </w:rPr>
        <w:t xml:space="preserve">) rights were infringed. First, the majority points out that, </w:t>
      </w:r>
      <w:r w:rsidRPr="00D60576">
        <w:rPr>
          <w:rFonts w:cs="Times New Roman"/>
        </w:rPr>
        <w:t xml:space="preserve">as the discussion between Mr. Lafrance and Sgt. Eros progressed, </w:t>
      </w:r>
      <w:r w:rsidRPr="00D60576">
        <w:rPr>
          <w:rFonts w:cs="Times New Roman"/>
          <w:shd w:val="clear" w:color="auto" w:fill="FFFFFF"/>
        </w:rPr>
        <w:t>Sgt. Eros</w:t>
      </w:r>
      <w:r>
        <w:rPr>
          <w:rFonts w:cs="Times New Roman"/>
          <w:shd w:val="clear" w:color="auto" w:fill="FFFFFF"/>
        </w:rPr>
        <w:t>’</w:t>
      </w:r>
      <w:r w:rsidRPr="00D60576">
        <w:rPr>
          <w:rFonts w:cs="Times New Roman"/>
          <w:shd w:val="clear" w:color="auto" w:fill="FFFFFF"/>
        </w:rPr>
        <w:t xml:space="preserve"> questions became</w:t>
      </w:r>
      <w:r w:rsidRPr="00D60576">
        <w:rPr>
          <w:rFonts w:cs="Times New Roman"/>
        </w:rPr>
        <w:t xml:space="preserve"> more pointed. He began asking specific questions about the murder. At that point, Mr. Lafrance mention</w:t>
      </w:r>
      <w:r>
        <w:rPr>
          <w:rFonts w:cs="Times New Roman"/>
        </w:rPr>
        <w:t>ed</w:t>
      </w:r>
      <w:r w:rsidRPr="00D60576">
        <w:rPr>
          <w:rFonts w:cs="Times New Roman"/>
        </w:rPr>
        <w:t xml:space="preserve"> his father and a lawyer for the first time:</w:t>
      </w:r>
    </w:p>
    <w:p w14:paraId="1EB30F88" w14:textId="77777777" w:rsidR="000975C6" w:rsidRPr="00D60576" w:rsidRDefault="000975C6" w:rsidP="000975C6">
      <w:pPr>
        <w:pStyle w:val="Citation-AltC"/>
      </w:pPr>
      <w:r>
        <w:t>Q.</w:t>
      </w:r>
      <w:r>
        <w:tab/>
      </w:r>
      <w:r w:rsidRPr="00D60576">
        <w:t>Alright so what happens Nigel?</w:t>
      </w:r>
    </w:p>
    <w:p w14:paraId="56678A81" w14:textId="77777777" w:rsidR="000975C6" w:rsidRPr="00D60576" w:rsidRDefault="000975C6" w:rsidP="000975C6">
      <w:pPr>
        <w:pStyle w:val="Citation-AltC"/>
        <w:ind w:left="1525" w:hanging="357"/>
      </w:pPr>
      <w:r>
        <w:t>A.</w:t>
      </w:r>
      <w:r>
        <w:tab/>
        <w:t xml:space="preserve">Well </w:t>
      </w:r>
      <w:r w:rsidRPr="00D60576">
        <w:t>–.</w:t>
      </w:r>
    </w:p>
    <w:p w14:paraId="5D39563F" w14:textId="77777777" w:rsidR="000975C6" w:rsidRPr="00D60576" w:rsidRDefault="000975C6" w:rsidP="000975C6">
      <w:pPr>
        <w:pStyle w:val="Citation-AltC"/>
        <w:ind w:left="1525" w:hanging="357"/>
      </w:pPr>
      <w:r>
        <w:rPr>
          <w:lang w:val="en-US" w:bidi="en-US"/>
        </w:rPr>
        <w:t>Q.</w:t>
      </w:r>
      <w:r>
        <w:rPr>
          <w:lang w:val="en-US" w:bidi="en-US"/>
        </w:rPr>
        <w:tab/>
      </w:r>
      <w:r w:rsidRPr="00D60576">
        <w:t>What – what went on?</w:t>
      </w:r>
    </w:p>
    <w:p w14:paraId="7BAE917D" w14:textId="77777777" w:rsidR="000975C6" w:rsidRPr="00D60576" w:rsidRDefault="000975C6" w:rsidP="000975C6">
      <w:pPr>
        <w:pStyle w:val="Citation-AltC"/>
        <w:ind w:left="1525" w:hanging="357"/>
        <w:rPr>
          <w:lang w:val="en-US" w:bidi="en-US"/>
        </w:rPr>
      </w:pPr>
      <w:r>
        <w:rPr>
          <w:lang w:val="en-US" w:bidi="en-US"/>
        </w:rPr>
        <w:t>A.</w:t>
      </w:r>
      <w:r>
        <w:rPr>
          <w:lang w:val="en-US" w:bidi="en-US"/>
        </w:rPr>
        <w:tab/>
      </w:r>
      <w:r w:rsidRPr="00D60576">
        <w:rPr>
          <w:lang w:val="en-US" w:bidi="en-US"/>
        </w:rPr>
        <w:t xml:space="preserve">Well I would – ah </w:t>
      </w:r>
      <w:r w:rsidRPr="007A73BE">
        <w:rPr>
          <w:u w:val="single"/>
          <w:lang w:val="en-US" w:bidi="en-US"/>
        </w:rPr>
        <w:t>I want to talk to my dad before I continue</w:t>
      </w:r>
      <w:r w:rsidRPr="00D60576">
        <w:rPr>
          <w:lang w:val="en-US" w:bidi="en-US"/>
        </w:rPr>
        <w:t>.</w:t>
      </w:r>
    </w:p>
    <w:p w14:paraId="73106A1C" w14:textId="77777777" w:rsidR="000975C6" w:rsidRPr="00D60576" w:rsidRDefault="000975C6" w:rsidP="000975C6">
      <w:pPr>
        <w:pStyle w:val="Citation-AltC"/>
        <w:ind w:left="1525" w:hanging="357"/>
        <w:rPr>
          <w:lang w:val="en-US" w:bidi="en-US"/>
        </w:rPr>
      </w:pPr>
      <w:r>
        <w:rPr>
          <w:lang w:val="en-US" w:bidi="en-US"/>
        </w:rPr>
        <w:t>Q.</w:t>
      </w:r>
      <w:r>
        <w:rPr>
          <w:lang w:val="en-US" w:bidi="en-US"/>
        </w:rPr>
        <w:tab/>
      </w:r>
      <w:r w:rsidRPr="00D60576">
        <w:rPr>
          <w:lang w:val="en-US" w:bidi="en-US"/>
        </w:rPr>
        <w:t xml:space="preserve">Ok </w:t>
      </w:r>
      <w:proofErr w:type="gramStart"/>
      <w:r w:rsidRPr="00D60576">
        <w:rPr>
          <w:lang w:val="en-US" w:bidi="en-US"/>
        </w:rPr>
        <w:t>wh</w:t>
      </w:r>
      <w:proofErr w:type="gramEnd"/>
      <w:r w:rsidRPr="00D60576">
        <w:rPr>
          <w:lang w:val="en-US" w:bidi="en-US"/>
        </w:rPr>
        <w:t xml:space="preserve"> – why do you say that?</w:t>
      </w:r>
    </w:p>
    <w:p w14:paraId="57C39E32" w14:textId="77777777" w:rsidR="000975C6" w:rsidRDefault="000975C6" w:rsidP="000975C6">
      <w:pPr>
        <w:pStyle w:val="Citation-AltC"/>
        <w:ind w:left="1525" w:hanging="357"/>
        <w:rPr>
          <w:lang w:val="en-US" w:bidi="en-US"/>
        </w:rPr>
      </w:pPr>
      <w:r>
        <w:rPr>
          <w:lang w:val="en-US" w:bidi="en-US"/>
        </w:rPr>
        <w:t>A.</w:t>
      </w:r>
      <w:r>
        <w:rPr>
          <w:lang w:val="en-US" w:bidi="en-US"/>
        </w:rPr>
        <w:tab/>
      </w:r>
      <w:proofErr w:type="gramStart"/>
      <w:r w:rsidRPr="007A73BE">
        <w:rPr>
          <w:u w:val="single"/>
          <w:lang w:val="en-US" w:bidi="en-US"/>
        </w:rPr>
        <w:t>Cause</w:t>
      </w:r>
      <w:proofErr w:type="gramEnd"/>
      <w:r w:rsidRPr="007A73BE">
        <w:rPr>
          <w:u w:val="single"/>
          <w:lang w:val="en-US" w:bidi="en-US"/>
        </w:rPr>
        <w:t xml:space="preserve"> well he’s – well he’s my only chance of getting a lawyer and I just – I don’t know.</w:t>
      </w:r>
      <w:r w:rsidRPr="00D60576">
        <w:rPr>
          <w:b/>
          <w:lang w:val="en-US" w:bidi="en-US"/>
        </w:rPr>
        <w:t xml:space="preserve"> </w:t>
      </w:r>
      <w:r w:rsidRPr="00D60576">
        <w:rPr>
          <w:lang w:val="en-US" w:bidi="en-US"/>
        </w:rPr>
        <w:t>[Emphasis added</w:t>
      </w:r>
      <w:r>
        <w:rPr>
          <w:lang w:val="en-US" w:bidi="en-US"/>
        </w:rPr>
        <w:t>.</w:t>
      </w:r>
      <w:r w:rsidRPr="00D60576">
        <w:rPr>
          <w:lang w:val="en-US" w:bidi="en-US"/>
        </w:rPr>
        <w:t>]</w:t>
      </w:r>
    </w:p>
    <w:p w14:paraId="0698BEE8" w14:textId="77777777" w:rsidR="000975C6" w:rsidRDefault="000975C6" w:rsidP="000975C6">
      <w:pPr>
        <w:pStyle w:val="Citation-AltC"/>
        <w:rPr>
          <w:lang w:val="en-US" w:bidi="en-US"/>
        </w:rPr>
      </w:pPr>
    </w:p>
    <w:p w14:paraId="2CE07C7C" w14:textId="77777777" w:rsidR="000975C6" w:rsidRPr="00D60576" w:rsidRDefault="000975C6" w:rsidP="000975C6">
      <w:pPr>
        <w:pStyle w:val="Citation-AltC"/>
        <w:rPr>
          <w:lang w:val="en-US" w:bidi="en-US"/>
        </w:rPr>
      </w:pPr>
      <w:r>
        <w:rPr>
          <w:lang w:val="en-US" w:bidi="en-US"/>
        </w:rPr>
        <w:t>(A.R., vol. V, at p. 137)</w:t>
      </w:r>
    </w:p>
    <w:p w14:paraId="3B146F59" w14:textId="77777777" w:rsidR="000975C6" w:rsidRPr="00D60576" w:rsidRDefault="000975C6" w:rsidP="000975C6">
      <w:pPr>
        <w:pStyle w:val="ParaNoNdepar-AltN"/>
        <w:rPr>
          <w:rFonts w:cs="Times New Roman"/>
        </w:rPr>
      </w:pPr>
      <w:r w:rsidRPr="00D60576">
        <w:rPr>
          <w:rFonts w:cs="Times New Roman"/>
          <w:shd w:val="clear" w:color="auto" w:fill="FFFFFF"/>
        </w:rPr>
        <w:t xml:space="preserve">We accept that, in the circumstances, Mr. Lafrance’s request to speak to his father was an implicit request for a second consultation with a lawyer. It does not </w:t>
      </w:r>
      <w:r w:rsidRPr="00D60576">
        <w:rPr>
          <w:rFonts w:cs="Times New Roman"/>
          <w:shd w:val="clear" w:color="auto" w:fill="FFFFFF"/>
        </w:rPr>
        <w:lastRenderedPageBreak/>
        <w:t>follow, however, that his 10(</w:t>
      </w:r>
      <w:r w:rsidRPr="007A73BE">
        <w:rPr>
          <w:rFonts w:cs="Times New Roman"/>
          <w:shd w:val="clear" w:color="auto" w:fill="FFFFFF"/>
        </w:rPr>
        <w:t>b</w:t>
      </w:r>
      <w:r w:rsidRPr="00D60576">
        <w:rPr>
          <w:rFonts w:cs="Times New Roman"/>
          <w:shd w:val="clear" w:color="auto" w:fill="FFFFFF"/>
        </w:rPr>
        <w:t xml:space="preserve">) rights were breached because this request was denied. The detainee merely </w:t>
      </w:r>
      <w:r w:rsidRPr="00D60576">
        <w:rPr>
          <w:rFonts w:cs="Times New Roman"/>
          <w:i/>
          <w:shd w:val="clear" w:color="auto" w:fill="FFFFFF"/>
        </w:rPr>
        <w:t>asking</w:t>
      </w:r>
      <w:r w:rsidRPr="00D60576">
        <w:rPr>
          <w:rFonts w:cs="Times New Roman"/>
          <w:shd w:val="clear" w:color="auto" w:fill="FFFFFF"/>
        </w:rPr>
        <w:t xml:space="preserve"> for a second consultation is not enough to engage any </w:t>
      </w:r>
      <w:r w:rsidRPr="00D60576">
        <w:rPr>
          <w:rFonts w:cs="Times New Roman"/>
          <w:i/>
          <w:shd w:val="clear" w:color="auto" w:fill="FFFFFF"/>
        </w:rPr>
        <w:t>Sinclair</w:t>
      </w:r>
      <w:r w:rsidRPr="00D60576">
        <w:rPr>
          <w:rFonts w:cs="Times New Roman"/>
          <w:shd w:val="clear" w:color="auto" w:fill="FFFFFF"/>
        </w:rPr>
        <w:t xml:space="preserve"> category that would support a right to a second consultation. To decide otherwise would be to depart fundamentally from </w:t>
      </w:r>
      <w:r w:rsidRPr="00D60576">
        <w:rPr>
          <w:rFonts w:cs="Times New Roman"/>
          <w:i/>
          <w:shd w:val="clear" w:color="auto" w:fill="FFFFFF"/>
        </w:rPr>
        <w:t>Sinclair</w:t>
      </w:r>
      <w:r w:rsidRPr="00D60576">
        <w:rPr>
          <w:rFonts w:cs="Times New Roman"/>
          <w:shd w:val="clear" w:color="auto" w:fill="FFFFFF"/>
        </w:rPr>
        <w:t>.</w:t>
      </w:r>
    </w:p>
    <w:p w14:paraId="1A007C0E" w14:textId="77777777" w:rsidR="000975C6" w:rsidRPr="00D60576" w:rsidRDefault="000975C6" w:rsidP="000975C6">
      <w:pPr>
        <w:pStyle w:val="ParaNoNdepar-AltN"/>
        <w:rPr>
          <w:rFonts w:cs="Times New Roman"/>
        </w:rPr>
      </w:pPr>
      <w:r w:rsidRPr="00D60576">
        <w:rPr>
          <w:rFonts w:cs="Times New Roman"/>
        </w:rPr>
        <w:t xml:space="preserve">The second </w:t>
      </w:r>
      <w:r>
        <w:rPr>
          <w:rFonts w:cs="Times New Roman"/>
        </w:rPr>
        <w:t xml:space="preserve">interview </w:t>
      </w:r>
      <w:r w:rsidRPr="00D60576">
        <w:rPr>
          <w:rFonts w:cs="Times New Roman"/>
        </w:rPr>
        <w:t xml:space="preserve">excerpt referred to by the majority, which </w:t>
      </w:r>
      <w:r>
        <w:rPr>
          <w:rFonts w:cs="Times New Roman"/>
        </w:rPr>
        <w:t>it</w:t>
      </w:r>
      <w:r w:rsidRPr="00D60576">
        <w:rPr>
          <w:rFonts w:cs="Times New Roman"/>
        </w:rPr>
        <w:t xml:space="preserve"> conclude</w:t>
      </w:r>
      <w:r>
        <w:rPr>
          <w:rFonts w:cs="Times New Roman"/>
        </w:rPr>
        <w:t>s</w:t>
      </w:r>
      <w:r w:rsidRPr="00D60576">
        <w:rPr>
          <w:rFonts w:cs="Times New Roman"/>
        </w:rPr>
        <w:t xml:space="preserve"> demonstrates </w:t>
      </w:r>
      <w:r w:rsidRPr="00D60576">
        <w:rPr>
          <w:rFonts w:cs="Times New Roman"/>
          <w:lang w:val="en-US" w:bidi="en-US"/>
        </w:rPr>
        <w:t>“clear signs” that either the legal advice Mr. Lafrance obtained was incorrect, or he did not understand how his s. 10(</w:t>
      </w:r>
      <w:r w:rsidRPr="007A73BE">
        <w:rPr>
          <w:rFonts w:cs="Times New Roman"/>
          <w:lang w:val="en-US" w:bidi="en-US"/>
        </w:rPr>
        <w:t>b</w:t>
      </w:r>
      <w:r w:rsidRPr="00D60576">
        <w:rPr>
          <w:rFonts w:cs="Times New Roman"/>
          <w:lang w:val="en-US" w:bidi="en-US"/>
        </w:rPr>
        <w:t>) rights applied to his current circumstances, reads as follows</w:t>
      </w:r>
      <w:r w:rsidRPr="00D60576">
        <w:rPr>
          <w:rFonts w:cs="Times New Roman"/>
        </w:rPr>
        <w:t>:</w:t>
      </w:r>
    </w:p>
    <w:p w14:paraId="1FA3ECF2" w14:textId="77777777" w:rsidR="000975C6" w:rsidRPr="00D60576" w:rsidRDefault="000975C6" w:rsidP="000975C6">
      <w:pPr>
        <w:pStyle w:val="Citation-AltC"/>
        <w:numPr>
          <w:ilvl w:val="0"/>
          <w:numId w:val="39"/>
        </w:numPr>
        <w:ind w:left="1525" w:hanging="357"/>
      </w:pPr>
      <w:r w:rsidRPr="00D60576">
        <w:t>Well I – I just – I want a lawyer before I go forward with anything else.</w:t>
      </w:r>
    </w:p>
    <w:p w14:paraId="6EC5BACE" w14:textId="77777777" w:rsidR="000975C6" w:rsidRPr="00D60576" w:rsidRDefault="000975C6" w:rsidP="000975C6">
      <w:pPr>
        <w:pStyle w:val="Citation-AltC"/>
        <w:ind w:left="1525" w:hanging="357"/>
        <w:rPr>
          <w:lang w:val="en-US" w:bidi="en-US"/>
        </w:rPr>
      </w:pPr>
      <w:r>
        <w:t>Q.</w:t>
      </w:r>
      <w:r>
        <w:tab/>
      </w:r>
      <w:r w:rsidRPr="00D60576">
        <w:t>Ok you’ve had your opportunity Nigel right? Like I – like I explained to you, you’ve had an opportunity to speak to a lawyer – we don’t ah</w:t>
      </w:r>
      <w:r>
        <w:t> </w:t>
      </w:r>
      <w:proofErr w:type="gramStart"/>
      <w:r w:rsidRPr="00D60576">
        <w:rPr>
          <w:lang w:val="en-US" w:bidi="en-US"/>
        </w:rPr>
        <w:t>–</w:t>
      </w:r>
      <w:r>
        <w:rPr>
          <w:lang w:val="en-US"/>
        </w:rPr>
        <w:t> </w:t>
      </w:r>
      <w:r w:rsidRPr="00D60576">
        <w:t>.</w:t>
      </w:r>
      <w:proofErr w:type="gramEnd"/>
    </w:p>
    <w:p w14:paraId="329C6833" w14:textId="77777777" w:rsidR="000975C6" w:rsidRPr="00D60576" w:rsidRDefault="000975C6" w:rsidP="000975C6">
      <w:pPr>
        <w:pStyle w:val="Citation-AltC"/>
        <w:ind w:left="1525" w:hanging="357"/>
        <w:rPr>
          <w:lang w:val="en-US" w:bidi="en-US"/>
        </w:rPr>
      </w:pPr>
      <w:r>
        <w:rPr>
          <w:lang w:val="en-US" w:bidi="en-US"/>
        </w:rPr>
        <w:t>A.</w:t>
      </w:r>
      <w:r>
        <w:rPr>
          <w:lang w:val="en-US" w:bidi="en-US"/>
        </w:rPr>
        <w:tab/>
      </w:r>
      <w:r w:rsidRPr="00D60576">
        <w:rPr>
          <w:lang w:val="en-US" w:bidi="en-US"/>
        </w:rPr>
        <w:t xml:space="preserve">Well no they told me – </w:t>
      </w:r>
      <w:r w:rsidRPr="00CE0BC4">
        <w:rPr>
          <w:u w:val="single"/>
          <w:lang w:val="en-US" w:bidi="en-US"/>
        </w:rPr>
        <w:t>they told me to get a lawyer before I continue talking</w:t>
      </w:r>
      <w:r w:rsidRPr="00DE23B9">
        <w:rPr>
          <w:lang w:val="en-US" w:bidi="en-US"/>
        </w:rPr>
        <w:t>.</w:t>
      </w:r>
    </w:p>
    <w:p w14:paraId="35562DA4" w14:textId="77777777" w:rsidR="000975C6" w:rsidRPr="00D60576" w:rsidRDefault="000975C6" w:rsidP="000975C6">
      <w:pPr>
        <w:pStyle w:val="Citation-AltC"/>
        <w:ind w:left="1525" w:hanging="357"/>
        <w:rPr>
          <w:lang w:val="en-US" w:bidi="en-US"/>
        </w:rPr>
      </w:pPr>
      <w:r>
        <w:rPr>
          <w:lang w:val="en-US" w:bidi="en-US"/>
        </w:rPr>
        <w:t>Q.</w:t>
      </w:r>
      <w:r>
        <w:rPr>
          <w:lang w:val="en-US" w:bidi="en-US"/>
        </w:rPr>
        <w:tab/>
      </w:r>
      <w:r w:rsidRPr="00D60576">
        <w:rPr>
          <w:lang w:val="en-US" w:bidi="en-US"/>
        </w:rPr>
        <w:t>Ok what do you mean by told you to get a lawyer?</w:t>
      </w:r>
    </w:p>
    <w:p w14:paraId="4621C07F" w14:textId="77777777" w:rsidR="000975C6" w:rsidRPr="00D60576" w:rsidRDefault="000975C6" w:rsidP="000975C6">
      <w:pPr>
        <w:pStyle w:val="Citation-AltC"/>
        <w:ind w:left="1525" w:hanging="357"/>
        <w:rPr>
          <w:lang w:val="en-US" w:bidi="en-US"/>
        </w:rPr>
      </w:pPr>
      <w:r>
        <w:rPr>
          <w:lang w:val="en-US" w:bidi="en-US"/>
        </w:rPr>
        <w:t>A.</w:t>
      </w:r>
      <w:r>
        <w:rPr>
          <w:lang w:val="en-US" w:bidi="en-US"/>
        </w:rPr>
        <w:tab/>
      </w:r>
      <w:r w:rsidRPr="00D60576">
        <w:rPr>
          <w:lang w:val="en-US" w:bidi="en-US"/>
        </w:rPr>
        <w:t>Like someone that can come down and sit with me.</w:t>
      </w:r>
    </w:p>
    <w:p w14:paraId="17E2B2C3" w14:textId="77777777" w:rsidR="000975C6" w:rsidRPr="00D60576" w:rsidRDefault="000975C6" w:rsidP="000975C6">
      <w:pPr>
        <w:pStyle w:val="Citation-AltC"/>
        <w:ind w:left="1525" w:hanging="357"/>
        <w:rPr>
          <w:lang w:val="en-US" w:bidi="en-US"/>
        </w:rPr>
      </w:pPr>
      <w:r>
        <w:rPr>
          <w:lang w:val="en-US" w:bidi="en-US"/>
        </w:rPr>
        <w:t>Q.</w:t>
      </w:r>
      <w:r>
        <w:rPr>
          <w:lang w:val="en-US" w:bidi="en-US"/>
        </w:rPr>
        <w:tab/>
      </w:r>
      <w:r w:rsidRPr="00D60576">
        <w:rPr>
          <w:lang w:val="en-US" w:bidi="en-US"/>
        </w:rPr>
        <w:t>Ok.</w:t>
      </w:r>
    </w:p>
    <w:p w14:paraId="6EF0A885" w14:textId="77777777" w:rsidR="000975C6" w:rsidRPr="00D60576" w:rsidRDefault="000975C6" w:rsidP="000975C6">
      <w:pPr>
        <w:pStyle w:val="Citation-AltC"/>
        <w:ind w:left="1525" w:hanging="357"/>
        <w:rPr>
          <w:lang w:val="en-US" w:bidi="en-US"/>
        </w:rPr>
      </w:pPr>
      <w:r>
        <w:rPr>
          <w:lang w:val="en-US" w:bidi="en-US"/>
        </w:rPr>
        <w:t>A.</w:t>
      </w:r>
      <w:r>
        <w:rPr>
          <w:lang w:val="en-US" w:bidi="en-US"/>
        </w:rPr>
        <w:tab/>
      </w:r>
      <w:r w:rsidRPr="00D60576">
        <w:rPr>
          <w:lang w:val="en-US" w:bidi="en-US"/>
        </w:rPr>
        <w:t>Instead of just over the phone.</w:t>
      </w:r>
    </w:p>
    <w:p w14:paraId="217DF3AC" w14:textId="77777777" w:rsidR="000975C6" w:rsidRPr="00D60576" w:rsidRDefault="000975C6" w:rsidP="000975C6">
      <w:pPr>
        <w:pStyle w:val="Citation-AltC"/>
        <w:ind w:left="1525" w:hanging="357"/>
        <w:rPr>
          <w:lang w:val="en-US" w:bidi="en-US"/>
        </w:rPr>
      </w:pPr>
      <w:r>
        <w:rPr>
          <w:lang w:val="en-US" w:bidi="en-US"/>
        </w:rPr>
        <w:t>Q.</w:t>
      </w:r>
      <w:r>
        <w:rPr>
          <w:lang w:val="en-US" w:bidi="en-US"/>
        </w:rPr>
        <w:tab/>
      </w:r>
      <w:r w:rsidRPr="00D60576">
        <w:rPr>
          <w:lang w:val="en-US" w:bidi="en-US"/>
        </w:rPr>
        <w:t>There’s a person that ah you know what – and the way that that kinda goes ah – I won’t say it’s, it’s bad advice but it’s maybe miss – a little bit miss as – miss ah – interrupted. Um there’s not any time or any process during our interview</w:t>
      </w:r>
      <w:r>
        <w:rPr>
          <w:lang w:val="en-US" w:bidi="en-US"/>
        </w:rPr>
        <w:t xml:space="preserve"> </w:t>
      </w:r>
      <w:r w:rsidRPr="00D60576">
        <w:rPr>
          <w:lang w:val="en-US" w:bidi="en-US"/>
        </w:rPr>
        <w:t>–.</w:t>
      </w:r>
    </w:p>
    <w:p w14:paraId="77F9E2F9" w14:textId="77777777" w:rsidR="000975C6" w:rsidRPr="00D60576" w:rsidRDefault="000975C6" w:rsidP="000975C6">
      <w:pPr>
        <w:pStyle w:val="Citation-AltC"/>
        <w:ind w:left="1525" w:hanging="357"/>
        <w:rPr>
          <w:lang w:val="en-US" w:bidi="en-US"/>
        </w:rPr>
      </w:pPr>
      <w:r>
        <w:rPr>
          <w:lang w:val="en-US" w:bidi="en-US"/>
        </w:rPr>
        <w:t>A.</w:t>
      </w:r>
      <w:r>
        <w:rPr>
          <w:lang w:val="en-US" w:bidi="en-US"/>
        </w:rPr>
        <w:tab/>
      </w:r>
      <w:r w:rsidRPr="00D60576">
        <w:rPr>
          <w:lang w:val="en-US" w:bidi="en-US"/>
        </w:rPr>
        <w:t>Um?</w:t>
      </w:r>
    </w:p>
    <w:p w14:paraId="48857453" w14:textId="77777777" w:rsidR="000975C6" w:rsidRPr="00D60576" w:rsidRDefault="000975C6" w:rsidP="000975C6">
      <w:pPr>
        <w:pStyle w:val="Citation-AltC"/>
        <w:ind w:left="1525" w:hanging="357"/>
        <w:rPr>
          <w:lang w:val="en-US" w:bidi="en-US"/>
        </w:rPr>
      </w:pPr>
      <w:r>
        <w:rPr>
          <w:lang w:val="en-US" w:bidi="en-US"/>
        </w:rPr>
        <w:t>Q.</w:t>
      </w:r>
      <w:r>
        <w:rPr>
          <w:lang w:val="en-US" w:bidi="en-US"/>
        </w:rPr>
        <w:tab/>
      </w:r>
      <w:r w:rsidRPr="00D60576">
        <w:rPr>
          <w:lang w:val="en-US" w:bidi="en-US"/>
        </w:rPr>
        <w:t>Where we’re gonna have a lawyer sitting in the room with us.</w:t>
      </w:r>
    </w:p>
    <w:p w14:paraId="42CC7662" w14:textId="77777777" w:rsidR="000975C6" w:rsidRPr="00CE0BC4" w:rsidRDefault="000975C6" w:rsidP="000975C6">
      <w:pPr>
        <w:pStyle w:val="Citation-AltC"/>
        <w:ind w:left="1525" w:hanging="357"/>
        <w:rPr>
          <w:lang w:val="en-US" w:bidi="en-US"/>
        </w:rPr>
      </w:pPr>
      <w:r w:rsidRPr="00CE0BC4">
        <w:rPr>
          <w:lang w:val="en-US" w:bidi="en-US"/>
        </w:rPr>
        <w:t>A.</w:t>
      </w:r>
      <w:r w:rsidRPr="00CE0BC4">
        <w:rPr>
          <w:lang w:val="en-US" w:bidi="en-US"/>
        </w:rPr>
        <w:tab/>
      </w:r>
      <w:r>
        <w:rPr>
          <w:u w:val="single"/>
          <w:lang w:val="en-US" w:bidi="en-US"/>
        </w:rPr>
        <w:t xml:space="preserve">No, no I </w:t>
      </w:r>
      <w:r w:rsidRPr="002D50B4">
        <w:rPr>
          <w:u w:val="single"/>
          <w:lang w:val="en-US" w:bidi="en-US"/>
        </w:rPr>
        <w:t xml:space="preserve">– </w:t>
      </w:r>
      <w:r>
        <w:rPr>
          <w:u w:val="single"/>
          <w:lang w:val="en-US" w:bidi="en-US"/>
        </w:rPr>
        <w:t>I</w:t>
      </w:r>
      <w:r w:rsidRPr="00CE0BC4">
        <w:rPr>
          <w:u w:val="single"/>
          <w:lang w:val="en-US" w:bidi="en-US"/>
        </w:rPr>
        <w:t xml:space="preserve"> mean, no mean like so</w:t>
      </w:r>
      <w:r w:rsidRPr="00932B18">
        <w:rPr>
          <w:lang w:val="en-US" w:bidi="en-US"/>
        </w:rPr>
        <w:t xml:space="preserve"> </w:t>
      </w:r>
      <w:r w:rsidRPr="00B86AF0">
        <w:rPr>
          <w:lang w:val="en-US" w:bidi="en-US"/>
        </w:rPr>
        <w:t>–.</w:t>
      </w:r>
      <w:r w:rsidRPr="00CE0BC4">
        <w:rPr>
          <w:lang w:val="en-US" w:bidi="en-US"/>
        </w:rPr>
        <w:t xml:space="preserve"> </w:t>
      </w:r>
    </w:p>
    <w:p w14:paraId="38E66C76" w14:textId="77777777" w:rsidR="000975C6" w:rsidRPr="00D60576" w:rsidRDefault="000975C6" w:rsidP="000975C6">
      <w:pPr>
        <w:pStyle w:val="Citation-AltC"/>
        <w:ind w:left="1525" w:hanging="357"/>
        <w:rPr>
          <w:lang w:val="en-US" w:bidi="en-US"/>
        </w:rPr>
      </w:pPr>
      <w:r>
        <w:rPr>
          <w:lang w:val="en-US" w:bidi="en-US"/>
        </w:rPr>
        <w:t>Q.</w:t>
      </w:r>
      <w:r>
        <w:rPr>
          <w:lang w:val="en-US" w:bidi="en-US"/>
        </w:rPr>
        <w:tab/>
      </w:r>
      <w:r w:rsidRPr="00D60576">
        <w:rPr>
          <w:lang w:val="en-US" w:bidi="en-US"/>
        </w:rPr>
        <w:t>Ok.</w:t>
      </w:r>
    </w:p>
    <w:p w14:paraId="7ADBC30E" w14:textId="77777777" w:rsidR="000975C6" w:rsidRPr="00CE0BC4" w:rsidRDefault="000975C6" w:rsidP="000975C6">
      <w:pPr>
        <w:pStyle w:val="Citation-AltC"/>
        <w:ind w:left="1525" w:hanging="357"/>
        <w:rPr>
          <w:lang w:val="en-US" w:bidi="en-US"/>
        </w:rPr>
      </w:pPr>
      <w:r w:rsidRPr="00CE0BC4">
        <w:rPr>
          <w:lang w:val="en-US" w:bidi="en-US"/>
        </w:rPr>
        <w:t>A.</w:t>
      </w:r>
      <w:r w:rsidRPr="00CE0BC4">
        <w:rPr>
          <w:lang w:val="en-US" w:bidi="en-US"/>
        </w:rPr>
        <w:tab/>
      </w:r>
      <w:r w:rsidRPr="00CE0BC4">
        <w:rPr>
          <w:u w:val="single"/>
          <w:lang w:val="en-US" w:bidi="en-US"/>
        </w:rPr>
        <w:t>Like for me to sit down with personally.</w:t>
      </w:r>
    </w:p>
    <w:p w14:paraId="5BD6E845" w14:textId="77777777" w:rsidR="000975C6" w:rsidRPr="00D60576" w:rsidRDefault="000975C6" w:rsidP="000975C6">
      <w:pPr>
        <w:pStyle w:val="Citation-AltC"/>
        <w:ind w:left="1525" w:hanging="357"/>
        <w:rPr>
          <w:lang w:val="en-US" w:bidi="en-US"/>
        </w:rPr>
      </w:pPr>
      <w:r>
        <w:rPr>
          <w:lang w:val="en-US" w:bidi="en-US"/>
        </w:rPr>
        <w:t>Q.</w:t>
      </w:r>
      <w:r>
        <w:rPr>
          <w:lang w:val="en-US" w:bidi="en-US"/>
        </w:rPr>
        <w:tab/>
      </w:r>
      <w:r w:rsidRPr="00D60576">
        <w:rPr>
          <w:lang w:val="en-US" w:bidi="en-US"/>
        </w:rPr>
        <w:t>Ok.</w:t>
      </w:r>
    </w:p>
    <w:p w14:paraId="5E998664" w14:textId="77777777" w:rsidR="000975C6" w:rsidRDefault="000975C6" w:rsidP="000975C6">
      <w:pPr>
        <w:pStyle w:val="Citation-AltC"/>
        <w:ind w:left="1525" w:hanging="357"/>
      </w:pPr>
      <w:r w:rsidRPr="00CE0BC4">
        <w:rPr>
          <w:lang w:val="en-US" w:bidi="en-US"/>
        </w:rPr>
        <w:t>A.</w:t>
      </w:r>
      <w:r w:rsidRPr="00CE0BC4">
        <w:rPr>
          <w:lang w:val="en-US" w:bidi="en-US"/>
        </w:rPr>
        <w:tab/>
      </w:r>
      <w:r w:rsidRPr="00CE0BC4">
        <w:rPr>
          <w:u w:val="single"/>
          <w:lang w:val="en-US" w:bidi="en-US"/>
        </w:rPr>
        <w:t>To talk to.</w:t>
      </w:r>
      <w:r w:rsidRPr="00D60576">
        <w:rPr>
          <w:lang w:val="en-US" w:bidi="en-US"/>
        </w:rPr>
        <w:t xml:space="preserve"> </w:t>
      </w:r>
      <w:r w:rsidRPr="00D60576">
        <w:t>[Emphasis added.]</w:t>
      </w:r>
    </w:p>
    <w:p w14:paraId="42C596AD" w14:textId="77777777" w:rsidR="000975C6" w:rsidRDefault="000975C6" w:rsidP="000975C6">
      <w:pPr>
        <w:pStyle w:val="Citation-AltC"/>
        <w:ind w:left="1525" w:hanging="357"/>
      </w:pPr>
    </w:p>
    <w:p w14:paraId="3132375A" w14:textId="77777777" w:rsidR="000975C6" w:rsidRPr="00D60576" w:rsidRDefault="000975C6" w:rsidP="000975C6">
      <w:pPr>
        <w:pStyle w:val="Citation-AltC"/>
        <w:ind w:left="1525" w:hanging="357"/>
        <w:rPr>
          <w:lang w:val="en-US" w:bidi="en-US"/>
        </w:rPr>
      </w:pPr>
      <w:r>
        <w:t>(A.R., vol. V, at p. 139)</w:t>
      </w:r>
    </w:p>
    <w:p w14:paraId="6E823CA0" w14:textId="77777777" w:rsidR="000975C6" w:rsidRPr="00D60576" w:rsidRDefault="000975C6" w:rsidP="000975C6">
      <w:pPr>
        <w:pStyle w:val="ParaNoNdepar-AltN"/>
        <w:rPr>
          <w:rFonts w:cs="Times New Roman"/>
        </w:rPr>
      </w:pPr>
      <w:r w:rsidRPr="00D60576">
        <w:rPr>
          <w:rFonts w:cs="Times New Roman"/>
        </w:rPr>
        <w:lastRenderedPageBreak/>
        <w:t>We disagree that this excerpt demonstrates that Mr. Lafrance misunderstood his s. 10(</w:t>
      </w:r>
      <w:r w:rsidRPr="002D50B4">
        <w:rPr>
          <w:rFonts w:cs="Times New Roman"/>
        </w:rPr>
        <w:t>b</w:t>
      </w:r>
      <w:r w:rsidRPr="00D60576">
        <w:rPr>
          <w:rFonts w:cs="Times New Roman"/>
        </w:rPr>
        <w:t>) right</w:t>
      </w:r>
      <w:r>
        <w:rPr>
          <w:rFonts w:cs="Times New Roman"/>
        </w:rPr>
        <w:t>s</w:t>
      </w:r>
      <w:r w:rsidRPr="00D60576">
        <w:rPr>
          <w:rFonts w:cs="Times New Roman"/>
        </w:rPr>
        <w:t xml:space="preserve">. In the discussion which immediately follows, </w:t>
      </w:r>
      <w:r w:rsidRPr="00D60576">
        <w:rPr>
          <w:rFonts w:cs="Times New Roman"/>
          <w:shd w:val="clear" w:color="auto" w:fill="FFFFFF"/>
        </w:rPr>
        <w:t>Sgt. Eros confirm</w:t>
      </w:r>
      <w:r>
        <w:rPr>
          <w:rFonts w:cs="Times New Roman"/>
          <w:shd w:val="clear" w:color="auto" w:fill="FFFFFF"/>
        </w:rPr>
        <w:t xml:space="preserve">ed </w:t>
      </w:r>
      <w:r w:rsidRPr="00D60576">
        <w:rPr>
          <w:rFonts w:cs="Times New Roman"/>
          <w:shd w:val="clear" w:color="auto" w:fill="FFFFFF"/>
        </w:rPr>
        <w:t>Mr. Lafrance understood and exercised his right to counsel:</w:t>
      </w:r>
    </w:p>
    <w:p w14:paraId="155CCA87" w14:textId="77777777" w:rsidR="000975C6" w:rsidRPr="00D60576" w:rsidRDefault="000975C6" w:rsidP="000975C6">
      <w:pPr>
        <w:pStyle w:val="Citation-AltC"/>
        <w:ind w:left="1525" w:hanging="357"/>
      </w:pPr>
      <w:r>
        <w:t>Q.</w:t>
      </w:r>
      <w:r>
        <w:tab/>
      </w:r>
      <w:r w:rsidRPr="00D60576">
        <w:t xml:space="preserve">Part of </w:t>
      </w:r>
      <w:proofErr w:type="gramStart"/>
      <w:r w:rsidRPr="00D60576">
        <w:t>the ah</w:t>
      </w:r>
      <w:proofErr w:type="gramEnd"/>
      <w:r w:rsidRPr="00D60576">
        <w:t xml:space="preserve"> – part of the – the process right, is that we need to insure that you were pr</w:t>
      </w:r>
      <w:r>
        <w:t>ovided some legal advice right.</w:t>
      </w:r>
    </w:p>
    <w:p w14:paraId="23D24F06" w14:textId="77777777" w:rsidR="000975C6" w:rsidRPr="00D60576" w:rsidRDefault="000975C6" w:rsidP="000975C6">
      <w:pPr>
        <w:pStyle w:val="Citation-AltC"/>
        <w:ind w:left="1525" w:hanging="357"/>
      </w:pPr>
      <w:r>
        <w:t>A.</w:t>
      </w:r>
      <w:r>
        <w:tab/>
      </w:r>
      <w:r w:rsidRPr="00D60576">
        <w:t xml:space="preserve">Ya. </w:t>
      </w:r>
    </w:p>
    <w:p w14:paraId="562E5293" w14:textId="77777777" w:rsidR="000975C6" w:rsidRPr="00D60576" w:rsidRDefault="000975C6" w:rsidP="000975C6">
      <w:pPr>
        <w:pStyle w:val="Citation-AltC"/>
        <w:ind w:left="1525" w:hanging="357"/>
        <w:rPr>
          <w:b/>
        </w:rPr>
      </w:pPr>
      <w:r>
        <w:t>Q.</w:t>
      </w:r>
      <w:r>
        <w:tab/>
      </w:r>
      <w:r w:rsidRPr="00DF7FFE">
        <w:rPr>
          <w:u w:val="single"/>
        </w:rPr>
        <w:t>And that you spoke to a lawyer and that you understood that legal advice right?</w:t>
      </w:r>
      <w:r w:rsidRPr="00D60576">
        <w:rPr>
          <w:b/>
        </w:rPr>
        <w:t xml:space="preserve"> </w:t>
      </w:r>
    </w:p>
    <w:p w14:paraId="4A22B07C" w14:textId="77777777" w:rsidR="000975C6" w:rsidRPr="00D60576" w:rsidRDefault="000975C6" w:rsidP="000975C6">
      <w:pPr>
        <w:pStyle w:val="Citation-AltC"/>
        <w:ind w:left="1525" w:hanging="357"/>
      </w:pPr>
      <w:r w:rsidRPr="00D60576">
        <w:t>A.</w:t>
      </w:r>
      <w:r>
        <w:rPr>
          <w:b/>
        </w:rPr>
        <w:tab/>
      </w:r>
      <w:r w:rsidRPr="00DF7FFE">
        <w:rPr>
          <w:u w:val="single"/>
        </w:rPr>
        <w:t>Ya.</w:t>
      </w:r>
      <w:r w:rsidRPr="00D60576">
        <w:t xml:space="preserve"> </w:t>
      </w:r>
    </w:p>
    <w:p w14:paraId="2FD97225" w14:textId="77777777" w:rsidR="000975C6" w:rsidRPr="00D60576" w:rsidRDefault="000975C6" w:rsidP="000975C6">
      <w:pPr>
        <w:pStyle w:val="Citation-AltC"/>
        <w:ind w:left="1525" w:hanging="357"/>
      </w:pPr>
      <w:r>
        <w:t>Q.</w:t>
      </w:r>
      <w:r>
        <w:tab/>
      </w:r>
      <w:r w:rsidRPr="00D60576">
        <w:t xml:space="preserve">Um and that we’ve gone through that process right? </w:t>
      </w:r>
    </w:p>
    <w:p w14:paraId="43FCBAE6" w14:textId="77777777" w:rsidR="000975C6" w:rsidRPr="00D60576" w:rsidRDefault="000975C6" w:rsidP="000975C6">
      <w:pPr>
        <w:pStyle w:val="Citation-AltC"/>
        <w:ind w:left="1525" w:hanging="357"/>
      </w:pPr>
      <w:r>
        <w:t>A.</w:t>
      </w:r>
      <w:r>
        <w:tab/>
      </w:r>
      <w:r w:rsidRPr="00D60576">
        <w:t xml:space="preserve">Um. </w:t>
      </w:r>
    </w:p>
    <w:p w14:paraId="519AF201" w14:textId="77777777" w:rsidR="000975C6" w:rsidRPr="00D60576" w:rsidRDefault="000975C6" w:rsidP="000975C6">
      <w:pPr>
        <w:pStyle w:val="Citation-AltC"/>
        <w:ind w:left="1525" w:hanging="357"/>
      </w:pPr>
      <w:r>
        <w:t>Q.</w:t>
      </w:r>
      <w:r>
        <w:tab/>
      </w:r>
      <w:r w:rsidRPr="00D60576">
        <w:t xml:space="preserve">So what has to happen now is we have to kinda evaluate that and see where we’re at with respect to that ok. </w:t>
      </w:r>
    </w:p>
    <w:p w14:paraId="4042F225" w14:textId="77777777" w:rsidR="000975C6" w:rsidRPr="00D60576" w:rsidRDefault="000975C6" w:rsidP="000975C6">
      <w:pPr>
        <w:pStyle w:val="Citation-AltC"/>
        <w:ind w:left="1525" w:hanging="357"/>
      </w:pPr>
      <w:r>
        <w:t>A.</w:t>
      </w:r>
      <w:r>
        <w:tab/>
      </w:r>
      <w:r w:rsidRPr="00D60576">
        <w:t xml:space="preserve">Ya. </w:t>
      </w:r>
    </w:p>
    <w:p w14:paraId="635050DA" w14:textId="77777777" w:rsidR="000975C6" w:rsidRPr="00D60576" w:rsidRDefault="000975C6" w:rsidP="000975C6">
      <w:pPr>
        <w:pStyle w:val="Citation-AltC"/>
        <w:ind w:left="1525" w:hanging="357"/>
      </w:pPr>
      <w:r w:rsidRPr="00D60576">
        <w:t>Q.</w:t>
      </w:r>
      <w:r>
        <w:tab/>
      </w:r>
      <w:r w:rsidRPr="00D60576">
        <w:t xml:space="preserve">But there is ah we – we still need to have this conversation right Nigel? </w:t>
      </w:r>
    </w:p>
    <w:p w14:paraId="1B3AAC1D" w14:textId="77777777" w:rsidR="000975C6" w:rsidRPr="00D60576" w:rsidRDefault="000975C6" w:rsidP="000975C6">
      <w:pPr>
        <w:pStyle w:val="Citation-AltC"/>
        <w:ind w:left="1525" w:hanging="357"/>
      </w:pPr>
      <w:r w:rsidRPr="00D60576">
        <w:t xml:space="preserve">A. </w:t>
      </w:r>
      <w:r w:rsidRPr="00DF7FFE">
        <w:rPr>
          <w:u w:val="single"/>
        </w:rPr>
        <w:t>Well – well ah the advice that was given to me is I don’t have to say anything.</w:t>
      </w:r>
      <w:r w:rsidRPr="00D60576">
        <w:t xml:space="preserve"> </w:t>
      </w:r>
    </w:p>
    <w:p w14:paraId="34E9A41C" w14:textId="77777777" w:rsidR="000975C6" w:rsidRDefault="000975C6" w:rsidP="000975C6">
      <w:pPr>
        <w:pStyle w:val="Citation-AltC"/>
        <w:ind w:left="1525" w:hanging="357"/>
      </w:pPr>
      <w:r w:rsidRPr="00D60576">
        <w:t xml:space="preserve">Q. Ya and – and </w:t>
      </w:r>
      <w:r w:rsidRPr="00DF7FFE">
        <w:rPr>
          <w:u w:val="single"/>
        </w:rPr>
        <w:t>that’s excellent advice right</w:t>
      </w:r>
      <w:r w:rsidRPr="00DF7FFE">
        <w:t>.</w:t>
      </w:r>
      <w:r w:rsidRPr="00D60576">
        <w:t xml:space="preserve"> </w:t>
      </w:r>
      <w:r>
        <w:t>[</w:t>
      </w:r>
      <w:r w:rsidRPr="00D60576">
        <w:t>Emphasis added.]</w:t>
      </w:r>
    </w:p>
    <w:p w14:paraId="02499C45" w14:textId="77777777" w:rsidR="000975C6" w:rsidRDefault="000975C6" w:rsidP="000975C6">
      <w:pPr>
        <w:pStyle w:val="Citation-AltC"/>
        <w:ind w:left="1525" w:hanging="357"/>
      </w:pPr>
    </w:p>
    <w:p w14:paraId="5CFCAB3A" w14:textId="77777777" w:rsidR="000975C6" w:rsidRPr="00D60576" w:rsidRDefault="000975C6" w:rsidP="000975C6">
      <w:pPr>
        <w:pStyle w:val="Citation-AltC"/>
        <w:ind w:left="1525" w:hanging="357"/>
        <w:rPr>
          <w:szCs w:val="22"/>
        </w:rPr>
      </w:pPr>
      <w:r w:rsidRPr="00D60576">
        <w:rPr>
          <w:lang w:val="en-US" w:bidi="en-US"/>
        </w:rPr>
        <w:t>(A</w:t>
      </w:r>
      <w:r>
        <w:rPr>
          <w:lang w:val="en-US" w:bidi="en-US"/>
        </w:rPr>
        <w:t>.</w:t>
      </w:r>
      <w:r w:rsidRPr="00D60576">
        <w:rPr>
          <w:lang w:val="en-US" w:bidi="en-US"/>
        </w:rPr>
        <w:t>R</w:t>
      </w:r>
      <w:r>
        <w:rPr>
          <w:lang w:val="en-US" w:bidi="en-US"/>
        </w:rPr>
        <w:t>.,</w:t>
      </w:r>
      <w:r w:rsidRPr="00D60576">
        <w:rPr>
          <w:lang w:val="en-US" w:bidi="en-US"/>
        </w:rPr>
        <w:t xml:space="preserve"> vol.</w:t>
      </w:r>
      <w:r>
        <w:rPr>
          <w:lang w:val="en-US" w:bidi="en-US"/>
        </w:rPr>
        <w:t> </w:t>
      </w:r>
      <w:r w:rsidRPr="00D60576">
        <w:rPr>
          <w:lang w:val="en-US" w:bidi="en-US"/>
        </w:rPr>
        <w:t>V, at p. </w:t>
      </w:r>
      <w:r w:rsidRPr="00D60576">
        <w:t>140)</w:t>
      </w:r>
    </w:p>
    <w:p w14:paraId="6441B7B2" w14:textId="77777777" w:rsidR="000975C6" w:rsidRPr="00D60576" w:rsidRDefault="000975C6" w:rsidP="000975C6">
      <w:pPr>
        <w:pStyle w:val="ParaNoNdepar-AltN"/>
        <w:rPr>
          <w:rFonts w:cs="Times New Roman"/>
        </w:rPr>
      </w:pPr>
      <w:r w:rsidRPr="00D60576">
        <w:rPr>
          <w:rFonts w:cs="Times New Roman"/>
        </w:rPr>
        <w:t xml:space="preserve">The above excerpt demonstrates that Mr. Lafrance fully understood his rights under </w:t>
      </w:r>
      <w:r>
        <w:rPr>
          <w:rFonts w:cs="Times New Roman"/>
        </w:rPr>
        <w:t>s. </w:t>
      </w:r>
      <w:r w:rsidRPr="00D60576">
        <w:rPr>
          <w:rFonts w:cs="Times New Roman"/>
        </w:rPr>
        <w:t>10(</w:t>
      </w:r>
      <w:r w:rsidRPr="006D0EFB">
        <w:rPr>
          <w:rFonts w:cs="Times New Roman"/>
        </w:rPr>
        <w:t>b</w:t>
      </w:r>
      <w:r w:rsidRPr="00D60576">
        <w:rPr>
          <w:rFonts w:cs="Times New Roman"/>
        </w:rPr>
        <w:t>). Mr. Lafrance knew the legal jeopardy that he was facing. He knew he did not have to say anything to Sgt. </w:t>
      </w:r>
      <w:r w:rsidRPr="00D60576">
        <w:rPr>
          <w:rFonts w:cs="Times New Roman"/>
          <w:shd w:val="clear" w:color="auto" w:fill="FFFFFF"/>
        </w:rPr>
        <w:t>Eros. His</w:t>
      </w:r>
      <w:r w:rsidRPr="00D60576">
        <w:rPr>
          <w:rFonts w:cs="Times New Roman"/>
        </w:rPr>
        <w:t xml:space="preserve"> discomfort in the face of difficult police questioning is not, on its own, grounds for a second consultation. It bears repeating that right after his first consultation, an officer had asked Mr. Lafrance if he understood the advice, to which Mr. Lafrance answered “</w:t>
      </w:r>
      <w:r w:rsidRPr="006D0EFB">
        <w:rPr>
          <w:rFonts w:cs="Times New Roman"/>
          <w:u w:val="single"/>
        </w:rPr>
        <w:t>yes</w:t>
      </w:r>
      <w:r w:rsidRPr="00D60576">
        <w:rPr>
          <w:rFonts w:cs="Times New Roman"/>
        </w:rPr>
        <w:t>”. He did not indicate reasonably and diligently that the advice he received was inadequate, or was not conveyed in a manner he understood. Contrary to the majority’s statements (at para. </w:t>
      </w:r>
      <w:r>
        <w:rPr>
          <w:rFonts w:cs="Times New Roman"/>
        </w:rPr>
        <w:t>86</w:t>
      </w:r>
      <w:r w:rsidRPr="00D60576">
        <w:rPr>
          <w:rFonts w:cs="Times New Roman"/>
        </w:rPr>
        <w:t xml:space="preserve">), there is no basis in the evidence for such a conclusion. The officer then asked </w:t>
      </w:r>
      <w:r w:rsidRPr="00D60576">
        <w:rPr>
          <w:rFonts w:cs="Times New Roman"/>
        </w:rPr>
        <w:lastRenderedPageBreak/>
        <w:t>him whether the lawyer he spoke to was attending the RCMP detachment, to which Mr. Lafrance answered “</w:t>
      </w:r>
      <w:r w:rsidRPr="006D0EFB">
        <w:rPr>
          <w:rFonts w:cs="Times New Roman"/>
          <w:u w:val="single"/>
        </w:rPr>
        <w:t>no</w:t>
      </w:r>
      <w:r>
        <w:rPr>
          <w:rFonts w:cs="Times New Roman"/>
        </w:rPr>
        <w:t>”.</w:t>
      </w:r>
      <w:r w:rsidRPr="00D60576">
        <w:rPr>
          <w:rFonts w:cs="Times New Roman"/>
        </w:rPr>
        <w:t xml:space="preserve"> Mr. Lafrance </w:t>
      </w:r>
      <w:r w:rsidRPr="00D60576">
        <w:rPr>
          <w:rFonts w:cs="Times New Roman"/>
          <w:i/>
        </w:rPr>
        <w:t>knew</w:t>
      </w:r>
      <w:r w:rsidRPr="00D60576">
        <w:rPr>
          <w:rFonts w:cs="Times New Roman"/>
        </w:rPr>
        <w:t xml:space="preserve"> no one was coming.</w:t>
      </w:r>
    </w:p>
    <w:p w14:paraId="48312086" w14:textId="77777777" w:rsidR="000975C6" w:rsidRPr="00D60576" w:rsidRDefault="000975C6" w:rsidP="000975C6">
      <w:pPr>
        <w:pStyle w:val="ParaNoNdepar-AltN"/>
        <w:rPr>
          <w:rFonts w:cs="Times New Roman"/>
        </w:rPr>
      </w:pPr>
      <w:r w:rsidRPr="00D60576">
        <w:rPr>
          <w:rFonts w:cs="Times New Roman"/>
        </w:rPr>
        <w:t xml:space="preserve">Even if one accepts that Mr. Lafrance incorrectly believed that he had a constitutional right to have a lawyer present, </w:t>
      </w:r>
      <w:r w:rsidRPr="00D60576">
        <w:rPr>
          <w:rFonts w:cs="Times New Roman"/>
          <w:i/>
        </w:rPr>
        <w:t>mere</w:t>
      </w:r>
      <w:r w:rsidRPr="00D60576">
        <w:rPr>
          <w:rFonts w:cs="Times New Roman"/>
        </w:rPr>
        <w:t xml:space="preserve"> </w:t>
      </w:r>
      <w:r w:rsidRPr="00D60576">
        <w:rPr>
          <w:rFonts w:cs="Times New Roman"/>
          <w:i/>
        </w:rPr>
        <w:t xml:space="preserve">confusion </w:t>
      </w:r>
      <w:r w:rsidRPr="00D60576">
        <w:rPr>
          <w:rFonts w:cs="Times New Roman"/>
        </w:rPr>
        <w:t xml:space="preserve">on this point is not enough </w:t>
      </w:r>
      <w:r w:rsidRPr="00D60576">
        <w:rPr>
          <w:rFonts w:cs="Times New Roman"/>
          <w:szCs w:val="24"/>
        </w:rPr>
        <w:t>to trigger a constitutional obligation under s. 10(</w:t>
      </w:r>
      <w:r w:rsidRPr="006D0EFB">
        <w:rPr>
          <w:rFonts w:cs="Times New Roman"/>
          <w:szCs w:val="24"/>
        </w:rPr>
        <w:t>b</w:t>
      </w:r>
      <w:r w:rsidRPr="00D60576">
        <w:rPr>
          <w:rFonts w:cs="Times New Roman"/>
          <w:szCs w:val="24"/>
        </w:rPr>
        <w:t>)</w:t>
      </w:r>
      <w:r w:rsidRPr="00D60576">
        <w:rPr>
          <w:rFonts w:cs="Times New Roman"/>
        </w:rPr>
        <w:t xml:space="preserve">. </w:t>
      </w:r>
      <w:r w:rsidRPr="00D60576">
        <w:rPr>
          <w:rFonts w:cs="Times New Roman"/>
          <w:i/>
          <w:szCs w:val="24"/>
        </w:rPr>
        <w:t>Sinclair</w:t>
      </w:r>
      <w:r w:rsidRPr="00D60576">
        <w:rPr>
          <w:rFonts w:cs="Times New Roman"/>
          <w:szCs w:val="24"/>
        </w:rPr>
        <w:t xml:space="preserve"> expressly held that there must be an </w:t>
      </w:r>
      <w:r w:rsidRPr="00D60576">
        <w:rPr>
          <w:rFonts w:cs="Times New Roman"/>
          <w:i/>
          <w:szCs w:val="24"/>
        </w:rPr>
        <w:t>objective</w:t>
      </w:r>
      <w:r w:rsidRPr="00D60576">
        <w:rPr>
          <w:rFonts w:cs="Times New Roman"/>
          <w:szCs w:val="24"/>
        </w:rPr>
        <w:t xml:space="preserve"> basis for a second consultation to be permitted </w:t>
      </w:r>
      <w:r>
        <w:rPr>
          <w:rFonts w:cs="Times New Roman"/>
          <w:szCs w:val="24"/>
        </w:rPr>
        <w:t>(</w:t>
      </w:r>
      <w:r w:rsidRPr="00D60576">
        <w:rPr>
          <w:rFonts w:cs="Times New Roman"/>
          <w:szCs w:val="24"/>
        </w:rPr>
        <w:t xml:space="preserve">para. 55; see also </w:t>
      </w:r>
      <w:r w:rsidRPr="00D60576">
        <w:rPr>
          <w:rFonts w:cs="Times New Roman"/>
          <w:i/>
          <w:szCs w:val="24"/>
        </w:rPr>
        <w:t>McCrimmon</w:t>
      </w:r>
      <w:bookmarkStart w:id="63" w:name="_GoBack"/>
      <w:bookmarkEnd w:id="63"/>
      <w:r w:rsidRPr="00D60576">
        <w:rPr>
          <w:rFonts w:cs="Times New Roman"/>
          <w:szCs w:val="24"/>
        </w:rPr>
        <w:t>, at para</w:t>
      </w:r>
      <w:r>
        <w:rPr>
          <w:rFonts w:cs="Times New Roman"/>
          <w:szCs w:val="24"/>
        </w:rPr>
        <w:t>s</w:t>
      </w:r>
      <w:r w:rsidRPr="00D60576">
        <w:rPr>
          <w:rFonts w:cs="Times New Roman"/>
          <w:szCs w:val="24"/>
        </w:rPr>
        <w:t>. </w:t>
      </w:r>
      <w:r>
        <w:rPr>
          <w:rFonts w:cs="Times New Roman"/>
          <w:szCs w:val="24"/>
        </w:rPr>
        <w:t>22</w:t>
      </w:r>
      <w:r>
        <w:rPr>
          <w:rFonts w:cs="Times New Roman"/>
          <w:szCs w:val="24"/>
        </w:rPr>
        <w:noBreakHyphen/>
      </w:r>
      <w:r w:rsidRPr="00D60576">
        <w:rPr>
          <w:rFonts w:cs="Times New Roman"/>
          <w:szCs w:val="24"/>
        </w:rPr>
        <w:t>23</w:t>
      </w:r>
      <w:r>
        <w:rPr>
          <w:rFonts w:cs="Times New Roman"/>
          <w:szCs w:val="24"/>
        </w:rPr>
        <w:t>)</w:t>
      </w:r>
      <w:r w:rsidRPr="00D60576">
        <w:rPr>
          <w:rFonts w:cs="Times New Roman"/>
          <w:szCs w:val="24"/>
        </w:rPr>
        <w:t>.</w:t>
      </w:r>
    </w:p>
    <w:p w14:paraId="1FB98DFF" w14:textId="77777777" w:rsidR="000975C6" w:rsidRPr="00D60576" w:rsidRDefault="000975C6" w:rsidP="000975C6">
      <w:pPr>
        <w:pStyle w:val="ParaNoNdepar-AltN"/>
        <w:rPr>
          <w:rFonts w:cs="Times New Roman"/>
        </w:rPr>
      </w:pPr>
      <w:r w:rsidRPr="00D60576">
        <w:rPr>
          <w:rFonts w:cs="Times New Roman"/>
          <w:szCs w:val="24"/>
        </w:rPr>
        <w:t xml:space="preserve">In fact, the circumstances here are similar to those in </w:t>
      </w:r>
      <w:r w:rsidRPr="00D60576">
        <w:rPr>
          <w:rFonts w:cs="Times New Roman"/>
          <w:i/>
          <w:szCs w:val="24"/>
        </w:rPr>
        <w:t>Sinclair</w:t>
      </w:r>
      <w:r w:rsidRPr="00D60576">
        <w:rPr>
          <w:rFonts w:cs="Times New Roman"/>
          <w:szCs w:val="24"/>
        </w:rPr>
        <w:t xml:space="preserve">. </w:t>
      </w:r>
      <w:r w:rsidRPr="00D60576">
        <w:rPr>
          <w:rFonts w:cs="Times New Roman"/>
        </w:rPr>
        <w:t xml:space="preserve">In </w:t>
      </w:r>
      <w:r w:rsidRPr="00D60576">
        <w:rPr>
          <w:rFonts w:cs="Times New Roman"/>
          <w:i/>
        </w:rPr>
        <w:t>Sinclair</w:t>
      </w:r>
      <w:r w:rsidRPr="00D60576">
        <w:rPr>
          <w:rFonts w:cs="Times New Roman"/>
        </w:rPr>
        <w:t xml:space="preserve">, the accused also appeared to misunderstand what his </w:t>
      </w:r>
      <w:r>
        <w:rPr>
          <w:rFonts w:cs="Times New Roman"/>
        </w:rPr>
        <w:t>s. </w:t>
      </w:r>
      <w:r w:rsidRPr="00D60576">
        <w:rPr>
          <w:rFonts w:cs="Times New Roman"/>
        </w:rPr>
        <w:t>10(</w:t>
      </w:r>
      <w:r w:rsidRPr="006D0EFB">
        <w:rPr>
          <w:rFonts w:cs="Times New Roman"/>
        </w:rPr>
        <w:t>b</w:t>
      </w:r>
      <w:r w:rsidRPr="00D60576">
        <w:rPr>
          <w:rFonts w:cs="Times New Roman"/>
        </w:rPr>
        <w:t>) rights involved, stating during the inter</w:t>
      </w:r>
      <w:r>
        <w:rPr>
          <w:rFonts w:cs="Times New Roman"/>
        </w:rPr>
        <w:t>view</w:t>
      </w:r>
      <w:r w:rsidRPr="00D60576">
        <w:rPr>
          <w:rFonts w:cs="Times New Roman"/>
        </w:rPr>
        <w:t xml:space="preserve"> that he had nothing to say “</w:t>
      </w:r>
      <w:r w:rsidRPr="00D60576">
        <w:rPr>
          <w:rFonts w:cs="Times New Roman"/>
          <w:u w:val="single"/>
        </w:rPr>
        <w:t>until my lawyer’s around and he tells me what’s going on</w:t>
      </w:r>
      <w:r w:rsidRPr="00D60576">
        <w:rPr>
          <w:rFonts w:cs="Times New Roman"/>
        </w:rPr>
        <w:t>” (</w:t>
      </w:r>
      <w:r w:rsidRPr="00D60576">
        <w:rPr>
          <w:rFonts w:cs="Times New Roman"/>
          <w:i/>
        </w:rPr>
        <w:t>Sinclair</w:t>
      </w:r>
      <w:r w:rsidRPr="00D60576">
        <w:rPr>
          <w:rFonts w:cs="Times New Roman"/>
        </w:rPr>
        <w:t xml:space="preserve">, at para. 8 </w:t>
      </w:r>
      <w:r>
        <w:rPr>
          <w:rFonts w:cs="Times New Roman"/>
        </w:rPr>
        <w:t>(</w:t>
      </w:r>
      <w:r w:rsidRPr="00D60576">
        <w:rPr>
          <w:rFonts w:cs="Times New Roman"/>
        </w:rPr>
        <w:t>emphasis added</w:t>
      </w:r>
      <w:r>
        <w:rPr>
          <w:rFonts w:cs="Times New Roman"/>
        </w:rPr>
        <w:t>)</w:t>
      </w:r>
      <w:r w:rsidRPr="00D60576">
        <w:rPr>
          <w:rFonts w:cs="Times New Roman"/>
        </w:rPr>
        <w:t xml:space="preserve">). The police explained to him that he had the right to consult a lawyer, but not to have a lawyer present during questioning. Mr. Sinclair then confessed. </w:t>
      </w:r>
      <w:r w:rsidRPr="00D60576">
        <w:rPr>
          <w:rFonts w:cs="Times New Roman"/>
          <w:szCs w:val="24"/>
        </w:rPr>
        <w:t xml:space="preserve">A majority of this </w:t>
      </w:r>
      <w:r>
        <w:rPr>
          <w:rFonts w:cs="Times New Roman"/>
          <w:szCs w:val="24"/>
        </w:rPr>
        <w:t>C</w:t>
      </w:r>
      <w:r w:rsidRPr="00D60576">
        <w:rPr>
          <w:rFonts w:cs="Times New Roman"/>
          <w:szCs w:val="24"/>
        </w:rPr>
        <w:t>ourt found no infringement of Mr. Sinclair’s s. 10(</w:t>
      </w:r>
      <w:r w:rsidRPr="006D0EFB">
        <w:rPr>
          <w:rFonts w:cs="Times New Roman"/>
          <w:szCs w:val="24"/>
        </w:rPr>
        <w:t>b</w:t>
      </w:r>
      <w:r w:rsidRPr="00D60576">
        <w:rPr>
          <w:rFonts w:cs="Times New Roman"/>
          <w:szCs w:val="24"/>
        </w:rPr>
        <w:t>) rights.</w:t>
      </w:r>
    </w:p>
    <w:p w14:paraId="2C8936E5" w14:textId="77777777" w:rsidR="000975C6" w:rsidRPr="00D60576" w:rsidRDefault="000975C6" w:rsidP="000975C6">
      <w:pPr>
        <w:pStyle w:val="ParaNoNdepar-AltN"/>
        <w:rPr>
          <w:rFonts w:cs="Times New Roman"/>
          <w:szCs w:val="24"/>
        </w:rPr>
      </w:pPr>
      <w:r w:rsidRPr="00D60576">
        <w:rPr>
          <w:rFonts w:cs="Times New Roman"/>
        </w:rPr>
        <w:t xml:space="preserve">Contrary to the majority’s </w:t>
      </w:r>
      <w:r>
        <w:rPr>
          <w:rFonts w:cs="Times New Roman"/>
        </w:rPr>
        <w:t>holdings</w:t>
      </w:r>
      <w:r w:rsidRPr="00D60576">
        <w:rPr>
          <w:rFonts w:cs="Times New Roman"/>
        </w:rPr>
        <w:t xml:space="preserve">, there is no basis to conclude that the choice faced by Mr. Lafrance was </w:t>
      </w:r>
      <w:r w:rsidRPr="00D60576">
        <w:rPr>
          <w:rFonts w:cs="Times New Roman"/>
          <w:i/>
        </w:rPr>
        <w:t>significantly altered</w:t>
      </w:r>
      <w:r w:rsidRPr="00D60576">
        <w:rPr>
          <w:rFonts w:cs="Times New Roman"/>
        </w:rPr>
        <w:t xml:space="preserve"> so as to require further advice in order to fulfill the purpose of his </w:t>
      </w:r>
      <w:r>
        <w:rPr>
          <w:rFonts w:cs="Times New Roman"/>
        </w:rPr>
        <w:t>s. </w:t>
      </w:r>
      <w:r w:rsidRPr="00D60576">
        <w:rPr>
          <w:rFonts w:cs="Times New Roman"/>
        </w:rPr>
        <w:t>10(</w:t>
      </w:r>
      <w:r w:rsidRPr="006D0EFB">
        <w:rPr>
          <w:rFonts w:cs="Times New Roman"/>
        </w:rPr>
        <w:t>b</w:t>
      </w:r>
      <w:r w:rsidRPr="00D60576">
        <w:rPr>
          <w:rFonts w:cs="Times New Roman"/>
        </w:rPr>
        <w:t>) rights.</w:t>
      </w:r>
    </w:p>
    <w:p w14:paraId="270BBF11" w14:textId="77777777" w:rsidR="000975C6" w:rsidRPr="00D60576" w:rsidRDefault="000975C6" w:rsidP="000975C6">
      <w:pPr>
        <w:pStyle w:val="ParaNoNdepar-AltN"/>
        <w:rPr>
          <w:rFonts w:cs="Times New Roman"/>
          <w:szCs w:val="24"/>
        </w:rPr>
      </w:pPr>
      <w:r w:rsidRPr="00D60576">
        <w:rPr>
          <w:rFonts w:cs="Times New Roman"/>
        </w:rPr>
        <w:t xml:space="preserve">While Mr. Lafrance is Indigenous, nothing on these facts suggests that these circumstances alone bring the case into the third </w:t>
      </w:r>
      <w:r w:rsidRPr="00D60576">
        <w:rPr>
          <w:rFonts w:cs="Times New Roman"/>
          <w:i/>
        </w:rPr>
        <w:t>Sinclair</w:t>
      </w:r>
      <w:r w:rsidRPr="00D60576">
        <w:rPr>
          <w:rFonts w:cs="Times New Roman"/>
        </w:rPr>
        <w:t xml:space="preserve"> category.</w:t>
      </w:r>
    </w:p>
    <w:p w14:paraId="08ADBAC8" w14:textId="77777777" w:rsidR="000975C6" w:rsidRPr="00D60576" w:rsidRDefault="000975C6" w:rsidP="000975C6">
      <w:pPr>
        <w:pStyle w:val="ParaNoNdepar-AltN"/>
        <w:rPr>
          <w:rFonts w:cs="Times New Roman"/>
        </w:rPr>
      </w:pPr>
      <w:r w:rsidRPr="00D60576">
        <w:rPr>
          <w:rFonts w:cs="Times New Roman"/>
          <w:shd w:val="clear" w:color="auto" w:fill="FFFFFF"/>
        </w:rPr>
        <w:lastRenderedPageBreak/>
        <w:t xml:space="preserve">While purporting to follow </w:t>
      </w:r>
      <w:r w:rsidRPr="00D60576">
        <w:rPr>
          <w:rFonts w:cs="Times New Roman"/>
          <w:i/>
          <w:shd w:val="clear" w:color="auto" w:fill="FFFFFF"/>
        </w:rPr>
        <w:t>Sinclair</w:t>
      </w:r>
      <w:r w:rsidRPr="00D60576">
        <w:rPr>
          <w:rFonts w:cs="Times New Roman"/>
          <w:shd w:val="clear" w:color="auto" w:fill="FFFFFF"/>
        </w:rPr>
        <w:t xml:space="preserve">, the majority unduly expands its reach so as to undermine fundamentally the framework for analysis set out in that case. Without saying so directly, the majority’s logic seems to be </w:t>
      </w:r>
      <w:r w:rsidRPr="00D60576">
        <w:rPr>
          <w:rFonts w:cs="Times New Roman"/>
        </w:rPr>
        <w:t>that a detainee is entitled to further consultation with counsel, upon request, or upon a mere confusion about hi</w:t>
      </w:r>
      <w:r>
        <w:rPr>
          <w:rFonts w:cs="Times New Roman"/>
        </w:rPr>
        <w:t>s or her</w:t>
      </w:r>
      <w:r w:rsidRPr="00D60576">
        <w:rPr>
          <w:rFonts w:cs="Times New Roman"/>
        </w:rPr>
        <w:t xml:space="preserve"> rights. This Court has never interpreted s. 10(</w:t>
      </w:r>
      <w:r w:rsidRPr="006D0EFB">
        <w:rPr>
          <w:rFonts w:cs="Times New Roman"/>
        </w:rPr>
        <w:t>b</w:t>
      </w:r>
      <w:r w:rsidRPr="00D60576">
        <w:rPr>
          <w:rFonts w:cs="Times New Roman"/>
        </w:rPr>
        <w:t>) in that manner. The detainee has a right to make a decision to cooperate with the investigation or to decline to do so in a free and informed manner. However,</w:t>
      </w:r>
      <w:r>
        <w:rPr>
          <w:rFonts w:cs="Times New Roman"/>
        </w:rPr>
        <w:t xml:space="preserve"> </w:t>
      </w:r>
      <w:r w:rsidRPr="00D60576">
        <w:rPr>
          <w:rFonts w:cs="Times New Roman"/>
        </w:rPr>
        <w:t xml:space="preserve">the state is entitled to rely on legitimate means of interrogation to investigate crimes </w:t>
      </w:r>
      <w:r>
        <w:rPr>
          <w:rFonts w:cs="Times New Roman"/>
        </w:rPr>
        <w:t>(</w:t>
      </w:r>
      <w:r w:rsidRPr="00D60576">
        <w:rPr>
          <w:rFonts w:cs="Times New Roman"/>
          <w:i/>
        </w:rPr>
        <w:t>Sinclair</w:t>
      </w:r>
      <w:r w:rsidRPr="00D60576">
        <w:rPr>
          <w:rFonts w:cs="Times New Roman"/>
        </w:rPr>
        <w:t>, at para. 25</w:t>
      </w:r>
      <w:r>
        <w:rPr>
          <w:rFonts w:cs="Times New Roman"/>
        </w:rPr>
        <w:t>)</w:t>
      </w:r>
      <w:r w:rsidRPr="00D60576">
        <w:rPr>
          <w:rFonts w:cs="Times New Roman"/>
        </w:rPr>
        <w:t>. T</w:t>
      </w:r>
      <w:r w:rsidRPr="00D60576">
        <w:rPr>
          <w:rFonts w:cs="Times New Roman"/>
          <w:szCs w:val="24"/>
        </w:rPr>
        <w:t>here was no breach of Mr. Lafrance’s s. 10(</w:t>
      </w:r>
      <w:r w:rsidRPr="007932EC">
        <w:rPr>
          <w:rFonts w:cs="Times New Roman"/>
          <w:szCs w:val="24"/>
        </w:rPr>
        <w:t>b</w:t>
      </w:r>
      <w:r w:rsidRPr="00D60576">
        <w:rPr>
          <w:rFonts w:cs="Times New Roman"/>
          <w:szCs w:val="24"/>
        </w:rPr>
        <w:t>) rights on April 7, 2015.</w:t>
      </w:r>
    </w:p>
    <w:p w14:paraId="0BE348B3" w14:textId="77777777" w:rsidR="000975C6" w:rsidRPr="00D60576" w:rsidRDefault="000975C6" w:rsidP="000975C6">
      <w:pPr>
        <w:pStyle w:val="Title2LevelTitre2Niveau"/>
        <w:jc w:val="both"/>
        <w:rPr>
          <w:rFonts w:cs="Times New Roman"/>
        </w:rPr>
      </w:pPr>
      <w:r w:rsidRPr="00D60576">
        <w:rPr>
          <w:rFonts w:cs="Times New Roman"/>
        </w:rPr>
        <w:t xml:space="preserve">Whether </w:t>
      </w:r>
      <w:r>
        <w:rPr>
          <w:rFonts w:cs="Times New Roman"/>
        </w:rPr>
        <w:t>or Not Mr. Lafrance</w:t>
      </w:r>
      <w:r w:rsidRPr="00D60576">
        <w:rPr>
          <w:rFonts w:cs="Times New Roman"/>
        </w:rPr>
        <w:t xml:space="preserve">’s </w:t>
      </w:r>
      <w:r>
        <w:rPr>
          <w:rFonts w:cs="Times New Roman"/>
        </w:rPr>
        <w:t>Right to Counsel W</w:t>
      </w:r>
      <w:r w:rsidRPr="00D60576">
        <w:rPr>
          <w:rFonts w:cs="Times New Roman"/>
        </w:rPr>
        <w:t xml:space="preserve">as </w:t>
      </w:r>
      <w:r>
        <w:rPr>
          <w:rFonts w:cs="Times New Roman"/>
        </w:rPr>
        <w:t>V</w:t>
      </w:r>
      <w:r w:rsidRPr="00D60576">
        <w:rPr>
          <w:rFonts w:cs="Times New Roman"/>
        </w:rPr>
        <w:t>iolated on March 19, 2015</w:t>
      </w:r>
      <w:r>
        <w:rPr>
          <w:rFonts w:cs="Times New Roman"/>
        </w:rPr>
        <w:t>,</w:t>
      </w:r>
      <w:r w:rsidRPr="00D60576">
        <w:rPr>
          <w:rFonts w:cs="Times New Roman"/>
        </w:rPr>
        <w:t xml:space="preserve"> </w:t>
      </w:r>
      <w:r>
        <w:rPr>
          <w:rFonts w:cs="Times New Roman"/>
        </w:rPr>
        <w:t>S</w:t>
      </w:r>
      <w:r w:rsidRPr="00D60576">
        <w:rPr>
          <w:rFonts w:cs="Times New Roman"/>
        </w:rPr>
        <w:t xml:space="preserve">uch </w:t>
      </w:r>
      <w:r>
        <w:rPr>
          <w:rFonts w:cs="Times New Roman"/>
        </w:rPr>
        <w:t>T</w:t>
      </w:r>
      <w:r w:rsidRPr="00D60576">
        <w:rPr>
          <w:rFonts w:cs="Times New Roman"/>
        </w:rPr>
        <w:t xml:space="preserve">hat </w:t>
      </w:r>
      <w:r>
        <w:rPr>
          <w:rFonts w:cs="Times New Roman"/>
        </w:rPr>
        <w:t>H</w:t>
      </w:r>
      <w:r w:rsidRPr="00D60576">
        <w:rPr>
          <w:rFonts w:cs="Times New Roman"/>
        </w:rPr>
        <w:t xml:space="preserve">is </w:t>
      </w:r>
      <w:r>
        <w:rPr>
          <w:rFonts w:cs="Times New Roman"/>
        </w:rPr>
        <w:t>Statements and Other E</w:t>
      </w:r>
      <w:r w:rsidRPr="00D60576">
        <w:rPr>
          <w:rFonts w:cs="Times New Roman"/>
        </w:rPr>
        <w:t xml:space="preserve">vidence </w:t>
      </w:r>
      <w:r>
        <w:rPr>
          <w:rFonts w:cs="Times New Roman"/>
        </w:rPr>
        <w:t>O</w:t>
      </w:r>
      <w:r w:rsidRPr="00D60576">
        <w:rPr>
          <w:rFonts w:cs="Times New Roman"/>
        </w:rPr>
        <w:t xml:space="preserve">btained </w:t>
      </w:r>
      <w:r>
        <w:rPr>
          <w:rFonts w:cs="Times New Roman"/>
        </w:rPr>
        <w:t>Should B</w:t>
      </w:r>
      <w:r w:rsidRPr="00D60576">
        <w:rPr>
          <w:rFonts w:cs="Times New Roman"/>
        </w:rPr>
        <w:t xml:space="preserve">e </w:t>
      </w:r>
      <w:r>
        <w:rPr>
          <w:rFonts w:cs="Times New Roman"/>
        </w:rPr>
        <w:t>E</w:t>
      </w:r>
      <w:r w:rsidRPr="00D60576">
        <w:rPr>
          <w:rFonts w:cs="Times New Roman"/>
        </w:rPr>
        <w:t xml:space="preserve">xcluded </w:t>
      </w:r>
      <w:r>
        <w:rPr>
          <w:rFonts w:cs="Times New Roman"/>
        </w:rPr>
        <w:t>U</w:t>
      </w:r>
      <w:r w:rsidRPr="00D60576">
        <w:rPr>
          <w:rFonts w:cs="Times New Roman"/>
        </w:rPr>
        <w:t xml:space="preserve">nder </w:t>
      </w:r>
      <w:r>
        <w:rPr>
          <w:rFonts w:cs="Times New Roman"/>
        </w:rPr>
        <w:t>Section</w:t>
      </w:r>
      <w:r w:rsidRPr="00D60576">
        <w:rPr>
          <w:rFonts w:cs="Times New Roman"/>
        </w:rPr>
        <w:t> 24(2)</w:t>
      </w:r>
    </w:p>
    <w:p w14:paraId="2968BDCA" w14:textId="77777777" w:rsidR="000975C6" w:rsidRPr="00D60576" w:rsidRDefault="000975C6" w:rsidP="000975C6">
      <w:pPr>
        <w:pStyle w:val="ParaNoNdepar-AltN"/>
        <w:rPr>
          <w:rFonts w:cs="Times New Roman"/>
        </w:rPr>
      </w:pPr>
      <w:r w:rsidRPr="00D60576">
        <w:rPr>
          <w:rFonts w:cs="Times New Roman"/>
        </w:rPr>
        <w:t>As we explain above, we conclude that on March 19, 2015, Mr. Lafrance was not detained. The trial judge’s conclusions on the issue of detention are owed deference and there is no basis to depart from them. However, even if it could be said that the trial judge erred, and that Mr. Lafrance was detained on March 19, 2015</w:t>
      </w:r>
      <w:r>
        <w:rPr>
          <w:rFonts w:cs="Times New Roman"/>
        </w:rPr>
        <w:t>,</w:t>
      </w:r>
      <w:r w:rsidRPr="00D60576">
        <w:rPr>
          <w:rFonts w:cs="Times New Roman"/>
        </w:rPr>
        <w:t xml:space="preserve"> without being afforded his right to counsel, we conclude that </w:t>
      </w:r>
      <w:r>
        <w:rPr>
          <w:rFonts w:cs="Times New Roman"/>
        </w:rPr>
        <w:t>the</w:t>
      </w:r>
      <w:r w:rsidRPr="00D60576">
        <w:rPr>
          <w:rFonts w:cs="Times New Roman"/>
        </w:rPr>
        <w:t xml:space="preserve"> evidence </w:t>
      </w:r>
      <w:r>
        <w:rPr>
          <w:rFonts w:cs="Times New Roman"/>
        </w:rPr>
        <w:t xml:space="preserve">was not </w:t>
      </w:r>
      <w:r w:rsidRPr="00D60576">
        <w:rPr>
          <w:rFonts w:cs="Times New Roman"/>
        </w:rPr>
        <w:t xml:space="preserve">sufficiently connected to that </w:t>
      </w:r>
      <w:r w:rsidRPr="00D60576">
        <w:rPr>
          <w:rFonts w:cs="Times New Roman"/>
          <w:i/>
        </w:rPr>
        <w:t>Charter</w:t>
      </w:r>
      <w:r w:rsidRPr="00D60576">
        <w:rPr>
          <w:rFonts w:cs="Times New Roman"/>
        </w:rPr>
        <w:t xml:space="preserve"> breach. There is therefore no basis on which to exclude such evidence under s. 24(2).</w:t>
      </w:r>
    </w:p>
    <w:p w14:paraId="3245C227" w14:textId="77777777" w:rsidR="000975C6" w:rsidRPr="00D60576" w:rsidRDefault="000975C6" w:rsidP="000975C6">
      <w:pPr>
        <w:pStyle w:val="ParaNoNdepar-AltN"/>
        <w:rPr>
          <w:rFonts w:cs="Times New Roman"/>
        </w:rPr>
      </w:pPr>
      <w:r w:rsidRPr="00D60576">
        <w:rPr>
          <w:rFonts w:cs="Times New Roman"/>
        </w:rPr>
        <w:t xml:space="preserve">Under s. 24(2) of the </w:t>
      </w:r>
      <w:r w:rsidRPr="00D60576">
        <w:rPr>
          <w:rFonts w:cs="Times New Roman"/>
          <w:i/>
        </w:rPr>
        <w:t>Charter</w:t>
      </w:r>
      <w:r w:rsidRPr="00D60576">
        <w:rPr>
          <w:rFonts w:cs="Times New Roman"/>
        </w:rPr>
        <w:t xml:space="preserve">, </w:t>
      </w:r>
      <w:r>
        <w:rPr>
          <w:rFonts w:cs="Times New Roman"/>
        </w:rPr>
        <w:t>a</w:t>
      </w:r>
      <w:r w:rsidRPr="00D60576">
        <w:rPr>
          <w:rFonts w:cs="Times New Roman"/>
        </w:rPr>
        <w:t xml:space="preserve"> </w:t>
      </w:r>
      <w:r>
        <w:rPr>
          <w:rFonts w:cs="Times New Roman"/>
        </w:rPr>
        <w:t>c</w:t>
      </w:r>
      <w:r w:rsidRPr="00D60576">
        <w:rPr>
          <w:rFonts w:cs="Times New Roman"/>
        </w:rPr>
        <w:t xml:space="preserve">ourt may exclude evidence obtained “in a manner” that violates </w:t>
      </w:r>
      <w:r w:rsidRPr="00D60576">
        <w:rPr>
          <w:rFonts w:cs="Times New Roman"/>
          <w:i/>
        </w:rPr>
        <w:t>Charter</w:t>
      </w:r>
      <w:r w:rsidRPr="00D60576">
        <w:rPr>
          <w:rFonts w:cs="Times New Roman"/>
        </w:rPr>
        <w:t xml:space="preserve"> rights if its admission would bring the administration of justice into disrepute. </w:t>
      </w:r>
      <w:r>
        <w:rPr>
          <w:rFonts w:cs="Times New Roman"/>
        </w:rPr>
        <w:t>“Whether evidence was ‘</w:t>
      </w:r>
      <w:r w:rsidRPr="00D60576">
        <w:rPr>
          <w:rFonts w:cs="Times New Roman"/>
        </w:rPr>
        <w:t>obtained in a manner</w:t>
      </w:r>
      <w:r>
        <w:rPr>
          <w:rFonts w:cs="Times New Roman"/>
        </w:rPr>
        <w:t>’</w:t>
      </w:r>
      <w:r w:rsidRPr="00D60576">
        <w:rPr>
          <w:rFonts w:cs="Times New Roman"/>
        </w:rPr>
        <w:t xml:space="preserve"> that infringed </w:t>
      </w:r>
      <w:r w:rsidRPr="00D60576">
        <w:rPr>
          <w:rFonts w:cs="Times New Roman"/>
        </w:rPr>
        <w:lastRenderedPageBreak/>
        <w:t xml:space="preserve">an accused’s rights under the </w:t>
      </w:r>
      <w:r w:rsidRPr="00D60576">
        <w:rPr>
          <w:rFonts w:cs="Times New Roman"/>
          <w:i/>
        </w:rPr>
        <w:t>Charter</w:t>
      </w:r>
      <w:r w:rsidRPr="00D60576">
        <w:rPr>
          <w:rFonts w:cs="Times New Roman"/>
        </w:rPr>
        <w:t xml:space="preserve"> depends on the nature of the connection between the </w:t>
      </w:r>
      <w:r w:rsidRPr="00D60576">
        <w:rPr>
          <w:rFonts w:cs="Times New Roman"/>
          <w:i/>
        </w:rPr>
        <w:t>Charter</w:t>
      </w:r>
      <w:r w:rsidRPr="00D60576">
        <w:rPr>
          <w:rFonts w:cs="Times New Roman"/>
        </w:rPr>
        <w:t xml:space="preserve"> violation and the evidence that was ultimately obtained</w:t>
      </w:r>
      <w:r>
        <w:rPr>
          <w:rFonts w:cs="Times New Roman"/>
        </w:rPr>
        <w:t>”</w:t>
      </w:r>
      <w:r w:rsidRPr="00D60576">
        <w:rPr>
          <w:rFonts w:cs="Times New Roman"/>
        </w:rPr>
        <w:t xml:space="preserve"> </w:t>
      </w:r>
      <w:r>
        <w:rPr>
          <w:rFonts w:cs="Times New Roman"/>
        </w:rPr>
        <w:t>(</w:t>
      </w:r>
      <w:r w:rsidRPr="00D60576">
        <w:rPr>
          <w:rFonts w:cs="Times New Roman"/>
          <w:i/>
          <w:szCs w:val="24"/>
        </w:rPr>
        <w:t>R. v. Mack</w:t>
      </w:r>
      <w:r w:rsidRPr="00D60576">
        <w:rPr>
          <w:rFonts w:cs="Times New Roman"/>
        </w:rPr>
        <w:t xml:space="preserve">, 2014 SCC 58, [2014] 3 S.C.R. 3, at para. 38; </w:t>
      </w:r>
      <w:r w:rsidRPr="00D60576">
        <w:rPr>
          <w:rFonts w:cs="Times New Roman"/>
          <w:i/>
        </w:rPr>
        <w:t>R. </w:t>
      </w:r>
      <w:r w:rsidRPr="00D60576">
        <w:rPr>
          <w:rFonts w:cs="Times New Roman"/>
          <w:i/>
          <w:iCs/>
        </w:rPr>
        <w:t>v.</w:t>
      </w:r>
      <w:r w:rsidRPr="00D60576">
        <w:rPr>
          <w:rFonts w:cs="Times New Roman"/>
          <w:i/>
        </w:rPr>
        <w:t> Tim</w:t>
      </w:r>
      <w:r w:rsidRPr="00D60576">
        <w:rPr>
          <w:rFonts w:cs="Times New Roman"/>
        </w:rPr>
        <w:t>, 2022 SCC 12, at para. 78</w:t>
      </w:r>
      <w:r>
        <w:rPr>
          <w:rFonts w:cs="Times New Roman"/>
        </w:rPr>
        <w:t>)</w:t>
      </w:r>
      <w:r w:rsidRPr="00D60576">
        <w:rPr>
          <w:rFonts w:cs="Times New Roman"/>
        </w:rPr>
        <w:t>.</w:t>
      </w:r>
    </w:p>
    <w:p w14:paraId="39362EDB" w14:textId="77777777" w:rsidR="000975C6" w:rsidRPr="00D60576" w:rsidRDefault="000975C6" w:rsidP="000975C6">
      <w:pPr>
        <w:pStyle w:val="ParaNoNdepar-AltN"/>
        <w:rPr>
          <w:rFonts w:cs="Times New Roman"/>
        </w:rPr>
      </w:pPr>
      <w:r w:rsidRPr="00D60576">
        <w:rPr>
          <w:rFonts w:cs="Times New Roman"/>
        </w:rPr>
        <w:t xml:space="preserve">In </w:t>
      </w:r>
      <w:r w:rsidRPr="00D60576">
        <w:rPr>
          <w:rFonts w:cs="Times New Roman"/>
          <w:i/>
        </w:rPr>
        <w:t>R. v. Wittwer</w:t>
      </w:r>
      <w:r w:rsidRPr="00D60576">
        <w:rPr>
          <w:rFonts w:cs="Times New Roman"/>
        </w:rPr>
        <w:t>, 2008 SCC 33, [2008] 2 S.C.R. 235, at para. 21, this Court found that “[t]he required connection between the breach and [the evidence obtained] may be ‘temporal, contextual, causal or a combination of the three’</w:t>
      </w:r>
      <w:r>
        <w:rPr>
          <w:rFonts w:cs="Times New Roman"/>
        </w:rPr>
        <w:t>:</w:t>
      </w:r>
      <w:r w:rsidRPr="00D60576">
        <w:rPr>
          <w:rFonts w:cs="Times New Roman"/>
        </w:rPr>
        <w:t xml:space="preserve"> </w:t>
      </w:r>
      <w:r w:rsidRPr="00D60576">
        <w:rPr>
          <w:rFonts w:cs="Times New Roman"/>
          <w:i/>
          <w:iCs/>
        </w:rPr>
        <w:t>R. v. Plaha</w:t>
      </w:r>
      <w:r>
        <w:rPr>
          <w:rFonts w:cs="Times New Roman"/>
          <w:i/>
          <w:iCs/>
        </w:rPr>
        <w:t xml:space="preserve"> </w:t>
      </w:r>
      <w:r w:rsidRPr="00D60576">
        <w:rPr>
          <w:rFonts w:cs="Times New Roman"/>
        </w:rPr>
        <w:t>(2004), 189 O.A.C. 376, at para. </w:t>
      </w:r>
      <w:r w:rsidRPr="00D60576">
        <w:rPr>
          <w:rStyle w:val="Hyperlink"/>
          <w:rFonts w:cs="Times New Roman"/>
          <w:szCs w:val="24"/>
        </w:rPr>
        <w:t>45</w:t>
      </w:r>
      <w:r w:rsidRPr="00D60576">
        <w:rPr>
          <w:rFonts w:cs="Times New Roman"/>
        </w:rPr>
        <w:t>. A connection that is merely ‘remote’ or ‘tenuous’ will not suffice.”</w:t>
      </w:r>
      <w:r w:rsidRPr="00D60576">
        <w:rPr>
          <w:rFonts w:cs="Times New Roman"/>
          <w:shd w:val="clear" w:color="auto" w:fill="FFFFFF"/>
        </w:rPr>
        <w:t xml:space="preserve"> The requisite connection must be shown before </w:t>
      </w:r>
      <w:r>
        <w:rPr>
          <w:rFonts w:cs="Times New Roman"/>
          <w:shd w:val="clear" w:color="auto" w:fill="FFFFFF"/>
        </w:rPr>
        <w:t>a</w:t>
      </w:r>
      <w:r w:rsidRPr="00D60576">
        <w:rPr>
          <w:rFonts w:cs="Times New Roman"/>
        </w:rPr>
        <w:t xml:space="preserve"> </w:t>
      </w:r>
      <w:r>
        <w:rPr>
          <w:rFonts w:cs="Times New Roman"/>
        </w:rPr>
        <w:t>c</w:t>
      </w:r>
      <w:r w:rsidRPr="00D60576">
        <w:rPr>
          <w:rFonts w:cs="Times New Roman"/>
        </w:rPr>
        <w:t>ourt considers whether the admission of the evidence would bring the administr</w:t>
      </w:r>
      <w:r>
        <w:rPr>
          <w:rFonts w:cs="Times New Roman"/>
        </w:rPr>
        <w:t>ation of justice into disrepute (</w:t>
      </w:r>
      <w:r w:rsidRPr="00D60576">
        <w:rPr>
          <w:rFonts w:cs="Times New Roman"/>
          <w:i/>
        </w:rPr>
        <w:t>Grant</w:t>
      </w:r>
      <w:r>
        <w:rPr>
          <w:rFonts w:cs="Times New Roman"/>
        </w:rPr>
        <w:t>, at para. 131)</w:t>
      </w:r>
      <w:r w:rsidRPr="00D60576">
        <w:rPr>
          <w:rFonts w:cs="Times New Roman"/>
        </w:rPr>
        <w:t>. The burden of proving that a remedy should be granted under s. 24(2) is on the party who seeks the remedy, here Mr. Lafrance</w:t>
      </w:r>
      <w:r w:rsidRPr="00D60576">
        <w:rPr>
          <w:rFonts w:cs="Times New Roman"/>
          <w:shd w:val="clear" w:color="auto" w:fill="FFFFFF"/>
        </w:rPr>
        <w:t xml:space="preserve"> </w:t>
      </w:r>
      <w:r>
        <w:rPr>
          <w:rFonts w:cs="Times New Roman"/>
          <w:shd w:val="clear" w:color="auto" w:fill="FFFFFF"/>
        </w:rPr>
        <w:t>(</w:t>
      </w:r>
      <w:r w:rsidRPr="00D60576">
        <w:rPr>
          <w:rFonts w:cs="Times New Roman"/>
          <w:i/>
          <w:shd w:val="clear" w:color="auto" w:fill="FFFFFF"/>
        </w:rPr>
        <w:t>R. </w:t>
      </w:r>
      <w:r w:rsidRPr="00D60576">
        <w:rPr>
          <w:rFonts w:cs="Times New Roman"/>
          <w:i/>
          <w:iCs/>
          <w:shd w:val="clear" w:color="auto" w:fill="FFFFFF"/>
        </w:rPr>
        <w:t>v.</w:t>
      </w:r>
      <w:r w:rsidRPr="00D60576">
        <w:rPr>
          <w:rFonts w:cs="Times New Roman"/>
          <w:i/>
          <w:shd w:val="clear" w:color="auto" w:fill="FFFFFF"/>
        </w:rPr>
        <w:t> Collins</w:t>
      </w:r>
      <w:r w:rsidRPr="00D60576">
        <w:rPr>
          <w:rFonts w:cs="Times New Roman"/>
          <w:shd w:val="clear" w:color="auto" w:fill="FFFFFF"/>
        </w:rPr>
        <w:t>, [1987] 1 S.C.R. 265, at p. </w:t>
      </w:r>
      <w:r>
        <w:rPr>
          <w:rFonts w:cs="Times New Roman"/>
          <w:shd w:val="clear" w:color="auto" w:fill="FFFFFF"/>
        </w:rPr>
        <w:t>280)</w:t>
      </w:r>
      <w:r w:rsidRPr="00D60576">
        <w:rPr>
          <w:rFonts w:cs="Times New Roman"/>
          <w:shd w:val="clear" w:color="auto" w:fill="FFFFFF"/>
        </w:rPr>
        <w:t>.</w:t>
      </w:r>
    </w:p>
    <w:p w14:paraId="6EB0557B" w14:textId="77777777" w:rsidR="000975C6" w:rsidRPr="00D60576" w:rsidRDefault="000975C6" w:rsidP="000975C6">
      <w:pPr>
        <w:pStyle w:val="ParaNoNdepar-AltN"/>
        <w:rPr>
          <w:rFonts w:cs="Times New Roman"/>
        </w:rPr>
      </w:pPr>
      <w:r w:rsidRPr="00D60576">
        <w:rPr>
          <w:rFonts w:cs="Times New Roman"/>
        </w:rPr>
        <w:t>During the March 19, 2015 interview, Mr. Lafrance provided police with general information, a blood</w:t>
      </w:r>
      <w:r>
        <w:rPr>
          <w:rFonts w:cs="Times New Roman"/>
        </w:rPr>
        <w:t xml:space="preserve"> sample, finger</w:t>
      </w:r>
      <w:r w:rsidRPr="00D60576">
        <w:rPr>
          <w:rFonts w:cs="Times New Roman"/>
        </w:rPr>
        <w:t xml:space="preserve">prints, cellphone and some </w:t>
      </w:r>
      <w:r>
        <w:rPr>
          <w:rFonts w:cs="Times New Roman"/>
        </w:rPr>
        <w:t xml:space="preserve">of his </w:t>
      </w:r>
      <w:r w:rsidRPr="00D60576">
        <w:rPr>
          <w:rFonts w:cs="Times New Roman"/>
        </w:rPr>
        <w:t>clothing. The Crown did not seek to introduce any of this evidence, nor Mr. Lafrance’s March 19, 2015 police statement</w:t>
      </w:r>
      <w:r>
        <w:rPr>
          <w:rFonts w:cs="Times New Roman"/>
        </w:rPr>
        <w:t>,</w:t>
      </w:r>
      <w:r w:rsidRPr="00D60576">
        <w:rPr>
          <w:rFonts w:cs="Times New Roman"/>
        </w:rPr>
        <w:t xml:space="preserve"> at trial. There is therefore no need to consider whether this evidence should be excluded.</w:t>
      </w:r>
    </w:p>
    <w:p w14:paraId="7DCC4C49" w14:textId="77777777" w:rsidR="000975C6" w:rsidRPr="00D60576" w:rsidRDefault="000975C6" w:rsidP="000975C6">
      <w:pPr>
        <w:pStyle w:val="ParaNoNdepar-AltN"/>
        <w:rPr>
          <w:rFonts w:cs="Times New Roman"/>
        </w:rPr>
      </w:pPr>
      <w:r w:rsidRPr="00D60576">
        <w:rPr>
          <w:rFonts w:cs="Times New Roman"/>
        </w:rPr>
        <w:t xml:space="preserve">As to the April 7, 2015 statement, the trial judge found it was not sufficiently connected to the March 19, 2015 statement. The majority of </w:t>
      </w:r>
      <w:r>
        <w:rPr>
          <w:rFonts w:cs="Times New Roman"/>
        </w:rPr>
        <w:t xml:space="preserve">the </w:t>
      </w:r>
      <w:r w:rsidRPr="00D60576">
        <w:rPr>
          <w:rFonts w:cs="Times New Roman"/>
        </w:rPr>
        <w:t>Court of Appeal disagreed, holding that some information obtained as a result of the March 19, 2015 interview formed the basis of questions in the April 7, 2015 inter</w:t>
      </w:r>
      <w:r>
        <w:rPr>
          <w:rFonts w:cs="Times New Roman"/>
        </w:rPr>
        <w:t>view</w:t>
      </w:r>
      <w:r w:rsidRPr="00D60576">
        <w:rPr>
          <w:rFonts w:cs="Times New Roman"/>
        </w:rPr>
        <w:t xml:space="preserve">. </w:t>
      </w:r>
      <w:r w:rsidRPr="00D60576">
        <w:rPr>
          <w:rFonts w:cs="Times New Roman"/>
        </w:rPr>
        <w:lastRenderedPageBreak/>
        <w:t xml:space="preserve">In our view, the majority of </w:t>
      </w:r>
      <w:r>
        <w:rPr>
          <w:rFonts w:cs="Times New Roman"/>
        </w:rPr>
        <w:t xml:space="preserve">the </w:t>
      </w:r>
      <w:r w:rsidRPr="00D60576">
        <w:rPr>
          <w:rFonts w:cs="Times New Roman"/>
        </w:rPr>
        <w:t>Court of Appeal should not have substituted its view for the view of the trial judge. The trial judge found that the March 19, 2015 statement did not substantially contribute to the April 7, 2015 statement. He based this on Mr. Lafrance’s testimony that the first statement “had nothing to do with” the second. There is no proper or principled basis to interfere with the trial judge’s findings in this regard.</w:t>
      </w:r>
    </w:p>
    <w:p w14:paraId="21978F6C" w14:textId="77777777" w:rsidR="000975C6" w:rsidRPr="00D60576" w:rsidRDefault="000975C6" w:rsidP="000975C6">
      <w:pPr>
        <w:pStyle w:val="ParaNoNdepar-AltN"/>
        <w:rPr>
          <w:rFonts w:cs="Times New Roman"/>
        </w:rPr>
      </w:pPr>
      <w:r>
        <w:rPr>
          <w:rFonts w:cs="Times New Roman"/>
        </w:rPr>
        <w:t>Mr. Lafrance</w:t>
      </w:r>
      <w:r w:rsidRPr="00D60576">
        <w:rPr>
          <w:rFonts w:cs="Times New Roman"/>
        </w:rPr>
        <w:t xml:space="preserve"> has not shown that any evidence presented at trial has the requisite link with the alleged March 19, 2015 detention and any resulting breach of the right to counsel.</w:t>
      </w:r>
    </w:p>
    <w:p w14:paraId="4E65E24C" w14:textId="77777777" w:rsidR="000975C6" w:rsidRPr="00D60576" w:rsidRDefault="000975C6" w:rsidP="000975C6">
      <w:pPr>
        <w:pStyle w:val="Title1LevelTitre1Niveau-AltL"/>
        <w:jc w:val="both"/>
        <w:rPr>
          <w:rFonts w:cs="Times New Roman"/>
        </w:rPr>
      </w:pPr>
      <w:r w:rsidRPr="00D60576">
        <w:rPr>
          <w:rFonts w:cs="Times New Roman"/>
        </w:rPr>
        <w:t>C</w:t>
      </w:r>
      <w:r>
        <w:rPr>
          <w:rFonts w:cs="Times New Roman"/>
        </w:rPr>
        <w:t>onclusion</w:t>
      </w:r>
    </w:p>
    <w:p w14:paraId="35A76310" w14:textId="77777777" w:rsidR="000975C6" w:rsidRPr="00D60576" w:rsidRDefault="000975C6" w:rsidP="000975C6">
      <w:pPr>
        <w:pStyle w:val="ParaNoNdepar-AltN"/>
        <w:rPr>
          <w:rFonts w:cs="Times New Roman"/>
        </w:rPr>
      </w:pPr>
      <w:r w:rsidRPr="00D60576">
        <w:rPr>
          <w:rFonts w:cs="Times New Roman"/>
        </w:rPr>
        <w:t xml:space="preserve">For the foregoing reasons, we are of the view that there was no basis upon which the Court of Appeal, nor the majority in this Court, should interfere with the ruling of the trial judge. The appeal should be allowed and </w:t>
      </w:r>
      <w:r>
        <w:rPr>
          <w:rFonts w:cs="Times New Roman"/>
        </w:rPr>
        <w:t>Mr. Lafrance</w:t>
      </w:r>
      <w:r w:rsidRPr="00D60576">
        <w:rPr>
          <w:rFonts w:cs="Times New Roman"/>
        </w:rPr>
        <w:t>’s conviction for second degree murder restored.</w:t>
      </w:r>
    </w:p>
    <w:p w14:paraId="6F342701" w14:textId="77777777" w:rsidR="000975C6" w:rsidRDefault="000975C6" w:rsidP="00566361">
      <w:pPr>
        <w:pStyle w:val="SCCNormalDoubleSpacing"/>
        <w:spacing w:after="480"/>
      </w:pPr>
    </w:p>
    <w:p w14:paraId="2325104A" w14:textId="5C59508A" w:rsidR="009B57B3" w:rsidRPr="00D6385C" w:rsidRDefault="009B57B3" w:rsidP="00566361">
      <w:pPr>
        <w:pStyle w:val="SCCNormalDoubleSpacing"/>
        <w:spacing w:after="480"/>
        <w:rPr>
          <w:i/>
        </w:rPr>
      </w:pPr>
      <w:r w:rsidRPr="001426A9">
        <w:tab/>
      </w:r>
      <w:r w:rsidR="00656313" w:rsidRPr="00D15508">
        <w:rPr>
          <w:i/>
        </w:rPr>
        <w:t>Appeal</w:t>
      </w:r>
      <w:r w:rsidR="00D6385C" w:rsidRPr="00D15508">
        <w:rPr>
          <w:i/>
        </w:rPr>
        <w:t xml:space="preserve"> dismissed,</w:t>
      </w:r>
      <w:r w:rsidR="00F952E8" w:rsidRPr="00D15508">
        <w:rPr>
          <w:i/>
        </w:rPr>
        <w:t xml:space="preserve"> </w:t>
      </w:r>
      <w:r w:rsidR="00F952E8" w:rsidRPr="00D15508">
        <w:rPr>
          <w:smallCaps/>
        </w:rPr>
        <w:t>Wagner C.J.</w:t>
      </w:r>
      <w:r w:rsidR="00F952E8" w:rsidRPr="00D15508">
        <w:rPr>
          <w:i/>
        </w:rPr>
        <w:t xml:space="preserve"> and </w:t>
      </w:r>
      <w:r w:rsidR="00F952E8" w:rsidRPr="00D15508">
        <w:rPr>
          <w:smallCaps/>
        </w:rPr>
        <w:t>Moldaver</w:t>
      </w:r>
      <w:r w:rsidR="00F952E8" w:rsidRPr="00D15508">
        <w:rPr>
          <w:i/>
        </w:rPr>
        <w:t>,</w:t>
      </w:r>
      <w:r w:rsidR="00D6385C" w:rsidRPr="00D15508">
        <w:rPr>
          <w:i/>
        </w:rPr>
        <w:t xml:space="preserve"> </w:t>
      </w:r>
      <w:r w:rsidR="00D6385C" w:rsidRPr="00D15508">
        <w:rPr>
          <w:smallCaps/>
        </w:rPr>
        <w:t xml:space="preserve">Côté </w:t>
      </w:r>
      <w:r w:rsidR="00D6385C" w:rsidRPr="00D15508">
        <w:rPr>
          <w:i/>
        </w:rPr>
        <w:t>and</w:t>
      </w:r>
      <w:r w:rsidR="00D6385C" w:rsidRPr="00D15508">
        <w:t xml:space="preserve"> </w:t>
      </w:r>
      <w:r w:rsidR="00D6385C" w:rsidRPr="00D15508">
        <w:rPr>
          <w:smallCaps/>
        </w:rPr>
        <w:t xml:space="preserve">Rowe JJ. </w:t>
      </w:r>
      <w:proofErr w:type="gramStart"/>
      <w:r w:rsidR="00D6385C" w:rsidRPr="00D15508">
        <w:rPr>
          <w:i/>
        </w:rPr>
        <w:t>dissenting</w:t>
      </w:r>
      <w:proofErr w:type="gramEnd"/>
      <w:r w:rsidR="00D6385C" w:rsidRPr="00D15508">
        <w:rPr>
          <w:i/>
        </w:rPr>
        <w:t>.</w:t>
      </w:r>
    </w:p>
    <w:p w14:paraId="611FFC05" w14:textId="0673BA9C" w:rsidR="00577B7B" w:rsidRPr="00566361" w:rsidRDefault="00C764FB" w:rsidP="00566361">
      <w:pPr>
        <w:pStyle w:val="SCCNormalDoubleSpacing"/>
        <w:spacing w:after="480"/>
        <w:rPr>
          <w:i/>
        </w:rPr>
      </w:pPr>
      <w:r>
        <w:lastRenderedPageBreak/>
        <w:tab/>
      </w:r>
      <w:r w:rsidRPr="00A80C97">
        <w:rPr>
          <w:i/>
        </w:rPr>
        <w:t>Solicitor</w:t>
      </w:r>
      <w:r w:rsidR="00402556" w:rsidRPr="00A80C97">
        <w:rPr>
          <w:i/>
        </w:rPr>
        <w:t xml:space="preserve"> for the appellant</w:t>
      </w:r>
      <w:r w:rsidR="00402556" w:rsidRPr="00566361">
        <w:rPr>
          <w:i/>
        </w:rPr>
        <w:t xml:space="preserve">: </w:t>
      </w:r>
      <w:r w:rsidR="00EC66C3" w:rsidRPr="00EC66C3">
        <w:rPr>
          <w:i/>
        </w:rPr>
        <w:t>Justice and Solicitor General, Appeals, Education &amp; Prosecution Policy Branch</w:t>
      </w:r>
      <w:r w:rsidR="00402556" w:rsidRPr="00EC66C3">
        <w:rPr>
          <w:i/>
        </w:rPr>
        <w:t>, Edmonton</w:t>
      </w:r>
      <w:r w:rsidR="00402556" w:rsidRPr="00566361">
        <w:rPr>
          <w:i/>
        </w:rPr>
        <w:t>.</w:t>
      </w:r>
    </w:p>
    <w:p w14:paraId="5B9B7A29" w14:textId="77777777" w:rsidR="00577B7B" w:rsidRPr="00566361" w:rsidRDefault="00C764FB" w:rsidP="00566361">
      <w:pPr>
        <w:pStyle w:val="SCCNormalDoubleSpacing"/>
        <w:spacing w:after="480"/>
        <w:rPr>
          <w:i/>
        </w:rPr>
      </w:pPr>
      <w:r>
        <w:tab/>
      </w:r>
      <w:r w:rsidRPr="00566361">
        <w:rPr>
          <w:i/>
        </w:rPr>
        <w:t>Solicitor</w:t>
      </w:r>
      <w:r w:rsidR="000E0FD8" w:rsidRPr="00566361">
        <w:rPr>
          <w:i/>
        </w:rPr>
        <w:t xml:space="preserve"> for the respondent: Gregory </w:t>
      </w:r>
      <w:r w:rsidR="00402556" w:rsidRPr="00566361">
        <w:rPr>
          <w:i/>
        </w:rPr>
        <w:t>C. Lazin, Victoria.</w:t>
      </w:r>
    </w:p>
    <w:p w14:paraId="01DEEBD5" w14:textId="77777777" w:rsidR="00C764FB" w:rsidRPr="00566361" w:rsidRDefault="00402556" w:rsidP="00566361">
      <w:pPr>
        <w:pStyle w:val="SCCNormalDoubleSpacing"/>
        <w:spacing w:after="480"/>
        <w:rPr>
          <w:i/>
        </w:rPr>
      </w:pPr>
      <w:r>
        <w:tab/>
      </w:r>
      <w:r w:rsidR="00C764FB" w:rsidRPr="00566361">
        <w:rPr>
          <w:i/>
        </w:rPr>
        <w:t xml:space="preserve">Solicitor for the intervener </w:t>
      </w:r>
      <w:r w:rsidRPr="00566361">
        <w:rPr>
          <w:i/>
        </w:rPr>
        <w:t xml:space="preserve">the </w:t>
      </w:r>
      <w:r w:rsidR="00C764FB" w:rsidRPr="00566361">
        <w:rPr>
          <w:i/>
        </w:rPr>
        <w:t>Attorney General of Ontario: Attorney General of Ontario, Toronto.</w:t>
      </w:r>
    </w:p>
    <w:p w14:paraId="7840248B" w14:textId="77777777" w:rsidR="00577B7B" w:rsidRPr="00566361" w:rsidRDefault="00C764FB" w:rsidP="00566361">
      <w:pPr>
        <w:pStyle w:val="SCCNormalDoubleSpacing"/>
        <w:spacing w:after="480"/>
        <w:rPr>
          <w:i/>
        </w:rPr>
      </w:pPr>
      <w:r>
        <w:tab/>
      </w:r>
      <w:r w:rsidR="00402556" w:rsidRPr="00566361">
        <w:rPr>
          <w:i/>
        </w:rPr>
        <w:t xml:space="preserve">Solicitors for the intervener </w:t>
      </w:r>
      <w:r w:rsidR="000E0FD8" w:rsidRPr="00566361">
        <w:rPr>
          <w:i/>
        </w:rPr>
        <w:t xml:space="preserve">the </w:t>
      </w:r>
      <w:r w:rsidR="00402556" w:rsidRPr="00566361">
        <w:rPr>
          <w:i/>
        </w:rPr>
        <w:t>Canadian Civil Liberties As</w:t>
      </w:r>
      <w:r w:rsidRPr="00566361">
        <w:rPr>
          <w:i/>
        </w:rPr>
        <w:t>sociation: Addario Law Group</w:t>
      </w:r>
      <w:r w:rsidR="00402556" w:rsidRPr="00566361">
        <w:rPr>
          <w:i/>
        </w:rPr>
        <w:t>, Toronto.</w:t>
      </w:r>
    </w:p>
    <w:p w14:paraId="217AEBE1" w14:textId="2859EBA1" w:rsidR="009B57B3" w:rsidRPr="00566361" w:rsidRDefault="00C764FB" w:rsidP="00566361">
      <w:pPr>
        <w:pStyle w:val="SCCNormalDoubleSpacing"/>
        <w:spacing w:after="480"/>
        <w:rPr>
          <w:i/>
        </w:rPr>
      </w:pPr>
      <w:r>
        <w:tab/>
      </w:r>
      <w:r w:rsidRPr="00566361">
        <w:rPr>
          <w:i/>
        </w:rPr>
        <w:t>Solicitors</w:t>
      </w:r>
      <w:r w:rsidR="00402556" w:rsidRPr="00566361">
        <w:rPr>
          <w:i/>
        </w:rPr>
        <w:t xml:space="preserve"> for the intervener </w:t>
      </w:r>
      <w:r w:rsidRPr="00566361">
        <w:rPr>
          <w:i/>
        </w:rPr>
        <w:t xml:space="preserve">the </w:t>
      </w:r>
      <w:r w:rsidR="00402556" w:rsidRPr="00566361">
        <w:rPr>
          <w:i/>
        </w:rPr>
        <w:t>Criminal Lawyers</w:t>
      </w:r>
      <w:r w:rsidR="00862AF3" w:rsidRPr="00566361">
        <w:rPr>
          <w:i/>
        </w:rPr>
        <w:t>’</w:t>
      </w:r>
      <w:r w:rsidR="00402556" w:rsidRPr="00566361">
        <w:rPr>
          <w:i/>
        </w:rPr>
        <w:t xml:space="preserve"> Association: Kapoor Barristers, Toronto.</w:t>
      </w:r>
    </w:p>
    <w:sectPr w:rsidR="009B57B3" w:rsidRPr="00566361" w:rsidSect="000648CC">
      <w:headerReference w:type="default" r:id="rId10"/>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538A9" w14:textId="77777777" w:rsidR="001F0887" w:rsidRDefault="001F0887">
      <w:r>
        <w:separator/>
      </w:r>
    </w:p>
  </w:endnote>
  <w:endnote w:type="continuationSeparator" w:id="0">
    <w:p w14:paraId="07F40ED4" w14:textId="77777777" w:rsidR="001F0887" w:rsidRDefault="001F0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B18D2" w14:textId="77777777" w:rsidR="001F0887" w:rsidRDefault="001F0887">
      <w:r>
        <w:separator/>
      </w:r>
    </w:p>
  </w:footnote>
  <w:footnote w:type="continuationSeparator" w:id="0">
    <w:p w14:paraId="1804CE54" w14:textId="77777777" w:rsidR="001F0887" w:rsidRDefault="001F0887">
      <w:r>
        <w:continuationSeparator/>
      </w:r>
    </w:p>
  </w:footnote>
  <w:footnote w:id="1">
    <w:p w14:paraId="5379DFD9" w14:textId="77777777" w:rsidR="001F0887" w:rsidRPr="009823C3" w:rsidRDefault="001F0887" w:rsidP="000975C6">
      <w:pPr>
        <w:pStyle w:val="FootnoteText"/>
        <w:rPr>
          <w:lang w:val="en-US"/>
        </w:rPr>
      </w:pPr>
      <w:r>
        <w:rPr>
          <w:rStyle w:val="FootnoteReference"/>
        </w:rPr>
        <w:footnoteRef/>
      </w:r>
      <w:r>
        <w:t xml:space="preserve">  </w:t>
      </w:r>
      <w:r>
        <w:rPr>
          <w:lang w:val="en-US"/>
        </w:rPr>
        <w:t xml:space="preserve">Mr. Lafrance also argued that his s. 8 rights were breached. Given my disposition of this appeal on ss. 10 and 24(2) of the </w:t>
      </w:r>
      <w:r>
        <w:rPr>
          <w:i/>
          <w:lang w:val="en-US"/>
        </w:rPr>
        <w:t>Charter</w:t>
      </w:r>
      <w:r>
        <w:rPr>
          <w:lang w:val="en-US"/>
        </w:rPr>
        <w:t>, it is unnecessary for me to decide this point.</w:t>
      </w:r>
    </w:p>
  </w:footnote>
  <w:footnote w:id="2">
    <w:p w14:paraId="058D789A" w14:textId="77777777" w:rsidR="001F0887" w:rsidRPr="00A52002" w:rsidRDefault="001F0887" w:rsidP="000975C6">
      <w:pPr>
        <w:pStyle w:val="FootnoteText"/>
        <w:rPr>
          <w:lang w:val="en-US"/>
        </w:rPr>
      </w:pPr>
      <w:r>
        <w:rPr>
          <w:rStyle w:val="FootnoteReference"/>
        </w:rPr>
        <w:footnoteRef/>
      </w:r>
      <w:r>
        <w:t xml:space="preserve">  </w:t>
      </w:r>
      <w:r>
        <w:rPr>
          <w:lang w:val="en-US"/>
        </w:rPr>
        <w:t>I glean this from Sgt. Eros’ testimony: “There’s a person that ah you know what – and the way that that kinda goes ah – I won’t say it’s, it’s bad advice but it’s maybe miss – a little bit miss ah – miss ah – interrupted” (A.R., vol. V, at p. 139).</w:t>
      </w:r>
    </w:p>
  </w:footnote>
  <w:footnote w:id="3">
    <w:p w14:paraId="1F586D96" w14:textId="77777777" w:rsidR="001F0887" w:rsidRPr="002433AC" w:rsidRDefault="001F0887" w:rsidP="000975C6">
      <w:pPr>
        <w:pStyle w:val="FootnoteText"/>
        <w:rPr>
          <w:lang w:val="en-US"/>
        </w:rPr>
      </w:pPr>
      <w:r w:rsidRPr="002433AC">
        <w:rPr>
          <w:rStyle w:val="FootnoteReference"/>
        </w:rPr>
        <w:footnoteRef/>
      </w:r>
      <w:r w:rsidRPr="002433AC">
        <w:t xml:space="preserve"> </w:t>
      </w:r>
      <w:r>
        <w:tab/>
      </w:r>
      <w:r w:rsidRPr="00C369F1">
        <w:rPr>
          <w:lang w:bidi="en-US"/>
        </w:rPr>
        <w:t>i.e.,</w:t>
      </w:r>
      <w:r w:rsidRPr="002433AC">
        <w:rPr>
          <w:lang w:bidi="en-US"/>
        </w:rPr>
        <w:t xml:space="preserve"> “you don’t have to provide me a statement . . . that it would be completely voluntary on your point”, “you don’t hafta sit here and speak with me today”, “you are at any time Nigel free to leave”, “we (unintelligible) responsibility </w:t>
      </w:r>
      <w:r>
        <w:rPr>
          <w:lang w:bidi="en-US"/>
        </w:rPr>
        <w:t xml:space="preserve">to ensure that you’re aware of </w:t>
      </w:r>
      <w:r w:rsidRPr="002433AC">
        <w:rPr>
          <w:lang w:bidi="en-US"/>
        </w:rPr>
        <w:t>– of your rights and . . . and like I said that – that includes the ability to</w:t>
      </w:r>
      <w:r>
        <w:rPr>
          <w:lang w:bidi="en-US"/>
        </w:rPr>
        <w:t xml:space="preserve"> leave whenever you want to”, “[v]</w:t>
      </w:r>
      <w:r w:rsidRPr="002433AC">
        <w:rPr>
          <w:lang w:bidi="en-US"/>
        </w:rPr>
        <w:t>oluntary that you don’t have to sit here and speak with me”, “you say you’re willing to talk now . . . right in half an hour, 20 minutes, two hours you’re – you decide that – that you no longer wanta speak with me . . . Um you just have to let me know . . . Okay and at that point in time, we’ll stop and we’ll move on”, and “some people think well now that I’ve agreed to it . . . I’m stuck here right . . . And – t</w:t>
      </w:r>
      <w:r>
        <w:rPr>
          <w:lang w:bidi="en-US"/>
        </w:rPr>
        <w:t>hat’s absolutely not the case” (</w:t>
      </w:r>
      <w:r w:rsidRPr="002433AC">
        <w:rPr>
          <w:lang w:bidi="en-US"/>
        </w:rPr>
        <w:t>A.R., vol. IV, at pp. 56, 64</w:t>
      </w:r>
      <w:r>
        <w:rPr>
          <w:lang w:bidi="en-US"/>
        </w:rPr>
        <w:t xml:space="preserve"> and 72-74)</w:t>
      </w:r>
      <w:r w:rsidRPr="002433AC">
        <w:rPr>
          <w:lang w:bidi="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93690" w14:textId="77777777" w:rsidR="001F0887" w:rsidRPr="00566361" w:rsidRDefault="001F0887" w:rsidP="005663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CC25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30E3D"/>
    <w:multiLevelType w:val="hybridMultilevel"/>
    <w:tmpl w:val="E2D0FF44"/>
    <w:lvl w:ilvl="0" w:tplc="4FFAB38E">
      <w:start w:val="1"/>
      <w:numFmt w:val="upperLetter"/>
      <w:lvlText w:val="%1."/>
      <w:lvlJc w:val="left"/>
      <w:pPr>
        <w:ind w:left="1526" w:hanging="36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11" w15:restartNumberingAfterBreak="0">
    <w:nsid w:val="05A708A6"/>
    <w:multiLevelType w:val="hybridMultilevel"/>
    <w:tmpl w:val="D42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7D420A"/>
    <w:multiLevelType w:val="hybridMultilevel"/>
    <w:tmpl w:val="836C637A"/>
    <w:lvl w:ilvl="0" w:tplc="6C78AEF4">
      <w:start w:val="1"/>
      <w:numFmt w:val="upperRoman"/>
      <w:lvlText w:val="%1."/>
      <w:lvlJc w:val="left"/>
      <w:pPr>
        <w:ind w:left="1080" w:hanging="720"/>
      </w:pPr>
      <w:rPr>
        <w:rFonts w:hint="default"/>
      </w:rPr>
    </w:lvl>
    <w:lvl w:ilvl="1" w:tplc="04090011">
      <w:start w:val="1"/>
      <w:numFmt w:val="decimal"/>
      <w:lvlText w:val="%2)"/>
      <w:lvlJc w:val="left"/>
      <w:pPr>
        <w:ind w:left="1440" w:hanging="360"/>
      </w:pPr>
    </w:lvl>
    <w:lvl w:ilvl="2" w:tplc="A61E707C">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F4382E"/>
    <w:multiLevelType w:val="hybridMultilevel"/>
    <w:tmpl w:val="4D367176"/>
    <w:lvl w:ilvl="0" w:tplc="1CA2FA24">
      <w:start w:val="1"/>
      <w:numFmt w:val="upperRoman"/>
      <w:lvlText w:val="%1."/>
      <w:lvlJc w:val="left"/>
      <w:pPr>
        <w:ind w:left="1080" w:hanging="720"/>
      </w:pPr>
      <w:rPr>
        <w:rFonts w:hint="default"/>
      </w:rPr>
    </w:lvl>
    <w:lvl w:ilvl="1" w:tplc="2AE28E44">
      <w:start w:val="1"/>
      <w:numFmt w:val="upperLetter"/>
      <w:lvlText w:val="%2."/>
      <w:lvlJc w:val="left"/>
      <w:pPr>
        <w:ind w:left="1440" w:hanging="360"/>
      </w:pPr>
      <w:rPr>
        <w:rFonts w:hint="default"/>
        <w:b/>
      </w:rPr>
    </w:lvl>
    <w:lvl w:ilvl="2" w:tplc="E522F112">
      <w:start w:val="1"/>
      <w:numFmt w:val="lowerRoman"/>
      <w:lvlText w:val="%3."/>
      <w:lvlJc w:val="right"/>
      <w:pPr>
        <w:ind w:left="2160" w:hanging="180"/>
      </w:pPr>
      <w:rPr>
        <w:b w:val="0"/>
      </w:rPr>
    </w:lvl>
    <w:lvl w:ilvl="3" w:tplc="A1247968">
      <w:start w:val="1"/>
      <w:numFmt w:val="decimal"/>
      <w:lvlText w:val="%4."/>
      <w:lvlJc w:val="left"/>
      <w:pPr>
        <w:ind w:left="2880" w:hanging="360"/>
      </w:pPr>
      <w:rPr>
        <w:b w:val="0"/>
      </w:rPr>
    </w:lvl>
    <w:lvl w:ilvl="4" w:tplc="A210CB42">
      <w:start w:val="1"/>
      <w:numFmt w:val="lowerLetter"/>
      <w:lvlText w:val="%5."/>
      <w:lvlJc w:val="left"/>
      <w:pPr>
        <w:ind w:left="3600" w:hanging="360"/>
      </w:pPr>
      <w:rPr>
        <w:b w:val="0"/>
      </w:rPr>
    </w:lvl>
    <w:lvl w:ilvl="5" w:tplc="4840233C">
      <w:start w:val="1"/>
      <w:numFmt w:val="lowerRoman"/>
      <w:lvlText w:val="%6."/>
      <w:lvlJc w:val="right"/>
      <w:pPr>
        <w:ind w:left="4320" w:hanging="180"/>
      </w:pPr>
      <w:rPr>
        <w:b w:val="0"/>
      </w:rPr>
    </w:lvl>
    <w:lvl w:ilvl="6" w:tplc="37F86DD2">
      <w:start w:val="1"/>
      <w:numFmt w:val="decimal"/>
      <w:lvlText w:val="%7."/>
      <w:lvlJc w:val="left"/>
      <w:pPr>
        <w:ind w:left="5040" w:hanging="360"/>
      </w:pPr>
      <w:rPr>
        <w:b w:val="0"/>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B3206B8"/>
    <w:multiLevelType w:val="hybridMultilevel"/>
    <w:tmpl w:val="DB7CB6D0"/>
    <w:lvl w:ilvl="0" w:tplc="DD20C040">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EF56DA"/>
    <w:multiLevelType w:val="hybridMultilevel"/>
    <w:tmpl w:val="4EF694C6"/>
    <w:lvl w:ilvl="0" w:tplc="57BC5DBC">
      <w:start w:val="1"/>
      <w:numFmt w:val="lowerLetter"/>
      <w:lvlText w:val="(%1.)"/>
      <w:lvlJc w:val="left"/>
      <w:pPr>
        <w:ind w:left="1646" w:hanging="48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17"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1FF1058E"/>
    <w:multiLevelType w:val="hybridMultilevel"/>
    <w:tmpl w:val="A65C8B82"/>
    <w:lvl w:ilvl="0" w:tplc="2F2E7D98">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4C66B3C"/>
    <w:multiLevelType w:val="hybridMultilevel"/>
    <w:tmpl w:val="4AB220C4"/>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20" w15:restartNumberingAfterBreak="0">
    <w:nsid w:val="24CC56BA"/>
    <w:multiLevelType w:val="hybridMultilevel"/>
    <w:tmpl w:val="6E9A8854"/>
    <w:lvl w:ilvl="0" w:tplc="B3287C9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68256A7"/>
    <w:multiLevelType w:val="hybridMultilevel"/>
    <w:tmpl w:val="007CDF88"/>
    <w:lvl w:ilvl="0" w:tplc="B3287C9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C955537"/>
    <w:multiLevelType w:val="hybridMultilevel"/>
    <w:tmpl w:val="C772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3E978AB"/>
    <w:multiLevelType w:val="hybridMultilevel"/>
    <w:tmpl w:val="BFB61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B45158"/>
    <w:multiLevelType w:val="hybridMultilevel"/>
    <w:tmpl w:val="B784E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27" w15:restartNumberingAfterBreak="0">
    <w:nsid w:val="474C6476"/>
    <w:multiLevelType w:val="hybridMultilevel"/>
    <w:tmpl w:val="83F4A598"/>
    <w:lvl w:ilvl="0" w:tplc="04090017">
      <w:start w:val="1"/>
      <w:numFmt w:val="lowerLetter"/>
      <w:lvlText w:val="%1)"/>
      <w:lvlJc w:val="left"/>
      <w:pPr>
        <w:ind w:left="1890" w:hanging="360"/>
      </w:pPr>
    </w:lvl>
    <w:lvl w:ilvl="1" w:tplc="04090019" w:tentative="1">
      <w:start w:val="1"/>
      <w:numFmt w:val="lowerLetter"/>
      <w:lvlText w:val="%2."/>
      <w:lvlJc w:val="left"/>
      <w:pPr>
        <w:ind w:left="2696" w:hanging="360"/>
      </w:pPr>
    </w:lvl>
    <w:lvl w:ilvl="2" w:tplc="0409001B" w:tentative="1">
      <w:start w:val="1"/>
      <w:numFmt w:val="lowerRoman"/>
      <w:lvlText w:val="%3."/>
      <w:lvlJc w:val="right"/>
      <w:pPr>
        <w:ind w:left="3416" w:hanging="180"/>
      </w:pPr>
    </w:lvl>
    <w:lvl w:ilvl="3" w:tplc="0409000F" w:tentative="1">
      <w:start w:val="1"/>
      <w:numFmt w:val="decimal"/>
      <w:lvlText w:val="%4."/>
      <w:lvlJc w:val="left"/>
      <w:pPr>
        <w:ind w:left="4136" w:hanging="360"/>
      </w:pPr>
    </w:lvl>
    <w:lvl w:ilvl="4" w:tplc="04090019" w:tentative="1">
      <w:start w:val="1"/>
      <w:numFmt w:val="lowerLetter"/>
      <w:lvlText w:val="%5."/>
      <w:lvlJc w:val="left"/>
      <w:pPr>
        <w:ind w:left="4856" w:hanging="360"/>
      </w:pPr>
    </w:lvl>
    <w:lvl w:ilvl="5" w:tplc="0409001B" w:tentative="1">
      <w:start w:val="1"/>
      <w:numFmt w:val="lowerRoman"/>
      <w:lvlText w:val="%6."/>
      <w:lvlJc w:val="right"/>
      <w:pPr>
        <w:ind w:left="5576" w:hanging="180"/>
      </w:pPr>
    </w:lvl>
    <w:lvl w:ilvl="6" w:tplc="0409000F" w:tentative="1">
      <w:start w:val="1"/>
      <w:numFmt w:val="decimal"/>
      <w:lvlText w:val="%7."/>
      <w:lvlJc w:val="left"/>
      <w:pPr>
        <w:ind w:left="6296" w:hanging="360"/>
      </w:pPr>
    </w:lvl>
    <w:lvl w:ilvl="7" w:tplc="04090019" w:tentative="1">
      <w:start w:val="1"/>
      <w:numFmt w:val="lowerLetter"/>
      <w:lvlText w:val="%8."/>
      <w:lvlJc w:val="left"/>
      <w:pPr>
        <w:ind w:left="7016" w:hanging="360"/>
      </w:pPr>
    </w:lvl>
    <w:lvl w:ilvl="8" w:tplc="0409001B" w:tentative="1">
      <w:start w:val="1"/>
      <w:numFmt w:val="lowerRoman"/>
      <w:lvlText w:val="%9."/>
      <w:lvlJc w:val="right"/>
      <w:pPr>
        <w:ind w:left="7736" w:hanging="180"/>
      </w:pPr>
    </w:lvl>
  </w:abstractNum>
  <w:abstractNum w:abstractNumId="28" w15:restartNumberingAfterBreak="0">
    <w:nsid w:val="47973603"/>
    <w:multiLevelType w:val="hybridMultilevel"/>
    <w:tmpl w:val="70B0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31"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4E7E042D"/>
    <w:multiLevelType w:val="hybridMultilevel"/>
    <w:tmpl w:val="C238746E"/>
    <w:lvl w:ilvl="0" w:tplc="0409000F">
      <w:start w:val="1"/>
      <w:numFmt w:val="decimal"/>
      <w:lvlText w:val="%1."/>
      <w:lvlJc w:val="left"/>
      <w:pPr>
        <w:ind w:left="1890" w:hanging="360"/>
      </w:pPr>
    </w:lvl>
    <w:lvl w:ilvl="1" w:tplc="04090019" w:tentative="1">
      <w:start w:val="1"/>
      <w:numFmt w:val="lowerLetter"/>
      <w:lvlText w:val="%2."/>
      <w:lvlJc w:val="left"/>
      <w:pPr>
        <w:ind w:left="2696" w:hanging="360"/>
      </w:pPr>
    </w:lvl>
    <w:lvl w:ilvl="2" w:tplc="0409001B" w:tentative="1">
      <w:start w:val="1"/>
      <w:numFmt w:val="lowerRoman"/>
      <w:lvlText w:val="%3."/>
      <w:lvlJc w:val="right"/>
      <w:pPr>
        <w:ind w:left="3416" w:hanging="180"/>
      </w:pPr>
    </w:lvl>
    <w:lvl w:ilvl="3" w:tplc="0409000F" w:tentative="1">
      <w:start w:val="1"/>
      <w:numFmt w:val="decimal"/>
      <w:lvlText w:val="%4."/>
      <w:lvlJc w:val="left"/>
      <w:pPr>
        <w:ind w:left="4136" w:hanging="360"/>
      </w:pPr>
    </w:lvl>
    <w:lvl w:ilvl="4" w:tplc="04090019" w:tentative="1">
      <w:start w:val="1"/>
      <w:numFmt w:val="lowerLetter"/>
      <w:lvlText w:val="%5."/>
      <w:lvlJc w:val="left"/>
      <w:pPr>
        <w:ind w:left="4856" w:hanging="360"/>
      </w:pPr>
    </w:lvl>
    <w:lvl w:ilvl="5" w:tplc="0409001B" w:tentative="1">
      <w:start w:val="1"/>
      <w:numFmt w:val="lowerRoman"/>
      <w:lvlText w:val="%6."/>
      <w:lvlJc w:val="right"/>
      <w:pPr>
        <w:ind w:left="5576" w:hanging="180"/>
      </w:pPr>
    </w:lvl>
    <w:lvl w:ilvl="6" w:tplc="0409000F" w:tentative="1">
      <w:start w:val="1"/>
      <w:numFmt w:val="decimal"/>
      <w:lvlText w:val="%7."/>
      <w:lvlJc w:val="left"/>
      <w:pPr>
        <w:ind w:left="6296" w:hanging="360"/>
      </w:pPr>
    </w:lvl>
    <w:lvl w:ilvl="7" w:tplc="04090019" w:tentative="1">
      <w:start w:val="1"/>
      <w:numFmt w:val="lowerLetter"/>
      <w:lvlText w:val="%8."/>
      <w:lvlJc w:val="left"/>
      <w:pPr>
        <w:ind w:left="7016" w:hanging="360"/>
      </w:pPr>
    </w:lvl>
    <w:lvl w:ilvl="8" w:tplc="0409001B" w:tentative="1">
      <w:start w:val="1"/>
      <w:numFmt w:val="lowerRoman"/>
      <w:lvlText w:val="%9."/>
      <w:lvlJc w:val="right"/>
      <w:pPr>
        <w:ind w:left="7736" w:hanging="180"/>
      </w:pPr>
    </w:lvl>
  </w:abstractNum>
  <w:abstractNum w:abstractNumId="33" w15:restartNumberingAfterBreak="0">
    <w:nsid w:val="54283EE8"/>
    <w:multiLevelType w:val="multilevel"/>
    <w:tmpl w:val="D4D6ADEA"/>
    <w:lvl w:ilvl="0">
      <w:start w:val="1"/>
      <w:numFmt w:val="decimal"/>
      <w:pStyle w:val="ParaNoNdepar-AltN"/>
      <w:lvlText w:val="[%1]"/>
      <w:lvlJc w:val="left"/>
      <w:pPr>
        <w:tabs>
          <w:tab w:val="num" w:pos="1152"/>
        </w:tabs>
        <w:ind w:left="0" w:firstLine="0"/>
      </w:pPr>
      <w:rPr>
        <w:rFonts w:ascii="Times New Roman" w:hAnsi="Times New Roman" w:hint="default"/>
        <w:b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92F27E3"/>
    <w:multiLevelType w:val="hybridMultilevel"/>
    <w:tmpl w:val="F434FC2C"/>
    <w:lvl w:ilvl="0" w:tplc="98429ABE">
      <w:start w:val="1"/>
      <w:numFmt w:val="upperLetter"/>
      <w:lvlText w:val="%1."/>
      <w:lvlJc w:val="left"/>
      <w:pPr>
        <w:ind w:left="1526" w:hanging="36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35" w15:restartNumberingAfterBreak="0">
    <w:nsid w:val="60E61A44"/>
    <w:multiLevelType w:val="multilevel"/>
    <w:tmpl w:val="90081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C61073D"/>
    <w:multiLevelType w:val="hybridMultilevel"/>
    <w:tmpl w:val="B720B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8153E8"/>
    <w:multiLevelType w:val="hybridMultilevel"/>
    <w:tmpl w:val="7B421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6"/>
  </w:num>
  <w:num w:numId="3">
    <w:abstractNumId w:val="17"/>
  </w:num>
  <w:num w:numId="4">
    <w:abstractNumId w:val="14"/>
  </w:num>
  <w:num w:numId="5">
    <w:abstractNumId w:val="30"/>
  </w:num>
  <w:num w:numId="6">
    <w:abstractNumId w:val="31"/>
  </w:num>
  <w:num w:numId="7">
    <w:abstractNumId w:val="26"/>
  </w:num>
  <w:num w:numId="8">
    <w:abstractNumId w:val="26"/>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9"/>
  </w:num>
  <w:num w:numId="10">
    <w:abstractNumId w:val="27"/>
  </w:num>
  <w:num w:numId="11">
    <w:abstractNumId w:val="16"/>
  </w:num>
  <w:num w:numId="12">
    <w:abstractNumId w:val="32"/>
  </w:num>
  <w:num w:numId="13">
    <w:abstractNumId w:val="13"/>
  </w:num>
  <w:num w:numId="14">
    <w:abstractNumId w:val="22"/>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38"/>
  </w:num>
  <w:num w:numId="19">
    <w:abstractNumId w:val="15"/>
  </w:num>
  <w:num w:numId="20">
    <w:abstractNumId w:val="37"/>
  </w:num>
  <w:num w:numId="21">
    <w:abstractNumId w:val="25"/>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23"/>
  </w:num>
  <w:num w:numId="36">
    <w:abstractNumId w:val="12"/>
  </w:num>
  <w:num w:numId="37">
    <w:abstractNumId w:val="24"/>
  </w:num>
  <w:num w:numId="38">
    <w:abstractNumId w:val="35"/>
  </w:num>
  <w:num w:numId="39">
    <w:abstractNumId w:val="10"/>
  </w:num>
  <w:num w:numId="40">
    <w:abstractNumId w:val="34"/>
  </w:num>
  <w:num w:numId="41">
    <w:abstractNumId w:val="18"/>
  </w:num>
  <w:num w:numId="42">
    <w:abstractNumId w:val="20"/>
  </w:num>
  <w:num w:numId="43">
    <w:abstractNumId w:val="21"/>
  </w:num>
  <w:num w:numId="44">
    <w:abstractNumId w:val="28"/>
  </w:num>
  <w:num w:numId="45">
    <w:abstractNumId w:val="26"/>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removePersonalInformation/>
  <w:removeDateAndTime/>
  <w:bordersDoNotSurroundHeader/>
  <w:bordersDoNotSurroundFooter/>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20B9"/>
    <w:rsid w:val="00002F3B"/>
    <w:rsid w:val="0000311E"/>
    <w:rsid w:val="00014E24"/>
    <w:rsid w:val="00025198"/>
    <w:rsid w:val="00041DF5"/>
    <w:rsid w:val="00043E18"/>
    <w:rsid w:val="000578A3"/>
    <w:rsid w:val="00063338"/>
    <w:rsid w:val="000648CC"/>
    <w:rsid w:val="00070F16"/>
    <w:rsid w:val="000734FF"/>
    <w:rsid w:val="00093360"/>
    <w:rsid w:val="000967FE"/>
    <w:rsid w:val="000975C6"/>
    <w:rsid w:val="000B558A"/>
    <w:rsid w:val="000C59B8"/>
    <w:rsid w:val="000C6AF0"/>
    <w:rsid w:val="000C71E0"/>
    <w:rsid w:val="000E0FD8"/>
    <w:rsid w:val="001040D5"/>
    <w:rsid w:val="00104F33"/>
    <w:rsid w:val="00106E00"/>
    <w:rsid w:val="00111DE2"/>
    <w:rsid w:val="00114AD6"/>
    <w:rsid w:val="00116B38"/>
    <w:rsid w:val="00133142"/>
    <w:rsid w:val="00135406"/>
    <w:rsid w:val="00135972"/>
    <w:rsid w:val="001426A9"/>
    <w:rsid w:val="001431EC"/>
    <w:rsid w:val="00147E3D"/>
    <w:rsid w:val="00154D7C"/>
    <w:rsid w:val="001570B0"/>
    <w:rsid w:val="0015752C"/>
    <w:rsid w:val="0015756E"/>
    <w:rsid w:val="00157737"/>
    <w:rsid w:val="00161942"/>
    <w:rsid w:val="00165277"/>
    <w:rsid w:val="00170592"/>
    <w:rsid w:val="00182086"/>
    <w:rsid w:val="0018359B"/>
    <w:rsid w:val="00186351"/>
    <w:rsid w:val="00195D83"/>
    <w:rsid w:val="001A00C1"/>
    <w:rsid w:val="001A0B5F"/>
    <w:rsid w:val="001B33E0"/>
    <w:rsid w:val="001B4573"/>
    <w:rsid w:val="001C779F"/>
    <w:rsid w:val="001D2AC1"/>
    <w:rsid w:val="001D4905"/>
    <w:rsid w:val="001D4E88"/>
    <w:rsid w:val="001E4E3E"/>
    <w:rsid w:val="001F0887"/>
    <w:rsid w:val="001F10CC"/>
    <w:rsid w:val="00220FC2"/>
    <w:rsid w:val="002222F4"/>
    <w:rsid w:val="00224FC0"/>
    <w:rsid w:val="00225EA4"/>
    <w:rsid w:val="00226EAF"/>
    <w:rsid w:val="00231F3A"/>
    <w:rsid w:val="00234199"/>
    <w:rsid w:val="002406EE"/>
    <w:rsid w:val="00243EC8"/>
    <w:rsid w:val="0024657E"/>
    <w:rsid w:val="00254E86"/>
    <w:rsid w:val="00270D93"/>
    <w:rsid w:val="002745CC"/>
    <w:rsid w:val="00294D0D"/>
    <w:rsid w:val="00297AFF"/>
    <w:rsid w:val="002B3DFC"/>
    <w:rsid w:val="002B59AF"/>
    <w:rsid w:val="002B6F07"/>
    <w:rsid w:val="002B7924"/>
    <w:rsid w:val="002B7EA6"/>
    <w:rsid w:val="002D28C3"/>
    <w:rsid w:val="002D39A4"/>
    <w:rsid w:val="002D7346"/>
    <w:rsid w:val="002E6705"/>
    <w:rsid w:val="002F73A6"/>
    <w:rsid w:val="00301D08"/>
    <w:rsid w:val="0030329A"/>
    <w:rsid w:val="00307621"/>
    <w:rsid w:val="0031068E"/>
    <w:rsid w:val="0031086F"/>
    <w:rsid w:val="0031414C"/>
    <w:rsid w:val="00314E01"/>
    <w:rsid w:val="0032089D"/>
    <w:rsid w:val="003232F4"/>
    <w:rsid w:val="003310DE"/>
    <w:rsid w:val="00331C90"/>
    <w:rsid w:val="003320DE"/>
    <w:rsid w:val="003323B0"/>
    <w:rsid w:val="00334EBD"/>
    <w:rsid w:val="0035169A"/>
    <w:rsid w:val="0035259D"/>
    <w:rsid w:val="00364B18"/>
    <w:rsid w:val="00380557"/>
    <w:rsid w:val="003A125D"/>
    <w:rsid w:val="003A4C70"/>
    <w:rsid w:val="003B215F"/>
    <w:rsid w:val="003C00D3"/>
    <w:rsid w:val="003C0EFF"/>
    <w:rsid w:val="003C799C"/>
    <w:rsid w:val="003D0399"/>
    <w:rsid w:val="003E1C71"/>
    <w:rsid w:val="003F19E7"/>
    <w:rsid w:val="003F327B"/>
    <w:rsid w:val="0040169A"/>
    <w:rsid w:val="00402556"/>
    <w:rsid w:val="00406166"/>
    <w:rsid w:val="0040704B"/>
    <w:rsid w:val="00410A55"/>
    <w:rsid w:val="00411300"/>
    <w:rsid w:val="00415417"/>
    <w:rsid w:val="0042243B"/>
    <w:rsid w:val="00426659"/>
    <w:rsid w:val="00440405"/>
    <w:rsid w:val="00442C68"/>
    <w:rsid w:val="00450352"/>
    <w:rsid w:val="00454BDB"/>
    <w:rsid w:val="004552D4"/>
    <w:rsid w:val="00462E29"/>
    <w:rsid w:val="00463F53"/>
    <w:rsid w:val="00464800"/>
    <w:rsid w:val="00465132"/>
    <w:rsid w:val="00480C90"/>
    <w:rsid w:val="0048396F"/>
    <w:rsid w:val="00493C18"/>
    <w:rsid w:val="00494377"/>
    <w:rsid w:val="004A358E"/>
    <w:rsid w:val="004A600C"/>
    <w:rsid w:val="004A6118"/>
    <w:rsid w:val="004B3875"/>
    <w:rsid w:val="004C34E0"/>
    <w:rsid w:val="004C478D"/>
    <w:rsid w:val="004D4514"/>
    <w:rsid w:val="004E2C26"/>
    <w:rsid w:val="004E6F8F"/>
    <w:rsid w:val="004F36FF"/>
    <w:rsid w:val="00503164"/>
    <w:rsid w:val="005125A8"/>
    <w:rsid w:val="00521AE8"/>
    <w:rsid w:val="00525904"/>
    <w:rsid w:val="00527180"/>
    <w:rsid w:val="00532762"/>
    <w:rsid w:val="0054201E"/>
    <w:rsid w:val="00544B47"/>
    <w:rsid w:val="00544E3C"/>
    <w:rsid w:val="00555291"/>
    <w:rsid w:val="00560450"/>
    <w:rsid w:val="00562016"/>
    <w:rsid w:val="00566361"/>
    <w:rsid w:val="00566AD1"/>
    <w:rsid w:val="0056766C"/>
    <w:rsid w:val="00570573"/>
    <w:rsid w:val="00575847"/>
    <w:rsid w:val="0057671F"/>
    <w:rsid w:val="00577B7B"/>
    <w:rsid w:val="005802BA"/>
    <w:rsid w:val="00583EDE"/>
    <w:rsid w:val="00592842"/>
    <w:rsid w:val="005958D5"/>
    <w:rsid w:val="00597E3B"/>
    <w:rsid w:val="005A3826"/>
    <w:rsid w:val="005A6079"/>
    <w:rsid w:val="005D23E2"/>
    <w:rsid w:val="005E4698"/>
    <w:rsid w:val="005F67E1"/>
    <w:rsid w:val="005F6E89"/>
    <w:rsid w:val="00610539"/>
    <w:rsid w:val="00610ECE"/>
    <w:rsid w:val="006135D8"/>
    <w:rsid w:val="00613969"/>
    <w:rsid w:val="00616C52"/>
    <w:rsid w:val="00620AC9"/>
    <w:rsid w:val="00625C35"/>
    <w:rsid w:val="00650E40"/>
    <w:rsid w:val="00652BE2"/>
    <w:rsid w:val="00656313"/>
    <w:rsid w:val="006565F4"/>
    <w:rsid w:val="006600E6"/>
    <w:rsid w:val="006713E8"/>
    <w:rsid w:val="00677F62"/>
    <w:rsid w:val="006802B0"/>
    <w:rsid w:val="00680471"/>
    <w:rsid w:val="0068296B"/>
    <w:rsid w:val="00684EEA"/>
    <w:rsid w:val="00695288"/>
    <w:rsid w:val="0069689B"/>
    <w:rsid w:val="006A1551"/>
    <w:rsid w:val="006A6586"/>
    <w:rsid w:val="006B03A0"/>
    <w:rsid w:val="006B5FF5"/>
    <w:rsid w:val="006D1BDF"/>
    <w:rsid w:val="006D7EE4"/>
    <w:rsid w:val="006E3ACF"/>
    <w:rsid w:val="006F30AF"/>
    <w:rsid w:val="006F5B44"/>
    <w:rsid w:val="006F7B82"/>
    <w:rsid w:val="00701759"/>
    <w:rsid w:val="00705C15"/>
    <w:rsid w:val="00714926"/>
    <w:rsid w:val="0071600E"/>
    <w:rsid w:val="007208D1"/>
    <w:rsid w:val="00747288"/>
    <w:rsid w:val="00747DD3"/>
    <w:rsid w:val="007549C8"/>
    <w:rsid w:val="00754A0B"/>
    <w:rsid w:val="00766D14"/>
    <w:rsid w:val="00767A0F"/>
    <w:rsid w:val="00791255"/>
    <w:rsid w:val="007A05F6"/>
    <w:rsid w:val="007A2BAD"/>
    <w:rsid w:val="007B6F4A"/>
    <w:rsid w:val="007C7D55"/>
    <w:rsid w:val="007D77E4"/>
    <w:rsid w:val="007E1C47"/>
    <w:rsid w:val="007E337A"/>
    <w:rsid w:val="007E3767"/>
    <w:rsid w:val="007E5C70"/>
    <w:rsid w:val="007F27DD"/>
    <w:rsid w:val="007F2FF5"/>
    <w:rsid w:val="007F3F08"/>
    <w:rsid w:val="007F7E30"/>
    <w:rsid w:val="00804CC6"/>
    <w:rsid w:val="008060A8"/>
    <w:rsid w:val="00817190"/>
    <w:rsid w:val="00820EE5"/>
    <w:rsid w:val="008260E2"/>
    <w:rsid w:val="008272A7"/>
    <w:rsid w:val="00827F0C"/>
    <w:rsid w:val="008322BD"/>
    <w:rsid w:val="00833E0A"/>
    <w:rsid w:val="00834F73"/>
    <w:rsid w:val="00846728"/>
    <w:rsid w:val="00857E27"/>
    <w:rsid w:val="0086217E"/>
    <w:rsid w:val="00862559"/>
    <w:rsid w:val="00862AF3"/>
    <w:rsid w:val="00864CF8"/>
    <w:rsid w:val="00871257"/>
    <w:rsid w:val="00872819"/>
    <w:rsid w:val="00874914"/>
    <w:rsid w:val="00891422"/>
    <w:rsid w:val="00892E1A"/>
    <w:rsid w:val="008A3F29"/>
    <w:rsid w:val="008A432A"/>
    <w:rsid w:val="008B660A"/>
    <w:rsid w:val="008C01DA"/>
    <w:rsid w:val="008C175B"/>
    <w:rsid w:val="008C5AB9"/>
    <w:rsid w:val="008E6015"/>
    <w:rsid w:val="008F78E9"/>
    <w:rsid w:val="00911989"/>
    <w:rsid w:val="0091263A"/>
    <w:rsid w:val="0091585C"/>
    <w:rsid w:val="009179F9"/>
    <w:rsid w:val="00933E5E"/>
    <w:rsid w:val="00935218"/>
    <w:rsid w:val="009403F3"/>
    <w:rsid w:val="009555B7"/>
    <w:rsid w:val="00955B37"/>
    <w:rsid w:val="009567AA"/>
    <w:rsid w:val="00967374"/>
    <w:rsid w:val="0097392D"/>
    <w:rsid w:val="00991CA6"/>
    <w:rsid w:val="009A343A"/>
    <w:rsid w:val="009B2F23"/>
    <w:rsid w:val="009B38E0"/>
    <w:rsid w:val="009B40A9"/>
    <w:rsid w:val="009B57B3"/>
    <w:rsid w:val="009C19EB"/>
    <w:rsid w:val="009C3E7A"/>
    <w:rsid w:val="009C5B92"/>
    <w:rsid w:val="009D2920"/>
    <w:rsid w:val="009D5AEB"/>
    <w:rsid w:val="009F0E33"/>
    <w:rsid w:val="009F294E"/>
    <w:rsid w:val="00A030CE"/>
    <w:rsid w:val="00A079B5"/>
    <w:rsid w:val="00A149DF"/>
    <w:rsid w:val="00A1755C"/>
    <w:rsid w:val="00A21B90"/>
    <w:rsid w:val="00A24FE4"/>
    <w:rsid w:val="00A41805"/>
    <w:rsid w:val="00A42DCD"/>
    <w:rsid w:val="00A452A6"/>
    <w:rsid w:val="00A52AFB"/>
    <w:rsid w:val="00A548CB"/>
    <w:rsid w:val="00A5521C"/>
    <w:rsid w:val="00A643E7"/>
    <w:rsid w:val="00A73C38"/>
    <w:rsid w:val="00A80C97"/>
    <w:rsid w:val="00A87A3E"/>
    <w:rsid w:val="00A9206F"/>
    <w:rsid w:val="00AB670D"/>
    <w:rsid w:val="00AE4535"/>
    <w:rsid w:val="00AE75FA"/>
    <w:rsid w:val="00AF03C5"/>
    <w:rsid w:val="00B000D8"/>
    <w:rsid w:val="00B00F75"/>
    <w:rsid w:val="00B145B6"/>
    <w:rsid w:val="00B279EB"/>
    <w:rsid w:val="00B334FB"/>
    <w:rsid w:val="00B337D5"/>
    <w:rsid w:val="00B50C81"/>
    <w:rsid w:val="00B54C9F"/>
    <w:rsid w:val="00B557F8"/>
    <w:rsid w:val="00B659C8"/>
    <w:rsid w:val="00B74245"/>
    <w:rsid w:val="00B75342"/>
    <w:rsid w:val="00B76CA3"/>
    <w:rsid w:val="00B815FC"/>
    <w:rsid w:val="00B872DD"/>
    <w:rsid w:val="00B93FBC"/>
    <w:rsid w:val="00B95A01"/>
    <w:rsid w:val="00BA0BF8"/>
    <w:rsid w:val="00BA42D3"/>
    <w:rsid w:val="00BA56F4"/>
    <w:rsid w:val="00BA7DA0"/>
    <w:rsid w:val="00BB2EE4"/>
    <w:rsid w:val="00BB50C5"/>
    <w:rsid w:val="00BC2108"/>
    <w:rsid w:val="00BD0E9E"/>
    <w:rsid w:val="00BD1BEC"/>
    <w:rsid w:val="00BD32FF"/>
    <w:rsid w:val="00BE4EEF"/>
    <w:rsid w:val="00BE7B5C"/>
    <w:rsid w:val="00BF11A7"/>
    <w:rsid w:val="00BF13F6"/>
    <w:rsid w:val="00BF5C6E"/>
    <w:rsid w:val="00BF7873"/>
    <w:rsid w:val="00C02092"/>
    <w:rsid w:val="00C02722"/>
    <w:rsid w:val="00C24D91"/>
    <w:rsid w:val="00C45006"/>
    <w:rsid w:val="00C53F14"/>
    <w:rsid w:val="00C57C76"/>
    <w:rsid w:val="00C57F8C"/>
    <w:rsid w:val="00C600CF"/>
    <w:rsid w:val="00C6084F"/>
    <w:rsid w:val="00C62A66"/>
    <w:rsid w:val="00C71458"/>
    <w:rsid w:val="00C764FB"/>
    <w:rsid w:val="00C77613"/>
    <w:rsid w:val="00C80988"/>
    <w:rsid w:val="00C828E7"/>
    <w:rsid w:val="00C86719"/>
    <w:rsid w:val="00C921DD"/>
    <w:rsid w:val="00C9367A"/>
    <w:rsid w:val="00CA3DC3"/>
    <w:rsid w:val="00CA526C"/>
    <w:rsid w:val="00CA52AA"/>
    <w:rsid w:val="00CA6391"/>
    <w:rsid w:val="00CC34BD"/>
    <w:rsid w:val="00CD5484"/>
    <w:rsid w:val="00CE161A"/>
    <w:rsid w:val="00CE2AB7"/>
    <w:rsid w:val="00CE3171"/>
    <w:rsid w:val="00CF1601"/>
    <w:rsid w:val="00D0172F"/>
    <w:rsid w:val="00D068A7"/>
    <w:rsid w:val="00D15508"/>
    <w:rsid w:val="00D17476"/>
    <w:rsid w:val="00D26470"/>
    <w:rsid w:val="00D32086"/>
    <w:rsid w:val="00D32C2C"/>
    <w:rsid w:val="00D37A3F"/>
    <w:rsid w:val="00D4431D"/>
    <w:rsid w:val="00D4667A"/>
    <w:rsid w:val="00D56DA2"/>
    <w:rsid w:val="00D607AF"/>
    <w:rsid w:val="00D607C8"/>
    <w:rsid w:val="00D6385C"/>
    <w:rsid w:val="00D63A1C"/>
    <w:rsid w:val="00D644FA"/>
    <w:rsid w:val="00D7516F"/>
    <w:rsid w:val="00D811BA"/>
    <w:rsid w:val="00D8579F"/>
    <w:rsid w:val="00D928A5"/>
    <w:rsid w:val="00D95F8E"/>
    <w:rsid w:val="00DA0590"/>
    <w:rsid w:val="00DB7BEA"/>
    <w:rsid w:val="00DC1739"/>
    <w:rsid w:val="00DC1788"/>
    <w:rsid w:val="00DE319C"/>
    <w:rsid w:val="00DF0CA8"/>
    <w:rsid w:val="00DF2B48"/>
    <w:rsid w:val="00DF49A7"/>
    <w:rsid w:val="00DF7828"/>
    <w:rsid w:val="00E07EE2"/>
    <w:rsid w:val="00E07FD1"/>
    <w:rsid w:val="00E176D8"/>
    <w:rsid w:val="00E24573"/>
    <w:rsid w:val="00E25E1E"/>
    <w:rsid w:val="00E26362"/>
    <w:rsid w:val="00E27EE7"/>
    <w:rsid w:val="00E35404"/>
    <w:rsid w:val="00E45109"/>
    <w:rsid w:val="00E458BC"/>
    <w:rsid w:val="00E462B8"/>
    <w:rsid w:val="00E46B13"/>
    <w:rsid w:val="00E47B7A"/>
    <w:rsid w:val="00E50D5F"/>
    <w:rsid w:val="00E51EF8"/>
    <w:rsid w:val="00E56A44"/>
    <w:rsid w:val="00E60269"/>
    <w:rsid w:val="00E62862"/>
    <w:rsid w:val="00E72596"/>
    <w:rsid w:val="00E7785D"/>
    <w:rsid w:val="00E77932"/>
    <w:rsid w:val="00E83563"/>
    <w:rsid w:val="00E8506A"/>
    <w:rsid w:val="00E94E51"/>
    <w:rsid w:val="00E97830"/>
    <w:rsid w:val="00EC06A4"/>
    <w:rsid w:val="00EC66C3"/>
    <w:rsid w:val="00EE1C92"/>
    <w:rsid w:val="00EE643C"/>
    <w:rsid w:val="00EF0683"/>
    <w:rsid w:val="00EF69D2"/>
    <w:rsid w:val="00EF766E"/>
    <w:rsid w:val="00F0070C"/>
    <w:rsid w:val="00F00EB7"/>
    <w:rsid w:val="00F05B94"/>
    <w:rsid w:val="00F36AB6"/>
    <w:rsid w:val="00F37A09"/>
    <w:rsid w:val="00F409CE"/>
    <w:rsid w:val="00F4379D"/>
    <w:rsid w:val="00F47F82"/>
    <w:rsid w:val="00F50D2D"/>
    <w:rsid w:val="00F52A5E"/>
    <w:rsid w:val="00F5377E"/>
    <w:rsid w:val="00F56C8B"/>
    <w:rsid w:val="00F65293"/>
    <w:rsid w:val="00F654CB"/>
    <w:rsid w:val="00F66810"/>
    <w:rsid w:val="00F846D9"/>
    <w:rsid w:val="00F84DF4"/>
    <w:rsid w:val="00F85C97"/>
    <w:rsid w:val="00F952E8"/>
    <w:rsid w:val="00FA4C9A"/>
    <w:rsid w:val="00FA561F"/>
    <w:rsid w:val="00FB289C"/>
    <w:rsid w:val="00FB37D2"/>
    <w:rsid w:val="00FC4EFB"/>
    <w:rsid w:val="00FD068D"/>
    <w:rsid w:val="00FD4F28"/>
    <w:rsid w:val="00FE6784"/>
    <w:rsid w:val="00FF7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6BB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887"/>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75C6"/>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0975C6"/>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0975C6"/>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0975C6"/>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0975C6"/>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0975C6"/>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0975C6"/>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8E6015"/>
    <w:rPr>
      <w:sz w:val="16"/>
      <w:szCs w:val="16"/>
    </w:rPr>
  </w:style>
  <w:style w:type="paragraph" w:styleId="CommentText">
    <w:name w:val="annotation text"/>
    <w:basedOn w:val="Normal"/>
    <w:link w:val="CommentTextChar"/>
    <w:uiPriority w:val="99"/>
    <w:unhideWhenUsed/>
    <w:rsid w:val="008E6015"/>
    <w:rPr>
      <w:sz w:val="20"/>
    </w:rPr>
  </w:style>
  <w:style w:type="character" w:customStyle="1" w:styleId="CommentTextChar">
    <w:name w:val="Comment Text Char"/>
    <w:basedOn w:val="DefaultParagraphFont"/>
    <w:link w:val="CommentText"/>
    <w:uiPriority w:val="99"/>
    <w:rsid w:val="008E6015"/>
  </w:style>
  <w:style w:type="character" w:styleId="Hyperlink">
    <w:name w:val="Hyperlink"/>
    <w:basedOn w:val="DefaultParagraphFont"/>
    <w:uiPriority w:val="99"/>
    <w:unhideWhenUsed/>
    <w:rsid w:val="00714926"/>
    <w:rPr>
      <w:color w:val="660000"/>
      <w:u w:val="none"/>
    </w:rPr>
  </w:style>
  <w:style w:type="paragraph" w:customStyle="1" w:styleId="ParaNoNdepar-AltN">
    <w:name w:val="Para. No. / Nº de par. - Alt N"/>
    <w:link w:val="ParaNoNdepar-AltNChar"/>
    <w:qFormat/>
    <w:rsid w:val="00E50D5F"/>
    <w:pPr>
      <w:numPr>
        <w:numId w:val="1"/>
      </w:numPr>
      <w:spacing w:before="480" w:after="480" w:line="480" w:lineRule="auto"/>
      <w:jc w:val="both"/>
    </w:pPr>
    <w:rPr>
      <w:rFonts w:eastAsiaTheme="minorEastAsia" w:cstheme="minorBidi"/>
      <w:sz w:val="24"/>
      <w:szCs w:val="22"/>
      <w:lang w:eastAsia="en-US"/>
    </w:rPr>
  </w:style>
  <w:style w:type="character" w:styleId="FollowedHyperlink">
    <w:name w:val="FollowedHyperlink"/>
    <w:basedOn w:val="DefaultParagraphFont"/>
    <w:uiPriority w:val="99"/>
    <w:semiHidden/>
    <w:unhideWhenUsed/>
    <w:rsid w:val="00C9367A"/>
    <w:rPr>
      <w:color w:val="800080" w:themeColor="followedHyperlink"/>
      <w:u w:val="single"/>
    </w:rPr>
  </w:style>
  <w:style w:type="character" w:customStyle="1" w:styleId="Heading3Char">
    <w:name w:val="Heading 3 Char"/>
    <w:basedOn w:val="DefaultParagraphFont"/>
    <w:link w:val="Heading3"/>
    <w:uiPriority w:val="9"/>
    <w:semiHidden/>
    <w:rsid w:val="000975C6"/>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0975C6"/>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0975C6"/>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0975C6"/>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0975C6"/>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0975C6"/>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0975C6"/>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0975C6"/>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0975C6"/>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0975C6"/>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0975C6"/>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0975C6"/>
    <w:rPr>
      <w:b/>
      <w:sz w:val="24"/>
    </w:rPr>
  </w:style>
  <w:style w:type="table" w:styleId="TableGrid">
    <w:name w:val="Table Grid"/>
    <w:basedOn w:val="TableNormal"/>
    <w:uiPriority w:val="59"/>
    <w:rsid w:val="000975C6"/>
    <w:rPr>
      <w:rFonts w:eastAsia="MS Mincho"/>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0975C6"/>
    <w:pPr>
      <w:spacing w:after="720"/>
      <w:ind w:left="1166"/>
      <w:contextualSpacing/>
      <w:jc w:val="both"/>
    </w:pPr>
    <w:rPr>
      <w:rFonts w:eastAsia="MS Mincho"/>
      <w:sz w:val="24"/>
    </w:rPr>
  </w:style>
  <w:style w:type="paragraph" w:customStyle="1" w:styleId="ContinueParaSuitedupar-AltP">
    <w:name w:val="Continue Para. / Suite du par. - Alt P"/>
    <w:next w:val="ParaNoNdepar-AltN"/>
    <w:uiPriority w:val="1"/>
    <w:qFormat/>
    <w:rsid w:val="000975C6"/>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0975C6"/>
    <w:pPr>
      <w:tabs>
        <w:tab w:val="left" w:pos="1260"/>
      </w:tabs>
      <w:spacing w:after="480" w:line="480" w:lineRule="auto"/>
    </w:pPr>
    <w:rPr>
      <w:rFonts w:eastAsia="MS Mincho"/>
      <w:smallCaps/>
      <w:sz w:val="24"/>
    </w:rPr>
  </w:style>
  <w:style w:type="paragraph" w:customStyle="1" w:styleId="Title1LevelTitre1Niveau-AltL">
    <w:name w:val="Title 1 Level / Titre 1 Niveau - Alt L"/>
    <w:next w:val="ParaNoNdepar-AltN"/>
    <w:uiPriority w:val="4"/>
    <w:qFormat/>
    <w:rsid w:val="000975C6"/>
    <w:pPr>
      <w:numPr>
        <w:numId w:val="7"/>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0975C6"/>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0975C6"/>
    <w:pPr>
      <w:numPr>
        <w:ilvl w:val="2"/>
      </w:numPr>
      <w:outlineLvl w:val="2"/>
    </w:pPr>
  </w:style>
  <w:style w:type="paragraph" w:customStyle="1" w:styleId="Title4LevelTitre4Niveau">
    <w:name w:val="Title 4 Level / Titre 4 Niveau"/>
    <w:basedOn w:val="Title3LevelTitre3Niveau"/>
    <w:next w:val="ParaNoNdepar-AltN"/>
    <w:uiPriority w:val="4"/>
    <w:qFormat/>
    <w:rsid w:val="000975C6"/>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0975C6"/>
    <w:pPr>
      <w:numPr>
        <w:ilvl w:val="4"/>
      </w:numPr>
      <w:tabs>
        <w:tab w:val="clear" w:pos="1728"/>
        <w:tab w:val="num" w:pos="1440"/>
      </w:tabs>
      <w:outlineLvl w:val="4"/>
    </w:pPr>
  </w:style>
  <w:style w:type="paragraph" w:styleId="TOC1">
    <w:name w:val="toc 1"/>
    <w:basedOn w:val="Normal"/>
    <w:next w:val="Normal"/>
    <w:autoRedefine/>
    <w:uiPriority w:val="39"/>
    <w:unhideWhenUsed/>
    <w:rsid w:val="000975C6"/>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0975C6"/>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0975C6"/>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0975C6"/>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0975C6"/>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0975C6"/>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0975C6"/>
    <w:rPr>
      <w:rFonts w:eastAsia="MS Mincho"/>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0975C6"/>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0975C6"/>
    <w:pPr>
      <w:numPr>
        <w:ilvl w:val="5"/>
      </w:numPr>
      <w:jc w:val="both"/>
      <w:outlineLvl w:val="5"/>
    </w:pPr>
    <w:rPr>
      <w:i/>
      <w:u w:val="none"/>
    </w:rPr>
  </w:style>
  <w:style w:type="paragraph" w:styleId="FootnoteText">
    <w:name w:val="footnote text"/>
    <w:basedOn w:val="Normal"/>
    <w:link w:val="FootnoteTextChar"/>
    <w:uiPriority w:val="99"/>
    <w:unhideWhenUsed/>
    <w:rsid w:val="000975C6"/>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0975C6"/>
  </w:style>
  <w:style w:type="character" w:styleId="FootnoteReference">
    <w:name w:val="footnote reference"/>
    <w:basedOn w:val="DefaultParagraphFont"/>
    <w:uiPriority w:val="99"/>
    <w:semiHidden/>
    <w:unhideWhenUsed/>
    <w:rsid w:val="000975C6"/>
    <w:rPr>
      <w:vertAlign w:val="superscript"/>
    </w:rPr>
  </w:style>
  <w:style w:type="paragraph" w:styleId="ListParagraph">
    <w:name w:val="List Paragraph"/>
    <w:basedOn w:val="Normal"/>
    <w:uiPriority w:val="34"/>
    <w:qFormat/>
    <w:rsid w:val="000975C6"/>
    <w:pPr>
      <w:ind w:left="720"/>
      <w:contextualSpacing/>
    </w:pPr>
    <w:rPr>
      <w:rFonts w:eastAsiaTheme="minorHAnsi" w:cstheme="minorBidi"/>
      <w:szCs w:val="22"/>
      <w:lang w:val="en-US" w:eastAsia="en-US" w:bidi="en-US"/>
    </w:rPr>
  </w:style>
  <w:style w:type="paragraph" w:styleId="CommentSubject">
    <w:name w:val="annotation subject"/>
    <w:basedOn w:val="CommentText"/>
    <w:next w:val="CommentText"/>
    <w:link w:val="CommentSubjectChar"/>
    <w:uiPriority w:val="99"/>
    <w:semiHidden/>
    <w:unhideWhenUsed/>
    <w:rsid w:val="000975C6"/>
    <w:rPr>
      <w:rFonts w:eastAsiaTheme="minorHAnsi" w:cstheme="minorBidi"/>
      <w:b/>
      <w:bCs/>
      <w:szCs w:val="22"/>
      <w:lang w:val="en-US" w:eastAsia="en-US" w:bidi="en-US"/>
    </w:rPr>
  </w:style>
  <w:style w:type="character" w:customStyle="1" w:styleId="CommentSubjectChar">
    <w:name w:val="Comment Subject Char"/>
    <w:basedOn w:val="CommentTextChar"/>
    <w:link w:val="CommentSubject"/>
    <w:uiPriority w:val="99"/>
    <w:semiHidden/>
    <w:rsid w:val="000975C6"/>
    <w:rPr>
      <w:rFonts w:eastAsiaTheme="minorHAnsi" w:cstheme="minorBidi"/>
      <w:b/>
      <w:bCs/>
      <w:szCs w:val="22"/>
      <w:lang w:val="en-US" w:eastAsia="en-US" w:bidi="en-US"/>
    </w:rPr>
  </w:style>
  <w:style w:type="paragraph" w:styleId="TOCHeading">
    <w:name w:val="TOC Heading"/>
    <w:basedOn w:val="Heading1"/>
    <w:next w:val="Normal"/>
    <w:uiPriority w:val="39"/>
    <w:unhideWhenUsed/>
    <w:qFormat/>
    <w:rsid w:val="000975C6"/>
    <w:pPr>
      <w:spacing w:before="480" w:after="0"/>
      <w:ind w:left="0" w:firstLine="0"/>
      <w:outlineLvl w:val="9"/>
    </w:pPr>
    <w:rPr>
      <w:lang w:val="en-US" w:eastAsia="en-US" w:bidi="en-US"/>
    </w:rPr>
  </w:style>
  <w:style w:type="character" w:customStyle="1" w:styleId="JudgeJugeChar">
    <w:name w:val="Judge / Juge Char"/>
    <w:basedOn w:val="DefaultParagraphFont"/>
    <w:link w:val="JudgeJuge"/>
    <w:uiPriority w:val="3"/>
    <w:rsid w:val="000975C6"/>
    <w:rPr>
      <w:rFonts w:eastAsia="MS Mincho"/>
      <w:smallCaps/>
      <w:sz w:val="24"/>
    </w:rPr>
  </w:style>
  <w:style w:type="paragraph" w:styleId="NoSpacing">
    <w:name w:val="No Spacing"/>
    <w:uiPriority w:val="1"/>
    <w:rsid w:val="000975C6"/>
    <w:rPr>
      <w:rFonts w:eastAsiaTheme="minorHAnsi" w:cstheme="minorBidi"/>
      <w:sz w:val="24"/>
      <w:szCs w:val="22"/>
      <w:lang w:val="en-US" w:eastAsia="en-US" w:bidi="en-US"/>
    </w:rPr>
  </w:style>
  <w:style w:type="paragraph" w:styleId="Caption">
    <w:name w:val="caption"/>
    <w:basedOn w:val="Normal"/>
    <w:next w:val="Normal"/>
    <w:uiPriority w:val="35"/>
    <w:semiHidden/>
    <w:unhideWhenUsed/>
    <w:qFormat/>
    <w:rsid w:val="000975C6"/>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0975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0975C6"/>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0975C6"/>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0975C6"/>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qFormat/>
    <w:rsid w:val="000975C6"/>
    <w:rPr>
      <w:i/>
      <w:iCs/>
    </w:rPr>
  </w:style>
  <w:style w:type="paragraph" w:styleId="IntenseQuote">
    <w:name w:val="Intense Quote"/>
    <w:basedOn w:val="Normal"/>
    <w:next w:val="Normal"/>
    <w:link w:val="IntenseQuoteChar"/>
    <w:uiPriority w:val="30"/>
    <w:rsid w:val="000975C6"/>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0975C6"/>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0975C6"/>
    <w:rPr>
      <w:i/>
      <w:iCs/>
      <w:color w:val="808080" w:themeColor="text1" w:themeTint="7F"/>
    </w:rPr>
  </w:style>
  <w:style w:type="character" w:styleId="IntenseEmphasis">
    <w:name w:val="Intense Emphasis"/>
    <w:basedOn w:val="DefaultParagraphFont"/>
    <w:uiPriority w:val="21"/>
    <w:rsid w:val="000975C6"/>
    <w:rPr>
      <w:b/>
      <w:bCs/>
      <w:i/>
      <w:iCs/>
      <w:color w:val="4F81BD" w:themeColor="accent1"/>
    </w:rPr>
  </w:style>
  <w:style w:type="character" w:styleId="SubtleReference">
    <w:name w:val="Subtle Reference"/>
    <w:basedOn w:val="DefaultParagraphFont"/>
    <w:uiPriority w:val="31"/>
    <w:rsid w:val="000975C6"/>
    <w:rPr>
      <w:smallCaps/>
      <w:color w:val="C0504D" w:themeColor="accent2"/>
      <w:u w:val="single"/>
    </w:rPr>
  </w:style>
  <w:style w:type="character" w:styleId="IntenseReference">
    <w:name w:val="Intense Reference"/>
    <w:basedOn w:val="DefaultParagraphFont"/>
    <w:uiPriority w:val="32"/>
    <w:rsid w:val="000975C6"/>
    <w:rPr>
      <w:b/>
      <w:bCs/>
      <w:smallCaps/>
      <w:color w:val="C0504D" w:themeColor="accent2"/>
      <w:spacing w:val="5"/>
      <w:u w:val="single"/>
    </w:rPr>
  </w:style>
  <w:style w:type="character" w:styleId="BookTitle">
    <w:name w:val="Book Title"/>
    <w:basedOn w:val="DefaultParagraphFont"/>
    <w:uiPriority w:val="33"/>
    <w:rsid w:val="000975C6"/>
    <w:rPr>
      <w:b/>
      <w:bCs/>
      <w:smallCaps/>
      <w:spacing w:val="5"/>
    </w:rPr>
  </w:style>
  <w:style w:type="paragraph" w:styleId="Revision">
    <w:name w:val="Revision"/>
    <w:hidden/>
    <w:uiPriority w:val="99"/>
    <w:semiHidden/>
    <w:rsid w:val="000975C6"/>
    <w:rPr>
      <w:rFonts w:eastAsiaTheme="minorHAnsi" w:cstheme="minorBidi"/>
      <w:sz w:val="24"/>
      <w:szCs w:val="22"/>
      <w:lang w:val="en-US" w:eastAsia="en-US" w:bidi="en-US"/>
    </w:rPr>
  </w:style>
  <w:style w:type="paragraph" w:styleId="ListBullet">
    <w:name w:val="List Bullet"/>
    <w:basedOn w:val="Normal"/>
    <w:uiPriority w:val="99"/>
    <w:unhideWhenUsed/>
    <w:rsid w:val="000975C6"/>
    <w:pPr>
      <w:numPr>
        <w:numId w:val="25"/>
      </w:numPr>
      <w:contextualSpacing/>
    </w:pPr>
    <w:rPr>
      <w:rFonts w:eastAsiaTheme="minorHAnsi" w:cstheme="minorBidi"/>
      <w:szCs w:val="22"/>
      <w:lang w:val="en-US" w:eastAsia="en-US" w:bidi="en-US"/>
    </w:rPr>
  </w:style>
  <w:style w:type="character" w:customStyle="1" w:styleId="ParaNoNdepar-AltNChar">
    <w:name w:val="Para. No. / Nº de par. - Alt N Char"/>
    <w:basedOn w:val="DefaultParagraphFont"/>
    <w:link w:val="ParaNoNdepar-AltN"/>
    <w:rsid w:val="000975C6"/>
    <w:rPr>
      <w:rFonts w:eastAsiaTheme="minorEastAsia" w:cstheme="minorBidi"/>
      <w:sz w:val="24"/>
      <w:szCs w:val="22"/>
      <w:lang w:eastAsia="en-US"/>
    </w:rPr>
  </w:style>
  <w:style w:type="character" w:customStyle="1" w:styleId="decisia-reflex2-icon">
    <w:name w:val="decisia-reflex2-icon"/>
    <w:basedOn w:val="DefaultParagraphFont"/>
    <w:rsid w:val="000975C6"/>
  </w:style>
  <w:style w:type="character" w:customStyle="1" w:styleId="reflex2-link">
    <w:name w:val="reflex2-link"/>
    <w:basedOn w:val="DefaultParagraphFont"/>
    <w:rsid w:val="000975C6"/>
  </w:style>
  <w:style w:type="table" w:customStyle="1" w:styleId="TableGrid2">
    <w:name w:val="Table Grid2"/>
    <w:basedOn w:val="TableNormal"/>
    <w:next w:val="TableGrid"/>
    <w:uiPriority w:val="59"/>
    <w:rsid w:val="000975C6"/>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anlii.org/en/ab/abca/doc/2021/2021abca51/2021abca51.html?result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105</Pages>
  <Words>27555</Words>
  <Characters>137061</Characters>
  <Application>Microsoft Office Word</Application>
  <DocSecurity>0</DocSecurity>
  <Lines>1142</Lines>
  <Paragraphs>328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164288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2022-07-22T10:38:00Z</dcterms:created>
  <dcterms:modified xsi:type="dcterms:W3CDTF">2022-07-22T10:57:00Z</dcterms:modified>
</cp:coreProperties>
</file>