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6"/>
        <w:gridCol w:w="1381"/>
        <w:gridCol w:w="1575"/>
        <w:gridCol w:w="3189"/>
      </w:tblGrid>
      <w:tr w:rsidR="001A2B0D" w:rsidRPr="001A2B0D" w14:paraId="7D264755" w14:textId="77777777" w:rsidTr="00C243F9">
        <w:trPr>
          <w:trHeight w:val="2103"/>
        </w:trPr>
        <w:tc>
          <w:tcPr>
            <w:tcW w:w="5000" w:type="pct"/>
            <w:gridSpan w:val="4"/>
          </w:tcPr>
          <w:p w14:paraId="30E5176E" w14:textId="77777777" w:rsidR="001A2B0D" w:rsidRPr="001A2B0D" w:rsidRDefault="001A2B0D" w:rsidP="001A2B0D">
            <w:pPr>
              <w:jc w:val="center"/>
              <w:rPr>
                <w:b/>
              </w:rPr>
            </w:pPr>
            <w:r w:rsidRPr="001A2B0D">
              <w:rPr>
                <w:b/>
                <w:noProof/>
              </w:rPr>
              <w:drawing>
                <wp:inline distT="0" distB="0" distL="0" distR="0" wp14:anchorId="3475E4CA" wp14:editId="29D6E12A">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5FC0A928" w14:textId="77777777" w:rsidR="001A2B0D" w:rsidRPr="001A2B0D" w:rsidRDefault="001A2B0D" w:rsidP="001A2B0D">
            <w:pPr>
              <w:spacing w:before="120" w:after="100" w:afterAutospacing="1"/>
              <w:jc w:val="center"/>
            </w:pPr>
            <w:r w:rsidRPr="001A2B0D">
              <w:rPr>
                <w:b/>
              </w:rPr>
              <w:t>SUPREME COURT OF CANADA</w:t>
            </w:r>
          </w:p>
        </w:tc>
      </w:tr>
      <w:tr w:rsidR="001A2B0D" w:rsidRPr="001A2B0D" w14:paraId="613EA86F" w14:textId="77777777" w:rsidTr="001A2B0D">
        <w:tblPrEx>
          <w:tblCellMar>
            <w:top w:w="58" w:type="dxa"/>
            <w:left w:w="58" w:type="dxa"/>
            <w:bottom w:w="58" w:type="dxa"/>
            <w:right w:w="58" w:type="dxa"/>
          </w:tblCellMar>
        </w:tblPrEx>
        <w:trPr>
          <w:cantSplit/>
        </w:trPr>
        <w:tc>
          <w:tcPr>
            <w:tcW w:w="2078" w:type="pct"/>
            <w:gridSpan w:val="2"/>
          </w:tcPr>
          <w:p w14:paraId="408B85FC" w14:textId="77777777" w:rsidR="001A2B0D" w:rsidRPr="001A2B0D" w:rsidRDefault="001A2B0D" w:rsidP="001A2B0D">
            <w:pPr>
              <w:rPr>
                <w:b/>
                <w:smallCaps/>
              </w:rPr>
            </w:pPr>
          </w:p>
          <w:p w14:paraId="439FE2FF" w14:textId="77777777" w:rsidR="001A2B0D" w:rsidRPr="001A2B0D" w:rsidRDefault="001A2B0D" w:rsidP="001A2B0D">
            <w:pPr>
              <w:rPr>
                <w:b/>
                <w:smallCaps/>
              </w:rPr>
            </w:pPr>
            <w:r w:rsidRPr="001A2B0D">
              <w:rPr>
                <w:b/>
                <w:smallCaps/>
              </w:rPr>
              <w:t>Citation:</w:t>
            </w:r>
            <w:r w:rsidRPr="001A2B0D">
              <w:t xml:space="preserve"> Annapolis Group Inc. </w:t>
            </w:r>
            <w:r w:rsidRPr="001A2B0D">
              <w:rPr>
                <w:i/>
              </w:rPr>
              <w:t>v.</w:t>
            </w:r>
            <w:r w:rsidRPr="001A2B0D">
              <w:t xml:space="preserve"> Halifax Regional Municipality, 2022 SCC 36</w:t>
            </w:r>
          </w:p>
        </w:tc>
        <w:tc>
          <w:tcPr>
            <w:tcW w:w="966" w:type="pct"/>
          </w:tcPr>
          <w:p w14:paraId="67D4314B" w14:textId="77777777" w:rsidR="001A2B0D" w:rsidRPr="001A2B0D" w:rsidRDefault="001A2B0D" w:rsidP="001A2B0D"/>
        </w:tc>
        <w:tc>
          <w:tcPr>
            <w:tcW w:w="1956" w:type="pct"/>
          </w:tcPr>
          <w:p w14:paraId="5273F039" w14:textId="77777777" w:rsidR="001A2B0D" w:rsidRPr="001A2B0D" w:rsidRDefault="001A2B0D" w:rsidP="001A2B0D">
            <w:pPr>
              <w:rPr>
                <w:b/>
                <w:smallCaps/>
              </w:rPr>
            </w:pPr>
          </w:p>
          <w:p w14:paraId="44D39CB7" w14:textId="77777777" w:rsidR="001A2B0D" w:rsidRPr="001A2B0D" w:rsidRDefault="001A2B0D" w:rsidP="001A2B0D">
            <w:pPr>
              <w:jc w:val="both"/>
            </w:pPr>
            <w:r w:rsidRPr="001A2B0D">
              <w:rPr>
                <w:b/>
                <w:smallCaps/>
              </w:rPr>
              <w:t>Appeal Heard:</w:t>
            </w:r>
            <w:r w:rsidRPr="001A2B0D">
              <w:t xml:space="preserve"> February 16, 2022</w:t>
            </w:r>
          </w:p>
          <w:p w14:paraId="052FE270" w14:textId="77777777" w:rsidR="001A2B0D" w:rsidRPr="001A2B0D" w:rsidRDefault="001A2B0D" w:rsidP="001A2B0D">
            <w:r w:rsidRPr="001A2B0D">
              <w:rPr>
                <w:b/>
                <w:smallCaps/>
              </w:rPr>
              <w:t>Judgment Rendered:</w:t>
            </w:r>
            <w:r w:rsidRPr="001A2B0D">
              <w:t xml:space="preserve"> October 21, 2022</w:t>
            </w:r>
          </w:p>
          <w:p w14:paraId="190EA0E1" w14:textId="77777777" w:rsidR="001A2B0D" w:rsidRPr="001A2B0D" w:rsidRDefault="001A2B0D" w:rsidP="001A2B0D">
            <w:r w:rsidRPr="001A2B0D">
              <w:rPr>
                <w:b/>
                <w:smallCaps/>
              </w:rPr>
              <w:t>Docket:</w:t>
            </w:r>
            <w:r w:rsidRPr="001A2B0D">
              <w:t xml:space="preserve"> 39594</w:t>
            </w:r>
          </w:p>
        </w:tc>
      </w:tr>
      <w:tr w:rsidR="001A2B0D" w:rsidRPr="001A2B0D" w14:paraId="77801B70" w14:textId="77777777" w:rsidTr="00C243F9">
        <w:tblPrEx>
          <w:tblCellMar>
            <w:top w:w="58" w:type="dxa"/>
            <w:left w:w="58" w:type="dxa"/>
            <w:bottom w:w="58" w:type="dxa"/>
            <w:right w:w="58" w:type="dxa"/>
          </w:tblCellMar>
        </w:tblPrEx>
        <w:trPr>
          <w:cantSplit/>
        </w:trPr>
        <w:tc>
          <w:tcPr>
            <w:tcW w:w="5000" w:type="pct"/>
            <w:gridSpan w:val="4"/>
          </w:tcPr>
          <w:p w14:paraId="3BD09C37" w14:textId="77777777" w:rsidR="001A2B0D" w:rsidRPr="001A2B0D" w:rsidRDefault="001A2B0D" w:rsidP="001A2B0D"/>
          <w:p w14:paraId="4D05C76A" w14:textId="77777777" w:rsidR="001A2B0D" w:rsidRPr="001A2B0D" w:rsidRDefault="001A2B0D" w:rsidP="001A2B0D">
            <w:pPr>
              <w:rPr>
                <w:b/>
                <w:smallCaps/>
              </w:rPr>
            </w:pPr>
            <w:r w:rsidRPr="001A2B0D">
              <w:rPr>
                <w:b/>
                <w:smallCaps/>
              </w:rPr>
              <w:t>Between:</w:t>
            </w:r>
          </w:p>
          <w:p w14:paraId="71C01AC0" w14:textId="77777777" w:rsidR="001A2B0D" w:rsidRPr="001A2B0D" w:rsidRDefault="001A2B0D" w:rsidP="001A2B0D"/>
          <w:p w14:paraId="71CF3181" w14:textId="77777777" w:rsidR="001A2B0D" w:rsidRPr="001A2B0D" w:rsidRDefault="001A2B0D" w:rsidP="001A2B0D">
            <w:pPr>
              <w:jc w:val="center"/>
              <w:rPr>
                <w:b/>
              </w:rPr>
            </w:pPr>
            <w:r w:rsidRPr="001A2B0D">
              <w:rPr>
                <w:b/>
              </w:rPr>
              <w:t>Annapolis Group Inc.</w:t>
            </w:r>
          </w:p>
          <w:p w14:paraId="34AB2883" w14:textId="77777777" w:rsidR="001A2B0D" w:rsidRPr="001A2B0D" w:rsidRDefault="001A2B0D" w:rsidP="001A2B0D">
            <w:pPr>
              <w:jc w:val="center"/>
            </w:pPr>
            <w:r w:rsidRPr="001A2B0D">
              <w:t>Appellant</w:t>
            </w:r>
          </w:p>
          <w:p w14:paraId="253DECCD" w14:textId="77777777" w:rsidR="001A2B0D" w:rsidRPr="001A2B0D" w:rsidRDefault="001A2B0D" w:rsidP="001A2B0D"/>
          <w:p w14:paraId="53B24BB0" w14:textId="77777777" w:rsidR="001A2B0D" w:rsidRPr="001A2B0D" w:rsidRDefault="001A2B0D" w:rsidP="001A2B0D">
            <w:pPr>
              <w:jc w:val="center"/>
            </w:pPr>
            <w:r w:rsidRPr="001A2B0D">
              <w:t>and</w:t>
            </w:r>
          </w:p>
          <w:p w14:paraId="7A0E8942" w14:textId="77777777" w:rsidR="001A2B0D" w:rsidRPr="001A2B0D" w:rsidRDefault="001A2B0D" w:rsidP="001A2B0D"/>
          <w:p w14:paraId="1AB49F84" w14:textId="77777777" w:rsidR="001A2B0D" w:rsidRPr="001A2B0D" w:rsidRDefault="001A2B0D" w:rsidP="001A2B0D">
            <w:pPr>
              <w:jc w:val="center"/>
              <w:rPr>
                <w:b/>
              </w:rPr>
            </w:pPr>
            <w:r w:rsidRPr="001A2B0D">
              <w:rPr>
                <w:b/>
              </w:rPr>
              <w:t>Halifax Regional Municipality</w:t>
            </w:r>
          </w:p>
          <w:p w14:paraId="1E584C38" w14:textId="77777777" w:rsidR="001A2B0D" w:rsidRPr="001A2B0D" w:rsidRDefault="001A2B0D" w:rsidP="001A2B0D">
            <w:pPr>
              <w:jc w:val="center"/>
            </w:pPr>
            <w:r w:rsidRPr="001A2B0D">
              <w:t>Respondent</w:t>
            </w:r>
          </w:p>
          <w:p w14:paraId="3C70BBD6" w14:textId="77777777" w:rsidR="001A2B0D" w:rsidRPr="001A2B0D" w:rsidRDefault="001A2B0D" w:rsidP="001A2B0D"/>
          <w:p w14:paraId="4BE2E31F" w14:textId="77777777" w:rsidR="001A2B0D" w:rsidRPr="001A2B0D" w:rsidRDefault="001A2B0D" w:rsidP="001A2B0D">
            <w:pPr>
              <w:jc w:val="center"/>
            </w:pPr>
            <w:r w:rsidRPr="001A2B0D">
              <w:t>- and -</w:t>
            </w:r>
          </w:p>
          <w:p w14:paraId="5A30090E" w14:textId="77777777" w:rsidR="001A2B0D" w:rsidRPr="001A2B0D" w:rsidRDefault="001A2B0D" w:rsidP="001A2B0D"/>
          <w:p w14:paraId="7FD85465" w14:textId="77777777" w:rsidR="001A2B0D" w:rsidRPr="001A2B0D" w:rsidRDefault="001A2B0D" w:rsidP="001A2B0D">
            <w:pPr>
              <w:jc w:val="center"/>
              <w:rPr>
                <w:b/>
              </w:rPr>
            </w:pPr>
            <w:r w:rsidRPr="001A2B0D">
              <w:rPr>
                <w:b/>
              </w:rPr>
              <w:t>Attorney General of Canada, Attorney General of Ontario, Attorney General of Nova Scotia, Attorney General of British Columbia, Canadian Constitution Foundation, Ontario Landowners Association, Canadian Home Builders’ Association and Ecojustice Canada Society</w:t>
            </w:r>
          </w:p>
          <w:p w14:paraId="292A9FA1" w14:textId="77777777" w:rsidR="001A2B0D" w:rsidRPr="001A2B0D" w:rsidRDefault="001A2B0D" w:rsidP="001A2B0D">
            <w:pPr>
              <w:jc w:val="center"/>
            </w:pPr>
            <w:r w:rsidRPr="001A2B0D">
              <w:t>Interveners</w:t>
            </w:r>
          </w:p>
          <w:p w14:paraId="633A9D8E" w14:textId="77777777" w:rsidR="001A2B0D" w:rsidRPr="001A2B0D" w:rsidRDefault="001A2B0D" w:rsidP="001A2B0D"/>
          <w:p w14:paraId="5ABB4805" w14:textId="77777777" w:rsidR="001A2B0D" w:rsidRPr="001A2B0D" w:rsidRDefault="001A2B0D" w:rsidP="001A2B0D">
            <w:pPr>
              <w:jc w:val="center"/>
              <w:rPr>
                <w:smallCaps/>
              </w:rPr>
            </w:pPr>
          </w:p>
          <w:p w14:paraId="5DC6D62F" w14:textId="77777777" w:rsidR="001A2B0D" w:rsidRPr="001A2B0D" w:rsidRDefault="001A2B0D" w:rsidP="001A2B0D"/>
          <w:p w14:paraId="3013B845" w14:textId="77777777" w:rsidR="001A2B0D" w:rsidRPr="001A2B0D" w:rsidRDefault="001A2B0D" w:rsidP="001A2B0D">
            <w:r w:rsidRPr="001A2B0D">
              <w:rPr>
                <w:b/>
                <w:smallCaps/>
              </w:rPr>
              <w:t>Coram:</w:t>
            </w:r>
            <w:r w:rsidRPr="001A2B0D">
              <w:t xml:space="preserve"> Wagner C.J. and Moldaver, Karakatsanis, Côté, Brown, Rowe, Martin, Kasirer and Jamal JJ.</w:t>
            </w:r>
          </w:p>
          <w:p w14:paraId="7F90F7D1" w14:textId="77777777" w:rsidR="001A2B0D" w:rsidRPr="001A2B0D" w:rsidRDefault="001A2B0D" w:rsidP="001A2B0D">
            <w:pPr>
              <w:rPr>
                <w:b/>
                <w:smallCaps/>
              </w:rPr>
            </w:pPr>
          </w:p>
        </w:tc>
      </w:tr>
      <w:tr w:rsidR="001A2B0D" w:rsidRPr="001A2B0D" w14:paraId="68A70769" w14:textId="77777777" w:rsidTr="00C243F9">
        <w:tblPrEx>
          <w:tblCellMar>
            <w:top w:w="58" w:type="dxa"/>
            <w:left w:w="58" w:type="dxa"/>
            <w:bottom w:w="58" w:type="dxa"/>
            <w:right w:w="58" w:type="dxa"/>
          </w:tblCellMar>
        </w:tblPrEx>
        <w:trPr>
          <w:cantSplit/>
        </w:trPr>
        <w:tc>
          <w:tcPr>
            <w:tcW w:w="1231" w:type="pct"/>
          </w:tcPr>
          <w:p w14:paraId="08A9841D" w14:textId="77777777" w:rsidR="001A2B0D" w:rsidRPr="001A2B0D" w:rsidRDefault="001A2B0D" w:rsidP="001A2B0D">
            <w:pPr>
              <w:rPr>
                <w:b/>
                <w:smallCaps/>
              </w:rPr>
            </w:pPr>
            <w:r w:rsidRPr="001A2B0D">
              <w:rPr>
                <w:b/>
                <w:smallCaps/>
              </w:rPr>
              <w:t>Joint Reasons for Judgment:</w:t>
            </w:r>
          </w:p>
          <w:p w14:paraId="6A3DF9B7" w14:textId="77777777" w:rsidR="001A2B0D" w:rsidRPr="001A2B0D" w:rsidRDefault="001A2B0D" w:rsidP="001A2B0D">
            <w:r w:rsidRPr="001A2B0D">
              <w:t>(paras. 1 to 80)</w:t>
            </w:r>
          </w:p>
        </w:tc>
        <w:tc>
          <w:tcPr>
            <w:tcW w:w="3769" w:type="pct"/>
            <w:gridSpan w:val="3"/>
          </w:tcPr>
          <w:p w14:paraId="66A1CF9F" w14:textId="77777777" w:rsidR="001A2B0D" w:rsidRPr="001A2B0D" w:rsidRDefault="001A2B0D" w:rsidP="001A2B0D">
            <w:r w:rsidRPr="001A2B0D">
              <w:t>Côté and Brown JJ. (Wagner C.J. and Moldaver and Rowe JJ. concurring)</w:t>
            </w:r>
          </w:p>
        </w:tc>
      </w:tr>
      <w:tr w:rsidR="001A2B0D" w:rsidRPr="001A2B0D" w14:paraId="444037B7" w14:textId="77777777" w:rsidTr="00C243F9">
        <w:tblPrEx>
          <w:tblCellMar>
            <w:top w:w="58" w:type="dxa"/>
            <w:left w:w="58" w:type="dxa"/>
            <w:bottom w:w="58" w:type="dxa"/>
            <w:right w:w="58" w:type="dxa"/>
          </w:tblCellMar>
        </w:tblPrEx>
        <w:trPr>
          <w:cantSplit/>
        </w:trPr>
        <w:tc>
          <w:tcPr>
            <w:tcW w:w="1231" w:type="pct"/>
          </w:tcPr>
          <w:p w14:paraId="6AD442A0" w14:textId="77777777" w:rsidR="001A2B0D" w:rsidRPr="001A2B0D" w:rsidRDefault="001A2B0D" w:rsidP="001A2B0D"/>
        </w:tc>
        <w:tc>
          <w:tcPr>
            <w:tcW w:w="3769" w:type="pct"/>
            <w:gridSpan w:val="3"/>
          </w:tcPr>
          <w:p w14:paraId="6C0CDB26" w14:textId="77777777" w:rsidR="001A2B0D" w:rsidRPr="001A2B0D" w:rsidRDefault="001A2B0D" w:rsidP="001A2B0D"/>
        </w:tc>
      </w:tr>
      <w:tr w:rsidR="001A2B0D" w:rsidRPr="001A2B0D" w14:paraId="519AED98" w14:textId="77777777" w:rsidTr="00C243F9">
        <w:tblPrEx>
          <w:tblCellMar>
            <w:top w:w="58" w:type="dxa"/>
            <w:left w:w="58" w:type="dxa"/>
            <w:bottom w:w="58" w:type="dxa"/>
            <w:right w:w="58" w:type="dxa"/>
          </w:tblCellMar>
        </w:tblPrEx>
        <w:trPr>
          <w:cantSplit/>
        </w:trPr>
        <w:tc>
          <w:tcPr>
            <w:tcW w:w="1231" w:type="pct"/>
          </w:tcPr>
          <w:p w14:paraId="6EA64B82" w14:textId="77777777" w:rsidR="001A2B0D" w:rsidRPr="001A2B0D" w:rsidRDefault="001A2B0D" w:rsidP="001A2B0D">
            <w:pPr>
              <w:rPr>
                <w:smallCaps/>
              </w:rPr>
            </w:pPr>
            <w:r w:rsidRPr="00A97052">
              <w:rPr>
                <w:b/>
                <w:smallCaps/>
              </w:rPr>
              <w:t>Joint Dissenting Reasons:</w:t>
            </w:r>
            <w:r w:rsidRPr="001A2B0D">
              <w:rPr>
                <w:smallCaps/>
              </w:rPr>
              <w:t xml:space="preserve"> </w:t>
            </w:r>
          </w:p>
          <w:p w14:paraId="7CABA6DF" w14:textId="77777777" w:rsidR="001A2B0D" w:rsidRPr="001A2B0D" w:rsidRDefault="001A2B0D" w:rsidP="001A2B0D">
            <w:r w:rsidRPr="001A2B0D">
              <w:t>(paras. 81 to 153)</w:t>
            </w:r>
          </w:p>
        </w:tc>
        <w:tc>
          <w:tcPr>
            <w:tcW w:w="3769" w:type="pct"/>
            <w:gridSpan w:val="3"/>
          </w:tcPr>
          <w:p w14:paraId="602DA189" w14:textId="77777777" w:rsidR="001A2B0D" w:rsidRPr="001A2B0D" w:rsidRDefault="001A2B0D" w:rsidP="001A2B0D">
            <w:r w:rsidRPr="001A2B0D">
              <w:t>Kasirer and Jamal JJ. (Karakatsanis and Martin JJ. concurring)</w:t>
            </w:r>
          </w:p>
        </w:tc>
      </w:tr>
    </w:tbl>
    <w:p w14:paraId="3F99BE7B" w14:textId="77777777" w:rsidR="001A2B0D" w:rsidRPr="001A2B0D" w:rsidRDefault="001A2B0D" w:rsidP="001A2B0D">
      <w:pPr>
        <w:rPr>
          <w:rFonts w:eastAsiaTheme="minorHAnsi" w:cstheme="minorBidi"/>
          <w:szCs w:val="24"/>
          <w:lang w:eastAsia="en-US"/>
        </w:rPr>
      </w:pPr>
    </w:p>
    <w:p w14:paraId="082D3B7F" w14:textId="77777777" w:rsidR="001A2B0D" w:rsidRPr="001A2B0D" w:rsidRDefault="001A2B0D" w:rsidP="001A2B0D">
      <w:pPr>
        <w:rPr>
          <w:rFonts w:eastAsiaTheme="minorHAnsi" w:cstheme="minorBidi"/>
          <w:szCs w:val="24"/>
          <w:lang w:eastAsia="en-US"/>
        </w:rPr>
      </w:pPr>
    </w:p>
    <w:p w14:paraId="4A501D33" w14:textId="77777777" w:rsidR="001A2B0D" w:rsidRPr="001A2B0D" w:rsidRDefault="001A2B0D" w:rsidP="001A2B0D">
      <w:pPr>
        <w:rPr>
          <w:rFonts w:eastAsiaTheme="minorHAnsi" w:cstheme="minorBidi"/>
          <w:szCs w:val="24"/>
          <w:lang w:eastAsia="en-US"/>
        </w:rPr>
      </w:pPr>
    </w:p>
    <w:p w14:paraId="7E7D11DA" w14:textId="77777777" w:rsidR="001A2B0D" w:rsidRPr="001A2B0D" w:rsidRDefault="001A2B0D" w:rsidP="001A2B0D">
      <w:pPr>
        <w:rPr>
          <w:rFonts w:eastAsiaTheme="minorHAnsi" w:cstheme="minorBidi"/>
          <w:szCs w:val="24"/>
          <w:lang w:eastAsia="en-US"/>
        </w:rPr>
      </w:pPr>
      <w:r w:rsidRPr="001A2B0D">
        <w:rPr>
          <w:rFonts w:eastAsiaTheme="minorHAnsi" w:cstheme="minorBidi"/>
          <w:b/>
          <w:smallCaps/>
          <w:szCs w:val="24"/>
          <w:lang w:eastAsia="en-US"/>
        </w:rPr>
        <w:t>Note:</w:t>
      </w:r>
      <w:r w:rsidRPr="001A2B0D">
        <w:rPr>
          <w:rFonts w:eastAsiaTheme="minorHAnsi" w:cstheme="minorBidi"/>
          <w:b/>
          <w:szCs w:val="24"/>
          <w:lang w:eastAsia="en-US"/>
        </w:rPr>
        <w:t xml:space="preserve"> </w:t>
      </w:r>
      <w:r w:rsidRPr="001A2B0D">
        <w:rPr>
          <w:rFonts w:eastAsiaTheme="minorHAnsi" w:cstheme="minorBidi"/>
          <w:szCs w:val="24"/>
          <w:lang w:eastAsia="en-US"/>
        </w:rPr>
        <w:t xml:space="preserve">This document is subject to editorial revision before its reproduction in final form in the </w:t>
      </w:r>
      <w:r w:rsidRPr="001A2B0D">
        <w:rPr>
          <w:rFonts w:eastAsiaTheme="minorHAnsi" w:cstheme="minorBidi"/>
          <w:i/>
          <w:szCs w:val="24"/>
          <w:lang w:eastAsia="en-US"/>
        </w:rPr>
        <w:t>Canada Supreme Court Reports</w:t>
      </w:r>
      <w:r w:rsidRPr="001A2B0D">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1A2B0D" w:rsidRPr="001A2B0D" w14:paraId="19A0BFE2" w14:textId="77777777" w:rsidTr="00C243F9">
        <w:tc>
          <w:tcPr>
            <w:tcW w:w="1500" w:type="pct"/>
            <w:tcMar>
              <w:top w:w="284" w:type="dxa"/>
            </w:tcMar>
          </w:tcPr>
          <w:p w14:paraId="1F22E0B8" w14:textId="77777777" w:rsidR="001A2B0D" w:rsidRPr="001A2B0D" w:rsidRDefault="001A2B0D" w:rsidP="001A2B0D"/>
        </w:tc>
        <w:tc>
          <w:tcPr>
            <w:tcW w:w="2000" w:type="pct"/>
            <w:tcBorders>
              <w:bottom w:val="single" w:sz="4" w:space="0" w:color="auto"/>
            </w:tcBorders>
            <w:tcMar>
              <w:top w:w="284" w:type="dxa"/>
            </w:tcMar>
          </w:tcPr>
          <w:p w14:paraId="1813A486" w14:textId="77777777" w:rsidR="001A2B0D" w:rsidRPr="001A2B0D" w:rsidRDefault="001A2B0D" w:rsidP="001A2B0D"/>
        </w:tc>
        <w:tc>
          <w:tcPr>
            <w:tcW w:w="1500" w:type="pct"/>
            <w:tcMar>
              <w:top w:w="284" w:type="dxa"/>
            </w:tcMar>
          </w:tcPr>
          <w:p w14:paraId="449B6C91" w14:textId="77777777" w:rsidR="001A2B0D" w:rsidRPr="001A2B0D" w:rsidRDefault="001A2B0D" w:rsidP="001A2B0D"/>
        </w:tc>
      </w:tr>
    </w:tbl>
    <w:p w14:paraId="46EE0656" w14:textId="77777777" w:rsidR="001A2B0D" w:rsidRPr="001A2B0D" w:rsidRDefault="001A2B0D" w:rsidP="001A2B0D">
      <w:pPr>
        <w:rPr>
          <w:rFonts w:eastAsiaTheme="minorHAnsi" w:cstheme="minorBidi"/>
          <w:szCs w:val="24"/>
          <w:lang w:eastAsia="en-US"/>
        </w:rPr>
      </w:pPr>
    </w:p>
    <w:p w14:paraId="49C3DF3E" w14:textId="77777777" w:rsidR="001A2B0D" w:rsidRPr="00A97052" w:rsidRDefault="001A2B0D">
      <w:pPr>
        <w:rPr>
          <w:b/>
        </w:rPr>
      </w:pPr>
      <w:r w:rsidRPr="00A97052">
        <w:br w:type="page"/>
      </w:r>
    </w:p>
    <w:p w14:paraId="754F8BEE" w14:textId="729142FD" w:rsidR="007F26FE" w:rsidRPr="00A97052" w:rsidRDefault="007136C4">
      <w:pPr>
        <w:pStyle w:val="SCCLsocLastPartyInRole"/>
      </w:pPr>
      <w:r w:rsidRPr="00A97052">
        <w:lastRenderedPageBreak/>
        <w:t>Annapolis Group Inc.</w:t>
      </w:r>
      <w:r w:rsidRPr="00A97052">
        <w:rPr>
          <w:rStyle w:val="SCCLsocPartyRole"/>
        </w:rPr>
        <w:tab/>
        <w:t>Appellant</w:t>
      </w:r>
    </w:p>
    <w:p w14:paraId="07B81F2E" w14:textId="77777777" w:rsidR="007F26FE" w:rsidRPr="00A97052" w:rsidRDefault="007136C4">
      <w:pPr>
        <w:pStyle w:val="SCCLsocVersus"/>
      </w:pPr>
      <w:proofErr w:type="gramStart"/>
      <w:r w:rsidRPr="00A97052">
        <w:t>v</w:t>
      </w:r>
      <w:proofErr w:type="gramEnd"/>
      <w:r w:rsidRPr="00A97052">
        <w:t>.</w:t>
      </w:r>
    </w:p>
    <w:p w14:paraId="3D90D98A" w14:textId="77777777" w:rsidR="007F26FE" w:rsidRPr="00A97052" w:rsidRDefault="007136C4">
      <w:pPr>
        <w:pStyle w:val="SCCLsocLastPartyInRole"/>
      </w:pPr>
      <w:r w:rsidRPr="00A97052">
        <w:t>Halifax Regional Municipality</w:t>
      </w:r>
      <w:r w:rsidRPr="00A97052">
        <w:rPr>
          <w:rStyle w:val="SCCLsocPartyRole"/>
        </w:rPr>
        <w:tab/>
        <w:t>Respondent</w:t>
      </w:r>
    </w:p>
    <w:p w14:paraId="78F654F4" w14:textId="77777777" w:rsidR="007F26FE" w:rsidRPr="00A97052" w:rsidRDefault="007136C4">
      <w:pPr>
        <w:pStyle w:val="SCCLsocOtherPartySeparator"/>
      </w:pPr>
      <w:proofErr w:type="gramStart"/>
      <w:r w:rsidRPr="00A97052">
        <w:t>and</w:t>
      </w:r>
      <w:proofErr w:type="gramEnd"/>
    </w:p>
    <w:p w14:paraId="1D25FBF8" w14:textId="77777777" w:rsidR="007F26FE" w:rsidRPr="00A97052" w:rsidRDefault="007136C4">
      <w:pPr>
        <w:pStyle w:val="SCCLsocParty"/>
      </w:pPr>
      <w:r w:rsidRPr="00A97052">
        <w:t>Attorney General of Canada,</w:t>
      </w:r>
    </w:p>
    <w:p w14:paraId="55401F27" w14:textId="77777777" w:rsidR="007F26FE" w:rsidRPr="00A97052" w:rsidRDefault="007136C4">
      <w:pPr>
        <w:pStyle w:val="SCCLsocParty"/>
      </w:pPr>
      <w:r w:rsidRPr="00A97052">
        <w:t>Attorney General of Ontario,</w:t>
      </w:r>
    </w:p>
    <w:p w14:paraId="17F7EEA4" w14:textId="77777777" w:rsidR="007F26FE" w:rsidRPr="00A97052" w:rsidRDefault="007136C4">
      <w:pPr>
        <w:pStyle w:val="SCCLsocParty"/>
      </w:pPr>
      <w:r w:rsidRPr="00A97052">
        <w:t>Attorney General of Nova Scotia,</w:t>
      </w:r>
    </w:p>
    <w:p w14:paraId="1D8ACA65" w14:textId="77777777" w:rsidR="007F26FE" w:rsidRPr="00A97052" w:rsidRDefault="007136C4">
      <w:pPr>
        <w:pStyle w:val="SCCLsocParty"/>
      </w:pPr>
      <w:r w:rsidRPr="00A97052">
        <w:t>Attorney General of British Columbia,</w:t>
      </w:r>
    </w:p>
    <w:p w14:paraId="70833CBC" w14:textId="77777777" w:rsidR="007F26FE" w:rsidRPr="00A97052" w:rsidRDefault="007136C4">
      <w:pPr>
        <w:pStyle w:val="SCCLsocParty"/>
      </w:pPr>
      <w:r w:rsidRPr="00A97052">
        <w:t>Canadian Constitution Foundation,</w:t>
      </w:r>
    </w:p>
    <w:p w14:paraId="75BDF367" w14:textId="77777777" w:rsidR="007F26FE" w:rsidRPr="00A97052" w:rsidRDefault="007136C4">
      <w:pPr>
        <w:pStyle w:val="SCCLsocParty"/>
      </w:pPr>
      <w:r w:rsidRPr="00A97052">
        <w:t>Ontario Landowners Association,</w:t>
      </w:r>
    </w:p>
    <w:p w14:paraId="132FA10B" w14:textId="77777777" w:rsidR="007F26FE" w:rsidRPr="00A97052" w:rsidRDefault="007136C4">
      <w:pPr>
        <w:pStyle w:val="SCCLsocParty"/>
      </w:pPr>
      <w:r w:rsidRPr="00A97052">
        <w:t>Canadian Home Builders’ Association and</w:t>
      </w:r>
    </w:p>
    <w:p w14:paraId="2541E8C2" w14:textId="77777777" w:rsidR="007F26FE" w:rsidRPr="00A97052" w:rsidRDefault="007136C4" w:rsidP="00CD4372">
      <w:pPr>
        <w:pStyle w:val="SCCLsocLastPartyInRole"/>
      </w:pPr>
      <w:r w:rsidRPr="00A97052">
        <w:t>Ecojustice Canada Society</w:t>
      </w:r>
      <w:r w:rsidRPr="00A97052">
        <w:rPr>
          <w:rStyle w:val="SCCLsocPartyRole"/>
        </w:rPr>
        <w:tab/>
        <w:t>Interveners</w:t>
      </w:r>
    </w:p>
    <w:p w14:paraId="3D4F3C64" w14:textId="77777777" w:rsidR="00426659" w:rsidRPr="00A97052" w:rsidRDefault="00426659" w:rsidP="00CD4372">
      <w:pPr>
        <w:spacing w:after="720"/>
        <w:jc w:val="both"/>
        <w:rPr>
          <w:b/>
        </w:rPr>
      </w:pPr>
      <w:r w:rsidRPr="00A97052">
        <w:rPr>
          <w:b/>
        </w:rPr>
        <w:t xml:space="preserve">Indexed as: </w:t>
      </w:r>
      <w:r w:rsidRPr="00A97052">
        <w:rPr>
          <w:rStyle w:val="SCCAppellantForIndexChar"/>
        </w:rPr>
        <w:t>Annapolis Group Inc.</w:t>
      </w:r>
      <w:r w:rsidRPr="00A97052">
        <w:rPr>
          <w:b/>
        </w:rPr>
        <w:t xml:space="preserve"> </w:t>
      </w:r>
      <w:r w:rsidRPr="00A97052">
        <w:rPr>
          <w:b/>
          <w:i/>
        </w:rPr>
        <w:t>v.</w:t>
      </w:r>
      <w:r w:rsidRPr="00A97052">
        <w:rPr>
          <w:b/>
        </w:rPr>
        <w:t xml:space="preserve"> </w:t>
      </w:r>
      <w:r w:rsidRPr="00A97052">
        <w:rPr>
          <w:rStyle w:val="SCCRespondentForIndexChar"/>
        </w:rPr>
        <w:t>Halifax Regional Municipality</w:t>
      </w:r>
    </w:p>
    <w:p w14:paraId="216B082D" w14:textId="58089B56" w:rsidR="00426659" w:rsidRPr="00A97052" w:rsidRDefault="00AE4535" w:rsidP="00CD4372">
      <w:pPr>
        <w:pStyle w:val="SCCSystemYear"/>
        <w:spacing w:after="720"/>
        <w:jc w:val="both"/>
      </w:pPr>
      <w:r w:rsidRPr="00A97052">
        <w:t>2022</w:t>
      </w:r>
      <w:r w:rsidR="003D0399" w:rsidRPr="00A97052">
        <w:t xml:space="preserve"> </w:t>
      </w:r>
      <w:r w:rsidR="00CD4372" w:rsidRPr="00A97052">
        <w:t xml:space="preserve">SCC </w:t>
      </w:r>
      <w:r w:rsidR="000428AA" w:rsidRPr="00A97052">
        <w:t>36</w:t>
      </w:r>
    </w:p>
    <w:p w14:paraId="5A7C8FE9" w14:textId="77777777" w:rsidR="008322BD" w:rsidRPr="00A97052" w:rsidRDefault="007136C4" w:rsidP="00CD4372">
      <w:pPr>
        <w:spacing w:after="720"/>
        <w:jc w:val="both"/>
      </w:pPr>
      <w:r w:rsidRPr="00A97052">
        <w:t xml:space="preserve">File No.: </w:t>
      </w:r>
      <w:r w:rsidR="009B57B3" w:rsidRPr="00A97052">
        <w:t>39594.</w:t>
      </w:r>
    </w:p>
    <w:p w14:paraId="56466934" w14:textId="1D3F1993" w:rsidR="008322BD" w:rsidRPr="00A97052" w:rsidRDefault="00FA7402" w:rsidP="00CD4372">
      <w:pPr>
        <w:spacing w:after="720"/>
        <w:jc w:val="both"/>
      </w:pPr>
      <w:r w:rsidRPr="00A97052">
        <w:t xml:space="preserve">2022: February </w:t>
      </w:r>
      <w:r w:rsidR="00AE4535" w:rsidRPr="00A97052">
        <w:t>16</w:t>
      </w:r>
      <w:r w:rsidR="0036529B" w:rsidRPr="00A97052">
        <w:t xml:space="preserve">; </w:t>
      </w:r>
      <w:r w:rsidRPr="00A97052">
        <w:t xml:space="preserve">2022: October </w:t>
      </w:r>
      <w:r w:rsidR="0036529B" w:rsidRPr="00A97052">
        <w:t>21</w:t>
      </w:r>
      <w:r w:rsidR="009B57B3" w:rsidRPr="00A97052">
        <w:t>.</w:t>
      </w:r>
    </w:p>
    <w:p w14:paraId="72647354" w14:textId="6CD1AF2E" w:rsidR="008322BD" w:rsidRPr="00A97052" w:rsidRDefault="007136C4" w:rsidP="00CD4372">
      <w:pPr>
        <w:spacing w:after="720"/>
        <w:jc w:val="both"/>
      </w:pPr>
      <w:r w:rsidRPr="00A97052">
        <w:t xml:space="preserve">Present: </w:t>
      </w:r>
      <w:r w:rsidR="00336108" w:rsidRPr="00A97052">
        <w:t>Wagner </w:t>
      </w:r>
      <w:r w:rsidR="009B57B3" w:rsidRPr="00A97052">
        <w:t xml:space="preserve">C.J. and Moldaver, Karakatsanis, Côté, Brown, </w:t>
      </w:r>
      <w:r w:rsidR="00336108" w:rsidRPr="00A97052">
        <w:t>Rowe, Martin, Kasirer and Jamal </w:t>
      </w:r>
      <w:r w:rsidR="009B57B3" w:rsidRPr="00A97052">
        <w:t>JJ.</w:t>
      </w:r>
    </w:p>
    <w:p w14:paraId="40DD9E78" w14:textId="77777777" w:rsidR="008322BD" w:rsidRPr="00A97052" w:rsidRDefault="00656313" w:rsidP="00CD4372">
      <w:pPr>
        <w:pStyle w:val="SCCLowerCourtNameLowercase"/>
        <w:spacing w:after="720" w:line="240" w:lineRule="auto"/>
      </w:pPr>
      <w:r w:rsidRPr="00A97052">
        <w:t>o</w:t>
      </w:r>
      <w:r w:rsidR="00170592" w:rsidRPr="00A97052">
        <w:t>n</w:t>
      </w:r>
      <w:r w:rsidR="00224FC0" w:rsidRPr="00A97052">
        <w:t xml:space="preserve"> </w:t>
      </w:r>
      <w:r w:rsidRPr="00A97052">
        <w:t>a</w:t>
      </w:r>
      <w:r w:rsidR="00170592" w:rsidRPr="00A97052">
        <w:t>ppeal</w:t>
      </w:r>
      <w:r w:rsidR="00224FC0" w:rsidRPr="00A97052">
        <w:t xml:space="preserve"> </w:t>
      </w:r>
      <w:r w:rsidR="00170592" w:rsidRPr="00A97052">
        <w:t>from</w:t>
      </w:r>
      <w:r w:rsidR="009567AA" w:rsidRPr="00A97052">
        <w:t xml:space="preserve"> the</w:t>
      </w:r>
      <w:r w:rsidR="00224FC0" w:rsidRPr="00A97052">
        <w:t xml:space="preserve"> </w:t>
      </w:r>
      <w:r w:rsidR="0036529B" w:rsidRPr="00A97052">
        <w:t>court of appeal for nova scotia</w:t>
      </w:r>
    </w:p>
    <w:p w14:paraId="19D3B8D1" w14:textId="5474837B" w:rsidR="007F02AB" w:rsidRPr="00A97052" w:rsidRDefault="009B57B3" w:rsidP="005723E8">
      <w:pPr>
        <w:pStyle w:val="SCCNormalDoubleSpacing"/>
        <w:spacing w:after="480"/>
        <w:rPr>
          <w:i/>
          <w:iCs/>
        </w:rPr>
      </w:pPr>
      <w:r w:rsidRPr="00A97052">
        <w:lastRenderedPageBreak/>
        <w:tab/>
      </w:r>
      <w:r w:rsidR="007F02AB" w:rsidRPr="00A97052">
        <w:rPr>
          <w:i/>
        </w:rPr>
        <w:t>Expropriation — State regulation of land use —</w:t>
      </w:r>
      <w:r w:rsidR="007F02AB" w:rsidRPr="00A97052">
        <w:t xml:space="preserve"> </w:t>
      </w:r>
      <w:r w:rsidR="007F02AB" w:rsidRPr="00A97052">
        <w:rPr>
          <w:i/>
        </w:rPr>
        <w:t>Constructive taking of private property by public authority</w:t>
      </w:r>
      <w:r w:rsidR="007F02AB" w:rsidRPr="00A97052">
        <w:t xml:space="preserve"> </w:t>
      </w:r>
      <w:r w:rsidR="007F02AB" w:rsidRPr="00A97052">
        <w:rPr>
          <w:i/>
        </w:rPr>
        <w:t xml:space="preserve">— Land owner suing municipality and alleging that municipality’s regulatory measures have deprived it of all reasonable or economic uses of its land, resulting in constructive taking without compensation </w:t>
      </w:r>
      <w:r w:rsidR="005723E8" w:rsidRPr="00A97052">
        <w:rPr>
          <w:i/>
          <w:iCs/>
        </w:rPr>
        <w:t>—</w:t>
      </w:r>
      <w:r w:rsidR="00CC3DDF" w:rsidRPr="00A97052">
        <w:rPr>
          <w:i/>
          <w:iCs/>
        </w:rPr>
        <w:t xml:space="preserve"> </w:t>
      </w:r>
      <w:r w:rsidR="007F02AB" w:rsidRPr="00A97052">
        <w:rPr>
          <w:i/>
          <w:iCs/>
        </w:rPr>
        <w:t>Whether acquisition of beneficial interest in property under constructive taking test requires land to actually be taken from owner and</w:t>
      </w:r>
      <w:r w:rsidR="005723E8" w:rsidRPr="00A97052">
        <w:rPr>
          <w:i/>
          <w:iCs/>
        </w:rPr>
        <w:t xml:space="preserve"> acquired by public authority —</w:t>
      </w:r>
      <w:r w:rsidR="00CC3DDF" w:rsidRPr="00A97052">
        <w:rPr>
          <w:i/>
          <w:iCs/>
        </w:rPr>
        <w:t xml:space="preserve"> </w:t>
      </w:r>
      <w:r w:rsidR="007F02AB" w:rsidRPr="00A97052">
        <w:rPr>
          <w:i/>
          <w:iCs/>
        </w:rPr>
        <w:t>Whether intention of public authority relevant to analysis of constructive taking claim.</w:t>
      </w:r>
    </w:p>
    <w:p w14:paraId="7A442EE6" w14:textId="6DC01A49" w:rsidR="007F02AB" w:rsidRPr="00A97052" w:rsidRDefault="005723E8" w:rsidP="005723E8">
      <w:pPr>
        <w:pStyle w:val="SCCNormalDoubleSpacing"/>
        <w:spacing w:after="480"/>
        <w:rPr>
          <w:i/>
          <w:iCs/>
        </w:rPr>
      </w:pPr>
      <w:r w:rsidRPr="00A97052">
        <w:rPr>
          <w:i/>
          <w:iCs/>
        </w:rPr>
        <w:tab/>
      </w:r>
      <w:r w:rsidR="007F02AB" w:rsidRPr="00A97052">
        <w:rPr>
          <w:lang w:val="en"/>
        </w:rPr>
        <w:t>Over time from the 1950s, A</w:t>
      </w:r>
      <w:proofErr w:type="spellStart"/>
      <w:r w:rsidR="007F02AB" w:rsidRPr="00A97052">
        <w:t>nnapolis</w:t>
      </w:r>
      <w:proofErr w:type="spellEnd"/>
      <w:r w:rsidR="007F02AB" w:rsidRPr="00A97052">
        <w:t xml:space="preserve"> acquired 965 acres of land (the “Lands”) with the intention of eventually securing enhanced devel</w:t>
      </w:r>
      <w:r w:rsidRPr="00A97052">
        <w:t>opment rights and reselling it.</w:t>
      </w:r>
      <w:r w:rsidR="007F02AB" w:rsidRPr="00A97052">
        <w:t xml:space="preserve"> </w:t>
      </w:r>
      <w:r w:rsidR="007F02AB" w:rsidRPr="00A97052">
        <w:rPr>
          <w:lang w:val="en"/>
        </w:rPr>
        <w:t>In 2006, Halifax adopted a planning strategy to guide land development in the municipality, including the L</w:t>
      </w:r>
      <w:r w:rsidR="00F455E5" w:rsidRPr="00A97052">
        <w:rPr>
          <w:lang w:val="en"/>
        </w:rPr>
        <w:t>ands, over a 25</w:t>
      </w:r>
      <w:r w:rsidR="00F455E5" w:rsidRPr="00A97052">
        <w:rPr>
          <w:lang w:val="en"/>
        </w:rPr>
        <w:noBreakHyphen/>
        <w:t xml:space="preserve">year period. </w:t>
      </w:r>
      <w:r w:rsidR="00F455E5" w:rsidRPr="00A97052">
        <w:rPr>
          <w:lang w:bidi="en-US"/>
        </w:rPr>
        <w:t>The strategy</w:t>
      </w:r>
      <w:r w:rsidR="007F02AB" w:rsidRPr="00A97052">
        <w:rPr>
          <w:lang w:bidi="en-US"/>
        </w:rPr>
        <w:t xml:space="preserve"> reserved a portion of the Lands for possible futur</w:t>
      </w:r>
      <w:r w:rsidRPr="00A97052">
        <w:rPr>
          <w:lang w:bidi="en-US"/>
        </w:rPr>
        <w:t>e inclusion in a regional park.</w:t>
      </w:r>
      <w:r w:rsidR="00F455E5" w:rsidRPr="00A97052">
        <w:rPr>
          <w:lang w:bidi="en-US"/>
        </w:rPr>
        <w:t xml:space="preserve"> </w:t>
      </w:r>
      <w:r w:rsidR="007F02AB" w:rsidRPr="00A97052">
        <w:rPr>
          <w:lang w:bidi="en-US"/>
        </w:rPr>
        <w:t>It also zoned the Lands as “Urban Settlement”, which denotes an area where urban forms of development may occur and as “Urban Reserve”, which identifies land that could be developed beyond the 25</w:t>
      </w:r>
      <w:r w:rsidR="007F02AB" w:rsidRPr="00A97052">
        <w:rPr>
          <w:lang w:bidi="en-US"/>
        </w:rPr>
        <w:noBreakHyphen/>
        <w:t>year horizon.</w:t>
      </w:r>
      <w:r w:rsidR="00F455E5" w:rsidRPr="00A97052">
        <w:rPr>
          <w:lang w:val="en"/>
        </w:rPr>
        <w:t xml:space="preserve"> </w:t>
      </w:r>
      <w:r w:rsidR="007F02AB" w:rsidRPr="00A97052">
        <w:rPr>
          <w:lang w:val="en"/>
        </w:rPr>
        <w:t>These designations contempla</w:t>
      </w:r>
      <w:r w:rsidR="00F455E5" w:rsidRPr="00A97052">
        <w:rPr>
          <w:lang w:val="en"/>
        </w:rPr>
        <w:t>te future service development, but</w:t>
      </w:r>
      <w:r w:rsidR="007F02AB" w:rsidRPr="00A97052">
        <w:rPr>
          <w:lang w:val="en"/>
        </w:rPr>
        <w:t xml:space="preserve"> f</w:t>
      </w:r>
      <w:r w:rsidR="007F02AB" w:rsidRPr="00A97052">
        <w:t>or serviced development to occur on the Lands, Halifax must adopt a reso</w:t>
      </w:r>
      <w:r w:rsidRPr="00A97052">
        <w:t xml:space="preserve">lution authorizing it. </w:t>
      </w:r>
      <w:r w:rsidR="007F02AB" w:rsidRPr="00A97052">
        <w:t>Beginning in 2007, Annapolis made several att</w:t>
      </w:r>
      <w:r w:rsidR="00F455E5" w:rsidRPr="00A97052">
        <w:t>empts to develop the Lands. Ultimately, by resolution in</w:t>
      </w:r>
      <w:r w:rsidR="007F02AB" w:rsidRPr="00A97052">
        <w:t xml:space="preserve"> 2016, Halifax refused to initiate the secondary planning process, and Annapolis sued, alleging a constructive taking, misfeasance in public </w:t>
      </w:r>
      <w:r w:rsidR="00F455E5" w:rsidRPr="00A97052">
        <w:t xml:space="preserve">office, and unjust enrichment. </w:t>
      </w:r>
      <w:r w:rsidR="007F02AB" w:rsidRPr="00A97052">
        <w:t xml:space="preserve">With respect to the </w:t>
      </w:r>
      <w:r w:rsidR="00F455E5" w:rsidRPr="00A97052">
        <w:t xml:space="preserve">constructive taking claim, Annapolis contends that </w:t>
      </w:r>
      <w:r w:rsidR="007F02AB" w:rsidRPr="00A97052">
        <w:t xml:space="preserve">Halifax’s regulatory measures have deprived it of all </w:t>
      </w:r>
      <w:r w:rsidR="00F455E5" w:rsidRPr="00A97052">
        <w:t>reasonable or economic uses of the Lands</w:t>
      </w:r>
      <w:r w:rsidR="007F02AB" w:rsidRPr="00A97052">
        <w:t>, resulting in a constructiv</w:t>
      </w:r>
      <w:r w:rsidRPr="00A97052">
        <w:t>e taking without compensation.</w:t>
      </w:r>
    </w:p>
    <w:p w14:paraId="2E486088" w14:textId="6F14A3ED" w:rsidR="007F02AB" w:rsidRPr="00A97052" w:rsidRDefault="00F455E5" w:rsidP="005723E8">
      <w:pPr>
        <w:pStyle w:val="SCCNormalDoubleSpacing"/>
        <w:spacing w:after="480"/>
      </w:pPr>
      <w:r w:rsidRPr="00A97052">
        <w:tab/>
      </w:r>
      <w:r w:rsidR="007F02AB" w:rsidRPr="00A97052">
        <w:t>Halifax sought s</w:t>
      </w:r>
      <w:r w:rsidRPr="00A97052">
        <w:t xml:space="preserve">ummary dismissal of Annapolis’ </w:t>
      </w:r>
      <w:r w:rsidR="007F02AB" w:rsidRPr="00A97052">
        <w:t>c</w:t>
      </w:r>
      <w:r w:rsidRPr="00A97052">
        <w:t xml:space="preserve">onstructive taking claim. </w:t>
      </w:r>
      <w:r w:rsidR="007F02AB" w:rsidRPr="00A97052">
        <w:t>The motion jud</w:t>
      </w:r>
      <w:r w:rsidRPr="00A97052">
        <w:t>ge dismissed Halifax’s motion, finding that Annapolis’</w:t>
      </w:r>
      <w:r w:rsidR="007F02AB" w:rsidRPr="00A97052">
        <w:t xml:space="preserve"> constructive taking claim raised vast genuine issues of material f</w:t>
      </w:r>
      <w:r w:rsidR="005723E8" w:rsidRPr="00A97052">
        <w:t>act requiring a trial.</w:t>
      </w:r>
      <w:r w:rsidRPr="00A97052">
        <w:t xml:space="preserve"> On appeal by Halifax,</w:t>
      </w:r>
      <w:r w:rsidR="007F02AB" w:rsidRPr="00A97052">
        <w:t xml:space="preserve"> the Court of Appeal held that Annapolis’ constructive taking claim did not have a reasonable chance of successfully e</w:t>
      </w:r>
      <w:r w:rsidRPr="00A97052">
        <w:t xml:space="preserve">stablishing, as required by </w:t>
      </w:r>
      <w:r w:rsidR="007F02AB" w:rsidRPr="00A97052">
        <w:rPr>
          <w:i/>
        </w:rPr>
        <w:t>Canadian Pacific Railway Co. v. Vancouver (City)</w:t>
      </w:r>
      <w:r w:rsidR="007F02AB" w:rsidRPr="00A97052">
        <w:t>, 2006 SCC 5, [2006] 1 S.C.R. 227 (“</w:t>
      </w:r>
      <w:r w:rsidR="007F02AB" w:rsidRPr="00A97052">
        <w:rPr>
          <w:i/>
        </w:rPr>
        <w:t>CPR</w:t>
      </w:r>
      <w:r w:rsidR="007F02AB" w:rsidRPr="00A97052">
        <w:t>”), an acquisition by Halifax of a beneficial interest in the Lan</w:t>
      </w:r>
      <w:r w:rsidRPr="00A97052">
        <w:t>ds or flowing from the Lands — which necessitated that</w:t>
      </w:r>
      <w:r w:rsidR="007F02AB" w:rsidRPr="00A97052">
        <w:t xml:space="preserve"> the Lands actually be taken from Annapolis and acquired by Halifax — and the removal of all reasonable</w:t>
      </w:r>
      <w:r w:rsidRPr="00A97052">
        <w:t xml:space="preserve"> uses of the Lands. It was also of the view that</w:t>
      </w:r>
      <w:r w:rsidR="007F02AB" w:rsidRPr="00A97052">
        <w:t xml:space="preserve"> Halifa</w:t>
      </w:r>
      <w:r w:rsidRPr="00A97052">
        <w:t>x’s intended use for the Lands was</w:t>
      </w:r>
      <w:r w:rsidR="007F02AB" w:rsidRPr="00A97052">
        <w:t xml:space="preserve"> not relevant to th</w:t>
      </w:r>
      <w:r w:rsidR="005723E8" w:rsidRPr="00A97052">
        <w:t>e constructive taking analysis.</w:t>
      </w:r>
      <w:r w:rsidRPr="00A97052">
        <w:t xml:space="preserve"> </w:t>
      </w:r>
      <w:r w:rsidR="007F02AB" w:rsidRPr="00A97052">
        <w:t>The Cour</w:t>
      </w:r>
      <w:r w:rsidR="005723E8" w:rsidRPr="00A97052">
        <w:t>t of Appeal struck the claim.</w:t>
      </w:r>
    </w:p>
    <w:p w14:paraId="4AD4AF1A" w14:textId="2994BCA0" w:rsidR="007F02AB" w:rsidRPr="00A97052" w:rsidRDefault="007F02AB" w:rsidP="005723E8">
      <w:pPr>
        <w:pStyle w:val="SCCNormalDoubleSpacing"/>
        <w:spacing w:after="480"/>
      </w:pPr>
      <w:r w:rsidRPr="00A97052">
        <w:tab/>
      </w:r>
      <w:r w:rsidRPr="00A97052">
        <w:rPr>
          <w:i/>
          <w:iCs/>
        </w:rPr>
        <w:t>Held</w:t>
      </w:r>
      <w:r w:rsidRPr="00A97052">
        <w:rPr>
          <w:iCs/>
        </w:rPr>
        <w:t xml:space="preserve"> (Karakatsanis, Martin, Kasirer and Jamal JJ. dissenting):</w:t>
      </w:r>
      <w:r w:rsidRPr="00A97052">
        <w:t xml:space="preserve"> The appeal should be allowed and the order</w:t>
      </w:r>
      <w:r w:rsidR="005723E8" w:rsidRPr="00A97052">
        <w:t xml:space="preserve"> of the motion judge restored.</w:t>
      </w:r>
    </w:p>
    <w:p w14:paraId="4369EFAF" w14:textId="2FA00C14" w:rsidR="007F02AB" w:rsidRPr="00A97052" w:rsidRDefault="007F02AB" w:rsidP="005723E8">
      <w:pPr>
        <w:pStyle w:val="SCCNormalDoubleSpacing"/>
        <w:spacing w:after="480"/>
      </w:pPr>
      <w:r w:rsidRPr="00A97052">
        <w:tab/>
      </w:r>
      <w:r w:rsidRPr="00A97052">
        <w:rPr>
          <w:i/>
        </w:rPr>
        <w:t>Per</w:t>
      </w:r>
      <w:r w:rsidRPr="00A97052">
        <w:t xml:space="preserve"> Wagner C.J. and Moldaver, </w:t>
      </w:r>
      <w:r w:rsidRPr="00A97052">
        <w:rPr>
          <w:b/>
        </w:rPr>
        <w:t>Côté</w:t>
      </w:r>
      <w:r w:rsidRPr="00A97052">
        <w:t xml:space="preserve">, </w:t>
      </w:r>
      <w:r w:rsidRPr="00A97052">
        <w:rPr>
          <w:b/>
        </w:rPr>
        <w:t>Brown</w:t>
      </w:r>
      <w:r w:rsidR="00F455E5" w:rsidRPr="00A97052">
        <w:t xml:space="preserve"> and Rowe JJ.: </w:t>
      </w:r>
      <w:r w:rsidRPr="00A97052">
        <w:t xml:space="preserve">The Court of Appeal erred in holding that an “acquisition of a beneficial interest” under the constructive taking test established by the Court in </w:t>
      </w:r>
      <w:r w:rsidRPr="00A97052">
        <w:rPr>
          <w:i/>
        </w:rPr>
        <w:t>CPR</w:t>
      </w:r>
      <w:r w:rsidRPr="00A97052">
        <w:t xml:space="preserve"> requires land to actually be taken from an ow</w:t>
      </w:r>
      <w:r w:rsidR="005723E8" w:rsidRPr="00A97052">
        <w:t xml:space="preserve">ner and acquired by the state. </w:t>
      </w:r>
      <w:r w:rsidRPr="00A97052">
        <w:t>A “beneficial interest” is to be broadly</w:t>
      </w:r>
      <w:r w:rsidR="00F455E5" w:rsidRPr="00A97052">
        <w:t xml:space="preserve"> understood as an “advantage”; as such,</w:t>
      </w:r>
      <w:r w:rsidRPr="00A97052">
        <w:t xml:space="preserve"> the interest acquired by the state can fall short of an actual a</w:t>
      </w:r>
      <w:r w:rsidR="00F455E5" w:rsidRPr="00A97052">
        <w:t xml:space="preserve">cquisition by the state. </w:t>
      </w:r>
      <w:r w:rsidRPr="00A97052">
        <w:t>Further, the Court of Appeal erred in holding that evidence of the state’s intended use of the impugned land is irrelevant to a cla</w:t>
      </w:r>
      <w:r w:rsidR="00F455E5" w:rsidRPr="00A97052">
        <w:t>im for constructive taking. There are</w:t>
      </w:r>
      <w:r w:rsidRPr="00A97052">
        <w:t xml:space="preserve"> genuine issues of material fact arising from Annapolis’ constructive </w:t>
      </w:r>
      <w:r w:rsidR="00F455E5" w:rsidRPr="00A97052">
        <w:t xml:space="preserve">taking claim to be tried. </w:t>
      </w:r>
      <w:r w:rsidRPr="00A97052">
        <w:t xml:space="preserve">It should therefore be </w:t>
      </w:r>
      <w:r w:rsidR="00F455E5" w:rsidRPr="00A97052">
        <w:t>allowed to</w:t>
      </w:r>
      <w:r w:rsidR="005723E8" w:rsidRPr="00A97052">
        <w:t xml:space="preserve"> proceed to trial.</w:t>
      </w:r>
    </w:p>
    <w:p w14:paraId="391C698D" w14:textId="7455590D" w:rsidR="007F02AB" w:rsidRPr="00A97052" w:rsidRDefault="00F455E5" w:rsidP="005723E8">
      <w:pPr>
        <w:pStyle w:val="SCCNormalDoubleSpacing"/>
        <w:spacing w:after="480"/>
      </w:pPr>
      <w:r w:rsidRPr="00A97052">
        <w:tab/>
        <w:t>Constructive taking is the preferable term for</w:t>
      </w:r>
      <w:r w:rsidR="007F02AB" w:rsidRPr="00A97052">
        <w:t xml:space="preserve"> expropriation through regulation as it more accurately captures the nature of the state action at issue and th</w:t>
      </w:r>
      <w:r w:rsidRPr="00A97052">
        <w:t xml:space="preserve">e effect on the landowner. </w:t>
      </w:r>
      <w:r w:rsidR="007F02AB" w:rsidRPr="00A97052">
        <w:t>A “taking” is a forcible acquisition by the Crown of privately owned pro</w:t>
      </w:r>
      <w:r w:rsidRPr="00A97052">
        <w:t xml:space="preserve">perty for public purposes. </w:t>
      </w:r>
      <w:r w:rsidR="007F02AB" w:rsidRPr="00A97052">
        <w:t xml:space="preserve">It may take the form of a constructive taking (effective appropriation of private property by a public authority exercising its regulatory powers), or a </w:t>
      </w:r>
      <w:r w:rsidR="007F02AB" w:rsidRPr="00A97052">
        <w:rPr>
          <w:i/>
        </w:rPr>
        <w:t xml:space="preserve">de jure </w:t>
      </w:r>
      <w:r w:rsidR="007F02AB" w:rsidRPr="00A97052">
        <w:t>taking (formal expropriation), by (in the c</w:t>
      </w:r>
      <w:r w:rsidRPr="00A97052">
        <w:t xml:space="preserve">ase of land) taking title. </w:t>
      </w:r>
      <w:r w:rsidR="007F02AB" w:rsidRPr="00A97052">
        <w:t>Not every instance of regulating the use of property amounts</w:t>
      </w:r>
      <w:r w:rsidRPr="00A97052">
        <w:t xml:space="preserve"> to a constructive taking. </w:t>
      </w:r>
      <w:r w:rsidR="007F02AB" w:rsidRPr="00A97052">
        <w:t>Governments and municipalities holding delegated provincial regulatory authority validly regulate land in the public interest without effecting “</w:t>
      </w:r>
      <w:r w:rsidR="005723E8" w:rsidRPr="00A97052">
        <w:t xml:space="preserve">takings”, properly understood. </w:t>
      </w:r>
      <w:r w:rsidR="007F02AB" w:rsidRPr="00A97052">
        <w:t>The line between a valid regulation and a constructive taking is crossed where the effect of the regulatory activity deprives a claimant of the use and enjoyment of its property in a substantial and unreasonable way, or effectiv</w:t>
      </w:r>
      <w:r w:rsidR="005723E8" w:rsidRPr="00A97052">
        <w:t>ely confiscates the property.</w:t>
      </w:r>
    </w:p>
    <w:p w14:paraId="2A20B01D" w14:textId="26D67299" w:rsidR="007F02AB" w:rsidRPr="00A97052" w:rsidRDefault="00F455E5" w:rsidP="005723E8">
      <w:pPr>
        <w:pStyle w:val="SCCNormalDoubleSpacing"/>
        <w:spacing w:after="480"/>
      </w:pPr>
      <w:r w:rsidRPr="00A97052">
        <w:tab/>
      </w:r>
      <w:r w:rsidR="007F02AB" w:rsidRPr="00A97052">
        <w:t xml:space="preserve">The test to show a constructive taking is that stated by </w:t>
      </w:r>
      <w:r w:rsidR="007F02AB" w:rsidRPr="00A97052">
        <w:rPr>
          <w:i/>
        </w:rPr>
        <w:t>CPR</w:t>
      </w:r>
      <w:r w:rsidRPr="00A97052">
        <w:t xml:space="preserve">, properly understood. </w:t>
      </w:r>
      <w:r w:rsidR="007F02AB" w:rsidRPr="00A97052">
        <w:t>The test pro</w:t>
      </w:r>
      <w:r w:rsidRPr="00A97052">
        <w:t xml:space="preserve">vides that </w:t>
      </w:r>
      <w:r w:rsidR="007F02AB" w:rsidRPr="00A97052">
        <w:t xml:space="preserve">the reviewing court must decide: (1) whether the public authority has acquired a beneficial interest in the property or flowing from it (i.e. an advantage); and (2) whether the state action has removed all reasonable uses of the property. </w:t>
      </w:r>
      <w:r w:rsidRPr="00A97052">
        <w:t>The jurisprudence, upon which</w:t>
      </w:r>
      <w:r w:rsidR="007F02AB" w:rsidRPr="00A97052">
        <w:t xml:space="preserve"> the </w:t>
      </w:r>
      <w:r w:rsidR="007F02AB" w:rsidRPr="00A97052">
        <w:rPr>
          <w:i/>
        </w:rPr>
        <w:t>CPR</w:t>
      </w:r>
      <w:r w:rsidR="007F02AB" w:rsidRPr="00A97052">
        <w:t xml:space="preserve"> test was expressly stated as resting, supports an understanding of “beneficial interest” as concerned with the effect of a regulatory measure on the landowner, and not with whether a proprietary interest was actua</w:t>
      </w:r>
      <w:r w:rsidR="005723E8" w:rsidRPr="00A97052">
        <w:t>lly acquired by the government.</w:t>
      </w:r>
      <w:r w:rsidRPr="00A97052">
        <w:t xml:space="preserve"> </w:t>
      </w:r>
      <w:r w:rsidR="007F02AB" w:rsidRPr="00A97052">
        <w:t>That same jurisprudence supports the view that “beneficial interest” refers not to actual acquisition of the equity that rests with the beneficial owner of property, connoting rights of use and enjoyment, but to an advan</w:t>
      </w:r>
      <w:r w:rsidRPr="00A97052">
        <w:t xml:space="preserve">tage flowing to the state. </w:t>
      </w:r>
      <w:r w:rsidR="007F02AB" w:rsidRPr="00A97052">
        <w:t>To require actual acquisition would collapse the distinction between constructive (</w:t>
      </w:r>
      <w:r w:rsidR="007F02AB" w:rsidRPr="00A97052">
        <w:rPr>
          <w:i/>
        </w:rPr>
        <w:t>de facto</w:t>
      </w:r>
      <w:r w:rsidR="007F02AB" w:rsidRPr="00A97052">
        <w:t xml:space="preserve">) and </w:t>
      </w:r>
      <w:r w:rsidR="007F02AB" w:rsidRPr="00A97052">
        <w:rPr>
          <w:i/>
        </w:rPr>
        <w:t>de jure</w:t>
      </w:r>
      <w:r w:rsidR="007F02AB" w:rsidRPr="00A97052">
        <w:t xml:space="preserve"> takings — a distinction which </w:t>
      </w:r>
      <w:r w:rsidR="007F02AB" w:rsidRPr="00A97052">
        <w:rPr>
          <w:i/>
        </w:rPr>
        <w:t xml:space="preserve">CPR </w:t>
      </w:r>
      <w:r w:rsidR="005723E8" w:rsidRPr="00A97052">
        <w:t>explicitly preserves.</w:t>
      </w:r>
      <w:r w:rsidR="007F02AB" w:rsidRPr="00A97052">
        <w:t xml:space="preserve"> If a constructive taking requires an actual taking, the</w:t>
      </w:r>
      <w:r w:rsidR="005723E8" w:rsidRPr="00A97052">
        <w:t>n it is no longer constructive.</w:t>
      </w:r>
      <w:r w:rsidRPr="00A97052">
        <w:t xml:space="preserve"> Furthermore,</w:t>
      </w:r>
      <w:r w:rsidR="007F02AB" w:rsidRPr="00A97052">
        <w:t xml:space="preserve"> interpreting “beneficial interest” broadly (as meaning a benefit or an advantage accruing to the state) ensures </w:t>
      </w:r>
      <w:r w:rsidR="007F02AB" w:rsidRPr="00A97052">
        <w:rPr>
          <w:i/>
        </w:rPr>
        <w:t>CPR</w:t>
      </w:r>
      <w:r w:rsidRPr="00A97052">
        <w:t>’s coherence with previous jurisprudence, which did not</w:t>
      </w:r>
      <w:r w:rsidR="007F02AB" w:rsidRPr="00A97052">
        <w:t xml:space="preserve"> understand “benefits” in the strict equ</w:t>
      </w:r>
      <w:r w:rsidRPr="00A97052">
        <w:t xml:space="preserve">itable sense of that term. </w:t>
      </w:r>
      <w:r w:rsidR="007F02AB" w:rsidRPr="00A97052">
        <w:rPr>
          <w:i/>
        </w:rPr>
        <w:t>CPR</w:t>
      </w:r>
      <w:r w:rsidR="007F02AB" w:rsidRPr="00A97052">
        <w:t xml:space="preserve"> merely so</w:t>
      </w:r>
      <w:r w:rsidRPr="00A97052">
        <w:t>ught to affirm, and not alter, the</w:t>
      </w:r>
      <w:r w:rsidR="007F02AB" w:rsidRPr="00A97052">
        <w:t xml:space="preserve"> law of constructive takings.</w:t>
      </w:r>
    </w:p>
    <w:p w14:paraId="029A3779" w14:textId="52C63C70" w:rsidR="007F02AB" w:rsidRPr="00A97052" w:rsidRDefault="00F455E5" w:rsidP="005723E8">
      <w:pPr>
        <w:pStyle w:val="SCCNormalDoubleSpacing"/>
        <w:spacing w:after="480"/>
      </w:pPr>
      <w:r w:rsidRPr="00A97052">
        <w:tab/>
      </w:r>
      <w:r w:rsidR="007F02AB" w:rsidRPr="00A97052">
        <w:t xml:space="preserve">This interpretation is supported by the wording under the first part of the </w:t>
      </w:r>
      <w:r w:rsidR="007F02AB" w:rsidRPr="00A97052">
        <w:rPr>
          <w:i/>
        </w:rPr>
        <w:t>CPR</w:t>
      </w:r>
      <w:r w:rsidR="007F02AB" w:rsidRPr="00A97052">
        <w:t xml:space="preserve"> test: “a beneficial interest in the</w:t>
      </w:r>
      <w:r w:rsidR="005723E8" w:rsidRPr="00A97052">
        <w:t xml:space="preserve"> property or flowing from it”. </w:t>
      </w:r>
      <w:r w:rsidR="007F02AB" w:rsidRPr="00A97052">
        <w:t>An interest flowing from the property affirms that a “beneficial interest” can be more broadly understood as an advantage, and need not</w:t>
      </w:r>
      <w:r w:rsidRPr="00A97052">
        <w:t xml:space="preserve"> be an actual acquisition. Such an interpretation gives effect to the</w:t>
      </w:r>
      <w:r w:rsidR="007F02AB" w:rsidRPr="00A97052">
        <w:t xml:space="preserve"> Court’s acknowledgement of a common law righ</w:t>
      </w:r>
      <w:r w:rsidR="005723E8" w:rsidRPr="00A97052">
        <w:t>t to compensation where the two</w:t>
      </w:r>
      <w:r w:rsidR="005723E8" w:rsidRPr="00A97052">
        <w:noBreakHyphen/>
      </w:r>
      <w:r w:rsidR="007F02AB" w:rsidRPr="00A97052">
        <w:t xml:space="preserve">part </w:t>
      </w:r>
      <w:r w:rsidR="007F02AB" w:rsidRPr="00A97052">
        <w:rPr>
          <w:i/>
        </w:rPr>
        <w:t>CPR</w:t>
      </w:r>
      <w:r w:rsidRPr="00A97052">
        <w:t xml:space="preserve"> test is satisfied. </w:t>
      </w:r>
      <w:r w:rsidR="007F02AB" w:rsidRPr="00A97052">
        <w:t>It accords with imperatives of justice and fairness, which underpin the Court’s assessment of expropriation claims, and remedies situations where cases do not neatly fit within the expropriat</w:t>
      </w:r>
      <w:r w:rsidRPr="00A97052">
        <w:t>ion legislative framework. As</w:t>
      </w:r>
      <w:r w:rsidR="007F02AB" w:rsidRPr="00A97052">
        <w:t xml:space="preserve"> the test focusses on effects and advantages, substance a</w:t>
      </w:r>
      <w:r w:rsidRPr="00A97052">
        <w:t xml:space="preserve">nd not form is to prevail. </w:t>
      </w:r>
      <w:r w:rsidR="007F02AB" w:rsidRPr="00A97052">
        <w:t>A court deciding whether a regulatory measure effects a constructive taking must undertake a realistic appraisal of matters in the context of the specific case, in</w:t>
      </w:r>
      <w:r w:rsidRPr="00A97052">
        <w:t>cluding but not limited to (a) t</w:t>
      </w:r>
      <w:r w:rsidR="007F02AB" w:rsidRPr="00A97052">
        <w:t>he nature of the government action, notice to the owner of the restrictions at the time the property was acquired, and whether the government measures restrict the uses of the property in a manner consistent with the owner’</w:t>
      </w:r>
      <w:r w:rsidRPr="00A97052">
        <w:t>s reasonable expectations; (b) t</w:t>
      </w:r>
      <w:r w:rsidR="007F02AB" w:rsidRPr="00A97052">
        <w:t>he nature of the land and its histo</w:t>
      </w:r>
      <w:r w:rsidRPr="00A97052">
        <w:t>rical or current uses; and (c) t</w:t>
      </w:r>
      <w:r w:rsidR="007F02AB" w:rsidRPr="00A97052">
        <w:t>he substance of the alleged advantage.</w:t>
      </w:r>
    </w:p>
    <w:p w14:paraId="79EC497C" w14:textId="568E91CE" w:rsidR="007F02AB" w:rsidRPr="00A97052" w:rsidRDefault="00F455E5" w:rsidP="005723E8">
      <w:pPr>
        <w:pStyle w:val="SCCNormalDoubleSpacing"/>
        <w:spacing w:after="480"/>
      </w:pPr>
      <w:r w:rsidRPr="00A97052">
        <w:tab/>
      </w:r>
      <w:r w:rsidR="007F02AB" w:rsidRPr="00A97052">
        <w:t>The public authority’s intention is not an element of the test for con</w:t>
      </w:r>
      <w:r w:rsidR="005723E8" w:rsidRPr="00A97052">
        <w:t>structive taking at common law.</w:t>
      </w:r>
      <w:r w:rsidRPr="00A97052">
        <w:t xml:space="preserve"> </w:t>
      </w:r>
      <w:r w:rsidR="007F02AB" w:rsidRPr="00A97052">
        <w:t>The mischief addressed by the doctrine is one of advantages and effects, not that a public authority acted in bad faith or wit</w:t>
      </w:r>
      <w:r w:rsidR="005723E8" w:rsidRPr="00A97052">
        <w:t>h an otherwise ulterior motive.</w:t>
      </w:r>
      <w:r w:rsidRPr="00A97052">
        <w:t xml:space="preserve"> However, intention </w:t>
      </w:r>
      <w:r w:rsidR="007F02AB" w:rsidRPr="00A97052">
        <w:t>can</w:t>
      </w:r>
      <w:r w:rsidRPr="00A97052">
        <w:t xml:space="preserve"> be r</w:t>
      </w:r>
      <w:r w:rsidR="005723E8" w:rsidRPr="00A97052">
        <w:t>elevant to the inquiry.</w:t>
      </w:r>
      <w:r w:rsidRPr="00A97052">
        <w:t xml:space="preserve"> </w:t>
      </w:r>
      <w:r w:rsidR="007F02AB" w:rsidRPr="00A97052">
        <w:t>The underlying objective pursued by a public authority may provide supporting evidence for a constructive expropriation claim, but it is neithe</w:t>
      </w:r>
      <w:r w:rsidRPr="00A97052">
        <w:t>r necessary nor sufficient.</w:t>
      </w:r>
      <w:r w:rsidR="007F02AB" w:rsidRPr="00A97052">
        <w:t xml:space="preserve"> The a</w:t>
      </w:r>
      <w:r w:rsidRPr="00A97052">
        <w:t>ssessment of intent has proved to be</w:t>
      </w:r>
      <w:r w:rsidR="007F02AB" w:rsidRPr="00A97052">
        <w:t xml:space="preserve"> helpful in distinguishing between mere regulations in the public interest and takings requiring c</w:t>
      </w:r>
      <w:r w:rsidRPr="00A97052">
        <w:t xml:space="preserve">ompensation at common law. </w:t>
      </w:r>
      <w:r w:rsidR="007F02AB" w:rsidRPr="00A97052">
        <w:t>What ultimately matters, however, irrespective of matters of intent, is whether the state-imposed restrictions on the property conferred an advantage on the state that e</w:t>
      </w:r>
      <w:r w:rsidR="005723E8" w:rsidRPr="00A97052">
        <w:t>ffectively amounts to a taking.</w:t>
      </w:r>
    </w:p>
    <w:p w14:paraId="4699B7B5" w14:textId="4B477977" w:rsidR="007F02AB" w:rsidRPr="00A97052" w:rsidRDefault="005723E8" w:rsidP="005723E8">
      <w:pPr>
        <w:pStyle w:val="SCCNormalDoubleSpacing"/>
        <w:spacing w:after="480"/>
      </w:pPr>
      <w:r w:rsidRPr="00A97052">
        <w:tab/>
      </w:r>
      <w:r w:rsidR="00F455E5" w:rsidRPr="00A97052">
        <w:t>In the instant case,</w:t>
      </w:r>
      <w:r w:rsidR="007F02AB" w:rsidRPr="00A97052">
        <w:t xml:space="preserve"> the motion judge’s legal conclusions that (1) a constructive taking need only have the effect of defeating the landowner’s reasonable use of land; and (2) the state’s intent may be relevant in assessing whether all reasonable uses</w:t>
      </w:r>
      <w:r w:rsidR="00F455E5" w:rsidRPr="00A97052">
        <w:t xml:space="preserve"> of the land has been removed, were legally correct. </w:t>
      </w:r>
      <w:r w:rsidR="007F02AB" w:rsidRPr="00A97052">
        <w:t>The Court of Appeal did not identify any legal error or patent injustice that would justify interfering with the motion judge’s decision to dismiss Halifax’s summary judgm</w:t>
      </w:r>
      <w:r w:rsidR="00F455E5" w:rsidRPr="00A97052">
        <w:t xml:space="preserve">ent motion on the basis of the existing triable issues. </w:t>
      </w:r>
      <w:r w:rsidR="007F02AB" w:rsidRPr="00A97052">
        <w:t xml:space="preserve">Two disputed factual issues are particularly material to the </w:t>
      </w:r>
      <w:r w:rsidR="007F02AB" w:rsidRPr="00A97052">
        <w:rPr>
          <w:i/>
        </w:rPr>
        <w:t>CPR</w:t>
      </w:r>
      <w:r w:rsidR="00F455E5" w:rsidRPr="00A97052">
        <w:t xml:space="preserve"> test. </w:t>
      </w:r>
      <w:r w:rsidR="007F02AB" w:rsidRPr="00A97052">
        <w:t>First, it is disputed whether Halifax is promoting the Lands as a public park; this is material because, if proven, it would tend to support Annapolis’ claim that Halifax acquired a benefi</w:t>
      </w:r>
      <w:r w:rsidR="00F455E5" w:rsidRPr="00A97052">
        <w:t>cial interest in the Lands.</w:t>
      </w:r>
      <w:r w:rsidR="007F02AB" w:rsidRPr="00A97052">
        <w:t xml:space="preserve"> Preserving a park in its natural state may constitute an advantage accruing to the state, thus satisfying the “acquisition” element of </w:t>
      </w:r>
      <w:r w:rsidR="007F02AB" w:rsidRPr="00A97052">
        <w:rPr>
          <w:i/>
        </w:rPr>
        <w:t>CPR</w:t>
      </w:r>
      <w:r w:rsidR="00F455E5" w:rsidRPr="00A97052">
        <w:t xml:space="preserve">. </w:t>
      </w:r>
      <w:r w:rsidR="007F02AB" w:rsidRPr="00A97052">
        <w:t>Second, it is disputed whether Halifax, by allegedly treating the Lands as a public park, has eliminated all uses of the Lands except service development, which is conditional upon the approval of Annapolis’ secondary plann</w:t>
      </w:r>
      <w:r w:rsidR="00F455E5" w:rsidRPr="00A97052">
        <w:t xml:space="preserve">ing applications. </w:t>
      </w:r>
      <w:r w:rsidR="007F02AB" w:rsidRPr="00A97052">
        <w:t>This is material because, if proven, it may arguably support Annapolis’ claim that it has lost all reason</w:t>
      </w:r>
      <w:r w:rsidR="00F455E5" w:rsidRPr="00A97052">
        <w:t xml:space="preserve">able uses of its property. </w:t>
      </w:r>
      <w:r w:rsidR="007F02AB" w:rsidRPr="00A97052">
        <w:t xml:space="preserve">If Annapolis can prove at trial that Halifax is unlikely to ever grant a secondary planning approval, this is clearly material to </w:t>
      </w:r>
      <w:r w:rsidR="00F455E5" w:rsidRPr="00A97052">
        <w:t>its constructive taking claim, as</w:t>
      </w:r>
      <w:r w:rsidR="007F02AB" w:rsidRPr="00A97052">
        <w:t xml:space="preserve"> all reasonable uses of the land may be shown to have been eliminated where a permit needed to make reasonable use of the land is refused, such that the state has effectively taken </w:t>
      </w:r>
      <w:r w:rsidRPr="00A97052">
        <w:t>away all rights of ownership.</w:t>
      </w:r>
    </w:p>
    <w:p w14:paraId="5B877B99" w14:textId="2BAA3BFD" w:rsidR="007F02AB" w:rsidRPr="00A97052" w:rsidRDefault="007F02AB" w:rsidP="005723E8">
      <w:pPr>
        <w:pStyle w:val="SCCNormalDoubleSpacing"/>
        <w:spacing w:after="480"/>
      </w:pPr>
      <w:r w:rsidRPr="00A97052">
        <w:tab/>
      </w:r>
      <w:r w:rsidRPr="00A97052">
        <w:rPr>
          <w:i/>
        </w:rPr>
        <w:t>Per</w:t>
      </w:r>
      <w:r w:rsidRPr="00A97052">
        <w:t xml:space="preserve"> Karakatsanis, Martin, </w:t>
      </w:r>
      <w:r w:rsidRPr="00A97052">
        <w:rPr>
          <w:b/>
        </w:rPr>
        <w:t>Kasirer</w:t>
      </w:r>
      <w:r w:rsidRPr="00A97052">
        <w:t xml:space="preserve"> and </w:t>
      </w:r>
      <w:r w:rsidRPr="00A97052">
        <w:rPr>
          <w:b/>
        </w:rPr>
        <w:t>Jamal</w:t>
      </w:r>
      <w:r w:rsidR="00F455E5" w:rsidRPr="00A97052">
        <w:t xml:space="preserve"> JJ. (</w:t>
      </w:r>
      <w:proofErr w:type="gramStart"/>
      <w:r w:rsidR="00F455E5" w:rsidRPr="00A97052">
        <w:t>dissenting</w:t>
      </w:r>
      <w:proofErr w:type="gramEnd"/>
      <w:r w:rsidR="00F455E5" w:rsidRPr="00A97052">
        <w:t xml:space="preserve">): </w:t>
      </w:r>
      <w:r w:rsidRPr="00A97052">
        <w:t>Th</w:t>
      </w:r>
      <w:r w:rsidR="005723E8" w:rsidRPr="00A97052">
        <w:t xml:space="preserve">e appeal should be dismissed. </w:t>
      </w:r>
      <w:r w:rsidR="00F455E5" w:rsidRPr="00A97052">
        <w:t xml:space="preserve">There is disagreement </w:t>
      </w:r>
      <w:r w:rsidRPr="00A97052">
        <w:t xml:space="preserve">with the majority’s proposed changes to the </w:t>
      </w:r>
      <w:r w:rsidRPr="00A97052">
        <w:rPr>
          <w:i/>
        </w:rPr>
        <w:t>CPR</w:t>
      </w:r>
      <w:r w:rsidR="00F455E5" w:rsidRPr="00A97052">
        <w:t xml:space="preserve"> precedent and with</w:t>
      </w:r>
      <w:r w:rsidRPr="00A97052">
        <w:t xml:space="preserve"> how the majority applies</w:t>
      </w:r>
      <w:r w:rsidR="005723E8" w:rsidRPr="00A97052">
        <w:t xml:space="preserve"> the law in </w:t>
      </w:r>
      <w:r w:rsidR="00F455E5" w:rsidRPr="00A97052">
        <w:t>the instant</w:t>
      </w:r>
      <w:r w:rsidR="005723E8" w:rsidRPr="00A97052">
        <w:t xml:space="preserve"> case.</w:t>
      </w:r>
      <w:r w:rsidR="00F455E5" w:rsidRPr="00A97052">
        <w:t xml:space="preserve"> </w:t>
      </w:r>
      <w:r w:rsidRPr="00A97052">
        <w:t>Parti</w:t>
      </w:r>
      <w:r w:rsidR="00F455E5" w:rsidRPr="00A97052">
        <w:t>al summary judgment dismissing Annapolis’</w:t>
      </w:r>
      <w:r w:rsidRPr="00A97052">
        <w:t xml:space="preserve"> </w:t>
      </w:r>
      <w:r w:rsidRPr="00A97052">
        <w:rPr>
          <w:i/>
        </w:rPr>
        <w:t>de facto</w:t>
      </w:r>
      <w:r w:rsidRPr="00A97052">
        <w:t xml:space="preserve"> taking claim was </w:t>
      </w:r>
      <w:r w:rsidR="00F455E5" w:rsidRPr="00A97052">
        <w:t>properly granted as that claim</w:t>
      </w:r>
      <w:r w:rsidRPr="00A97052">
        <w:t xml:space="preserve"> has no real chance of success.</w:t>
      </w:r>
    </w:p>
    <w:p w14:paraId="779D731F" w14:textId="77FBEEA4" w:rsidR="007F02AB" w:rsidRPr="00A97052" w:rsidRDefault="00F455E5" w:rsidP="005723E8">
      <w:pPr>
        <w:pStyle w:val="SCCNormalDoubleSpacing"/>
        <w:spacing w:after="480"/>
      </w:pPr>
      <w:r w:rsidRPr="00A97052">
        <w:tab/>
        <w:t>First, there is disagreement with the majority’s</w:t>
      </w:r>
      <w:r w:rsidR="007F02AB" w:rsidRPr="00A97052">
        <w:t xml:space="preserve"> view that the first element of the </w:t>
      </w:r>
      <w:r w:rsidR="007F02AB" w:rsidRPr="00A97052">
        <w:rPr>
          <w:i/>
        </w:rPr>
        <w:t>CPR</w:t>
      </w:r>
      <w:r w:rsidR="007F02AB" w:rsidRPr="00A97052">
        <w:t xml:space="preserve"> test, which requires “an acquisition of a beneficial interest in the property or flowing from it”, should be replaced with the much broader notion of an advantage, whether or not a proprietary interest was actua</w:t>
      </w:r>
      <w:r w:rsidR="005723E8" w:rsidRPr="00A97052">
        <w:t>lly acquired by the government.</w:t>
      </w:r>
      <w:r w:rsidR="007F02AB" w:rsidRPr="00A97052">
        <w:t xml:space="preserve"> I</w:t>
      </w:r>
      <w:r w:rsidRPr="00A97052">
        <w:t xml:space="preserve">nstead, </w:t>
      </w:r>
      <w:r w:rsidR="007F02AB" w:rsidRPr="00A97052">
        <w:t xml:space="preserve">the Court should retain the </w:t>
      </w:r>
      <w:r w:rsidR="007F02AB" w:rsidRPr="00A97052">
        <w:rPr>
          <w:i/>
        </w:rPr>
        <w:t>CPR</w:t>
      </w:r>
      <w:r w:rsidR="007F02AB" w:rsidRPr="00A97052">
        <w:t xml:space="preserve"> test for a </w:t>
      </w:r>
      <w:r w:rsidR="007F02AB" w:rsidRPr="00A97052">
        <w:rPr>
          <w:i/>
        </w:rPr>
        <w:t>de facto</w:t>
      </w:r>
      <w:r w:rsidR="007F02AB" w:rsidRPr="00A97052">
        <w:t xml:space="preserve"> taking, which insists that a proprie</w:t>
      </w:r>
      <w:r w:rsidRPr="00A97052">
        <w:t xml:space="preserve">tary interest be acquired. </w:t>
      </w:r>
      <w:r w:rsidR="007F02AB" w:rsidRPr="00A97052">
        <w:rPr>
          <w:i/>
        </w:rPr>
        <w:t>CPR</w:t>
      </w:r>
      <w:r w:rsidR="007F02AB" w:rsidRPr="00A97052">
        <w:t xml:space="preserve"> and the authorities it cited show there is no </w:t>
      </w:r>
      <w:r w:rsidR="007F02AB" w:rsidRPr="00A97052">
        <w:rPr>
          <w:i/>
        </w:rPr>
        <w:t>de facto</w:t>
      </w:r>
      <w:r w:rsidR="007F02AB" w:rsidRPr="00A97052">
        <w:t xml:space="preserve"> taking unless there is both acquisition of a beneficial interest in the property or flowing from it and a removal of all reason</w:t>
      </w:r>
      <w:r w:rsidRPr="00A97052">
        <w:t xml:space="preserve">able uses of the property. </w:t>
      </w:r>
      <w:r w:rsidR="007F02AB" w:rsidRPr="00A97052">
        <w:t xml:space="preserve">The interest must be proprietary — not merely an advantage — and the acquisition must </w:t>
      </w:r>
      <w:r w:rsidR="005723E8" w:rsidRPr="00A97052">
        <w:t xml:space="preserve">correspond to the deprivation. </w:t>
      </w:r>
      <w:r w:rsidRPr="00A97052">
        <w:t xml:space="preserve">The majority has provided no basis for </w:t>
      </w:r>
      <w:r w:rsidR="007F02AB" w:rsidRPr="00A97052">
        <w:t>t</w:t>
      </w:r>
      <w:r w:rsidRPr="00A97052">
        <w:t>he</w:t>
      </w:r>
      <w:r w:rsidR="007F02AB" w:rsidRPr="00A97052">
        <w:t xml:space="preserve"> Court to depart from the acquisition requirement as framed in </w:t>
      </w:r>
      <w:r w:rsidR="007F02AB" w:rsidRPr="00A97052">
        <w:rPr>
          <w:i/>
        </w:rPr>
        <w:t>CPR</w:t>
      </w:r>
      <w:r w:rsidRPr="00A97052">
        <w:t>. The majority does</w:t>
      </w:r>
      <w:r w:rsidR="007F02AB" w:rsidRPr="00A97052">
        <w:t xml:space="preserve"> not suggest that such a departure from precedent is needed to keep the common law in step with the evolution of society, to clarify a legal principle, or to resolve any inconsistency in the law, which are some of the usual grounds justifying evolut</w:t>
      </w:r>
      <w:r w:rsidR="005723E8" w:rsidRPr="00A97052">
        <w:t xml:space="preserve">ion of the common law. </w:t>
      </w:r>
      <w:r w:rsidR="007F02AB" w:rsidRPr="00A97052">
        <w:t xml:space="preserve">To the contrary, courts in common law Canada have applied the </w:t>
      </w:r>
      <w:r w:rsidR="007F02AB" w:rsidRPr="00A97052">
        <w:rPr>
          <w:i/>
        </w:rPr>
        <w:t>CPR</w:t>
      </w:r>
      <w:r w:rsidRPr="00A97052">
        <w:t xml:space="preserve"> test without difficulty, and</w:t>
      </w:r>
      <w:r w:rsidR="007F02AB" w:rsidRPr="00A97052">
        <w:t xml:space="preserve"> no court has expressed concerns that the test is unwor</w:t>
      </w:r>
      <w:r w:rsidR="005723E8" w:rsidRPr="00A97052">
        <w:t>kable or unnecessarily complex.</w:t>
      </w:r>
      <w:r w:rsidRPr="00A97052">
        <w:t xml:space="preserve"> </w:t>
      </w:r>
      <w:r w:rsidR="007F02AB" w:rsidRPr="00A97052">
        <w:rPr>
          <w:i/>
        </w:rPr>
        <w:t>CPR</w:t>
      </w:r>
      <w:r w:rsidR="007F02AB" w:rsidRPr="00A97052">
        <w:t xml:space="preserve"> is settled law and there is no rea</w:t>
      </w:r>
      <w:r w:rsidR="005723E8" w:rsidRPr="00A97052">
        <w:t>son to change it.</w:t>
      </w:r>
      <w:r w:rsidRPr="00A97052">
        <w:t xml:space="preserve"> Furthermore, the majority’s</w:t>
      </w:r>
      <w:r w:rsidR="007F02AB" w:rsidRPr="00A97052">
        <w:t xml:space="preserve"> reformulation of the acquisition requirement and departure from </w:t>
      </w:r>
      <w:r w:rsidR="007F02AB" w:rsidRPr="00A97052">
        <w:rPr>
          <w:i/>
        </w:rPr>
        <w:t>CPR</w:t>
      </w:r>
      <w:r w:rsidR="007F02AB" w:rsidRPr="00A97052">
        <w:t xml:space="preserve"> as precedent has </w:t>
      </w:r>
      <w:r w:rsidRPr="00A97052">
        <w:t xml:space="preserve">significant ramifications. </w:t>
      </w:r>
      <w:r w:rsidR="007F02AB" w:rsidRPr="00A97052">
        <w:t>It dramatically expands the potential liability of municipalities engaged in land use regulation in the public interest and throws into question the settled law that</w:t>
      </w:r>
      <w:r w:rsidR="005723E8" w:rsidRPr="00A97052">
        <w:t xml:space="preserve"> a refusal to up</w:t>
      </w:r>
      <w:r w:rsidR="005723E8" w:rsidRPr="00A97052">
        <w:noBreakHyphen/>
        <w:t>zone (i.e., re</w:t>
      </w:r>
      <w:r w:rsidR="005723E8" w:rsidRPr="00A97052">
        <w:noBreakHyphen/>
      </w:r>
      <w:r w:rsidR="007F02AB" w:rsidRPr="00A97052">
        <w:t xml:space="preserve">zoning to enlarge the permissible uses of land) is not a </w:t>
      </w:r>
      <w:r w:rsidR="007F02AB" w:rsidRPr="00A97052">
        <w:rPr>
          <w:i/>
        </w:rPr>
        <w:t>de facto</w:t>
      </w:r>
      <w:r w:rsidR="007F02AB" w:rsidRPr="00A97052">
        <w:t xml:space="preserve"> taking.</w:t>
      </w:r>
    </w:p>
    <w:p w14:paraId="4AB0E29B" w14:textId="23405718" w:rsidR="007F02AB" w:rsidRPr="00A97052" w:rsidRDefault="00F455E5" w:rsidP="005723E8">
      <w:pPr>
        <w:pStyle w:val="SCCNormalDoubleSpacing"/>
        <w:spacing w:after="480"/>
        <w:rPr>
          <w:lang w:val="en-US"/>
        </w:rPr>
      </w:pPr>
      <w:r w:rsidRPr="00A97052">
        <w:tab/>
        <w:t>Second, there is disagreement with the majority’s</w:t>
      </w:r>
      <w:r w:rsidR="007F02AB" w:rsidRPr="00A97052">
        <w:t xml:space="preserve"> view that a public authority’s intention is a material fact in a claim for a </w:t>
      </w:r>
      <w:r w:rsidR="007F02AB" w:rsidRPr="00A97052">
        <w:rPr>
          <w:i/>
        </w:rPr>
        <w:t>de facto</w:t>
      </w:r>
      <w:r w:rsidRPr="00A97052">
        <w:t xml:space="preserve"> taking. </w:t>
      </w:r>
      <w:r w:rsidR="007F02AB" w:rsidRPr="00A97052">
        <w:t xml:space="preserve">This is also an unwarranted departure from </w:t>
      </w:r>
      <w:r w:rsidR="007F02AB" w:rsidRPr="00A97052">
        <w:rPr>
          <w:i/>
        </w:rPr>
        <w:t>CPR</w:t>
      </w:r>
      <w:r w:rsidRPr="00A97052">
        <w:t xml:space="preserve"> and the</w:t>
      </w:r>
      <w:r w:rsidR="007F02AB" w:rsidRPr="00A97052">
        <w:t xml:space="preserve"> Court’s prior jurispruden</w:t>
      </w:r>
      <w:r w:rsidRPr="00A97052">
        <w:t>ce. I</w:t>
      </w:r>
      <w:r w:rsidR="007F02AB" w:rsidRPr="00A97052">
        <w:t xml:space="preserve">ntention is not an element of the test for a </w:t>
      </w:r>
      <w:r w:rsidR="007F02AB" w:rsidRPr="00A97052">
        <w:rPr>
          <w:i/>
        </w:rPr>
        <w:t>de facto</w:t>
      </w:r>
      <w:r w:rsidR="007F02AB" w:rsidRPr="00A97052">
        <w:t xml:space="preserve"> or constructive taking; it is equally not a materia</w:t>
      </w:r>
      <w:r w:rsidR="005723E8" w:rsidRPr="00A97052">
        <w:t>l fact supporting such a claim.</w:t>
      </w:r>
      <w:r w:rsidRPr="00A97052">
        <w:t xml:space="preserve"> </w:t>
      </w:r>
      <w:r w:rsidR="007F02AB" w:rsidRPr="00A97052">
        <w:t xml:space="preserve">Although the public authority’s intention may provide narrative background or context or may be relevant to an administrative law claim that its actions were </w:t>
      </w:r>
      <w:r w:rsidR="007F02AB" w:rsidRPr="00A97052">
        <w:rPr>
          <w:i/>
        </w:rPr>
        <w:t>ultra vires</w:t>
      </w:r>
      <w:r w:rsidR="007F02AB" w:rsidRPr="00A97052">
        <w:t xml:space="preserve"> as having an improper purpose or being in bad faith, it is not relevant to a </w:t>
      </w:r>
      <w:r w:rsidR="007F02AB" w:rsidRPr="00A97052">
        <w:rPr>
          <w:i/>
        </w:rPr>
        <w:t>de facto</w:t>
      </w:r>
      <w:r w:rsidR="007F02AB" w:rsidRPr="00A97052">
        <w:t xml:space="preserve"> taking claim, which is concerned with the effect of the public authority’s a</w:t>
      </w:r>
      <w:r w:rsidR="005723E8" w:rsidRPr="00A97052">
        <w:t>ctions, not with its intention.</w:t>
      </w:r>
    </w:p>
    <w:p w14:paraId="29CD7167" w14:textId="1B2D1C2A" w:rsidR="007F02AB" w:rsidRPr="00A97052" w:rsidRDefault="00F455E5" w:rsidP="005723E8">
      <w:pPr>
        <w:pStyle w:val="SCCNormalDoubleSpacing"/>
        <w:spacing w:after="480"/>
      </w:pPr>
      <w:r w:rsidRPr="00A97052">
        <w:tab/>
        <w:t>In the instant case,</w:t>
      </w:r>
      <w:r w:rsidR="007F02AB" w:rsidRPr="00A97052">
        <w:t xml:space="preserve"> there is no material fact in dispute on either branch of the </w:t>
      </w:r>
      <w:r w:rsidR="007F02AB" w:rsidRPr="00A97052">
        <w:rPr>
          <w:i/>
        </w:rPr>
        <w:t>CPR</w:t>
      </w:r>
      <w:r w:rsidR="007F02AB" w:rsidRPr="00A97052">
        <w:t xml:space="preserve"> test for a </w:t>
      </w:r>
      <w:r w:rsidR="007F02AB" w:rsidRPr="00A97052">
        <w:rPr>
          <w:i/>
        </w:rPr>
        <w:t>de facto</w:t>
      </w:r>
      <w:r w:rsidRPr="00A97052">
        <w:t xml:space="preserve"> taking. </w:t>
      </w:r>
      <w:r w:rsidR="007F02AB" w:rsidRPr="00A97052">
        <w:t>Firstly, Halifax has acquired no beneficial interest in the L</w:t>
      </w:r>
      <w:r w:rsidRPr="00A97052">
        <w:t xml:space="preserve">ands or flowing from them. </w:t>
      </w:r>
      <w:r w:rsidR="007F02AB" w:rsidRPr="00A97052">
        <w:t>It has simply refused to up-zo</w:t>
      </w:r>
      <w:r w:rsidRPr="00A97052">
        <w:t>ne the Lands.</w:t>
      </w:r>
      <w:r w:rsidR="007F02AB" w:rsidRPr="00A97052">
        <w:t xml:space="preserve"> Neither Halifax’s 2016 muni</w:t>
      </w:r>
      <w:r w:rsidR="005723E8" w:rsidRPr="00A97052">
        <w:t>cipal resolution refusing to up</w:t>
      </w:r>
      <w:r w:rsidR="005723E8" w:rsidRPr="00A97052">
        <w:noBreakHyphen/>
      </w:r>
      <w:r w:rsidR="007F02AB" w:rsidRPr="00A97052">
        <w:t>zone the Lands nor Halifax’s alleged acts of encouraging the public to trespass raises any genuine issue of material fact that Halifax has acquired a beneficial interest in the L</w:t>
      </w:r>
      <w:r w:rsidRPr="00A97052">
        <w:t xml:space="preserve">ands or flowing from them. </w:t>
      </w:r>
      <w:r w:rsidR="007F02AB" w:rsidRPr="00A97052">
        <w:t xml:space="preserve">The municipal resolution merely preserved the </w:t>
      </w:r>
      <w:r w:rsidR="007F02AB" w:rsidRPr="00A97052">
        <w:rPr>
          <w:i/>
        </w:rPr>
        <w:t>status quo</w:t>
      </w:r>
      <w:r w:rsidR="007F02AB" w:rsidRPr="00A97052">
        <w:t xml:space="preserve"> by refusing to allow lands that have always been vacant and treed and situated next to a protected wilderness area to be developed into serviced residential communitie</w:t>
      </w:r>
      <w:r w:rsidRPr="00A97052">
        <w:t xml:space="preserve">s. </w:t>
      </w:r>
      <w:r w:rsidR="007F02AB" w:rsidRPr="00A97052">
        <w:t>Halifax’s adoption of a muni</w:t>
      </w:r>
      <w:r w:rsidR="005723E8" w:rsidRPr="00A97052">
        <w:t>cipal resolution refusing to up</w:t>
      </w:r>
      <w:r w:rsidR="005723E8" w:rsidRPr="00A97052">
        <w:noBreakHyphen/>
      </w:r>
      <w:r w:rsidR="007F02AB" w:rsidRPr="00A97052">
        <w:t xml:space="preserve">zone the Lands also cannot be a basis for a </w:t>
      </w:r>
      <w:r w:rsidR="007F02AB" w:rsidRPr="00A97052">
        <w:rPr>
          <w:i/>
        </w:rPr>
        <w:t>de facto</w:t>
      </w:r>
      <w:r w:rsidR="007F02AB" w:rsidRPr="00A97052">
        <w:t xml:space="preserve"> taking claim because the resolution did not result in Halifax acquiring any propriet</w:t>
      </w:r>
      <w:r w:rsidRPr="00A97052">
        <w:t xml:space="preserve">ary interest in the Lands. </w:t>
      </w:r>
      <w:r w:rsidR="007F02AB" w:rsidRPr="00A97052">
        <w:t>Moreover, a public authority does not and cannot acquire a proprietary interest</w:t>
      </w:r>
      <w:r w:rsidR="007F02AB" w:rsidRPr="00A97052">
        <w:rPr>
          <w:i/>
        </w:rPr>
        <w:t xml:space="preserve"> </w:t>
      </w:r>
      <w:r w:rsidR="007F02AB" w:rsidRPr="00A97052">
        <w:t>by encouraging other</w:t>
      </w:r>
      <w:r w:rsidR="005723E8" w:rsidRPr="00A97052">
        <w:t>s to trespass.</w:t>
      </w:r>
    </w:p>
    <w:p w14:paraId="7424BCB3" w14:textId="7D91E367" w:rsidR="007F02AB" w:rsidRPr="00A97052" w:rsidRDefault="00F455E5" w:rsidP="005723E8">
      <w:pPr>
        <w:pStyle w:val="SCCNormalDoubleSpacing"/>
        <w:spacing w:after="480"/>
      </w:pPr>
      <w:r w:rsidRPr="00A97052">
        <w:tab/>
      </w:r>
      <w:r w:rsidR="007F02AB" w:rsidRPr="00A97052">
        <w:t>Secondly, the uncontradicted evidence is that Annapolis has been deprived of no reasonable uses, let alone all reas</w:t>
      </w:r>
      <w:r w:rsidRPr="00A97052">
        <w:t xml:space="preserve">onable uses, of the Lands. </w:t>
      </w:r>
      <w:r w:rsidR="007F02AB" w:rsidRPr="00A97052">
        <w:t xml:space="preserve">The zoning and uses of the Lands </w:t>
      </w:r>
      <w:r w:rsidRPr="00A97052">
        <w:t xml:space="preserve">remain entirely unchanged. </w:t>
      </w:r>
      <w:r w:rsidR="007F02AB" w:rsidRPr="00A97052">
        <w:t>The Lands remain vacant and treed, just as they have been sinc</w:t>
      </w:r>
      <w:r w:rsidRPr="00A97052">
        <w:t xml:space="preserve">e Annapolis acquired them. </w:t>
      </w:r>
      <w:r w:rsidR="007F02AB" w:rsidRPr="00A97052">
        <w:t xml:space="preserve">Annapolis has the same rights with respect to </w:t>
      </w:r>
      <w:r w:rsidRPr="00A97052">
        <w:t>the Lands that it had prior to Halifax’s</w:t>
      </w:r>
      <w:r w:rsidR="007F02AB" w:rsidRPr="00A97052">
        <w:t xml:space="preserve"> resolution in 201</w:t>
      </w:r>
      <w:r w:rsidRPr="00A97052">
        <w:t xml:space="preserve">6. </w:t>
      </w:r>
      <w:r w:rsidR="005723E8" w:rsidRPr="00A97052">
        <w:t>Halifax’s refusal to up</w:t>
      </w:r>
      <w:r w:rsidR="005723E8" w:rsidRPr="00A97052">
        <w:noBreakHyphen/>
      </w:r>
      <w:r w:rsidR="007F02AB" w:rsidRPr="00A97052">
        <w:t>zone the Lands in 2016 thus did not deprive Annapolis of any reasonable uses of the La</w:t>
      </w:r>
      <w:r w:rsidRPr="00A97052">
        <w:t xml:space="preserve">nds. </w:t>
      </w:r>
      <w:r w:rsidR="007F02AB" w:rsidRPr="00A97052">
        <w:t>It simply disappointed Annapolis</w:t>
      </w:r>
      <w:r w:rsidRPr="00A97052">
        <w:t xml:space="preserve">’ hope of developing them. </w:t>
      </w:r>
      <w:r w:rsidR="007F02AB" w:rsidRPr="00A97052">
        <w:t xml:space="preserve">More importantly, even if Annapolis could somehow </w:t>
      </w:r>
      <w:r w:rsidR="005723E8" w:rsidRPr="00A97052">
        <w:t>show that Halifax will never up</w:t>
      </w:r>
      <w:r w:rsidR="005723E8" w:rsidRPr="00A97052">
        <w:noBreakHyphen/>
      </w:r>
      <w:r w:rsidR="007F02AB" w:rsidRPr="00A97052">
        <w:t>zone the Lands, that could not establish that Annapolis has lost all</w:t>
      </w:r>
      <w:r w:rsidRPr="00A97052">
        <w:t xml:space="preserve"> reasonable uses of the Lands. </w:t>
      </w:r>
      <w:r w:rsidR="007F02AB" w:rsidRPr="00A97052">
        <w:t>The Lands have never been used for serviced development, they have alw</w:t>
      </w:r>
      <w:r w:rsidRPr="00A97052">
        <w:t xml:space="preserve">ays been vacant and treed. </w:t>
      </w:r>
      <w:r w:rsidR="007F02AB" w:rsidRPr="00A97052">
        <w:t xml:space="preserve">The majority’s assertion amounts to saying that a refusal to up-zone vacant land can give rise to a </w:t>
      </w:r>
      <w:r w:rsidR="007F02AB" w:rsidRPr="00A97052">
        <w:rPr>
          <w:i/>
        </w:rPr>
        <w:t>de facto</w:t>
      </w:r>
      <w:r w:rsidR="007F02AB" w:rsidRPr="00A97052">
        <w:t xml:space="preserve"> taking merely if all potential reasonable</w:t>
      </w:r>
      <w:r w:rsidRPr="00A97052">
        <w:t xml:space="preserve"> uses are prohibited. </w:t>
      </w:r>
      <w:r w:rsidR="007F02AB" w:rsidRPr="00A97052">
        <w:t>That would upse</w:t>
      </w:r>
      <w:r w:rsidRPr="00A97052">
        <w:t>t the settled law reflected in the jurisprudence</w:t>
      </w:r>
      <w:r w:rsidR="007F02AB" w:rsidRPr="00A97052">
        <w:t>, and it would eliminate Halifax’s statutory and common law protection fr</w:t>
      </w:r>
      <w:r w:rsidR="005723E8" w:rsidRPr="00A97052">
        <w:t>om liability for refusing to up</w:t>
      </w:r>
      <w:r w:rsidR="005723E8" w:rsidRPr="00A97052">
        <w:noBreakHyphen/>
      </w:r>
      <w:r w:rsidRPr="00A97052">
        <w:t xml:space="preserve">zone. </w:t>
      </w:r>
      <w:r w:rsidR="007F02AB" w:rsidRPr="00A97052">
        <w:t>Removal of all reasonable uses of the land must be assessed in relation to both its potential uses as well as the nature of the land and the range of reasonable uses to w</w:t>
      </w:r>
      <w:r w:rsidR="005723E8" w:rsidRPr="00A97052">
        <w:t>hich it has actually been put.</w:t>
      </w:r>
    </w:p>
    <w:p w14:paraId="3E616A4B" w14:textId="41C76753" w:rsidR="007E1C47" w:rsidRPr="00A97052" w:rsidRDefault="002E6705" w:rsidP="005723E8">
      <w:pPr>
        <w:pStyle w:val="SCCNormalDoubleSpacing"/>
        <w:widowControl w:val="0"/>
        <w:spacing w:after="720" w:line="240" w:lineRule="auto"/>
        <w:rPr>
          <w:b/>
        </w:rPr>
      </w:pPr>
      <w:r w:rsidRPr="00A97052">
        <w:rPr>
          <w:b/>
        </w:rPr>
        <w:t>Cases Cited</w:t>
      </w:r>
    </w:p>
    <w:p w14:paraId="3A378E4C" w14:textId="77777777" w:rsidR="00A149DF" w:rsidRPr="00A97052" w:rsidRDefault="002C09C0" w:rsidP="005723E8">
      <w:pPr>
        <w:pStyle w:val="SCCNormalDoubleSpacing"/>
        <w:widowControl w:val="0"/>
        <w:spacing w:after="720" w:line="240" w:lineRule="auto"/>
      </w:pPr>
      <w:r w:rsidRPr="00A97052">
        <w:t>By Côté and Brown JJ.</w:t>
      </w:r>
    </w:p>
    <w:p w14:paraId="005AC54B" w14:textId="5CF890CF" w:rsidR="004E2C26" w:rsidRPr="00A97052" w:rsidRDefault="002E6705" w:rsidP="005723E8">
      <w:pPr>
        <w:pStyle w:val="SCCNormalDoubleSpacing"/>
        <w:widowControl w:val="0"/>
        <w:spacing w:after="480"/>
        <w:rPr>
          <w:lang w:val="en-US"/>
        </w:rPr>
      </w:pPr>
      <w:r w:rsidRPr="00A97052">
        <w:tab/>
      </w:r>
      <w:r w:rsidR="0036528F" w:rsidRPr="00A97052">
        <w:rPr>
          <w:b/>
        </w:rPr>
        <w:t>Applied:</w:t>
      </w:r>
      <w:r w:rsidR="0036528F" w:rsidRPr="00A97052">
        <w:t xml:space="preserve"> </w:t>
      </w:r>
      <w:r w:rsidR="0036528F" w:rsidRPr="00A97052">
        <w:rPr>
          <w:i/>
          <w:lang w:val="en-US"/>
        </w:rPr>
        <w:t>Canadian Pacific Railway Co. v. Vancouver (City)</w:t>
      </w:r>
      <w:r w:rsidR="0036528F" w:rsidRPr="00A97052">
        <w:rPr>
          <w:lang w:val="en-US"/>
        </w:rPr>
        <w:t xml:space="preserve">, 2006 SCC 5, [2006] 1 S.C.R. 227; </w:t>
      </w:r>
      <w:r w:rsidR="0036528F" w:rsidRPr="00A97052">
        <w:rPr>
          <w:b/>
          <w:lang w:val="en-US"/>
        </w:rPr>
        <w:t>considered:</w:t>
      </w:r>
      <w:r w:rsidR="0036528F" w:rsidRPr="00A97052">
        <w:rPr>
          <w:lang w:val="en-US"/>
        </w:rPr>
        <w:t xml:space="preserve"> </w:t>
      </w:r>
      <w:r w:rsidR="0036528F" w:rsidRPr="00A97052">
        <w:rPr>
          <w:i/>
          <w:lang w:val="en-US"/>
        </w:rPr>
        <w:t>The Queen in Right of the Province of British Columbia v. Tener</w:t>
      </w:r>
      <w:r w:rsidR="0036528F" w:rsidRPr="00A97052">
        <w:rPr>
          <w:lang w:val="en-US"/>
        </w:rPr>
        <w:t xml:space="preserve">, [1985] 1 S.C.R. 533; </w:t>
      </w:r>
      <w:r w:rsidR="0036528F" w:rsidRPr="00A97052">
        <w:rPr>
          <w:i/>
        </w:rPr>
        <w:t xml:space="preserve">Mariner Real Estate Ltd. v. </w:t>
      </w:r>
      <w:r w:rsidR="0036528F" w:rsidRPr="00A97052">
        <w:rPr>
          <w:i/>
          <w:iCs/>
        </w:rPr>
        <w:t>Nova Scotia (Attorney General)</w:t>
      </w:r>
      <w:r w:rsidR="0036528F" w:rsidRPr="00A97052">
        <w:rPr>
          <w:iCs/>
        </w:rPr>
        <w:t>,</w:t>
      </w:r>
      <w:r w:rsidR="0036528F" w:rsidRPr="00A97052">
        <w:rPr>
          <w:i/>
          <w:iCs/>
        </w:rPr>
        <w:t xml:space="preserve"> </w:t>
      </w:r>
      <w:r w:rsidR="0036528F" w:rsidRPr="00A97052">
        <w:rPr>
          <w:iCs/>
        </w:rPr>
        <w:t xml:space="preserve">1999 NSCA 98, 177 D.L.R. (4th) 696; </w:t>
      </w:r>
      <w:r w:rsidR="0036528F" w:rsidRPr="00A97052">
        <w:rPr>
          <w:bCs/>
          <w:i/>
          <w:iCs/>
          <w:lang w:val="en-US"/>
        </w:rPr>
        <w:t>Lynch v. St. John’s (City)</w:t>
      </w:r>
      <w:r w:rsidR="0036528F" w:rsidRPr="00A97052">
        <w:rPr>
          <w:bCs/>
          <w:iCs/>
          <w:lang w:val="en-US"/>
        </w:rPr>
        <w:t xml:space="preserve">, 2016 NLCA 35, 400 D.L.R. (4th) 62; </w:t>
      </w:r>
      <w:r w:rsidR="0036528F" w:rsidRPr="00A97052">
        <w:rPr>
          <w:bCs/>
          <w:i/>
          <w:iCs/>
        </w:rPr>
        <w:t>Manitoba Fisheries Ltd. v. The Queen</w:t>
      </w:r>
      <w:r w:rsidR="0036528F" w:rsidRPr="00A97052">
        <w:rPr>
          <w:bCs/>
          <w:iCs/>
        </w:rPr>
        <w:t xml:space="preserve">, [1979] 1 S.C.R. 101; </w:t>
      </w:r>
      <w:r w:rsidR="0036528F" w:rsidRPr="00A97052">
        <w:rPr>
          <w:bCs/>
          <w:i/>
          <w:iCs/>
        </w:rPr>
        <w:t xml:space="preserve">Montréal (Ville) v. Benjamin </w:t>
      </w:r>
      <w:r w:rsidR="0036528F" w:rsidRPr="00A97052">
        <w:rPr>
          <w:bCs/>
          <w:iCs/>
        </w:rPr>
        <w:t xml:space="preserve">(2004), 86 L.C.R. 161; </w:t>
      </w:r>
      <w:r w:rsidR="0036528F" w:rsidRPr="00A97052">
        <w:rPr>
          <w:b/>
        </w:rPr>
        <w:t>referred to:</w:t>
      </w:r>
      <w:r w:rsidR="0036528F" w:rsidRPr="00A97052">
        <w:t xml:space="preserve"> </w:t>
      </w:r>
      <w:r w:rsidR="0036528F" w:rsidRPr="00A97052">
        <w:rPr>
          <w:i/>
          <w:lang w:val="en-US"/>
        </w:rPr>
        <w:t>Lorraine (Ville) v. 2646</w:t>
      </w:r>
      <w:r w:rsidR="0036528F" w:rsidRPr="00A97052">
        <w:rPr>
          <w:i/>
          <w:lang w:val="en-US"/>
        </w:rPr>
        <w:noBreakHyphen/>
        <w:t>8926 Québec inc.</w:t>
      </w:r>
      <w:r w:rsidR="0036528F" w:rsidRPr="00A97052">
        <w:rPr>
          <w:lang w:val="en-US"/>
        </w:rPr>
        <w:t xml:space="preserve">, 2018 SCC 35, [2018] 2 S.C.R. 577; </w:t>
      </w:r>
      <w:r w:rsidR="002C09C0" w:rsidRPr="00A97052">
        <w:rPr>
          <w:i/>
          <w:lang w:val="en-US"/>
        </w:rPr>
        <w:t>Hryniak v. Mauldin</w:t>
      </w:r>
      <w:r w:rsidR="002C09C0" w:rsidRPr="00A97052">
        <w:rPr>
          <w:lang w:val="en-US"/>
        </w:rPr>
        <w:t xml:space="preserve">, 2014 SCC 7, [2014] 1 S.C.R. 87; </w:t>
      </w:r>
      <w:r w:rsidR="002C09C0" w:rsidRPr="00A97052">
        <w:rPr>
          <w:i/>
          <w:lang w:val="en-US"/>
        </w:rPr>
        <w:t>Toronto (City) v. Ontario (Attorney General)</w:t>
      </w:r>
      <w:r w:rsidR="002C09C0" w:rsidRPr="00A97052">
        <w:rPr>
          <w:lang w:val="en-US"/>
        </w:rPr>
        <w:t xml:space="preserve">, 2021 SCC 34; </w:t>
      </w:r>
      <w:r w:rsidR="002C09C0" w:rsidRPr="00A97052">
        <w:rPr>
          <w:i/>
          <w:lang w:val="en-US"/>
        </w:rPr>
        <w:t>Compliance Coal Corporation v. British Columbia (Environmental Assessment Office)</w:t>
      </w:r>
      <w:r w:rsidR="002C09C0" w:rsidRPr="00A97052">
        <w:rPr>
          <w:lang w:val="en-US"/>
        </w:rPr>
        <w:t xml:space="preserve">, 2020 BCSC 621, 13 L.C.R. (2d) 215; </w:t>
      </w:r>
      <w:r w:rsidR="002C09C0" w:rsidRPr="00A97052">
        <w:rPr>
          <w:bCs/>
          <w:i/>
          <w:lang w:bidi="en-US"/>
        </w:rPr>
        <w:t>Sun Construction Company Limited v. Conception Bay South (Town)</w:t>
      </w:r>
      <w:r w:rsidR="002C09C0" w:rsidRPr="00A97052">
        <w:rPr>
          <w:bCs/>
          <w:lang w:bidi="en-US"/>
        </w:rPr>
        <w:t xml:space="preserve">, 2019 NLSC 102, 87 M.P.L.R. (5th) 256; </w:t>
      </w:r>
      <w:r w:rsidR="002C09C0" w:rsidRPr="00A97052">
        <w:rPr>
          <w:bCs/>
          <w:i/>
          <w:lang w:bidi="en-US"/>
        </w:rPr>
        <w:t>Genevieve Holdings Ltd. v. Kamloops (City)</w:t>
      </w:r>
      <w:r w:rsidR="002C09C0" w:rsidRPr="00A97052">
        <w:rPr>
          <w:bCs/>
          <w:lang w:bidi="en-US"/>
        </w:rPr>
        <w:t xml:space="preserve"> (1988), 42 M.P.L.R. 171; </w:t>
      </w:r>
      <w:r w:rsidR="002C09C0" w:rsidRPr="00A97052">
        <w:rPr>
          <w:bCs/>
          <w:i/>
          <w:lang w:bidi="en-US"/>
        </w:rPr>
        <w:t>Steer Holdings Ltd. v. Manitoba</w:t>
      </w:r>
      <w:r w:rsidR="002C09C0" w:rsidRPr="00A97052">
        <w:rPr>
          <w:bCs/>
          <w:lang w:bidi="en-US"/>
        </w:rPr>
        <w:t xml:space="preserve">, [1992] 2 W.W.R. 558, aff’d </w:t>
      </w:r>
      <w:r w:rsidR="007660A9" w:rsidRPr="00A97052">
        <w:rPr>
          <w:bCs/>
          <w:lang w:bidi="en-US"/>
        </w:rPr>
        <w:t>(1992), 99 D.L.R. (4th) 61</w:t>
      </w:r>
      <w:r w:rsidR="002C09C0" w:rsidRPr="00A97052">
        <w:rPr>
          <w:bCs/>
          <w:lang w:bidi="en-US"/>
        </w:rPr>
        <w:t xml:space="preserve">; </w:t>
      </w:r>
      <w:r w:rsidR="002C09C0" w:rsidRPr="00A97052">
        <w:rPr>
          <w:bCs/>
          <w:i/>
          <w:lang w:bidi="en-US"/>
        </w:rPr>
        <w:t>Purchase v. Terrace (City)</w:t>
      </w:r>
      <w:r w:rsidR="002C09C0" w:rsidRPr="00A97052">
        <w:rPr>
          <w:bCs/>
          <w:lang w:bidi="en-US"/>
        </w:rPr>
        <w:t xml:space="preserve"> (1995), 26 M.P.L.R. (2d) 126; </w:t>
      </w:r>
      <w:r w:rsidR="002C09C0" w:rsidRPr="00A97052">
        <w:rPr>
          <w:bCs/>
          <w:i/>
          <w:lang w:bidi="en-US"/>
        </w:rPr>
        <w:t xml:space="preserve">Harvard Investments Ltd. v. Winnipeg (City) </w:t>
      </w:r>
      <w:r w:rsidR="002C09C0" w:rsidRPr="00A97052">
        <w:rPr>
          <w:bCs/>
          <w:lang w:bidi="en-US"/>
        </w:rPr>
        <w:t xml:space="preserve">(1995), 129 D.L.R. (4th) 557; </w:t>
      </w:r>
      <w:r w:rsidR="002C09C0" w:rsidRPr="00A97052">
        <w:rPr>
          <w:bCs/>
          <w:i/>
          <w:lang w:bidi="en-US"/>
        </w:rPr>
        <w:t>Attorney</w:t>
      </w:r>
      <w:r w:rsidR="002C09C0" w:rsidRPr="00A97052">
        <w:rPr>
          <w:bCs/>
          <w:i/>
          <w:lang w:bidi="en-US"/>
        </w:rPr>
        <w:noBreakHyphen/>
        <w:t>General v. De Keyser’s Royal Hotel</w:t>
      </w:r>
      <w:r w:rsidR="002C09C0" w:rsidRPr="00A97052">
        <w:rPr>
          <w:bCs/>
          <w:lang w:bidi="en-US"/>
        </w:rPr>
        <w:t xml:space="preserve">, [1920] A.C. 508; </w:t>
      </w:r>
      <w:r w:rsidR="002C09C0" w:rsidRPr="00A97052">
        <w:rPr>
          <w:bCs/>
          <w:i/>
          <w:lang w:bidi="en-US"/>
        </w:rPr>
        <w:t>London and North Western Railway Co. v. Evans</w:t>
      </w:r>
      <w:r w:rsidR="002C09C0" w:rsidRPr="00A97052">
        <w:rPr>
          <w:bCs/>
          <w:lang w:bidi="en-US"/>
        </w:rPr>
        <w:t xml:space="preserve">, [1893] 1 Ch. 16; </w:t>
      </w:r>
      <w:r w:rsidR="002C09C0" w:rsidRPr="00A97052">
        <w:rPr>
          <w:bCs/>
          <w:i/>
          <w:lang w:bidi="en-US"/>
        </w:rPr>
        <w:t>Belfast Corporation v. O.D. Cars Ltd.</w:t>
      </w:r>
      <w:r w:rsidR="002C09C0" w:rsidRPr="00A97052">
        <w:rPr>
          <w:bCs/>
          <w:lang w:bidi="en-US"/>
        </w:rPr>
        <w:t xml:space="preserve">, [1960] A.C. 490; </w:t>
      </w:r>
      <w:r w:rsidR="002C09C0" w:rsidRPr="00A97052">
        <w:rPr>
          <w:bCs/>
          <w:i/>
          <w:lang w:bidi="en-US"/>
        </w:rPr>
        <w:t>Ulster Transport Authority v. James Brown &amp; Sons, Ltd.</w:t>
      </w:r>
      <w:r w:rsidR="002C09C0" w:rsidRPr="00A97052">
        <w:rPr>
          <w:bCs/>
          <w:lang w:bidi="en-US"/>
        </w:rPr>
        <w:t xml:space="preserve">, [1953] N.I. 79; </w:t>
      </w:r>
      <w:r w:rsidR="002C09C0" w:rsidRPr="00A97052">
        <w:rPr>
          <w:bCs/>
          <w:i/>
          <w:lang w:bidi="en-US"/>
        </w:rPr>
        <w:t>Farber v. Royal Trust Co.</w:t>
      </w:r>
      <w:r w:rsidR="002C09C0" w:rsidRPr="00A97052">
        <w:rPr>
          <w:bCs/>
          <w:lang w:bidi="en-US"/>
        </w:rPr>
        <w:t xml:space="preserve">, [1997] 1 S.C.R. 846; </w:t>
      </w:r>
      <w:r w:rsidR="002C09C0" w:rsidRPr="00A97052">
        <w:rPr>
          <w:bCs/>
          <w:i/>
          <w:lang w:bidi="en-US"/>
        </w:rPr>
        <w:t xml:space="preserve">C.M. Callow Inc. </w:t>
      </w:r>
      <w:r w:rsidR="002C09C0" w:rsidRPr="00A97052">
        <w:rPr>
          <w:bCs/>
          <w:i/>
          <w:iCs/>
          <w:lang w:bidi="en-US"/>
        </w:rPr>
        <w:t xml:space="preserve">v. </w:t>
      </w:r>
      <w:r w:rsidR="002C09C0" w:rsidRPr="00A97052">
        <w:rPr>
          <w:bCs/>
          <w:i/>
          <w:lang w:bidi="en-US"/>
        </w:rPr>
        <w:t>Zollinger</w:t>
      </w:r>
      <w:r w:rsidR="002C09C0" w:rsidRPr="00A97052">
        <w:rPr>
          <w:bCs/>
          <w:lang w:bidi="en-US"/>
        </w:rPr>
        <w:t xml:space="preserve">, 2020 SCC 45; </w:t>
      </w:r>
      <w:r w:rsidR="002C09C0" w:rsidRPr="00A97052">
        <w:rPr>
          <w:bCs/>
          <w:i/>
          <w:lang w:bidi="en-US"/>
        </w:rPr>
        <w:t xml:space="preserve">Ville de </w:t>
      </w:r>
      <w:proofErr w:type="spellStart"/>
      <w:r w:rsidR="002C09C0" w:rsidRPr="00A97052">
        <w:rPr>
          <w:bCs/>
          <w:i/>
          <w:lang w:bidi="en-US"/>
        </w:rPr>
        <w:t>Léry</w:t>
      </w:r>
      <w:proofErr w:type="spellEnd"/>
      <w:r w:rsidR="002C09C0" w:rsidRPr="00A97052">
        <w:rPr>
          <w:bCs/>
          <w:i/>
          <w:lang w:bidi="en-US"/>
        </w:rPr>
        <w:t xml:space="preserve"> v. Procureure générale du Québec</w:t>
      </w:r>
      <w:r w:rsidR="002C09C0" w:rsidRPr="00A97052">
        <w:rPr>
          <w:bCs/>
          <w:lang w:bidi="en-US"/>
        </w:rPr>
        <w:t xml:space="preserve">, 2019 QCCA 1375, 12 L.C.R. (2d) 132; </w:t>
      </w:r>
      <w:r w:rsidR="005723E8" w:rsidRPr="00A97052">
        <w:rPr>
          <w:bCs/>
          <w:i/>
          <w:lang w:bidi="en-US"/>
        </w:rPr>
        <w:t>Ville de La Prairie v. 9255</w:t>
      </w:r>
      <w:r w:rsidR="005723E8" w:rsidRPr="00A97052">
        <w:rPr>
          <w:bCs/>
          <w:i/>
          <w:lang w:bidi="en-US"/>
        </w:rPr>
        <w:noBreakHyphen/>
      </w:r>
      <w:r w:rsidR="002C09C0" w:rsidRPr="00A97052">
        <w:rPr>
          <w:bCs/>
          <w:i/>
          <w:lang w:bidi="en-US"/>
        </w:rPr>
        <w:t>2504 Québec inc.</w:t>
      </w:r>
      <w:r w:rsidR="002C09C0" w:rsidRPr="00A97052">
        <w:rPr>
          <w:bCs/>
          <w:lang w:bidi="en-US"/>
        </w:rPr>
        <w:t xml:space="preserve">, 2020 QCCS 307, 2020 CarswellQue 2737; </w:t>
      </w:r>
      <w:proofErr w:type="spellStart"/>
      <w:r w:rsidR="00443311" w:rsidRPr="00A97052">
        <w:rPr>
          <w:i/>
          <w:lang w:val="en-US"/>
        </w:rPr>
        <w:t>Spénard</w:t>
      </w:r>
      <w:proofErr w:type="spellEnd"/>
      <w:r w:rsidR="00443311" w:rsidRPr="00A97052">
        <w:rPr>
          <w:i/>
          <w:lang w:val="en-US"/>
        </w:rPr>
        <w:t xml:space="preserve"> v. </w:t>
      </w:r>
      <w:proofErr w:type="spellStart"/>
      <w:r w:rsidR="00443311" w:rsidRPr="00A97052">
        <w:rPr>
          <w:i/>
          <w:lang w:val="en-US"/>
        </w:rPr>
        <w:t>Salaberry</w:t>
      </w:r>
      <w:proofErr w:type="spellEnd"/>
      <w:r w:rsidR="00443311" w:rsidRPr="00A97052">
        <w:rPr>
          <w:i/>
          <w:lang w:val="en-US"/>
        </w:rPr>
        <w:noBreakHyphen/>
        <w:t>de</w:t>
      </w:r>
      <w:r w:rsidR="00443311" w:rsidRPr="00A97052">
        <w:rPr>
          <w:i/>
          <w:lang w:val="en-US"/>
        </w:rPr>
        <w:noBreakHyphen/>
      </w:r>
      <w:r w:rsidR="002C09C0" w:rsidRPr="00A97052">
        <w:rPr>
          <w:i/>
          <w:lang w:val="en-US"/>
        </w:rPr>
        <w:t>Valleyfield (Cité de)</w:t>
      </w:r>
      <w:r w:rsidR="002C09C0" w:rsidRPr="00A97052">
        <w:rPr>
          <w:lang w:val="en-US"/>
        </w:rPr>
        <w:t xml:space="preserve">, [1983] C.S. 725; </w:t>
      </w:r>
      <w:r w:rsidR="002C09C0" w:rsidRPr="00A97052">
        <w:rPr>
          <w:i/>
          <w:lang w:val="en-US"/>
        </w:rPr>
        <w:t>Dupras v. Ville de Mascouche</w:t>
      </w:r>
      <w:r w:rsidR="002C09C0" w:rsidRPr="00A97052">
        <w:rPr>
          <w:lang w:val="en-US"/>
        </w:rPr>
        <w:t>, 2022 QCCA 350</w:t>
      </w:r>
      <w:r w:rsidR="007660A9" w:rsidRPr="00A97052">
        <w:rPr>
          <w:lang w:val="en-US"/>
        </w:rPr>
        <w:t xml:space="preserve">, </w:t>
      </w:r>
      <w:r w:rsidR="005925F8" w:rsidRPr="00A97052">
        <w:rPr>
          <w:lang w:val="en-US"/>
        </w:rPr>
        <w:t>aff’d in part</w:t>
      </w:r>
      <w:r w:rsidR="007660A9" w:rsidRPr="00A97052">
        <w:rPr>
          <w:lang w:val="en-US"/>
        </w:rPr>
        <w:t xml:space="preserve"> 2020 QCCS 2538, 15 L.C.R. (2d) 262</w:t>
      </w:r>
      <w:r w:rsidR="002C09C0" w:rsidRPr="00A97052">
        <w:rPr>
          <w:lang w:val="en-US"/>
        </w:rPr>
        <w:t xml:space="preserve">; </w:t>
      </w:r>
      <w:proofErr w:type="spellStart"/>
      <w:r w:rsidR="002C09C0" w:rsidRPr="00A97052">
        <w:rPr>
          <w:i/>
          <w:lang w:val="en-US"/>
        </w:rPr>
        <w:t>Wallot</w:t>
      </w:r>
      <w:proofErr w:type="spellEnd"/>
      <w:r w:rsidR="002C09C0" w:rsidRPr="00A97052">
        <w:rPr>
          <w:i/>
          <w:lang w:val="en-US"/>
        </w:rPr>
        <w:t xml:space="preserve"> v. Québec (Ville)</w:t>
      </w:r>
      <w:r w:rsidR="002C09C0" w:rsidRPr="00A97052">
        <w:rPr>
          <w:lang w:val="en-US"/>
        </w:rPr>
        <w:t xml:space="preserve">, 2011 QCCA 1165, 24 Admin. L.R. (5th) 306; </w:t>
      </w:r>
      <w:r w:rsidR="00443311" w:rsidRPr="00A97052">
        <w:rPr>
          <w:i/>
          <w:lang w:val="en-US"/>
        </w:rPr>
        <w:t>Municipalité de Saint</w:t>
      </w:r>
      <w:r w:rsidR="00443311" w:rsidRPr="00A97052">
        <w:rPr>
          <w:i/>
          <w:lang w:val="en-US"/>
        </w:rPr>
        <w:noBreakHyphen/>
      </w:r>
      <w:r w:rsidR="002C09C0" w:rsidRPr="00A97052">
        <w:rPr>
          <w:i/>
          <w:lang w:val="en-US"/>
        </w:rPr>
        <w:t>Colomban v. Boutique de golf Gilles Gareau inc.</w:t>
      </w:r>
      <w:r w:rsidR="002C09C0" w:rsidRPr="00A97052">
        <w:rPr>
          <w:lang w:val="en-US"/>
        </w:rPr>
        <w:t xml:space="preserve">, 2019 QCCA 1402, 12 L.C.R. (2d) 313; </w:t>
      </w:r>
      <w:r w:rsidR="002C09C0" w:rsidRPr="00A97052">
        <w:rPr>
          <w:i/>
          <w:lang w:val="en-US"/>
        </w:rPr>
        <w:t>Meadowbrook Groupe Pacific inc. v. Ville de Montréal</w:t>
      </w:r>
      <w:r w:rsidR="002C09C0" w:rsidRPr="00A97052">
        <w:rPr>
          <w:lang w:val="en-US"/>
        </w:rPr>
        <w:t xml:space="preserve">, 2019 QCCA 2037, 2019 CarswellQue 12262; </w:t>
      </w:r>
      <w:r w:rsidR="002C09C0" w:rsidRPr="00A97052">
        <w:rPr>
          <w:i/>
          <w:lang w:val="en-US"/>
        </w:rPr>
        <w:t xml:space="preserve">Ville de Québec v. </w:t>
      </w:r>
      <w:proofErr w:type="spellStart"/>
      <w:r w:rsidR="002C09C0" w:rsidRPr="00A97052">
        <w:rPr>
          <w:i/>
          <w:lang w:val="en-US"/>
        </w:rPr>
        <w:t>Rivard</w:t>
      </w:r>
      <w:proofErr w:type="spellEnd"/>
      <w:r w:rsidR="002C09C0" w:rsidRPr="00A97052">
        <w:rPr>
          <w:lang w:val="en-US"/>
        </w:rPr>
        <w:t xml:space="preserve">, 2020 QCCA 146, 15 L.C.R. (2d) 242; </w:t>
      </w:r>
      <w:r w:rsidR="00443311" w:rsidRPr="00A97052">
        <w:rPr>
          <w:i/>
          <w:lang w:val="en-US"/>
        </w:rPr>
        <w:t>Ville de Saint</w:t>
      </w:r>
      <w:r w:rsidR="00443311" w:rsidRPr="00A97052">
        <w:rPr>
          <w:i/>
          <w:lang w:val="en-US"/>
        </w:rPr>
        <w:noBreakHyphen/>
      </w:r>
      <w:r w:rsidR="00CD4372" w:rsidRPr="00A97052">
        <w:rPr>
          <w:i/>
          <w:lang w:val="en-US"/>
        </w:rPr>
        <w:t>Rémi v. 9120</w:t>
      </w:r>
      <w:r w:rsidR="00CD4372" w:rsidRPr="00A97052">
        <w:rPr>
          <w:i/>
          <w:lang w:val="en-US"/>
        </w:rPr>
        <w:noBreakHyphen/>
      </w:r>
      <w:r w:rsidR="002C09C0" w:rsidRPr="00A97052">
        <w:rPr>
          <w:i/>
          <w:lang w:val="en-US"/>
        </w:rPr>
        <w:t>4883 Québec inc.</w:t>
      </w:r>
      <w:r w:rsidR="002C09C0" w:rsidRPr="00A97052">
        <w:rPr>
          <w:lang w:val="en-US"/>
        </w:rPr>
        <w:t xml:space="preserve">, 2021 QCCA 630; </w:t>
      </w:r>
      <w:r w:rsidR="002C09C0" w:rsidRPr="00A97052">
        <w:rPr>
          <w:i/>
          <w:lang w:val="en-US"/>
        </w:rPr>
        <w:t>Bhasin v. Hrynew</w:t>
      </w:r>
      <w:r w:rsidR="002C09C0" w:rsidRPr="00A97052">
        <w:rPr>
          <w:lang w:val="en-US"/>
        </w:rPr>
        <w:t>, 2014 SCC 71, [2014] 3 S.C.R. 494;</w:t>
      </w:r>
      <w:r w:rsidR="00D30147" w:rsidRPr="00A97052">
        <w:rPr>
          <w:lang w:val="en-US"/>
        </w:rPr>
        <w:t xml:space="preserve"> </w:t>
      </w:r>
      <w:r w:rsidR="00D30147" w:rsidRPr="00A97052">
        <w:rPr>
          <w:i/>
          <w:lang w:val="en-US"/>
        </w:rPr>
        <w:t>Coady v. Burton Canada Co.</w:t>
      </w:r>
      <w:r w:rsidR="00D30147" w:rsidRPr="00A97052">
        <w:rPr>
          <w:lang w:val="en-US"/>
        </w:rPr>
        <w:t xml:space="preserve">, 2013 NSCA 95, 365 D.L.R. (4th) 172; </w:t>
      </w:r>
      <w:r w:rsidR="00D30147" w:rsidRPr="00A97052">
        <w:rPr>
          <w:i/>
          <w:lang w:val="en-US"/>
        </w:rPr>
        <w:t>Shannex Inc. v. Dora Construction Ltd.</w:t>
      </w:r>
      <w:r w:rsidR="00D30147" w:rsidRPr="00A97052">
        <w:rPr>
          <w:lang w:val="en-US"/>
        </w:rPr>
        <w:t>, 2016 NSCA 89, 58 C.L.R. (4th) 1.</w:t>
      </w:r>
    </w:p>
    <w:p w14:paraId="33049E95" w14:textId="15AF33C4" w:rsidR="003C213E" w:rsidRPr="00A97052" w:rsidRDefault="003C213E" w:rsidP="00CD4372">
      <w:pPr>
        <w:pStyle w:val="SCCNormalDoubleSpacing"/>
        <w:widowControl w:val="0"/>
        <w:spacing w:after="720" w:line="240" w:lineRule="auto"/>
      </w:pPr>
      <w:r w:rsidRPr="00A97052">
        <w:t>By Kasirer and Jamal JJ.</w:t>
      </w:r>
      <w:r w:rsidR="00CA49BD" w:rsidRPr="00A97052">
        <w:t xml:space="preserve"> (</w:t>
      </w:r>
      <w:proofErr w:type="gramStart"/>
      <w:r w:rsidR="00CA49BD" w:rsidRPr="00A97052">
        <w:t>dissenting</w:t>
      </w:r>
      <w:proofErr w:type="gramEnd"/>
      <w:r w:rsidR="00CA49BD" w:rsidRPr="00A97052">
        <w:t>)</w:t>
      </w:r>
    </w:p>
    <w:p w14:paraId="2BC4ABEE" w14:textId="3838A738" w:rsidR="003C213E" w:rsidRPr="00A97052" w:rsidRDefault="003C213E" w:rsidP="00CD4372">
      <w:pPr>
        <w:pStyle w:val="SCCNormalDoubleSpacing"/>
        <w:spacing w:after="480"/>
        <w:rPr>
          <w:bCs/>
        </w:rPr>
      </w:pPr>
      <w:r w:rsidRPr="00A97052">
        <w:rPr>
          <w:i/>
          <w:lang w:val="en-US"/>
        </w:rPr>
        <w:tab/>
        <w:t>Canadian Pacific Railway Co. v. Vancouver (City)</w:t>
      </w:r>
      <w:r w:rsidRPr="00A97052">
        <w:rPr>
          <w:lang w:val="en-US"/>
        </w:rPr>
        <w:t>, 2006 SCC 5, [2006] 1 S.C.R. 227;</w:t>
      </w:r>
      <w:r w:rsidR="000F2446" w:rsidRPr="00A97052">
        <w:rPr>
          <w:lang w:val="en-US"/>
        </w:rPr>
        <w:t xml:space="preserve"> </w:t>
      </w:r>
      <w:r w:rsidR="000F2446" w:rsidRPr="00A97052">
        <w:rPr>
          <w:i/>
        </w:rPr>
        <w:t xml:space="preserve">Manitoba Fisheries </w:t>
      </w:r>
      <w:r w:rsidR="000F2446" w:rsidRPr="00A97052">
        <w:rPr>
          <w:bCs/>
          <w:i/>
        </w:rPr>
        <w:t>Ltd. v. The Queen</w:t>
      </w:r>
      <w:r w:rsidR="000F2446" w:rsidRPr="00A97052">
        <w:rPr>
          <w:bCs/>
        </w:rPr>
        <w:t xml:space="preserve">, [1979] 1 S.C.R. 101; </w:t>
      </w:r>
      <w:r w:rsidR="000F2446" w:rsidRPr="00A97052">
        <w:rPr>
          <w:i/>
        </w:rPr>
        <w:t xml:space="preserve">The </w:t>
      </w:r>
      <w:r w:rsidR="005925F8" w:rsidRPr="00A97052">
        <w:rPr>
          <w:i/>
        </w:rPr>
        <w:t>Queen in R</w:t>
      </w:r>
      <w:r w:rsidR="000F2446" w:rsidRPr="00A97052">
        <w:rPr>
          <w:i/>
        </w:rPr>
        <w:t>ight of the Province of British Columbia v. Tener</w:t>
      </w:r>
      <w:r w:rsidR="000F2446" w:rsidRPr="00A97052">
        <w:t>, [1985] 1 S.C.R. 533</w:t>
      </w:r>
      <w:r w:rsidR="000F2446" w:rsidRPr="00A97052">
        <w:rPr>
          <w:bCs/>
        </w:rPr>
        <w:t xml:space="preserve">; </w:t>
      </w:r>
      <w:r w:rsidR="000F2446" w:rsidRPr="00A97052">
        <w:rPr>
          <w:i/>
        </w:rPr>
        <w:t>Mariner</w:t>
      </w:r>
      <w:r w:rsidR="000F2446" w:rsidRPr="00A97052">
        <w:t xml:space="preserve"> </w:t>
      </w:r>
      <w:r w:rsidR="000F2446" w:rsidRPr="00A97052">
        <w:rPr>
          <w:i/>
        </w:rPr>
        <w:t>Real Estate Ltd. v. Nova Scotia (Attorney General)</w:t>
      </w:r>
      <w:r w:rsidR="000F2446" w:rsidRPr="00A97052">
        <w:t>, 1999 NSCA 98, 177 D.L.R. (4th) 696</w:t>
      </w:r>
      <w:r w:rsidR="000F2446" w:rsidRPr="00A97052">
        <w:rPr>
          <w:bCs/>
        </w:rPr>
        <w:t>;</w:t>
      </w:r>
      <w:r w:rsidRPr="00A97052">
        <w:rPr>
          <w:lang w:val="en-US"/>
        </w:rPr>
        <w:t xml:space="preserve"> </w:t>
      </w:r>
      <w:proofErr w:type="spellStart"/>
      <w:r w:rsidRPr="00A97052">
        <w:rPr>
          <w:i/>
          <w:lang w:val="en-US"/>
        </w:rPr>
        <w:t>Friedmann</w:t>
      </w:r>
      <w:proofErr w:type="spellEnd"/>
      <w:r w:rsidRPr="00A97052">
        <w:rPr>
          <w:i/>
          <w:lang w:val="en-US"/>
        </w:rPr>
        <w:t xml:space="preserve"> Equity Developments Inc. v. Final Note Ltd.</w:t>
      </w:r>
      <w:r w:rsidRPr="00A97052">
        <w:rPr>
          <w:lang w:val="en-US"/>
        </w:rPr>
        <w:t xml:space="preserve">, 2000 SCC 34, [2000] 1 S.C.R. 842; </w:t>
      </w:r>
      <w:r w:rsidRPr="00A97052">
        <w:rPr>
          <w:i/>
          <w:lang w:val="en-US"/>
        </w:rPr>
        <w:t xml:space="preserve">R. v. </w:t>
      </w:r>
      <w:proofErr w:type="spellStart"/>
      <w:r w:rsidRPr="00A97052">
        <w:rPr>
          <w:i/>
          <w:lang w:val="en-US"/>
        </w:rPr>
        <w:t>Salituro</w:t>
      </w:r>
      <w:proofErr w:type="spellEnd"/>
      <w:r w:rsidRPr="00A97052">
        <w:rPr>
          <w:lang w:val="en-US"/>
        </w:rPr>
        <w:t xml:space="preserve">, [1991] 3 S.C.R. 654; </w:t>
      </w:r>
      <w:proofErr w:type="spellStart"/>
      <w:r w:rsidRPr="00A97052">
        <w:rPr>
          <w:i/>
          <w:lang w:val="en-US"/>
        </w:rPr>
        <w:t>FortisBC</w:t>
      </w:r>
      <w:proofErr w:type="spellEnd"/>
      <w:r w:rsidRPr="00A97052">
        <w:rPr>
          <w:i/>
          <w:lang w:val="en-US"/>
        </w:rPr>
        <w:t xml:space="preserve"> Energy Inc. v. Surrey (City)</w:t>
      </w:r>
      <w:r w:rsidRPr="00A97052">
        <w:rPr>
          <w:lang w:val="en-US"/>
        </w:rPr>
        <w:t xml:space="preserve">, 2013 BCSC 2382, 112 L.C.R. 89; </w:t>
      </w:r>
      <w:r w:rsidRPr="00A97052">
        <w:rPr>
          <w:i/>
          <w:lang w:val="en-US"/>
        </w:rPr>
        <w:t>Compliance Coal Corporation v. British Columbia (Environmental Assessment Office)</w:t>
      </w:r>
      <w:r w:rsidRPr="00A97052">
        <w:rPr>
          <w:lang w:val="en-US"/>
        </w:rPr>
        <w:t xml:space="preserve">, 2020 BCSC 621, 13 L.C.R. (2d) 215; </w:t>
      </w:r>
      <w:r w:rsidRPr="00A97052">
        <w:rPr>
          <w:i/>
          <w:lang w:val="en-US"/>
        </w:rPr>
        <w:t>Genesis Land Development Corp. v. Alberta</w:t>
      </w:r>
      <w:r w:rsidRPr="00A97052">
        <w:rPr>
          <w:lang w:val="en-US"/>
        </w:rPr>
        <w:t xml:space="preserve">, 2009 ABQB 221, </w:t>
      </w:r>
      <w:r w:rsidR="00FF2D9A" w:rsidRPr="00A97052">
        <w:rPr>
          <w:lang w:val="en-US"/>
        </w:rPr>
        <w:t xml:space="preserve">471 A.R. 1, </w:t>
      </w:r>
      <w:r w:rsidRPr="00A97052">
        <w:rPr>
          <w:lang w:val="en-US"/>
        </w:rPr>
        <w:t>aff’d 2010 ABCA 148</w:t>
      </w:r>
      <w:r w:rsidR="00FF2D9A" w:rsidRPr="00A97052">
        <w:rPr>
          <w:lang w:val="en-US"/>
        </w:rPr>
        <w:t>, 477 A.R. 390</w:t>
      </w:r>
      <w:r w:rsidRPr="00A97052">
        <w:rPr>
          <w:lang w:val="en-US"/>
        </w:rPr>
        <w:t xml:space="preserve">; </w:t>
      </w:r>
      <w:proofErr w:type="spellStart"/>
      <w:r w:rsidRPr="00A97052">
        <w:rPr>
          <w:i/>
          <w:lang w:val="en-US"/>
        </w:rPr>
        <w:t>Kalmring</w:t>
      </w:r>
      <w:proofErr w:type="spellEnd"/>
      <w:r w:rsidRPr="00A97052">
        <w:rPr>
          <w:i/>
          <w:lang w:val="en-US"/>
        </w:rPr>
        <w:t xml:space="preserve"> v. Alberta</w:t>
      </w:r>
      <w:r w:rsidRPr="00A97052">
        <w:rPr>
          <w:lang w:val="en-US"/>
        </w:rPr>
        <w:t xml:space="preserve">, 2020 ABQB 81, 11 Alta. L.R. (7th) 177; </w:t>
      </w:r>
      <w:proofErr w:type="spellStart"/>
      <w:r w:rsidRPr="00A97052">
        <w:rPr>
          <w:i/>
          <w:lang w:val="en-US"/>
        </w:rPr>
        <w:t>Altius</w:t>
      </w:r>
      <w:proofErr w:type="spellEnd"/>
      <w:r w:rsidRPr="00A97052">
        <w:rPr>
          <w:i/>
          <w:lang w:val="en-US"/>
        </w:rPr>
        <w:t xml:space="preserve"> Royalty Corporation v. Alberta</w:t>
      </w:r>
      <w:r w:rsidRPr="00A97052">
        <w:rPr>
          <w:lang w:val="en-US"/>
        </w:rPr>
        <w:t xml:space="preserve">, 2021 ABQB 3, 23 Alta. L.R. (7th) 105, aff’d 2022 ABQB 255; </w:t>
      </w:r>
      <w:r w:rsidRPr="00A97052">
        <w:rPr>
          <w:i/>
          <w:lang w:val="en-US"/>
        </w:rPr>
        <w:t>Club Pro Adult Entertainment Inc. v. Ontario</w:t>
      </w:r>
      <w:r w:rsidRPr="00A97052">
        <w:rPr>
          <w:lang w:val="en-US"/>
        </w:rPr>
        <w:t xml:space="preserve"> (2006), 27 B.L.R. (4th) 227, </w:t>
      </w:r>
      <w:proofErr w:type="spellStart"/>
      <w:r w:rsidRPr="00A97052">
        <w:rPr>
          <w:lang w:val="en-US"/>
        </w:rPr>
        <w:t>rev’d</w:t>
      </w:r>
      <w:proofErr w:type="spellEnd"/>
      <w:r w:rsidRPr="00A97052">
        <w:rPr>
          <w:lang w:val="en-US"/>
        </w:rPr>
        <w:t xml:space="preserve"> in part 2008 ONCA 158, 42 B.L.R. (4th) 47; </w:t>
      </w:r>
      <w:proofErr w:type="spellStart"/>
      <w:r w:rsidRPr="00A97052">
        <w:rPr>
          <w:i/>
          <w:lang w:val="en-US"/>
        </w:rPr>
        <w:t>Railink</w:t>
      </w:r>
      <w:proofErr w:type="spellEnd"/>
      <w:r w:rsidRPr="00A97052">
        <w:rPr>
          <w:i/>
          <w:lang w:val="en-US"/>
        </w:rPr>
        <w:t xml:space="preserve"> Canada Ltd. v. Ontario</w:t>
      </w:r>
      <w:r w:rsidRPr="00A97052">
        <w:rPr>
          <w:lang w:val="en-US"/>
        </w:rPr>
        <w:t xml:space="preserve"> (2007), 95 L.C.R. 17; </w:t>
      </w:r>
      <w:r w:rsidRPr="00A97052">
        <w:rPr>
          <w:i/>
          <w:lang w:val="en-US"/>
        </w:rPr>
        <w:t>Taylor v. Dairy Farmers of Nova Scotia</w:t>
      </w:r>
      <w:r w:rsidRPr="00A97052">
        <w:rPr>
          <w:lang w:val="en-US"/>
        </w:rPr>
        <w:t xml:space="preserve">, 2010 NSSC 436, 298 N.S.R. (2d) 116, aff’d 2012 NSCA 1, 311 N.S.R. (2d) 300; </w:t>
      </w:r>
      <w:r w:rsidRPr="00A97052">
        <w:rPr>
          <w:i/>
          <w:lang w:val="en-US"/>
        </w:rPr>
        <w:t>Lynch v. St. John’s (City)</w:t>
      </w:r>
      <w:r w:rsidRPr="00A97052">
        <w:rPr>
          <w:lang w:val="en-US"/>
        </w:rPr>
        <w:t xml:space="preserve">, 2016 NLCA 35, 400 D.L.R. (4th) 62; </w:t>
      </w:r>
      <w:r w:rsidRPr="00A97052">
        <w:rPr>
          <w:i/>
          <w:lang w:val="en-US"/>
        </w:rPr>
        <w:t>Sun Construction Company Limited v. Conception Bay South (Town)</w:t>
      </w:r>
      <w:r w:rsidRPr="00A97052">
        <w:rPr>
          <w:lang w:val="en-US"/>
        </w:rPr>
        <w:t xml:space="preserve">, 2019 NLSC 102, 87 M.P.L.R. (5th) 256; </w:t>
      </w:r>
      <w:r w:rsidRPr="00A97052">
        <w:rPr>
          <w:i/>
          <w:lang w:val="en-US"/>
        </w:rPr>
        <w:t>Gosse v. Conception Bay South (Town)</w:t>
      </w:r>
      <w:r w:rsidRPr="00A97052">
        <w:rPr>
          <w:lang w:val="en-US"/>
        </w:rPr>
        <w:t xml:space="preserve">, 2021 NLCA 23, 16 L.C.R. (2d) 123; </w:t>
      </w:r>
      <w:r w:rsidRPr="00A97052">
        <w:rPr>
          <w:i/>
          <w:lang w:val="en-US"/>
        </w:rPr>
        <w:t>KMK Properties Inc. v. St. John’s (City)</w:t>
      </w:r>
      <w:r w:rsidRPr="00A97052">
        <w:rPr>
          <w:lang w:val="en-US"/>
        </w:rPr>
        <w:t xml:space="preserve">, 2021 NLSC 122, 19 M.P.L.R. (6th) 150; </w:t>
      </w:r>
      <w:r w:rsidRPr="00A97052">
        <w:rPr>
          <w:i/>
          <w:lang w:val="en-US"/>
        </w:rPr>
        <w:t>Dennis v. Canada</w:t>
      </w:r>
      <w:r w:rsidRPr="00A97052">
        <w:rPr>
          <w:lang w:val="en-US"/>
        </w:rPr>
        <w:t xml:space="preserve">, 2013 FC 1197, 114 L.C.R. 1, aff’d 2014 FCA 232; </w:t>
      </w:r>
      <w:proofErr w:type="spellStart"/>
      <w:r w:rsidRPr="00A97052">
        <w:rPr>
          <w:i/>
          <w:lang w:val="en-US"/>
        </w:rPr>
        <w:t>Calwell</w:t>
      </w:r>
      <w:proofErr w:type="spellEnd"/>
      <w:r w:rsidRPr="00A97052">
        <w:rPr>
          <w:i/>
          <w:lang w:val="en-US"/>
        </w:rPr>
        <w:t xml:space="preserve"> Fishing Ltd. v. Canada</w:t>
      </w:r>
      <w:r w:rsidRPr="00A97052">
        <w:rPr>
          <w:lang w:val="en-US"/>
        </w:rPr>
        <w:t xml:space="preserve">, 2016 FC 312; </w:t>
      </w:r>
      <w:r w:rsidRPr="00A97052">
        <w:rPr>
          <w:i/>
          <w:lang w:val="en-US"/>
        </w:rPr>
        <w:t>Anglehart v. Canada</w:t>
      </w:r>
      <w:r w:rsidRPr="00A97052">
        <w:rPr>
          <w:lang w:val="en-US"/>
        </w:rPr>
        <w:t xml:space="preserve">, 2016 FC 1159, [2017] 2 F.C.R. 74, aff’d 2018 FCA 115, [2019] 1 F.C.R. 504; </w:t>
      </w:r>
      <w:r w:rsidRPr="00A97052">
        <w:rPr>
          <w:i/>
          <w:lang w:val="en-US"/>
        </w:rPr>
        <w:t>Northern Cross (Yukon) Ltd. v. Yukon (Energy, Mines and Resources)</w:t>
      </w:r>
      <w:r w:rsidRPr="00A97052">
        <w:rPr>
          <w:lang w:val="en-US"/>
        </w:rPr>
        <w:t xml:space="preserve">, 2021 YKSC 3, 16 L.C.R. (2d) 1, </w:t>
      </w:r>
      <w:proofErr w:type="spellStart"/>
      <w:r w:rsidRPr="00A97052">
        <w:rPr>
          <w:lang w:val="en-US"/>
        </w:rPr>
        <w:t>rev’d</w:t>
      </w:r>
      <w:proofErr w:type="spellEnd"/>
      <w:r w:rsidRPr="00A97052">
        <w:rPr>
          <w:lang w:val="en-US"/>
        </w:rPr>
        <w:t xml:space="preserve"> in part 2021 YKCA 6, 79 C.C.L.T. (4th) 179; </w:t>
      </w:r>
      <w:r w:rsidRPr="00A97052">
        <w:rPr>
          <w:bCs/>
          <w:i/>
          <w:lang w:val="en-US"/>
        </w:rPr>
        <w:t xml:space="preserve">Catalyst Paper Corp. </w:t>
      </w:r>
      <w:r w:rsidRPr="00A97052">
        <w:rPr>
          <w:bCs/>
          <w:i/>
          <w:iCs/>
          <w:lang w:val="en-US"/>
        </w:rPr>
        <w:t xml:space="preserve">v. </w:t>
      </w:r>
      <w:r w:rsidRPr="00A97052">
        <w:rPr>
          <w:bCs/>
          <w:i/>
          <w:lang w:val="en-US"/>
        </w:rPr>
        <w:t>North Cowichan (District)</w:t>
      </w:r>
      <w:r w:rsidRPr="00A97052">
        <w:rPr>
          <w:bCs/>
          <w:lang w:val="en-US"/>
        </w:rPr>
        <w:t xml:space="preserve">, 2012 SCC 2, [2012] 1 S.C.R. 5; </w:t>
      </w:r>
      <w:r w:rsidRPr="00A97052">
        <w:rPr>
          <w:bCs/>
          <w:i/>
          <w:lang w:bidi="en-US"/>
        </w:rPr>
        <w:t>Ulster Transport Authority v. James Brown &amp; Sons, Ltd.</w:t>
      </w:r>
      <w:r w:rsidRPr="00A97052">
        <w:rPr>
          <w:bCs/>
          <w:lang w:bidi="en-US"/>
        </w:rPr>
        <w:t xml:space="preserve">, [1953] N.I. 79; </w:t>
      </w:r>
      <w:r w:rsidR="005925F8" w:rsidRPr="00A97052">
        <w:rPr>
          <w:bCs/>
          <w:i/>
          <w:lang w:val="en-US" w:bidi="en-US"/>
        </w:rPr>
        <w:t>Montréal (Ville) v. Benjamin</w:t>
      </w:r>
      <w:r w:rsidR="00944778" w:rsidRPr="00A97052">
        <w:rPr>
          <w:bCs/>
          <w:i/>
          <w:lang w:bidi="en-US"/>
        </w:rPr>
        <w:t xml:space="preserve"> </w:t>
      </w:r>
      <w:r w:rsidR="00944778" w:rsidRPr="00A97052">
        <w:rPr>
          <w:bCs/>
          <w:lang w:bidi="en-US"/>
        </w:rPr>
        <w:t xml:space="preserve">(2004), 86 L.C.R. 161; </w:t>
      </w:r>
      <w:r w:rsidR="00CD4372" w:rsidRPr="00A97052">
        <w:rPr>
          <w:i/>
          <w:lang w:val="en-US"/>
        </w:rPr>
        <w:t>Lorraine (Ville) v. 2646</w:t>
      </w:r>
      <w:r w:rsidR="00CD4372" w:rsidRPr="00A97052">
        <w:rPr>
          <w:i/>
          <w:lang w:val="en-US"/>
        </w:rPr>
        <w:noBreakHyphen/>
      </w:r>
      <w:r w:rsidRPr="00A97052">
        <w:rPr>
          <w:i/>
          <w:lang w:val="en-US"/>
        </w:rPr>
        <w:t>8926 Québec inc.</w:t>
      </w:r>
      <w:r w:rsidRPr="00A97052">
        <w:rPr>
          <w:lang w:val="en-US"/>
        </w:rPr>
        <w:t xml:space="preserve">, 2018 SCC 35, [2018] 2 S.C.R. 577, rev’g 2016 QCCA 1803, 2 L.C.R. (2d) 299; </w:t>
      </w:r>
      <w:proofErr w:type="spellStart"/>
      <w:r w:rsidRPr="00A97052">
        <w:rPr>
          <w:i/>
          <w:lang w:val="en-US"/>
        </w:rPr>
        <w:t>Pilleni</w:t>
      </w:r>
      <w:r w:rsidR="00CD4372" w:rsidRPr="00A97052">
        <w:rPr>
          <w:i/>
          <w:lang w:val="en-US"/>
        </w:rPr>
        <w:t>ère</w:t>
      </w:r>
      <w:proofErr w:type="spellEnd"/>
      <w:r w:rsidR="00CD4372" w:rsidRPr="00A97052">
        <w:rPr>
          <w:i/>
          <w:lang w:val="en-US"/>
        </w:rPr>
        <w:t xml:space="preserve">, </w:t>
      </w:r>
      <w:proofErr w:type="spellStart"/>
      <w:r w:rsidR="00CD4372" w:rsidRPr="00A97052">
        <w:rPr>
          <w:i/>
          <w:lang w:val="en-US"/>
        </w:rPr>
        <w:t>Simoneau</w:t>
      </w:r>
      <w:proofErr w:type="spellEnd"/>
      <w:r w:rsidR="00CD4372" w:rsidRPr="00A97052">
        <w:rPr>
          <w:i/>
          <w:lang w:val="en-US"/>
        </w:rPr>
        <w:t xml:space="preserve"> v. Ville de Saint</w:t>
      </w:r>
      <w:r w:rsidR="00CD4372" w:rsidRPr="00A97052">
        <w:rPr>
          <w:i/>
          <w:lang w:val="en-US"/>
        </w:rPr>
        <w:noBreakHyphen/>
        <w:t>Bruno</w:t>
      </w:r>
      <w:r w:rsidR="00CD4372" w:rsidRPr="00A97052">
        <w:rPr>
          <w:i/>
          <w:lang w:val="en-US"/>
        </w:rPr>
        <w:noBreakHyphen/>
        <w:t>de</w:t>
      </w:r>
      <w:r w:rsidR="00CD4372" w:rsidRPr="00A97052">
        <w:rPr>
          <w:i/>
          <w:lang w:val="en-US"/>
        </w:rPr>
        <w:noBreakHyphen/>
      </w:r>
      <w:r w:rsidRPr="00A97052">
        <w:rPr>
          <w:i/>
          <w:lang w:val="en-US"/>
        </w:rPr>
        <w:t>Montarville</w:t>
      </w:r>
      <w:r w:rsidRPr="00A97052">
        <w:rPr>
          <w:lang w:val="en-US"/>
        </w:rPr>
        <w:t xml:space="preserve">, 2021 QCCS 4031, 19 M.P.L.R. (6th) 275; </w:t>
      </w:r>
      <w:r w:rsidRPr="00A97052">
        <w:rPr>
          <w:i/>
          <w:lang w:val="en-US"/>
        </w:rPr>
        <w:t>Dupras v. Ville de Mascouche</w:t>
      </w:r>
      <w:r w:rsidRPr="00A97052">
        <w:rPr>
          <w:lang w:val="en-US"/>
        </w:rPr>
        <w:t xml:space="preserve">, 2022 QCCA 350; </w:t>
      </w:r>
      <w:r w:rsidRPr="00A97052">
        <w:rPr>
          <w:i/>
          <w:lang w:val="en-US"/>
        </w:rPr>
        <w:t xml:space="preserve">Ville de </w:t>
      </w:r>
      <w:proofErr w:type="spellStart"/>
      <w:r w:rsidRPr="00A97052">
        <w:rPr>
          <w:i/>
          <w:lang w:val="en-US"/>
        </w:rPr>
        <w:t>Léry</w:t>
      </w:r>
      <w:proofErr w:type="spellEnd"/>
      <w:r w:rsidRPr="00A97052">
        <w:rPr>
          <w:i/>
          <w:lang w:val="en-US"/>
        </w:rPr>
        <w:t xml:space="preserve"> v. Procureure générale du Québec</w:t>
      </w:r>
      <w:r w:rsidRPr="00A97052">
        <w:rPr>
          <w:lang w:val="en-US"/>
        </w:rPr>
        <w:t xml:space="preserve">, 2019 QCCA 1375, 12 L.C.R. (2d) 132; </w:t>
      </w:r>
      <w:proofErr w:type="spellStart"/>
      <w:r w:rsidRPr="00A97052">
        <w:rPr>
          <w:i/>
          <w:lang w:val="en-US"/>
        </w:rPr>
        <w:t>Wallot</w:t>
      </w:r>
      <w:proofErr w:type="spellEnd"/>
      <w:r w:rsidRPr="00A97052">
        <w:rPr>
          <w:i/>
          <w:lang w:val="en-US"/>
        </w:rPr>
        <w:t xml:space="preserve"> v. Québec (Ville)</w:t>
      </w:r>
      <w:r w:rsidRPr="00A97052">
        <w:rPr>
          <w:lang w:val="en-US"/>
        </w:rPr>
        <w:t xml:space="preserve">, 2011 QCCA 1165, 24 Admin. L.R. (5th) 306; </w:t>
      </w:r>
      <w:r w:rsidR="00CD4372" w:rsidRPr="00A97052">
        <w:rPr>
          <w:i/>
          <w:lang w:val="en-US"/>
        </w:rPr>
        <w:t>Municipalité de Saint</w:t>
      </w:r>
      <w:r w:rsidR="00CD4372" w:rsidRPr="00A97052">
        <w:rPr>
          <w:i/>
          <w:lang w:val="en-US"/>
        </w:rPr>
        <w:noBreakHyphen/>
      </w:r>
      <w:r w:rsidRPr="00A97052">
        <w:rPr>
          <w:i/>
          <w:lang w:val="en-US"/>
        </w:rPr>
        <w:t>Colomban v. Boutique de golf Gilles Gareau inc.</w:t>
      </w:r>
      <w:r w:rsidRPr="00A97052">
        <w:rPr>
          <w:lang w:val="en-US"/>
        </w:rPr>
        <w:t xml:space="preserve">, 2019 QCCA 1402, 12 L.C.R. (2d) 313; </w:t>
      </w:r>
      <w:r w:rsidRPr="00A97052">
        <w:rPr>
          <w:i/>
          <w:lang w:val="en-US"/>
        </w:rPr>
        <w:t>Meadowbrook Groupe Pacific inc. v. Ville de Montréal</w:t>
      </w:r>
      <w:r w:rsidRPr="00A97052">
        <w:rPr>
          <w:lang w:val="en-US"/>
        </w:rPr>
        <w:t>, 2019 QCCA 2</w:t>
      </w:r>
      <w:r w:rsidR="00944778" w:rsidRPr="00A97052">
        <w:rPr>
          <w:lang w:val="en-US"/>
        </w:rPr>
        <w:t>037, 2019 CarswellQue 12262</w:t>
      </w:r>
      <w:r w:rsidRPr="00A97052">
        <w:rPr>
          <w:lang w:val="en-US"/>
        </w:rPr>
        <w:t xml:space="preserve">; </w:t>
      </w:r>
      <w:r w:rsidRPr="00A97052">
        <w:rPr>
          <w:i/>
          <w:lang w:val="en-US"/>
        </w:rPr>
        <w:t>Ressources Strateco inc. v. Procureure générale du Québec</w:t>
      </w:r>
      <w:r w:rsidRPr="00A97052">
        <w:rPr>
          <w:lang w:val="en-US"/>
        </w:rPr>
        <w:t xml:space="preserve">, 2020 QCCA 18, 32 C.E.L.R. (4th) 231; </w:t>
      </w:r>
      <w:r w:rsidRPr="00A97052">
        <w:rPr>
          <w:i/>
          <w:lang w:val="en-US"/>
        </w:rPr>
        <w:t xml:space="preserve">Ville de Québec v. </w:t>
      </w:r>
      <w:proofErr w:type="spellStart"/>
      <w:r w:rsidRPr="00A97052">
        <w:rPr>
          <w:i/>
          <w:lang w:val="en-US"/>
        </w:rPr>
        <w:t>Rivard</w:t>
      </w:r>
      <w:proofErr w:type="spellEnd"/>
      <w:r w:rsidRPr="00A97052">
        <w:rPr>
          <w:lang w:val="en-US"/>
        </w:rPr>
        <w:t xml:space="preserve">, 2020 QCCA 146, 15 L.C.R. (2d) 242; </w:t>
      </w:r>
      <w:r w:rsidR="00CD4372" w:rsidRPr="00A97052">
        <w:rPr>
          <w:i/>
          <w:lang w:val="en-US"/>
        </w:rPr>
        <w:t>Ville de Saint</w:t>
      </w:r>
      <w:r w:rsidR="00CD4372" w:rsidRPr="00A97052">
        <w:rPr>
          <w:i/>
          <w:lang w:val="en-US"/>
        </w:rPr>
        <w:noBreakHyphen/>
        <w:t>Rémi v. 9120</w:t>
      </w:r>
      <w:r w:rsidR="00CD4372" w:rsidRPr="00A97052">
        <w:rPr>
          <w:i/>
          <w:lang w:val="en-US"/>
        </w:rPr>
        <w:noBreakHyphen/>
      </w:r>
      <w:r w:rsidRPr="00A97052">
        <w:rPr>
          <w:i/>
          <w:lang w:val="en-US"/>
        </w:rPr>
        <w:t>4883 Québec inc.</w:t>
      </w:r>
      <w:r w:rsidRPr="00A97052">
        <w:rPr>
          <w:lang w:val="en-US"/>
        </w:rPr>
        <w:t xml:space="preserve">, 2021 QCCA 630; </w:t>
      </w:r>
      <w:r w:rsidRPr="00A97052">
        <w:rPr>
          <w:i/>
          <w:lang w:val="en-US"/>
        </w:rPr>
        <w:t>Hryniak v. Mauldin</w:t>
      </w:r>
      <w:r w:rsidRPr="00A97052">
        <w:rPr>
          <w:lang w:val="en-US"/>
        </w:rPr>
        <w:t xml:space="preserve">, 2014 SCC 7, [2014] 1 S.C.R. 87; </w:t>
      </w:r>
      <w:r w:rsidRPr="00A97052">
        <w:rPr>
          <w:i/>
          <w:lang w:val="en-US"/>
        </w:rPr>
        <w:t>Shannex Inc. v. Dora Construction Ltd.</w:t>
      </w:r>
      <w:r w:rsidRPr="00A97052">
        <w:rPr>
          <w:lang w:val="en-US"/>
        </w:rPr>
        <w:t xml:space="preserve">, 2016 NSCA 89, 58 C.L.R. (4th) 1; </w:t>
      </w:r>
      <w:r w:rsidRPr="00A97052">
        <w:rPr>
          <w:i/>
          <w:lang w:val="en-US"/>
        </w:rPr>
        <w:t>R. v. Imperial Tobacco Canada Ltd.</w:t>
      </w:r>
      <w:r w:rsidRPr="00A97052">
        <w:rPr>
          <w:lang w:val="en-US"/>
        </w:rPr>
        <w:t xml:space="preserve">, 2011 SCC 42, [2011] 3 S.C.R. 45; </w:t>
      </w:r>
      <w:r w:rsidRPr="00A97052">
        <w:rPr>
          <w:i/>
          <w:lang w:val="en-US"/>
        </w:rPr>
        <w:t>Warman v. Law Society of Alberta</w:t>
      </w:r>
      <w:r w:rsidRPr="00A97052">
        <w:rPr>
          <w:lang w:val="en-US"/>
        </w:rPr>
        <w:t xml:space="preserve">, 2015 ABCA 368, 609 A.R. 83; </w:t>
      </w:r>
      <w:r w:rsidR="00CD4372" w:rsidRPr="00A97052">
        <w:rPr>
          <w:i/>
          <w:lang w:val="en-US"/>
        </w:rPr>
        <w:t>Condominium Corp. No. </w:t>
      </w:r>
      <w:r w:rsidRPr="00A97052">
        <w:rPr>
          <w:i/>
          <w:lang w:val="en-US"/>
        </w:rPr>
        <w:t>0321365 v. Cuthbert</w:t>
      </w:r>
      <w:r w:rsidRPr="00A97052">
        <w:rPr>
          <w:lang w:val="en-US"/>
        </w:rPr>
        <w:t xml:space="preserve">, 2016 ABCA 46, 612 A.R. 284; </w:t>
      </w:r>
      <w:proofErr w:type="spellStart"/>
      <w:r w:rsidRPr="00A97052">
        <w:rPr>
          <w:i/>
          <w:lang w:val="en-US"/>
        </w:rPr>
        <w:t>Rudichuk</w:t>
      </w:r>
      <w:proofErr w:type="spellEnd"/>
      <w:r w:rsidRPr="00A97052">
        <w:rPr>
          <w:i/>
          <w:lang w:val="en-US"/>
        </w:rPr>
        <w:t xml:space="preserve"> v. Genesis Land Development Corp.</w:t>
      </w:r>
      <w:r w:rsidRPr="00A97052">
        <w:rPr>
          <w:lang w:val="en-US"/>
        </w:rPr>
        <w:t xml:space="preserve">, 2020 ABCA 42, 98 Alta. L.R. (6th) 339; </w:t>
      </w:r>
      <w:r w:rsidRPr="00A97052">
        <w:rPr>
          <w:i/>
          <w:lang w:val="en-US"/>
        </w:rPr>
        <w:t>Wallbridge v. Brunning</w:t>
      </w:r>
      <w:r w:rsidRPr="00A97052">
        <w:rPr>
          <w:lang w:val="en-US"/>
        </w:rPr>
        <w:t>, 2018 ONCA 363, 422 D.L.R. (4th) 305.</w:t>
      </w:r>
    </w:p>
    <w:p w14:paraId="43114BD5" w14:textId="77777777" w:rsidR="003B215F" w:rsidRPr="00A97052" w:rsidRDefault="002E6705" w:rsidP="00CD4372">
      <w:pPr>
        <w:pStyle w:val="SCCNormalDoubleSpacing"/>
        <w:spacing w:after="720" w:line="240" w:lineRule="auto"/>
      </w:pPr>
      <w:r w:rsidRPr="00A97052">
        <w:rPr>
          <w:b/>
        </w:rPr>
        <w:t>Statutes and Regulations Cite</w:t>
      </w:r>
      <w:r w:rsidR="00A41805" w:rsidRPr="00A97052">
        <w:rPr>
          <w:b/>
        </w:rPr>
        <w:t>d</w:t>
      </w:r>
    </w:p>
    <w:p w14:paraId="02D71B05" w14:textId="77777777" w:rsidR="00A149DF" w:rsidRPr="00A97052" w:rsidRDefault="00D30147" w:rsidP="00CD4372">
      <w:pPr>
        <w:pStyle w:val="SCCNormalDoubleSpacing"/>
        <w:spacing w:after="240" w:line="240" w:lineRule="auto"/>
        <w:ind w:left="547" w:hanging="547"/>
        <w:rPr>
          <w:lang w:val="en-US"/>
        </w:rPr>
      </w:pPr>
      <w:r w:rsidRPr="00A97052">
        <w:rPr>
          <w:i/>
          <w:lang w:val="en-US"/>
        </w:rPr>
        <w:t>Canadian Charter of Rights and Freedoms</w:t>
      </w:r>
      <w:r w:rsidRPr="00A97052">
        <w:rPr>
          <w:lang w:val="en-US"/>
        </w:rPr>
        <w:t>, s. 26.</w:t>
      </w:r>
    </w:p>
    <w:p w14:paraId="1A286838" w14:textId="6DBF5E70" w:rsidR="00D30147" w:rsidRPr="00A97052" w:rsidRDefault="00D30147" w:rsidP="00CD4372">
      <w:pPr>
        <w:pStyle w:val="SCCNormalDoubleSpacing"/>
        <w:spacing w:after="240" w:line="240" w:lineRule="auto"/>
        <w:ind w:left="547" w:hanging="547"/>
        <w:rPr>
          <w:lang w:val="en-US"/>
        </w:rPr>
      </w:pPr>
      <w:r w:rsidRPr="00A97052">
        <w:rPr>
          <w:i/>
          <w:iCs/>
          <w:lang w:val="en-US"/>
        </w:rPr>
        <w:t>Civil Code of Québec</w:t>
      </w:r>
      <w:r w:rsidR="00CD4372" w:rsidRPr="00A97052">
        <w:rPr>
          <w:lang w:val="en-US"/>
        </w:rPr>
        <w:t>, art. </w:t>
      </w:r>
      <w:r w:rsidRPr="00A97052">
        <w:rPr>
          <w:lang w:val="en-US"/>
        </w:rPr>
        <w:t>952.</w:t>
      </w:r>
    </w:p>
    <w:p w14:paraId="0D1CC64C" w14:textId="7383132A" w:rsidR="00D30147" w:rsidRPr="00A97052" w:rsidRDefault="00D30147" w:rsidP="00CD4372">
      <w:pPr>
        <w:pStyle w:val="SCCNormalDoubleSpacing"/>
        <w:spacing w:after="240" w:line="240" w:lineRule="auto"/>
        <w:ind w:left="547" w:hanging="547"/>
        <w:rPr>
          <w:iCs/>
          <w:lang w:val="en-US"/>
        </w:rPr>
      </w:pPr>
      <w:r w:rsidRPr="00A97052">
        <w:rPr>
          <w:i/>
          <w:iCs/>
          <w:lang w:val="en-US"/>
        </w:rPr>
        <w:t>Expropriation Act</w:t>
      </w:r>
      <w:r w:rsidR="00CD4372" w:rsidRPr="00A97052">
        <w:rPr>
          <w:iCs/>
          <w:lang w:val="en-US"/>
        </w:rPr>
        <w:t xml:space="preserve">, R.S.N.S. </w:t>
      </w:r>
      <w:r w:rsidRPr="00A97052">
        <w:rPr>
          <w:iCs/>
          <w:lang w:val="en-US"/>
        </w:rPr>
        <w:t>1989, c. 156, ss. 6, 24.</w:t>
      </w:r>
    </w:p>
    <w:p w14:paraId="493F5754" w14:textId="77777777" w:rsidR="00D30147" w:rsidRPr="00A97052" w:rsidRDefault="00D30147" w:rsidP="00CD4372">
      <w:pPr>
        <w:pStyle w:val="SCCNormalDoubleSpacing"/>
        <w:spacing w:after="240" w:line="240" w:lineRule="auto"/>
        <w:ind w:left="547" w:hanging="547"/>
        <w:rPr>
          <w:lang w:val="en-US" w:bidi="en-US"/>
        </w:rPr>
      </w:pPr>
      <w:r w:rsidRPr="00A97052">
        <w:rPr>
          <w:i/>
          <w:lang w:val="en-US" w:bidi="en-US"/>
        </w:rPr>
        <w:t>Halifax Mainland Land Use By</w:t>
      </w:r>
      <w:r w:rsidRPr="00A97052">
        <w:rPr>
          <w:i/>
          <w:lang w:val="en-US" w:bidi="en-US"/>
        </w:rPr>
        <w:noBreakHyphen/>
        <w:t>Law</w:t>
      </w:r>
      <w:r w:rsidRPr="00A97052">
        <w:rPr>
          <w:lang w:val="en-US" w:bidi="en-US"/>
        </w:rPr>
        <w:t>.</w:t>
      </w:r>
    </w:p>
    <w:p w14:paraId="69FF8771" w14:textId="6DD57CFF" w:rsidR="00D30147" w:rsidRPr="00A97052" w:rsidRDefault="00D30147" w:rsidP="00CD4372">
      <w:pPr>
        <w:pStyle w:val="SCCNormalDoubleSpacing"/>
        <w:spacing w:after="240" w:line="240" w:lineRule="auto"/>
        <w:ind w:left="547" w:hanging="547"/>
        <w:rPr>
          <w:iCs/>
          <w:lang w:val="en-US"/>
        </w:rPr>
      </w:pPr>
      <w:r w:rsidRPr="00A97052">
        <w:rPr>
          <w:i/>
          <w:iCs/>
          <w:lang w:val="en-US"/>
        </w:rPr>
        <w:t>Halifax Regional Municipality Charter</w:t>
      </w:r>
      <w:r w:rsidR="00CD4372" w:rsidRPr="00A97052">
        <w:rPr>
          <w:iCs/>
          <w:lang w:val="en-US"/>
        </w:rPr>
        <w:t xml:space="preserve">, S.N.S. </w:t>
      </w:r>
      <w:r w:rsidRPr="00A97052">
        <w:rPr>
          <w:iCs/>
          <w:lang w:val="en-US"/>
        </w:rPr>
        <w:t xml:space="preserve">2008, c. 39, ss. 65, </w:t>
      </w:r>
      <w:r w:rsidR="003C213E" w:rsidRPr="00A97052">
        <w:rPr>
          <w:iCs/>
          <w:lang w:val="en-US"/>
        </w:rPr>
        <w:t xml:space="preserve">227 to 229, 232(2), </w:t>
      </w:r>
      <w:r w:rsidRPr="00A97052">
        <w:rPr>
          <w:iCs/>
          <w:lang w:val="en-US"/>
        </w:rPr>
        <w:t>237.</w:t>
      </w:r>
    </w:p>
    <w:p w14:paraId="1A1BC0E2" w14:textId="6F025CF5" w:rsidR="00BB0EB2" w:rsidRPr="00A97052" w:rsidRDefault="00BB0EB2" w:rsidP="00CD4372">
      <w:pPr>
        <w:pStyle w:val="SCCNormalDoubleSpacing"/>
        <w:spacing w:after="240" w:line="240" w:lineRule="auto"/>
        <w:ind w:left="547" w:hanging="547"/>
        <w:rPr>
          <w:iCs/>
          <w:lang w:val="en-US"/>
        </w:rPr>
      </w:pPr>
      <w:r w:rsidRPr="00A97052">
        <w:rPr>
          <w:i/>
          <w:iCs/>
          <w:lang w:val="en-US"/>
        </w:rPr>
        <w:t>Municipal Government Act</w:t>
      </w:r>
      <w:r w:rsidR="00CD4372" w:rsidRPr="00A97052">
        <w:rPr>
          <w:iCs/>
          <w:lang w:val="en-US"/>
        </w:rPr>
        <w:t xml:space="preserve">, S.N.S. </w:t>
      </w:r>
      <w:r w:rsidRPr="00A97052">
        <w:rPr>
          <w:iCs/>
          <w:lang w:val="en-US"/>
        </w:rPr>
        <w:t>1998, c. 18, ss. 212 to 214, 217(2), 222.</w:t>
      </w:r>
    </w:p>
    <w:p w14:paraId="7E7D4FA3" w14:textId="77777777" w:rsidR="00D30147" w:rsidRPr="00A97052" w:rsidRDefault="00D30147" w:rsidP="00CD4372">
      <w:pPr>
        <w:pStyle w:val="SCCNormalDoubleSpacing"/>
        <w:spacing w:after="240" w:line="240" w:lineRule="auto"/>
        <w:ind w:left="547" w:hanging="547"/>
        <w:rPr>
          <w:lang w:val="en-US"/>
        </w:rPr>
      </w:pPr>
      <w:r w:rsidRPr="00A97052">
        <w:rPr>
          <w:i/>
          <w:lang w:val="en-US"/>
        </w:rPr>
        <w:t>Nova Scotia Civil Procedure Rules</w:t>
      </w:r>
      <w:r w:rsidRPr="00A97052">
        <w:rPr>
          <w:lang w:val="en-US"/>
        </w:rPr>
        <w:t>, r. 13.</w:t>
      </w:r>
    </w:p>
    <w:p w14:paraId="33AEDCC3" w14:textId="667F2C4F" w:rsidR="00BB0EB2" w:rsidRPr="00A97052" w:rsidRDefault="00BB0EB2" w:rsidP="00CD4372">
      <w:pPr>
        <w:pStyle w:val="SCCNormalDoubleSpacing"/>
        <w:spacing w:after="720" w:line="240" w:lineRule="auto"/>
        <w:ind w:left="547" w:hanging="547"/>
        <w:rPr>
          <w:lang w:val="en-US"/>
        </w:rPr>
      </w:pPr>
      <w:r w:rsidRPr="00A97052">
        <w:rPr>
          <w:i/>
          <w:lang w:val="en-US"/>
        </w:rPr>
        <w:t>Wilderness Areas Protection Act</w:t>
      </w:r>
      <w:r w:rsidR="00CD4372" w:rsidRPr="00A97052">
        <w:rPr>
          <w:lang w:val="en-US"/>
        </w:rPr>
        <w:t xml:space="preserve">, S.N.S. </w:t>
      </w:r>
      <w:r w:rsidRPr="00A97052">
        <w:rPr>
          <w:lang w:val="en-US"/>
        </w:rPr>
        <w:t>1998, c. 27.</w:t>
      </w:r>
    </w:p>
    <w:p w14:paraId="1AA4228D" w14:textId="77777777" w:rsidR="002E6705" w:rsidRPr="00A97052" w:rsidRDefault="002E6705" w:rsidP="00CD4372">
      <w:pPr>
        <w:pStyle w:val="SCCNormalDoubleSpacing"/>
        <w:spacing w:after="720" w:line="240" w:lineRule="auto"/>
        <w:rPr>
          <w:b/>
        </w:rPr>
      </w:pPr>
      <w:r w:rsidRPr="00A97052">
        <w:rPr>
          <w:b/>
        </w:rPr>
        <w:t>Authors Cited</w:t>
      </w:r>
    </w:p>
    <w:p w14:paraId="722197DA" w14:textId="77777777" w:rsidR="00F50187" w:rsidRPr="00A97052" w:rsidRDefault="00F50187" w:rsidP="00CD4372">
      <w:pPr>
        <w:pStyle w:val="SCCNormalDoubleSpacing"/>
        <w:spacing w:after="240" w:line="240" w:lineRule="auto"/>
        <w:ind w:left="547" w:hanging="547"/>
        <w:rPr>
          <w:lang w:val="fr-CA"/>
        </w:rPr>
      </w:pPr>
      <w:r w:rsidRPr="00A97052">
        <w:rPr>
          <w:lang w:val="en-US"/>
        </w:rPr>
        <w:t>Côté, Pierre</w:t>
      </w:r>
      <w:r w:rsidRPr="00A97052">
        <w:rPr>
          <w:lang w:val="en-US"/>
        </w:rPr>
        <w:noBreakHyphen/>
        <w:t>André,</w:t>
      </w:r>
      <w:r w:rsidR="003D1E75" w:rsidRPr="00A97052">
        <w:rPr>
          <w:lang w:val="en-US"/>
        </w:rPr>
        <w:t xml:space="preserve"> in collaboration with Stéphane </w:t>
      </w:r>
      <w:proofErr w:type="spellStart"/>
      <w:r w:rsidR="003D1E75" w:rsidRPr="00A97052">
        <w:rPr>
          <w:lang w:val="en-US"/>
        </w:rPr>
        <w:t>Beaulac</w:t>
      </w:r>
      <w:proofErr w:type="spellEnd"/>
      <w:r w:rsidR="003D1E75" w:rsidRPr="00A97052">
        <w:rPr>
          <w:lang w:val="en-US"/>
        </w:rPr>
        <w:t xml:space="preserve"> and Mathieu </w:t>
      </w:r>
      <w:proofErr w:type="spellStart"/>
      <w:r w:rsidR="003D1E75" w:rsidRPr="00A97052">
        <w:rPr>
          <w:lang w:val="en-US"/>
        </w:rPr>
        <w:t>Devinat</w:t>
      </w:r>
      <w:proofErr w:type="spellEnd"/>
      <w:r w:rsidR="003D1E75" w:rsidRPr="00A97052">
        <w:rPr>
          <w:lang w:val="en-US"/>
        </w:rPr>
        <w:t xml:space="preserve">. </w:t>
      </w:r>
      <w:r w:rsidRPr="00A97052">
        <w:rPr>
          <w:i/>
          <w:iCs/>
          <w:lang w:val="en-US"/>
        </w:rPr>
        <w:t>The Interpretation of Legislation in Canada</w:t>
      </w:r>
      <w:r w:rsidRPr="00A97052">
        <w:rPr>
          <w:lang w:val="en-US"/>
        </w:rPr>
        <w:t xml:space="preserve">, 4th ed. </w:t>
      </w:r>
      <w:r w:rsidRPr="00A97052">
        <w:rPr>
          <w:lang w:val="fr-CA"/>
        </w:rPr>
        <w:t xml:space="preserve">Toronto: </w:t>
      </w:r>
      <w:proofErr w:type="spellStart"/>
      <w:r w:rsidRPr="00A97052">
        <w:rPr>
          <w:lang w:val="fr-CA"/>
        </w:rPr>
        <w:t>Carswell</w:t>
      </w:r>
      <w:proofErr w:type="spellEnd"/>
      <w:r w:rsidRPr="00A97052">
        <w:rPr>
          <w:lang w:val="fr-CA"/>
        </w:rPr>
        <w:t>, 2011.</w:t>
      </w:r>
    </w:p>
    <w:p w14:paraId="59D74534" w14:textId="77777777" w:rsidR="003C213E" w:rsidRPr="00A97052" w:rsidRDefault="00F50187" w:rsidP="00CD4372">
      <w:pPr>
        <w:pStyle w:val="SCCNormalDoubleSpacing"/>
        <w:spacing w:after="240" w:line="240" w:lineRule="auto"/>
        <w:ind w:left="547" w:hanging="547"/>
        <w:rPr>
          <w:lang w:val="en-US"/>
        </w:rPr>
      </w:pPr>
      <w:proofErr w:type="spellStart"/>
      <w:r w:rsidRPr="00A97052">
        <w:rPr>
          <w:lang w:val="fr-CA"/>
        </w:rPr>
        <w:t>Emerich</w:t>
      </w:r>
      <w:proofErr w:type="spellEnd"/>
      <w:r w:rsidRPr="00A97052">
        <w:rPr>
          <w:lang w:val="fr-CA"/>
        </w:rPr>
        <w:t xml:space="preserve">, </w:t>
      </w:r>
      <w:proofErr w:type="spellStart"/>
      <w:r w:rsidRPr="00A97052">
        <w:rPr>
          <w:lang w:val="fr-CA"/>
        </w:rPr>
        <w:t>Yaëll</w:t>
      </w:r>
      <w:proofErr w:type="spellEnd"/>
      <w:r w:rsidRPr="00A97052">
        <w:rPr>
          <w:lang w:val="fr-CA"/>
        </w:rPr>
        <w:t xml:space="preserve">. </w:t>
      </w:r>
      <w:r w:rsidRPr="00A97052">
        <w:rPr>
          <w:i/>
          <w:lang w:val="fr-CA"/>
        </w:rPr>
        <w:t xml:space="preserve">Droit commun des biens: perspective </w:t>
      </w:r>
      <w:proofErr w:type="spellStart"/>
      <w:r w:rsidRPr="00A97052">
        <w:rPr>
          <w:i/>
          <w:lang w:val="fr-CA"/>
        </w:rPr>
        <w:t>transsystémique</w:t>
      </w:r>
      <w:proofErr w:type="spellEnd"/>
      <w:r w:rsidRPr="00A97052">
        <w:rPr>
          <w:lang w:val="fr-CA"/>
        </w:rPr>
        <w:t xml:space="preserve">. </w:t>
      </w:r>
      <w:r w:rsidRPr="00A97052">
        <w:rPr>
          <w:lang w:val="en-US"/>
        </w:rPr>
        <w:t>Montréal: Yvon Blais, 2017.</w:t>
      </w:r>
    </w:p>
    <w:p w14:paraId="3A4EB44D" w14:textId="3286CE28" w:rsidR="003C213E" w:rsidRPr="00A97052" w:rsidRDefault="003C213E" w:rsidP="00CD4372">
      <w:pPr>
        <w:pStyle w:val="SCCNormalDoubleSpacing"/>
        <w:spacing w:after="240" w:line="240" w:lineRule="auto"/>
        <w:ind w:left="547" w:hanging="547"/>
        <w:rPr>
          <w:lang w:val="en-US"/>
        </w:rPr>
      </w:pPr>
      <w:r w:rsidRPr="00A97052">
        <w:rPr>
          <w:lang w:val="en-US"/>
        </w:rPr>
        <w:t xml:space="preserve">Hamill, Sarah E. “Common Law Property Theory and Jurisprudence in Canada” (2015), 40 </w:t>
      </w:r>
      <w:r w:rsidRPr="00A97052">
        <w:rPr>
          <w:i/>
          <w:lang w:val="en-US"/>
        </w:rPr>
        <w:t>Queen’s L.J.</w:t>
      </w:r>
      <w:r w:rsidRPr="00A97052">
        <w:rPr>
          <w:lang w:val="en-US"/>
        </w:rPr>
        <w:t xml:space="preserve"> 679.</w:t>
      </w:r>
    </w:p>
    <w:p w14:paraId="1F42CE8E" w14:textId="2BFE3087" w:rsidR="00F50187" w:rsidRPr="00A97052" w:rsidRDefault="00F50187" w:rsidP="00CD4372">
      <w:pPr>
        <w:pStyle w:val="SCCNormalDoubleSpacing"/>
        <w:spacing w:after="240" w:line="240" w:lineRule="auto"/>
        <w:ind w:left="547" w:hanging="547"/>
        <w:rPr>
          <w:lang w:val="en-US"/>
        </w:rPr>
      </w:pPr>
      <w:r w:rsidRPr="00A97052">
        <w:rPr>
          <w:lang w:val="en-US"/>
        </w:rPr>
        <w:t xml:space="preserve">Horsman, Karen, and Gareth Morley, eds. </w:t>
      </w:r>
      <w:r w:rsidRPr="00A97052">
        <w:rPr>
          <w:i/>
          <w:lang w:val="en-US"/>
        </w:rPr>
        <w:t>Government Liability: Law and Practice</w:t>
      </w:r>
      <w:r w:rsidRPr="00A97052">
        <w:rPr>
          <w:lang w:val="en-US"/>
        </w:rPr>
        <w:t xml:space="preserve">. Toronto: Thomson Reuters, </w:t>
      </w:r>
      <w:r w:rsidR="00CD4372" w:rsidRPr="00A97052">
        <w:rPr>
          <w:lang w:val="en-US"/>
        </w:rPr>
        <w:t>2022 (loose</w:t>
      </w:r>
      <w:r w:rsidR="00CD4372" w:rsidRPr="00A97052">
        <w:rPr>
          <w:lang w:val="en-US"/>
        </w:rPr>
        <w:noBreakHyphen/>
      </w:r>
      <w:r w:rsidRPr="00A97052">
        <w:rPr>
          <w:lang w:val="en-US"/>
        </w:rPr>
        <w:t>leaf updated May 2022, release 1).</w:t>
      </w:r>
    </w:p>
    <w:p w14:paraId="12BFD2A4" w14:textId="77777777" w:rsidR="00F50187" w:rsidRPr="00A97052" w:rsidRDefault="00F50187" w:rsidP="00CD4372">
      <w:pPr>
        <w:pStyle w:val="SCCNormalDoubleSpacing"/>
        <w:spacing w:after="240" w:line="240" w:lineRule="auto"/>
        <w:ind w:left="547" w:hanging="547"/>
        <w:rPr>
          <w:lang w:val="en-US"/>
        </w:rPr>
      </w:pPr>
      <w:r w:rsidRPr="00A97052">
        <w:rPr>
          <w:lang w:val="en-US"/>
        </w:rPr>
        <w:t xml:space="preserve">Lavoie, Malcolm. “Canadian Common Law and Civil Law Approaches to Constructive Takings: A Comparative Economic Perspective” (2010), 42 </w:t>
      </w:r>
      <w:r w:rsidRPr="00A97052">
        <w:rPr>
          <w:i/>
          <w:lang w:val="en-US"/>
        </w:rPr>
        <w:t>Ottawa L. Rev.</w:t>
      </w:r>
      <w:r w:rsidRPr="00A97052">
        <w:rPr>
          <w:lang w:val="en-US"/>
        </w:rPr>
        <w:t xml:space="preserve"> 229.</w:t>
      </w:r>
    </w:p>
    <w:p w14:paraId="7FCEBC06" w14:textId="77777777" w:rsidR="003C213E" w:rsidRPr="00A97052" w:rsidRDefault="00F50187" w:rsidP="00CD4372">
      <w:pPr>
        <w:pStyle w:val="SCCNormalDoubleSpacing"/>
        <w:spacing w:after="240" w:line="240" w:lineRule="auto"/>
        <w:ind w:left="547" w:hanging="547"/>
        <w:rPr>
          <w:lang w:val="en-US"/>
        </w:rPr>
      </w:pPr>
      <w:proofErr w:type="spellStart"/>
      <w:r w:rsidRPr="00A97052">
        <w:rPr>
          <w:lang w:val="fr-CA"/>
        </w:rPr>
        <w:t>LeChasseur</w:t>
      </w:r>
      <w:proofErr w:type="spellEnd"/>
      <w:r w:rsidRPr="00A97052">
        <w:rPr>
          <w:lang w:val="fr-CA"/>
        </w:rPr>
        <w:t xml:space="preserve">, Marc-André. “L’expropriation </w:t>
      </w:r>
      <w:r w:rsidRPr="00A97052">
        <w:rPr>
          <w:i/>
          <w:lang w:val="fr-CA"/>
        </w:rPr>
        <w:t>de facto</w:t>
      </w:r>
      <w:r w:rsidRPr="00A97052">
        <w:rPr>
          <w:lang w:val="fr-CA"/>
        </w:rPr>
        <w:t xml:space="preserve"> au Canada et la transcendance des solidarités”, dans Service de la qualité de la profession du Barreau du Québec, vol. 509, </w:t>
      </w:r>
      <w:r w:rsidRPr="00A97052">
        <w:rPr>
          <w:i/>
          <w:lang w:val="fr-CA"/>
        </w:rPr>
        <w:t>Développements récents en droit municipal</w:t>
      </w:r>
      <w:r w:rsidRPr="00A97052">
        <w:rPr>
          <w:lang w:val="fr-CA"/>
        </w:rPr>
        <w:t xml:space="preserve">. </w:t>
      </w:r>
      <w:r w:rsidRPr="00A97052">
        <w:rPr>
          <w:lang w:val="en-US"/>
        </w:rPr>
        <w:t>Montréal: Yvon Blais, 2022, 71.</w:t>
      </w:r>
    </w:p>
    <w:p w14:paraId="32212484" w14:textId="39103C46" w:rsidR="003C213E" w:rsidRPr="00A97052" w:rsidRDefault="003C213E" w:rsidP="00CD4372">
      <w:pPr>
        <w:pStyle w:val="SCCNormalDoubleSpacing"/>
        <w:spacing w:after="240" w:line="240" w:lineRule="auto"/>
        <w:ind w:left="547" w:hanging="547"/>
        <w:rPr>
          <w:lang w:val="fr-CA"/>
        </w:rPr>
      </w:pPr>
      <w:r w:rsidRPr="00A97052">
        <w:rPr>
          <w:lang w:val="en-US"/>
        </w:rPr>
        <w:t xml:space="preserve">Makuch, Stanley M., Neil Craik and Signe B. </w:t>
      </w:r>
      <w:proofErr w:type="spellStart"/>
      <w:r w:rsidRPr="00A97052">
        <w:rPr>
          <w:lang w:val="en-US"/>
        </w:rPr>
        <w:t>Leisk</w:t>
      </w:r>
      <w:proofErr w:type="spellEnd"/>
      <w:r w:rsidRPr="00A97052">
        <w:rPr>
          <w:lang w:val="en-US"/>
        </w:rPr>
        <w:t xml:space="preserve">. </w:t>
      </w:r>
      <w:r w:rsidRPr="00A97052">
        <w:rPr>
          <w:i/>
          <w:lang w:val="en-US"/>
        </w:rPr>
        <w:t>Canadian Municipal and Planning Law</w:t>
      </w:r>
      <w:r w:rsidRPr="00A97052">
        <w:rPr>
          <w:lang w:val="en-US"/>
        </w:rPr>
        <w:t xml:space="preserve">, 2nd ed. </w:t>
      </w:r>
      <w:r w:rsidRPr="00A97052">
        <w:rPr>
          <w:lang w:val="fr-CA"/>
        </w:rPr>
        <w:t xml:space="preserve">Toronto: Thomson </w:t>
      </w:r>
      <w:proofErr w:type="spellStart"/>
      <w:r w:rsidRPr="00A97052">
        <w:rPr>
          <w:lang w:val="fr-CA"/>
        </w:rPr>
        <w:t>Carswell</w:t>
      </w:r>
      <w:proofErr w:type="spellEnd"/>
      <w:r w:rsidRPr="00A97052">
        <w:rPr>
          <w:lang w:val="fr-CA"/>
        </w:rPr>
        <w:t>, 2004.</w:t>
      </w:r>
    </w:p>
    <w:p w14:paraId="071751E9" w14:textId="77777777" w:rsidR="00F50187" w:rsidRPr="00A97052" w:rsidRDefault="00F50187" w:rsidP="00CD4372">
      <w:pPr>
        <w:pStyle w:val="SCCNormalDoubleSpacing"/>
        <w:spacing w:after="240" w:line="240" w:lineRule="auto"/>
        <w:ind w:left="547" w:hanging="547"/>
        <w:rPr>
          <w:lang w:val="en-US"/>
        </w:rPr>
      </w:pPr>
      <w:r w:rsidRPr="00A97052">
        <w:rPr>
          <w:lang w:val="fr-CA"/>
        </w:rPr>
        <w:t xml:space="preserve">Pelletier, Simon, et Frédéric Côté. “Développements récents en matière d’expropriation déguisée: distinction entre les recours en nullité, en dommages pour responsabilité extracontractuelle d’un organisme public et en expropriation déguisée”, dans Service de la qualité de la profession du Barreau du Québec, vol. 468, </w:t>
      </w:r>
      <w:r w:rsidRPr="00A97052">
        <w:rPr>
          <w:i/>
          <w:lang w:val="fr-CA"/>
        </w:rPr>
        <w:t>Développements récents en droit de l’environnement</w:t>
      </w:r>
      <w:r w:rsidRPr="00A97052">
        <w:rPr>
          <w:lang w:val="fr-CA"/>
        </w:rPr>
        <w:t xml:space="preserve">. </w:t>
      </w:r>
      <w:r w:rsidRPr="00A97052">
        <w:rPr>
          <w:lang w:val="en-US"/>
        </w:rPr>
        <w:t>Montréal: Yvon Blais, 2019, 303.</w:t>
      </w:r>
    </w:p>
    <w:p w14:paraId="1FD71A9F" w14:textId="1A24FBB6" w:rsidR="003C213E" w:rsidRPr="00A97052" w:rsidRDefault="003C213E" w:rsidP="00CD4372">
      <w:pPr>
        <w:pStyle w:val="SCCNormalDoubleSpacing"/>
        <w:spacing w:after="240" w:line="240" w:lineRule="auto"/>
        <w:ind w:left="547" w:hanging="547"/>
        <w:rPr>
          <w:lang w:val="en-US"/>
        </w:rPr>
      </w:pPr>
      <w:r w:rsidRPr="00A97052">
        <w:rPr>
          <w:lang w:val="en-US"/>
        </w:rPr>
        <w:t xml:space="preserve">Todd, Eric C. E. </w:t>
      </w:r>
      <w:r w:rsidRPr="00A97052">
        <w:rPr>
          <w:i/>
          <w:lang w:val="en-US"/>
        </w:rPr>
        <w:t>The Law of Expropriation and Compensation in Canada</w:t>
      </w:r>
      <w:r w:rsidRPr="00A97052">
        <w:rPr>
          <w:lang w:val="en-US"/>
        </w:rPr>
        <w:t>, 2nd ed. Scarborough, Ont.: Carswell, 1992.</w:t>
      </w:r>
    </w:p>
    <w:p w14:paraId="437A7B1B" w14:textId="77777777" w:rsidR="00F50187" w:rsidRPr="00A97052" w:rsidRDefault="00F50187" w:rsidP="00CD4372">
      <w:pPr>
        <w:pStyle w:val="SCCNormalDoubleSpacing"/>
        <w:spacing w:after="720" w:line="240" w:lineRule="auto"/>
        <w:ind w:left="547" w:hanging="547"/>
        <w:rPr>
          <w:lang w:val="en-US"/>
        </w:rPr>
      </w:pPr>
      <w:proofErr w:type="spellStart"/>
      <w:r w:rsidRPr="00A97052">
        <w:rPr>
          <w:lang w:val="en-US"/>
        </w:rPr>
        <w:t>Warchuk</w:t>
      </w:r>
      <w:proofErr w:type="spellEnd"/>
      <w:r w:rsidRPr="00A97052">
        <w:rPr>
          <w:lang w:val="en-US"/>
        </w:rPr>
        <w:t xml:space="preserve">, Paul A. “Rethinking Compensation for Expropriation” (2015), 48 </w:t>
      </w:r>
      <w:r w:rsidRPr="00A97052">
        <w:rPr>
          <w:i/>
          <w:lang w:val="en-US"/>
        </w:rPr>
        <w:t xml:space="preserve">U.B.C. L. Rev. </w:t>
      </w:r>
      <w:r w:rsidRPr="00A97052">
        <w:rPr>
          <w:lang w:val="en-US"/>
        </w:rPr>
        <w:t>655.</w:t>
      </w:r>
    </w:p>
    <w:p w14:paraId="6B23353F" w14:textId="5A73E658" w:rsidR="00656313" w:rsidRPr="00A97052" w:rsidRDefault="007C4172" w:rsidP="00CD4372">
      <w:pPr>
        <w:pStyle w:val="SCCNormalDoubleSpacing"/>
        <w:spacing w:after="480"/>
      </w:pPr>
      <w:r w:rsidRPr="00A97052">
        <w:tab/>
      </w:r>
      <w:r w:rsidR="009B57B3" w:rsidRPr="00A97052">
        <w:t>APPEAL from a judgment of the Nova Scotia Court of Appeal</w:t>
      </w:r>
      <w:r w:rsidRPr="00A97052">
        <w:t xml:space="preserve"> (Bev</w:t>
      </w:r>
      <w:r w:rsidR="00C819A4" w:rsidRPr="00A97052">
        <w:t>eridge, Farrar and Derrick </w:t>
      </w:r>
      <w:r w:rsidRPr="00A97052">
        <w:t xml:space="preserve">JJ.A.), </w:t>
      </w:r>
      <w:hyperlink r:id="rId9" w:history="1">
        <w:r w:rsidRPr="00A97052">
          <w:rPr>
            <w:rStyle w:val="Hyperlink"/>
          </w:rPr>
          <w:t>2021 NSCA 3</w:t>
        </w:r>
      </w:hyperlink>
      <w:r w:rsidRPr="00A97052">
        <w:t xml:space="preserve">, </w:t>
      </w:r>
      <w:r w:rsidR="00C819A4" w:rsidRPr="00A97052">
        <w:t xml:space="preserve">17 L.C.R. (2d) 21, </w:t>
      </w:r>
      <w:r w:rsidRPr="00A97052">
        <w:t xml:space="preserve">455 D.L.R. (4th) 349, 8 M.P.L.R. (6th) 165, </w:t>
      </w:r>
      <w:r w:rsidR="00610F76" w:rsidRPr="00A97052">
        <w:t>[</w:t>
      </w:r>
      <w:r w:rsidRPr="00A97052">
        <w:t>2021</w:t>
      </w:r>
      <w:r w:rsidR="00610F76" w:rsidRPr="00A97052">
        <w:t>]</w:t>
      </w:r>
      <w:r w:rsidRPr="00A97052">
        <w:t xml:space="preserve"> N.S.J. No. 4 (QL), 2021 CarswellNS 4 (WL)</w:t>
      </w:r>
      <w:r w:rsidR="00903811" w:rsidRPr="00A97052">
        <w:t>, setting aside a decision of Chipman J., 2019 NSSC 341</w:t>
      </w:r>
      <w:r w:rsidR="0036529B" w:rsidRPr="00A97052">
        <w:t xml:space="preserve">, 17 L.C.R. (2d) 1, [2019] N.S.J. No. 491 (QL), 2019 CarswellNS 817 (WL). Appeal </w:t>
      </w:r>
      <w:r w:rsidR="00CB3948" w:rsidRPr="00A97052">
        <w:t>allowed</w:t>
      </w:r>
      <w:r w:rsidR="00CC3DDF" w:rsidRPr="00A97052">
        <w:t xml:space="preserve">, Karakatsanis, Martin, Kasirer and Jamal JJ. </w:t>
      </w:r>
      <w:proofErr w:type="gramStart"/>
      <w:r w:rsidR="00CC3DDF" w:rsidRPr="00A97052">
        <w:t>dissenting</w:t>
      </w:r>
      <w:proofErr w:type="gramEnd"/>
      <w:r w:rsidR="00CB3948" w:rsidRPr="00A97052">
        <w:t>.</w:t>
      </w:r>
    </w:p>
    <w:p w14:paraId="69B8483E" w14:textId="77777777" w:rsidR="007F26FE" w:rsidRPr="00A97052" w:rsidRDefault="007136C4" w:rsidP="00CD4372">
      <w:pPr>
        <w:pStyle w:val="SCCNormalDoubleSpacing"/>
        <w:spacing w:after="480"/>
      </w:pPr>
      <w:r w:rsidRPr="00A97052">
        <w:rPr>
          <w:rStyle w:val="SCCCounselNameChar"/>
        </w:rPr>
        <w:tab/>
        <w:t>Peter H. Griffin</w:t>
      </w:r>
      <w:r w:rsidRPr="00A97052">
        <w:rPr>
          <w:rStyle w:val="SCCCounselNameChar"/>
          <w:i w:val="0"/>
        </w:rPr>
        <w:t>,</w:t>
      </w:r>
      <w:r w:rsidR="00684EE8" w:rsidRPr="00A97052">
        <w:rPr>
          <w:rStyle w:val="SCCCounselNameChar"/>
          <w:i w:val="0"/>
        </w:rPr>
        <w:t xml:space="preserve"> </w:t>
      </w:r>
      <w:r w:rsidR="00684EE8" w:rsidRPr="00A97052">
        <w:rPr>
          <w:rStyle w:val="SCCCounselNameChar"/>
        </w:rPr>
        <w:t>Rebecca Jones</w:t>
      </w:r>
      <w:r w:rsidR="00684EE8" w:rsidRPr="00A97052">
        <w:rPr>
          <w:rStyle w:val="SCCCounselNameChar"/>
          <w:i w:val="0"/>
        </w:rPr>
        <w:t>,</w:t>
      </w:r>
      <w:r w:rsidRPr="00A97052">
        <w:rPr>
          <w:rStyle w:val="SCCCounselNameChar"/>
        </w:rPr>
        <w:t xml:space="preserve"> Scott </w:t>
      </w:r>
      <w:proofErr w:type="spellStart"/>
      <w:r w:rsidRPr="00A97052">
        <w:rPr>
          <w:rStyle w:val="SCCCounselNameChar"/>
        </w:rPr>
        <w:t>Rollwagen</w:t>
      </w:r>
      <w:proofErr w:type="spellEnd"/>
      <w:r w:rsidR="00684EE8" w:rsidRPr="00A97052">
        <w:rPr>
          <w:rStyle w:val="SCCCounselNameChar"/>
          <w:i w:val="0"/>
        </w:rPr>
        <w:t xml:space="preserve"> </w:t>
      </w:r>
      <w:r w:rsidRPr="00A97052">
        <w:rPr>
          <w:rStyle w:val="SCCCounselSeparatorChar"/>
        </w:rPr>
        <w:t xml:space="preserve">and </w:t>
      </w:r>
      <w:r w:rsidRPr="00A97052">
        <w:rPr>
          <w:rStyle w:val="SCCCounselNameChar"/>
        </w:rPr>
        <w:t>Amy Sherrard</w:t>
      </w:r>
      <w:r w:rsidRPr="00A97052">
        <w:rPr>
          <w:rStyle w:val="SCCCounselPartyRoleChar"/>
        </w:rPr>
        <w:t>, for the appellant.</w:t>
      </w:r>
    </w:p>
    <w:p w14:paraId="05B1D6CB" w14:textId="102204C5" w:rsidR="007F26FE" w:rsidRPr="00A97052" w:rsidRDefault="007136C4" w:rsidP="00CD4372">
      <w:pPr>
        <w:pStyle w:val="SCCNormalDoubleSpacing"/>
        <w:spacing w:after="480"/>
      </w:pPr>
      <w:r w:rsidRPr="00A97052">
        <w:rPr>
          <w:rStyle w:val="SCCCounselNameChar"/>
        </w:rPr>
        <w:tab/>
        <w:t>Michelle Awad</w:t>
      </w:r>
      <w:r w:rsidRPr="00A97052">
        <w:rPr>
          <w:rStyle w:val="SCCCounselNameChar"/>
          <w:i w:val="0"/>
        </w:rPr>
        <w:t>,</w:t>
      </w:r>
      <w:r w:rsidR="000056E5" w:rsidRPr="00A97052">
        <w:rPr>
          <w:rStyle w:val="SCCCounselNameChar"/>
        </w:rPr>
        <w:t xml:space="preserve"> K</w:t>
      </w:r>
      <w:r w:rsidRPr="00A97052">
        <w:rPr>
          <w:rStyle w:val="SCCCounselNameChar"/>
        </w:rPr>
        <w:t>.C.</w:t>
      </w:r>
      <w:r w:rsidRPr="00A97052">
        <w:rPr>
          <w:rStyle w:val="SCCCounselNameChar"/>
          <w:i w:val="0"/>
        </w:rPr>
        <w:t>,</w:t>
      </w:r>
      <w:r w:rsidR="00684EE8" w:rsidRPr="00A97052">
        <w:rPr>
          <w:rStyle w:val="SCCCounselNameChar"/>
        </w:rPr>
        <w:t xml:space="preserve"> Martin </w:t>
      </w:r>
      <w:r w:rsidRPr="00A97052">
        <w:rPr>
          <w:rStyle w:val="SCCCounselNameChar"/>
        </w:rPr>
        <w:t>Ward</w:t>
      </w:r>
      <w:r w:rsidRPr="00A97052">
        <w:rPr>
          <w:rStyle w:val="SCCCounselNameChar"/>
          <w:i w:val="0"/>
        </w:rPr>
        <w:t>,</w:t>
      </w:r>
      <w:r w:rsidR="000056E5" w:rsidRPr="00A97052">
        <w:rPr>
          <w:rStyle w:val="SCCCounselNameChar"/>
        </w:rPr>
        <w:t xml:space="preserve"> K</w:t>
      </w:r>
      <w:r w:rsidRPr="00A97052">
        <w:rPr>
          <w:rStyle w:val="SCCCounselNameChar"/>
        </w:rPr>
        <w:t>.C.</w:t>
      </w:r>
      <w:r w:rsidR="006B7DE5" w:rsidRPr="00A97052">
        <w:rPr>
          <w:rStyle w:val="SCCCounselNameChar"/>
          <w:i w:val="0"/>
        </w:rPr>
        <w:t>,</w:t>
      </w:r>
      <w:r w:rsidRPr="00A97052">
        <w:rPr>
          <w:rStyle w:val="SCCCounselSeparatorChar"/>
        </w:rPr>
        <w:t xml:space="preserve"> and </w:t>
      </w:r>
      <w:r w:rsidR="006D35A1" w:rsidRPr="00A97052">
        <w:rPr>
          <w:rStyle w:val="SCCCounselNameChar"/>
        </w:rPr>
        <w:t xml:space="preserve">Jeremy </w:t>
      </w:r>
      <w:proofErr w:type="spellStart"/>
      <w:r w:rsidRPr="00A97052">
        <w:rPr>
          <w:rStyle w:val="SCCCounselNameChar"/>
        </w:rPr>
        <w:t>Ryant</w:t>
      </w:r>
      <w:proofErr w:type="spellEnd"/>
      <w:r w:rsidRPr="00A97052">
        <w:rPr>
          <w:rStyle w:val="SCCCounselPartyRoleChar"/>
        </w:rPr>
        <w:t>, for the respondent.</w:t>
      </w:r>
    </w:p>
    <w:p w14:paraId="4D380E0B" w14:textId="77777777" w:rsidR="007F26FE" w:rsidRPr="00A97052" w:rsidRDefault="00304E02" w:rsidP="00CD4372">
      <w:pPr>
        <w:pStyle w:val="SCCNormalDoubleSpacing"/>
        <w:spacing w:after="480"/>
      </w:pPr>
      <w:r w:rsidRPr="00A97052">
        <w:rPr>
          <w:rStyle w:val="SCCCounselNameChar"/>
        </w:rPr>
        <w:tab/>
        <w:t>Dayna Anderson</w:t>
      </w:r>
      <w:r w:rsidRPr="00A97052">
        <w:rPr>
          <w:rStyle w:val="SCCCounselPartyRoleChar"/>
        </w:rPr>
        <w:t>, for the intervener the Attorney General of Canada.</w:t>
      </w:r>
    </w:p>
    <w:p w14:paraId="0CB51822" w14:textId="77777777" w:rsidR="00304E02" w:rsidRPr="00A97052" w:rsidRDefault="00304E02" w:rsidP="00CD4372">
      <w:pPr>
        <w:pStyle w:val="SCCNormalDoubleSpacing"/>
        <w:spacing w:after="480"/>
      </w:pPr>
      <w:r w:rsidRPr="00A97052">
        <w:rPr>
          <w:rStyle w:val="SCCCounselNameChar"/>
        </w:rPr>
        <w:tab/>
      </w:r>
      <w:r w:rsidR="004D66BB" w:rsidRPr="00A97052">
        <w:rPr>
          <w:rStyle w:val="SCCCounselNameChar"/>
        </w:rPr>
        <w:t xml:space="preserve">Robert </w:t>
      </w:r>
      <w:r w:rsidR="006D35A1" w:rsidRPr="00A97052">
        <w:rPr>
          <w:rStyle w:val="SCCCounselNameChar"/>
        </w:rPr>
        <w:t xml:space="preserve">B. </w:t>
      </w:r>
      <w:r w:rsidRPr="00A97052">
        <w:rPr>
          <w:rStyle w:val="SCCCounselNameChar"/>
        </w:rPr>
        <w:t>Lawson</w:t>
      </w:r>
      <w:r w:rsidRPr="00A97052">
        <w:rPr>
          <w:rStyle w:val="SCCCounselSeparatorChar"/>
        </w:rPr>
        <w:t xml:space="preserve"> and </w:t>
      </w:r>
      <w:r w:rsidRPr="00A97052">
        <w:rPr>
          <w:rStyle w:val="SCCCounselNameChar"/>
        </w:rPr>
        <w:t xml:space="preserve">Vanessa </w:t>
      </w:r>
      <w:proofErr w:type="spellStart"/>
      <w:r w:rsidRPr="00A97052">
        <w:rPr>
          <w:rStyle w:val="SCCCounselNameChar"/>
        </w:rPr>
        <w:t>Glasser</w:t>
      </w:r>
      <w:proofErr w:type="spellEnd"/>
      <w:r w:rsidRPr="00A97052">
        <w:rPr>
          <w:rStyle w:val="SCCCounselPartyRoleChar"/>
        </w:rPr>
        <w:t>, for the intervener the Attorney General of Ontario.</w:t>
      </w:r>
    </w:p>
    <w:p w14:paraId="2870FBEA" w14:textId="02F9FFDC" w:rsidR="00304E02" w:rsidRPr="00A97052" w:rsidRDefault="00304E02" w:rsidP="00CD4372">
      <w:pPr>
        <w:pStyle w:val="SCCNormalDoubleSpacing"/>
        <w:spacing w:after="480"/>
      </w:pPr>
      <w:r w:rsidRPr="00A97052">
        <w:rPr>
          <w:rStyle w:val="SCCCounselNameChar"/>
        </w:rPr>
        <w:tab/>
      </w:r>
      <w:r w:rsidR="007D4B5C" w:rsidRPr="00A97052">
        <w:rPr>
          <w:rStyle w:val="SCCCounselNameChar"/>
          <w:i w:val="0"/>
        </w:rPr>
        <w:t>Written submissions only by</w:t>
      </w:r>
      <w:r w:rsidR="007D4B5C" w:rsidRPr="00A97052">
        <w:rPr>
          <w:rStyle w:val="SCCCounselNameChar"/>
        </w:rPr>
        <w:t xml:space="preserve"> </w:t>
      </w:r>
      <w:r w:rsidR="003D050B" w:rsidRPr="00A97052">
        <w:rPr>
          <w:rStyle w:val="SCCCounselNameChar"/>
        </w:rPr>
        <w:t xml:space="preserve">Edward </w:t>
      </w:r>
      <w:r w:rsidRPr="00A97052">
        <w:rPr>
          <w:rStyle w:val="SCCCounselNameChar"/>
        </w:rPr>
        <w:t>A. Gores</w:t>
      </w:r>
      <w:r w:rsidRPr="00A97052">
        <w:rPr>
          <w:rStyle w:val="SCCCounselNameChar"/>
          <w:i w:val="0"/>
        </w:rPr>
        <w:t>,</w:t>
      </w:r>
      <w:r w:rsidR="000056E5" w:rsidRPr="00A97052">
        <w:rPr>
          <w:rStyle w:val="SCCCounselNameChar"/>
        </w:rPr>
        <w:t xml:space="preserve"> K</w:t>
      </w:r>
      <w:r w:rsidRPr="00A97052">
        <w:rPr>
          <w:rStyle w:val="SCCCounselNameChar"/>
        </w:rPr>
        <w:t>.C.</w:t>
      </w:r>
      <w:r w:rsidRPr="00A97052">
        <w:rPr>
          <w:rStyle w:val="SCCCounselPartyRoleChar"/>
        </w:rPr>
        <w:t>, for the intervener the Attorney General of Nova Scotia.</w:t>
      </w:r>
    </w:p>
    <w:p w14:paraId="0635F871" w14:textId="77777777" w:rsidR="007F26FE" w:rsidRPr="00A97052" w:rsidRDefault="007136C4" w:rsidP="00CD4372">
      <w:pPr>
        <w:pStyle w:val="SCCNormalDoubleSpacing"/>
        <w:spacing w:after="480"/>
      </w:pPr>
      <w:r w:rsidRPr="00A97052">
        <w:rPr>
          <w:rStyle w:val="SCCCounselNameChar"/>
        </w:rPr>
        <w:tab/>
      </w:r>
      <w:proofErr w:type="spellStart"/>
      <w:r w:rsidRPr="00A97052">
        <w:rPr>
          <w:rStyle w:val="SCCCounselNameChar"/>
        </w:rPr>
        <w:t>Phong</w:t>
      </w:r>
      <w:proofErr w:type="spellEnd"/>
      <w:r w:rsidRPr="00A97052">
        <w:rPr>
          <w:rStyle w:val="SCCCounselNameChar"/>
        </w:rPr>
        <w:t xml:space="preserve"> Phan</w:t>
      </w:r>
      <w:r w:rsidRPr="00A97052">
        <w:rPr>
          <w:rStyle w:val="SCCCounselSeparatorChar"/>
        </w:rPr>
        <w:t xml:space="preserve"> and </w:t>
      </w:r>
      <w:r w:rsidR="006D35A1" w:rsidRPr="00A97052">
        <w:rPr>
          <w:rStyle w:val="SCCCounselNameChar"/>
        </w:rPr>
        <w:t>Tim</w:t>
      </w:r>
      <w:r w:rsidRPr="00A97052">
        <w:rPr>
          <w:rStyle w:val="SCCCounselNameChar"/>
        </w:rPr>
        <w:t xml:space="preserve"> Quirk</w:t>
      </w:r>
      <w:r w:rsidRPr="00A97052">
        <w:rPr>
          <w:rStyle w:val="SCCCounselPartyRoleChar"/>
        </w:rPr>
        <w:t xml:space="preserve">, for the intervener </w:t>
      </w:r>
      <w:r w:rsidR="006B7DE5" w:rsidRPr="00A97052">
        <w:rPr>
          <w:rStyle w:val="SCCCounselPartyRoleChar"/>
        </w:rPr>
        <w:t xml:space="preserve">the </w:t>
      </w:r>
      <w:r w:rsidRPr="00A97052">
        <w:rPr>
          <w:rStyle w:val="SCCCounselPartyRoleChar"/>
        </w:rPr>
        <w:t>Attorney General of British Columbia.</w:t>
      </w:r>
    </w:p>
    <w:p w14:paraId="19DBF090" w14:textId="77777777" w:rsidR="007F26FE" w:rsidRPr="00A97052" w:rsidRDefault="007136C4" w:rsidP="00CD4372">
      <w:pPr>
        <w:pStyle w:val="SCCNormalDoubleSpacing"/>
        <w:spacing w:after="480"/>
      </w:pPr>
      <w:r w:rsidRPr="00A97052">
        <w:rPr>
          <w:rStyle w:val="SCCCounselNameChar"/>
        </w:rPr>
        <w:tab/>
        <w:t>Malcolm Lavoie</w:t>
      </w:r>
      <w:r w:rsidRPr="00A97052">
        <w:rPr>
          <w:rStyle w:val="SCCCounselSeparatorChar"/>
        </w:rPr>
        <w:t xml:space="preserve"> and </w:t>
      </w:r>
      <w:r w:rsidRPr="00A97052">
        <w:rPr>
          <w:rStyle w:val="SCCCounselNameChar"/>
        </w:rPr>
        <w:t>Adrienne Funk</w:t>
      </w:r>
      <w:r w:rsidRPr="00A97052">
        <w:rPr>
          <w:rStyle w:val="SCCCounselPartyRoleChar"/>
        </w:rPr>
        <w:t xml:space="preserve">, for the intervener </w:t>
      </w:r>
      <w:r w:rsidR="006B7DE5" w:rsidRPr="00A97052">
        <w:rPr>
          <w:rStyle w:val="SCCCounselPartyRoleChar"/>
        </w:rPr>
        <w:t xml:space="preserve">the </w:t>
      </w:r>
      <w:r w:rsidRPr="00A97052">
        <w:rPr>
          <w:rStyle w:val="SCCCounselPartyRoleChar"/>
        </w:rPr>
        <w:t>Canadian Constitution Foundation.</w:t>
      </w:r>
    </w:p>
    <w:p w14:paraId="4FB41C41" w14:textId="77777777" w:rsidR="007F26FE" w:rsidRPr="00A97052" w:rsidRDefault="007136C4" w:rsidP="00CD4372">
      <w:pPr>
        <w:pStyle w:val="SCCNormalDoubleSpacing"/>
        <w:spacing w:after="480"/>
      </w:pPr>
      <w:r w:rsidRPr="00A97052">
        <w:rPr>
          <w:rStyle w:val="SCCCounselNameChar"/>
        </w:rPr>
        <w:tab/>
        <w:t>Brandon Kain</w:t>
      </w:r>
      <w:r w:rsidRPr="00A97052">
        <w:rPr>
          <w:rStyle w:val="SCCCounselSeparatorChar"/>
        </w:rPr>
        <w:t xml:space="preserve"> and </w:t>
      </w:r>
      <w:r w:rsidRPr="00A97052">
        <w:rPr>
          <w:rStyle w:val="SCCCounselNameChar"/>
        </w:rPr>
        <w:t>Adriana Forest</w:t>
      </w:r>
      <w:r w:rsidRPr="00A97052">
        <w:rPr>
          <w:rStyle w:val="SCCCounselPartyRoleChar"/>
        </w:rPr>
        <w:t xml:space="preserve">, for the intervener </w:t>
      </w:r>
      <w:r w:rsidR="006B7DE5" w:rsidRPr="00A97052">
        <w:rPr>
          <w:rStyle w:val="SCCCounselPartyRoleChar"/>
        </w:rPr>
        <w:t xml:space="preserve">the </w:t>
      </w:r>
      <w:r w:rsidRPr="00A97052">
        <w:rPr>
          <w:rStyle w:val="SCCCounselPartyRoleChar"/>
        </w:rPr>
        <w:t>Ontario Landowners Association.</w:t>
      </w:r>
    </w:p>
    <w:p w14:paraId="3F8DB6E6" w14:textId="77777777" w:rsidR="007F26FE" w:rsidRPr="00A97052" w:rsidRDefault="007136C4" w:rsidP="00CD4372">
      <w:pPr>
        <w:pStyle w:val="SCCNormalDoubleSpacing"/>
        <w:spacing w:after="480"/>
      </w:pPr>
      <w:r w:rsidRPr="00A97052">
        <w:rPr>
          <w:rStyle w:val="SCCCounselNameChar"/>
        </w:rPr>
        <w:tab/>
      </w:r>
      <w:r w:rsidR="00A96368" w:rsidRPr="00A97052">
        <w:rPr>
          <w:rStyle w:val="SCCCounselNameChar"/>
          <w:i w:val="0"/>
        </w:rPr>
        <w:t xml:space="preserve">Written submissions only by </w:t>
      </w:r>
      <w:r w:rsidRPr="00A97052">
        <w:rPr>
          <w:rStyle w:val="SCCCounselNameChar"/>
        </w:rPr>
        <w:t xml:space="preserve">Shane </w:t>
      </w:r>
      <w:proofErr w:type="spellStart"/>
      <w:r w:rsidRPr="00A97052">
        <w:rPr>
          <w:rStyle w:val="SCCCounselNameChar"/>
        </w:rPr>
        <w:t>Rayman</w:t>
      </w:r>
      <w:proofErr w:type="spellEnd"/>
      <w:r w:rsidRPr="00A97052">
        <w:rPr>
          <w:rStyle w:val="SCCCounselSeparatorChar"/>
        </w:rPr>
        <w:t xml:space="preserve"> and </w:t>
      </w:r>
      <w:r w:rsidRPr="00A97052">
        <w:rPr>
          <w:rStyle w:val="SCCCounselNameChar"/>
        </w:rPr>
        <w:t>Conner Harris</w:t>
      </w:r>
      <w:r w:rsidRPr="00A97052">
        <w:rPr>
          <w:rStyle w:val="SCCCounselPartyRoleChar"/>
        </w:rPr>
        <w:t xml:space="preserve">, for the intervener </w:t>
      </w:r>
      <w:r w:rsidR="006B7DE5" w:rsidRPr="00A97052">
        <w:rPr>
          <w:rStyle w:val="SCCCounselPartyRoleChar"/>
        </w:rPr>
        <w:t xml:space="preserve">the </w:t>
      </w:r>
      <w:r w:rsidRPr="00A97052">
        <w:rPr>
          <w:rStyle w:val="SCCCounselPartyRoleChar"/>
        </w:rPr>
        <w:t>Canadian Home Builders’ Association.</w:t>
      </w:r>
    </w:p>
    <w:p w14:paraId="4DC3EC17" w14:textId="77777777" w:rsidR="007F26FE" w:rsidRPr="00A97052" w:rsidRDefault="007136C4" w:rsidP="00CD4372">
      <w:pPr>
        <w:pStyle w:val="SCCNormalDoubleSpacing"/>
        <w:spacing w:after="480"/>
      </w:pPr>
      <w:r w:rsidRPr="00A97052">
        <w:rPr>
          <w:rStyle w:val="SCCCounselNameChar"/>
        </w:rPr>
        <w:tab/>
        <w:t>Randy Christensen</w:t>
      </w:r>
      <w:r w:rsidRPr="00A97052">
        <w:rPr>
          <w:rStyle w:val="SCCCounselSeparatorChar"/>
        </w:rPr>
        <w:t xml:space="preserve"> and </w:t>
      </w:r>
      <w:r w:rsidRPr="00A97052">
        <w:rPr>
          <w:rStyle w:val="SCCCounselNameChar"/>
        </w:rPr>
        <w:t>Sarah McDonald</w:t>
      </w:r>
      <w:r w:rsidRPr="00A97052">
        <w:rPr>
          <w:rStyle w:val="SCCCounselPartyRoleChar"/>
        </w:rPr>
        <w:t>, for the intervener Ecojustice Canada Society.</w:t>
      </w:r>
    </w:p>
    <w:p w14:paraId="70451B39" w14:textId="77777777" w:rsidR="00E24573" w:rsidRPr="00A97052" w:rsidRDefault="00E24573" w:rsidP="00CD4372">
      <w:pPr>
        <w:pStyle w:val="SCCNormalDoubleSpacing"/>
        <w:spacing w:after="480"/>
      </w:pPr>
    </w:p>
    <w:p w14:paraId="53AF1BFA" w14:textId="77777777" w:rsidR="001A2B0D" w:rsidRPr="00A97052" w:rsidRDefault="001A2B0D" w:rsidP="001A2B0D">
      <w:pPr>
        <w:tabs>
          <w:tab w:val="left" w:pos="1134"/>
        </w:tabs>
        <w:rPr>
          <w:szCs w:val="24"/>
        </w:rPr>
      </w:pPr>
      <w:r w:rsidRPr="0016589D">
        <w:rPr>
          <w:szCs w:val="24"/>
          <w:lang w:val="en-US"/>
        </w:rPr>
        <w:tab/>
      </w:r>
      <w:r w:rsidRPr="00A97052">
        <w:rPr>
          <w:szCs w:val="24"/>
        </w:rPr>
        <w:t xml:space="preserve">The judgment of Wagner C.J. and Moldaver, Côté, Brown and Rowe JJ. </w:t>
      </w:r>
      <w:proofErr w:type="gramStart"/>
      <w:r w:rsidRPr="00A97052">
        <w:rPr>
          <w:szCs w:val="24"/>
        </w:rPr>
        <w:t>was</w:t>
      </w:r>
      <w:proofErr w:type="gramEnd"/>
      <w:r w:rsidRPr="00A97052">
        <w:rPr>
          <w:szCs w:val="24"/>
        </w:rPr>
        <w:t xml:space="preserve"> delivered by</w:t>
      </w:r>
    </w:p>
    <w:p w14:paraId="7FD11CBC" w14:textId="77777777" w:rsidR="001A2B0D" w:rsidRPr="00A97052" w:rsidRDefault="001A2B0D" w:rsidP="001A2B0D">
      <w:pPr>
        <w:tabs>
          <w:tab w:val="left" w:pos="1134"/>
        </w:tabs>
        <w:rPr>
          <w:szCs w:val="24"/>
        </w:rPr>
      </w:pPr>
    </w:p>
    <w:p w14:paraId="08287A12" w14:textId="77777777" w:rsidR="001A2B0D" w:rsidRPr="00A97052" w:rsidRDefault="001A2B0D" w:rsidP="00B60B0E">
      <w:pPr>
        <w:pStyle w:val="JudgeJuge"/>
        <w:tabs>
          <w:tab w:val="clear" w:pos="1260"/>
          <w:tab w:val="left" w:pos="1134"/>
        </w:tabs>
      </w:pPr>
      <w:r w:rsidRPr="00A97052">
        <w:tab/>
        <w:t xml:space="preserve">Côté and Brown JJ. — </w:t>
      </w:r>
    </w:p>
    <w:tbl>
      <w:tblPr>
        <w:tblStyle w:val="TableGrid1"/>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05"/>
        <w:gridCol w:w="851"/>
      </w:tblGrid>
      <w:tr w:rsidR="001A2B0D" w:rsidRPr="00A97052" w14:paraId="17F25EF0" w14:textId="77777777" w:rsidTr="00C243F9">
        <w:trPr>
          <w:trHeight w:val="432"/>
        </w:trPr>
        <w:tc>
          <w:tcPr>
            <w:tcW w:w="9356" w:type="dxa"/>
            <w:gridSpan w:val="2"/>
          </w:tcPr>
          <w:p w14:paraId="13DFB4A5" w14:textId="77777777" w:rsidR="001A2B0D" w:rsidRPr="00A97052" w:rsidRDefault="001A2B0D" w:rsidP="00C243F9">
            <w:pPr>
              <w:tabs>
                <w:tab w:val="center" w:pos="4050"/>
              </w:tabs>
              <w:rPr>
                <w:b/>
                <w:szCs w:val="24"/>
                <w:lang w:val="fr-FR"/>
              </w:rPr>
            </w:pPr>
            <w:r w:rsidRPr="00A97052">
              <w:rPr>
                <w:b/>
                <w:szCs w:val="24"/>
              </w:rPr>
              <w:tab/>
            </w:r>
            <w:r w:rsidRPr="00A97052">
              <w:rPr>
                <w:b/>
                <w:szCs w:val="24"/>
                <w:lang w:val="fr-FR"/>
              </w:rPr>
              <w:t>TABLE OF CONTENTS</w:t>
            </w:r>
          </w:p>
          <w:p w14:paraId="0821E8F3" w14:textId="77777777" w:rsidR="001A2B0D" w:rsidRPr="00A97052" w:rsidRDefault="001A2B0D" w:rsidP="00C243F9">
            <w:pPr>
              <w:tabs>
                <w:tab w:val="center" w:pos="4050"/>
              </w:tabs>
              <w:rPr>
                <w:b/>
                <w:szCs w:val="24"/>
              </w:rPr>
            </w:pPr>
          </w:p>
        </w:tc>
      </w:tr>
      <w:tr w:rsidR="001A2B0D" w:rsidRPr="00A97052" w14:paraId="153D4A5D" w14:textId="77777777" w:rsidTr="00C243F9">
        <w:trPr>
          <w:trHeight w:val="432"/>
        </w:trPr>
        <w:tc>
          <w:tcPr>
            <w:tcW w:w="9356" w:type="dxa"/>
            <w:gridSpan w:val="2"/>
          </w:tcPr>
          <w:p w14:paraId="4830DA8E" w14:textId="77777777" w:rsidR="001A2B0D" w:rsidRPr="00A97052" w:rsidRDefault="001A2B0D" w:rsidP="00C243F9">
            <w:pPr>
              <w:tabs>
                <w:tab w:val="center" w:pos="4050"/>
              </w:tabs>
              <w:jc w:val="right"/>
              <w:rPr>
                <w:szCs w:val="24"/>
              </w:rPr>
            </w:pPr>
            <w:r w:rsidRPr="00A97052">
              <w:rPr>
                <w:szCs w:val="24"/>
              </w:rPr>
              <w:t>Paragraph</w:t>
            </w:r>
          </w:p>
        </w:tc>
      </w:tr>
      <w:tr w:rsidR="001A2B0D" w:rsidRPr="00A97052" w14:paraId="79521C31" w14:textId="77777777" w:rsidTr="00C243F9">
        <w:trPr>
          <w:trHeight w:val="432"/>
        </w:trPr>
        <w:tc>
          <w:tcPr>
            <w:tcW w:w="8505" w:type="dxa"/>
          </w:tcPr>
          <w:p w14:paraId="6B5A7DEA" w14:textId="77777777" w:rsidR="001A2B0D" w:rsidRPr="00A97052" w:rsidRDefault="001A2B0D" w:rsidP="00C243F9">
            <w:pPr>
              <w:tabs>
                <w:tab w:val="left" w:pos="480"/>
                <w:tab w:val="right" w:leader="dot" w:pos="8270"/>
              </w:tabs>
              <w:spacing w:after="100"/>
              <w:rPr>
                <w:noProof/>
                <w:szCs w:val="24"/>
              </w:rPr>
            </w:pPr>
            <w:r w:rsidRPr="00A97052">
              <w:rPr>
                <w:noProof/>
                <w:szCs w:val="24"/>
              </w:rPr>
              <w:t>I.</w:t>
            </w:r>
            <w:r w:rsidRPr="00A97052">
              <w:rPr>
                <w:noProof/>
                <w:szCs w:val="24"/>
              </w:rPr>
              <w:tab/>
            </w:r>
            <w:r w:rsidRPr="00A97052">
              <w:rPr>
                <w:noProof/>
                <w:szCs w:val="24"/>
                <w:u w:val="single"/>
              </w:rPr>
              <w:t>Overview</w:t>
            </w:r>
          </w:p>
        </w:tc>
        <w:tc>
          <w:tcPr>
            <w:tcW w:w="851" w:type="dxa"/>
          </w:tcPr>
          <w:p w14:paraId="099D79B0" w14:textId="77777777" w:rsidR="001A2B0D" w:rsidRPr="00A97052" w:rsidRDefault="001A2B0D" w:rsidP="0016589D">
            <w:pPr>
              <w:tabs>
                <w:tab w:val="left" w:pos="480"/>
                <w:tab w:val="right" w:leader="dot" w:pos="8270"/>
              </w:tabs>
              <w:spacing w:after="100"/>
              <w:jc w:val="center"/>
              <w:rPr>
                <w:szCs w:val="24"/>
              </w:rPr>
            </w:pPr>
            <w:r w:rsidRPr="00A97052">
              <w:rPr>
                <w:szCs w:val="24"/>
              </w:rPr>
              <w:t>1</w:t>
            </w:r>
          </w:p>
        </w:tc>
      </w:tr>
      <w:tr w:rsidR="001A2B0D" w:rsidRPr="00A97052" w14:paraId="1970AAF2" w14:textId="77777777" w:rsidTr="00C243F9">
        <w:trPr>
          <w:trHeight w:val="432"/>
        </w:trPr>
        <w:tc>
          <w:tcPr>
            <w:tcW w:w="8505" w:type="dxa"/>
          </w:tcPr>
          <w:p w14:paraId="5E107A09" w14:textId="77777777" w:rsidR="001A2B0D" w:rsidRPr="00A97052" w:rsidRDefault="001A2B0D" w:rsidP="00C243F9">
            <w:pPr>
              <w:tabs>
                <w:tab w:val="left" w:pos="480"/>
                <w:tab w:val="right" w:leader="dot" w:pos="8270"/>
              </w:tabs>
              <w:spacing w:after="100"/>
              <w:rPr>
                <w:noProof/>
                <w:szCs w:val="24"/>
              </w:rPr>
            </w:pPr>
            <w:r w:rsidRPr="00A97052">
              <w:rPr>
                <w:noProof/>
                <w:szCs w:val="24"/>
              </w:rPr>
              <w:t>II.</w:t>
            </w:r>
            <w:r w:rsidRPr="00A97052">
              <w:rPr>
                <w:noProof/>
                <w:szCs w:val="24"/>
              </w:rPr>
              <w:tab/>
            </w:r>
            <w:r w:rsidRPr="00A97052">
              <w:rPr>
                <w:noProof/>
                <w:szCs w:val="24"/>
                <w:u w:val="single"/>
              </w:rPr>
              <w:t>Factual Background</w:t>
            </w:r>
          </w:p>
        </w:tc>
        <w:tc>
          <w:tcPr>
            <w:tcW w:w="851" w:type="dxa"/>
          </w:tcPr>
          <w:p w14:paraId="39269D63" w14:textId="77777777" w:rsidR="001A2B0D" w:rsidRPr="00A97052" w:rsidRDefault="001A2B0D" w:rsidP="0016589D">
            <w:pPr>
              <w:tabs>
                <w:tab w:val="left" w:pos="480"/>
                <w:tab w:val="right" w:leader="dot" w:pos="8270"/>
              </w:tabs>
              <w:spacing w:after="100"/>
              <w:jc w:val="center"/>
              <w:rPr>
                <w:szCs w:val="24"/>
              </w:rPr>
            </w:pPr>
            <w:r w:rsidRPr="00A97052">
              <w:rPr>
                <w:szCs w:val="24"/>
              </w:rPr>
              <w:t>5</w:t>
            </w:r>
          </w:p>
        </w:tc>
      </w:tr>
      <w:tr w:rsidR="001A2B0D" w:rsidRPr="00A97052" w14:paraId="7D65D21C" w14:textId="77777777" w:rsidTr="00C243F9">
        <w:trPr>
          <w:trHeight w:val="432"/>
        </w:trPr>
        <w:tc>
          <w:tcPr>
            <w:tcW w:w="8505" w:type="dxa"/>
          </w:tcPr>
          <w:p w14:paraId="125AC070" w14:textId="77777777" w:rsidR="001A2B0D" w:rsidRPr="00A97052" w:rsidRDefault="001A2B0D" w:rsidP="00C243F9">
            <w:pPr>
              <w:tabs>
                <w:tab w:val="left" w:pos="480"/>
                <w:tab w:val="right" w:leader="dot" w:pos="8270"/>
              </w:tabs>
              <w:spacing w:after="100"/>
              <w:rPr>
                <w:noProof/>
                <w:szCs w:val="24"/>
              </w:rPr>
            </w:pPr>
            <w:r w:rsidRPr="00A97052">
              <w:rPr>
                <w:noProof/>
                <w:szCs w:val="24"/>
              </w:rPr>
              <w:t>III.</w:t>
            </w:r>
            <w:r w:rsidRPr="00A97052">
              <w:rPr>
                <w:noProof/>
                <w:szCs w:val="24"/>
              </w:rPr>
              <w:tab/>
            </w:r>
            <w:r w:rsidRPr="00A97052">
              <w:rPr>
                <w:noProof/>
                <w:szCs w:val="24"/>
                <w:u w:val="single"/>
              </w:rPr>
              <w:t>Judicial History</w:t>
            </w:r>
          </w:p>
        </w:tc>
        <w:tc>
          <w:tcPr>
            <w:tcW w:w="851" w:type="dxa"/>
          </w:tcPr>
          <w:p w14:paraId="3E9536D8" w14:textId="77777777" w:rsidR="001A2B0D" w:rsidRPr="00A97052" w:rsidRDefault="001A2B0D" w:rsidP="0016589D">
            <w:pPr>
              <w:tabs>
                <w:tab w:val="left" w:pos="480"/>
                <w:tab w:val="right" w:leader="dot" w:pos="8270"/>
              </w:tabs>
              <w:spacing w:after="100"/>
              <w:jc w:val="center"/>
              <w:rPr>
                <w:szCs w:val="24"/>
              </w:rPr>
            </w:pPr>
            <w:r w:rsidRPr="00A97052">
              <w:rPr>
                <w:szCs w:val="24"/>
              </w:rPr>
              <w:t>11</w:t>
            </w:r>
          </w:p>
        </w:tc>
      </w:tr>
      <w:tr w:rsidR="001A2B0D" w:rsidRPr="00A97052" w14:paraId="77095787" w14:textId="77777777" w:rsidTr="00C243F9">
        <w:trPr>
          <w:trHeight w:val="432"/>
        </w:trPr>
        <w:tc>
          <w:tcPr>
            <w:tcW w:w="8505" w:type="dxa"/>
          </w:tcPr>
          <w:p w14:paraId="463A6D9D" w14:textId="77777777" w:rsidR="001A2B0D" w:rsidRPr="00A97052" w:rsidRDefault="001A2B0D" w:rsidP="00C243F9">
            <w:pPr>
              <w:tabs>
                <w:tab w:val="left" w:pos="480"/>
                <w:tab w:val="right" w:leader="dot" w:pos="8270"/>
              </w:tabs>
              <w:spacing w:after="100"/>
              <w:rPr>
                <w:noProof/>
                <w:szCs w:val="24"/>
              </w:rPr>
            </w:pPr>
            <w:r w:rsidRPr="00A97052">
              <w:rPr>
                <w:noProof/>
                <w:szCs w:val="24"/>
              </w:rPr>
              <w:t>A.</w:t>
            </w:r>
            <w:r w:rsidRPr="00A97052">
              <w:rPr>
                <w:noProof/>
                <w:szCs w:val="24"/>
              </w:rPr>
              <w:tab/>
            </w:r>
            <w:r w:rsidRPr="00A97052">
              <w:rPr>
                <w:i/>
                <w:noProof/>
                <w:szCs w:val="24"/>
              </w:rPr>
              <w:t>Supreme Court of Nova Scotia, 2019 NSSC 341, 17 L.C.R. (2d) 1 (Chipman J.)</w:t>
            </w:r>
          </w:p>
        </w:tc>
        <w:tc>
          <w:tcPr>
            <w:tcW w:w="851" w:type="dxa"/>
          </w:tcPr>
          <w:p w14:paraId="4A8BFA2C" w14:textId="77777777" w:rsidR="001A2B0D" w:rsidRPr="00A97052" w:rsidRDefault="001A2B0D" w:rsidP="0016589D">
            <w:pPr>
              <w:tabs>
                <w:tab w:val="left" w:pos="480"/>
                <w:tab w:val="right" w:leader="dot" w:pos="8270"/>
              </w:tabs>
              <w:spacing w:after="100"/>
              <w:jc w:val="center"/>
              <w:rPr>
                <w:szCs w:val="24"/>
              </w:rPr>
            </w:pPr>
            <w:r w:rsidRPr="00A97052">
              <w:rPr>
                <w:szCs w:val="24"/>
              </w:rPr>
              <w:t>11</w:t>
            </w:r>
          </w:p>
        </w:tc>
      </w:tr>
      <w:tr w:rsidR="001A2B0D" w:rsidRPr="00A97052" w14:paraId="14AAABEC" w14:textId="77777777" w:rsidTr="00C243F9">
        <w:trPr>
          <w:trHeight w:val="432"/>
        </w:trPr>
        <w:tc>
          <w:tcPr>
            <w:tcW w:w="8505" w:type="dxa"/>
          </w:tcPr>
          <w:p w14:paraId="3C6FC550" w14:textId="77777777" w:rsidR="001A2B0D" w:rsidRPr="00A97052" w:rsidRDefault="001A2B0D" w:rsidP="00C243F9">
            <w:pPr>
              <w:tabs>
                <w:tab w:val="left" w:pos="480"/>
                <w:tab w:val="right" w:leader="dot" w:pos="8270"/>
              </w:tabs>
              <w:spacing w:after="100"/>
              <w:rPr>
                <w:noProof/>
                <w:szCs w:val="24"/>
              </w:rPr>
            </w:pPr>
            <w:r w:rsidRPr="00A97052">
              <w:rPr>
                <w:noProof/>
                <w:szCs w:val="24"/>
              </w:rPr>
              <w:t>B.</w:t>
            </w:r>
            <w:r w:rsidRPr="00A97052">
              <w:rPr>
                <w:noProof/>
                <w:szCs w:val="24"/>
              </w:rPr>
              <w:tab/>
            </w:r>
            <w:r w:rsidRPr="00A97052">
              <w:rPr>
                <w:i/>
                <w:noProof/>
                <w:szCs w:val="24"/>
              </w:rPr>
              <w:t xml:space="preserve">Nova Scotia Court of Appeal, 2021 NSCA 3, 455 D.L.R. (4th) 349 (Beveridge, </w:t>
            </w:r>
            <w:r w:rsidRPr="00A97052">
              <w:rPr>
                <w:noProof/>
                <w:szCs w:val="24"/>
              </w:rPr>
              <w:tab/>
            </w:r>
            <w:r w:rsidRPr="00A97052">
              <w:rPr>
                <w:i/>
                <w:noProof/>
                <w:szCs w:val="24"/>
              </w:rPr>
              <w:t>Farrar and Derrick JJ.A.)</w:t>
            </w:r>
          </w:p>
        </w:tc>
        <w:tc>
          <w:tcPr>
            <w:tcW w:w="851" w:type="dxa"/>
          </w:tcPr>
          <w:p w14:paraId="26F15DDD" w14:textId="77777777" w:rsidR="001A2B0D" w:rsidRPr="00A97052" w:rsidRDefault="001A2B0D" w:rsidP="0016589D">
            <w:pPr>
              <w:tabs>
                <w:tab w:val="left" w:pos="480"/>
                <w:tab w:val="right" w:leader="dot" w:pos="8270"/>
              </w:tabs>
              <w:spacing w:after="100"/>
              <w:jc w:val="center"/>
              <w:rPr>
                <w:szCs w:val="24"/>
              </w:rPr>
            </w:pPr>
            <w:r w:rsidRPr="00A97052">
              <w:rPr>
                <w:szCs w:val="24"/>
              </w:rPr>
              <w:t>14</w:t>
            </w:r>
          </w:p>
        </w:tc>
      </w:tr>
      <w:tr w:rsidR="001A2B0D" w:rsidRPr="00A97052" w14:paraId="2C6757FE" w14:textId="77777777" w:rsidTr="00C243F9">
        <w:trPr>
          <w:trHeight w:val="432"/>
        </w:trPr>
        <w:tc>
          <w:tcPr>
            <w:tcW w:w="8505" w:type="dxa"/>
          </w:tcPr>
          <w:p w14:paraId="72923EE5" w14:textId="77777777" w:rsidR="001A2B0D" w:rsidRPr="00A97052" w:rsidRDefault="001A2B0D" w:rsidP="00C243F9">
            <w:pPr>
              <w:tabs>
                <w:tab w:val="left" w:pos="480"/>
                <w:tab w:val="right" w:leader="dot" w:pos="8270"/>
              </w:tabs>
              <w:spacing w:after="100"/>
              <w:rPr>
                <w:noProof/>
                <w:szCs w:val="24"/>
              </w:rPr>
            </w:pPr>
            <w:r w:rsidRPr="00A97052">
              <w:rPr>
                <w:noProof/>
                <w:szCs w:val="24"/>
              </w:rPr>
              <w:t>IV.</w:t>
            </w:r>
            <w:r w:rsidRPr="00A97052">
              <w:rPr>
                <w:noProof/>
                <w:szCs w:val="24"/>
              </w:rPr>
              <w:tab/>
            </w:r>
            <w:r w:rsidRPr="00A97052">
              <w:rPr>
                <w:noProof/>
                <w:szCs w:val="24"/>
                <w:u w:val="single"/>
              </w:rPr>
              <w:t>Issues</w:t>
            </w:r>
          </w:p>
        </w:tc>
        <w:tc>
          <w:tcPr>
            <w:tcW w:w="851" w:type="dxa"/>
          </w:tcPr>
          <w:p w14:paraId="6F83BFF0" w14:textId="77777777" w:rsidR="001A2B0D" w:rsidRPr="00A97052" w:rsidRDefault="001A2B0D" w:rsidP="0016589D">
            <w:pPr>
              <w:tabs>
                <w:tab w:val="left" w:pos="480"/>
                <w:tab w:val="right" w:leader="dot" w:pos="8270"/>
              </w:tabs>
              <w:spacing w:after="100"/>
              <w:jc w:val="center"/>
              <w:rPr>
                <w:szCs w:val="24"/>
              </w:rPr>
            </w:pPr>
            <w:r w:rsidRPr="00A97052">
              <w:rPr>
                <w:szCs w:val="24"/>
              </w:rPr>
              <w:t>16</w:t>
            </w:r>
          </w:p>
        </w:tc>
      </w:tr>
      <w:tr w:rsidR="001A2B0D" w:rsidRPr="00A97052" w14:paraId="27F882F5" w14:textId="77777777" w:rsidTr="00C243F9">
        <w:trPr>
          <w:trHeight w:val="432"/>
        </w:trPr>
        <w:tc>
          <w:tcPr>
            <w:tcW w:w="8505" w:type="dxa"/>
          </w:tcPr>
          <w:p w14:paraId="13A78437" w14:textId="77777777" w:rsidR="001A2B0D" w:rsidRPr="00A97052" w:rsidRDefault="001A2B0D" w:rsidP="00C243F9">
            <w:pPr>
              <w:tabs>
                <w:tab w:val="left" w:pos="480"/>
                <w:tab w:val="right" w:leader="dot" w:pos="8270"/>
              </w:tabs>
              <w:spacing w:after="100"/>
              <w:rPr>
                <w:noProof/>
                <w:szCs w:val="24"/>
              </w:rPr>
            </w:pPr>
            <w:r w:rsidRPr="00A97052">
              <w:rPr>
                <w:noProof/>
                <w:szCs w:val="24"/>
              </w:rPr>
              <w:t>V.</w:t>
            </w:r>
            <w:r w:rsidRPr="00A97052">
              <w:rPr>
                <w:noProof/>
                <w:szCs w:val="24"/>
              </w:rPr>
              <w:tab/>
            </w:r>
            <w:r w:rsidRPr="00A97052">
              <w:rPr>
                <w:noProof/>
                <w:szCs w:val="24"/>
                <w:u w:val="single"/>
              </w:rPr>
              <w:t>Analysis</w:t>
            </w:r>
          </w:p>
        </w:tc>
        <w:tc>
          <w:tcPr>
            <w:tcW w:w="851" w:type="dxa"/>
          </w:tcPr>
          <w:p w14:paraId="1C87FCC3" w14:textId="77777777" w:rsidR="001A2B0D" w:rsidRPr="00A97052" w:rsidRDefault="001A2B0D" w:rsidP="0016589D">
            <w:pPr>
              <w:tabs>
                <w:tab w:val="left" w:pos="480"/>
                <w:tab w:val="right" w:leader="dot" w:pos="8270"/>
              </w:tabs>
              <w:spacing w:after="100"/>
              <w:jc w:val="center"/>
              <w:rPr>
                <w:szCs w:val="24"/>
              </w:rPr>
            </w:pPr>
            <w:r w:rsidRPr="00A97052">
              <w:rPr>
                <w:szCs w:val="24"/>
              </w:rPr>
              <w:t>17</w:t>
            </w:r>
          </w:p>
        </w:tc>
      </w:tr>
      <w:tr w:rsidR="001A2B0D" w:rsidRPr="00A97052" w14:paraId="071E59FB" w14:textId="77777777" w:rsidTr="00C243F9">
        <w:trPr>
          <w:trHeight w:val="432"/>
        </w:trPr>
        <w:tc>
          <w:tcPr>
            <w:tcW w:w="8505" w:type="dxa"/>
          </w:tcPr>
          <w:p w14:paraId="03C4BABD" w14:textId="77777777" w:rsidR="001A2B0D" w:rsidRPr="00A97052" w:rsidRDefault="001A2B0D" w:rsidP="00C243F9">
            <w:pPr>
              <w:tabs>
                <w:tab w:val="left" w:pos="480"/>
                <w:tab w:val="right" w:leader="dot" w:pos="8270"/>
              </w:tabs>
              <w:spacing w:after="100"/>
              <w:rPr>
                <w:noProof/>
                <w:szCs w:val="24"/>
              </w:rPr>
            </w:pPr>
            <w:r w:rsidRPr="00A97052">
              <w:rPr>
                <w:noProof/>
                <w:szCs w:val="24"/>
              </w:rPr>
              <w:t>A.</w:t>
            </w:r>
            <w:r w:rsidRPr="00A97052">
              <w:rPr>
                <w:noProof/>
                <w:szCs w:val="24"/>
              </w:rPr>
              <w:tab/>
            </w:r>
            <w:r w:rsidRPr="00A97052">
              <w:rPr>
                <w:i/>
                <w:noProof/>
                <w:szCs w:val="24"/>
              </w:rPr>
              <w:t>Overview of the Law of Takings</w:t>
            </w:r>
          </w:p>
        </w:tc>
        <w:tc>
          <w:tcPr>
            <w:tcW w:w="851" w:type="dxa"/>
          </w:tcPr>
          <w:p w14:paraId="2D3C8DF2" w14:textId="77777777" w:rsidR="001A2B0D" w:rsidRPr="00A97052" w:rsidRDefault="001A2B0D" w:rsidP="0016589D">
            <w:pPr>
              <w:tabs>
                <w:tab w:val="left" w:pos="480"/>
                <w:tab w:val="right" w:leader="dot" w:pos="8270"/>
              </w:tabs>
              <w:spacing w:after="100"/>
              <w:jc w:val="center"/>
              <w:rPr>
                <w:szCs w:val="24"/>
              </w:rPr>
            </w:pPr>
            <w:r w:rsidRPr="00A97052">
              <w:rPr>
                <w:szCs w:val="24"/>
              </w:rPr>
              <w:t>17</w:t>
            </w:r>
          </w:p>
        </w:tc>
      </w:tr>
      <w:tr w:rsidR="001A2B0D" w:rsidRPr="00A97052" w14:paraId="48702E17" w14:textId="77777777" w:rsidTr="00C243F9">
        <w:trPr>
          <w:trHeight w:val="432"/>
        </w:trPr>
        <w:tc>
          <w:tcPr>
            <w:tcW w:w="8505" w:type="dxa"/>
          </w:tcPr>
          <w:p w14:paraId="326E963A" w14:textId="77777777" w:rsidR="001A2B0D" w:rsidRPr="00A97052" w:rsidRDefault="001A2B0D" w:rsidP="00C243F9">
            <w:pPr>
              <w:tabs>
                <w:tab w:val="left" w:pos="480"/>
                <w:tab w:val="right" w:leader="dot" w:pos="8270"/>
              </w:tabs>
              <w:spacing w:after="100"/>
              <w:rPr>
                <w:noProof/>
                <w:szCs w:val="24"/>
              </w:rPr>
            </w:pPr>
            <w:r w:rsidRPr="00A97052">
              <w:rPr>
                <w:noProof/>
                <w:szCs w:val="24"/>
              </w:rPr>
              <w:t>B.</w:t>
            </w:r>
            <w:r w:rsidRPr="00A97052">
              <w:rPr>
                <w:noProof/>
                <w:szCs w:val="24"/>
              </w:rPr>
              <w:tab/>
            </w:r>
            <w:r w:rsidRPr="00A97052">
              <w:rPr>
                <w:i/>
                <w:noProof/>
                <w:szCs w:val="24"/>
              </w:rPr>
              <w:t>“Beneficial Interest”</w:t>
            </w:r>
          </w:p>
        </w:tc>
        <w:tc>
          <w:tcPr>
            <w:tcW w:w="851" w:type="dxa"/>
          </w:tcPr>
          <w:p w14:paraId="5785F0B5" w14:textId="77777777" w:rsidR="001A2B0D" w:rsidRPr="00A97052" w:rsidRDefault="001A2B0D" w:rsidP="0016589D">
            <w:pPr>
              <w:tabs>
                <w:tab w:val="left" w:pos="480"/>
                <w:tab w:val="right" w:leader="dot" w:pos="8270"/>
              </w:tabs>
              <w:spacing w:after="100"/>
              <w:jc w:val="center"/>
              <w:rPr>
                <w:szCs w:val="24"/>
              </w:rPr>
            </w:pPr>
            <w:r w:rsidRPr="00A97052">
              <w:rPr>
                <w:szCs w:val="24"/>
              </w:rPr>
              <w:t>27</w:t>
            </w:r>
          </w:p>
        </w:tc>
      </w:tr>
      <w:tr w:rsidR="001A2B0D" w:rsidRPr="00A97052" w14:paraId="0F0797BD" w14:textId="77777777" w:rsidTr="00C243F9">
        <w:trPr>
          <w:trHeight w:val="432"/>
        </w:trPr>
        <w:tc>
          <w:tcPr>
            <w:tcW w:w="8505" w:type="dxa"/>
          </w:tcPr>
          <w:p w14:paraId="12A4F622" w14:textId="77777777" w:rsidR="001A2B0D" w:rsidRPr="00A97052" w:rsidRDefault="001A2B0D" w:rsidP="00C243F9">
            <w:pPr>
              <w:tabs>
                <w:tab w:val="left" w:pos="1100"/>
                <w:tab w:val="right" w:leader="dot" w:pos="8270"/>
              </w:tabs>
              <w:spacing w:after="100"/>
              <w:ind w:left="480"/>
              <w:rPr>
                <w:noProof/>
                <w:szCs w:val="24"/>
              </w:rPr>
            </w:pPr>
            <w:r w:rsidRPr="00A97052">
              <w:rPr>
                <w:noProof/>
                <w:szCs w:val="24"/>
                <w14:scene3d>
                  <w14:camera w14:prst="orthographicFront"/>
                  <w14:lightRig w14:rig="threePt" w14:dir="t">
                    <w14:rot w14:lat="0" w14:lon="0" w14:rev="0"/>
                  </w14:lightRig>
                </w14:scene3d>
              </w:rPr>
              <w:t>(1)</w:t>
            </w:r>
            <w:r w:rsidRPr="00A97052">
              <w:rPr>
                <w:noProof/>
                <w:szCs w:val="24"/>
              </w:rPr>
              <w:tab/>
            </w:r>
            <w:r w:rsidRPr="00A97052">
              <w:rPr>
                <w:i/>
                <w:noProof/>
                <w:szCs w:val="24"/>
                <w:u w:val="single"/>
              </w:rPr>
              <w:t>Manitoba Fisheries</w:t>
            </w:r>
          </w:p>
        </w:tc>
        <w:tc>
          <w:tcPr>
            <w:tcW w:w="851" w:type="dxa"/>
          </w:tcPr>
          <w:p w14:paraId="5D833EA8" w14:textId="77777777" w:rsidR="001A2B0D" w:rsidRPr="00A97052" w:rsidRDefault="001A2B0D" w:rsidP="0016589D">
            <w:pPr>
              <w:tabs>
                <w:tab w:val="left" w:pos="480"/>
                <w:tab w:val="right" w:leader="dot" w:pos="8270"/>
              </w:tabs>
              <w:spacing w:after="100"/>
              <w:jc w:val="center"/>
              <w:rPr>
                <w:szCs w:val="24"/>
              </w:rPr>
            </w:pPr>
            <w:r w:rsidRPr="00A97052">
              <w:rPr>
                <w:szCs w:val="24"/>
              </w:rPr>
              <w:t>28</w:t>
            </w:r>
          </w:p>
        </w:tc>
      </w:tr>
      <w:tr w:rsidR="001A2B0D" w:rsidRPr="00A97052" w14:paraId="7567A15B" w14:textId="77777777" w:rsidTr="00C243F9">
        <w:trPr>
          <w:trHeight w:val="432"/>
        </w:trPr>
        <w:tc>
          <w:tcPr>
            <w:tcW w:w="8505" w:type="dxa"/>
          </w:tcPr>
          <w:p w14:paraId="3154E5EF" w14:textId="77777777" w:rsidR="001A2B0D" w:rsidRPr="00A97052" w:rsidRDefault="001A2B0D" w:rsidP="00C243F9">
            <w:pPr>
              <w:tabs>
                <w:tab w:val="left" w:pos="1100"/>
                <w:tab w:val="right" w:leader="dot" w:pos="8270"/>
              </w:tabs>
              <w:spacing w:after="100"/>
              <w:ind w:left="480"/>
              <w:rPr>
                <w:noProof/>
                <w:szCs w:val="24"/>
                <w14:scene3d>
                  <w14:camera w14:prst="orthographicFront"/>
                  <w14:lightRig w14:rig="threePt" w14:dir="t">
                    <w14:rot w14:lat="0" w14:lon="0" w14:rev="0"/>
                  </w14:lightRig>
                </w14:scene3d>
              </w:rPr>
            </w:pPr>
            <w:r w:rsidRPr="00A97052">
              <w:rPr>
                <w:noProof/>
                <w:szCs w:val="24"/>
                <w14:scene3d>
                  <w14:camera w14:prst="orthographicFront"/>
                  <w14:lightRig w14:rig="threePt" w14:dir="t">
                    <w14:rot w14:lat="0" w14:lon="0" w14:rev="0"/>
                  </w14:lightRig>
                </w14:scene3d>
              </w:rPr>
              <w:t>(2)</w:t>
            </w:r>
            <w:r w:rsidRPr="00A97052">
              <w:rPr>
                <w:noProof/>
                <w:szCs w:val="24"/>
              </w:rPr>
              <w:tab/>
            </w:r>
            <w:r w:rsidRPr="00A97052">
              <w:rPr>
                <w:i/>
                <w:noProof/>
                <w:szCs w:val="24"/>
                <w:u w:val="single"/>
              </w:rPr>
              <w:t>Tener</w:t>
            </w:r>
          </w:p>
        </w:tc>
        <w:tc>
          <w:tcPr>
            <w:tcW w:w="851" w:type="dxa"/>
          </w:tcPr>
          <w:p w14:paraId="2105C51D" w14:textId="77777777" w:rsidR="001A2B0D" w:rsidRPr="00A97052" w:rsidRDefault="001A2B0D" w:rsidP="0016589D">
            <w:pPr>
              <w:tabs>
                <w:tab w:val="left" w:pos="480"/>
                <w:tab w:val="right" w:leader="dot" w:pos="8270"/>
              </w:tabs>
              <w:spacing w:after="100"/>
              <w:jc w:val="center"/>
              <w:rPr>
                <w:szCs w:val="24"/>
              </w:rPr>
            </w:pPr>
            <w:r w:rsidRPr="00A97052">
              <w:rPr>
                <w:szCs w:val="24"/>
              </w:rPr>
              <w:t>32</w:t>
            </w:r>
          </w:p>
        </w:tc>
      </w:tr>
      <w:tr w:rsidR="001A2B0D" w:rsidRPr="00A97052" w14:paraId="60A0D06B" w14:textId="77777777" w:rsidTr="00C243F9">
        <w:trPr>
          <w:trHeight w:val="432"/>
        </w:trPr>
        <w:tc>
          <w:tcPr>
            <w:tcW w:w="8505" w:type="dxa"/>
          </w:tcPr>
          <w:p w14:paraId="23A60643" w14:textId="77777777" w:rsidR="001A2B0D" w:rsidRPr="00A97052" w:rsidRDefault="001A2B0D" w:rsidP="00C243F9">
            <w:pPr>
              <w:tabs>
                <w:tab w:val="left" w:pos="1100"/>
                <w:tab w:val="right" w:leader="dot" w:pos="8270"/>
              </w:tabs>
              <w:spacing w:after="100"/>
              <w:ind w:left="482"/>
              <w:rPr>
                <w:noProof/>
                <w:szCs w:val="24"/>
                <w14:scene3d>
                  <w14:camera w14:prst="orthographicFront"/>
                  <w14:lightRig w14:rig="threePt" w14:dir="t">
                    <w14:rot w14:lat="0" w14:lon="0" w14:rev="0"/>
                  </w14:lightRig>
                </w14:scene3d>
              </w:rPr>
            </w:pPr>
            <w:r w:rsidRPr="00A97052">
              <w:rPr>
                <w:noProof/>
                <w:szCs w:val="24"/>
                <w14:scene3d>
                  <w14:camera w14:prst="orthographicFront"/>
                  <w14:lightRig w14:rig="threePt" w14:dir="t">
                    <w14:rot w14:lat="0" w14:lon="0" w14:rev="0"/>
                  </w14:lightRig>
                </w14:scene3d>
              </w:rPr>
              <w:t>(3)</w:t>
            </w:r>
            <w:r w:rsidRPr="00A97052">
              <w:rPr>
                <w:noProof/>
                <w:szCs w:val="24"/>
              </w:rPr>
              <w:tab/>
            </w:r>
            <w:r w:rsidRPr="00A97052">
              <w:rPr>
                <w:noProof/>
                <w:szCs w:val="24"/>
                <w:u w:val="single"/>
              </w:rPr>
              <w:t>Defining the Nature of a “Beneficial Interest”</w:t>
            </w:r>
          </w:p>
        </w:tc>
        <w:tc>
          <w:tcPr>
            <w:tcW w:w="851" w:type="dxa"/>
          </w:tcPr>
          <w:p w14:paraId="334B08E4" w14:textId="77777777" w:rsidR="001A2B0D" w:rsidRPr="00A97052" w:rsidRDefault="001A2B0D" w:rsidP="0016589D">
            <w:pPr>
              <w:tabs>
                <w:tab w:val="left" w:pos="480"/>
                <w:tab w:val="right" w:leader="dot" w:pos="8270"/>
              </w:tabs>
              <w:spacing w:after="100"/>
              <w:jc w:val="center"/>
              <w:rPr>
                <w:szCs w:val="24"/>
              </w:rPr>
            </w:pPr>
            <w:r w:rsidRPr="00A97052">
              <w:rPr>
                <w:szCs w:val="24"/>
              </w:rPr>
              <w:t>38</w:t>
            </w:r>
          </w:p>
        </w:tc>
      </w:tr>
      <w:tr w:rsidR="001A2B0D" w:rsidRPr="00A97052" w14:paraId="2BC65680" w14:textId="77777777" w:rsidTr="00C243F9">
        <w:trPr>
          <w:trHeight w:val="432"/>
        </w:trPr>
        <w:tc>
          <w:tcPr>
            <w:tcW w:w="8505" w:type="dxa"/>
          </w:tcPr>
          <w:p w14:paraId="14687E8D" w14:textId="77777777" w:rsidR="001A2B0D" w:rsidRPr="00A97052" w:rsidRDefault="001A2B0D" w:rsidP="00C243F9">
            <w:pPr>
              <w:tabs>
                <w:tab w:val="left" w:pos="1134"/>
                <w:tab w:val="right" w:leader="dot" w:pos="8270"/>
              </w:tabs>
              <w:spacing w:after="100"/>
              <w:ind w:left="1134" w:hanging="652"/>
              <w:rPr>
                <w:noProof/>
                <w:szCs w:val="24"/>
                <w14:scene3d>
                  <w14:camera w14:prst="orthographicFront"/>
                  <w14:lightRig w14:rig="threePt" w14:dir="t">
                    <w14:rot w14:lat="0" w14:lon="0" w14:rev="0"/>
                  </w14:lightRig>
                </w14:scene3d>
              </w:rPr>
            </w:pPr>
            <w:r w:rsidRPr="00A97052">
              <w:rPr>
                <w:noProof/>
                <w:szCs w:val="24"/>
                <w14:scene3d>
                  <w14:camera w14:prst="orthographicFront"/>
                  <w14:lightRig w14:rig="threePt" w14:dir="t">
                    <w14:rot w14:lat="0" w14:lon="0" w14:rev="0"/>
                  </w14:lightRig>
                </w14:scene3d>
              </w:rPr>
              <w:t>(4)</w:t>
            </w:r>
            <w:r w:rsidRPr="00A97052">
              <w:rPr>
                <w:noProof/>
                <w:szCs w:val="24"/>
              </w:rPr>
              <w:tab/>
            </w:r>
            <w:r w:rsidRPr="00A97052">
              <w:rPr>
                <w:noProof/>
                <w:szCs w:val="24"/>
                <w:u w:val="single"/>
              </w:rPr>
              <w:t>Conclusion on “Beneficial Interest”</w:t>
            </w:r>
          </w:p>
        </w:tc>
        <w:tc>
          <w:tcPr>
            <w:tcW w:w="851" w:type="dxa"/>
          </w:tcPr>
          <w:p w14:paraId="07CBAD5C" w14:textId="77777777" w:rsidR="001A2B0D" w:rsidRPr="00A97052" w:rsidRDefault="001A2B0D" w:rsidP="0016589D">
            <w:pPr>
              <w:tabs>
                <w:tab w:val="left" w:pos="480"/>
                <w:tab w:val="right" w:leader="dot" w:pos="8270"/>
              </w:tabs>
              <w:spacing w:after="100"/>
              <w:jc w:val="center"/>
              <w:rPr>
                <w:szCs w:val="24"/>
              </w:rPr>
            </w:pPr>
            <w:r w:rsidRPr="00A97052">
              <w:rPr>
                <w:szCs w:val="24"/>
              </w:rPr>
              <w:t>44</w:t>
            </w:r>
          </w:p>
        </w:tc>
      </w:tr>
      <w:tr w:rsidR="001A2B0D" w:rsidRPr="00A97052" w14:paraId="531D1ACA" w14:textId="77777777" w:rsidTr="00C243F9">
        <w:trPr>
          <w:trHeight w:val="432"/>
        </w:trPr>
        <w:tc>
          <w:tcPr>
            <w:tcW w:w="8505" w:type="dxa"/>
          </w:tcPr>
          <w:p w14:paraId="72F12930" w14:textId="77777777" w:rsidR="001A2B0D" w:rsidRPr="00A97052" w:rsidRDefault="001A2B0D" w:rsidP="00C243F9">
            <w:pPr>
              <w:tabs>
                <w:tab w:val="left" w:pos="480"/>
                <w:tab w:val="right" w:leader="dot" w:pos="8270"/>
              </w:tabs>
              <w:spacing w:after="100"/>
              <w:rPr>
                <w:noProof/>
                <w:szCs w:val="24"/>
              </w:rPr>
            </w:pPr>
            <w:r w:rsidRPr="00A97052">
              <w:rPr>
                <w:noProof/>
                <w:szCs w:val="24"/>
              </w:rPr>
              <w:t>C.</w:t>
            </w:r>
            <w:r w:rsidRPr="00A97052">
              <w:rPr>
                <w:noProof/>
                <w:szCs w:val="24"/>
              </w:rPr>
              <w:tab/>
            </w:r>
            <w:r w:rsidRPr="00A97052">
              <w:rPr>
                <w:i/>
                <w:noProof/>
                <w:szCs w:val="24"/>
              </w:rPr>
              <w:t>Disguised Expropriation in Quebec Civil Law</w:t>
            </w:r>
            <w:bookmarkStart w:id="0" w:name="_GoBack"/>
            <w:bookmarkEnd w:id="0"/>
          </w:p>
        </w:tc>
        <w:tc>
          <w:tcPr>
            <w:tcW w:w="851" w:type="dxa"/>
          </w:tcPr>
          <w:p w14:paraId="28C61B96" w14:textId="77777777" w:rsidR="001A2B0D" w:rsidRPr="00A97052" w:rsidRDefault="001A2B0D" w:rsidP="0016589D">
            <w:pPr>
              <w:tabs>
                <w:tab w:val="left" w:pos="480"/>
                <w:tab w:val="right" w:leader="dot" w:pos="8270"/>
              </w:tabs>
              <w:spacing w:after="100"/>
              <w:jc w:val="center"/>
              <w:rPr>
                <w:szCs w:val="24"/>
              </w:rPr>
            </w:pPr>
            <w:r w:rsidRPr="00A97052">
              <w:rPr>
                <w:szCs w:val="24"/>
              </w:rPr>
              <w:t>46</w:t>
            </w:r>
          </w:p>
        </w:tc>
      </w:tr>
      <w:tr w:rsidR="001A2B0D" w:rsidRPr="00A97052" w14:paraId="5C6C9D25" w14:textId="77777777" w:rsidTr="00C243F9">
        <w:trPr>
          <w:trHeight w:val="432"/>
        </w:trPr>
        <w:tc>
          <w:tcPr>
            <w:tcW w:w="8505" w:type="dxa"/>
          </w:tcPr>
          <w:p w14:paraId="1E99944C" w14:textId="77777777" w:rsidR="001A2B0D" w:rsidRPr="00A97052" w:rsidRDefault="001A2B0D" w:rsidP="00C243F9">
            <w:pPr>
              <w:tabs>
                <w:tab w:val="left" w:pos="480"/>
                <w:tab w:val="right" w:leader="dot" w:pos="8270"/>
              </w:tabs>
              <w:spacing w:after="100"/>
              <w:rPr>
                <w:noProof/>
                <w:szCs w:val="24"/>
              </w:rPr>
            </w:pPr>
            <w:r w:rsidRPr="00A97052">
              <w:rPr>
                <w:noProof/>
                <w:szCs w:val="24"/>
              </w:rPr>
              <w:t>D.</w:t>
            </w:r>
            <w:r w:rsidRPr="00A97052">
              <w:rPr>
                <w:noProof/>
                <w:szCs w:val="24"/>
              </w:rPr>
              <w:tab/>
            </w:r>
            <w:r w:rsidRPr="00A97052">
              <w:rPr>
                <w:i/>
                <w:noProof/>
                <w:szCs w:val="24"/>
              </w:rPr>
              <w:t>Intention</w:t>
            </w:r>
          </w:p>
        </w:tc>
        <w:tc>
          <w:tcPr>
            <w:tcW w:w="851" w:type="dxa"/>
          </w:tcPr>
          <w:p w14:paraId="04DAE415" w14:textId="77777777" w:rsidR="001A2B0D" w:rsidRPr="00A97052" w:rsidRDefault="001A2B0D" w:rsidP="0016589D">
            <w:pPr>
              <w:tabs>
                <w:tab w:val="left" w:pos="480"/>
                <w:tab w:val="right" w:leader="dot" w:pos="8270"/>
              </w:tabs>
              <w:spacing w:after="100"/>
              <w:jc w:val="center"/>
              <w:rPr>
                <w:szCs w:val="24"/>
              </w:rPr>
            </w:pPr>
            <w:r w:rsidRPr="00A97052">
              <w:rPr>
                <w:szCs w:val="24"/>
              </w:rPr>
              <w:t>51</w:t>
            </w:r>
          </w:p>
        </w:tc>
      </w:tr>
      <w:tr w:rsidR="001A2B0D" w:rsidRPr="00A97052" w14:paraId="3E4BF9F0" w14:textId="77777777" w:rsidTr="00C243F9">
        <w:trPr>
          <w:trHeight w:val="432"/>
        </w:trPr>
        <w:tc>
          <w:tcPr>
            <w:tcW w:w="8505" w:type="dxa"/>
          </w:tcPr>
          <w:p w14:paraId="4DD57207" w14:textId="77777777" w:rsidR="001A2B0D" w:rsidRPr="00A97052" w:rsidRDefault="001A2B0D" w:rsidP="00C243F9">
            <w:pPr>
              <w:tabs>
                <w:tab w:val="left" w:pos="480"/>
                <w:tab w:val="right" w:leader="dot" w:pos="8270"/>
              </w:tabs>
              <w:spacing w:after="100"/>
              <w:rPr>
                <w:noProof/>
                <w:szCs w:val="24"/>
              </w:rPr>
            </w:pPr>
            <w:r w:rsidRPr="00A97052">
              <w:rPr>
                <w:noProof/>
                <w:szCs w:val="24"/>
              </w:rPr>
              <w:t>E.</w:t>
            </w:r>
            <w:r w:rsidRPr="00A97052">
              <w:rPr>
                <w:noProof/>
                <w:szCs w:val="24"/>
              </w:rPr>
              <w:tab/>
            </w:r>
            <w:r w:rsidRPr="00A97052">
              <w:rPr>
                <w:i/>
                <w:noProof/>
                <w:szCs w:val="24"/>
              </w:rPr>
              <w:t>Application</w:t>
            </w:r>
          </w:p>
        </w:tc>
        <w:tc>
          <w:tcPr>
            <w:tcW w:w="851" w:type="dxa"/>
          </w:tcPr>
          <w:p w14:paraId="10844B5D" w14:textId="77777777" w:rsidR="001A2B0D" w:rsidRPr="00A97052" w:rsidRDefault="001A2B0D" w:rsidP="0016589D">
            <w:pPr>
              <w:tabs>
                <w:tab w:val="left" w:pos="480"/>
                <w:tab w:val="right" w:leader="dot" w:pos="8270"/>
              </w:tabs>
              <w:spacing w:after="100"/>
              <w:jc w:val="center"/>
              <w:rPr>
                <w:szCs w:val="24"/>
              </w:rPr>
            </w:pPr>
            <w:r w:rsidRPr="00A97052">
              <w:rPr>
                <w:szCs w:val="24"/>
              </w:rPr>
              <w:t>58</w:t>
            </w:r>
          </w:p>
        </w:tc>
      </w:tr>
      <w:tr w:rsidR="001A2B0D" w:rsidRPr="00A97052" w14:paraId="09D8FEFD" w14:textId="77777777" w:rsidTr="00C243F9">
        <w:trPr>
          <w:trHeight w:val="432"/>
        </w:trPr>
        <w:tc>
          <w:tcPr>
            <w:tcW w:w="8505" w:type="dxa"/>
          </w:tcPr>
          <w:p w14:paraId="03C04D26" w14:textId="77777777" w:rsidR="001A2B0D" w:rsidRPr="00A97052" w:rsidRDefault="001A2B0D" w:rsidP="00C243F9">
            <w:pPr>
              <w:tabs>
                <w:tab w:val="left" w:pos="1100"/>
                <w:tab w:val="right" w:leader="dot" w:pos="8270"/>
              </w:tabs>
              <w:spacing w:after="100"/>
              <w:ind w:left="480"/>
              <w:rPr>
                <w:noProof/>
                <w:szCs w:val="24"/>
              </w:rPr>
            </w:pPr>
            <w:r w:rsidRPr="00A97052">
              <w:rPr>
                <w:noProof/>
                <w:szCs w:val="24"/>
                <w14:scene3d>
                  <w14:camera w14:prst="orthographicFront"/>
                  <w14:lightRig w14:rig="threePt" w14:dir="t">
                    <w14:rot w14:lat="0" w14:lon="0" w14:rev="0"/>
                  </w14:lightRig>
                </w14:scene3d>
              </w:rPr>
              <w:t>(1)</w:t>
            </w:r>
            <w:r w:rsidRPr="00A97052">
              <w:rPr>
                <w:noProof/>
                <w:szCs w:val="24"/>
              </w:rPr>
              <w:tab/>
            </w:r>
            <w:r w:rsidRPr="00A97052">
              <w:rPr>
                <w:noProof/>
                <w:szCs w:val="24"/>
                <w:u w:val="single"/>
              </w:rPr>
              <w:t>Halifax’s Alleged Acquisition of a Beneficial Interest in the Annapolis</w:t>
            </w:r>
            <w:r w:rsidRPr="00A97052">
              <w:rPr>
                <w:noProof/>
                <w:szCs w:val="24"/>
              </w:rPr>
              <w:t xml:space="preserve"> </w:t>
            </w:r>
            <w:r w:rsidRPr="00A97052">
              <w:rPr>
                <w:noProof/>
                <w:szCs w:val="24"/>
              </w:rPr>
              <w:tab/>
            </w:r>
            <w:r w:rsidRPr="00A97052">
              <w:rPr>
                <w:noProof/>
                <w:szCs w:val="24"/>
                <w:u w:val="single"/>
              </w:rPr>
              <w:t>Lands</w:t>
            </w:r>
          </w:p>
        </w:tc>
        <w:tc>
          <w:tcPr>
            <w:tcW w:w="851" w:type="dxa"/>
          </w:tcPr>
          <w:p w14:paraId="035C5FEF" w14:textId="77777777" w:rsidR="001A2B0D" w:rsidRPr="00A97052" w:rsidRDefault="001A2B0D" w:rsidP="0016589D">
            <w:pPr>
              <w:tabs>
                <w:tab w:val="left" w:pos="480"/>
                <w:tab w:val="right" w:leader="dot" w:pos="8270"/>
              </w:tabs>
              <w:spacing w:after="100"/>
              <w:jc w:val="center"/>
              <w:rPr>
                <w:szCs w:val="24"/>
              </w:rPr>
            </w:pPr>
            <w:r w:rsidRPr="00A97052">
              <w:rPr>
                <w:szCs w:val="24"/>
              </w:rPr>
              <w:t>64</w:t>
            </w:r>
          </w:p>
        </w:tc>
      </w:tr>
      <w:tr w:rsidR="001A2B0D" w:rsidRPr="00A97052" w14:paraId="477EC199" w14:textId="77777777" w:rsidTr="00C243F9">
        <w:trPr>
          <w:trHeight w:val="432"/>
        </w:trPr>
        <w:tc>
          <w:tcPr>
            <w:tcW w:w="8505" w:type="dxa"/>
          </w:tcPr>
          <w:p w14:paraId="64BAD4FF" w14:textId="77777777" w:rsidR="001A2B0D" w:rsidRPr="00A97052" w:rsidRDefault="001A2B0D" w:rsidP="00C243F9">
            <w:pPr>
              <w:tabs>
                <w:tab w:val="left" w:pos="1100"/>
                <w:tab w:val="right" w:leader="dot" w:pos="8270"/>
              </w:tabs>
              <w:spacing w:after="100"/>
              <w:ind w:left="480"/>
              <w:rPr>
                <w:noProof/>
                <w:szCs w:val="24"/>
              </w:rPr>
            </w:pPr>
            <w:r w:rsidRPr="00A97052">
              <w:rPr>
                <w:noProof/>
                <w:szCs w:val="24"/>
                <w14:scene3d>
                  <w14:camera w14:prst="orthographicFront"/>
                  <w14:lightRig w14:rig="threePt" w14:dir="t">
                    <w14:rot w14:lat="0" w14:lon="0" w14:rev="0"/>
                  </w14:lightRig>
                </w14:scene3d>
              </w:rPr>
              <w:t>(2)</w:t>
            </w:r>
            <w:r w:rsidRPr="00A97052">
              <w:rPr>
                <w:noProof/>
                <w:szCs w:val="24"/>
              </w:rPr>
              <w:tab/>
            </w:r>
            <w:r w:rsidRPr="00A97052">
              <w:rPr>
                <w:noProof/>
                <w:szCs w:val="24"/>
                <w:u w:val="single"/>
              </w:rPr>
              <w:t>Halifax’s Alleged Removal of All Reasonable Uses of the Annapolis Lands</w:t>
            </w:r>
          </w:p>
        </w:tc>
        <w:tc>
          <w:tcPr>
            <w:tcW w:w="851" w:type="dxa"/>
          </w:tcPr>
          <w:p w14:paraId="6E8A3777" w14:textId="77777777" w:rsidR="001A2B0D" w:rsidRPr="00A97052" w:rsidRDefault="001A2B0D" w:rsidP="0016589D">
            <w:pPr>
              <w:tabs>
                <w:tab w:val="left" w:pos="480"/>
                <w:tab w:val="right" w:leader="dot" w:pos="8270"/>
              </w:tabs>
              <w:spacing w:after="100"/>
              <w:jc w:val="center"/>
              <w:rPr>
                <w:szCs w:val="24"/>
              </w:rPr>
            </w:pPr>
            <w:r w:rsidRPr="00A97052">
              <w:rPr>
                <w:szCs w:val="24"/>
              </w:rPr>
              <w:t>69</w:t>
            </w:r>
          </w:p>
        </w:tc>
      </w:tr>
      <w:tr w:rsidR="001A2B0D" w:rsidRPr="00A97052" w14:paraId="2F3B6783" w14:textId="77777777" w:rsidTr="00C243F9">
        <w:trPr>
          <w:trHeight w:val="432"/>
        </w:trPr>
        <w:tc>
          <w:tcPr>
            <w:tcW w:w="8505" w:type="dxa"/>
          </w:tcPr>
          <w:p w14:paraId="64D5DDAD" w14:textId="77777777" w:rsidR="001A2B0D" w:rsidRPr="00A97052" w:rsidRDefault="001A2B0D" w:rsidP="00C243F9">
            <w:pPr>
              <w:tabs>
                <w:tab w:val="left" w:pos="480"/>
                <w:tab w:val="right" w:leader="dot" w:pos="8270"/>
              </w:tabs>
              <w:spacing w:after="100"/>
              <w:rPr>
                <w:noProof/>
                <w:szCs w:val="24"/>
              </w:rPr>
            </w:pPr>
            <w:r w:rsidRPr="00A97052">
              <w:rPr>
                <w:noProof/>
                <w:szCs w:val="24"/>
              </w:rPr>
              <w:t>VI.</w:t>
            </w:r>
            <w:r w:rsidRPr="00A97052">
              <w:rPr>
                <w:noProof/>
                <w:szCs w:val="24"/>
              </w:rPr>
              <w:tab/>
            </w:r>
            <w:r w:rsidRPr="00A97052">
              <w:rPr>
                <w:noProof/>
                <w:szCs w:val="24"/>
                <w:u w:val="single"/>
              </w:rPr>
              <w:t>Disposition</w:t>
            </w:r>
          </w:p>
        </w:tc>
        <w:tc>
          <w:tcPr>
            <w:tcW w:w="851" w:type="dxa"/>
          </w:tcPr>
          <w:p w14:paraId="7BA6208B" w14:textId="77777777" w:rsidR="001A2B0D" w:rsidRPr="00A97052" w:rsidRDefault="001A2B0D" w:rsidP="0016589D">
            <w:pPr>
              <w:tabs>
                <w:tab w:val="left" w:pos="480"/>
                <w:tab w:val="right" w:leader="dot" w:pos="8270"/>
              </w:tabs>
              <w:spacing w:after="100"/>
              <w:jc w:val="center"/>
              <w:rPr>
                <w:szCs w:val="24"/>
              </w:rPr>
            </w:pPr>
            <w:r w:rsidRPr="00A97052">
              <w:rPr>
                <w:szCs w:val="24"/>
              </w:rPr>
              <w:t>80</w:t>
            </w:r>
          </w:p>
        </w:tc>
      </w:tr>
    </w:tbl>
    <w:p w14:paraId="14FEDF8A" w14:textId="77777777" w:rsidR="001A2B0D" w:rsidRPr="00A97052" w:rsidRDefault="001A2B0D" w:rsidP="001A2B0D">
      <w:pPr>
        <w:pStyle w:val="Title1LevelTitre1Niveau-AltL"/>
        <w:numPr>
          <w:ilvl w:val="0"/>
          <w:numId w:val="8"/>
        </w:numPr>
        <w:rPr>
          <w:rFonts w:cs="Times New Roman"/>
        </w:rPr>
      </w:pPr>
      <w:bookmarkStart w:id="1" w:name="_Toc101877246"/>
      <w:bookmarkStart w:id="2" w:name="_Toc105502341"/>
      <w:r w:rsidRPr="00A97052">
        <w:rPr>
          <w:rFonts w:cs="Times New Roman"/>
        </w:rPr>
        <w:t>Overview</w:t>
      </w:r>
      <w:bookmarkEnd w:id="1"/>
      <w:bookmarkEnd w:id="2"/>
    </w:p>
    <w:p w14:paraId="10D26789" w14:textId="77777777" w:rsidR="001A2B0D" w:rsidRPr="00A97052" w:rsidRDefault="001A2B0D" w:rsidP="001A2B0D">
      <w:pPr>
        <w:pStyle w:val="ParaNoNdepar-AltN"/>
        <w:rPr>
          <w:rFonts w:cs="Times New Roman"/>
        </w:rPr>
      </w:pPr>
      <w:r w:rsidRPr="00A97052">
        <w:rPr>
          <w:rFonts w:cs="Times New Roman"/>
        </w:rPr>
        <w:t xml:space="preserve">This appeal calls upon the Court to clarify the circumstances in which state regulation of land use may effect a </w:t>
      </w:r>
      <w:r w:rsidRPr="00A97052">
        <w:rPr>
          <w:rFonts w:cs="Times New Roman"/>
          <w:i/>
        </w:rPr>
        <w:t>de facto</w:t>
      </w:r>
      <w:r w:rsidRPr="00A97052">
        <w:rPr>
          <w:rFonts w:cs="Times New Roman"/>
        </w:rPr>
        <w:t xml:space="preserve"> or (as we will refer to it) “constructive”</w:t>
      </w:r>
      <w:r w:rsidRPr="00A97052">
        <w:rPr>
          <w:rFonts w:cs="Times New Roman"/>
          <w:i/>
        </w:rPr>
        <w:t xml:space="preserve"> </w:t>
      </w:r>
      <w:r w:rsidRPr="00A97052">
        <w:rPr>
          <w:rFonts w:cs="Times New Roman"/>
        </w:rPr>
        <w:t>taking of private property.</w:t>
      </w:r>
    </w:p>
    <w:p w14:paraId="72DAA14C" w14:textId="77777777" w:rsidR="001A2B0D" w:rsidRPr="00A97052" w:rsidRDefault="001A2B0D" w:rsidP="001A2B0D">
      <w:pPr>
        <w:pStyle w:val="ParaNoNdepar-AltN"/>
        <w:rPr>
          <w:rFonts w:cs="Times New Roman"/>
        </w:rPr>
      </w:pPr>
      <w:r w:rsidRPr="00A97052">
        <w:rPr>
          <w:rFonts w:cs="Times New Roman"/>
        </w:rPr>
        <w:t>The appellant, Annapolis Group Inc., contends that the respondent, Halifax Regional Municipality, improperly used its regulatory powers to effectively seize Annapolis’ land for use as a public park without compensation. Halifax says that Annapolis’ claim is a veiled attempt to make taxpayers foot the bill for a decades</w:t>
      </w:r>
      <w:r w:rsidRPr="00A97052">
        <w:rPr>
          <w:rFonts w:cs="Times New Roman"/>
        </w:rPr>
        <w:noBreakHyphen/>
        <w:t>long development gamble. It sought summary dismissal of this part of Annapolis’ claim, while permitting other claims (for misfeasance in public office and unjust enrichment) to proceed to trial.</w:t>
      </w:r>
    </w:p>
    <w:p w14:paraId="486AD918" w14:textId="77777777" w:rsidR="001A2B0D" w:rsidRPr="00A97052" w:rsidRDefault="001A2B0D" w:rsidP="001A2B0D">
      <w:pPr>
        <w:pStyle w:val="ParaNoNdepar-AltN"/>
        <w:rPr>
          <w:rFonts w:cs="Times New Roman"/>
        </w:rPr>
      </w:pPr>
      <w:r w:rsidRPr="00A97052">
        <w:rPr>
          <w:rFonts w:cs="Times New Roman"/>
        </w:rPr>
        <w:t xml:space="preserve">Although unsuccessful at first instance, Halifax persuaded the Nova Scotia Court of Appeal that it should apply this Court’s judgment in </w:t>
      </w:r>
      <w:r w:rsidRPr="00A97052">
        <w:rPr>
          <w:rFonts w:cs="Times New Roman"/>
          <w:i/>
        </w:rPr>
        <w:t>Canadian Pacific Railway Co. v. Vancouver (City)</w:t>
      </w:r>
      <w:r w:rsidRPr="00A97052">
        <w:rPr>
          <w:rFonts w:cs="Times New Roman"/>
        </w:rPr>
        <w:t>, 2006 SCC 5, [2006] 1 S.C.R. 227 (“</w:t>
      </w:r>
      <w:r w:rsidRPr="00A97052">
        <w:rPr>
          <w:rFonts w:cs="Times New Roman"/>
          <w:i/>
        </w:rPr>
        <w:t>CPR</w:t>
      </w:r>
      <w:r w:rsidRPr="00A97052">
        <w:rPr>
          <w:rFonts w:cs="Times New Roman"/>
        </w:rPr>
        <w:t>”), to strike that claim. Annapolis asks this Court to restore its claim in respect of the alleged constructive taking and allow it to proceed to trial.</w:t>
      </w:r>
    </w:p>
    <w:p w14:paraId="46174A8E" w14:textId="77777777" w:rsidR="001A2B0D" w:rsidRPr="00A97052" w:rsidRDefault="001A2B0D" w:rsidP="001A2B0D">
      <w:pPr>
        <w:pStyle w:val="ParaNoNdepar-AltN"/>
        <w:rPr>
          <w:rFonts w:cs="Times New Roman"/>
        </w:rPr>
      </w:pPr>
      <w:r w:rsidRPr="00A97052">
        <w:rPr>
          <w:rFonts w:cs="Times New Roman"/>
        </w:rPr>
        <w:t xml:space="preserve">We would allow Annapolis’ appeal. The Court of Appeal, in our respectful view, misapplied </w:t>
      </w:r>
      <w:r w:rsidRPr="00A97052">
        <w:rPr>
          <w:rFonts w:cs="Times New Roman"/>
          <w:i/>
        </w:rPr>
        <w:t>CPR</w:t>
      </w:r>
      <w:r w:rsidRPr="00A97052">
        <w:rPr>
          <w:rFonts w:cs="Times New Roman"/>
        </w:rPr>
        <w:t xml:space="preserve"> and summary judgment principles. Read in harmony with the jurisprudence upon which it was decided, </w:t>
      </w:r>
      <w:r w:rsidRPr="00A97052">
        <w:rPr>
          <w:rFonts w:cs="Times New Roman"/>
          <w:i/>
        </w:rPr>
        <w:t xml:space="preserve">CPR </w:t>
      </w:r>
      <w:r w:rsidRPr="00A97052">
        <w:rPr>
          <w:rFonts w:cs="Times New Roman"/>
        </w:rPr>
        <w:t>signifies that a constructive taking occurs where: (1) a beneficial interest — understood as an advantage — in respect of private property accrues to the state, which may arise where the use of such property is regulated in a manner that permits its enjoyment as a public resource; and (2) the impugned regulatory measure removes all reasonable uses of the private property at issue. Further, the Court of Appeal erred by holding that Halifax’s intention is irrelevant to applying the second part of that analysis. This leaves genuine issues of material fact arising from Annapolis’ claim to be tried. Annapolis is entitled to adduce evidence at trial to show that, by holding Annapolis’ land out as a public park, Halifax has acquired a beneficial interest therein; and that, because Halifax is unlikely to ever lift zoning restrictions constraining the development of Annapolis’ land, Annapolis has lost all reasonable uses of its property. Further, and in support of the latter proposition, Annapolis may adduce evidence of Halifax’s intention in not doing so.</w:t>
      </w:r>
    </w:p>
    <w:p w14:paraId="06940574" w14:textId="77777777" w:rsidR="001A2B0D" w:rsidRPr="00A97052" w:rsidRDefault="001A2B0D" w:rsidP="001A2B0D">
      <w:pPr>
        <w:pStyle w:val="Title1LevelTitre1Niveau-AltL"/>
        <w:numPr>
          <w:ilvl w:val="0"/>
          <w:numId w:val="8"/>
        </w:numPr>
        <w:rPr>
          <w:rFonts w:cs="Times New Roman"/>
        </w:rPr>
      </w:pPr>
      <w:bookmarkStart w:id="3" w:name="_Toc101877247"/>
      <w:bookmarkStart w:id="4" w:name="_Toc105502342"/>
      <w:r w:rsidRPr="00A97052">
        <w:rPr>
          <w:rFonts w:cs="Times New Roman"/>
        </w:rPr>
        <w:t>Factual Background</w:t>
      </w:r>
      <w:bookmarkEnd w:id="3"/>
      <w:bookmarkEnd w:id="4"/>
    </w:p>
    <w:p w14:paraId="77A1DAC6" w14:textId="77777777" w:rsidR="001A2B0D" w:rsidRPr="00A97052" w:rsidRDefault="001A2B0D" w:rsidP="001A2B0D">
      <w:pPr>
        <w:pStyle w:val="ParaNoNdepar-AltN"/>
        <w:rPr>
          <w:rFonts w:cs="Times New Roman"/>
        </w:rPr>
      </w:pPr>
      <w:r w:rsidRPr="00A97052">
        <w:rPr>
          <w:rFonts w:cs="Times New Roman"/>
        </w:rPr>
        <w:t>Over time from the 1950s, Annapolis acquired the subject property, comprising 965 acres of land (“Annapolis Lands” or “Lands”), with the intention of eventually securing enhanced development rights and reselling it.</w:t>
      </w:r>
    </w:p>
    <w:p w14:paraId="1752E182" w14:textId="77777777" w:rsidR="001A2B0D" w:rsidRPr="00A97052" w:rsidRDefault="001A2B0D" w:rsidP="001A2B0D">
      <w:pPr>
        <w:pStyle w:val="ParaNoNdepar-AltN"/>
        <w:rPr>
          <w:rFonts w:cs="Times New Roman"/>
        </w:rPr>
      </w:pPr>
      <w:r w:rsidRPr="00A97052">
        <w:rPr>
          <w:rFonts w:cs="Times New Roman"/>
        </w:rPr>
        <w:t>In 2006, Halifax adopted the Regional Municipal Planning Strategy, a guide for land development in the municipality, including the Annapolis Lands, over a 25</w:t>
      </w:r>
      <w:r w:rsidRPr="00A97052">
        <w:rPr>
          <w:rFonts w:cs="Times New Roman"/>
        </w:rPr>
        <w:noBreakHyphen/>
        <w:t>year period. While the Planning Strategy reserved a portion of the Annapolis Lands for possible future inclusion in a regional park, it also zoned the Lands as “Urban Settlement” and “Urban Reserve”. Urban Settlement denotes an area where urban forms of development may occur. Urban Reserve identifies land that could be developed beyond the 25</w:t>
      </w:r>
      <w:r w:rsidRPr="00A97052">
        <w:rPr>
          <w:rFonts w:cs="Times New Roman"/>
        </w:rPr>
        <w:noBreakHyphen/>
        <w:t>year horizon. These designations thus contemplate — but do not permit — future residential serviced development. For serviced development to occur on the Annapolis Lands, Halifax must adopt a resolution authorizing a “secondary planning process” and an amendment to the applicable land use by</w:t>
      </w:r>
      <w:r w:rsidRPr="00A97052">
        <w:rPr>
          <w:rFonts w:cs="Times New Roman"/>
        </w:rPr>
        <w:noBreakHyphen/>
        <w:t>law. The applicable by</w:t>
      </w:r>
      <w:r w:rsidRPr="00A97052">
        <w:rPr>
          <w:rFonts w:cs="Times New Roman"/>
        </w:rPr>
        <w:noBreakHyphen/>
        <w:t xml:space="preserve">law is the </w:t>
      </w:r>
      <w:r w:rsidRPr="00A97052">
        <w:rPr>
          <w:rFonts w:cs="Times New Roman"/>
          <w:i/>
        </w:rPr>
        <w:t>Halifax Mainland Land Use By</w:t>
      </w:r>
      <w:r w:rsidRPr="00A97052">
        <w:rPr>
          <w:rFonts w:cs="Times New Roman"/>
          <w:i/>
        </w:rPr>
        <w:noBreakHyphen/>
        <w:t>Law</w:t>
      </w:r>
      <w:r w:rsidRPr="00A97052">
        <w:rPr>
          <w:rFonts w:cs="Times New Roman"/>
        </w:rPr>
        <w:t>, also adopted in 2006.</w:t>
      </w:r>
    </w:p>
    <w:p w14:paraId="61A1EA34" w14:textId="77777777" w:rsidR="001A2B0D" w:rsidRPr="00A97052" w:rsidRDefault="001A2B0D" w:rsidP="001A2B0D">
      <w:pPr>
        <w:pStyle w:val="ParaNoNdepar-AltN"/>
        <w:rPr>
          <w:rFonts w:cs="Times New Roman"/>
        </w:rPr>
      </w:pPr>
      <w:r w:rsidRPr="00A97052">
        <w:rPr>
          <w:rFonts w:cs="Times New Roman"/>
        </w:rPr>
        <w:t>In 2014, Halifax adopted a revised version of the Planning Strategy. The Urban Settlement and Urban Reserve designations were maintained, and thus the zoning of the Annapolis Lands did not change, and has not changed since 2006. Nor were the conceptual boundaries for the potential park altered.</w:t>
      </w:r>
    </w:p>
    <w:p w14:paraId="1BA2ACA7" w14:textId="77777777" w:rsidR="001A2B0D" w:rsidRPr="00A97052" w:rsidRDefault="001A2B0D" w:rsidP="001A2B0D">
      <w:pPr>
        <w:pStyle w:val="ParaNoNdepar-AltN"/>
        <w:rPr>
          <w:rFonts w:cs="Times New Roman"/>
        </w:rPr>
      </w:pPr>
      <w:r w:rsidRPr="00A97052">
        <w:rPr>
          <w:rFonts w:cs="Times New Roman"/>
        </w:rPr>
        <w:t>Beginning in 2007, Annapolis made several attempts to develop the Lands. Ultimately, by resolution dated September 6, 2016, Halifax refused to initiate the secondary planning process, and Annapolis sued, alleging a constructive taking, misfeasance in public office, and unjust enrichment.</w:t>
      </w:r>
    </w:p>
    <w:p w14:paraId="4AC63B63" w14:textId="77777777" w:rsidR="001A2B0D" w:rsidRPr="00A97052" w:rsidRDefault="001A2B0D" w:rsidP="001A2B0D">
      <w:pPr>
        <w:pStyle w:val="ParaNoNdepar-AltN"/>
        <w:rPr>
          <w:rFonts w:cs="Times New Roman"/>
        </w:rPr>
      </w:pPr>
      <w:r w:rsidRPr="00A97052">
        <w:rPr>
          <w:rFonts w:cs="Times New Roman"/>
          <w:lang w:bidi="en-US"/>
        </w:rPr>
        <w:t xml:space="preserve">At issue in this appeal is Annapolis’ allegation of a constructive taking. </w:t>
      </w:r>
      <w:r w:rsidRPr="00A97052">
        <w:rPr>
          <w:rFonts w:cs="Times New Roman"/>
        </w:rPr>
        <w:t>Specifically</w:t>
      </w:r>
      <w:r w:rsidRPr="00A97052">
        <w:rPr>
          <w:rFonts w:cs="Times New Roman"/>
          <w:lang w:bidi="en-US"/>
        </w:rPr>
        <w:t xml:space="preserve">, Annapolis says that Halifax’s regulatory measures have deprived it of all reasonable or economic uses of its land, resulting in a constructive taking without compensation, contrary to ss. 65 and 237 of the </w:t>
      </w:r>
      <w:r w:rsidRPr="00A97052">
        <w:rPr>
          <w:rFonts w:cs="Times New Roman"/>
          <w:i/>
          <w:lang w:bidi="en-US"/>
        </w:rPr>
        <w:t>Halifax Regional Municipality Charter</w:t>
      </w:r>
      <w:r w:rsidRPr="00A97052">
        <w:rPr>
          <w:rFonts w:cs="Times New Roman"/>
          <w:lang w:bidi="en-US"/>
        </w:rPr>
        <w:t xml:space="preserve">, S.N.S. 2008, c. 39, and ss. 6 and 24 of the </w:t>
      </w:r>
      <w:r w:rsidRPr="00A97052">
        <w:rPr>
          <w:rFonts w:cs="Times New Roman"/>
          <w:i/>
          <w:lang w:bidi="en-US"/>
        </w:rPr>
        <w:t>Expropriation Act</w:t>
      </w:r>
      <w:r w:rsidRPr="00A97052">
        <w:rPr>
          <w:rFonts w:cs="Times New Roman"/>
          <w:lang w:bidi="en-US"/>
        </w:rPr>
        <w:t xml:space="preserve">, R.S.N.S. 1989, </w:t>
      </w:r>
      <w:proofErr w:type="gramStart"/>
      <w:r w:rsidRPr="00A97052">
        <w:rPr>
          <w:rFonts w:cs="Times New Roman"/>
          <w:lang w:bidi="en-US"/>
        </w:rPr>
        <w:t>c</w:t>
      </w:r>
      <w:proofErr w:type="gramEnd"/>
      <w:r w:rsidRPr="00A97052">
        <w:rPr>
          <w:rFonts w:cs="Times New Roman"/>
          <w:lang w:bidi="en-US"/>
        </w:rPr>
        <w:t xml:space="preserve">. 156. It </w:t>
      </w:r>
      <w:r w:rsidRPr="00A97052">
        <w:rPr>
          <w:rFonts w:cs="Times New Roman"/>
          <w:lang w:val="en"/>
        </w:rPr>
        <w:t xml:space="preserve">alleges in particular </w:t>
      </w:r>
      <w:r w:rsidRPr="00A97052">
        <w:rPr>
          <w:rFonts w:cs="Times New Roman"/>
          <w:lang w:bidi="en-US"/>
        </w:rPr>
        <w:t>that Halifax has acquired a beneficial interest in the Lands by exercising</w:t>
      </w:r>
      <w:r w:rsidRPr="00A97052">
        <w:rPr>
          <w:rFonts w:cs="Times New Roman"/>
          <w:lang w:val="en"/>
        </w:rPr>
        <w:t xml:space="preserve"> dominion over them so as to effectively create a public park at Annapolis’ expense. According to Annapolis, members of the public hike, cycle, canoe, camp, and swim on the Lands, are encouraged to do so by</w:t>
      </w:r>
      <w:r w:rsidRPr="00A97052">
        <w:rPr>
          <w:rFonts w:cs="Times New Roman"/>
          <w:lang w:bidi="en-US"/>
        </w:rPr>
        <w:t xml:space="preserve"> Halifax, and </w:t>
      </w:r>
      <w:r w:rsidRPr="00A97052">
        <w:rPr>
          <w:rFonts w:cs="Times New Roman"/>
          <w:lang w:val="en"/>
        </w:rPr>
        <w:t>Halifax financially supports organizations that also encourage people to use the Lands as a park. Further, signs posted on the Lands allegedly depict the municipality’s logo and phone number, and a media article quotes a municipal employee referred to as “the city staffer overseeing the park’s creation”.</w:t>
      </w:r>
    </w:p>
    <w:p w14:paraId="31E13210" w14:textId="77777777" w:rsidR="001A2B0D" w:rsidRPr="00A97052" w:rsidRDefault="001A2B0D" w:rsidP="001A2B0D">
      <w:pPr>
        <w:pStyle w:val="ParaNoNdepar-AltN"/>
        <w:rPr>
          <w:rFonts w:cs="Times New Roman"/>
        </w:rPr>
      </w:pPr>
      <w:r w:rsidRPr="00A97052">
        <w:rPr>
          <w:rFonts w:cs="Times New Roman"/>
        </w:rPr>
        <w:t xml:space="preserve">On March 11, 2019, Halifax moved for partial summary judgment of Annapolis’ claim, pursuant to r. 13 of the </w:t>
      </w:r>
      <w:r w:rsidRPr="00A97052">
        <w:rPr>
          <w:rFonts w:cs="Times New Roman"/>
          <w:i/>
        </w:rPr>
        <w:t>Nova Scotia Civil Procedure Rules</w:t>
      </w:r>
      <w:r w:rsidRPr="00A97052">
        <w:rPr>
          <w:rFonts w:cs="Times New Roman"/>
        </w:rPr>
        <w:t xml:space="preserve">. In its motion, Halifax sought the dismissal of Annapolis’ constructive taking claim and urged the motion judge to find that, as a matter of law, a </w:t>
      </w:r>
      <w:r w:rsidRPr="00A97052">
        <w:rPr>
          <w:rFonts w:cs="Times New Roman"/>
          <w:iCs/>
        </w:rPr>
        <w:t xml:space="preserve">constructive taking </w:t>
      </w:r>
      <w:r w:rsidRPr="00A97052">
        <w:rPr>
          <w:rFonts w:cs="Times New Roman"/>
        </w:rPr>
        <w:t>cannot result from Halifax refusing to amend the Planning Strategy and associated land use by</w:t>
      </w:r>
      <w:r w:rsidRPr="00A97052">
        <w:rPr>
          <w:rFonts w:cs="Times New Roman"/>
        </w:rPr>
        <w:noBreakHyphen/>
        <w:t>laws. Annapolis resisted the motion, arguing that its claim raises genuine issues of material fact requiring a trial.</w:t>
      </w:r>
    </w:p>
    <w:p w14:paraId="274A5546" w14:textId="77777777" w:rsidR="001A2B0D" w:rsidRPr="00A97052" w:rsidRDefault="001A2B0D" w:rsidP="001A2B0D">
      <w:pPr>
        <w:pStyle w:val="Title1LevelTitre1Niveau-AltL"/>
        <w:numPr>
          <w:ilvl w:val="0"/>
          <w:numId w:val="8"/>
        </w:numPr>
        <w:rPr>
          <w:rFonts w:cs="Times New Roman"/>
        </w:rPr>
      </w:pPr>
      <w:bookmarkStart w:id="5" w:name="_Toc101877248"/>
      <w:bookmarkStart w:id="6" w:name="_Toc105502343"/>
      <w:r w:rsidRPr="00A97052">
        <w:rPr>
          <w:rFonts w:cs="Times New Roman"/>
        </w:rPr>
        <w:t>Judicial History</w:t>
      </w:r>
      <w:bookmarkEnd w:id="5"/>
      <w:bookmarkEnd w:id="6"/>
    </w:p>
    <w:p w14:paraId="69B62084" w14:textId="77777777" w:rsidR="001A2B0D" w:rsidRPr="00A97052" w:rsidRDefault="001A2B0D" w:rsidP="001A2B0D">
      <w:pPr>
        <w:pStyle w:val="Title2LevelTitre2Niveau"/>
        <w:numPr>
          <w:ilvl w:val="1"/>
          <w:numId w:val="8"/>
        </w:numPr>
        <w:rPr>
          <w:rFonts w:cs="Times New Roman"/>
        </w:rPr>
      </w:pPr>
      <w:bookmarkStart w:id="7" w:name="_Toc101877249"/>
      <w:bookmarkStart w:id="8" w:name="_Toc105502344"/>
      <w:r w:rsidRPr="00A97052">
        <w:rPr>
          <w:rFonts w:cs="Times New Roman"/>
        </w:rPr>
        <w:t>Supreme Court of Nova Scotia, 2019 NSSC 341, 17 L.C.R. (2d) 1 (Chipman J.)</w:t>
      </w:r>
      <w:bookmarkEnd w:id="7"/>
      <w:bookmarkEnd w:id="8"/>
    </w:p>
    <w:p w14:paraId="0B0A49BD" w14:textId="77777777" w:rsidR="001A2B0D" w:rsidRPr="00A97052" w:rsidRDefault="001A2B0D" w:rsidP="001A2B0D">
      <w:pPr>
        <w:pStyle w:val="ParaNoNdepar-AltN"/>
        <w:rPr>
          <w:rFonts w:cs="Times New Roman"/>
        </w:rPr>
      </w:pPr>
      <w:r w:rsidRPr="00A97052">
        <w:rPr>
          <w:rFonts w:cs="Times New Roman"/>
        </w:rPr>
        <w:t>The motion judge dismissed Halifax’s partial summary judgment motion. He agreed with Annapolis that its constructive taking claim raised “vast” genuine issues of material fact requiring a trial, including:</w:t>
      </w:r>
    </w:p>
    <w:p w14:paraId="24BB8CB6" w14:textId="77777777" w:rsidR="001A2B0D" w:rsidRPr="00A97052" w:rsidRDefault="001A2B0D" w:rsidP="001A2B0D">
      <w:pPr>
        <w:pStyle w:val="ParaNoNdepar-AltN"/>
        <w:numPr>
          <w:ilvl w:val="4"/>
          <w:numId w:val="6"/>
        </w:numPr>
        <w:ind w:left="1985" w:hanging="851"/>
        <w:rPr>
          <w:rFonts w:cs="Times New Roman"/>
        </w:rPr>
      </w:pPr>
      <w:r w:rsidRPr="00A97052">
        <w:rPr>
          <w:rFonts w:cs="Times New Roman"/>
        </w:rPr>
        <w:t>whether Halifax had erected signage on the Lands depicting Halifax’s logo on various trails;</w:t>
      </w:r>
    </w:p>
    <w:p w14:paraId="4A11ECAC" w14:textId="77777777" w:rsidR="001A2B0D" w:rsidRPr="00A97052" w:rsidRDefault="001A2B0D" w:rsidP="001A2B0D">
      <w:pPr>
        <w:pStyle w:val="ParaNoNdepar-AltN"/>
        <w:numPr>
          <w:ilvl w:val="4"/>
          <w:numId w:val="6"/>
        </w:numPr>
        <w:ind w:left="1985" w:hanging="851"/>
        <w:rPr>
          <w:rFonts w:cs="Times New Roman"/>
        </w:rPr>
      </w:pPr>
      <w:r w:rsidRPr="00A97052">
        <w:rPr>
          <w:rFonts w:cs="Times New Roman"/>
        </w:rPr>
        <w:t>whether a Halifax employee had been “overseeing the park’s creation”;</w:t>
      </w:r>
    </w:p>
    <w:p w14:paraId="2CB1520F" w14:textId="77777777" w:rsidR="001A2B0D" w:rsidRPr="00A97052" w:rsidRDefault="001A2B0D" w:rsidP="001A2B0D">
      <w:pPr>
        <w:pStyle w:val="ParaNoNdepar-AltN"/>
        <w:numPr>
          <w:ilvl w:val="4"/>
          <w:numId w:val="6"/>
        </w:numPr>
        <w:ind w:left="1985" w:hanging="851"/>
        <w:rPr>
          <w:rFonts w:cs="Times New Roman"/>
        </w:rPr>
      </w:pPr>
      <w:r w:rsidRPr="00A97052">
        <w:rPr>
          <w:rFonts w:cs="Times New Roman"/>
        </w:rPr>
        <w:t>whether the Lands would be treated as development lands and not parklands;</w:t>
      </w:r>
    </w:p>
    <w:p w14:paraId="29A5DF8B" w14:textId="77777777" w:rsidR="001A2B0D" w:rsidRPr="00A97052" w:rsidRDefault="001A2B0D" w:rsidP="001A2B0D">
      <w:pPr>
        <w:pStyle w:val="ParaNoNdepar-AltN"/>
        <w:numPr>
          <w:ilvl w:val="4"/>
          <w:numId w:val="6"/>
        </w:numPr>
        <w:ind w:left="1985" w:hanging="851"/>
        <w:rPr>
          <w:rFonts w:cs="Times New Roman"/>
        </w:rPr>
      </w:pPr>
      <w:r w:rsidRPr="00A97052">
        <w:rPr>
          <w:rFonts w:cs="Times New Roman"/>
        </w:rPr>
        <w:t xml:space="preserve">the existence of clauses in the </w:t>
      </w:r>
      <w:r w:rsidRPr="00A97052">
        <w:rPr>
          <w:rFonts w:cs="Times New Roman"/>
          <w:iCs/>
        </w:rPr>
        <w:t xml:space="preserve">Planning Strategy </w:t>
      </w:r>
      <w:r w:rsidRPr="00A97052">
        <w:rPr>
          <w:rFonts w:cs="Times New Roman"/>
        </w:rPr>
        <w:t>that mandate consideration of policy concepts without committing Council to adopt the policy, and clauses discussing an urban settlement designation boundary;</w:t>
      </w:r>
    </w:p>
    <w:p w14:paraId="5B7DA605" w14:textId="77777777" w:rsidR="001A2B0D" w:rsidRPr="00A97052" w:rsidRDefault="001A2B0D" w:rsidP="001A2B0D">
      <w:pPr>
        <w:pStyle w:val="ParaNoNdepar-AltN"/>
        <w:numPr>
          <w:ilvl w:val="4"/>
          <w:numId w:val="6"/>
        </w:numPr>
        <w:ind w:left="1985" w:hanging="851"/>
        <w:rPr>
          <w:rFonts w:cs="Times New Roman"/>
        </w:rPr>
      </w:pPr>
      <w:r w:rsidRPr="00A97052">
        <w:rPr>
          <w:rFonts w:cs="Times New Roman"/>
        </w:rPr>
        <w:t>discovery evidence to the effect that Halifax had decided that the Annapolis Lands would be treated as development lands, not parklands; and</w:t>
      </w:r>
    </w:p>
    <w:p w14:paraId="7E56F570" w14:textId="77777777" w:rsidR="001A2B0D" w:rsidRPr="00A97052" w:rsidRDefault="001A2B0D" w:rsidP="001A2B0D">
      <w:pPr>
        <w:pStyle w:val="ParaNoNdepar-AltN"/>
        <w:numPr>
          <w:ilvl w:val="4"/>
          <w:numId w:val="6"/>
        </w:numPr>
        <w:ind w:left="1985" w:hanging="851"/>
        <w:rPr>
          <w:rFonts w:cs="Times New Roman"/>
        </w:rPr>
      </w:pPr>
      <w:proofErr w:type="gramStart"/>
      <w:r w:rsidRPr="00A97052">
        <w:rPr>
          <w:rFonts w:cs="Times New Roman"/>
        </w:rPr>
        <w:t>correspondence</w:t>
      </w:r>
      <w:proofErr w:type="gramEnd"/>
      <w:r w:rsidRPr="00A97052">
        <w:rPr>
          <w:rFonts w:cs="Times New Roman"/>
        </w:rPr>
        <w:t xml:space="preserve"> between counsel, including letters containing Halifax’s denial of Annapolis’ allegations.</w:t>
      </w:r>
    </w:p>
    <w:p w14:paraId="6912D1E8" w14:textId="77777777" w:rsidR="001A2B0D" w:rsidRPr="00A97052" w:rsidRDefault="001A2B0D" w:rsidP="001A2B0D">
      <w:pPr>
        <w:pStyle w:val="ParaNoNdepar-AltN"/>
        <w:rPr>
          <w:rFonts w:cs="Times New Roman"/>
        </w:rPr>
      </w:pPr>
      <w:r w:rsidRPr="00A97052">
        <w:rPr>
          <w:rFonts w:cs="Times New Roman"/>
          <w:lang w:val="en"/>
        </w:rPr>
        <w:t xml:space="preserve">The motion judge also identified a triable issue in affidavit evidence suggesting the possibility of an ulterior motive on Halifax’s part — specifically, to reserve part of the Annapolis Lands for a public park. In this regard, he relied on </w:t>
      </w:r>
      <w:r w:rsidRPr="00A97052">
        <w:rPr>
          <w:rFonts w:cs="Times New Roman"/>
          <w:i/>
          <w:iCs/>
          <w:lang w:val="en-US"/>
        </w:rPr>
        <w:t xml:space="preserve">Lorraine (Ville) </w:t>
      </w:r>
      <w:r w:rsidRPr="00A97052">
        <w:rPr>
          <w:rFonts w:cs="Times New Roman"/>
          <w:i/>
          <w:iCs/>
          <w:lang w:val="en"/>
        </w:rPr>
        <w:t>v. 2646-8926 Québec inc.</w:t>
      </w:r>
      <w:r w:rsidRPr="00A97052">
        <w:rPr>
          <w:rFonts w:cs="Times New Roman"/>
          <w:lang w:val="en"/>
        </w:rPr>
        <w:t xml:space="preserve">, </w:t>
      </w:r>
      <w:r w:rsidRPr="00A97052">
        <w:rPr>
          <w:rFonts w:cs="Times New Roman"/>
          <w:iCs/>
          <w:lang w:val="en-US"/>
        </w:rPr>
        <w:t xml:space="preserve">2018 SCC 35, [2018] 2 S.C.R. 577, which involved a claim under Quebec’s </w:t>
      </w:r>
      <w:r w:rsidRPr="00A97052">
        <w:rPr>
          <w:rFonts w:cs="Times New Roman"/>
          <w:i/>
          <w:iCs/>
        </w:rPr>
        <w:t>Expropriation Act</w:t>
      </w:r>
      <w:r w:rsidRPr="00A97052">
        <w:rPr>
          <w:rFonts w:cs="Times New Roman"/>
          <w:iCs/>
        </w:rPr>
        <w:t>, CQLR, c. E</w:t>
      </w:r>
      <w:r w:rsidRPr="00A97052">
        <w:rPr>
          <w:rFonts w:cs="Times New Roman"/>
          <w:iCs/>
        </w:rPr>
        <w:noBreakHyphen/>
        <w:t xml:space="preserve">24. In </w:t>
      </w:r>
      <w:r w:rsidRPr="00A97052">
        <w:rPr>
          <w:rFonts w:cs="Times New Roman"/>
          <w:i/>
          <w:iCs/>
        </w:rPr>
        <w:t>Lorraine</w:t>
      </w:r>
      <w:r w:rsidRPr="00A97052">
        <w:rPr>
          <w:rFonts w:cs="Times New Roman"/>
          <w:iCs/>
        </w:rPr>
        <w:t xml:space="preserve">, </w:t>
      </w:r>
      <w:r w:rsidRPr="00A97052">
        <w:rPr>
          <w:rFonts w:cs="Times New Roman"/>
          <w:lang w:val="en"/>
        </w:rPr>
        <w:t>this Court affirmed that, where property is expropriated outside a legislative framework for an ulterior motive (such as to avoid paying an indemnity), a “disguised” expropriation occurs. In the motion judge’s view, disguised expropriation under the law of Quebec may be equated to</w:t>
      </w:r>
      <w:r w:rsidRPr="00A97052">
        <w:rPr>
          <w:rFonts w:cs="Times New Roman"/>
          <w:i/>
          <w:iCs/>
          <w:lang w:val="en"/>
        </w:rPr>
        <w:t xml:space="preserve"> </w:t>
      </w:r>
      <w:r w:rsidRPr="00A97052">
        <w:rPr>
          <w:rFonts w:cs="Times New Roman"/>
          <w:lang w:val="en"/>
        </w:rPr>
        <w:t xml:space="preserve">constructive expropriation as that concept was understood by this Court in </w:t>
      </w:r>
      <w:r w:rsidRPr="00A97052">
        <w:rPr>
          <w:rFonts w:cs="Times New Roman"/>
          <w:i/>
          <w:lang w:val="en"/>
        </w:rPr>
        <w:t>The Queen in Right of the Province of</w:t>
      </w:r>
      <w:r w:rsidRPr="00A97052">
        <w:rPr>
          <w:rFonts w:cs="Times New Roman"/>
          <w:lang w:val="en"/>
        </w:rPr>
        <w:t xml:space="preserve"> </w:t>
      </w:r>
      <w:r w:rsidRPr="00A97052">
        <w:rPr>
          <w:rFonts w:cs="Times New Roman"/>
          <w:i/>
          <w:iCs/>
          <w:lang w:val="en"/>
        </w:rPr>
        <w:t>British Columbia v. Tener</w:t>
      </w:r>
      <w:r w:rsidRPr="00A97052">
        <w:rPr>
          <w:rFonts w:cs="Times New Roman"/>
          <w:lang w:val="en"/>
        </w:rPr>
        <w:t>, [1985] 1 S.C.R. 533.</w:t>
      </w:r>
    </w:p>
    <w:p w14:paraId="120B93D1" w14:textId="77777777" w:rsidR="001A2B0D" w:rsidRPr="00A97052" w:rsidRDefault="001A2B0D" w:rsidP="001A2B0D">
      <w:pPr>
        <w:pStyle w:val="ParaNoNdepar-AltN"/>
        <w:rPr>
          <w:rFonts w:cs="Times New Roman"/>
        </w:rPr>
      </w:pPr>
      <w:r w:rsidRPr="00A97052">
        <w:rPr>
          <w:rFonts w:cs="Times New Roman"/>
          <w:lang w:val="en"/>
        </w:rPr>
        <w:t>In light of the foregoing, the motion judge concluded Annapolis’ constructive taking claim should proceed to trial. Expropriation cases, he said, are fact</w:t>
      </w:r>
      <w:r w:rsidRPr="00A97052">
        <w:rPr>
          <w:rFonts w:cs="Times New Roman"/>
          <w:lang w:val="en"/>
        </w:rPr>
        <w:noBreakHyphen/>
        <w:t xml:space="preserve">specific and offer different scenarios in which a constructive taking claim may succeed, and this case is no different. He added that the facts material to the constructive taking claim were “sufficiently interwoven” with Annapolis’ two other causes of action, such that “to deny Annapolis’ right to pursue this claim would not appreciably shorten pre-trial procedures or the trial” (para. 44). Thus he did not find the proportionality principle, as described in </w:t>
      </w:r>
      <w:r w:rsidRPr="00A97052">
        <w:rPr>
          <w:rFonts w:cs="Times New Roman"/>
          <w:i/>
          <w:lang w:val="en"/>
        </w:rPr>
        <w:t>Hryniak v. Mauldin</w:t>
      </w:r>
      <w:r w:rsidRPr="00A97052">
        <w:rPr>
          <w:rFonts w:cs="Times New Roman"/>
          <w:lang w:val="en"/>
        </w:rPr>
        <w:t>, 2014 SCC 7, [2014] 1 S.C.R. 87, to support granting summary judgment.</w:t>
      </w:r>
    </w:p>
    <w:p w14:paraId="613266EE" w14:textId="77777777" w:rsidR="001A2B0D" w:rsidRPr="00A97052" w:rsidRDefault="001A2B0D" w:rsidP="001A2B0D">
      <w:pPr>
        <w:pStyle w:val="Title2LevelTitre2Niveau"/>
        <w:numPr>
          <w:ilvl w:val="1"/>
          <w:numId w:val="8"/>
        </w:numPr>
        <w:jc w:val="both"/>
        <w:rPr>
          <w:rFonts w:cs="Times New Roman"/>
          <w:i w:val="0"/>
        </w:rPr>
      </w:pPr>
      <w:bookmarkStart w:id="9" w:name="_Toc101877250"/>
      <w:bookmarkStart w:id="10" w:name="_Toc105502345"/>
      <w:r w:rsidRPr="00A97052">
        <w:rPr>
          <w:rFonts w:cs="Times New Roman"/>
        </w:rPr>
        <w:t>Nova Scotia Court of Appeal, 2021 NSCA 3, 455 D.L.R. (4th) 349 (Beveridge, Farrar and Derrick JJ.A.)</w:t>
      </w:r>
      <w:bookmarkEnd w:id="9"/>
      <w:bookmarkEnd w:id="10"/>
    </w:p>
    <w:p w14:paraId="65A3A687" w14:textId="77777777" w:rsidR="001A2B0D" w:rsidRPr="00A97052" w:rsidRDefault="001A2B0D" w:rsidP="001A2B0D">
      <w:pPr>
        <w:pStyle w:val="ParaNoNdepar-AltN"/>
        <w:rPr>
          <w:rFonts w:cs="Times New Roman"/>
        </w:rPr>
      </w:pPr>
      <w:r w:rsidRPr="00A97052">
        <w:rPr>
          <w:rFonts w:cs="Times New Roman"/>
        </w:rPr>
        <w:t xml:space="preserve">The Court of Appeal held that Annapolis’ </w:t>
      </w:r>
      <w:r w:rsidRPr="00A97052">
        <w:rPr>
          <w:rFonts w:cs="Times New Roman"/>
          <w:iCs/>
        </w:rPr>
        <w:t>constructive taking claim</w:t>
      </w:r>
      <w:r w:rsidRPr="00A97052">
        <w:rPr>
          <w:rFonts w:cs="Times New Roman"/>
        </w:rPr>
        <w:t xml:space="preserve"> did not have a reasonable chance of successfully establishing, as </w:t>
      </w:r>
      <w:r w:rsidRPr="00A97052">
        <w:rPr>
          <w:rFonts w:cs="Times New Roman"/>
          <w:i/>
        </w:rPr>
        <w:t xml:space="preserve">CPR </w:t>
      </w:r>
      <w:r w:rsidRPr="00A97052">
        <w:rPr>
          <w:rFonts w:cs="Times New Roman"/>
        </w:rPr>
        <w:t xml:space="preserve">requires, an acquisition by Halifax of a beneficial interest in the Annapolis Lands or flowing from the Lands, and the removal of all reasonable uses of the Lands. Citing </w:t>
      </w:r>
      <w:r w:rsidRPr="00A97052">
        <w:rPr>
          <w:rFonts w:cs="Times New Roman"/>
          <w:i/>
          <w:iCs/>
        </w:rPr>
        <w:t>Mariner Real Estate Ltd. v. Nova Scotia (Attorney General)</w:t>
      </w:r>
      <w:r w:rsidRPr="00A97052">
        <w:rPr>
          <w:rFonts w:cs="Times New Roman"/>
          <w:iCs/>
        </w:rPr>
        <w:t>,</w:t>
      </w:r>
      <w:r w:rsidRPr="00A97052">
        <w:rPr>
          <w:rFonts w:cs="Times New Roman"/>
          <w:i/>
          <w:iCs/>
        </w:rPr>
        <w:t xml:space="preserve"> </w:t>
      </w:r>
      <w:r w:rsidRPr="00A97052">
        <w:rPr>
          <w:rFonts w:cs="Times New Roman"/>
          <w:iCs/>
        </w:rPr>
        <w:t>1999 NSCA 98, 177 D.L.R. (4th) 696, it held that limiting</w:t>
      </w:r>
      <w:r w:rsidRPr="00A97052">
        <w:rPr>
          <w:rFonts w:cs="Times New Roman"/>
        </w:rPr>
        <w:t xml:space="preserve"> the use of land or reducing its value through regulation is insufficient. For Halifax to acquire a “beneficial interest” in the Annapolis Lands, land “must actually be taken” from Annapolis and acquired by Halifax (para. 71). This did not occur. Even had Halifax placed signage on the property to encourage its use by the public, this would, at most, have constituted a trespass by those using the lands. Annapolis has the same rights with respect to the Lands under the Planning Strategy that it has had for years. Nothing has changed. Nor, in the Court of Appeal’s view, would adopting a development plan constitute a taking. It simply allows a municipality to set future development goals and to ensure land will be developed (or not) accordingly.</w:t>
      </w:r>
    </w:p>
    <w:p w14:paraId="523882BA" w14:textId="77777777" w:rsidR="001A2B0D" w:rsidRPr="00A97052" w:rsidRDefault="001A2B0D" w:rsidP="001A2B0D">
      <w:pPr>
        <w:pStyle w:val="ParaNoNdepar-AltN"/>
        <w:rPr>
          <w:rFonts w:cs="Times New Roman"/>
        </w:rPr>
      </w:pPr>
      <w:r w:rsidRPr="00A97052">
        <w:rPr>
          <w:rFonts w:cs="Times New Roman"/>
          <w:lang w:val="en"/>
        </w:rPr>
        <w:t xml:space="preserve">Finally, it said, Halifax’s intended use for the Lands is not relevant to the constructive taking analysis. Improper motive is not proof of a constructive taking, and </w:t>
      </w:r>
      <w:r w:rsidRPr="00A97052">
        <w:rPr>
          <w:rFonts w:cs="Times New Roman"/>
          <w:i/>
          <w:iCs/>
          <w:lang w:val="en"/>
        </w:rPr>
        <w:t xml:space="preserve">Lorraine </w:t>
      </w:r>
      <w:r w:rsidRPr="00A97052">
        <w:rPr>
          <w:rFonts w:cs="Times New Roman"/>
          <w:lang w:val="en"/>
        </w:rPr>
        <w:t>does not dictate a contrary conclusion.</w:t>
      </w:r>
    </w:p>
    <w:p w14:paraId="5CFBF2CF" w14:textId="77777777" w:rsidR="001A2B0D" w:rsidRPr="00A97052" w:rsidRDefault="001A2B0D" w:rsidP="001A2B0D">
      <w:pPr>
        <w:pStyle w:val="Title1LevelTitre1Niveau-AltL"/>
        <w:numPr>
          <w:ilvl w:val="0"/>
          <w:numId w:val="8"/>
        </w:numPr>
        <w:rPr>
          <w:rFonts w:cs="Times New Roman"/>
        </w:rPr>
      </w:pPr>
      <w:bookmarkStart w:id="11" w:name="_Toc101877251"/>
      <w:bookmarkStart w:id="12" w:name="_Toc105502346"/>
      <w:r w:rsidRPr="00A97052">
        <w:rPr>
          <w:rFonts w:cs="Times New Roman"/>
        </w:rPr>
        <w:t>Issues</w:t>
      </w:r>
      <w:bookmarkEnd w:id="11"/>
      <w:bookmarkEnd w:id="12"/>
    </w:p>
    <w:p w14:paraId="489ED5DA" w14:textId="77777777" w:rsidR="001A2B0D" w:rsidRPr="00A97052" w:rsidRDefault="001A2B0D" w:rsidP="001A2B0D">
      <w:pPr>
        <w:pStyle w:val="ParaNoNdepar-AltN"/>
        <w:rPr>
          <w:rFonts w:cs="Times New Roman"/>
        </w:rPr>
      </w:pPr>
      <w:r w:rsidRPr="00A97052">
        <w:rPr>
          <w:rFonts w:cs="Times New Roman"/>
        </w:rPr>
        <w:t>The foregoing account presents the issues to be decided:</w:t>
      </w:r>
    </w:p>
    <w:p w14:paraId="107EE031" w14:textId="77777777" w:rsidR="001A2B0D" w:rsidRPr="00A97052" w:rsidRDefault="001A2B0D" w:rsidP="001A2B0D">
      <w:pPr>
        <w:pStyle w:val="ParaNoNdepar-AltN"/>
        <w:numPr>
          <w:ilvl w:val="0"/>
          <w:numId w:val="11"/>
        </w:numPr>
        <w:ind w:left="1985" w:hanging="851"/>
        <w:rPr>
          <w:rFonts w:cs="Times New Roman"/>
        </w:rPr>
      </w:pPr>
      <w:r w:rsidRPr="00A97052">
        <w:rPr>
          <w:rFonts w:cs="Times New Roman"/>
        </w:rPr>
        <w:t xml:space="preserve">Did the Court of Appeal err in holding that an “acquisition of a beneficial interest” under the constructive taking test established by this Court in </w:t>
      </w:r>
      <w:r w:rsidRPr="00A97052">
        <w:rPr>
          <w:rFonts w:cs="Times New Roman"/>
          <w:i/>
        </w:rPr>
        <w:t>CPR</w:t>
      </w:r>
      <w:r w:rsidRPr="00A97052">
        <w:rPr>
          <w:rFonts w:cs="Times New Roman"/>
        </w:rPr>
        <w:t xml:space="preserve"> requires land to “actually be taken” from an owner and acquired by the state? If not, should</w:t>
      </w:r>
      <w:r w:rsidRPr="00A97052">
        <w:rPr>
          <w:rFonts w:cs="Times New Roman"/>
          <w:i/>
        </w:rPr>
        <w:t xml:space="preserve"> </w:t>
      </w:r>
      <w:r w:rsidRPr="00A97052">
        <w:rPr>
          <w:rFonts w:cs="Times New Roman"/>
        </w:rPr>
        <w:t xml:space="preserve">the </w:t>
      </w:r>
      <w:r w:rsidRPr="00A97052">
        <w:rPr>
          <w:rFonts w:cs="Times New Roman"/>
          <w:i/>
        </w:rPr>
        <w:t>CPR</w:t>
      </w:r>
      <w:r w:rsidRPr="00A97052">
        <w:rPr>
          <w:rFonts w:cs="Times New Roman"/>
        </w:rPr>
        <w:t xml:space="preserve"> test be revisited?</w:t>
      </w:r>
    </w:p>
    <w:p w14:paraId="6E6B8307" w14:textId="77777777" w:rsidR="001A2B0D" w:rsidRPr="00A97052" w:rsidRDefault="001A2B0D" w:rsidP="001A2B0D">
      <w:pPr>
        <w:pStyle w:val="ParaNoNdepar-AltN"/>
        <w:numPr>
          <w:ilvl w:val="0"/>
          <w:numId w:val="11"/>
        </w:numPr>
        <w:ind w:left="1985" w:hanging="905"/>
        <w:rPr>
          <w:rFonts w:cs="Times New Roman"/>
        </w:rPr>
      </w:pPr>
      <w:r w:rsidRPr="00A97052">
        <w:rPr>
          <w:rFonts w:cs="Times New Roman"/>
        </w:rPr>
        <w:t>Did the Court of Appeal err in holding that evidence of the state’s intended use of the impugned land is irrelevant to a claim for constructive taking?</w:t>
      </w:r>
    </w:p>
    <w:p w14:paraId="2D8E8B78" w14:textId="77777777" w:rsidR="001A2B0D" w:rsidRPr="00A97052" w:rsidRDefault="001A2B0D" w:rsidP="001A2B0D">
      <w:pPr>
        <w:pStyle w:val="Title1LevelTitre1Niveau-AltL"/>
        <w:numPr>
          <w:ilvl w:val="0"/>
          <w:numId w:val="8"/>
        </w:numPr>
        <w:rPr>
          <w:rFonts w:cs="Times New Roman"/>
        </w:rPr>
      </w:pPr>
      <w:bookmarkStart w:id="13" w:name="_Toc101877252"/>
      <w:bookmarkStart w:id="14" w:name="_Toc105502347"/>
      <w:r w:rsidRPr="00A97052">
        <w:rPr>
          <w:rFonts w:cs="Times New Roman"/>
        </w:rPr>
        <w:t>Analysis</w:t>
      </w:r>
      <w:bookmarkEnd w:id="13"/>
      <w:bookmarkEnd w:id="14"/>
    </w:p>
    <w:p w14:paraId="50895209" w14:textId="77777777" w:rsidR="001A2B0D" w:rsidRPr="00A97052" w:rsidRDefault="001A2B0D" w:rsidP="001A2B0D">
      <w:pPr>
        <w:pStyle w:val="Title2LevelTitre2Niveau"/>
        <w:numPr>
          <w:ilvl w:val="1"/>
          <w:numId w:val="8"/>
        </w:numPr>
        <w:rPr>
          <w:rFonts w:cs="Times New Roman"/>
        </w:rPr>
      </w:pPr>
      <w:bookmarkStart w:id="15" w:name="_Toc101877253"/>
      <w:bookmarkStart w:id="16" w:name="_Toc105502348"/>
      <w:r w:rsidRPr="00A97052">
        <w:rPr>
          <w:rFonts w:cs="Times New Roman"/>
        </w:rPr>
        <w:t>Overview of the Law</w:t>
      </w:r>
      <w:bookmarkEnd w:id="15"/>
      <w:r w:rsidRPr="00A97052">
        <w:rPr>
          <w:rFonts w:cs="Times New Roman"/>
        </w:rPr>
        <w:t xml:space="preserve"> of Takings</w:t>
      </w:r>
      <w:bookmarkEnd w:id="16"/>
    </w:p>
    <w:p w14:paraId="3F1CFC23" w14:textId="77777777" w:rsidR="001A2B0D" w:rsidRPr="00A97052" w:rsidRDefault="001A2B0D" w:rsidP="001A2B0D">
      <w:pPr>
        <w:pStyle w:val="ParaNoNdepar-AltN"/>
        <w:rPr>
          <w:rFonts w:cs="Times New Roman"/>
        </w:rPr>
      </w:pPr>
      <w:r w:rsidRPr="00A97052">
        <w:rPr>
          <w:rFonts w:cs="Times New Roman"/>
        </w:rPr>
        <w:t>It is useful to begin with a brief overview of the law of takings. Given the facts of this appeal, our focus is on expropriation through regulation — which, again, we refer to as a “constructive taking” in preference to other commonly applied terms such as “</w:t>
      </w:r>
      <w:r w:rsidRPr="00A97052">
        <w:rPr>
          <w:rFonts w:cs="Times New Roman"/>
          <w:i/>
        </w:rPr>
        <w:t>de facto</w:t>
      </w:r>
      <w:r w:rsidRPr="00A97052">
        <w:rPr>
          <w:rFonts w:cs="Times New Roman"/>
        </w:rPr>
        <w:t xml:space="preserve">” or “regulatory taking”, as in our view </w:t>
      </w:r>
      <w:r w:rsidRPr="00A97052">
        <w:rPr>
          <w:rFonts w:cs="Times New Roman"/>
          <w:lang w:val="en-US"/>
        </w:rPr>
        <w:t xml:space="preserve">it more accurately captures the nature of the state action at issue and the effect on the landowner (see e.g., M. Lavoie, “Canadian Common Law and Civil Law Approaches to Constructive Takings: A Comparative Economic Perspective” (2010), 42 </w:t>
      </w:r>
      <w:r w:rsidRPr="00A97052">
        <w:rPr>
          <w:rFonts w:cs="Times New Roman"/>
          <w:i/>
          <w:lang w:val="en-US"/>
        </w:rPr>
        <w:t>Ottawa L. Rev.</w:t>
      </w:r>
      <w:r w:rsidRPr="00A97052">
        <w:rPr>
          <w:rFonts w:cs="Times New Roman"/>
          <w:lang w:val="en-US"/>
        </w:rPr>
        <w:t xml:space="preserve"> 229).</w:t>
      </w:r>
    </w:p>
    <w:p w14:paraId="56018E86" w14:textId="77777777" w:rsidR="001A2B0D" w:rsidRPr="00A97052" w:rsidRDefault="001A2B0D" w:rsidP="001A2B0D">
      <w:pPr>
        <w:pStyle w:val="ParaNoNdepar-AltN"/>
        <w:rPr>
          <w:rFonts w:cs="Times New Roman"/>
        </w:rPr>
      </w:pPr>
      <w:r w:rsidRPr="00A97052">
        <w:rPr>
          <w:rFonts w:cs="Times New Roman"/>
        </w:rPr>
        <w:t xml:space="preserve">A “taking” is a “forcible acquisition by the Crown of privately owned </w:t>
      </w:r>
      <w:proofErr w:type="gramStart"/>
      <w:r w:rsidRPr="00A97052">
        <w:rPr>
          <w:rFonts w:cs="Times New Roman"/>
        </w:rPr>
        <w:t>property .</w:t>
      </w:r>
      <w:proofErr w:type="gramEnd"/>
      <w:r w:rsidRPr="00A97052">
        <w:rPr>
          <w:rFonts w:cs="Times New Roman"/>
        </w:rPr>
        <w:t xml:space="preserve"> . . for public purposes” </w:t>
      </w:r>
      <w:r w:rsidRPr="00A97052">
        <w:rPr>
          <w:rFonts w:cs="Times New Roman"/>
          <w:szCs w:val="24"/>
        </w:rPr>
        <w:t xml:space="preserve">(K. Horsman and G. Morley, eds., </w:t>
      </w:r>
      <w:r w:rsidRPr="00A97052">
        <w:rPr>
          <w:rFonts w:cs="Times New Roman"/>
          <w:i/>
          <w:szCs w:val="24"/>
        </w:rPr>
        <w:t xml:space="preserve">Government Liability: Law and Practice </w:t>
      </w:r>
      <w:r w:rsidRPr="00A97052">
        <w:rPr>
          <w:rFonts w:cs="Times New Roman"/>
          <w:szCs w:val="24"/>
        </w:rPr>
        <w:t>(loose</w:t>
      </w:r>
      <w:r w:rsidRPr="00A97052">
        <w:rPr>
          <w:rFonts w:cs="Times New Roman"/>
          <w:szCs w:val="24"/>
        </w:rPr>
        <w:noBreakHyphen/>
        <w:t xml:space="preserve">leaf), at </w:t>
      </w:r>
      <w:r w:rsidRPr="00A97052">
        <w:rPr>
          <w:rFonts w:cs="Times New Roman"/>
          <w:szCs w:val="24"/>
          <w:shd w:val="clear" w:color="auto" w:fill="FFFFFF"/>
        </w:rPr>
        <w:t>§ 5:1</w:t>
      </w:r>
      <w:r w:rsidRPr="00A97052">
        <w:rPr>
          <w:rFonts w:cs="Times New Roman"/>
        </w:rPr>
        <w:t xml:space="preserve">). It may take the form of a constructive taking (effective appropriation of private property by a public authority exercising its regulatory powers), or a </w:t>
      </w:r>
      <w:r w:rsidRPr="00A97052">
        <w:rPr>
          <w:rFonts w:cs="Times New Roman"/>
          <w:i/>
        </w:rPr>
        <w:t xml:space="preserve">de jure </w:t>
      </w:r>
      <w:r w:rsidRPr="00A97052">
        <w:rPr>
          <w:rFonts w:cs="Times New Roman"/>
        </w:rPr>
        <w:t>taking (formal expropriation), by (in the case of land) taking title.</w:t>
      </w:r>
    </w:p>
    <w:p w14:paraId="14C59348" w14:textId="77777777" w:rsidR="001A2B0D" w:rsidRPr="00A97052" w:rsidRDefault="001A2B0D" w:rsidP="001A2B0D">
      <w:pPr>
        <w:pStyle w:val="ParaNoNdepar-AltN"/>
        <w:rPr>
          <w:rFonts w:cs="Times New Roman"/>
        </w:rPr>
      </w:pPr>
      <w:r w:rsidRPr="00A97052">
        <w:rPr>
          <w:rFonts w:cs="Times New Roman"/>
        </w:rPr>
        <w:t>To be clear, not every instance of regulating the use of property amounts to a constructive taking. Governments and municipalities holding delegated provincial regulatory authority (</w:t>
      </w:r>
      <w:r w:rsidRPr="00A97052">
        <w:rPr>
          <w:rFonts w:cs="Times New Roman"/>
          <w:i/>
        </w:rPr>
        <w:t xml:space="preserve">Toronto (City) </w:t>
      </w:r>
      <w:r w:rsidRPr="00A97052">
        <w:rPr>
          <w:rFonts w:cs="Times New Roman"/>
          <w:i/>
          <w:iCs/>
        </w:rPr>
        <w:t>v.</w:t>
      </w:r>
      <w:r w:rsidRPr="00A97052">
        <w:rPr>
          <w:rFonts w:cs="Times New Roman"/>
          <w:i/>
        </w:rPr>
        <w:t xml:space="preserve"> Ontario (Attorney General)</w:t>
      </w:r>
      <w:r w:rsidRPr="00A97052">
        <w:rPr>
          <w:rFonts w:cs="Times New Roman"/>
        </w:rPr>
        <w:t xml:space="preserve">, 2021 SCC 34, at para. 2) validly regulate land in the public interest without effecting “takings”, properly understood (see </w:t>
      </w:r>
      <w:r w:rsidRPr="00A97052">
        <w:rPr>
          <w:rFonts w:cs="Times New Roman"/>
          <w:i/>
        </w:rPr>
        <w:t>Compliance Coal Corporation v. British Columbia (Environmental Assessment Office)</w:t>
      </w:r>
      <w:r w:rsidRPr="00A97052">
        <w:rPr>
          <w:rFonts w:cs="Times New Roman"/>
        </w:rPr>
        <w:t xml:space="preserve">, 2020 BCSC 621, 13 L.C.R. (2d) 215, at para. 91). The line between a valid regulation and a constructive taking is crossed where the </w:t>
      </w:r>
      <w:r w:rsidRPr="00A97052">
        <w:rPr>
          <w:rFonts w:cs="Times New Roman"/>
          <w:i/>
        </w:rPr>
        <w:t xml:space="preserve">effect </w:t>
      </w:r>
      <w:r w:rsidRPr="00A97052">
        <w:rPr>
          <w:rFonts w:cs="Times New Roman"/>
        </w:rPr>
        <w:t xml:space="preserve">of the regulatory activity deprives a claimant of the use and enjoyment of its property in a substantial and unreasonable way, or effectively confiscates the property (Horsman and Morley, at </w:t>
      </w:r>
      <w:r w:rsidRPr="00A97052">
        <w:rPr>
          <w:rFonts w:cs="Times New Roman"/>
          <w:szCs w:val="24"/>
          <w:shd w:val="clear" w:color="auto" w:fill="FFFFFF"/>
        </w:rPr>
        <w:t>§ 5:2). Put simply, “in order for a Crown measure to effect a constructive taking of property, private rights in the property must be virtually abolished, leaving the plaintiff with ‘</w:t>
      </w:r>
      <w:r w:rsidRPr="00A97052">
        <w:rPr>
          <w:rFonts w:cs="Times New Roman"/>
          <w:szCs w:val="24"/>
          <w:u w:val="single"/>
          <w:shd w:val="clear" w:color="auto" w:fill="FFFFFF"/>
        </w:rPr>
        <w:t>no reasonable use</w:t>
      </w:r>
      <w:r w:rsidRPr="00A97052">
        <w:rPr>
          <w:rFonts w:cs="Times New Roman"/>
          <w:szCs w:val="24"/>
          <w:shd w:val="clear" w:color="auto" w:fill="FFFFFF"/>
        </w:rPr>
        <w:t>’ of the property” (Horsman and Morley, at § 5:13 (emphasis added)).</w:t>
      </w:r>
    </w:p>
    <w:p w14:paraId="7AAFFA82" w14:textId="77777777" w:rsidR="001A2B0D" w:rsidRPr="00A97052" w:rsidRDefault="001A2B0D" w:rsidP="001A2B0D">
      <w:pPr>
        <w:pStyle w:val="ParaNoNdepar-AltN"/>
        <w:rPr>
          <w:rFonts w:cs="Times New Roman"/>
        </w:rPr>
      </w:pPr>
      <w:r w:rsidRPr="00A97052">
        <w:rPr>
          <w:rFonts w:cs="Times New Roman"/>
          <w:szCs w:val="24"/>
          <w:shd w:val="clear" w:color="auto" w:fill="FFFFFF"/>
        </w:rPr>
        <w:t xml:space="preserve">A series of lower court judgments affirm that, in general, Canadian courts require a “total loss of the plaintiff’s interest in property for the Crown’s action to constitute a taking” (Horsman and Morley, at § 5:13; see also </w:t>
      </w:r>
      <w:r w:rsidRPr="00A97052">
        <w:rPr>
          <w:rFonts w:cs="Times New Roman"/>
          <w:i/>
          <w:szCs w:val="24"/>
          <w:shd w:val="clear" w:color="auto" w:fill="FFFFFF"/>
        </w:rPr>
        <w:t>Lynch v. St. John’s (City)</w:t>
      </w:r>
      <w:r w:rsidRPr="00A97052">
        <w:rPr>
          <w:rFonts w:cs="Times New Roman"/>
          <w:szCs w:val="24"/>
          <w:shd w:val="clear" w:color="auto" w:fill="FFFFFF"/>
        </w:rPr>
        <w:t xml:space="preserve">, 2016 NLCA 35, 400 D.L.R. (4th) 62; </w:t>
      </w:r>
      <w:r w:rsidRPr="00A97052">
        <w:rPr>
          <w:rFonts w:cs="Times New Roman"/>
          <w:i/>
          <w:szCs w:val="24"/>
          <w:shd w:val="clear" w:color="auto" w:fill="FFFFFF"/>
        </w:rPr>
        <w:t>Sun Construction Company Limited v. Conception Bay South (Town)</w:t>
      </w:r>
      <w:r w:rsidRPr="00A97052">
        <w:rPr>
          <w:rFonts w:cs="Times New Roman"/>
          <w:szCs w:val="24"/>
          <w:shd w:val="clear" w:color="auto" w:fill="FFFFFF"/>
        </w:rPr>
        <w:t xml:space="preserve">, 2019 NLSC 102, 87 M.P.L.R. (5th) 256). Courts have, therefore, dismissed claims for compensation where the regulation left the owner </w:t>
      </w:r>
      <w:r w:rsidRPr="00A97052">
        <w:rPr>
          <w:rFonts w:cs="Times New Roman"/>
          <w:i/>
          <w:shd w:val="clear" w:color="auto" w:fill="FFFFFF"/>
        </w:rPr>
        <w:t>some</w:t>
      </w:r>
      <w:r w:rsidRPr="00A97052">
        <w:rPr>
          <w:rFonts w:cs="Times New Roman"/>
          <w:szCs w:val="24"/>
          <w:shd w:val="clear" w:color="auto" w:fill="FFFFFF"/>
        </w:rPr>
        <w:t xml:space="preserve"> reasonable use for the property (</w:t>
      </w:r>
      <w:r w:rsidRPr="00A97052">
        <w:rPr>
          <w:rFonts w:cs="Times New Roman"/>
          <w:i/>
          <w:szCs w:val="24"/>
          <w:shd w:val="clear" w:color="auto" w:fill="FFFFFF"/>
        </w:rPr>
        <w:t>Genevieve Holdings Ltd. v. Kamloops (City)</w:t>
      </w:r>
      <w:r w:rsidRPr="00A97052">
        <w:rPr>
          <w:rFonts w:cs="Times New Roman"/>
          <w:szCs w:val="24"/>
          <w:shd w:val="clear" w:color="auto" w:fill="FFFFFF"/>
        </w:rPr>
        <w:t xml:space="preserve"> (1988), 42 M.P.L.R. 171 (B.C. Co. Ct.); </w:t>
      </w:r>
      <w:r w:rsidRPr="00A97052">
        <w:rPr>
          <w:rFonts w:cs="Times New Roman"/>
          <w:i/>
          <w:szCs w:val="24"/>
          <w:shd w:val="clear" w:color="auto" w:fill="FFFFFF"/>
        </w:rPr>
        <w:t>Steer Holdings Ltd. v. Manitoba</w:t>
      </w:r>
      <w:r w:rsidRPr="00A97052">
        <w:rPr>
          <w:rFonts w:cs="Times New Roman"/>
          <w:szCs w:val="24"/>
          <w:shd w:val="clear" w:color="auto" w:fill="FFFFFF"/>
        </w:rPr>
        <w:t xml:space="preserve">, [1992] 2 W.W.R. 558 (Man. Q.B.), aff’d (1992), 99 D.L.R. (4th) 61 (Man. C.A.); </w:t>
      </w:r>
      <w:r w:rsidRPr="00A97052">
        <w:rPr>
          <w:rFonts w:cs="Times New Roman"/>
          <w:i/>
          <w:szCs w:val="24"/>
          <w:shd w:val="clear" w:color="auto" w:fill="FFFFFF"/>
        </w:rPr>
        <w:t>Purchase v. Terrace (City)</w:t>
      </w:r>
      <w:r w:rsidRPr="00A97052">
        <w:rPr>
          <w:rFonts w:cs="Times New Roman"/>
          <w:szCs w:val="24"/>
          <w:shd w:val="clear" w:color="auto" w:fill="FFFFFF"/>
        </w:rPr>
        <w:t xml:space="preserve"> (1995), 26 M.P.L.R. (2d) 126 (B.C.S.C.); </w:t>
      </w:r>
      <w:r w:rsidRPr="00A97052">
        <w:rPr>
          <w:rFonts w:cs="Times New Roman"/>
          <w:i/>
          <w:szCs w:val="24"/>
          <w:shd w:val="clear" w:color="auto" w:fill="FFFFFF"/>
        </w:rPr>
        <w:t xml:space="preserve">Harvard Investments Ltd. v. Winnipeg (City) </w:t>
      </w:r>
      <w:r w:rsidRPr="00A97052">
        <w:rPr>
          <w:rFonts w:cs="Times New Roman"/>
        </w:rPr>
        <w:t>(1995), 129 D.L.R. (4th) 557 (Man. C.A.)).</w:t>
      </w:r>
    </w:p>
    <w:p w14:paraId="4C2A46C3" w14:textId="77777777" w:rsidR="001A2B0D" w:rsidRPr="00A97052" w:rsidRDefault="001A2B0D" w:rsidP="001A2B0D">
      <w:pPr>
        <w:pStyle w:val="ParaNoNdepar-AltN"/>
        <w:rPr>
          <w:rFonts w:cs="Times New Roman"/>
        </w:rPr>
      </w:pPr>
      <w:r w:rsidRPr="00A97052">
        <w:rPr>
          <w:rFonts w:cs="Times New Roman"/>
        </w:rPr>
        <w:t xml:space="preserve">At common law, taking of property by the state must be authorized by law, and triggers a presumptive right to compensation which can be displaced only by clear statutory language showing a contrary intention — that is, an intention </w:t>
      </w:r>
      <w:r w:rsidRPr="00A97052">
        <w:rPr>
          <w:rFonts w:cs="Times New Roman"/>
          <w:i/>
        </w:rPr>
        <w:t>not</w:t>
      </w:r>
      <w:r w:rsidRPr="00A97052">
        <w:rPr>
          <w:rFonts w:cs="Times New Roman"/>
        </w:rPr>
        <w:t xml:space="preserve"> to compensate (see P. A. </w:t>
      </w:r>
      <w:proofErr w:type="spellStart"/>
      <w:r w:rsidRPr="00A97052">
        <w:rPr>
          <w:rFonts w:cs="Times New Roman"/>
        </w:rPr>
        <w:t>Warchuk</w:t>
      </w:r>
      <w:proofErr w:type="spellEnd"/>
      <w:r w:rsidRPr="00A97052">
        <w:rPr>
          <w:rFonts w:cs="Times New Roman"/>
        </w:rPr>
        <w:t xml:space="preserve">, “Rethinking Compensation for Expropriation” (2015), 48 </w:t>
      </w:r>
      <w:r w:rsidRPr="00A97052">
        <w:rPr>
          <w:rFonts w:cs="Times New Roman"/>
          <w:i/>
        </w:rPr>
        <w:t>U.B.C. L. Rev.</w:t>
      </w:r>
      <w:r w:rsidRPr="00A97052">
        <w:rPr>
          <w:rFonts w:cs="Times New Roman"/>
        </w:rPr>
        <w:t xml:space="preserve"> 655, at pp. 656 and 678</w:t>
      </w:r>
      <w:r w:rsidRPr="00A97052">
        <w:rPr>
          <w:rFonts w:cs="Times New Roman"/>
        </w:rPr>
        <w:noBreakHyphen/>
        <w:t xml:space="preserve">81). This was recognized in </w:t>
      </w:r>
      <w:r w:rsidRPr="00A97052">
        <w:rPr>
          <w:rFonts w:cs="Times New Roman"/>
          <w:i/>
        </w:rPr>
        <w:t>Attorney</w:t>
      </w:r>
      <w:r w:rsidRPr="00A97052">
        <w:rPr>
          <w:rFonts w:cs="Times New Roman"/>
          <w:i/>
        </w:rPr>
        <w:noBreakHyphen/>
        <w:t>General v. De Keyser’s Royal Hotel</w:t>
      </w:r>
      <w:r w:rsidRPr="00A97052">
        <w:rPr>
          <w:rFonts w:cs="Times New Roman"/>
        </w:rPr>
        <w:t xml:space="preserve">, [1920] A.C. 508 (H.L.), wherein Lord Atkinson stated: “The recognized rule for the construction of statutes is that, unless the words of the statute clearly so demand, a statute is not to be construed so as to take away the property of a subject without compensation” (p. 542). Explaining the rule’s rationale, His Lordship cited to </w:t>
      </w:r>
      <w:r w:rsidRPr="00A97052">
        <w:rPr>
          <w:rFonts w:cs="Times New Roman"/>
          <w:i/>
        </w:rPr>
        <w:t>London and North Western Railway Co. v. Evans</w:t>
      </w:r>
      <w:r w:rsidRPr="00A97052">
        <w:rPr>
          <w:rFonts w:cs="Times New Roman"/>
        </w:rPr>
        <w:t>, [1893] 1 Ch. 16 (C.A.), at p. 28, per</w:t>
      </w:r>
      <w:r w:rsidRPr="00A97052">
        <w:rPr>
          <w:rFonts w:cs="Times New Roman"/>
          <w:i/>
        </w:rPr>
        <w:t xml:space="preserve"> </w:t>
      </w:r>
      <w:r w:rsidRPr="00A97052">
        <w:rPr>
          <w:rFonts w:cs="Times New Roman"/>
        </w:rPr>
        <w:t>Bowen L.J., saying, at p. 542:</w:t>
      </w:r>
    </w:p>
    <w:p w14:paraId="0CE9724C" w14:textId="77777777" w:rsidR="001A2B0D" w:rsidRPr="00A97052" w:rsidRDefault="001A2B0D" w:rsidP="001A2B0D">
      <w:pPr>
        <w:pStyle w:val="Citation-AltC"/>
      </w:pPr>
      <w:r w:rsidRPr="00A97052">
        <w:t xml:space="preserve">The Legislature cannot fairly be supposed to intend, in the absence of clear words shewing such intention, that one man’s property shall be confiscated for the benefit of others, or of the public, without any compensation being provided for him in respect of what is taken compulsorily from him. Parliament in its omnipotence can, of course, override or disregard this ordinary </w:t>
      </w:r>
      <w:proofErr w:type="gramStart"/>
      <w:r w:rsidRPr="00A97052">
        <w:t>principle .</w:t>
      </w:r>
      <w:proofErr w:type="gramEnd"/>
      <w:r w:rsidRPr="00A97052">
        <w:t> . . if it sees fit to do so, but, it is not likely that it will be found disregarding it, without plain expressions of such a purpose.</w:t>
      </w:r>
    </w:p>
    <w:p w14:paraId="72D27DB6" w14:textId="77777777" w:rsidR="001A2B0D" w:rsidRPr="00A97052" w:rsidRDefault="001A2B0D" w:rsidP="001A2B0D">
      <w:pPr>
        <w:pStyle w:val="ParaNoNdepar-AltN"/>
        <w:numPr>
          <w:ilvl w:val="0"/>
          <w:numId w:val="0"/>
        </w:numPr>
        <w:rPr>
          <w:rFonts w:cs="Times New Roman"/>
        </w:rPr>
      </w:pPr>
      <w:r w:rsidRPr="00A97052">
        <w:rPr>
          <w:rFonts w:cs="Times New Roman"/>
        </w:rPr>
        <w:t>Lord Parmoor agreed with Lord Atkinson that this rule was “well</w:t>
      </w:r>
      <w:r w:rsidRPr="00A97052">
        <w:rPr>
          <w:rFonts w:cs="Times New Roman"/>
        </w:rPr>
        <w:noBreakHyphen/>
        <w:t>established” and that “justice requires that statutes should not be construed to enable the land of a particular individual to be confiscated without payment”, absent clear words to the contrary (</w:t>
      </w:r>
      <w:r w:rsidRPr="00A97052">
        <w:rPr>
          <w:rFonts w:cs="Times New Roman"/>
          <w:i/>
        </w:rPr>
        <w:t>De Keyser’s Royal Hotel</w:t>
      </w:r>
      <w:r w:rsidRPr="00A97052">
        <w:rPr>
          <w:rFonts w:cs="Times New Roman"/>
        </w:rPr>
        <w:t>, at pp. 576 and 579).</w:t>
      </w:r>
    </w:p>
    <w:p w14:paraId="102DA07D" w14:textId="77777777" w:rsidR="001A2B0D" w:rsidRPr="00A97052" w:rsidRDefault="001A2B0D" w:rsidP="001A2B0D">
      <w:pPr>
        <w:pStyle w:val="ParaNoNdepar-AltN"/>
        <w:rPr>
          <w:rFonts w:cs="Times New Roman"/>
        </w:rPr>
      </w:pPr>
      <w:r w:rsidRPr="00A97052">
        <w:rPr>
          <w:rFonts w:cs="Times New Roman"/>
        </w:rPr>
        <w:t xml:space="preserve">It is important to stress that the rule contemplates that governments have the power to immunize themselves from liability to pay compensation for a taking. While, as we explain, we do not “expand” that liability but merely affirm it, the point is that governments may effect takings without paying compensation, so long as the enabling statute clearly expresses that intention. Notably, in </w:t>
      </w:r>
      <w:r w:rsidRPr="00A97052">
        <w:rPr>
          <w:rFonts w:cs="Times New Roman"/>
          <w:i/>
        </w:rPr>
        <w:t>CPR</w:t>
      </w:r>
      <w:r w:rsidRPr="00A97052">
        <w:rPr>
          <w:rFonts w:cs="Times New Roman"/>
        </w:rPr>
        <w:t xml:space="preserve">, the legislation at issue — the </w:t>
      </w:r>
      <w:r w:rsidRPr="00A97052">
        <w:rPr>
          <w:rFonts w:cs="Times New Roman"/>
          <w:i/>
        </w:rPr>
        <w:t>Vancouver Charter</w:t>
      </w:r>
      <w:r w:rsidRPr="00A97052">
        <w:rPr>
          <w:rFonts w:cs="Times New Roman"/>
        </w:rPr>
        <w:t>, S.B.C. 1953, c. 55</w:t>
      </w:r>
      <w:r w:rsidRPr="00A97052">
        <w:rPr>
          <w:rFonts w:cs="Times New Roman"/>
          <w:i/>
        </w:rPr>
        <w:t> </w:t>
      </w:r>
      <w:r w:rsidRPr="00A97052">
        <w:rPr>
          <w:rFonts w:cs="Times New Roman"/>
        </w:rPr>
        <w:t>— immunized the City from compensating landowners for any loss as a result of the restrictions on land development and use (</w:t>
      </w:r>
      <w:r w:rsidRPr="00A97052">
        <w:rPr>
          <w:rFonts w:cs="Times New Roman"/>
          <w:i/>
        </w:rPr>
        <w:t>CPR</w:t>
      </w:r>
      <w:r w:rsidRPr="00A97052">
        <w:rPr>
          <w:rFonts w:cs="Times New Roman"/>
        </w:rPr>
        <w:t>, at paras. 12, 19 and 36</w:t>
      </w:r>
      <w:r w:rsidRPr="00A97052">
        <w:rPr>
          <w:rFonts w:cs="Times New Roman"/>
        </w:rPr>
        <w:noBreakHyphen/>
        <w:t>37).</w:t>
      </w:r>
      <w:r w:rsidRPr="00A97052">
        <w:rPr>
          <w:rFonts w:cs="Times New Roman"/>
          <w:lang w:bidi="en-US"/>
        </w:rPr>
        <w:t xml:space="preserve"> From the standpoint of government, the exigencies of the rule are modest and easily satisfied.</w:t>
      </w:r>
    </w:p>
    <w:p w14:paraId="41728825" w14:textId="77777777" w:rsidR="001A2B0D" w:rsidRPr="00A97052" w:rsidRDefault="001A2B0D" w:rsidP="001A2B0D">
      <w:pPr>
        <w:pStyle w:val="ParaNoNdepar-AltN"/>
        <w:rPr>
          <w:rFonts w:cs="Times New Roman"/>
        </w:rPr>
      </w:pPr>
      <w:r w:rsidRPr="00A97052">
        <w:rPr>
          <w:rFonts w:cs="Times New Roman"/>
        </w:rPr>
        <w:t xml:space="preserve">This Court first applied the rule in </w:t>
      </w:r>
      <w:r w:rsidRPr="00A97052">
        <w:rPr>
          <w:rFonts w:cs="Times New Roman"/>
          <w:i/>
        </w:rPr>
        <w:t>De Keyser’s Royal Hotel</w:t>
      </w:r>
      <w:r w:rsidRPr="00A97052">
        <w:rPr>
          <w:rFonts w:cs="Times New Roman"/>
        </w:rPr>
        <w:t xml:space="preserve"> in </w:t>
      </w:r>
      <w:r w:rsidRPr="00A97052">
        <w:rPr>
          <w:rFonts w:cs="Times New Roman"/>
          <w:i/>
        </w:rPr>
        <w:t>Manitoba Fisheries Ltd. v. The Queen</w:t>
      </w:r>
      <w:r w:rsidRPr="00A97052">
        <w:rPr>
          <w:rFonts w:cs="Times New Roman"/>
        </w:rPr>
        <w:t xml:space="preserve">, [1979] 1 S.C.R. 101. Ritchie J., for the Court, cited this passage from Lord Radcliffe’s speech in </w:t>
      </w:r>
      <w:r w:rsidRPr="00A97052">
        <w:rPr>
          <w:rFonts w:cs="Times New Roman"/>
          <w:i/>
        </w:rPr>
        <w:t>Belfast Corporation v. O.D. Cars Ltd.</w:t>
      </w:r>
      <w:r w:rsidRPr="00A97052">
        <w:rPr>
          <w:rFonts w:cs="Times New Roman"/>
        </w:rPr>
        <w:t>, [1960] A.C. 490 (H.L. (N.I.)), at p. 523, at p. 110, with approval:</w:t>
      </w:r>
    </w:p>
    <w:p w14:paraId="61DDB7C6" w14:textId="77777777" w:rsidR="001A2B0D" w:rsidRPr="00A97052" w:rsidRDefault="001A2B0D" w:rsidP="001A2B0D">
      <w:pPr>
        <w:pStyle w:val="Citation-AltC"/>
      </w:pPr>
      <w:r w:rsidRPr="00A97052">
        <w:t xml:space="preserve">On the one hand, there would be the general principle, accepted by the legislature and scrupulously defended by the </w:t>
      </w:r>
      <w:proofErr w:type="gramStart"/>
      <w:r w:rsidRPr="00A97052">
        <w:t>courts, that</w:t>
      </w:r>
      <w:proofErr w:type="gramEnd"/>
      <w:r w:rsidRPr="00A97052">
        <w:t xml:space="preserve"> the title to property or the enjoyment of its possession was not to be compulsorily acquired from a subject unless full compensation was afforded in its place. Acquisition of title or possession was “taking.” Aspects of this principle are found in the rules of statutory interpretation devised by the courts, which required the presence of the most explicit words before an acquisition could be held to be sanctioned by an Act of Parliament without full compensation being provided, or imported an intention to give compensation and machinery for assessing it into any Act of Parliament that did not positively exclude it. This vigilance to see that the subject’s rights to property were protected, so far as was consistent with the requirements of expropriation of what was previously enjoyed in specie, was regarded as an important guarantee of individual liberty. It would be a mistake to look on it as representing any conflict between the legislature and the courts. The principle was, generally speaking, common to both.</w:t>
      </w:r>
    </w:p>
    <w:p w14:paraId="11E019F3" w14:textId="77777777" w:rsidR="001A2B0D" w:rsidRPr="00A97052" w:rsidRDefault="001A2B0D" w:rsidP="001A2B0D">
      <w:pPr>
        <w:pStyle w:val="ParaNoNdepar-AltN"/>
        <w:rPr>
          <w:rFonts w:cs="Times New Roman"/>
        </w:rPr>
      </w:pPr>
      <w:r w:rsidRPr="00A97052">
        <w:rPr>
          <w:rFonts w:cs="Times New Roman"/>
        </w:rPr>
        <w:t xml:space="preserve">That the rule in </w:t>
      </w:r>
      <w:r w:rsidRPr="00A97052">
        <w:rPr>
          <w:rFonts w:cs="Times New Roman"/>
          <w:i/>
        </w:rPr>
        <w:t>De Keyser’s Royal Hotel</w:t>
      </w:r>
      <w:r w:rsidRPr="00A97052">
        <w:rPr>
          <w:rFonts w:cs="Times New Roman"/>
        </w:rPr>
        <w:t xml:space="preserve"> is one of common law answers Halifax’s submission that interpreting the protection narrowly against uncompensated takings avoids “</w:t>
      </w:r>
      <w:proofErr w:type="spellStart"/>
      <w:r w:rsidRPr="00A97052">
        <w:rPr>
          <w:rFonts w:cs="Times New Roman"/>
        </w:rPr>
        <w:t>creat</w:t>
      </w:r>
      <w:proofErr w:type="spellEnd"/>
      <w:r w:rsidRPr="00A97052">
        <w:rPr>
          <w:rFonts w:cs="Times New Roman"/>
        </w:rPr>
        <w:t xml:space="preserve">[ing] a common law back door to constitutionalizing rights which were excluded deliberately from the </w:t>
      </w:r>
      <w:r w:rsidRPr="00A97052">
        <w:rPr>
          <w:rFonts w:cs="Times New Roman"/>
          <w:i/>
        </w:rPr>
        <w:t>Charter</w:t>
      </w:r>
      <w:r w:rsidRPr="00A97052">
        <w:rPr>
          <w:rFonts w:cs="Times New Roman"/>
        </w:rPr>
        <w:t>” (R.F., at paras. 108</w:t>
      </w:r>
      <w:r w:rsidRPr="00A97052">
        <w:rPr>
          <w:rFonts w:cs="Times New Roman"/>
        </w:rPr>
        <w:noBreakHyphen/>
        <w:t xml:space="preserve">09). It is, of course, true that the framers of our Constitution did not include the protection of property rights in the </w:t>
      </w:r>
      <w:r w:rsidRPr="00A97052">
        <w:rPr>
          <w:rFonts w:cs="Times New Roman"/>
          <w:i/>
        </w:rPr>
        <w:t xml:space="preserve">Canadian Charter of Rights and Freedoms </w:t>
      </w:r>
      <w:r w:rsidRPr="00A97052">
        <w:rPr>
          <w:rFonts w:cs="Times New Roman"/>
        </w:rPr>
        <w:t xml:space="preserve">(see </w:t>
      </w:r>
      <w:proofErr w:type="spellStart"/>
      <w:r w:rsidRPr="00A97052">
        <w:rPr>
          <w:rFonts w:cs="Times New Roman"/>
        </w:rPr>
        <w:t>Warchuk</w:t>
      </w:r>
      <w:proofErr w:type="spellEnd"/>
      <w:r w:rsidRPr="00A97052">
        <w:rPr>
          <w:rFonts w:cs="Times New Roman"/>
        </w:rPr>
        <w:t>, at pp. 658</w:t>
      </w:r>
      <w:r w:rsidRPr="00A97052">
        <w:rPr>
          <w:rFonts w:cs="Times New Roman"/>
        </w:rPr>
        <w:noBreakHyphen/>
        <w:t xml:space="preserve">59). But the </w:t>
      </w:r>
      <w:r w:rsidRPr="00A97052">
        <w:rPr>
          <w:rFonts w:cs="Times New Roman"/>
          <w:i/>
        </w:rPr>
        <w:t>Charter</w:t>
      </w:r>
      <w:r w:rsidRPr="00A97052">
        <w:rPr>
          <w:rFonts w:cs="Times New Roman"/>
        </w:rPr>
        <w:t xml:space="preserve"> is not, and never has been, the sole source of Canadians’ rights against the state; in particular, the common law also affords protections of individual liberty. Nor is the </w:t>
      </w:r>
      <w:r w:rsidRPr="00A97052">
        <w:rPr>
          <w:rFonts w:cs="Times New Roman"/>
          <w:i/>
        </w:rPr>
        <w:t>scope</w:t>
      </w:r>
      <w:r w:rsidRPr="00A97052">
        <w:rPr>
          <w:rFonts w:cs="Times New Roman"/>
        </w:rPr>
        <w:t xml:space="preserve"> of common law rights dependent on whether such rights are also entrenched in the </w:t>
      </w:r>
      <w:r w:rsidRPr="00A97052">
        <w:rPr>
          <w:rFonts w:cs="Times New Roman"/>
          <w:i/>
        </w:rPr>
        <w:t>Charter</w:t>
      </w:r>
      <w:r w:rsidRPr="00A97052">
        <w:rPr>
          <w:rFonts w:cs="Times New Roman"/>
        </w:rPr>
        <w:t xml:space="preserve">. While this follows as a matter of logic, s. 26 of the </w:t>
      </w:r>
      <w:r w:rsidRPr="00A97052">
        <w:rPr>
          <w:rFonts w:cs="Times New Roman"/>
          <w:i/>
        </w:rPr>
        <w:t>Charter</w:t>
      </w:r>
      <w:r w:rsidRPr="00A97052">
        <w:rPr>
          <w:rFonts w:cs="Times New Roman"/>
        </w:rPr>
        <w:t xml:space="preserve"> itself affirms that “[t]he guarantee in this Charter of certain rights and freedoms </w:t>
      </w:r>
      <w:r w:rsidRPr="00A97052">
        <w:rPr>
          <w:rFonts w:cs="Times New Roman"/>
          <w:u w:val="single"/>
        </w:rPr>
        <w:t>shall not be construed as denying the existence of any other rights or freedoms that exist in Canada</w:t>
      </w:r>
      <w:r w:rsidRPr="00A97052">
        <w:rPr>
          <w:rFonts w:cs="Times New Roman"/>
        </w:rPr>
        <w:t>.”</w:t>
      </w:r>
    </w:p>
    <w:p w14:paraId="5D502BC9" w14:textId="77777777" w:rsidR="001A2B0D" w:rsidRPr="00A97052" w:rsidRDefault="001A2B0D" w:rsidP="001A2B0D">
      <w:pPr>
        <w:pStyle w:val="ParaNoNdepar-AltN"/>
        <w:rPr>
          <w:rFonts w:cs="Times New Roman"/>
        </w:rPr>
      </w:pPr>
      <w:r w:rsidRPr="00A97052">
        <w:rPr>
          <w:rFonts w:cs="Times New Roman"/>
        </w:rPr>
        <w:t xml:space="preserve">This legal backdrop brings us to </w:t>
      </w:r>
      <w:r w:rsidRPr="00A97052">
        <w:rPr>
          <w:rFonts w:cs="Times New Roman"/>
          <w:i/>
        </w:rPr>
        <w:t>CPR</w:t>
      </w:r>
      <w:r w:rsidRPr="00A97052">
        <w:rPr>
          <w:rFonts w:cs="Times New Roman"/>
        </w:rPr>
        <w:t xml:space="preserve">, and its elaboration of the common law rule in the form of a two-part test for showing a constructive taking: “. . . (1) </w:t>
      </w:r>
      <w:proofErr w:type="gramStart"/>
      <w:r w:rsidRPr="00A97052">
        <w:rPr>
          <w:rFonts w:cs="Times New Roman"/>
        </w:rPr>
        <w:t>an</w:t>
      </w:r>
      <w:proofErr w:type="gramEnd"/>
      <w:r w:rsidRPr="00A97052">
        <w:rPr>
          <w:rFonts w:cs="Times New Roman"/>
        </w:rPr>
        <w:t xml:space="preserve"> acquisition of </w:t>
      </w:r>
      <w:r w:rsidRPr="00A97052">
        <w:rPr>
          <w:rFonts w:cs="Times New Roman"/>
          <w:u w:val="single"/>
        </w:rPr>
        <w:t>a beneficial interest</w:t>
      </w:r>
      <w:r w:rsidRPr="00A97052">
        <w:rPr>
          <w:rFonts w:cs="Times New Roman"/>
        </w:rPr>
        <w:t xml:space="preserve"> in the property or flowing from it, and (2) removal of all reasonable uses of the property . . .” (para. 30 (emphasis added), citing </w:t>
      </w:r>
      <w:r w:rsidRPr="00A97052">
        <w:rPr>
          <w:rFonts w:cs="Times New Roman"/>
          <w:i/>
          <w:iCs/>
        </w:rPr>
        <w:t>Mariner</w:t>
      </w:r>
      <w:r w:rsidRPr="00A97052">
        <w:rPr>
          <w:rFonts w:cs="Times New Roman"/>
          <w:iCs/>
        </w:rPr>
        <w:t xml:space="preserve">, </w:t>
      </w:r>
      <w:r w:rsidRPr="00A97052">
        <w:rPr>
          <w:rFonts w:cs="Times New Roman"/>
        </w:rPr>
        <w:t xml:space="preserve">at p. 716; </w:t>
      </w:r>
      <w:r w:rsidRPr="00A97052">
        <w:rPr>
          <w:rFonts w:cs="Times New Roman"/>
          <w:i/>
          <w:iCs/>
        </w:rPr>
        <w:t>Manitoba Fisheries</w:t>
      </w:r>
      <w:r w:rsidRPr="00A97052">
        <w:rPr>
          <w:rFonts w:cs="Times New Roman"/>
          <w:iCs/>
        </w:rPr>
        <w:t>;</w:t>
      </w:r>
      <w:r w:rsidRPr="00A97052">
        <w:rPr>
          <w:rFonts w:cs="Times New Roman"/>
        </w:rPr>
        <w:t xml:space="preserve"> </w:t>
      </w:r>
      <w:r w:rsidRPr="00A97052">
        <w:rPr>
          <w:rFonts w:cs="Times New Roman"/>
          <w:i/>
          <w:iCs/>
        </w:rPr>
        <w:t>Tener</w:t>
      </w:r>
      <w:r w:rsidRPr="00A97052">
        <w:rPr>
          <w:rFonts w:cs="Times New Roman"/>
        </w:rPr>
        <w:t xml:space="preserve">). The issues present in this appeal require us to consider the meaning of a “beneficial interest in the property or flowing from it” under the first part of that test. In bringing greater clarity to this aspect of the </w:t>
      </w:r>
      <w:r w:rsidRPr="00A97052">
        <w:rPr>
          <w:rFonts w:cs="Times New Roman"/>
          <w:i/>
        </w:rPr>
        <w:t>CPR</w:t>
      </w:r>
      <w:r w:rsidRPr="00A97052">
        <w:rPr>
          <w:rFonts w:cs="Times New Roman"/>
        </w:rPr>
        <w:t xml:space="preserve"> test, we do not change the doctrine of constructive takings, but simply apply it to the facts of the present dispute. As we will explain, the Court in </w:t>
      </w:r>
      <w:r w:rsidRPr="00A97052">
        <w:rPr>
          <w:rFonts w:cs="Times New Roman"/>
          <w:i/>
        </w:rPr>
        <w:t>CPR</w:t>
      </w:r>
      <w:r w:rsidRPr="00A97052">
        <w:rPr>
          <w:rFonts w:cs="Times New Roman"/>
        </w:rPr>
        <w:t xml:space="preserve"> did not use “beneficial interest” in the technical sense that it carries in the domain of equity. Rather, a “beneficial interest” is to be more broadly understood as an “advantage” — hence the Court’s coupling of “beneficial interest” with the phrase “or flowing from [the property]”. Clearly, if the interest acquired by the state can be one which </w:t>
      </w:r>
      <w:r w:rsidRPr="00A97052">
        <w:rPr>
          <w:rFonts w:cs="Times New Roman"/>
          <w:i/>
        </w:rPr>
        <w:t>flows from</w:t>
      </w:r>
      <w:r w:rsidRPr="00A97052">
        <w:rPr>
          <w:rFonts w:cs="Times New Roman"/>
        </w:rPr>
        <w:t xml:space="preserve"> the property, what must be shown by the property owner can fall short of an </w:t>
      </w:r>
      <w:r w:rsidRPr="00A97052">
        <w:rPr>
          <w:rFonts w:cs="Times New Roman"/>
          <w:i/>
        </w:rPr>
        <w:t>actual</w:t>
      </w:r>
      <w:r w:rsidRPr="00A97052">
        <w:rPr>
          <w:rFonts w:cs="Times New Roman"/>
        </w:rPr>
        <w:t xml:space="preserve"> acquisition by the state.</w:t>
      </w:r>
    </w:p>
    <w:p w14:paraId="67AC93CF" w14:textId="77777777" w:rsidR="001A2B0D" w:rsidRPr="00A97052" w:rsidRDefault="001A2B0D" w:rsidP="001A2B0D">
      <w:pPr>
        <w:pStyle w:val="ParaNoNdepar-AltN"/>
        <w:rPr>
          <w:rFonts w:cs="Times New Roman"/>
        </w:rPr>
      </w:pPr>
      <w:r w:rsidRPr="00A97052">
        <w:rPr>
          <w:rFonts w:cs="Times New Roman"/>
        </w:rPr>
        <w:t>Further, we must also decide the relevance, if any, under the second part of the test of the public authority’s intended use of the land.</w:t>
      </w:r>
    </w:p>
    <w:p w14:paraId="62AF6B93" w14:textId="77777777" w:rsidR="001A2B0D" w:rsidRPr="00A97052" w:rsidRDefault="001A2B0D" w:rsidP="001A2B0D">
      <w:pPr>
        <w:pStyle w:val="Title2LevelTitre2Niveau"/>
        <w:numPr>
          <w:ilvl w:val="1"/>
          <w:numId w:val="8"/>
        </w:numPr>
        <w:rPr>
          <w:rFonts w:cs="Times New Roman"/>
          <w:i w:val="0"/>
        </w:rPr>
      </w:pPr>
      <w:bookmarkStart w:id="17" w:name="_Toc101877254"/>
      <w:bookmarkStart w:id="18" w:name="_Toc105502349"/>
      <w:r w:rsidRPr="00A97052">
        <w:rPr>
          <w:rFonts w:cs="Times New Roman"/>
        </w:rPr>
        <w:t>“Beneficial Interest”</w:t>
      </w:r>
      <w:bookmarkEnd w:id="17"/>
      <w:bookmarkEnd w:id="18"/>
    </w:p>
    <w:p w14:paraId="7EBEDE82" w14:textId="77777777" w:rsidR="001A2B0D" w:rsidRPr="00A97052" w:rsidRDefault="001A2B0D" w:rsidP="001A2B0D">
      <w:pPr>
        <w:pStyle w:val="ParaNoNdepar-AltN"/>
        <w:rPr>
          <w:rFonts w:cs="Times New Roman"/>
        </w:rPr>
      </w:pPr>
      <w:r w:rsidRPr="00A97052">
        <w:rPr>
          <w:rFonts w:cs="Times New Roman"/>
        </w:rPr>
        <w:t xml:space="preserve">The Court of Appeal, it will be recalled, held that the first part of the test stated in </w:t>
      </w:r>
      <w:r w:rsidRPr="00A97052">
        <w:rPr>
          <w:rFonts w:cs="Times New Roman"/>
          <w:i/>
        </w:rPr>
        <w:t>CPR </w:t>
      </w:r>
      <w:r w:rsidRPr="00A97052">
        <w:rPr>
          <w:rFonts w:cs="Times New Roman"/>
        </w:rPr>
        <w:t xml:space="preserve">— the “acquisition of a beneficial interest in the property or flowing from it” — requires Annapolis to show that Halifax </w:t>
      </w:r>
      <w:r w:rsidRPr="00A97052">
        <w:rPr>
          <w:rFonts w:cs="Times New Roman"/>
          <w:i/>
        </w:rPr>
        <w:t xml:space="preserve">actually acquired </w:t>
      </w:r>
      <w:r w:rsidRPr="00A97052">
        <w:rPr>
          <w:rFonts w:cs="Times New Roman"/>
        </w:rPr>
        <w:t xml:space="preserve">the Lands. Deciding whether this is so requires that we give meaning to the expression “beneficial interest”, as it was used in </w:t>
      </w:r>
      <w:r w:rsidRPr="00A97052">
        <w:rPr>
          <w:rFonts w:cs="Times New Roman"/>
          <w:i/>
        </w:rPr>
        <w:t>CPR</w:t>
      </w:r>
      <w:r w:rsidRPr="00A97052">
        <w:rPr>
          <w:rFonts w:cs="Times New Roman"/>
        </w:rPr>
        <w:t xml:space="preserve">. In our view, that meaning is best appreciated by considering the authorities upon which </w:t>
      </w:r>
      <w:r w:rsidRPr="00A97052">
        <w:rPr>
          <w:rFonts w:cs="Times New Roman"/>
          <w:i/>
        </w:rPr>
        <w:t>CPR</w:t>
      </w:r>
      <w:r w:rsidRPr="00A97052">
        <w:rPr>
          <w:rFonts w:cs="Times New Roman"/>
        </w:rPr>
        <w:t xml:space="preserve"> relied in stating that condition, and especially this Court’s decisions in </w:t>
      </w:r>
      <w:r w:rsidRPr="00A97052">
        <w:rPr>
          <w:rFonts w:cs="Times New Roman"/>
          <w:i/>
        </w:rPr>
        <w:t xml:space="preserve">Manitoba Fisheries </w:t>
      </w:r>
      <w:r w:rsidRPr="00A97052">
        <w:rPr>
          <w:rFonts w:cs="Times New Roman"/>
        </w:rPr>
        <w:t xml:space="preserve">and </w:t>
      </w:r>
      <w:r w:rsidRPr="00A97052">
        <w:rPr>
          <w:rFonts w:cs="Times New Roman"/>
          <w:i/>
        </w:rPr>
        <w:t>Tener</w:t>
      </w:r>
      <w:r w:rsidRPr="00A97052">
        <w:rPr>
          <w:rFonts w:cs="Times New Roman"/>
        </w:rPr>
        <w:t xml:space="preserve">. As we will explain, doing so reveals that actual acquisition is not necessary; rather, the obtaining by Halifax of an </w:t>
      </w:r>
      <w:r w:rsidRPr="00A97052">
        <w:rPr>
          <w:rFonts w:cs="Times New Roman"/>
          <w:i/>
        </w:rPr>
        <w:t xml:space="preserve">advantage </w:t>
      </w:r>
      <w:r w:rsidRPr="00A97052">
        <w:rPr>
          <w:rFonts w:cs="Times New Roman"/>
        </w:rPr>
        <w:t>in respect of the Lands suffices.</w:t>
      </w:r>
    </w:p>
    <w:p w14:paraId="7B6B27F2" w14:textId="77777777" w:rsidR="001A2B0D" w:rsidRPr="00A97052" w:rsidRDefault="001A2B0D" w:rsidP="001A2B0D">
      <w:pPr>
        <w:pStyle w:val="Title3LevelTitre3Niveau"/>
        <w:numPr>
          <w:ilvl w:val="2"/>
          <w:numId w:val="8"/>
        </w:numPr>
        <w:rPr>
          <w:rFonts w:cs="Times New Roman"/>
          <w:i/>
        </w:rPr>
      </w:pPr>
      <w:bookmarkStart w:id="19" w:name="_Toc101877255"/>
      <w:r w:rsidRPr="00A97052">
        <w:rPr>
          <w:rFonts w:cs="Times New Roman"/>
          <w:i/>
        </w:rPr>
        <w:t>Manitoba Fisheries</w:t>
      </w:r>
      <w:bookmarkEnd w:id="19"/>
    </w:p>
    <w:p w14:paraId="58E85F88" w14:textId="77777777" w:rsidR="001A2B0D" w:rsidRPr="00A97052" w:rsidRDefault="001A2B0D" w:rsidP="001A2B0D">
      <w:pPr>
        <w:pStyle w:val="ParaNoNdepar-AltN"/>
        <w:rPr>
          <w:rFonts w:cs="Times New Roman"/>
        </w:rPr>
      </w:pPr>
      <w:r w:rsidRPr="00A97052">
        <w:rPr>
          <w:rFonts w:cs="Times New Roman"/>
          <w:szCs w:val="24"/>
        </w:rPr>
        <w:t xml:space="preserve">Manitoba Fisheries Ltd. was a private commercial fishery. In 1969, Parliament enacted the </w:t>
      </w:r>
      <w:r w:rsidRPr="00A97052">
        <w:rPr>
          <w:rFonts w:cs="Times New Roman"/>
          <w:i/>
          <w:szCs w:val="24"/>
        </w:rPr>
        <w:t>Freshwater Fish Marketing Act</w:t>
      </w:r>
      <w:r w:rsidRPr="00A97052">
        <w:rPr>
          <w:rFonts w:cs="Times New Roman"/>
          <w:szCs w:val="24"/>
        </w:rPr>
        <w:t>, R.S.C. 1970, c. F</w:t>
      </w:r>
      <w:r w:rsidRPr="00A97052">
        <w:rPr>
          <w:rFonts w:cs="Times New Roman"/>
          <w:szCs w:val="24"/>
        </w:rPr>
        <w:noBreakHyphen/>
        <w:t>13, which granted a federal Crown corporation a commercial monopoly on the export of fish from Manitoba, and delegated power to the corporation to grant licenses to private enterprises like Manitoba Fisheries to continue operating notwithstanding the Act. Manitoba Fisheries did not receive such a license, and eventually the constraints of the Act put Manitoba Fisheries out of business. In such circumstances, the Act required the federal government to transfer funds to the Province of Manitoba, which would then compensate affected businesses, such as Manitoba Fisheries. Manitoba, however, refused to compensate Manitoba Fisheries (pp. 103</w:t>
      </w:r>
      <w:r w:rsidRPr="00A97052">
        <w:rPr>
          <w:rFonts w:cs="Times New Roman"/>
          <w:szCs w:val="24"/>
        </w:rPr>
        <w:noBreakHyphen/>
        <w:t>5).</w:t>
      </w:r>
    </w:p>
    <w:p w14:paraId="65A5BE8B" w14:textId="77777777" w:rsidR="001A2B0D" w:rsidRPr="00A97052" w:rsidRDefault="001A2B0D" w:rsidP="001A2B0D">
      <w:pPr>
        <w:pStyle w:val="ParaNoNdepar-AltN"/>
        <w:rPr>
          <w:rFonts w:cs="Times New Roman"/>
        </w:rPr>
      </w:pPr>
      <w:r w:rsidRPr="00A97052">
        <w:rPr>
          <w:rFonts w:cs="Times New Roman"/>
        </w:rPr>
        <w:t xml:space="preserve">Significantly, the monopoly created by the Act conferred an economic advantage upon the state, but not an </w:t>
      </w:r>
      <w:r w:rsidRPr="00A97052">
        <w:rPr>
          <w:rFonts w:cs="Times New Roman"/>
          <w:i/>
        </w:rPr>
        <w:t>actual acquisition</w:t>
      </w:r>
      <w:r w:rsidRPr="00A97052">
        <w:rPr>
          <w:rFonts w:cs="Times New Roman"/>
        </w:rPr>
        <w:t xml:space="preserve"> of property. It is true that, relying on </w:t>
      </w:r>
      <w:r w:rsidRPr="00A97052">
        <w:rPr>
          <w:rFonts w:cs="Times New Roman"/>
          <w:i/>
        </w:rPr>
        <w:t>Ulster Transport Authority v. James Brown &amp; Sons, Ltd.</w:t>
      </w:r>
      <w:r w:rsidRPr="00A97052">
        <w:rPr>
          <w:rFonts w:cs="Times New Roman"/>
        </w:rPr>
        <w:t xml:space="preserve">, [1953] N.I. 79 (C.A.), Ritchie J. held that Manitoba Fisheries’ loss of goodwill deprived the company </w:t>
      </w:r>
      <w:r w:rsidRPr="00A97052">
        <w:rPr>
          <w:rFonts w:cs="Times New Roman"/>
          <w:i/>
        </w:rPr>
        <w:t>of property</w:t>
      </w:r>
      <w:r w:rsidRPr="00A97052">
        <w:rPr>
          <w:rFonts w:cs="Times New Roman"/>
        </w:rPr>
        <w:t xml:space="preserve"> that was acquired by the corporation (p. 110). But this rested on his view that the government had acquired </w:t>
      </w:r>
      <w:r w:rsidRPr="00A97052">
        <w:rPr>
          <w:rFonts w:cs="Times New Roman"/>
          <w:i/>
        </w:rPr>
        <w:t>an advantage</w:t>
      </w:r>
      <w:r w:rsidRPr="00A97052">
        <w:rPr>
          <w:rFonts w:cs="Times New Roman"/>
        </w:rPr>
        <w:t xml:space="preserve"> through the acquisition of a statutory monopoly that entitled it to </w:t>
      </w:r>
      <w:r w:rsidRPr="00A97052">
        <w:rPr>
          <w:rFonts w:cs="Times New Roman"/>
          <w:i/>
        </w:rPr>
        <w:t>benefits</w:t>
      </w:r>
      <w:r w:rsidRPr="00A97052">
        <w:rPr>
          <w:rFonts w:cs="Times New Roman"/>
        </w:rPr>
        <w:t xml:space="preserve"> that would otherwise have flowed to the company. This interpretation is made plain in Ritchie J.’s conclusion that “[goodwill] is the whole </w:t>
      </w:r>
      <w:r w:rsidRPr="00A97052">
        <w:rPr>
          <w:rFonts w:cs="Times New Roman"/>
          <w:u w:val="single"/>
        </w:rPr>
        <w:t>advantage</w:t>
      </w:r>
      <w:r w:rsidRPr="00A97052">
        <w:rPr>
          <w:rFonts w:cs="Times New Roman"/>
        </w:rPr>
        <w:t>, whatever it may be, of the reputation and connection of the firm”, and that the monopoly “completely extinguished” the appellant’s goodwill, leaving customers with no choice but to do business with the corporation (p. 107 (emphasis added)). In other words, the monopoly created by the Act restricted competition in the industry, thereby allowing the state to acquire all of the advantage that Manitoba Fisheries had previously enjoyed on the basis of its reputation and connections.</w:t>
      </w:r>
    </w:p>
    <w:p w14:paraId="228BC80B" w14:textId="77777777" w:rsidR="001A2B0D" w:rsidRPr="00A97052" w:rsidRDefault="001A2B0D" w:rsidP="001A2B0D">
      <w:pPr>
        <w:pStyle w:val="ParaNoNdepar-AltN"/>
        <w:rPr>
          <w:rFonts w:cs="Times New Roman"/>
        </w:rPr>
      </w:pPr>
      <w:r w:rsidRPr="00A97052">
        <w:rPr>
          <w:rFonts w:cs="Times New Roman"/>
        </w:rPr>
        <w:t xml:space="preserve">Just as significantly, the Court was also concerned about the </w:t>
      </w:r>
      <w:r w:rsidRPr="00A97052">
        <w:rPr>
          <w:rFonts w:cs="Times New Roman"/>
          <w:i/>
        </w:rPr>
        <w:t>effect</w:t>
      </w:r>
      <w:r w:rsidRPr="00A97052">
        <w:rPr>
          <w:rFonts w:cs="Times New Roman"/>
        </w:rPr>
        <w:t xml:space="preserve"> of the taking on the property holder.</w:t>
      </w:r>
      <w:r w:rsidRPr="00A97052">
        <w:rPr>
          <w:rFonts w:cs="Times New Roman"/>
          <w:i/>
        </w:rPr>
        <w:t xml:space="preserve"> </w:t>
      </w:r>
      <w:r w:rsidRPr="00A97052">
        <w:rPr>
          <w:rFonts w:cs="Times New Roman"/>
        </w:rPr>
        <w:t>That effect — the loss of the business — was regarded as a taking or acquiring of Manitoba Fisheries’ business by the state (p. 118). A persuasive consideration for Ritchie J. was that, “[u]</w:t>
      </w:r>
      <w:proofErr w:type="spellStart"/>
      <w:r w:rsidRPr="00A97052">
        <w:rPr>
          <w:rFonts w:cs="Times New Roman"/>
        </w:rPr>
        <w:t>ntil</w:t>
      </w:r>
      <w:proofErr w:type="spellEnd"/>
      <w:r w:rsidRPr="00A97052">
        <w:rPr>
          <w:rFonts w:cs="Times New Roman"/>
        </w:rPr>
        <w:t xml:space="preserve"> the creation of the Corporation by the Act, persons wishing to purchase freshwater fish from Manitoba could purchase such fish from [Manitoba Fisheries] or other firms in the industry. After the creation of the Corporation such purchases could be made only from the Corporation or its agents” (p. 109). This led him to conclude: “Once it is accepted that the loss of the goodwill of the appellant’s business which was brought about by the Act and by the setting up of the Corporation was a loss of property and that the same goodwill was by statutory compulsion acquired by the federal authority, it seems to me to follow that the appellant was deprived of property which was acquired by the Crown” (p. 110).</w:t>
      </w:r>
    </w:p>
    <w:p w14:paraId="678616E6" w14:textId="77777777" w:rsidR="001A2B0D" w:rsidRPr="00A97052" w:rsidRDefault="001A2B0D" w:rsidP="001A2B0D">
      <w:pPr>
        <w:pStyle w:val="ParaNoNdepar-AltN"/>
        <w:rPr>
          <w:rFonts w:cs="Times New Roman"/>
        </w:rPr>
      </w:pPr>
      <w:r w:rsidRPr="00A97052">
        <w:rPr>
          <w:rFonts w:cs="Times New Roman"/>
        </w:rPr>
        <w:t xml:space="preserve">That the Court in </w:t>
      </w:r>
      <w:r w:rsidRPr="00A97052">
        <w:rPr>
          <w:rFonts w:cs="Times New Roman"/>
          <w:i/>
        </w:rPr>
        <w:t>Manitoba Fisheries</w:t>
      </w:r>
      <w:r w:rsidRPr="00A97052">
        <w:rPr>
          <w:rFonts w:cs="Times New Roman"/>
        </w:rPr>
        <w:t xml:space="preserve"> ascribed significance to the </w:t>
      </w:r>
      <w:r w:rsidRPr="00A97052">
        <w:rPr>
          <w:rFonts w:cs="Times New Roman"/>
          <w:i/>
        </w:rPr>
        <w:t xml:space="preserve">effects </w:t>
      </w:r>
      <w:r w:rsidRPr="00A97052">
        <w:rPr>
          <w:rFonts w:cs="Times New Roman"/>
        </w:rPr>
        <w:t xml:space="preserve">on the property holder is underscored by Ritchie J.’s reliance on </w:t>
      </w:r>
      <w:r w:rsidRPr="00A97052">
        <w:rPr>
          <w:rFonts w:cs="Times New Roman"/>
          <w:i/>
        </w:rPr>
        <w:t>Ulster Transport Authority</w:t>
      </w:r>
      <w:r w:rsidRPr="00A97052">
        <w:rPr>
          <w:rFonts w:cs="Times New Roman"/>
        </w:rPr>
        <w:t>. The relevant passage cited Lord MacDermott’s observations in that case:</w:t>
      </w:r>
    </w:p>
    <w:p w14:paraId="1E296BA5" w14:textId="77777777" w:rsidR="001A2B0D" w:rsidRPr="00A97052" w:rsidRDefault="001A2B0D" w:rsidP="001A2B0D">
      <w:pPr>
        <w:pStyle w:val="Citation-AltC"/>
        <w:rPr>
          <w:u w:val="single"/>
        </w:rPr>
      </w:pPr>
      <w:r w:rsidRPr="00A97052">
        <w:t xml:space="preserve">We are not dealing here with a “mere” prohibition or with a prohibition which is essentially regulatory in character. We are dealing with what I have held to be, according to the intention of the Legislature, a device for diverting a definite part of the business of furniture removers and </w:t>
      </w:r>
      <w:proofErr w:type="spellStart"/>
      <w:r w:rsidRPr="00A97052">
        <w:t>storers</w:t>
      </w:r>
      <w:proofErr w:type="spellEnd"/>
      <w:r w:rsidRPr="00A97052">
        <w:t xml:space="preserve"> from the respondents and others to the appellants. If that is right, the result must be the same whether section 5(1) of the Act of 1920 sounds in pith and substance or in effect or partly in one and partly in the other. </w:t>
      </w:r>
      <w:r w:rsidRPr="00A97052">
        <w:rPr>
          <w:u w:val="single"/>
        </w:rPr>
        <w:t xml:space="preserve">Wherever else a prohibition directed to other ends might lead, the relevant prohibition cannot but constitute a taking if my views </w:t>
      </w:r>
      <w:r w:rsidRPr="00A97052">
        <w:rPr>
          <w:b/>
          <w:u w:val="single"/>
        </w:rPr>
        <w:t>as to its effect</w:t>
      </w:r>
      <w:r w:rsidRPr="00A97052">
        <w:rPr>
          <w:u w:val="single"/>
        </w:rPr>
        <w:t xml:space="preserve"> and underlying intention are correct.</w:t>
      </w:r>
      <w:r w:rsidRPr="00A97052">
        <w:t xml:space="preserve"> [Emphasis added.]</w:t>
      </w:r>
    </w:p>
    <w:p w14:paraId="3613569C" w14:textId="77777777" w:rsidR="001A2B0D" w:rsidRPr="00A97052" w:rsidRDefault="001A2B0D" w:rsidP="001A2B0D">
      <w:pPr>
        <w:pStyle w:val="Citation-AltC"/>
        <w:rPr>
          <w:u w:val="single"/>
        </w:rPr>
      </w:pPr>
    </w:p>
    <w:p w14:paraId="1EEE64F5" w14:textId="77777777" w:rsidR="001A2B0D" w:rsidRPr="00A97052" w:rsidRDefault="001A2B0D" w:rsidP="001A2B0D">
      <w:pPr>
        <w:pStyle w:val="Citation-AltC"/>
      </w:pPr>
      <w:r w:rsidRPr="00A97052">
        <w:t>(</w:t>
      </w:r>
      <w:r w:rsidRPr="00A97052">
        <w:rPr>
          <w:i/>
        </w:rPr>
        <w:t>Ulster Transport Authority</w:t>
      </w:r>
      <w:r w:rsidRPr="00A97052">
        <w:t xml:space="preserve">, at p. 116, as cited in </w:t>
      </w:r>
      <w:r w:rsidRPr="00A97052">
        <w:rPr>
          <w:i/>
        </w:rPr>
        <w:t>Manitoba Fisheries</w:t>
      </w:r>
      <w:r w:rsidRPr="00A97052">
        <w:t>, at p. 111.)</w:t>
      </w:r>
    </w:p>
    <w:p w14:paraId="3AA3CD04" w14:textId="77777777" w:rsidR="001A2B0D" w:rsidRPr="00A97052" w:rsidRDefault="001A2B0D" w:rsidP="001A2B0D">
      <w:pPr>
        <w:pStyle w:val="ParaNoNdepar-AltN"/>
        <w:numPr>
          <w:ilvl w:val="0"/>
          <w:numId w:val="0"/>
        </w:numPr>
        <w:rPr>
          <w:rFonts w:cs="Times New Roman"/>
        </w:rPr>
      </w:pPr>
      <w:r w:rsidRPr="00A97052">
        <w:rPr>
          <w:rFonts w:cs="Times New Roman"/>
        </w:rPr>
        <w:t xml:space="preserve">Adopting the </w:t>
      </w:r>
      <w:r w:rsidRPr="00A97052">
        <w:rPr>
          <w:rFonts w:cs="Times New Roman"/>
          <w:szCs w:val="24"/>
        </w:rPr>
        <w:t xml:space="preserve">reasoning in </w:t>
      </w:r>
      <w:r w:rsidRPr="00A97052">
        <w:rPr>
          <w:rFonts w:cs="Times New Roman"/>
          <w:i/>
          <w:szCs w:val="24"/>
        </w:rPr>
        <w:t>Ulster Transport Authority</w:t>
      </w:r>
      <w:r w:rsidRPr="00A97052">
        <w:rPr>
          <w:rFonts w:cs="Times New Roman"/>
          <w:szCs w:val="24"/>
        </w:rPr>
        <w:t xml:space="preserve">, Ritchie J. </w:t>
      </w:r>
      <w:r w:rsidRPr="00A97052">
        <w:rPr>
          <w:rFonts w:cs="Times New Roman"/>
        </w:rPr>
        <w:t>concluded that the impugned regulation “</w:t>
      </w:r>
      <w:r w:rsidRPr="00A97052">
        <w:rPr>
          <w:rFonts w:cs="Times New Roman"/>
          <w:u w:val="single"/>
        </w:rPr>
        <w:t>had the effect of depriving the appellant of its goodwill</w:t>
      </w:r>
      <w:r w:rsidRPr="00A97052">
        <w:rPr>
          <w:rFonts w:cs="Times New Roman"/>
        </w:rPr>
        <w:t xml:space="preserve"> as a going concern and consequently rendering its physical assets virtually useless and that the goodwill so taken away constitutes property of the appellant for the loss of which no compensation whatever has been paid” (p. 118 (emphasis added)). </w:t>
      </w:r>
    </w:p>
    <w:p w14:paraId="38FCED44" w14:textId="77777777" w:rsidR="001A2B0D" w:rsidRPr="00A97052" w:rsidRDefault="001A2B0D" w:rsidP="001A2B0D">
      <w:pPr>
        <w:pStyle w:val="Title3LevelTitre3Niveau"/>
        <w:numPr>
          <w:ilvl w:val="2"/>
          <w:numId w:val="8"/>
        </w:numPr>
        <w:rPr>
          <w:rFonts w:cs="Times New Roman"/>
        </w:rPr>
      </w:pPr>
      <w:bookmarkStart w:id="20" w:name="_Toc101877256"/>
      <w:bookmarkStart w:id="21" w:name="_Toc105502350"/>
      <w:r w:rsidRPr="00A97052">
        <w:rPr>
          <w:rFonts w:cs="Times New Roman"/>
          <w:i/>
        </w:rPr>
        <w:t>Tener</w:t>
      </w:r>
      <w:bookmarkEnd w:id="20"/>
      <w:bookmarkEnd w:id="21"/>
    </w:p>
    <w:p w14:paraId="5A27293C" w14:textId="77777777" w:rsidR="001A2B0D" w:rsidRPr="00A97052" w:rsidRDefault="001A2B0D" w:rsidP="001A2B0D">
      <w:pPr>
        <w:pStyle w:val="ParaNoNdepar-AltN"/>
        <w:rPr>
          <w:rFonts w:cs="Times New Roman"/>
        </w:rPr>
      </w:pPr>
      <w:r w:rsidRPr="00A97052">
        <w:rPr>
          <w:rFonts w:cs="Times New Roman"/>
        </w:rPr>
        <w:t xml:space="preserve">The Court in </w:t>
      </w:r>
      <w:r w:rsidRPr="00A97052">
        <w:rPr>
          <w:rFonts w:cs="Times New Roman"/>
          <w:i/>
        </w:rPr>
        <w:t>Tener</w:t>
      </w:r>
      <w:r w:rsidRPr="00A97052">
        <w:rPr>
          <w:rFonts w:cs="Times New Roman"/>
        </w:rPr>
        <w:t xml:space="preserve">, as in </w:t>
      </w:r>
      <w:r w:rsidRPr="00A97052">
        <w:rPr>
          <w:rFonts w:cs="Times New Roman"/>
          <w:i/>
        </w:rPr>
        <w:t>Manitoba Fisheries</w:t>
      </w:r>
      <w:r w:rsidRPr="00A97052">
        <w:rPr>
          <w:rFonts w:cs="Times New Roman"/>
        </w:rPr>
        <w:t xml:space="preserve">, also focussed on the </w:t>
      </w:r>
      <w:r w:rsidRPr="00A97052">
        <w:rPr>
          <w:rFonts w:cs="Times New Roman"/>
          <w:i/>
        </w:rPr>
        <w:t>effect</w:t>
      </w:r>
      <w:r w:rsidRPr="00A97052">
        <w:rPr>
          <w:rFonts w:cs="Times New Roman"/>
        </w:rPr>
        <w:t xml:space="preserve"> of a regulatory measure and the </w:t>
      </w:r>
      <w:r w:rsidRPr="00A97052">
        <w:rPr>
          <w:rFonts w:cs="Times New Roman"/>
          <w:i/>
        </w:rPr>
        <w:t>advantage</w:t>
      </w:r>
      <w:r w:rsidRPr="00A97052">
        <w:rPr>
          <w:rFonts w:cs="Times New Roman"/>
        </w:rPr>
        <w:t xml:space="preserve"> acquired therefrom by the government. </w:t>
      </w:r>
      <w:r w:rsidRPr="00A97052">
        <w:rPr>
          <w:rFonts w:cs="Times New Roman"/>
          <w:szCs w:val="24"/>
        </w:rPr>
        <w:t>The Teners were the registered holders of mineral claims on lands later included in a provincial park. The Province of British Columbia imposed increasingly onerous conditions governing the exploitation of natural resources in the park, until the Teners were informed that no new exploration or development would be permitted, thus denying them the possibility of exploiting their mineral claims (pp. 536</w:t>
      </w:r>
      <w:r w:rsidRPr="00A97052">
        <w:rPr>
          <w:rFonts w:cs="Times New Roman"/>
          <w:szCs w:val="24"/>
        </w:rPr>
        <w:noBreakHyphen/>
        <w:t>38 and 552). The central issue on appeal to this Court was whether the Teners were entitled to compensation under the relevant legislation.</w:t>
      </w:r>
    </w:p>
    <w:p w14:paraId="2B65D357" w14:textId="77777777" w:rsidR="001A2B0D" w:rsidRPr="00A97052" w:rsidRDefault="001A2B0D" w:rsidP="001A2B0D">
      <w:pPr>
        <w:pStyle w:val="ParaNoNdepar-AltN"/>
        <w:rPr>
          <w:rFonts w:cs="Times New Roman"/>
        </w:rPr>
      </w:pPr>
      <w:r w:rsidRPr="00A97052">
        <w:rPr>
          <w:rFonts w:cs="Times New Roman"/>
        </w:rPr>
        <w:t xml:space="preserve">In finding for the Teners, Estey J., for the majority, revealed his concern that the regulation had the </w:t>
      </w:r>
      <w:r w:rsidRPr="00A97052">
        <w:rPr>
          <w:rFonts w:cs="Times New Roman"/>
          <w:i/>
        </w:rPr>
        <w:t>effect</w:t>
      </w:r>
      <w:r w:rsidRPr="00A97052">
        <w:rPr>
          <w:rFonts w:cs="Times New Roman"/>
        </w:rPr>
        <w:t xml:space="preserve"> of (or, as he put it, “amount[</w:t>
      </w:r>
      <w:proofErr w:type="spellStart"/>
      <w:r w:rsidRPr="00A97052">
        <w:rPr>
          <w:rFonts w:cs="Times New Roman"/>
        </w:rPr>
        <w:t>ed</w:t>
      </w:r>
      <w:proofErr w:type="spellEnd"/>
      <w:r w:rsidRPr="00A97052">
        <w:rPr>
          <w:rFonts w:cs="Times New Roman"/>
        </w:rPr>
        <w:t xml:space="preserve">] to”) securing an </w:t>
      </w:r>
      <w:r w:rsidRPr="00A97052">
        <w:rPr>
          <w:rFonts w:cs="Times New Roman"/>
          <w:i/>
        </w:rPr>
        <w:t>advantage</w:t>
      </w:r>
      <w:r w:rsidRPr="00A97052">
        <w:rPr>
          <w:rFonts w:cs="Times New Roman"/>
        </w:rPr>
        <w:t xml:space="preserve"> by confining all reasonable uses of the property to the Province’s preferred use as a provincial park. As Estey J. explained, while there had been “no regulation </w:t>
      </w:r>
      <w:r w:rsidRPr="00A97052">
        <w:rPr>
          <w:rFonts w:cs="Times New Roman"/>
          <w:i/>
        </w:rPr>
        <w:t xml:space="preserve">qua </w:t>
      </w:r>
      <w:r w:rsidRPr="00A97052">
        <w:rPr>
          <w:rFonts w:cs="Times New Roman"/>
        </w:rPr>
        <w:t xml:space="preserve">minerals which reduced the value of these minerals or the opportunity of the respondents to remove them”, the “denial of access to these lands occurred under the </w:t>
      </w:r>
      <w:r w:rsidRPr="00A97052">
        <w:rPr>
          <w:rFonts w:cs="Times New Roman"/>
          <w:i/>
        </w:rPr>
        <w:t>Park Act</w:t>
      </w:r>
      <w:r w:rsidRPr="00A97052">
        <w:rPr>
          <w:rFonts w:cs="Times New Roman"/>
        </w:rPr>
        <w:t xml:space="preserve"> and </w:t>
      </w:r>
      <w:r w:rsidRPr="00A97052">
        <w:rPr>
          <w:rFonts w:cs="Times New Roman"/>
          <w:u w:val="single"/>
        </w:rPr>
        <w:t>amounts to</w:t>
      </w:r>
      <w:r w:rsidRPr="00A97052">
        <w:rPr>
          <w:rFonts w:cs="Times New Roman"/>
        </w:rPr>
        <w:t xml:space="preserve"> a recovery by the Crown of a part of the right granted to the respondents in 1937” (p. 563 (emphasis added)).</w:t>
      </w:r>
    </w:p>
    <w:p w14:paraId="7C6983B3" w14:textId="77777777" w:rsidR="001A2B0D" w:rsidRPr="00A97052" w:rsidRDefault="001A2B0D" w:rsidP="001A2B0D">
      <w:pPr>
        <w:pStyle w:val="ParaNoNdepar-AltN"/>
        <w:rPr>
          <w:rFonts w:cs="Times New Roman"/>
        </w:rPr>
      </w:pPr>
      <w:r w:rsidRPr="00A97052">
        <w:rPr>
          <w:rFonts w:cs="Times New Roman"/>
        </w:rPr>
        <w:t xml:space="preserve">Thus Estey J.’s analysis in </w:t>
      </w:r>
      <w:r w:rsidRPr="00A97052">
        <w:rPr>
          <w:rFonts w:cs="Times New Roman"/>
          <w:i/>
        </w:rPr>
        <w:t xml:space="preserve">Tener </w:t>
      </w:r>
      <w:r w:rsidRPr="00A97052">
        <w:rPr>
          <w:rFonts w:cs="Times New Roman"/>
        </w:rPr>
        <w:t xml:space="preserve">adhered closely to that in </w:t>
      </w:r>
      <w:r w:rsidRPr="00A97052">
        <w:rPr>
          <w:rFonts w:cs="Times New Roman"/>
          <w:i/>
        </w:rPr>
        <w:t>Manitoba Fisheries</w:t>
      </w:r>
      <w:r w:rsidRPr="00A97052">
        <w:rPr>
          <w:rFonts w:cs="Times New Roman"/>
        </w:rPr>
        <w:t xml:space="preserve">. The Teners retained their mineral rights. In securing the advantage of preserving “qualities perceived as being desirable for public parks” (p. 564) by regulating away the Teners’ ability to exercise those rights, the Province had </w:t>
      </w:r>
      <w:r w:rsidRPr="00A97052">
        <w:rPr>
          <w:rFonts w:cs="Times New Roman"/>
          <w:i/>
        </w:rPr>
        <w:t xml:space="preserve">effectively </w:t>
      </w:r>
      <w:r w:rsidRPr="00A97052">
        <w:rPr>
          <w:rFonts w:cs="Times New Roman"/>
        </w:rPr>
        <w:t>“recover[</w:t>
      </w:r>
      <w:proofErr w:type="spellStart"/>
      <w:r w:rsidRPr="00A97052">
        <w:rPr>
          <w:rFonts w:cs="Times New Roman"/>
        </w:rPr>
        <w:t>ed</w:t>
      </w:r>
      <w:proofErr w:type="spellEnd"/>
      <w:r w:rsidRPr="00A97052">
        <w:rPr>
          <w:rFonts w:cs="Times New Roman"/>
        </w:rPr>
        <w:t>] [. . .] the right granted to the [Teners]” (p. 563).</w:t>
      </w:r>
    </w:p>
    <w:p w14:paraId="76EE54B9" w14:textId="77777777" w:rsidR="001A2B0D" w:rsidRPr="00A97052" w:rsidRDefault="001A2B0D" w:rsidP="001A2B0D">
      <w:pPr>
        <w:pStyle w:val="ParaNoNdepar-AltN"/>
        <w:rPr>
          <w:rFonts w:cs="Times New Roman"/>
        </w:rPr>
      </w:pPr>
      <w:r w:rsidRPr="00A97052">
        <w:rPr>
          <w:rFonts w:cs="Times New Roman"/>
        </w:rPr>
        <w:t xml:space="preserve">Wilson J., concurring in the result, focussed on the nature of the Teners’ interest. She described that interest as “in the nature of a profit à prendre comprising both the mineral claims and the surface rights necessary for their enjoyment” (p. 540). But the Province could not take the actual </w:t>
      </w:r>
      <w:r w:rsidRPr="00A97052">
        <w:rPr>
          <w:rFonts w:cs="Times New Roman"/>
          <w:i/>
        </w:rPr>
        <w:t>profit à prendre</w:t>
      </w:r>
      <w:r w:rsidRPr="00A97052">
        <w:rPr>
          <w:rFonts w:cs="Times New Roman"/>
        </w:rPr>
        <w:t xml:space="preserve">, being a registrable interest under British Columbia’s land registry system, without </w:t>
      </w:r>
      <w:r w:rsidRPr="00A97052">
        <w:rPr>
          <w:rFonts w:cs="Times New Roman"/>
          <w:i/>
        </w:rPr>
        <w:t>actually</w:t>
      </w:r>
      <w:r w:rsidRPr="00A97052">
        <w:rPr>
          <w:rFonts w:cs="Times New Roman"/>
        </w:rPr>
        <w:t xml:space="preserve"> taking actual title. Hence Wilson J.’s emphasis that the holder of a </w:t>
      </w:r>
      <w:r w:rsidRPr="00A97052">
        <w:rPr>
          <w:rFonts w:cs="Times New Roman"/>
          <w:i/>
        </w:rPr>
        <w:t>profit à prendre</w:t>
      </w:r>
      <w:r w:rsidRPr="00A97052">
        <w:rPr>
          <w:rFonts w:cs="Times New Roman"/>
        </w:rPr>
        <w:t xml:space="preserve"> “</w:t>
      </w:r>
      <w:proofErr w:type="gramStart"/>
      <w:r w:rsidRPr="00A97052">
        <w:rPr>
          <w:rFonts w:cs="Times New Roman"/>
        </w:rPr>
        <w:t>owns .</w:t>
      </w:r>
      <w:proofErr w:type="gramEnd"/>
      <w:r w:rsidRPr="00A97052">
        <w:rPr>
          <w:rFonts w:cs="Times New Roman"/>
        </w:rPr>
        <w:t xml:space="preserve"> . . mineral claims </w:t>
      </w:r>
      <w:r w:rsidRPr="00A97052">
        <w:rPr>
          <w:rFonts w:cs="Times New Roman"/>
          <w:u w:val="single"/>
        </w:rPr>
        <w:t>and the right to exploit them</w:t>
      </w:r>
      <w:r w:rsidRPr="00A97052">
        <w:rPr>
          <w:rFonts w:cs="Times New Roman"/>
        </w:rPr>
        <w:t xml:space="preserve"> through the process of severance” (p. 541 (emphasis added; emphasis in original deleted)). So understood, the interest held by the Teners had not been actually acquired, since the Province did not itself obtain a right of exploitation. What the Province </w:t>
      </w:r>
      <w:r w:rsidRPr="00A97052">
        <w:rPr>
          <w:rFonts w:cs="Times New Roman"/>
          <w:i/>
        </w:rPr>
        <w:t>did</w:t>
      </w:r>
      <w:r w:rsidRPr="00A97052">
        <w:rPr>
          <w:rFonts w:cs="Times New Roman"/>
        </w:rPr>
        <w:t xml:space="preserve"> acquire by preventing the Teners from exploiting their mineral rights was </w:t>
      </w:r>
      <w:r w:rsidRPr="00A97052">
        <w:rPr>
          <w:rFonts w:cs="Times New Roman"/>
          <w:i/>
        </w:rPr>
        <w:t>an advantage</w:t>
      </w:r>
      <w:r w:rsidRPr="00A97052">
        <w:rPr>
          <w:rFonts w:cs="Times New Roman"/>
        </w:rPr>
        <w:t> — specifically, preserving the land as a provincial park in the public interest.</w:t>
      </w:r>
    </w:p>
    <w:p w14:paraId="30353039" w14:textId="77777777" w:rsidR="001A2B0D" w:rsidRPr="00A97052" w:rsidRDefault="001A2B0D" w:rsidP="001A2B0D">
      <w:pPr>
        <w:pStyle w:val="ParaNoNdepar-AltN"/>
        <w:rPr>
          <w:rFonts w:cs="Times New Roman"/>
        </w:rPr>
      </w:pPr>
      <w:r w:rsidRPr="00A97052">
        <w:rPr>
          <w:rFonts w:cs="Times New Roman"/>
        </w:rPr>
        <w:t xml:space="preserve">That the Province need not to have been shown to have </w:t>
      </w:r>
      <w:r w:rsidRPr="00A97052">
        <w:rPr>
          <w:rFonts w:cs="Times New Roman"/>
          <w:i/>
        </w:rPr>
        <w:t>actually acquired</w:t>
      </w:r>
      <w:r w:rsidRPr="00A97052">
        <w:rPr>
          <w:rFonts w:cs="Times New Roman"/>
        </w:rPr>
        <w:t xml:space="preserve"> a </w:t>
      </w:r>
      <w:r w:rsidRPr="00A97052">
        <w:rPr>
          <w:rFonts w:cs="Times New Roman"/>
          <w:i/>
        </w:rPr>
        <w:t>proprietary interest</w:t>
      </w:r>
      <w:r w:rsidRPr="00A97052">
        <w:rPr>
          <w:rFonts w:cs="Times New Roman"/>
        </w:rPr>
        <w:t xml:space="preserve"> for the Teners to establish a constructive taking, and that the focus is instead on </w:t>
      </w:r>
      <w:r w:rsidRPr="00A97052">
        <w:rPr>
          <w:rFonts w:cs="Times New Roman"/>
          <w:i/>
        </w:rPr>
        <w:t>the effect</w:t>
      </w:r>
      <w:r w:rsidRPr="00A97052">
        <w:rPr>
          <w:rFonts w:cs="Times New Roman"/>
        </w:rPr>
        <w:t xml:space="preserve"> on the landowner of the advantage gained by the land use regulation, is highlighted by Wilson J.’s reasons:</w:t>
      </w:r>
    </w:p>
    <w:p w14:paraId="0387CDA8" w14:textId="77777777" w:rsidR="001A2B0D" w:rsidRPr="00A97052" w:rsidRDefault="001A2B0D" w:rsidP="001A2B0D">
      <w:pPr>
        <w:pStyle w:val="Citation-AltC"/>
        <w:ind w:firstLine="274"/>
      </w:pPr>
      <w:r w:rsidRPr="00A97052">
        <w:t>In my view, this is a case of expropriation under s. 11(</w:t>
      </w:r>
      <w:r w:rsidRPr="00A97052">
        <w:rPr>
          <w:i/>
        </w:rPr>
        <w:t>c</w:t>
      </w:r>
      <w:r w:rsidRPr="00A97052">
        <w:t xml:space="preserve">) of the </w:t>
      </w:r>
      <w:r w:rsidRPr="00A97052">
        <w:rPr>
          <w:i/>
        </w:rPr>
        <w:t>Park Act</w:t>
      </w:r>
      <w:r w:rsidRPr="00A97052">
        <w:t xml:space="preserve"> to which the </w:t>
      </w:r>
      <w:r w:rsidRPr="00A97052">
        <w:rPr>
          <w:i/>
        </w:rPr>
        <w:t>Highways Act</w:t>
      </w:r>
      <w:r w:rsidRPr="00A97052">
        <w:t xml:space="preserve"> applies. I reach this conclusion on the basis that </w:t>
      </w:r>
      <w:r w:rsidRPr="00A97052">
        <w:rPr>
          <w:u w:val="single"/>
        </w:rPr>
        <w:t>the absolute denial of the right to go on the land and sever the minerals so as to make them their own deprives the respondents of their profit à prendre. Their interest is nothing without the right to exploit it.</w:t>
      </w:r>
      <w:r w:rsidRPr="00A97052">
        <w:t xml:space="preserve"> The minerals </w:t>
      </w:r>
      <w:r w:rsidRPr="00A97052">
        <w:rPr>
          <w:i/>
        </w:rPr>
        <w:t xml:space="preserve">in situ </w:t>
      </w:r>
      <w:r w:rsidRPr="00A97052">
        <w:t>do not belong to them. Severance and the right of severance is of the essence of their interest.</w:t>
      </w:r>
    </w:p>
    <w:p w14:paraId="0BE95C6F" w14:textId="77777777" w:rsidR="001A2B0D" w:rsidRPr="00A97052" w:rsidRDefault="001A2B0D" w:rsidP="001A2B0D">
      <w:pPr>
        <w:pStyle w:val="Citation-AltC"/>
      </w:pPr>
    </w:p>
    <w:p w14:paraId="128BBCDC" w14:textId="77777777" w:rsidR="001A2B0D" w:rsidRPr="00A97052" w:rsidRDefault="001A2B0D" w:rsidP="001A2B0D">
      <w:pPr>
        <w:pStyle w:val="Citation-AltC"/>
        <w:jc w:val="center"/>
      </w:pPr>
      <w:r w:rsidRPr="00A97052">
        <w:t>. . .</w:t>
      </w:r>
    </w:p>
    <w:p w14:paraId="15D8EFAF" w14:textId="77777777" w:rsidR="001A2B0D" w:rsidRPr="00A97052" w:rsidRDefault="001A2B0D" w:rsidP="001A2B0D">
      <w:pPr>
        <w:pStyle w:val="Citation-AltC"/>
      </w:pPr>
    </w:p>
    <w:p w14:paraId="3E6FC30C" w14:textId="77777777" w:rsidR="001A2B0D" w:rsidRPr="00A97052" w:rsidRDefault="001A2B0D" w:rsidP="001A2B0D">
      <w:pPr>
        <w:pStyle w:val="Citation-AltC"/>
      </w:pPr>
      <w:r w:rsidRPr="00A97052">
        <w:t xml:space="preserve">While the grant or refusal of a licence or permit may constitute mere regulation in some instances, </w:t>
      </w:r>
      <w:r w:rsidRPr="00A97052">
        <w:rPr>
          <w:u w:val="single"/>
        </w:rPr>
        <w:t>it cannot be viewed as mere regulation when it has the effect of defeating the respondents’ entire interest in the land</w:t>
      </w:r>
      <w:r w:rsidRPr="00A97052">
        <w:t>. Without access the respondents cannot enjoy the mineral claims granted to them in the only way they can be enjoyed, namely by the exploitation of the minerals. [Emphasis added; p. 550.]</w:t>
      </w:r>
    </w:p>
    <w:p w14:paraId="609A7F38" w14:textId="77777777" w:rsidR="001A2B0D" w:rsidRPr="00A97052" w:rsidRDefault="001A2B0D" w:rsidP="001A2B0D">
      <w:pPr>
        <w:pStyle w:val="ParaNoNdepar-AltN"/>
        <w:rPr>
          <w:rFonts w:cs="Times New Roman"/>
        </w:rPr>
      </w:pPr>
      <w:r w:rsidRPr="00A97052">
        <w:rPr>
          <w:rFonts w:cs="Times New Roman"/>
        </w:rPr>
        <w:t xml:space="preserve">We note that Wilson J. expressly rejected the Crown’s submission that “it is not enough to show that what the Crown did prevented the respondents from realizing on their interest or rendered it worthless” (p. 551). Instead, the Teners had to show “that the Crown has appropriated their interest to </w:t>
      </w:r>
      <w:proofErr w:type="gramStart"/>
      <w:r w:rsidRPr="00A97052">
        <w:rPr>
          <w:rFonts w:cs="Times New Roman"/>
        </w:rPr>
        <w:t>itself, that</w:t>
      </w:r>
      <w:proofErr w:type="gramEnd"/>
      <w:r w:rsidRPr="00A97052">
        <w:rPr>
          <w:rFonts w:cs="Times New Roman"/>
        </w:rPr>
        <w:t xml:space="preserve"> the interest which previously belonged to the respondents now belongs to the Crown” (p. 551)</w:t>
      </w:r>
      <w:bookmarkStart w:id="22" w:name="_Toc101877257"/>
      <w:bookmarkStart w:id="23" w:name="_Toc105502351"/>
      <w:r w:rsidRPr="00A97052">
        <w:rPr>
          <w:rFonts w:cs="Times New Roman"/>
        </w:rPr>
        <w:t>.</w:t>
      </w:r>
    </w:p>
    <w:p w14:paraId="220F7BB6" w14:textId="77777777" w:rsidR="001A2B0D" w:rsidRPr="00A97052" w:rsidRDefault="001A2B0D" w:rsidP="001A2B0D">
      <w:pPr>
        <w:pStyle w:val="Title3LevelTitre3Niveau"/>
        <w:numPr>
          <w:ilvl w:val="2"/>
          <w:numId w:val="8"/>
        </w:numPr>
        <w:rPr>
          <w:rFonts w:cs="Times New Roman"/>
        </w:rPr>
      </w:pPr>
      <w:r w:rsidRPr="00A97052">
        <w:rPr>
          <w:rFonts w:cs="Times New Roman"/>
        </w:rPr>
        <w:t>Defining the Nature of a “Beneficial Interest”</w:t>
      </w:r>
      <w:bookmarkEnd w:id="22"/>
      <w:bookmarkEnd w:id="23"/>
    </w:p>
    <w:p w14:paraId="4709ABF7" w14:textId="77777777" w:rsidR="001A2B0D" w:rsidRPr="00A97052" w:rsidRDefault="001A2B0D" w:rsidP="001A2B0D">
      <w:pPr>
        <w:pStyle w:val="ParaNoNdepar-AltN"/>
        <w:rPr>
          <w:rFonts w:cs="Times New Roman"/>
        </w:rPr>
      </w:pPr>
      <w:r w:rsidRPr="00A97052">
        <w:rPr>
          <w:rFonts w:cs="Times New Roman"/>
        </w:rPr>
        <w:t xml:space="preserve">In our view, the foregoing jurisprudence — upon which the </w:t>
      </w:r>
      <w:r w:rsidRPr="00A97052">
        <w:rPr>
          <w:rFonts w:cs="Times New Roman"/>
          <w:i/>
        </w:rPr>
        <w:t xml:space="preserve">CPR </w:t>
      </w:r>
      <w:r w:rsidRPr="00A97052">
        <w:rPr>
          <w:rFonts w:cs="Times New Roman"/>
        </w:rPr>
        <w:t xml:space="preserve">test was expressly stated as resting — supports an understanding of “beneficial interest” as concerned with the </w:t>
      </w:r>
      <w:r w:rsidRPr="00A97052">
        <w:rPr>
          <w:rFonts w:cs="Times New Roman"/>
          <w:i/>
        </w:rPr>
        <w:t>effect</w:t>
      </w:r>
      <w:r w:rsidRPr="00A97052">
        <w:rPr>
          <w:rFonts w:cs="Times New Roman"/>
        </w:rPr>
        <w:t xml:space="preserve"> of a regulatory measure on the landowner, and not with whether a proprietary interest was actually acquired by the government. Conversely, that same jurisprudence supports the view that “beneficial interest”, as that term appears in the first part of the test stated in </w:t>
      </w:r>
      <w:r w:rsidRPr="00A97052">
        <w:rPr>
          <w:rFonts w:cs="Times New Roman"/>
          <w:i/>
        </w:rPr>
        <w:t>CPR</w:t>
      </w:r>
      <w:r w:rsidRPr="00A97052">
        <w:rPr>
          <w:rFonts w:cs="Times New Roman"/>
        </w:rPr>
        <w:t xml:space="preserve">, </w:t>
      </w:r>
      <w:proofErr w:type="spellStart"/>
      <w:r w:rsidRPr="00A97052">
        <w:rPr>
          <w:rFonts w:cs="Times New Roman"/>
        </w:rPr>
        <w:t>refers</w:t>
      </w:r>
      <w:proofErr w:type="spellEnd"/>
      <w:r w:rsidRPr="00A97052">
        <w:rPr>
          <w:rFonts w:cs="Times New Roman"/>
        </w:rPr>
        <w:t xml:space="preserve"> </w:t>
      </w:r>
      <w:r w:rsidRPr="00A97052">
        <w:rPr>
          <w:rFonts w:cs="Times New Roman"/>
          <w:i/>
        </w:rPr>
        <w:t>not</w:t>
      </w:r>
      <w:r w:rsidRPr="00A97052">
        <w:rPr>
          <w:rFonts w:cs="Times New Roman"/>
        </w:rPr>
        <w:t xml:space="preserve"> to actual acquisition of the equity that rests with the beneficial owner of property connoting rights of use and enjoyment, but to an </w:t>
      </w:r>
      <w:r w:rsidRPr="00A97052">
        <w:rPr>
          <w:rFonts w:cs="Times New Roman"/>
          <w:szCs w:val="24"/>
        </w:rPr>
        <w:t>“advantage” flowing to the state. We say this for two reasons.</w:t>
      </w:r>
    </w:p>
    <w:p w14:paraId="5916FB12" w14:textId="77777777" w:rsidR="001A2B0D" w:rsidRPr="00A97052" w:rsidRDefault="001A2B0D" w:rsidP="001A2B0D">
      <w:pPr>
        <w:pStyle w:val="ParaNoNdepar-AltN"/>
        <w:rPr>
          <w:rFonts w:cs="Times New Roman"/>
        </w:rPr>
      </w:pPr>
      <w:r w:rsidRPr="00A97052">
        <w:rPr>
          <w:rFonts w:cs="Times New Roman"/>
        </w:rPr>
        <w:t>First, to require actual acquisition would collapse the distinction between constructive (</w:t>
      </w:r>
      <w:r w:rsidRPr="00A97052">
        <w:rPr>
          <w:rFonts w:cs="Times New Roman"/>
          <w:i/>
        </w:rPr>
        <w:t>de facto</w:t>
      </w:r>
      <w:r w:rsidRPr="00A97052">
        <w:rPr>
          <w:rFonts w:cs="Times New Roman"/>
        </w:rPr>
        <w:t xml:space="preserve">) and </w:t>
      </w:r>
      <w:r w:rsidRPr="00A97052">
        <w:rPr>
          <w:rFonts w:cs="Times New Roman"/>
          <w:i/>
        </w:rPr>
        <w:t>de jure</w:t>
      </w:r>
      <w:r w:rsidRPr="00A97052">
        <w:rPr>
          <w:rFonts w:cs="Times New Roman"/>
        </w:rPr>
        <w:t xml:space="preserve"> takings — a distinction which </w:t>
      </w:r>
      <w:r w:rsidRPr="00A97052">
        <w:rPr>
          <w:rFonts w:cs="Times New Roman"/>
          <w:i/>
        </w:rPr>
        <w:t xml:space="preserve">CPR </w:t>
      </w:r>
      <w:r w:rsidRPr="00A97052">
        <w:rPr>
          <w:rFonts w:cs="Times New Roman"/>
        </w:rPr>
        <w:t>explicitly preserves (paras. 30</w:t>
      </w:r>
      <w:r w:rsidRPr="00A97052">
        <w:rPr>
          <w:rFonts w:cs="Times New Roman"/>
        </w:rPr>
        <w:noBreakHyphen/>
        <w:t xml:space="preserve">37). Simply put, if a constructive taking requires an </w:t>
      </w:r>
      <w:r w:rsidRPr="00A97052">
        <w:rPr>
          <w:rFonts w:cs="Times New Roman"/>
          <w:i/>
        </w:rPr>
        <w:t>actual</w:t>
      </w:r>
      <w:r w:rsidRPr="00A97052">
        <w:rPr>
          <w:rFonts w:cs="Times New Roman"/>
        </w:rPr>
        <w:t xml:space="preserve"> taking, then it is no longer constructive. It follows that the Court of Appeal’s requirement of an actual acquisition of the Annapolis Lands cannot be necessary to satisfy the </w:t>
      </w:r>
      <w:r w:rsidRPr="00A97052">
        <w:rPr>
          <w:rFonts w:cs="Times New Roman"/>
          <w:i/>
        </w:rPr>
        <w:t xml:space="preserve">CPR </w:t>
      </w:r>
      <w:r w:rsidRPr="00A97052">
        <w:rPr>
          <w:rFonts w:cs="Times New Roman"/>
        </w:rPr>
        <w:t>test for a constructive taking.</w:t>
      </w:r>
    </w:p>
    <w:p w14:paraId="61AAC14C" w14:textId="77777777" w:rsidR="001A2B0D" w:rsidRPr="00A97052" w:rsidRDefault="001A2B0D" w:rsidP="001A2B0D">
      <w:pPr>
        <w:pStyle w:val="ParaNoNdepar-AltN"/>
        <w:rPr>
          <w:rFonts w:cs="Times New Roman"/>
        </w:rPr>
      </w:pPr>
      <w:r w:rsidRPr="00A97052">
        <w:rPr>
          <w:rFonts w:cs="Times New Roman"/>
        </w:rPr>
        <w:t xml:space="preserve">Secondly, interpreting “beneficial interest” broadly (as meaning a benefit or advantage accruing to the state) ensures </w:t>
      </w:r>
      <w:r w:rsidRPr="00A97052">
        <w:rPr>
          <w:rFonts w:cs="Times New Roman"/>
          <w:i/>
        </w:rPr>
        <w:t>CPR</w:t>
      </w:r>
      <w:r w:rsidRPr="00A97052">
        <w:rPr>
          <w:rFonts w:cs="Times New Roman"/>
        </w:rPr>
        <w:t xml:space="preserve">’s coherence to </w:t>
      </w:r>
      <w:r w:rsidRPr="00A97052">
        <w:rPr>
          <w:rFonts w:cs="Times New Roman"/>
          <w:i/>
        </w:rPr>
        <w:t xml:space="preserve">Manitoba Fisheries </w:t>
      </w:r>
      <w:r w:rsidRPr="00A97052">
        <w:rPr>
          <w:rFonts w:cs="Times New Roman"/>
        </w:rPr>
        <w:t xml:space="preserve">and </w:t>
      </w:r>
      <w:r w:rsidRPr="00A97052">
        <w:rPr>
          <w:rFonts w:cs="Times New Roman"/>
          <w:i/>
        </w:rPr>
        <w:t>Tener</w:t>
      </w:r>
      <w:r w:rsidRPr="00A97052">
        <w:rPr>
          <w:rFonts w:cs="Times New Roman"/>
        </w:rPr>
        <w:t xml:space="preserve">, neither of which understood “benefits” in the strict equitable sense of that term. Again, the references to those authorities in </w:t>
      </w:r>
      <w:r w:rsidRPr="00A97052">
        <w:rPr>
          <w:rFonts w:cs="Times New Roman"/>
          <w:i/>
        </w:rPr>
        <w:t>CPR</w:t>
      </w:r>
      <w:r w:rsidRPr="00A97052">
        <w:rPr>
          <w:rFonts w:cs="Times New Roman"/>
        </w:rPr>
        <w:t xml:space="preserve"> demonstrate that </w:t>
      </w:r>
      <w:r w:rsidRPr="00A97052">
        <w:rPr>
          <w:rFonts w:cs="Times New Roman"/>
          <w:i/>
        </w:rPr>
        <w:t xml:space="preserve">CPR </w:t>
      </w:r>
      <w:r w:rsidRPr="00A97052">
        <w:rPr>
          <w:rFonts w:cs="Times New Roman"/>
        </w:rPr>
        <w:t xml:space="preserve">merely sought to affirm, and not to alter, our law of constructive takings. This interpretation is supported by the explicit wording under the first part of the </w:t>
      </w:r>
      <w:r w:rsidRPr="00A97052">
        <w:rPr>
          <w:rFonts w:cs="Times New Roman"/>
          <w:i/>
        </w:rPr>
        <w:t>CPR</w:t>
      </w:r>
      <w:r w:rsidRPr="00A97052">
        <w:rPr>
          <w:rFonts w:cs="Times New Roman"/>
        </w:rPr>
        <w:t xml:space="preserve"> test: “. . . a beneficial interest in the property </w:t>
      </w:r>
      <w:r w:rsidRPr="00A97052">
        <w:rPr>
          <w:rFonts w:cs="Times New Roman"/>
          <w:u w:val="single"/>
        </w:rPr>
        <w:t xml:space="preserve">or flowing from </w:t>
      </w:r>
      <w:proofErr w:type="gramStart"/>
      <w:r w:rsidRPr="00A97052">
        <w:rPr>
          <w:rFonts w:cs="Times New Roman"/>
          <w:u w:val="single"/>
        </w:rPr>
        <w:t>it</w:t>
      </w:r>
      <w:r w:rsidRPr="00A97052">
        <w:rPr>
          <w:rFonts w:cs="Times New Roman"/>
        </w:rPr>
        <w:t xml:space="preserve"> .</w:t>
      </w:r>
      <w:proofErr w:type="gramEnd"/>
      <w:r w:rsidRPr="00A97052">
        <w:rPr>
          <w:rFonts w:cs="Times New Roman"/>
        </w:rPr>
        <w:t> . .” (para. 30 (emphasis added)). An interest flowing from the property affirms that a “beneficial interest” can be more broadly understood as an advantage, and need not be an actual acquisition.</w:t>
      </w:r>
    </w:p>
    <w:p w14:paraId="6EC65FB1" w14:textId="77777777" w:rsidR="001A2B0D" w:rsidRPr="00A97052" w:rsidRDefault="001A2B0D" w:rsidP="001A2B0D">
      <w:pPr>
        <w:pStyle w:val="ParaNoNdepar-AltN"/>
        <w:rPr>
          <w:rFonts w:cs="Times New Roman"/>
        </w:rPr>
      </w:pPr>
      <w:r w:rsidRPr="00A97052">
        <w:rPr>
          <w:rFonts w:cs="Times New Roman"/>
        </w:rPr>
        <w:t xml:space="preserve">To be clear, we are not “depart[ing] from precedent” (para. 111), as our colleagues contend. We aim to illuminate </w:t>
      </w:r>
      <w:r w:rsidRPr="00A97052">
        <w:rPr>
          <w:rFonts w:cs="Times New Roman"/>
          <w:i/>
        </w:rPr>
        <w:t>CPR</w:t>
      </w:r>
      <w:r w:rsidRPr="00A97052">
        <w:rPr>
          <w:rFonts w:cs="Times New Roman"/>
        </w:rPr>
        <w:t xml:space="preserve">, not overrule it. Our colleagues say that courts “have applied the </w:t>
      </w:r>
      <w:r w:rsidRPr="00A97052">
        <w:rPr>
          <w:rFonts w:cs="Times New Roman"/>
          <w:i/>
        </w:rPr>
        <w:t xml:space="preserve">CPR </w:t>
      </w:r>
      <w:r w:rsidRPr="00A97052">
        <w:rPr>
          <w:rFonts w:cs="Times New Roman"/>
        </w:rPr>
        <w:t xml:space="preserve">test without difficulty” (para. 112). With respect, this misses the point. The key question is whether the lower courts have applied the </w:t>
      </w:r>
      <w:r w:rsidRPr="00A97052">
        <w:rPr>
          <w:rFonts w:cs="Times New Roman"/>
          <w:i/>
        </w:rPr>
        <w:t>CPR</w:t>
      </w:r>
      <w:r w:rsidRPr="00A97052">
        <w:rPr>
          <w:rFonts w:cs="Times New Roman"/>
        </w:rPr>
        <w:t xml:space="preserve"> test </w:t>
      </w:r>
      <w:r w:rsidRPr="00A97052">
        <w:rPr>
          <w:rFonts w:cs="Times New Roman"/>
          <w:i/>
        </w:rPr>
        <w:t>correctly</w:t>
      </w:r>
      <w:r w:rsidRPr="00A97052">
        <w:rPr>
          <w:rFonts w:cs="Times New Roman"/>
        </w:rPr>
        <w:t xml:space="preserve">. In our respectful view, many of them have not. Indeed, the Court of Appeal itself misapprehended the law in this case, by asserting that </w:t>
      </w:r>
      <w:r w:rsidRPr="00A97052">
        <w:rPr>
          <w:rFonts w:cs="Times New Roman"/>
          <w:i/>
        </w:rPr>
        <w:t xml:space="preserve">CPR </w:t>
      </w:r>
      <w:r w:rsidRPr="00A97052">
        <w:rPr>
          <w:rFonts w:cs="Times New Roman"/>
        </w:rPr>
        <w:t xml:space="preserve">requires an </w:t>
      </w:r>
      <w:r w:rsidRPr="00A97052">
        <w:rPr>
          <w:rFonts w:cs="Times New Roman"/>
          <w:i/>
        </w:rPr>
        <w:t>actual</w:t>
      </w:r>
      <w:r w:rsidRPr="00A97052">
        <w:rPr>
          <w:rFonts w:cs="Times New Roman"/>
        </w:rPr>
        <w:t xml:space="preserve"> expropriation to establish a constructive taking. As we have explained, and as the authorities confirm, </w:t>
      </w:r>
      <w:r w:rsidRPr="00A97052">
        <w:rPr>
          <w:rFonts w:cs="Times New Roman"/>
          <w:i/>
        </w:rPr>
        <w:t>CPR</w:t>
      </w:r>
      <w:r w:rsidRPr="00A97052">
        <w:rPr>
          <w:rFonts w:cs="Times New Roman"/>
        </w:rPr>
        <w:t> — properly understood — trains the court’s eye on whether a public authority has derived an advantage, in</w:t>
      </w:r>
      <w:r w:rsidRPr="00A97052">
        <w:rPr>
          <w:rFonts w:cs="Times New Roman"/>
          <w:i/>
        </w:rPr>
        <w:t xml:space="preserve"> effect</w:t>
      </w:r>
      <w:r w:rsidRPr="00A97052">
        <w:rPr>
          <w:rFonts w:cs="Times New Roman"/>
        </w:rPr>
        <w:t>, from private property, not on whether it has formally acquired a proprietary interest in the land. To hold otherwise would be to erase the long</w:t>
      </w:r>
      <w:r w:rsidRPr="00A97052">
        <w:rPr>
          <w:rFonts w:cs="Times New Roman"/>
        </w:rPr>
        <w:noBreakHyphen/>
        <w:t xml:space="preserve">standing distinction between </w:t>
      </w:r>
      <w:r w:rsidRPr="00A97052">
        <w:rPr>
          <w:rFonts w:cs="Times New Roman"/>
          <w:i/>
        </w:rPr>
        <w:t>de jure</w:t>
      </w:r>
      <w:r w:rsidRPr="00A97052">
        <w:rPr>
          <w:rFonts w:cs="Times New Roman"/>
        </w:rPr>
        <w:t xml:space="preserve"> and </w:t>
      </w:r>
      <w:r w:rsidRPr="00A97052">
        <w:rPr>
          <w:rFonts w:cs="Times New Roman"/>
          <w:i/>
        </w:rPr>
        <w:t>de facto</w:t>
      </w:r>
      <w:r w:rsidRPr="00A97052">
        <w:rPr>
          <w:rFonts w:cs="Times New Roman"/>
        </w:rPr>
        <w:t xml:space="preserve"> expropriation from Canadian law.</w:t>
      </w:r>
    </w:p>
    <w:p w14:paraId="4B51F665" w14:textId="77777777" w:rsidR="001A2B0D" w:rsidRPr="00A97052" w:rsidRDefault="001A2B0D" w:rsidP="001A2B0D">
      <w:pPr>
        <w:pStyle w:val="ParaNoNdepar-AltN"/>
        <w:rPr>
          <w:rFonts w:cs="Times New Roman"/>
        </w:rPr>
      </w:pPr>
      <w:r w:rsidRPr="00A97052">
        <w:rPr>
          <w:rFonts w:cs="Times New Roman"/>
        </w:rPr>
        <w:t xml:space="preserve">As a final observation, we acknowledge that, in addition to </w:t>
      </w:r>
      <w:r w:rsidRPr="00A97052">
        <w:rPr>
          <w:rFonts w:cs="Times New Roman"/>
          <w:i/>
        </w:rPr>
        <w:t>Manitoba Fisheries</w:t>
      </w:r>
      <w:r w:rsidRPr="00A97052">
        <w:rPr>
          <w:rFonts w:cs="Times New Roman"/>
        </w:rPr>
        <w:t xml:space="preserve"> and </w:t>
      </w:r>
      <w:r w:rsidRPr="00A97052">
        <w:rPr>
          <w:rFonts w:cs="Times New Roman"/>
          <w:i/>
        </w:rPr>
        <w:t>Tener</w:t>
      </w:r>
      <w:r w:rsidRPr="00A97052">
        <w:rPr>
          <w:rFonts w:cs="Times New Roman"/>
        </w:rPr>
        <w:t xml:space="preserve">, the Court in </w:t>
      </w:r>
      <w:r w:rsidRPr="00A97052">
        <w:rPr>
          <w:rFonts w:cs="Times New Roman"/>
          <w:i/>
        </w:rPr>
        <w:t>CPR</w:t>
      </w:r>
      <w:r w:rsidRPr="00A97052">
        <w:rPr>
          <w:rFonts w:cs="Times New Roman"/>
        </w:rPr>
        <w:t xml:space="preserve"> also cited to </w:t>
      </w:r>
      <w:r w:rsidRPr="00A97052">
        <w:rPr>
          <w:rFonts w:cs="Times New Roman"/>
          <w:i/>
        </w:rPr>
        <w:t>Mariner</w:t>
      </w:r>
      <w:r w:rsidRPr="00A97052">
        <w:rPr>
          <w:rFonts w:cs="Times New Roman"/>
        </w:rPr>
        <w:t xml:space="preserve">. But this does not affect our analysis. </w:t>
      </w:r>
      <w:r w:rsidRPr="00A97052">
        <w:rPr>
          <w:rFonts w:cs="Times New Roman"/>
          <w:i/>
        </w:rPr>
        <w:t>Mariner</w:t>
      </w:r>
      <w:r w:rsidRPr="00A97052">
        <w:rPr>
          <w:rFonts w:cs="Times New Roman"/>
        </w:rPr>
        <w:t xml:space="preserve"> concerned the Province of Nova Scotia’s designation of privately owned land as a beach under a provincial statute that subjected it to stringent conservation regulations. When the Minister refused the respondents’ applications to build homes on the land, they sought a declaration that the Crown had expropriated their lands, entitling them to compensation. Cromwell J.A. (as he then was), writing for the Nova Scotia Court of Appeal, held that the respondents’ loss of economic value did not amount to an advantage acquired by the provincial authority (see generally </w:t>
      </w:r>
      <w:r w:rsidRPr="00A97052">
        <w:rPr>
          <w:rFonts w:cs="Times New Roman"/>
          <w:i/>
        </w:rPr>
        <w:t>Mariner</w:t>
      </w:r>
      <w:r w:rsidRPr="00A97052">
        <w:rPr>
          <w:rFonts w:cs="Times New Roman"/>
        </w:rPr>
        <w:t>, at</w:t>
      </w:r>
      <w:r w:rsidRPr="00A97052">
        <w:rPr>
          <w:rFonts w:cs="Times New Roman"/>
          <w:i/>
        </w:rPr>
        <w:t xml:space="preserve"> </w:t>
      </w:r>
      <w:r w:rsidRPr="00A97052">
        <w:rPr>
          <w:rFonts w:cs="Times New Roman"/>
        </w:rPr>
        <w:t>pp. 713</w:t>
      </w:r>
      <w:r w:rsidRPr="00A97052">
        <w:rPr>
          <w:rFonts w:cs="Times New Roman"/>
        </w:rPr>
        <w:noBreakHyphen/>
        <w:t>16).</w:t>
      </w:r>
    </w:p>
    <w:p w14:paraId="22666C84" w14:textId="77777777" w:rsidR="001A2B0D" w:rsidRPr="00A97052" w:rsidRDefault="001A2B0D" w:rsidP="001A2B0D">
      <w:pPr>
        <w:pStyle w:val="ParaNoNdepar-AltN"/>
        <w:rPr>
          <w:rFonts w:cs="Times New Roman"/>
        </w:rPr>
      </w:pPr>
      <w:r w:rsidRPr="00A97052">
        <w:rPr>
          <w:rFonts w:cs="Times New Roman"/>
          <w:i/>
        </w:rPr>
        <w:t xml:space="preserve">Mariner </w:t>
      </w:r>
      <w:r w:rsidRPr="00A97052">
        <w:rPr>
          <w:rFonts w:cs="Times New Roman"/>
        </w:rPr>
        <w:t>illustrates that regulation alone will not satisfy the test for a constructive taking; there must be something more “beyond drastically limiting use or reducing the value of the owner’s property” (p. 716). When this threshold is crossed — that is, where all reasonable uses have been removed — a regulation may be, “</w:t>
      </w:r>
      <w:r w:rsidRPr="00A97052">
        <w:rPr>
          <w:rFonts w:cs="Times New Roman"/>
          <w:u w:val="single"/>
        </w:rPr>
        <w:t>in effect</w:t>
      </w:r>
      <w:r w:rsidRPr="00A97052">
        <w:rPr>
          <w:rFonts w:cs="Times New Roman"/>
        </w:rPr>
        <w:t xml:space="preserve">, confiscation” (p. 727 (emphasis added)). To be clear, </w:t>
      </w:r>
      <w:r w:rsidRPr="00A97052">
        <w:rPr>
          <w:rFonts w:cs="Times New Roman"/>
          <w:i/>
        </w:rPr>
        <w:t xml:space="preserve">Mariner </w:t>
      </w:r>
      <w:r w:rsidRPr="00A97052">
        <w:rPr>
          <w:rFonts w:cs="Times New Roman"/>
        </w:rPr>
        <w:t xml:space="preserve">does not stray from focussing on both the </w:t>
      </w:r>
      <w:r w:rsidRPr="00A97052">
        <w:rPr>
          <w:rFonts w:cs="Times New Roman"/>
          <w:i/>
        </w:rPr>
        <w:t xml:space="preserve">effect </w:t>
      </w:r>
      <w:r w:rsidRPr="00A97052">
        <w:rPr>
          <w:rFonts w:cs="Times New Roman"/>
        </w:rPr>
        <w:t xml:space="preserve">of the taking and the </w:t>
      </w:r>
      <w:r w:rsidRPr="00A97052">
        <w:rPr>
          <w:rFonts w:cs="Times New Roman"/>
          <w:i/>
        </w:rPr>
        <w:t xml:space="preserve">advantage </w:t>
      </w:r>
      <w:r w:rsidRPr="00A97052">
        <w:rPr>
          <w:rFonts w:cs="Times New Roman"/>
        </w:rPr>
        <w:t xml:space="preserve">acquired by the government, as required by this Court’s jurisprudence and affirmed in the test set out in </w:t>
      </w:r>
      <w:r w:rsidRPr="00A97052">
        <w:rPr>
          <w:rFonts w:cs="Times New Roman"/>
          <w:i/>
        </w:rPr>
        <w:t>CPR</w:t>
      </w:r>
      <w:r w:rsidRPr="00A97052">
        <w:rPr>
          <w:rFonts w:cs="Times New Roman"/>
        </w:rPr>
        <w:t>.</w:t>
      </w:r>
      <w:r w:rsidRPr="00A97052">
        <w:rPr>
          <w:rFonts w:cs="Times New Roman"/>
          <w:i/>
        </w:rPr>
        <w:t xml:space="preserve"> </w:t>
      </w:r>
      <w:r w:rsidRPr="00A97052">
        <w:rPr>
          <w:rFonts w:cs="Times New Roman"/>
        </w:rPr>
        <w:t xml:space="preserve">Rather, and consistent with both </w:t>
      </w:r>
      <w:r w:rsidRPr="00A97052">
        <w:rPr>
          <w:rFonts w:cs="Times New Roman"/>
          <w:i/>
        </w:rPr>
        <w:t>Manitoba Fisheries</w:t>
      </w:r>
      <w:r w:rsidRPr="00A97052">
        <w:rPr>
          <w:rFonts w:cs="Times New Roman"/>
        </w:rPr>
        <w:t xml:space="preserve"> and </w:t>
      </w:r>
      <w:r w:rsidRPr="00A97052">
        <w:rPr>
          <w:rFonts w:cs="Times New Roman"/>
          <w:i/>
        </w:rPr>
        <w:t>Tener</w:t>
      </w:r>
      <w:r w:rsidRPr="00A97052">
        <w:rPr>
          <w:rFonts w:cs="Times New Roman"/>
        </w:rPr>
        <w:t xml:space="preserve">, </w:t>
      </w:r>
      <w:r w:rsidRPr="00A97052">
        <w:rPr>
          <w:rFonts w:cs="Times New Roman"/>
          <w:i/>
        </w:rPr>
        <w:t xml:space="preserve">Mariner </w:t>
      </w:r>
      <w:r w:rsidRPr="00A97052">
        <w:rPr>
          <w:rFonts w:cs="Times New Roman"/>
        </w:rPr>
        <w:t xml:space="preserve">asked whether the </w:t>
      </w:r>
      <w:r w:rsidRPr="00A97052">
        <w:rPr>
          <w:rFonts w:cs="Times New Roman"/>
          <w:i/>
        </w:rPr>
        <w:t>effect</w:t>
      </w:r>
      <w:r w:rsidRPr="00A97052">
        <w:rPr>
          <w:rFonts w:cs="Times New Roman"/>
        </w:rPr>
        <w:t xml:space="preserve"> of the regulation was to remove an interest in land (</w:t>
      </w:r>
      <w:r w:rsidRPr="00A97052">
        <w:rPr>
          <w:rFonts w:cs="Times New Roman"/>
          <w:i/>
        </w:rPr>
        <w:t>Mariner</w:t>
      </w:r>
      <w:r w:rsidRPr="00A97052">
        <w:rPr>
          <w:rFonts w:cs="Times New Roman"/>
        </w:rPr>
        <w:t xml:space="preserve">, at p. 722, referring to </w:t>
      </w:r>
      <w:r w:rsidRPr="00A97052">
        <w:rPr>
          <w:rFonts w:cs="Times New Roman"/>
          <w:i/>
        </w:rPr>
        <w:t>Tener</w:t>
      </w:r>
      <w:r w:rsidRPr="00A97052">
        <w:rPr>
          <w:rFonts w:cs="Times New Roman"/>
        </w:rPr>
        <w:t>).</w:t>
      </w:r>
    </w:p>
    <w:p w14:paraId="4E5DC60A" w14:textId="77777777" w:rsidR="001A2B0D" w:rsidRPr="00A97052" w:rsidRDefault="001A2B0D" w:rsidP="001A2B0D">
      <w:pPr>
        <w:pStyle w:val="Title3LevelTitre3Niveau"/>
        <w:numPr>
          <w:ilvl w:val="2"/>
          <w:numId w:val="8"/>
        </w:numPr>
        <w:rPr>
          <w:rFonts w:cs="Times New Roman"/>
        </w:rPr>
      </w:pPr>
      <w:bookmarkStart w:id="24" w:name="_Toc101877258"/>
      <w:bookmarkStart w:id="25" w:name="_Toc105502352"/>
      <w:r w:rsidRPr="00A97052">
        <w:rPr>
          <w:rFonts w:cs="Times New Roman"/>
        </w:rPr>
        <w:t>Conclusion on “Beneficial Interest”</w:t>
      </w:r>
      <w:bookmarkEnd w:id="24"/>
      <w:bookmarkEnd w:id="25"/>
    </w:p>
    <w:p w14:paraId="7E834F69" w14:textId="77777777" w:rsidR="001A2B0D" w:rsidRPr="00A97052" w:rsidRDefault="001A2B0D" w:rsidP="001A2B0D">
      <w:pPr>
        <w:pStyle w:val="ParaNoNdepar-AltN"/>
        <w:rPr>
          <w:rFonts w:cs="Times New Roman"/>
          <w:szCs w:val="24"/>
        </w:rPr>
      </w:pPr>
      <w:r w:rsidRPr="00A97052">
        <w:rPr>
          <w:rFonts w:cs="Times New Roman"/>
        </w:rPr>
        <w:t xml:space="preserve">In sum, we affirm that the test to show a constructive taking is that stated by </w:t>
      </w:r>
      <w:r w:rsidRPr="00A97052">
        <w:rPr>
          <w:rFonts w:cs="Times New Roman"/>
          <w:i/>
        </w:rPr>
        <w:t>CPR</w:t>
      </w:r>
      <w:r w:rsidRPr="00A97052">
        <w:rPr>
          <w:rFonts w:cs="Times New Roman"/>
        </w:rPr>
        <w:t xml:space="preserve">, properly understood. The reviewing court must decide: (1) whether the public authority has acquired a </w:t>
      </w:r>
      <w:r w:rsidRPr="00A97052">
        <w:rPr>
          <w:rFonts w:cs="Times New Roman"/>
          <w:u w:val="single"/>
        </w:rPr>
        <w:t>beneficial interest</w:t>
      </w:r>
      <w:r w:rsidRPr="00A97052">
        <w:rPr>
          <w:rFonts w:cs="Times New Roman"/>
        </w:rPr>
        <w:t xml:space="preserve"> in the property or flowing from it (i.e. an advantage); and (2) whether the state action has removed all reasonable uses of the property. This gives effect to this Court’s acknowledgement of a common law right to compensation where the two-part </w:t>
      </w:r>
      <w:r w:rsidRPr="00A97052">
        <w:rPr>
          <w:rFonts w:cs="Times New Roman"/>
          <w:i/>
        </w:rPr>
        <w:t>CPR</w:t>
      </w:r>
      <w:r w:rsidRPr="00A97052">
        <w:rPr>
          <w:rFonts w:cs="Times New Roman"/>
        </w:rPr>
        <w:t xml:space="preserve"> test is satisfied. It accords with imperatives of justice and fairness, which underpin the court’s assessment of expropriation claims, and remedies situations where cases do not neatly fit within the expropriation legislative framework and would otherwise “fall between the cracks” (</w:t>
      </w:r>
      <w:proofErr w:type="spellStart"/>
      <w:r w:rsidRPr="00A97052">
        <w:rPr>
          <w:rFonts w:cs="Times New Roman"/>
        </w:rPr>
        <w:t>Warchuk</w:t>
      </w:r>
      <w:proofErr w:type="spellEnd"/>
      <w:r w:rsidRPr="00A97052">
        <w:rPr>
          <w:rFonts w:cs="Times New Roman"/>
        </w:rPr>
        <w:t>, at pp. 686 and 690).</w:t>
      </w:r>
    </w:p>
    <w:p w14:paraId="0E8A70EC" w14:textId="77777777" w:rsidR="001A2B0D" w:rsidRPr="00A97052" w:rsidRDefault="001A2B0D" w:rsidP="001A2B0D">
      <w:pPr>
        <w:pStyle w:val="ParaNoNdepar-AltN"/>
        <w:rPr>
          <w:rFonts w:cs="Times New Roman"/>
          <w:szCs w:val="24"/>
        </w:rPr>
      </w:pPr>
      <w:r w:rsidRPr="00A97052">
        <w:rPr>
          <w:rFonts w:cs="Times New Roman"/>
        </w:rPr>
        <w:t xml:space="preserve">To this, we would add that, because the test focusses on </w:t>
      </w:r>
      <w:r w:rsidRPr="00A97052">
        <w:rPr>
          <w:rFonts w:cs="Times New Roman"/>
          <w:i/>
        </w:rPr>
        <w:t>effects</w:t>
      </w:r>
      <w:r w:rsidRPr="00A97052">
        <w:rPr>
          <w:rFonts w:cs="Times New Roman"/>
        </w:rPr>
        <w:t xml:space="preserve"> and </w:t>
      </w:r>
      <w:r w:rsidRPr="00A97052">
        <w:rPr>
          <w:rFonts w:cs="Times New Roman"/>
          <w:i/>
        </w:rPr>
        <w:t>advantages</w:t>
      </w:r>
      <w:r w:rsidRPr="00A97052">
        <w:rPr>
          <w:rFonts w:cs="Times New Roman"/>
        </w:rPr>
        <w:t>, substance and not form is to prevail. A court deciding whether a regulatory measure effects a constructive taking must undertake a realistic appraisal of matters in the context of the specific case, including but not limited to:</w:t>
      </w:r>
    </w:p>
    <w:p w14:paraId="701AD849" w14:textId="77777777" w:rsidR="001A2B0D" w:rsidRPr="00A97052" w:rsidRDefault="001A2B0D" w:rsidP="001A2B0D">
      <w:pPr>
        <w:pStyle w:val="ParaNoNdepar-AltN"/>
        <w:numPr>
          <w:ilvl w:val="4"/>
          <w:numId w:val="6"/>
        </w:numPr>
        <w:ind w:hanging="666"/>
        <w:rPr>
          <w:rFonts w:cs="Times New Roman"/>
          <w:szCs w:val="24"/>
        </w:rPr>
      </w:pPr>
      <w:r w:rsidRPr="00A97052">
        <w:rPr>
          <w:rFonts w:cs="Times New Roman"/>
        </w:rPr>
        <w:t>The nature of the government action (i.e., whether it targets a specific owner or more generally advances an important public policy objective), notice to the owner of the restrictions at the time the property was acquired, and whether the government measures restrict the uses of the property in a manner consistent with the owner’s reasonable expectations;</w:t>
      </w:r>
    </w:p>
    <w:p w14:paraId="50E85E75" w14:textId="77777777" w:rsidR="001A2B0D" w:rsidRPr="00A97052" w:rsidRDefault="001A2B0D" w:rsidP="001A2B0D">
      <w:pPr>
        <w:pStyle w:val="ParaNoNdepar-AltN"/>
        <w:numPr>
          <w:ilvl w:val="4"/>
          <w:numId w:val="6"/>
        </w:numPr>
        <w:ind w:hanging="666"/>
        <w:rPr>
          <w:rFonts w:cs="Times New Roman"/>
          <w:szCs w:val="24"/>
        </w:rPr>
      </w:pPr>
      <w:r w:rsidRPr="00A97052">
        <w:rPr>
          <w:rFonts w:cs="Times New Roman"/>
          <w:szCs w:val="24"/>
        </w:rPr>
        <w:t xml:space="preserve">The nature of the land and its historical or current uses. Where, for example, the land is undeveloped, the prohibition of all </w:t>
      </w:r>
      <w:r w:rsidRPr="00A97052">
        <w:rPr>
          <w:rFonts w:cs="Times New Roman"/>
          <w:i/>
          <w:szCs w:val="24"/>
        </w:rPr>
        <w:t>potential</w:t>
      </w:r>
      <w:r w:rsidRPr="00A97052">
        <w:rPr>
          <w:rFonts w:cs="Times New Roman"/>
          <w:szCs w:val="24"/>
        </w:rPr>
        <w:t xml:space="preserve"> reasonable uses may amount to a constructive taking. That said, a mere reduction in land value due to land use regulation, on its own, would not suffice; and</w:t>
      </w:r>
    </w:p>
    <w:p w14:paraId="7D7C84BE" w14:textId="77777777" w:rsidR="001A2B0D" w:rsidRPr="00A97052" w:rsidRDefault="001A2B0D" w:rsidP="001A2B0D">
      <w:pPr>
        <w:pStyle w:val="ParaNoNdepar-AltN"/>
        <w:numPr>
          <w:ilvl w:val="4"/>
          <w:numId w:val="6"/>
        </w:numPr>
        <w:ind w:hanging="666"/>
        <w:rPr>
          <w:rFonts w:cs="Times New Roman"/>
        </w:rPr>
      </w:pPr>
      <w:r w:rsidRPr="00A97052">
        <w:rPr>
          <w:rFonts w:cs="Times New Roman"/>
          <w:szCs w:val="24"/>
        </w:rPr>
        <w:t xml:space="preserve">The substance of the alleged advantage. The case law reveals that </w:t>
      </w:r>
      <w:r w:rsidRPr="00A97052">
        <w:rPr>
          <w:rFonts w:cs="Times New Roman"/>
        </w:rPr>
        <w:t>an advantage may take various forms. For example, permanent or indefinite denial of access to the property or the government’s permanent or indefinite occupation of the property would constitute a taking (</w:t>
      </w:r>
      <w:r w:rsidRPr="00A97052">
        <w:rPr>
          <w:rFonts w:cs="Times New Roman"/>
          <w:i/>
        </w:rPr>
        <w:t>Sun Construction</w:t>
      </w:r>
      <w:r w:rsidRPr="00A97052">
        <w:rPr>
          <w:rFonts w:cs="Times New Roman"/>
        </w:rPr>
        <w:t>, at para. 15). Likewise, regulations that leave a rights holder with only notional use of the land, deprived of all economic value, would satisfy the test. It could also include confining the uses of private land to public purposes, such as conservation, recreation, or institutional uses such as parks, schools, or municipal buildings.</w:t>
      </w:r>
    </w:p>
    <w:p w14:paraId="2CFD6FDA" w14:textId="77777777" w:rsidR="001A2B0D" w:rsidRPr="00A97052" w:rsidRDefault="001A2B0D" w:rsidP="001A2B0D">
      <w:pPr>
        <w:pStyle w:val="Title2LevelTitre2Niveau"/>
        <w:numPr>
          <w:ilvl w:val="1"/>
          <w:numId w:val="8"/>
        </w:numPr>
        <w:rPr>
          <w:rFonts w:cs="Times New Roman"/>
        </w:rPr>
      </w:pPr>
      <w:bookmarkStart w:id="26" w:name="_Toc105502353"/>
      <w:bookmarkStart w:id="27" w:name="_Toc101877259"/>
      <w:r w:rsidRPr="00A97052">
        <w:rPr>
          <w:rFonts w:cs="Times New Roman"/>
        </w:rPr>
        <w:t>Disguised Expropriation in Quebec Civil Law</w:t>
      </w:r>
      <w:bookmarkEnd w:id="26"/>
    </w:p>
    <w:p w14:paraId="11B8B75E" w14:textId="77777777" w:rsidR="001A2B0D" w:rsidRPr="00A97052" w:rsidRDefault="001A2B0D" w:rsidP="001A2B0D">
      <w:pPr>
        <w:pStyle w:val="ParaNoNdepar-AltN"/>
        <w:tabs>
          <w:tab w:val="clear" w:pos="1152"/>
          <w:tab w:val="left" w:pos="1166"/>
        </w:tabs>
        <w:rPr>
          <w:rFonts w:cs="Times New Roman"/>
        </w:rPr>
      </w:pPr>
      <w:r w:rsidRPr="00A97052">
        <w:rPr>
          <w:rFonts w:cs="Times New Roman"/>
        </w:rPr>
        <w:t>The parties and several interveners invoked civil law authorities in this appeal. The conceptual similarities between the common law doctrine of constructive takings and the civil law doctrine of disguised expropriation have been highlighted by some authors (Lavoie, at pp. 241</w:t>
      </w:r>
      <w:r w:rsidRPr="00A97052">
        <w:rPr>
          <w:rFonts w:cs="Times New Roman"/>
        </w:rPr>
        <w:noBreakHyphen/>
        <w:t>45; M.</w:t>
      </w:r>
      <w:r w:rsidRPr="00A97052">
        <w:rPr>
          <w:rFonts w:cs="Times New Roman"/>
        </w:rPr>
        <w:noBreakHyphen/>
        <w:t>A. </w:t>
      </w:r>
      <w:proofErr w:type="spellStart"/>
      <w:r w:rsidRPr="00A97052">
        <w:rPr>
          <w:rFonts w:cs="Times New Roman"/>
        </w:rPr>
        <w:t>LeChasseur</w:t>
      </w:r>
      <w:proofErr w:type="spellEnd"/>
      <w:r w:rsidRPr="00A97052">
        <w:rPr>
          <w:rFonts w:cs="Times New Roman"/>
        </w:rPr>
        <w:t>, “</w:t>
      </w:r>
      <w:proofErr w:type="spellStart"/>
      <w:r w:rsidRPr="00A97052">
        <w:rPr>
          <w:rFonts w:cs="Times New Roman"/>
        </w:rPr>
        <w:t>L’expropriation</w:t>
      </w:r>
      <w:proofErr w:type="spellEnd"/>
      <w:r w:rsidRPr="00A97052">
        <w:rPr>
          <w:rFonts w:cs="Times New Roman"/>
        </w:rPr>
        <w:t xml:space="preserve"> </w:t>
      </w:r>
      <w:r w:rsidRPr="00A97052">
        <w:rPr>
          <w:rFonts w:cs="Times New Roman"/>
          <w:i/>
        </w:rPr>
        <w:t>de facto</w:t>
      </w:r>
      <w:r w:rsidRPr="00A97052">
        <w:rPr>
          <w:rFonts w:cs="Times New Roman"/>
        </w:rPr>
        <w:t xml:space="preserve"> au Canada et la </w:t>
      </w:r>
      <w:proofErr w:type="spellStart"/>
      <w:r w:rsidRPr="00A97052">
        <w:rPr>
          <w:rFonts w:cs="Times New Roman"/>
        </w:rPr>
        <w:t>transcendance</w:t>
      </w:r>
      <w:proofErr w:type="spellEnd"/>
      <w:r w:rsidRPr="00A97052">
        <w:rPr>
          <w:rFonts w:cs="Times New Roman"/>
        </w:rPr>
        <w:t xml:space="preserve"> des </w:t>
      </w:r>
      <w:proofErr w:type="spellStart"/>
      <w:r w:rsidRPr="00A97052">
        <w:rPr>
          <w:rFonts w:cs="Times New Roman"/>
        </w:rPr>
        <w:t>solidarités</w:t>
      </w:r>
      <w:proofErr w:type="spellEnd"/>
      <w:r w:rsidRPr="00A97052">
        <w:rPr>
          <w:rFonts w:cs="Times New Roman"/>
        </w:rPr>
        <w:t xml:space="preserve">”, in Service de la qualité de la profession du Barreau du Québec, vol. 509, </w:t>
      </w:r>
      <w:proofErr w:type="spellStart"/>
      <w:r w:rsidRPr="00A97052">
        <w:rPr>
          <w:rFonts w:cs="Times New Roman"/>
          <w:i/>
        </w:rPr>
        <w:t>Développements</w:t>
      </w:r>
      <w:proofErr w:type="spellEnd"/>
      <w:r w:rsidRPr="00A97052">
        <w:rPr>
          <w:rFonts w:cs="Times New Roman"/>
          <w:i/>
        </w:rPr>
        <w:t xml:space="preserve"> </w:t>
      </w:r>
      <w:proofErr w:type="spellStart"/>
      <w:r w:rsidRPr="00A97052">
        <w:rPr>
          <w:rFonts w:cs="Times New Roman"/>
          <w:i/>
        </w:rPr>
        <w:t>récents</w:t>
      </w:r>
      <w:proofErr w:type="spellEnd"/>
      <w:r w:rsidRPr="00A97052">
        <w:rPr>
          <w:rFonts w:cs="Times New Roman"/>
          <w:i/>
        </w:rPr>
        <w:t xml:space="preserve"> en droit municipal </w:t>
      </w:r>
      <w:r w:rsidRPr="00A97052">
        <w:rPr>
          <w:rFonts w:cs="Times New Roman"/>
        </w:rPr>
        <w:t>(2022), 71; Y. </w:t>
      </w:r>
      <w:proofErr w:type="spellStart"/>
      <w:r w:rsidRPr="00A97052">
        <w:rPr>
          <w:rFonts w:cs="Times New Roman"/>
        </w:rPr>
        <w:t>Emerich</w:t>
      </w:r>
      <w:proofErr w:type="spellEnd"/>
      <w:r w:rsidRPr="00A97052">
        <w:rPr>
          <w:rFonts w:cs="Times New Roman"/>
        </w:rPr>
        <w:t xml:space="preserve">, </w:t>
      </w:r>
      <w:r w:rsidRPr="00A97052">
        <w:rPr>
          <w:rFonts w:cs="Times New Roman"/>
          <w:i/>
          <w:iCs/>
        </w:rPr>
        <w:t xml:space="preserve">Droit </w:t>
      </w:r>
      <w:proofErr w:type="spellStart"/>
      <w:r w:rsidRPr="00A97052">
        <w:rPr>
          <w:rFonts w:cs="Times New Roman"/>
          <w:i/>
          <w:iCs/>
        </w:rPr>
        <w:t>commun</w:t>
      </w:r>
      <w:proofErr w:type="spellEnd"/>
      <w:r w:rsidRPr="00A97052">
        <w:rPr>
          <w:rFonts w:cs="Times New Roman"/>
          <w:i/>
          <w:iCs/>
        </w:rPr>
        <w:t xml:space="preserve"> des </w:t>
      </w:r>
      <w:proofErr w:type="spellStart"/>
      <w:r w:rsidRPr="00A97052">
        <w:rPr>
          <w:rFonts w:cs="Times New Roman"/>
          <w:i/>
          <w:iCs/>
        </w:rPr>
        <w:t>biens</w:t>
      </w:r>
      <w:proofErr w:type="spellEnd"/>
      <w:r w:rsidRPr="00A97052">
        <w:rPr>
          <w:rFonts w:cs="Times New Roman"/>
          <w:i/>
          <w:iCs/>
        </w:rPr>
        <w:t xml:space="preserve">: perspective </w:t>
      </w:r>
      <w:proofErr w:type="spellStart"/>
      <w:r w:rsidRPr="00A97052">
        <w:rPr>
          <w:rFonts w:cs="Times New Roman"/>
          <w:i/>
          <w:iCs/>
        </w:rPr>
        <w:t>transsystémique</w:t>
      </w:r>
      <w:proofErr w:type="spellEnd"/>
      <w:r w:rsidRPr="00A97052">
        <w:rPr>
          <w:rFonts w:cs="Times New Roman"/>
        </w:rPr>
        <w:t xml:space="preserve"> (2017), at pp. 225</w:t>
      </w:r>
      <w:r w:rsidRPr="00A97052">
        <w:rPr>
          <w:rFonts w:cs="Times New Roman"/>
        </w:rPr>
        <w:noBreakHyphen/>
        <w:t>27 and 235</w:t>
      </w:r>
      <w:r w:rsidRPr="00A97052">
        <w:rPr>
          <w:rFonts w:cs="Times New Roman"/>
        </w:rPr>
        <w:noBreakHyphen/>
        <w:t>37). We refer to civil law principles “for the purpose of explanation and illustration”, bearing in mind that Quebec precedents serve as persuasive, rather than binding, authority (</w:t>
      </w:r>
      <w:r w:rsidRPr="00A97052">
        <w:rPr>
          <w:rFonts w:cs="Times New Roman"/>
          <w:i/>
        </w:rPr>
        <w:t xml:space="preserve">Farber </w:t>
      </w:r>
      <w:r w:rsidRPr="00A97052">
        <w:rPr>
          <w:rFonts w:cs="Times New Roman"/>
          <w:i/>
          <w:iCs/>
        </w:rPr>
        <w:t>v</w:t>
      </w:r>
      <w:r w:rsidRPr="00A97052">
        <w:rPr>
          <w:rFonts w:cs="Times New Roman"/>
          <w:i/>
        </w:rPr>
        <w:t>. Royal Trust Co.</w:t>
      </w:r>
      <w:r w:rsidRPr="00A97052">
        <w:rPr>
          <w:rFonts w:cs="Times New Roman"/>
        </w:rPr>
        <w:t xml:space="preserve">, [1997] 1 S.C.R. 846, at para. 32; see also </w:t>
      </w:r>
      <w:r w:rsidRPr="00A97052">
        <w:rPr>
          <w:rFonts w:cs="Times New Roman"/>
          <w:i/>
        </w:rPr>
        <w:t xml:space="preserve">C.M. Callow Inc. </w:t>
      </w:r>
      <w:r w:rsidRPr="00A97052">
        <w:rPr>
          <w:rFonts w:cs="Times New Roman"/>
          <w:i/>
          <w:iCs/>
        </w:rPr>
        <w:t>v.</w:t>
      </w:r>
      <w:r w:rsidRPr="00A97052">
        <w:rPr>
          <w:rFonts w:cs="Times New Roman"/>
          <w:i/>
        </w:rPr>
        <w:t xml:space="preserve"> Zollinger</w:t>
      </w:r>
      <w:r w:rsidRPr="00A97052">
        <w:rPr>
          <w:rFonts w:cs="Times New Roman"/>
        </w:rPr>
        <w:t>, 2020 SCC 45, at para. 58). To be clear, our analysis does not disregard the distinct features of the respective doctrines from either legal tradition (</w:t>
      </w:r>
      <w:r w:rsidRPr="00A97052">
        <w:rPr>
          <w:rFonts w:cs="Times New Roman"/>
          <w:i/>
        </w:rPr>
        <w:t>Callow</w:t>
      </w:r>
      <w:r w:rsidRPr="00A97052">
        <w:rPr>
          <w:rFonts w:cs="Times New Roman"/>
        </w:rPr>
        <w:t>, at para. 158, per Brown J., concurring).</w:t>
      </w:r>
    </w:p>
    <w:p w14:paraId="765F5B53" w14:textId="77777777" w:rsidR="001A2B0D" w:rsidRPr="00A97052" w:rsidRDefault="001A2B0D" w:rsidP="001A2B0D">
      <w:pPr>
        <w:pStyle w:val="ParaNoNdepar-AltN"/>
        <w:rPr>
          <w:rFonts w:cs="Times New Roman"/>
          <w:lang w:val="fr-CA"/>
        </w:rPr>
      </w:pPr>
      <w:r w:rsidRPr="00A97052">
        <w:rPr>
          <w:rFonts w:cs="Times New Roman"/>
        </w:rPr>
        <w:t xml:space="preserve">The doctrine of disguised expropriation in Quebec civil law is founded upon art. 952 of the </w:t>
      </w:r>
      <w:r w:rsidRPr="00A97052">
        <w:rPr>
          <w:rFonts w:cs="Times New Roman"/>
          <w:i/>
        </w:rPr>
        <w:t>Civil Code of Québec</w:t>
      </w:r>
      <w:r w:rsidRPr="00A97052">
        <w:rPr>
          <w:rFonts w:cs="Times New Roman"/>
        </w:rPr>
        <w:t xml:space="preserve"> (“</w:t>
      </w:r>
      <w:r w:rsidRPr="00A97052">
        <w:rPr>
          <w:rFonts w:cs="Times New Roman"/>
          <w:i/>
        </w:rPr>
        <w:t>C.C.Q.</w:t>
      </w:r>
      <w:r w:rsidRPr="00A97052">
        <w:rPr>
          <w:rFonts w:cs="Times New Roman"/>
        </w:rPr>
        <w:t xml:space="preserve">”): “No owner may be compelled to transfer his ownership except by expropriation according to law for public utility and in return for a just and prior indemnity.” Article 952 establishes a presumption against uncompensated expropriation by the state, as does the common law through the rule in </w:t>
      </w:r>
      <w:r w:rsidRPr="00A97052">
        <w:rPr>
          <w:rFonts w:cs="Times New Roman"/>
          <w:i/>
        </w:rPr>
        <w:t>De Keyser’s Royal Hotel</w:t>
      </w:r>
      <w:r w:rsidRPr="00A97052">
        <w:rPr>
          <w:rFonts w:cs="Times New Roman"/>
        </w:rPr>
        <w:t>, as we have explained</w:t>
      </w:r>
      <w:r w:rsidRPr="00A97052">
        <w:rPr>
          <w:rFonts w:cs="Times New Roman"/>
          <w:i/>
        </w:rPr>
        <w:t xml:space="preserve"> </w:t>
      </w:r>
      <w:r w:rsidRPr="00A97052">
        <w:rPr>
          <w:rFonts w:cs="Times New Roman"/>
        </w:rPr>
        <w:t>(</w:t>
      </w:r>
      <w:r w:rsidRPr="00A97052">
        <w:rPr>
          <w:rFonts w:cs="Times New Roman"/>
          <w:bCs/>
        </w:rPr>
        <w:t>P.</w:t>
      </w:r>
      <w:r w:rsidRPr="00A97052">
        <w:rPr>
          <w:rFonts w:cs="Times New Roman"/>
          <w:bCs/>
        </w:rPr>
        <w:noBreakHyphen/>
        <w:t>A. Côté</w:t>
      </w:r>
      <w:r w:rsidRPr="00A97052">
        <w:rPr>
          <w:rFonts w:cs="Times New Roman"/>
        </w:rPr>
        <w:t>, in collaboration with S. </w:t>
      </w:r>
      <w:proofErr w:type="spellStart"/>
      <w:r w:rsidRPr="00A97052">
        <w:rPr>
          <w:rFonts w:cs="Times New Roman"/>
        </w:rPr>
        <w:t>Beaulac</w:t>
      </w:r>
      <w:proofErr w:type="spellEnd"/>
      <w:r w:rsidRPr="00A97052">
        <w:rPr>
          <w:rFonts w:cs="Times New Roman"/>
        </w:rPr>
        <w:t xml:space="preserve"> and M. </w:t>
      </w:r>
      <w:proofErr w:type="spellStart"/>
      <w:r w:rsidRPr="00A97052">
        <w:rPr>
          <w:rFonts w:cs="Times New Roman"/>
        </w:rPr>
        <w:t>Devinat</w:t>
      </w:r>
      <w:proofErr w:type="spellEnd"/>
      <w:r w:rsidRPr="00A97052">
        <w:rPr>
          <w:rFonts w:cs="Times New Roman"/>
        </w:rPr>
        <w:t xml:space="preserve">, </w:t>
      </w:r>
      <w:r w:rsidRPr="00A97052">
        <w:rPr>
          <w:rFonts w:cs="Times New Roman"/>
          <w:i/>
        </w:rPr>
        <w:t>The Interpretation of Legislation in Canada</w:t>
      </w:r>
      <w:r w:rsidRPr="00A97052">
        <w:rPr>
          <w:rFonts w:cs="Times New Roman"/>
        </w:rPr>
        <w:t xml:space="preserve"> (4th ed. </w:t>
      </w:r>
      <w:r w:rsidRPr="00A97052">
        <w:rPr>
          <w:rFonts w:cs="Times New Roman"/>
          <w:bCs/>
        </w:rPr>
        <w:t>2011</w:t>
      </w:r>
      <w:r w:rsidRPr="00A97052">
        <w:rPr>
          <w:rFonts w:cs="Times New Roman"/>
        </w:rPr>
        <w:t>), at pp. 511</w:t>
      </w:r>
      <w:r w:rsidRPr="00A97052">
        <w:rPr>
          <w:rFonts w:cs="Times New Roman"/>
        </w:rPr>
        <w:noBreakHyphen/>
        <w:t>13). In the context of municipal regulations, an owner subject to disguised expropriation may challenge the validity or operability of the bylaw under administrative law principles or, alternatively, claim an indemnity for disguised expropriation under art. 952 (</w:t>
      </w:r>
      <w:r w:rsidRPr="00A97052">
        <w:rPr>
          <w:rStyle w:val="sccappellantforindexchar0"/>
          <w:rFonts w:cs="Times New Roman"/>
          <w:i/>
        </w:rPr>
        <w:t>Lorraine</w:t>
      </w:r>
      <w:r w:rsidRPr="00A97052">
        <w:rPr>
          <w:rFonts w:cs="Times New Roman"/>
        </w:rPr>
        <w:t>, at para. </w:t>
      </w:r>
      <w:r w:rsidRPr="00A97052">
        <w:rPr>
          <w:rFonts w:cs="Times New Roman"/>
          <w:lang w:val="fr-CA"/>
        </w:rPr>
        <w:t xml:space="preserve">2; S. Pelletier and F. Côté, “Développements récents en matière d’expropriation déguisée: distinction entre les recours en nullité, en dommages pour responsabilité extracontractuelle d’un organisme public </w:t>
      </w:r>
      <w:proofErr w:type="gramStart"/>
      <w:r w:rsidRPr="00A97052">
        <w:rPr>
          <w:rFonts w:cs="Times New Roman"/>
          <w:lang w:val="fr-CA"/>
        </w:rPr>
        <w:t>et</w:t>
      </w:r>
      <w:proofErr w:type="gramEnd"/>
      <w:r w:rsidRPr="00A97052">
        <w:rPr>
          <w:rFonts w:cs="Times New Roman"/>
          <w:lang w:val="fr-CA"/>
        </w:rPr>
        <w:t xml:space="preserve"> en expropriation déguisée”, in Service de la qualité de la profession du Barreau du Québec, vol. 468, </w:t>
      </w:r>
      <w:r w:rsidRPr="00A97052">
        <w:rPr>
          <w:rFonts w:cs="Times New Roman"/>
          <w:i/>
          <w:iCs/>
          <w:lang w:val="fr-CA"/>
        </w:rPr>
        <w:t xml:space="preserve">Développements récents en droit de l’environnement </w:t>
      </w:r>
      <w:r w:rsidRPr="00A97052">
        <w:rPr>
          <w:rFonts w:cs="Times New Roman"/>
          <w:iCs/>
          <w:lang w:val="fr-CA"/>
        </w:rPr>
        <w:t>(2019), 303)</w:t>
      </w:r>
      <w:r w:rsidRPr="00A97052">
        <w:rPr>
          <w:rFonts w:cs="Times New Roman"/>
          <w:lang w:val="fr-CA"/>
        </w:rPr>
        <w:t>.</w:t>
      </w:r>
    </w:p>
    <w:p w14:paraId="433F789C" w14:textId="77777777" w:rsidR="001A2B0D" w:rsidRPr="00A97052" w:rsidRDefault="001A2B0D" w:rsidP="001A2B0D">
      <w:pPr>
        <w:pStyle w:val="ParaNoNdepar-AltN"/>
        <w:rPr>
          <w:rFonts w:cs="Times New Roman"/>
        </w:rPr>
      </w:pPr>
      <w:r w:rsidRPr="00A97052">
        <w:rPr>
          <w:rFonts w:cs="Times New Roman"/>
        </w:rPr>
        <w:t xml:space="preserve">Quebec courts have recognized that art. 952 </w:t>
      </w:r>
      <w:r w:rsidRPr="00A97052">
        <w:rPr>
          <w:rFonts w:cs="Times New Roman"/>
          <w:i/>
        </w:rPr>
        <w:t xml:space="preserve">C.C.Q. </w:t>
      </w:r>
      <w:r w:rsidRPr="00A97052">
        <w:rPr>
          <w:rFonts w:cs="Times New Roman"/>
        </w:rPr>
        <w:t>establishes a no-fault liability scheme for disguised expropriation, in contrast to administrative law</w:t>
      </w:r>
      <w:r w:rsidRPr="00A97052">
        <w:rPr>
          <w:rFonts w:cs="Times New Roman"/>
          <w:i/>
        </w:rPr>
        <w:t xml:space="preserve"> </w:t>
      </w:r>
      <w:r w:rsidRPr="00A97052">
        <w:rPr>
          <w:rFonts w:cs="Times New Roman"/>
        </w:rPr>
        <w:t xml:space="preserve">challenges to the validity of a bylaw based on the municipality’s improper motive (see </w:t>
      </w:r>
      <w:r w:rsidRPr="00A97052">
        <w:rPr>
          <w:rFonts w:cs="Times New Roman"/>
          <w:i/>
        </w:rPr>
        <w:t xml:space="preserve">Ville de </w:t>
      </w:r>
      <w:proofErr w:type="spellStart"/>
      <w:r w:rsidRPr="00A97052">
        <w:rPr>
          <w:rFonts w:cs="Times New Roman"/>
          <w:i/>
        </w:rPr>
        <w:t>Léry</w:t>
      </w:r>
      <w:proofErr w:type="spellEnd"/>
      <w:r w:rsidRPr="00A97052">
        <w:rPr>
          <w:rFonts w:cs="Times New Roman"/>
          <w:i/>
        </w:rPr>
        <w:t xml:space="preserve"> v. Procureure générale du Québec</w:t>
      </w:r>
      <w:r w:rsidRPr="00A97052">
        <w:rPr>
          <w:rFonts w:cs="Times New Roman"/>
        </w:rPr>
        <w:t>, 2019 QCCA 1375, at para. </w:t>
      </w:r>
      <w:r w:rsidRPr="00A97052">
        <w:rPr>
          <w:rFonts w:cs="Times New Roman"/>
          <w:lang w:val="fr-CA"/>
        </w:rPr>
        <w:t xml:space="preserve">17; </w:t>
      </w:r>
      <w:r w:rsidRPr="00A97052">
        <w:rPr>
          <w:rFonts w:cs="Times New Roman"/>
          <w:i/>
          <w:lang w:val="fr-CA"/>
        </w:rPr>
        <w:t>Montréal (Ville) v. Benjamin</w:t>
      </w:r>
      <w:r w:rsidRPr="00A97052">
        <w:rPr>
          <w:rFonts w:cs="Times New Roman"/>
          <w:lang w:val="fr-CA"/>
        </w:rPr>
        <w:t xml:space="preserve">, 2004 CanLII 44591 (Que. C.A.), at para. 57; </w:t>
      </w:r>
      <w:r w:rsidRPr="00A97052">
        <w:rPr>
          <w:rFonts w:cs="Times New Roman"/>
          <w:i/>
          <w:lang w:val="fr-CA"/>
        </w:rPr>
        <w:t>Ville de La Prairie v. 9255-2504 Québec inc.</w:t>
      </w:r>
      <w:r w:rsidRPr="00A97052">
        <w:rPr>
          <w:rFonts w:cs="Times New Roman"/>
          <w:lang w:val="fr-CA"/>
        </w:rPr>
        <w:t>, 2020 QCCS 307, 2020 CarswellQue 2737 (WL), at para. </w:t>
      </w:r>
      <w:r w:rsidRPr="00A97052">
        <w:rPr>
          <w:rFonts w:cs="Times New Roman"/>
          <w:lang w:val="en-US"/>
        </w:rPr>
        <w:t xml:space="preserve">29; </w:t>
      </w:r>
      <w:proofErr w:type="spellStart"/>
      <w:r w:rsidRPr="00A97052">
        <w:rPr>
          <w:rFonts w:cs="Times New Roman"/>
          <w:i/>
          <w:iCs/>
          <w:lang w:val="en-US"/>
        </w:rPr>
        <w:t>Spénard</w:t>
      </w:r>
      <w:proofErr w:type="spellEnd"/>
      <w:r w:rsidRPr="00A97052">
        <w:rPr>
          <w:rFonts w:cs="Times New Roman"/>
          <w:i/>
          <w:iCs/>
          <w:lang w:val="en-US"/>
        </w:rPr>
        <w:t xml:space="preserve"> </w:t>
      </w:r>
      <w:r w:rsidRPr="00A97052">
        <w:rPr>
          <w:rFonts w:cs="Times New Roman"/>
          <w:i/>
          <w:lang w:val="en-US"/>
        </w:rPr>
        <w:t>v.</w:t>
      </w:r>
      <w:r w:rsidRPr="00A97052">
        <w:rPr>
          <w:rFonts w:cs="Times New Roman"/>
          <w:lang w:val="en-US"/>
        </w:rPr>
        <w:t xml:space="preserve"> </w:t>
      </w:r>
      <w:proofErr w:type="spellStart"/>
      <w:r w:rsidRPr="00A97052">
        <w:rPr>
          <w:rFonts w:cs="Times New Roman"/>
          <w:i/>
          <w:iCs/>
          <w:lang w:val="en-US"/>
        </w:rPr>
        <w:t>Salaberry</w:t>
      </w:r>
      <w:proofErr w:type="spellEnd"/>
      <w:r w:rsidRPr="00A97052">
        <w:rPr>
          <w:rFonts w:cs="Times New Roman"/>
          <w:i/>
          <w:iCs/>
          <w:lang w:val="en-US"/>
        </w:rPr>
        <w:t>-de-Valleyfield (Cité de)</w:t>
      </w:r>
      <w:r w:rsidRPr="00A97052">
        <w:rPr>
          <w:rFonts w:cs="Times New Roman"/>
          <w:iCs/>
          <w:lang w:val="en-US"/>
        </w:rPr>
        <w:t xml:space="preserve">, </w:t>
      </w:r>
      <w:r w:rsidRPr="00A97052">
        <w:rPr>
          <w:rFonts w:cs="Times New Roman"/>
          <w:lang w:val="en-US"/>
        </w:rPr>
        <w:t xml:space="preserve">[1983] C.S. 725). </w:t>
      </w:r>
      <w:r w:rsidRPr="00A97052">
        <w:rPr>
          <w:rFonts w:cs="Times New Roman"/>
        </w:rPr>
        <w:t xml:space="preserve">It is now well established in the jurisprudence on disguised expropriation that the criterion applicable to such claims is whether the state action </w:t>
      </w:r>
      <w:r w:rsidRPr="00A97052">
        <w:t>[</w:t>
      </w:r>
      <w:r w:rsidRPr="00A97052">
        <w:rPr>
          <w:smallCaps/>
        </w:rPr>
        <w:t>translation</w:t>
      </w:r>
      <w:r w:rsidRPr="00A97052">
        <w:t>] “</w:t>
      </w:r>
      <w:proofErr w:type="spellStart"/>
      <w:proofErr w:type="gramStart"/>
      <w:r w:rsidRPr="00A97052">
        <w:t>remov</w:t>
      </w:r>
      <w:proofErr w:type="spellEnd"/>
      <w:r w:rsidRPr="00A97052">
        <w:t>[</w:t>
      </w:r>
      <w:proofErr w:type="gramEnd"/>
      <w:r w:rsidRPr="00A97052">
        <w:t>es] all reasonable uses of the immovable”</w:t>
      </w:r>
      <w:r w:rsidRPr="00A97052">
        <w:rPr>
          <w:rFonts w:cs="Times New Roman"/>
        </w:rPr>
        <w:t xml:space="preserve"> (</w:t>
      </w:r>
      <w:r w:rsidRPr="00A97052">
        <w:rPr>
          <w:rFonts w:cs="Times New Roman"/>
          <w:i/>
        </w:rPr>
        <w:t>Dupras v. Ville de Mascouche</w:t>
      </w:r>
      <w:r w:rsidRPr="00A97052">
        <w:rPr>
          <w:rFonts w:cs="Times New Roman"/>
        </w:rPr>
        <w:t>, 2022 QCCA 350, at para. </w:t>
      </w:r>
      <w:r w:rsidRPr="00A97052">
        <w:rPr>
          <w:rFonts w:cs="Times New Roman"/>
          <w:lang w:val="en-US"/>
        </w:rPr>
        <w:t xml:space="preserve">27 (CanLII); see also </w:t>
      </w:r>
      <w:proofErr w:type="spellStart"/>
      <w:r w:rsidRPr="00A97052">
        <w:rPr>
          <w:rFonts w:cs="Times New Roman"/>
          <w:i/>
          <w:lang w:val="en-US"/>
        </w:rPr>
        <w:t>Wallot</w:t>
      </w:r>
      <w:proofErr w:type="spellEnd"/>
      <w:r w:rsidRPr="00A97052">
        <w:rPr>
          <w:rFonts w:cs="Times New Roman"/>
          <w:i/>
          <w:lang w:val="en-US"/>
        </w:rPr>
        <w:t xml:space="preserve"> v. Québec (Ville)</w:t>
      </w:r>
      <w:r w:rsidRPr="00A97052">
        <w:rPr>
          <w:rFonts w:cs="Times New Roman"/>
          <w:lang w:val="en-US"/>
        </w:rPr>
        <w:t>, 2011 QCCA 1165, 24 Admin. L.R. (5th) 306, at para. </w:t>
      </w:r>
      <w:r w:rsidRPr="00A97052">
        <w:rPr>
          <w:rFonts w:cs="Times New Roman"/>
          <w:lang w:val="fr-CA"/>
        </w:rPr>
        <w:t xml:space="preserve">42; </w:t>
      </w:r>
      <w:r w:rsidRPr="00A97052">
        <w:rPr>
          <w:rFonts w:cs="Times New Roman"/>
          <w:i/>
          <w:lang w:val="fr-CA"/>
        </w:rPr>
        <w:t>Municipalité de Saint</w:t>
      </w:r>
      <w:r w:rsidRPr="00A97052">
        <w:rPr>
          <w:rFonts w:cs="Times New Roman"/>
          <w:i/>
          <w:lang w:val="fr-CA"/>
        </w:rPr>
        <w:noBreakHyphen/>
        <w:t>Colomban v.</w:t>
      </w:r>
      <w:r w:rsidRPr="00A97052">
        <w:rPr>
          <w:rFonts w:cs="Times New Roman"/>
          <w:lang w:val="fr-CA"/>
        </w:rPr>
        <w:t xml:space="preserve"> </w:t>
      </w:r>
      <w:r w:rsidRPr="00A97052">
        <w:rPr>
          <w:rFonts w:cs="Times New Roman"/>
          <w:i/>
          <w:lang w:val="fr-CA"/>
        </w:rPr>
        <w:t>Boutique de golf Gilles Gareau inc.</w:t>
      </w:r>
      <w:r w:rsidRPr="00A97052">
        <w:rPr>
          <w:rFonts w:cs="Times New Roman"/>
          <w:lang w:val="fr-CA"/>
        </w:rPr>
        <w:t xml:space="preserve">, 2019 QCCA 1402, at para. 64; </w:t>
      </w:r>
      <w:r w:rsidRPr="00A97052">
        <w:rPr>
          <w:rFonts w:cs="Times New Roman"/>
          <w:i/>
          <w:lang w:val="fr-CA"/>
        </w:rPr>
        <w:t>Meadowbrook Groupe Pacific inc. v. Ville de Montréal</w:t>
      </w:r>
      <w:r w:rsidRPr="00A97052">
        <w:rPr>
          <w:rFonts w:cs="Times New Roman"/>
          <w:lang w:val="fr-CA"/>
        </w:rPr>
        <w:t xml:space="preserve">, 2019 QCCA 2037, 2019 CarswellQue 12262 (WL), at para. 29; </w:t>
      </w:r>
      <w:r w:rsidRPr="00A97052">
        <w:rPr>
          <w:rFonts w:cs="Times New Roman"/>
          <w:i/>
          <w:lang w:val="fr-CA"/>
        </w:rPr>
        <w:t>Ville de Québec v. Rivard</w:t>
      </w:r>
      <w:r w:rsidRPr="00A97052">
        <w:rPr>
          <w:rFonts w:cs="Times New Roman"/>
          <w:lang w:val="fr-CA"/>
        </w:rPr>
        <w:t xml:space="preserve">, 2020 QCCA 146, at para. 64; </w:t>
      </w:r>
      <w:r w:rsidRPr="00A97052">
        <w:rPr>
          <w:rFonts w:cs="Times New Roman"/>
          <w:i/>
          <w:lang w:val="fr-CA"/>
        </w:rPr>
        <w:t>Ville de Saint-Rémi v. 9120</w:t>
      </w:r>
      <w:r w:rsidRPr="00A97052">
        <w:rPr>
          <w:rFonts w:cs="Times New Roman"/>
          <w:i/>
          <w:lang w:val="fr-CA"/>
        </w:rPr>
        <w:noBreakHyphen/>
        <w:t>4883 Québec inc.</w:t>
      </w:r>
      <w:r w:rsidRPr="00A97052">
        <w:rPr>
          <w:rFonts w:cs="Times New Roman"/>
          <w:lang w:val="fr-CA"/>
        </w:rPr>
        <w:t>, 2021 QCCA 630, at para. </w:t>
      </w:r>
      <w:r w:rsidRPr="00A97052">
        <w:rPr>
          <w:rFonts w:cs="Times New Roman"/>
          <w:lang w:val="en-US"/>
        </w:rPr>
        <w:t xml:space="preserve">25 (CanLII)). </w:t>
      </w:r>
      <w:r w:rsidRPr="00A97052">
        <w:rPr>
          <w:rFonts w:cs="Times New Roman"/>
        </w:rPr>
        <w:t xml:space="preserve">For this reason, disguised expropriation under art. 952 </w:t>
      </w:r>
      <w:r w:rsidRPr="00A97052">
        <w:rPr>
          <w:rFonts w:cs="Times New Roman"/>
          <w:i/>
        </w:rPr>
        <w:t>C.C.Q.</w:t>
      </w:r>
      <w:r w:rsidRPr="00A97052">
        <w:rPr>
          <w:rFonts w:cs="Times New Roman"/>
        </w:rPr>
        <w:t xml:space="preserve"> requires no element analogous to the “acquisition” branch of the </w:t>
      </w:r>
      <w:r w:rsidRPr="00A97052">
        <w:rPr>
          <w:rFonts w:cs="Times New Roman"/>
          <w:i/>
        </w:rPr>
        <w:t xml:space="preserve">CPR </w:t>
      </w:r>
      <w:r w:rsidRPr="00A97052">
        <w:rPr>
          <w:rFonts w:cs="Times New Roman"/>
        </w:rPr>
        <w:t>test. A bylaw that removes all reasonable uses of the property suffices, on its own, to effect a disguised expropriation in Quebec civil law.</w:t>
      </w:r>
    </w:p>
    <w:p w14:paraId="7502E371" w14:textId="77777777" w:rsidR="001A2B0D" w:rsidRPr="00A97052" w:rsidRDefault="001A2B0D" w:rsidP="001A2B0D">
      <w:pPr>
        <w:pStyle w:val="ParaNoNdepar-AltN"/>
        <w:rPr>
          <w:rFonts w:cs="Times New Roman"/>
        </w:rPr>
      </w:pPr>
      <w:r w:rsidRPr="00A97052">
        <w:rPr>
          <w:rFonts w:cs="Times New Roman"/>
        </w:rPr>
        <w:t xml:space="preserve">There are, however, exceptions that permit us to compare disguised expropriation to constructive takings at common law. The Quebec Court of Appeal’s decision in </w:t>
      </w:r>
      <w:r w:rsidRPr="00A97052">
        <w:rPr>
          <w:rFonts w:cs="Times New Roman"/>
          <w:i/>
        </w:rPr>
        <w:t>Benjamin</w:t>
      </w:r>
      <w:r w:rsidRPr="00A97052">
        <w:rPr>
          <w:rFonts w:cs="Times New Roman"/>
        </w:rPr>
        <w:t xml:space="preserve"> provides one such example. In that case, the owner’s claim based on the decades</w:t>
      </w:r>
      <w:r w:rsidRPr="00A97052">
        <w:rPr>
          <w:rFonts w:cs="Times New Roman"/>
        </w:rPr>
        <w:noBreakHyphen/>
        <w:t xml:space="preserve">old bylaw was prescribed. </w:t>
      </w:r>
      <w:r w:rsidRPr="00A97052">
        <w:rPr>
          <w:rFonts w:cs="Times New Roman"/>
          <w:lang w:val="en-US"/>
        </w:rPr>
        <w:t xml:space="preserve">But the Court of Appeal held that </w:t>
      </w:r>
      <w:r w:rsidRPr="00A97052">
        <w:rPr>
          <w:rFonts w:cs="Times New Roman"/>
        </w:rPr>
        <w:t>[</w:t>
      </w:r>
      <w:r w:rsidRPr="00A97052">
        <w:rPr>
          <w:rFonts w:cs="Times New Roman"/>
          <w:smallCaps/>
        </w:rPr>
        <w:t>translation</w:t>
      </w:r>
      <w:r w:rsidRPr="00A97052">
        <w:rPr>
          <w:rFonts w:cs="Times New Roman"/>
        </w:rPr>
        <w:t>] “in the very particular circumstances of this case”</w:t>
      </w:r>
      <w:r w:rsidRPr="00A97052">
        <w:rPr>
          <w:rFonts w:cs="Times New Roman"/>
          <w:lang w:val="en-US"/>
        </w:rPr>
        <w:t xml:space="preserve"> (para. </w:t>
      </w:r>
      <w:r w:rsidRPr="00A97052">
        <w:rPr>
          <w:rFonts w:cs="Times New Roman"/>
        </w:rPr>
        <w:t xml:space="preserve">62), the </w:t>
      </w:r>
      <w:r w:rsidRPr="00A97052">
        <w:rPr>
          <w:rFonts w:cs="Times New Roman"/>
          <w:i/>
        </w:rPr>
        <w:t>combination</w:t>
      </w:r>
      <w:r w:rsidRPr="00A97052">
        <w:rPr>
          <w:rFonts w:cs="Times New Roman"/>
        </w:rPr>
        <w:t xml:space="preserve"> of zoning restrictions and the City’s use of the land as an extension of its park justified awarding an indemnity for disguised expropriation (paras. 65 and 82).</w:t>
      </w:r>
    </w:p>
    <w:p w14:paraId="0ADC600A" w14:textId="77777777" w:rsidR="001A2B0D" w:rsidRPr="00A97052" w:rsidRDefault="001A2B0D" w:rsidP="001A2B0D">
      <w:pPr>
        <w:pStyle w:val="ParaNoNdepar-AltN"/>
        <w:rPr>
          <w:rFonts w:cs="Times New Roman"/>
        </w:rPr>
      </w:pPr>
      <w:r w:rsidRPr="00A97052">
        <w:rPr>
          <w:rFonts w:cs="Times New Roman"/>
        </w:rPr>
        <w:t xml:space="preserve">The criteria applied by the Quebec Court of Appeal in </w:t>
      </w:r>
      <w:r w:rsidRPr="00A97052">
        <w:rPr>
          <w:rFonts w:cs="Times New Roman"/>
          <w:i/>
        </w:rPr>
        <w:t>Benjamin</w:t>
      </w:r>
      <w:r w:rsidRPr="00A97052">
        <w:rPr>
          <w:rFonts w:cs="Times New Roman"/>
        </w:rPr>
        <w:t xml:space="preserve"> “</w:t>
      </w:r>
      <w:proofErr w:type="spellStart"/>
      <w:r w:rsidRPr="00A97052">
        <w:rPr>
          <w:rFonts w:cs="Times New Roman"/>
        </w:rPr>
        <w:t>pla</w:t>
      </w:r>
      <w:proofErr w:type="spellEnd"/>
      <w:r w:rsidRPr="00A97052">
        <w:rPr>
          <w:rFonts w:cs="Times New Roman"/>
        </w:rPr>
        <w:t>[y] a functionally similar role” (</w:t>
      </w:r>
      <w:r w:rsidRPr="00A97052">
        <w:rPr>
          <w:rFonts w:cs="Times New Roman"/>
          <w:i/>
        </w:rPr>
        <w:t xml:space="preserve">Bhasin </w:t>
      </w:r>
      <w:r w:rsidRPr="00A97052">
        <w:rPr>
          <w:rFonts w:cs="Times New Roman"/>
          <w:i/>
          <w:iCs/>
        </w:rPr>
        <w:t>v.</w:t>
      </w:r>
      <w:r w:rsidRPr="00A97052">
        <w:rPr>
          <w:rFonts w:cs="Times New Roman"/>
          <w:i/>
        </w:rPr>
        <w:t xml:space="preserve"> Hrynew</w:t>
      </w:r>
      <w:r w:rsidRPr="00A97052">
        <w:rPr>
          <w:rFonts w:cs="Times New Roman"/>
        </w:rPr>
        <w:t>, 2014 SCC 71, [2014] 3 S.C.R. 494, at para. 44) to the “deprivation”</w:t>
      </w:r>
      <w:r w:rsidRPr="00A97052">
        <w:rPr>
          <w:rFonts w:cs="Times New Roman"/>
          <w:lang w:val="en-US"/>
        </w:rPr>
        <w:t xml:space="preserve"> and “acquisition” requirements</w:t>
      </w:r>
      <w:r w:rsidRPr="00A97052">
        <w:rPr>
          <w:rFonts w:cs="Times New Roman"/>
        </w:rPr>
        <w:t xml:space="preserve"> of the </w:t>
      </w:r>
      <w:r w:rsidRPr="00A97052">
        <w:rPr>
          <w:rFonts w:cs="Times New Roman"/>
          <w:i/>
        </w:rPr>
        <w:t xml:space="preserve">CPR </w:t>
      </w:r>
      <w:r w:rsidRPr="00A97052">
        <w:rPr>
          <w:rFonts w:cs="Times New Roman"/>
        </w:rPr>
        <w:t xml:space="preserve">test. Accordingly, and as we discuss below, we regard </w:t>
      </w:r>
      <w:r w:rsidRPr="00A97052">
        <w:rPr>
          <w:rFonts w:cs="Times New Roman"/>
          <w:i/>
        </w:rPr>
        <w:t xml:space="preserve">Benjamin </w:t>
      </w:r>
      <w:r w:rsidRPr="00A97052">
        <w:rPr>
          <w:rFonts w:cs="Times New Roman"/>
        </w:rPr>
        <w:t xml:space="preserve">and analogous Quebec cases as having persuasive authority in assessing constructive taking claims. These rulings, we emphasize, are useful for illustrative purposes only in </w:t>
      </w:r>
      <w:r w:rsidRPr="00A97052">
        <w:rPr>
          <w:rFonts w:cs="Times New Roman"/>
          <w:i/>
        </w:rPr>
        <w:t>applying</w:t>
      </w:r>
      <w:r w:rsidRPr="00A97052">
        <w:rPr>
          <w:rFonts w:cs="Times New Roman"/>
        </w:rPr>
        <w:t xml:space="preserve"> the </w:t>
      </w:r>
      <w:r w:rsidRPr="00A97052">
        <w:rPr>
          <w:rFonts w:cs="Times New Roman"/>
          <w:i/>
        </w:rPr>
        <w:t xml:space="preserve">CPR </w:t>
      </w:r>
      <w:r w:rsidRPr="00A97052">
        <w:rPr>
          <w:rFonts w:cs="Times New Roman"/>
        </w:rPr>
        <w:t>test. In this case, we need not draw on Quebec authorities to fill a doctrinal gap in the common law or to modify or otherwise develop existing legal rules (</w:t>
      </w:r>
      <w:r w:rsidRPr="00A97052">
        <w:rPr>
          <w:rFonts w:cs="Times New Roman"/>
          <w:i/>
        </w:rPr>
        <w:t>Callow</w:t>
      </w:r>
      <w:r w:rsidRPr="00A97052">
        <w:rPr>
          <w:rFonts w:cs="Times New Roman"/>
        </w:rPr>
        <w:t>, at para. 123, per</w:t>
      </w:r>
      <w:r w:rsidRPr="00A97052">
        <w:rPr>
          <w:rFonts w:cs="Times New Roman"/>
          <w:i/>
        </w:rPr>
        <w:t xml:space="preserve"> </w:t>
      </w:r>
      <w:r w:rsidRPr="00A97052">
        <w:rPr>
          <w:rFonts w:cs="Times New Roman"/>
        </w:rPr>
        <w:t>Brown J., concurring, and para. 191, per Côté J., dissenting).</w:t>
      </w:r>
    </w:p>
    <w:p w14:paraId="435D0805" w14:textId="77777777" w:rsidR="001A2B0D" w:rsidRPr="00A97052" w:rsidRDefault="001A2B0D" w:rsidP="001A2B0D">
      <w:pPr>
        <w:pStyle w:val="Title2LevelTitre2Niveau"/>
        <w:numPr>
          <w:ilvl w:val="1"/>
          <w:numId w:val="8"/>
        </w:numPr>
        <w:rPr>
          <w:rFonts w:cs="Times New Roman"/>
        </w:rPr>
      </w:pPr>
      <w:bookmarkStart w:id="28" w:name="_Toc105502354"/>
      <w:r w:rsidRPr="00A97052">
        <w:rPr>
          <w:rFonts w:cs="Times New Roman"/>
        </w:rPr>
        <w:t>Intent</w:t>
      </w:r>
      <w:bookmarkEnd w:id="27"/>
      <w:r w:rsidRPr="00A97052">
        <w:rPr>
          <w:rFonts w:cs="Times New Roman"/>
        </w:rPr>
        <w:t>ion</w:t>
      </w:r>
      <w:bookmarkEnd w:id="28"/>
    </w:p>
    <w:p w14:paraId="63097DFB" w14:textId="77777777" w:rsidR="001A2B0D" w:rsidRPr="00A97052" w:rsidRDefault="001A2B0D" w:rsidP="001A2B0D">
      <w:pPr>
        <w:pStyle w:val="ParaNoNdepar-AltN"/>
        <w:rPr>
          <w:rFonts w:cs="Times New Roman"/>
        </w:rPr>
      </w:pPr>
      <w:r w:rsidRPr="00A97052">
        <w:rPr>
          <w:rFonts w:cs="Times New Roman"/>
        </w:rPr>
        <w:t xml:space="preserve">The courts below disagreed on whether the intention of a public authority is relevant to the analysis of constructive taking claims. The motion judge, at para. 35, cited this Court’s definition of disguised expropriation articulated in </w:t>
      </w:r>
      <w:r w:rsidRPr="00A97052">
        <w:rPr>
          <w:rFonts w:cs="Times New Roman"/>
          <w:i/>
        </w:rPr>
        <w:t>Lorraine</w:t>
      </w:r>
      <w:r w:rsidRPr="00A97052">
        <w:rPr>
          <w:rFonts w:cs="Times New Roman"/>
        </w:rPr>
        <w:t>, at para. 2, which included “an ulterior motive”, and concluded that this was equally applicable to finding a constructive taking at common law (para. 36). The Court of Appeal, however, held that “[m]</w:t>
      </w:r>
      <w:proofErr w:type="spellStart"/>
      <w:r w:rsidRPr="00A97052">
        <w:rPr>
          <w:rFonts w:cs="Times New Roman"/>
        </w:rPr>
        <w:t>otive</w:t>
      </w:r>
      <w:proofErr w:type="spellEnd"/>
      <w:r w:rsidRPr="00A97052">
        <w:rPr>
          <w:rFonts w:cs="Times New Roman"/>
        </w:rPr>
        <w:t xml:space="preserve"> is not a material fact in the context of a [constructive] expropriation claim” (para. 82).</w:t>
      </w:r>
    </w:p>
    <w:p w14:paraId="7E330209" w14:textId="77777777" w:rsidR="001A2B0D" w:rsidRPr="00A97052" w:rsidRDefault="001A2B0D" w:rsidP="001A2B0D">
      <w:pPr>
        <w:pStyle w:val="ParaNoNdepar-AltN"/>
        <w:rPr>
          <w:rFonts w:cs="Times New Roman"/>
        </w:rPr>
      </w:pPr>
      <w:r w:rsidRPr="00A97052">
        <w:rPr>
          <w:rFonts w:cs="Times New Roman"/>
        </w:rPr>
        <w:t xml:space="preserve">Respectfully said, neither position is correct. The public authority’s intention is not an </w:t>
      </w:r>
      <w:r w:rsidRPr="00A97052">
        <w:rPr>
          <w:rFonts w:cs="Times New Roman"/>
          <w:i/>
        </w:rPr>
        <w:t xml:space="preserve">element </w:t>
      </w:r>
      <w:r w:rsidRPr="00A97052">
        <w:rPr>
          <w:rFonts w:cs="Times New Roman"/>
        </w:rPr>
        <w:t xml:space="preserve">of the test for constructive takings at common law. Again, the mischief addressed by the doctrine is one of advantage and effects, not that a public authority acted in bad faith or with an otherwise ulterior motive. Indeed, this Court held in </w:t>
      </w:r>
      <w:r w:rsidRPr="00A97052">
        <w:rPr>
          <w:rFonts w:cs="Times New Roman"/>
          <w:i/>
        </w:rPr>
        <w:t xml:space="preserve">CPR </w:t>
      </w:r>
      <w:r w:rsidRPr="00A97052">
        <w:rPr>
          <w:rFonts w:cs="Times New Roman"/>
        </w:rPr>
        <w:t xml:space="preserve">that, even if the City’s purpose were to “enable the inhabitants to use the corridor for walking and cycling,” its bylaw, </w:t>
      </w:r>
      <w:r w:rsidRPr="00A97052">
        <w:rPr>
          <w:rFonts w:cs="Times New Roman"/>
          <w:i/>
        </w:rPr>
        <w:t>in effect</w:t>
      </w:r>
      <w:r w:rsidRPr="00A97052">
        <w:rPr>
          <w:rFonts w:cs="Times New Roman"/>
        </w:rPr>
        <w:t>, neither encouraged trespassing nor prevented the historical and current use of the land (para. 33) and therefore could not be said to have deprived the landowner of all reasonable uses.</w:t>
      </w:r>
    </w:p>
    <w:p w14:paraId="05E21D24" w14:textId="77777777" w:rsidR="001A2B0D" w:rsidRPr="00A97052" w:rsidRDefault="001A2B0D" w:rsidP="001A2B0D">
      <w:pPr>
        <w:pStyle w:val="ParaNoNdepar-AltN"/>
        <w:rPr>
          <w:rFonts w:cs="Times New Roman"/>
        </w:rPr>
      </w:pPr>
      <w:r w:rsidRPr="00A97052">
        <w:rPr>
          <w:rFonts w:cs="Times New Roman"/>
        </w:rPr>
        <w:t xml:space="preserve">This does not mean, however, that intention is </w:t>
      </w:r>
      <w:r w:rsidRPr="00A97052">
        <w:rPr>
          <w:rFonts w:cs="Times New Roman"/>
          <w:i/>
        </w:rPr>
        <w:t>irrelevant</w:t>
      </w:r>
      <w:r w:rsidRPr="00A97052">
        <w:rPr>
          <w:rFonts w:cs="Times New Roman"/>
        </w:rPr>
        <w:t xml:space="preserve"> to the inquiry. Indeed, the case law we discuss below suggests that the objectives pursued by the state may be </w:t>
      </w:r>
      <w:r w:rsidRPr="00A97052">
        <w:rPr>
          <w:rFonts w:cs="Times New Roman"/>
          <w:i/>
        </w:rPr>
        <w:t>some evidence of</w:t>
      </w:r>
      <w:r w:rsidRPr="00A97052">
        <w:rPr>
          <w:rFonts w:cs="Times New Roman"/>
        </w:rPr>
        <w:t xml:space="preserve"> constructive</w:t>
      </w:r>
      <w:r w:rsidRPr="00A97052">
        <w:rPr>
          <w:rFonts w:cs="Times New Roman"/>
          <w:i/>
        </w:rPr>
        <w:t xml:space="preserve"> </w:t>
      </w:r>
      <w:r w:rsidRPr="00A97052">
        <w:rPr>
          <w:rFonts w:cs="Times New Roman"/>
        </w:rPr>
        <w:t>taking. Stated differently, the intention to take constructively, if proven by the claimant, may support a finding that the landowner has lost all reasonable uses of their land (inasmuch as a finding of this effect can be supported by evidence that such an effect was intended). But the absence of evidence of the state’s intention does not preclude a property holder’s claim. It follows that intent may constitute a “material fact” in the context of a constructive</w:t>
      </w:r>
      <w:r w:rsidRPr="00A97052">
        <w:rPr>
          <w:rFonts w:cs="Times New Roman"/>
          <w:i/>
        </w:rPr>
        <w:t xml:space="preserve"> </w:t>
      </w:r>
      <w:r w:rsidRPr="00A97052">
        <w:rPr>
          <w:rFonts w:cs="Times New Roman"/>
        </w:rPr>
        <w:t xml:space="preserve">taking claim. We stress, however, that the focus of the inquiry must remain on </w:t>
      </w:r>
      <w:r w:rsidRPr="00A97052">
        <w:rPr>
          <w:rFonts w:cs="Times New Roman"/>
          <w:i/>
        </w:rPr>
        <w:t>the effects</w:t>
      </w:r>
      <w:r w:rsidRPr="00A97052">
        <w:rPr>
          <w:rFonts w:cs="Times New Roman"/>
        </w:rPr>
        <w:t xml:space="preserve"> of state action.</w:t>
      </w:r>
    </w:p>
    <w:p w14:paraId="4E84A9F2" w14:textId="77777777" w:rsidR="001A2B0D" w:rsidRPr="00A97052" w:rsidRDefault="001A2B0D" w:rsidP="001A2B0D">
      <w:pPr>
        <w:pStyle w:val="ParaNoNdepar-AltN"/>
        <w:rPr>
          <w:rFonts w:cs="Times New Roman"/>
        </w:rPr>
      </w:pPr>
      <w:r w:rsidRPr="00A97052">
        <w:rPr>
          <w:rFonts w:cs="Times New Roman"/>
        </w:rPr>
        <w:t>A brief review of the jurisprudence illustrates the supporting role of intention in assessing constructive</w:t>
      </w:r>
      <w:r w:rsidRPr="00A97052">
        <w:rPr>
          <w:rFonts w:cs="Times New Roman"/>
          <w:i/>
        </w:rPr>
        <w:t xml:space="preserve"> </w:t>
      </w:r>
      <w:r w:rsidRPr="00A97052">
        <w:rPr>
          <w:rFonts w:cs="Times New Roman"/>
        </w:rPr>
        <w:t xml:space="preserve">taking claims. In </w:t>
      </w:r>
      <w:r w:rsidRPr="00A97052">
        <w:rPr>
          <w:rFonts w:cs="Times New Roman"/>
          <w:i/>
        </w:rPr>
        <w:t>Manitoba Fisheries</w:t>
      </w:r>
      <w:r w:rsidRPr="00A97052">
        <w:rPr>
          <w:rFonts w:cs="Times New Roman"/>
        </w:rPr>
        <w:t xml:space="preserve">, at p. 111, as we have already recalled, Ritchie J. endorsed a passage from </w:t>
      </w:r>
      <w:r w:rsidRPr="00A97052">
        <w:rPr>
          <w:rFonts w:cs="Times New Roman"/>
          <w:i/>
        </w:rPr>
        <w:t xml:space="preserve">Ulster Transport Authority </w:t>
      </w:r>
      <w:r w:rsidRPr="00A97052">
        <w:rPr>
          <w:rFonts w:cs="Times New Roman"/>
        </w:rPr>
        <w:t>highlighting the relevance of intention in constructive</w:t>
      </w:r>
      <w:r w:rsidRPr="00A97052">
        <w:rPr>
          <w:rFonts w:cs="Times New Roman"/>
          <w:i/>
        </w:rPr>
        <w:t xml:space="preserve"> </w:t>
      </w:r>
      <w:r w:rsidRPr="00A97052">
        <w:rPr>
          <w:rFonts w:cs="Times New Roman"/>
        </w:rPr>
        <w:t xml:space="preserve">taking cases. The key portion of this passage merits repeating: “. . . the relevant prohibition cannot but constitute a taking if my views as to its effect and </w:t>
      </w:r>
      <w:r w:rsidRPr="00A97052">
        <w:rPr>
          <w:rFonts w:cs="Times New Roman"/>
          <w:u w:val="single"/>
        </w:rPr>
        <w:t>underlying intention</w:t>
      </w:r>
      <w:r w:rsidRPr="00A97052">
        <w:rPr>
          <w:rFonts w:cs="Times New Roman"/>
        </w:rPr>
        <w:t xml:space="preserve"> are correct” (emphasis added). Thus the objective pursued by the state was considered (</w:t>
      </w:r>
      <w:r w:rsidRPr="00A97052">
        <w:rPr>
          <w:rFonts w:cs="Times New Roman"/>
          <w:i/>
        </w:rPr>
        <w:t>Ulster Transport Authority</w:t>
      </w:r>
      <w:r w:rsidRPr="00A97052">
        <w:rPr>
          <w:rFonts w:cs="Times New Roman"/>
        </w:rPr>
        <w:t xml:space="preserve">, at pp. 113 and 116; </w:t>
      </w:r>
      <w:r w:rsidRPr="00A97052">
        <w:rPr>
          <w:rFonts w:cs="Times New Roman"/>
          <w:i/>
        </w:rPr>
        <w:t>Manitoba Fisheries</w:t>
      </w:r>
      <w:r w:rsidRPr="00A97052">
        <w:rPr>
          <w:rFonts w:cs="Times New Roman"/>
        </w:rPr>
        <w:t>, at</w:t>
      </w:r>
      <w:r w:rsidRPr="00A97052">
        <w:rPr>
          <w:rFonts w:cs="Times New Roman"/>
          <w:i/>
        </w:rPr>
        <w:t xml:space="preserve"> </w:t>
      </w:r>
      <w:r w:rsidRPr="00A97052">
        <w:rPr>
          <w:rFonts w:cs="Times New Roman"/>
        </w:rPr>
        <w:t>pp. 111</w:t>
      </w:r>
      <w:r w:rsidRPr="00A97052">
        <w:rPr>
          <w:rFonts w:cs="Times New Roman"/>
        </w:rPr>
        <w:noBreakHyphen/>
        <w:t>13) in distinguishing between a mere regulatory prohibition and the constructive taking of a business through the establishment of a public monopoly.</w:t>
      </w:r>
    </w:p>
    <w:p w14:paraId="527887C6" w14:textId="77777777" w:rsidR="001A2B0D" w:rsidRPr="00A97052" w:rsidRDefault="001A2B0D" w:rsidP="001A2B0D">
      <w:pPr>
        <w:pStyle w:val="ParaNoNdepar-AltN"/>
        <w:rPr>
          <w:rFonts w:cs="Times New Roman"/>
        </w:rPr>
      </w:pPr>
      <w:r w:rsidRPr="00A97052">
        <w:rPr>
          <w:rFonts w:cs="Times New Roman"/>
        </w:rPr>
        <w:t xml:space="preserve">Likewise, in </w:t>
      </w:r>
      <w:r w:rsidRPr="00A97052">
        <w:rPr>
          <w:rFonts w:cs="Times New Roman"/>
          <w:i/>
        </w:rPr>
        <w:t>Lynch </w:t>
      </w:r>
      <w:r w:rsidRPr="00A97052">
        <w:rPr>
          <w:rFonts w:cs="Times New Roman"/>
        </w:rPr>
        <w:t>— which Halifax acknowledges was correctly decided — the Court of Appeal of Newfoundland and Labrador treated the City’s intention in refusing to allow any development on the subject watershed land as germane to whether a constructive</w:t>
      </w:r>
      <w:r w:rsidRPr="00A97052">
        <w:rPr>
          <w:rFonts w:cs="Times New Roman"/>
          <w:i/>
        </w:rPr>
        <w:t xml:space="preserve"> </w:t>
      </w:r>
      <w:r w:rsidRPr="00A97052">
        <w:rPr>
          <w:rFonts w:cs="Times New Roman"/>
        </w:rPr>
        <w:t>taking had occurred. In concluding it had, the court referred to the City’s express intention “to take away the Lynches’ right to appropriate the groundwater on their land” so as to secure the City’s “right to a continuous flow of uncontaminated groundwater downstream to [its] water facilities” (para. 60). Moreover, the City took the view that securing this objective required the prohibition of “all activity on the Lynch property” (para. 62). The City’s intention, as implemented by its officials, thus indicated that the land in issue had been constructively taken.</w:t>
      </w:r>
    </w:p>
    <w:p w14:paraId="74FD8F1E" w14:textId="77777777" w:rsidR="001A2B0D" w:rsidRPr="00A97052" w:rsidRDefault="001A2B0D" w:rsidP="001A2B0D">
      <w:pPr>
        <w:pStyle w:val="ParaNoNdepar-AltN"/>
        <w:rPr>
          <w:rFonts w:cs="Times New Roman"/>
        </w:rPr>
      </w:pPr>
      <w:r w:rsidRPr="00A97052">
        <w:rPr>
          <w:rFonts w:cs="Times New Roman"/>
        </w:rPr>
        <w:t xml:space="preserve">The Quebec Court of Appeal’s decision in </w:t>
      </w:r>
      <w:r w:rsidRPr="00A97052">
        <w:rPr>
          <w:rFonts w:cs="Times New Roman"/>
          <w:i/>
        </w:rPr>
        <w:t>Benjamin</w:t>
      </w:r>
      <w:r w:rsidRPr="00A97052">
        <w:rPr>
          <w:rFonts w:cs="Times New Roman"/>
        </w:rPr>
        <w:t xml:space="preserve"> further illustrates how intent may support a finding of a constructive taking. There, a zoning bylaw designated the claimant’s property as a “park”, and the City </w:t>
      </w:r>
      <w:r w:rsidRPr="00A97052">
        <w:t>[</w:t>
      </w:r>
      <w:r w:rsidRPr="00A97052">
        <w:rPr>
          <w:smallCaps/>
        </w:rPr>
        <w:t>translation</w:t>
      </w:r>
      <w:r w:rsidRPr="00A97052">
        <w:t xml:space="preserve">] </w:t>
      </w:r>
      <w:r w:rsidRPr="00A97052">
        <w:rPr>
          <w:rFonts w:cs="Times New Roman"/>
        </w:rPr>
        <w:t xml:space="preserve">“knowingly” used the land in issue as an extension of its own park for 14 years (para. 50). The City — inadvertently at first — installed a fence and lampposts and created a trail on the claimant’s land, which was effectively incorporated into an adjacent public park. The City then manifested its intention to achieve that very effect by refusing to remove the fence after receiving a demand letter from the claimant. On appeal, the City offered to remove the fence and lampposts, but only if the claimant accepted to adequately maintain his own land for </w:t>
      </w:r>
      <w:r w:rsidRPr="00A97052">
        <w:rPr>
          <w:rFonts w:cs="Times New Roman"/>
          <w:i/>
        </w:rPr>
        <w:t>public</w:t>
      </w:r>
      <w:r w:rsidRPr="00A97052">
        <w:rPr>
          <w:rFonts w:cs="Times New Roman"/>
        </w:rPr>
        <w:t xml:space="preserve"> safety. The Court of Appeal characterized the City’s behaviour as an </w:t>
      </w:r>
      <w:r w:rsidRPr="00A97052">
        <w:t>[</w:t>
      </w:r>
      <w:r w:rsidRPr="00A97052">
        <w:rPr>
          <w:smallCaps/>
        </w:rPr>
        <w:t>translation</w:t>
      </w:r>
      <w:r w:rsidRPr="00A97052">
        <w:t xml:space="preserve">] </w:t>
      </w:r>
      <w:r w:rsidRPr="00A97052">
        <w:rPr>
          <w:rFonts w:cs="Times New Roman"/>
        </w:rPr>
        <w:t>“abuse of right” and underscored its lack of “goodwill” to either formally expropriate the claimant’s land or permit reasonable uses thereof (paras. 49, 54 and 59). The plans transparently set out by the City thus indicated that the claimant would continue to be deprived of all reasonable uses of his land indefinitely. In these circumstances, the City’s intent buttressed the finding of disguised expropriation arising from the bylaw and the persistent use of the claimant’s land.</w:t>
      </w:r>
    </w:p>
    <w:p w14:paraId="3E686A15" w14:textId="77777777" w:rsidR="001A2B0D" w:rsidRPr="00A97052" w:rsidRDefault="001A2B0D" w:rsidP="001A2B0D">
      <w:pPr>
        <w:pStyle w:val="ParaNoNdepar-AltN"/>
        <w:rPr>
          <w:rFonts w:cs="Times New Roman"/>
        </w:rPr>
      </w:pPr>
      <w:r w:rsidRPr="00A97052">
        <w:rPr>
          <w:rFonts w:cs="Times New Roman"/>
        </w:rPr>
        <w:t xml:space="preserve">In short, the underlying objective pursued by a public authority may provide supporting evidence for a constructive taking claim. But it is neither necessary nor sufficient. The case law indicates that the assessment of intent has proved helpful in distinguishing between mere regulations in the public interest and takings requiring compensation at common law. What ultimately matters, however, </w:t>
      </w:r>
      <w:r w:rsidRPr="00A97052">
        <w:rPr>
          <w:rFonts w:cs="Times New Roman"/>
          <w:i/>
        </w:rPr>
        <w:t>irrespective</w:t>
      </w:r>
      <w:r w:rsidRPr="00A97052">
        <w:rPr>
          <w:rFonts w:cs="Times New Roman"/>
        </w:rPr>
        <w:t xml:space="preserve"> of matters of intent, is whether the state-imposed restrictions on the property conferred an advantage on the state that </w:t>
      </w:r>
      <w:r w:rsidRPr="00A97052">
        <w:rPr>
          <w:rFonts w:cs="Times New Roman"/>
          <w:i/>
        </w:rPr>
        <w:t>effectively</w:t>
      </w:r>
      <w:r w:rsidRPr="00A97052">
        <w:rPr>
          <w:rFonts w:cs="Times New Roman"/>
        </w:rPr>
        <w:t xml:space="preserve"> amounts to a taking (</w:t>
      </w:r>
      <w:r w:rsidRPr="00A97052">
        <w:rPr>
          <w:rFonts w:cs="Times New Roman"/>
          <w:i/>
        </w:rPr>
        <w:t>Tener</w:t>
      </w:r>
      <w:r w:rsidRPr="00A97052">
        <w:rPr>
          <w:rFonts w:cs="Times New Roman"/>
        </w:rPr>
        <w:t>, at pp. 563</w:t>
      </w:r>
      <w:r w:rsidRPr="00A97052">
        <w:rPr>
          <w:rFonts w:cs="Times New Roman"/>
        </w:rPr>
        <w:noBreakHyphen/>
        <w:t>65, per</w:t>
      </w:r>
      <w:r w:rsidRPr="00A97052">
        <w:rPr>
          <w:rFonts w:cs="Times New Roman"/>
          <w:i/>
        </w:rPr>
        <w:t xml:space="preserve"> </w:t>
      </w:r>
      <w:r w:rsidRPr="00A97052">
        <w:rPr>
          <w:rFonts w:cs="Times New Roman"/>
        </w:rPr>
        <w:t>Estey J., and pp. 551</w:t>
      </w:r>
      <w:r w:rsidRPr="00A97052">
        <w:rPr>
          <w:rFonts w:cs="Times New Roman"/>
        </w:rPr>
        <w:noBreakHyphen/>
        <w:t xml:space="preserve">52, per Wilson J.; </w:t>
      </w:r>
      <w:r w:rsidRPr="00A97052">
        <w:rPr>
          <w:rFonts w:cs="Times New Roman"/>
          <w:i/>
        </w:rPr>
        <w:t>Manitoba Fisheries</w:t>
      </w:r>
      <w:r w:rsidRPr="00A97052">
        <w:rPr>
          <w:rFonts w:cs="Times New Roman"/>
        </w:rPr>
        <w:t>, at p. 118).</w:t>
      </w:r>
    </w:p>
    <w:p w14:paraId="46BA8EF4" w14:textId="77777777" w:rsidR="001A2B0D" w:rsidRPr="00A97052" w:rsidRDefault="001A2B0D" w:rsidP="001A2B0D">
      <w:pPr>
        <w:pStyle w:val="Title2LevelTitre2Niveau"/>
        <w:numPr>
          <w:ilvl w:val="1"/>
          <w:numId w:val="8"/>
        </w:numPr>
        <w:rPr>
          <w:rFonts w:cs="Times New Roman"/>
        </w:rPr>
      </w:pPr>
      <w:bookmarkStart w:id="29" w:name="_Toc101877260"/>
      <w:bookmarkStart w:id="30" w:name="_Toc105502355"/>
      <w:r w:rsidRPr="00A97052">
        <w:rPr>
          <w:rFonts w:cs="Times New Roman"/>
        </w:rPr>
        <w:t>Application</w:t>
      </w:r>
      <w:bookmarkEnd w:id="29"/>
      <w:bookmarkEnd w:id="30"/>
    </w:p>
    <w:p w14:paraId="7E0B12FC" w14:textId="77777777" w:rsidR="001A2B0D" w:rsidRPr="00A97052" w:rsidRDefault="001A2B0D" w:rsidP="001A2B0D">
      <w:pPr>
        <w:pStyle w:val="ParaNoNdepar-AltN"/>
        <w:rPr>
          <w:rFonts w:cs="Times New Roman"/>
          <w:b/>
        </w:rPr>
      </w:pPr>
      <w:r w:rsidRPr="00A97052">
        <w:rPr>
          <w:rFonts w:cs="Times New Roman"/>
        </w:rPr>
        <w:t xml:space="preserve">The foregoing explains why, in our respectful view, the Court of Appeal erred by granting Halifax’s application for summary judgment dismissing Annapolis’ constructive taking claim. While the Court of Appeal saw “nothing on the </w:t>
      </w:r>
      <w:proofErr w:type="gramStart"/>
      <w:r w:rsidRPr="00A97052">
        <w:rPr>
          <w:rFonts w:cs="Times New Roman"/>
        </w:rPr>
        <w:t>facts .</w:t>
      </w:r>
      <w:proofErr w:type="gramEnd"/>
      <w:r w:rsidRPr="00A97052">
        <w:rPr>
          <w:rFonts w:cs="Times New Roman"/>
        </w:rPr>
        <w:t> . . that could be remotely considered to be a taking of the Annapolis Lands and a corresponding deprivation of all reasonable uses of the lands” (para. 85), as we have explained, it is well</w:t>
      </w:r>
      <w:r w:rsidRPr="00A97052">
        <w:rPr>
          <w:rFonts w:cs="Times New Roman"/>
        </w:rPr>
        <w:noBreakHyphen/>
        <w:t xml:space="preserve">established in our law that zoning which effectively preserves private land as a public resource may constitute a “beneficial interest” flowing to the state, as contemplated in </w:t>
      </w:r>
      <w:r w:rsidRPr="00A97052">
        <w:rPr>
          <w:rFonts w:cs="Times New Roman"/>
          <w:i/>
        </w:rPr>
        <w:t>CPR</w:t>
      </w:r>
      <w:r w:rsidRPr="00A97052">
        <w:rPr>
          <w:rFonts w:cs="Times New Roman"/>
        </w:rPr>
        <w:t xml:space="preserve">, where it has the effect of removing all reasonable uses of that land. Further, we have already explained why the motion judge did not err by considering Halifax’s alleged intent with respect to the Annapolis Lands in his application of the </w:t>
      </w:r>
      <w:r w:rsidRPr="00A97052">
        <w:rPr>
          <w:rFonts w:cs="Times New Roman"/>
          <w:i/>
        </w:rPr>
        <w:t>CPR</w:t>
      </w:r>
      <w:r w:rsidRPr="00A97052">
        <w:rPr>
          <w:rFonts w:cs="Times New Roman"/>
        </w:rPr>
        <w:t xml:space="preserve"> test.</w:t>
      </w:r>
    </w:p>
    <w:p w14:paraId="09E4406A" w14:textId="77777777" w:rsidR="001A2B0D" w:rsidRPr="00A97052" w:rsidRDefault="001A2B0D" w:rsidP="001A2B0D">
      <w:pPr>
        <w:pStyle w:val="ParaNoNdepar-AltN"/>
        <w:rPr>
          <w:rFonts w:cs="Times New Roman"/>
          <w:b/>
        </w:rPr>
      </w:pPr>
      <w:r w:rsidRPr="00A97052">
        <w:rPr>
          <w:rFonts w:cs="Times New Roman"/>
        </w:rPr>
        <w:t>More specifically, we agree with the motion judge’s identification of the material facts to be determined (at paras. 25</w:t>
      </w:r>
      <w:r w:rsidRPr="00A97052">
        <w:rPr>
          <w:rFonts w:cs="Times New Roman"/>
        </w:rPr>
        <w:noBreakHyphen/>
        <w:t>26 and 36), arising from:</w:t>
      </w:r>
    </w:p>
    <w:p w14:paraId="1487E785" w14:textId="77777777" w:rsidR="001A2B0D" w:rsidRPr="00A97052" w:rsidRDefault="001A2B0D" w:rsidP="001A2B0D">
      <w:pPr>
        <w:pStyle w:val="Citation-AltC"/>
        <w:numPr>
          <w:ilvl w:val="0"/>
          <w:numId w:val="14"/>
        </w:numPr>
        <w:ind w:left="1985" w:hanging="851"/>
      </w:pPr>
      <w:r w:rsidRPr="00A97052">
        <w:t>September, 2019 correspondence between counsel demonstrating [Halifax]’s denial of the allegations in the amended Statement of Claim at paras. 20, 21, 61, 71 and 79. (exhibits EE and FF)</w:t>
      </w:r>
    </w:p>
    <w:p w14:paraId="3CC997F5" w14:textId="77777777" w:rsidR="001A2B0D" w:rsidRPr="00A97052" w:rsidRDefault="001A2B0D" w:rsidP="001A2B0D">
      <w:pPr>
        <w:pStyle w:val="Citation-AltC"/>
        <w:numPr>
          <w:ilvl w:val="0"/>
          <w:numId w:val="14"/>
        </w:numPr>
        <w:ind w:left="1985" w:hanging="819"/>
      </w:pPr>
      <w:r w:rsidRPr="00A97052">
        <w:t>Signage erected on Annapolis’ property depicting [Halifax]’s logo on various trails. (exhibits AA, BB and 1)</w:t>
      </w:r>
    </w:p>
    <w:p w14:paraId="1CD76627" w14:textId="77777777" w:rsidR="001A2B0D" w:rsidRPr="00A97052" w:rsidRDefault="001A2B0D" w:rsidP="001A2B0D">
      <w:pPr>
        <w:pStyle w:val="Citation-AltC"/>
        <w:numPr>
          <w:ilvl w:val="0"/>
          <w:numId w:val="14"/>
        </w:numPr>
        <w:ind w:left="1985" w:hanging="851"/>
      </w:pPr>
      <w:r w:rsidRPr="00A97052">
        <w:t>December 18</w:t>
      </w:r>
      <w:r w:rsidRPr="00A97052">
        <w:noBreakHyphen/>
        <w:t>23, 2008 The Coast article quoting [Halifax] employee Peter Bigelow “. . . the city staffer overseeing the park’s creation”. (exhibit U, p. 743 especially)</w:t>
      </w:r>
    </w:p>
    <w:p w14:paraId="0E7698F9" w14:textId="77777777" w:rsidR="001A2B0D" w:rsidRPr="00A97052" w:rsidRDefault="001A2B0D" w:rsidP="001A2B0D">
      <w:pPr>
        <w:pStyle w:val="Citation-AltC"/>
        <w:numPr>
          <w:ilvl w:val="0"/>
          <w:numId w:val="14"/>
        </w:numPr>
        <w:ind w:left="1985" w:hanging="851"/>
      </w:pPr>
      <w:r w:rsidRPr="00A97052">
        <w:t>Ms. Denty’s discovery evidence to the effect that when the 2006 [Planning Strategy] was finalized, the decision was made that Annapolis’ property would be treated as development lands, not parklands. (exhibit A, pp. 54, 55)</w:t>
      </w:r>
    </w:p>
    <w:p w14:paraId="76D741C6" w14:textId="77777777" w:rsidR="001A2B0D" w:rsidRPr="00A97052" w:rsidRDefault="001A2B0D" w:rsidP="001A2B0D">
      <w:pPr>
        <w:pStyle w:val="Citation-AltC"/>
        <w:numPr>
          <w:ilvl w:val="0"/>
          <w:numId w:val="14"/>
        </w:numPr>
        <w:ind w:left="1985" w:hanging="851"/>
      </w:pPr>
      <w:r w:rsidRPr="00A97052">
        <w:t>[The Planning Strategy], clause 1.7.1 denoting what [Halifax] Council “shall consider”. “This ter[m] denotes the mandatory consideration of policy concepts but does not commit [Halifax] Council to the eventual adoption of policy in secondary planning strategies”. (exhibit D, p. 175)</w:t>
      </w:r>
    </w:p>
    <w:p w14:paraId="3B034769" w14:textId="77777777" w:rsidR="001A2B0D" w:rsidRPr="00A97052" w:rsidRDefault="001A2B0D" w:rsidP="001A2B0D">
      <w:pPr>
        <w:pStyle w:val="Citation-AltC"/>
        <w:numPr>
          <w:ilvl w:val="0"/>
          <w:numId w:val="14"/>
        </w:numPr>
        <w:ind w:left="1985" w:hanging="851"/>
      </w:pPr>
      <w:r w:rsidRPr="00A97052">
        <w:t>[The Planning Strategy], clause 3.1 and the discussion of “S</w:t>
      </w:r>
      <w:r w:rsidRPr="00A97052">
        <w:noBreakHyphen/>
        <w:t>2” and S</w:t>
      </w:r>
      <w:r w:rsidRPr="00A97052">
        <w:noBreakHyphen/>
        <w:t>3” the “Urban Settlement Designation Boundary”. (exhibit D, pp. 195, 196)</w:t>
      </w:r>
    </w:p>
    <w:p w14:paraId="07D75200" w14:textId="77777777" w:rsidR="001A2B0D" w:rsidRPr="00A97052" w:rsidRDefault="001A2B0D" w:rsidP="001A2B0D">
      <w:pPr>
        <w:pStyle w:val="Citation-AltC"/>
        <w:ind w:left="1526"/>
      </w:pPr>
    </w:p>
    <w:p w14:paraId="6A718F15" w14:textId="77777777" w:rsidR="001A2B0D" w:rsidRPr="00A97052" w:rsidRDefault="001A2B0D" w:rsidP="001A2B0D">
      <w:pPr>
        <w:pStyle w:val="Citation-AltC"/>
        <w:jc w:val="center"/>
      </w:pPr>
      <w:r w:rsidRPr="00A97052">
        <w:t>. . .</w:t>
      </w:r>
    </w:p>
    <w:p w14:paraId="218B049A" w14:textId="77777777" w:rsidR="001A2B0D" w:rsidRPr="00A97052" w:rsidRDefault="001A2B0D" w:rsidP="001A2B0D">
      <w:pPr>
        <w:pStyle w:val="Citation-AltC"/>
        <w:jc w:val="center"/>
      </w:pPr>
    </w:p>
    <w:p w14:paraId="6D3C57F7" w14:textId="77777777" w:rsidR="001A2B0D" w:rsidRPr="00A97052" w:rsidRDefault="001A2B0D" w:rsidP="001A2B0D">
      <w:pPr>
        <w:pStyle w:val="Citation-AltC"/>
        <w:numPr>
          <w:ilvl w:val="0"/>
          <w:numId w:val="14"/>
        </w:numPr>
        <w:ind w:left="1985" w:hanging="851"/>
      </w:pPr>
      <w:r w:rsidRPr="00A97052">
        <w:t>Ms. Denty’s discovery evidence as per the transcript and the clarifications in [Halifax] counsel’s October 16, 2019 correspondence (exhibit C at p. 905 and exhibit A at pp. 859</w:t>
      </w:r>
      <w:r w:rsidRPr="00A97052">
        <w:noBreakHyphen/>
        <w:t>860).</w:t>
      </w:r>
    </w:p>
    <w:p w14:paraId="3F079EA2" w14:textId="77777777" w:rsidR="001A2B0D" w:rsidRPr="00A97052" w:rsidRDefault="001A2B0D" w:rsidP="001A2B0D">
      <w:pPr>
        <w:pStyle w:val="Citation-AltC"/>
        <w:ind w:left="0"/>
      </w:pPr>
    </w:p>
    <w:p w14:paraId="225D8917" w14:textId="77777777" w:rsidR="001A2B0D" w:rsidRPr="00A97052" w:rsidRDefault="001A2B0D" w:rsidP="001A2B0D">
      <w:pPr>
        <w:pStyle w:val="Citation-AltC"/>
        <w:jc w:val="center"/>
      </w:pPr>
      <w:r w:rsidRPr="00A97052">
        <w:t>. . .</w:t>
      </w:r>
    </w:p>
    <w:p w14:paraId="796101D5" w14:textId="77777777" w:rsidR="001A2B0D" w:rsidRPr="00A97052" w:rsidRDefault="001A2B0D" w:rsidP="001A2B0D">
      <w:pPr>
        <w:pStyle w:val="Citation-AltC"/>
        <w:ind w:left="0"/>
      </w:pPr>
    </w:p>
    <w:p w14:paraId="1990375A" w14:textId="77777777" w:rsidR="001A2B0D" w:rsidRPr="00A97052" w:rsidRDefault="001A2B0D" w:rsidP="001A2B0D">
      <w:pPr>
        <w:pStyle w:val="Citation-AltC"/>
        <w:ind w:left="1985"/>
      </w:pPr>
      <w:r w:rsidRPr="00A97052">
        <w:t xml:space="preserve">. . . Mr. Hattie’s </w:t>
      </w:r>
      <w:proofErr w:type="gramStart"/>
      <w:r w:rsidRPr="00A97052">
        <w:t>affidavit[</w:t>
      </w:r>
      <w:proofErr w:type="gramEnd"/>
      <w:r w:rsidRPr="00A97052">
        <w:t>, elements of which] “point to the possibility of an ulterior motive” on the part of [Halifax].</w:t>
      </w:r>
    </w:p>
    <w:p w14:paraId="4CA82B9F" w14:textId="77777777" w:rsidR="001A2B0D" w:rsidRPr="00A97052" w:rsidRDefault="001A2B0D" w:rsidP="001A2B0D">
      <w:pPr>
        <w:pStyle w:val="ParaNoNdepar-AltN"/>
        <w:rPr>
          <w:rFonts w:cs="Times New Roman"/>
        </w:rPr>
      </w:pPr>
      <w:r w:rsidRPr="00A97052">
        <w:rPr>
          <w:rFonts w:cs="Times New Roman"/>
        </w:rPr>
        <w:t xml:space="preserve">The importance of making findings on these points flows from the motion judge’s correct legal conclusions that (1) a constructive taking need only have the </w:t>
      </w:r>
      <w:r w:rsidRPr="00A97052">
        <w:rPr>
          <w:rFonts w:cs="Times New Roman"/>
          <w:i/>
        </w:rPr>
        <w:t>effect</w:t>
      </w:r>
      <w:r w:rsidRPr="00A97052">
        <w:rPr>
          <w:rFonts w:cs="Times New Roman"/>
        </w:rPr>
        <w:t xml:space="preserve"> of defeating the landowner’s reasonable use of land; and (2) the state’s intent may be relevant in assessing whether all reasonable uses of land has been removed.</w:t>
      </w:r>
    </w:p>
    <w:p w14:paraId="6A9E47E1" w14:textId="77777777" w:rsidR="001A2B0D" w:rsidRPr="00A97052" w:rsidRDefault="001A2B0D" w:rsidP="001A2B0D">
      <w:pPr>
        <w:pStyle w:val="ParaNoNdepar-AltN"/>
        <w:rPr>
          <w:rFonts w:cs="Times New Roman"/>
        </w:rPr>
      </w:pPr>
      <w:r w:rsidRPr="00A97052">
        <w:rPr>
          <w:rFonts w:cs="Times New Roman"/>
        </w:rPr>
        <w:t>The Court of Appeal did not identify any legal error or “patent injustice” that would justify interfering with the motion judge’s decision to dismiss Halifax’s summary judgment motion on the basis of the foregoing triable issues (</w:t>
      </w:r>
      <w:r w:rsidRPr="00A97052">
        <w:rPr>
          <w:rFonts w:cs="Times New Roman"/>
          <w:i/>
        </w:rPr>
        <w:t>Coady v. Burton Canada Co.</w:t>
      </w:r>
      <w:r w:rsidRPr="00A97052">
        <w:rPr>
          <w:rFonts w:cs="Times New Roman"/>
        </w:rPr>
        <w:t>, 2013 NSCA 95, 365 D.L.R. (4th) 172, at para. 19). At most, it can be said that the Court of Appeal merely disagreed with the motion judge’s exercise of discretion. This does not provide a sufficient basis for appellate intervention.</w:t>
      </w:r>
    </w:p>
    <w:p w14:paraId="553869C4" w14:textId="77777777" w:rsidR="001A2B0D" w:rsidRPr="00A97052" w:rsidRDefault="001A2B0D" w:rsidP="001A2B0D">
      <w:pPr>
        <w:pStyle w:val="ParaNoNdepar-AltN"/>
        <w:rPr>
          <w:rFonts w:cs="Times New Roman"/>
        </w:rPr>
      </w:pPr>
      <w:r w:rsidRPr="00A97052">
        <w:rPr>
          <w:rFonts w:cs="Times New Roman"/>
        </w:rPr>
        <w:t xml:space="preserve">Further, the Court of Appeal erred in its r. 13.04 analysis. In </w:t>
      </w:r>
      <w:r w:rsidRPr="00A97052">
        <w:rPr>
          <w:rFonts w:cs="Times New Roman"/>
          <w:i/>
        </w:rPr>
        <w:t>Shannex Inc. v. Dora Construction Ltd.</w:t>
      </w:r>
      <w:r w:rsidRPr="00A97052">
        <w:rPr>
          <w:rFonts w:cs="Times New Roman"/>
        </w:rPr>
        <w:t>, 2016 NSCA 89, 58 C.L.R. (4th) 1, at para. 34, the Nova Scotia Court of Appeal set out a five</w:t>
      </w:r>
      <w:r w:rsidRPr="00A97052">
        <w:rPr>
          <w:rFonts w:cs="Times New Roman"/>
        </w:rPr>
        <w:noBreakHyphen/>
        <w:t xml:space="preserve">part sequential test on </w:t>
      </w:r>
      <w:proofErr w:type="gramStart"/>
      <w:r w:rsidRPr="00A97052">
        <w:rPr>
          <w:rFonts w:cs="Times New Roman"/>
        </w:rPr>
        <w:t>a</w:t>
      </w:r>
      <w:proofErr w:type="gramEnd"/>
      <w:r w:rsidRPr="00A97052">
        <w:rPr>
          <w:rFonts w:cs="Times New Roman"/>
        </w:rPr>
        <w:t xml:space="preserve"> r. 13.04 motion for summary judgment. The first part of the test asks whether the challenged pleading discloses a “genuine issue of material fact”, either pure or mixed with a question of law. If yes, it should not be determined by summary judgment.</w:t>
      </w:r>
    </w:p>
    <w:p w14:paraId="703E54AC" w14:textId="77777777" w:rsidR="001A2B0D" w:rsidRPr="00A97052" w:rsidRDefault="001A2B0D" w:rsidP="001A2B0D">
      <w:pPr>
        <w:pStyle w:val="ParaNoNdepar-AltN"/>
        <w:rPr>
          <w:rFonts w:cs="Times New Roman"/>
        </w:rPr>
      </w:pPr>
      <w:r w:rsidRPr="00A97052">
        <w:rPr>
          <w:rFonts w:cs="Times New Roman"/>
          <w:lang w:val="en-US"/>
        </w:rPr>
        <w:t xml:space="preserve">There was no need for the Court of Appeal to proceed beyond the first </w:t>
      </w:r>
      <w:r w:rsidRPr="00A97052">
        <w:rPr>
          <w:rFonts w:cs="Times New Roman"/>
          <w:i/>
          <w:lang w:val="en-US"/>
        </w:rPr>
        <w:t>Shannex</w:t>
      </w:r>
      <w:r w:rsidRPr="00A97052">
        <w:rPr>
          <w:rFonts w:cs="Times New Roman"/>
          <w:lang w:val="en-US"/>
        </w:rPr>
        <w:t xml:space="preserve"> step. The motion judge correctly decided that Annapolis’ pleadings contain disputed material facts, mixed with questions of law, and the evidence before the motion judge failed to negate the existence of genuine issues of material fact for trial. We therefore see no basis on which to disturb the motion judge’s conclusion that Annapolis’ pleadings in support of its constructive taking claim disclose “vast issues of material fact to be determined” at trial (para. 25). Indeed, two disputed factual issues are particularly material to the </w:t>
      </w:r>
      <w:r w:rsidRPr="00A97052">
        <w:rPr>
          <w:rFonts w:cs="Times New Roman"/>
          <w:i/>
          <w:lang w:val="en-US"/>
        </w:rPr>
        <w:t>CPR</w:t>
      </w:r>
      <w:r w:rsidRPr="00A97052">
        <w:rPr>
          <w:rFonts w:cs="Times New Roman"/>
          <w:lang w:val="en-US"/>
        </w:rPr>
        <w:t xml:space="preserve"> test.</w:t>
      </w:r>
    </w:p>
    <w:p w14:paraId="22434DD6" w14:textId="77777777" w:rsidR="001A2B0D" w:rsidRPr="00A97052" w:rsidRDefault="001A2B0D" w:rsidP="001A2B0D">
      <w:pPr>
        <w:pStyle w:val="Title3LevelTitre3Niveau"/>
        <w:numPr>
          <w:ilvl w:val="2"/>
          <w:numId w:val="8"/>
        </w:numPr>
        <w:jc w:val="both"/>
      </w:pPr>
      <w:r w:rsidRPr="00A97052">
        <w:t>Halifax’s Alleged Acquisition of a Beneficial Interest in the Annapolis Lands</w:t>
      </w:r>
    </w:p>
    <w:p w14:paraId="0B0DCE42" w14:textId="77777777" w:rsidR="001A2B0D" w:rsidRPr="00A97052" w:rsidRDefault="001A2B0D" w:rsidP="001A2B0D">
      <w:pPr>
        <w:pStyle w:val="ParaNoNdepar-AltN"/>
        <w:rPr>
          <w:rFonts w:cs="Times New Roman"/>
          <w:lang w:val="en-US"/>
        </w:rPr>
      </w:pPr>
      <w:r w:rsidRPr="00A97052">
        <w:rPr>
          <w:rFonts w:cs="Times New Roman"/>
          <w:lang w:val="en-US"/>
        </w:rPr>
        <w:t xml:space="preserve">First, </w:t>
      </w:r>
      <w:r w:rsidRPr="00A97052">
        <w:rPr>
          <w:rFonts w:cs="Times New Roman"/>
          <w:lang w:val="en-US" w:bidi="en-US"/>
        </w:rPr>
        <w:t xml:space="preserve">it is disputed whether Halifax is promoting the Annapolis Lands as a public park, for instance by encouraging public use and holding them out as a park, as Annapolis alleges. This disputed fact is material because, if proven, it would tend to support Annapolis’ claim that Halifax acquired a “beneficial interest” in the Lands, as we have explained it. Preserving a park in its natural state may constitute an advantage accruing to the state, thus satisfying the “acquisition” element of </w:t>
      </w:r>
      <w:r w:rsidRPr="00A97052">
        <w:rPr>
          <w:rFonts w:cs="Times New Roman"/>
          <w:i/>
          <w:lang w:val="en-US" w:bidi="en-US"/>
        </w:rPr>
        <w:t>CPR</w:t>
      </w:r>
      <w:r w:rsidRPr="00A97052">
        <w:rPr>
          <w:rFonts w:cs="Times New Roman"/>
          <w:lang w:val="en-US" w:bidi="en-US"/>
        </w:rPr>
        <w:t>.</w:t>
      </w:r>
    </w:p>
    <w:p w14:paraId="2BAE6057" w14:textId="77777777" w:rsidR="001A2B0D" w:rsidRPr="00A97052" w:rsidRDefault="001A2B0D" w:rsidP="001A2B0D">
      <w:pPr>
        <w:pStyle w:val="ParaNoNdepar-AltN"/>
        <w:rPr>
          <w:rFonts w:cs="Times New Roman"/>
          <w:lang w:bidi="en-US"/>
        </w:rPr>
      </w:pPr>
      <w:r w:rsidRPr="00A97052">
        <w:rPr>
          <w:rFonts w:cs="Times New Roman"/>
          <w:lang w:val="en-US" w:bidi="en-US"/>
        </w:rPr>
        <w:t xml:space="preserve">To be clear, we reject the Court of Appeal’s formalistic position that a public authority’s alleged encouragement and financial support of trespass can never amount to an acquisition of a beneficial interest. Several cases support the proposition that whether a public authority treats private lands as an extension of a public park is a key factor in assessing the acquisition requirement. For instance, </w:t>
      </w:r>
      <w:r w:rsidRPr="00A97052">
        <w:rPr>
          <w:rFonts w:cs="Times New Roman"/>
          <w:lang w:bidi="en-US"/>
        </w:rPr>
        <w:t xml:space="preserve">in </w:t>
      </w:r>
      <w:r w:rsidRPr="00A97052">
        <w:rPr>
          <w:rFonts w:cs="Times New Roman"/>
          <w:i/>
          <w:lang w:bidi="en-US"/>
        </w:rPr>
        <w:t>Benjamin</w:t>
      </w:r>
      <w:r w:rsidRPr="00A97052">
        <w:rPr>
          <w:rFonts w:cs="Times New Roman"/>
          <w:lang w:bidi="en-US"/>
        </w:rPr>
        <w:t>, the Quebec Court of Appeal found that the City of Montréal’s knowing use of private land as a public park — entailing the installation of lampposts, a fence, and signage indicating the location of the “park” that included the subject lands — in conjunction with restrictive zoning, effectively constituted a “disguised expropriation” (paras. 65 and 82).</w:t>
      </w:r>
    </w:p>
    <w:p w14:paraId="5BB2C371" w14:textId="77777777" w:rsidR="001A2B0D" w:rsidRPr="00A97052" w:rsidRDefault="001A2B0D" w:rsidP="001A2B0D">
      <w:pPr>
        <w:pStyle w:val="ParaNoNdepar-AltN"/>
        <w:rPr>
          <w:rFonts w:cs="Times New Roman"/>
          <w:i/>
          <w:lang w:bidi="en-US"/>
        </w:rPr>
      </w:pPr>
      <w:r w:rsidRPr="00A97052">
        <w:rPr>
          <w:rFonts w:cs="Times New Roman"/>
          <w:lang w:bidi="en-US"/>
        </w:rPr>
        <w:t xml:space="preserve">Similarly, in </w:t>
      </w:r>
      <w:r w:rsidRPr="00A97052">
        <w:rPr>
          <w:rFonts w:cs="Times New Roman"/>
          <w:i/>
          <w:lang w:bidi="en-US"/>
        </w:rPr>
        <w:t>Dupras v. Ville de Mascouche</w:t>
      </w:r>
      <w:r w:rsidRPr="00A97052">
        <w:rPr>
          <w:rFonts w:cs="Times New Roman"/>
          <w:lang w:bidi="en-US"/>
        </w:rPr>
        <w:t>, 2020 QCCS 2538, the Quebec Superior Court held that the City had effectively expropriated the claimant’s lands by subjecting them to “conservation” zoning and treating them as if they were part of a public park. Notably, the City had (1) marked off trails, (2) added signage with park maps covering the subject land, (3) encouraged the public to use the lands on the park, and (4) taken out insurance to cover public recreational activities on the land (see paras. 137</w:t>
      </w:r>
      <w:r w:rsidRPr="00A97052">
        <w:rPr>
          <w:rFonts w:cs="Times New Roman"/>
          <w:lang w:bidi="en-US"/>
        </w:rPr>
        <w:noBreakHyphen/>
        <w:t>40). The Quebec Court of Appeal affirmed the Superior Court’s reasoning and dismissed the respondent city’s cross-appeal on the finding of disguised expropriation (2022 QCCA 350, at paras. 27</w:t>
      </w:r>
      <w:r w:rsidRPr="00A97052">
        <w:rPr>
          <w:rFonts w:cs="Times New Roman"/>
          <w:lang w:bidi="en-US"/>
        </w:rPr>
        <w:noBreakHyphen/>
        <w:t>40).</w:t>
      </w:r>
    </w:p>
    <w:p w14:paraId="7400BE15" w14:textId="77777777" w:rsidR="001A2B0D" w:rsidRPr="00A97052" w:rsidRDefault="001A2B0D" w:rsidP="001A2B0D">
      <w:pPr>
        <w:pStyle w:val="ParaNoNdepar-AltN"/>
        <w:rPr>
          <w:rFonts w:cs="Times New Roman"/>
        </w:rPr>
      </w:pPr>
      <w:r w:rsidRPr="00A97052">
        <w:rPr>
          <w:rFonts w:cs="Times New Roman"/>
        </w:rPr>
        <w:t xml:space="preserve">A similar claim in </w:t>
      </w:r>
      <w:r w:rsidRPr="00A97052">
        <w:rPr>
          <w:rFonts w:cs="Times New Roman"/>
          <w:i/>
        </w:rPr>
        <w:t xml:space="preserve">Steer Holdings </w:t>
      </w:r>
      <w:r w:rsidRPr="00A97052">
        <w:rPr>
          <w:rFonts w:cs="Times New Roman"/>
        </w:rPr>
        <w:t xml:space="preserve">failed, but for reasons which distinguish it from the allegations here. In </w:t>
      </w:r>
      <w:r w:rsidRPr="00A97052">
        <w:rPr>
          <w:rFonts w:cs="Times New Roman"/>
          <w:i/>
        </w:rPr>
        <w:t>Steer Holdings</w:t>
      </w:r>
      <w:r w:rsidRPr="00A97052">
        <w:rPr>
          <w:rFonts w:cs="Times New Roman"/>
        </w:rPr>
        <w:t>, the Manitoba Court of Appeal held that no benefit was acquired where there was “no suggestion that people will be encouraged in any way to move from the nature park to the subject property” (p. 67). Moreover, the land was not adjacent to the provincial park. The Court of Appeal thus rejected the argument that the Province of Manitoba had effectively enlarged its park system.</w:t>
      </w:r>
    </w:p>
    <w:p w14:paraId="5B892B61" w14:textId="77777777" w:rsidR="001A2B0D" w:rsidRPr="00A97052" w:rsidRDefault="001A2B0D" w:rsidP="001A2B0D">
      <w:pPr>
        <w:pStyle w:val="ParaNoNdepar-AltN"/>
        <w:rPr>
          <w:rFonts w:cs="Times New Roman"/>
        </w:rPr>
      </w:pPr>
      <w:r w:rsidRPr="00A97052">
        <w:rPr>
          <w:rFonts w:cs="Times New Roman"/>
        </w:rPr>
        <w:t xml:space="preserve">As we have explained, and as the cases confirm, the doctrine of constructive takings looks to the </w:t>
      </w:r>
      <w:r w:rsidRPr="00A97052">
        <w:rPr>
          <w:rFonts w:cs="Times New Roman"/>
          <w:i/>
        </w:rPr>
        <w:t>effects</w:t>
      </w:r>
      <w:r w:rsidRPr="00A97052">
        <w:rPr>
          <w:rFonts w:cs="Times New Roman"/>
        </w:rPr>
        <w:t xml:space="preserve"> of state action; it does not require a formal acquisition of a proprietary interest by the state. The absence of such a proprietary interest does not preclude the argument that, </w:t>
      </w:r>
      <w:r w:rsidRPr="00A97052">
        <w:rPr>
          <w:rFonts w:cs="Times New Roman"/>
          <w:i/>
        </w:rPr>
        <w:t>in effect</w:t>
      </w:r>
      <w:r w:rsidRPr="00A97052">
        <w:rPr>
          <w:rFonts w:cs="Times New Roman"/>
        </w:rPr>
        <w:t>, Halifax has functionally treated the Annapolis Lands as if they were a park for the benefit of the public. If proven, this fact would support Annapolis’ claim that Halifax acquired a beneficial interest in its property. It is, therefore, plainly material.</w:t>
      </w:r>
    </w:p>
    <w:p w14:paraId="38521CE7" w14:textId="77777777" w:rsidR="001A2B0D" w:rsidRPr="00A97052" w:rsidRDefault="001A2B0D" w:rsidP="001A2B0D">
      <w:pPr>
        <w:pStyle w:val="Title3LevelTitre3Niveau"/>
        <w:numPr>
          <w:ilvl w:val="2"/>
          <w:numId w:val="8"/>
        </w:numPr>
        <w:jc w:val="both"/>
      </w:pPr>
      <w:r w:rsidRPr="00A97052">
        <w:t>Halifax’s Alleged Removal of All Reasonable Uses of the Annapolis Lands</w:t>
      </w:r>
    </w:p>
    <w:p w14:paraId="412B9CA4" w14:textId="77777777" w:rsidR="001A2B0D" w:rsidRPr="00A97052" w:rsidRDefault="001A2B0D" w:rsidP="001A2B0D">
      <w:pPr>
        <w:pStyle w:val="ParaNoNdepar-AltN"/>
        <w:rPr>
          <w:rFonts w:cs="Times New Roman"/>
          <w:lang w:val="en-US"/>
        </w:rPr>
      </w:pPr>
      <w:r w:rsidRPr="00A97052">
        <w:rPr>
          <w:rFonts w:cs="Times New Roman"/>
          <w:lang w:val="en-US"/>
        </w:rPr>
        <w:t>Second, it is disputed whether Halifax, by allegedly treating the Annapolis Lands as a public park, has eliminated all uses of the Lands except serviced development, which is conditional upon the approval of Annapolis’ secondary planning applications.</w:t>
      </w:r>
    </w:p>
    <w:p w14:paraId="4125076F" w14:textId="77777777" w:rsidR="001A2B0D" w:rsidRPr="00A97052" w:rsidRDefault="001A2B0D" w:rsidP="001A2B0D">
      <w:pPr>
        <w:pStyle w:val="ParaNoNdepar-AltN"/>
        <w:rPr>
          <w:rFonts w:cs="Times New Roman"/>
          <w:lang w:val="en-US"/>
        </w:rPr>
      </w:pPr>
      <w:r w:rsidRPr="00A97052">
        <w:rPr>
          <w:rFonts w:cs="Times New Roman"/>
          <w:lang w:val="en-US"/>
        </w:rPr>
        <w:t xml:space="preserve">This disputed fact is material because, if proven, it may arguably support Annapolis’ claim that it has lost all reasonable uses of its property. This would leave Annapolis to shoulder the burden of holding the Lands as a public park indefinitely, while Halifax enjoys the advantage of having the Lands reserved for its own purposes without having to pay compensation. </w:t>
      </w:r>
      <w:r w:rsidRPr="00A97052">
        <w:rPr>
          <w:rFonts w:cs="Times New Roman"/>
        </w:rPr>
        <w:t xml:space="preserve">It is notable that the Court of Appeal, after observing that “Annapolis’ reasonable uses of its lands have not changed”, failed to identify a single reasonable possible use of the property (para. 92; see </w:t>
      </w:r>
      <w:r w:rsidRPr="00A97052">
        <w:rPr>
          <w:rFonts w:cs="Times New Roman"/>
          <w:i/>
        </w:rPr>
        <w:t>Lynch</w:t>
      </w:r>
      <w:r w:rsidRPr="00A97052">
        <w:rPr>
          <w:rFonts w:cs="Times New Roman"/>
        </w:rPr>
        <w:t>, at para. 63).</w:t>
      </w:r>
    </w:p>
    <w:p w14:paraId="449B0E95" w14:textId="77777777" w:rsidR="001A2B0D" w:rsidRPr="00A97052" w:rsidRDefault="001A2B0D" w:rsidP="001A2B0D">
      <w:pPr>
        <w:pStyle w:val="ParaNoNdepar-AltN"/>
        <w:rPr>
          <w:rFonts w:cs="Times New Roman"/>
        </w:rPr>
      </w:pPr>
      <w:r w:rsidRPr="00A97052">
        <w:rPr>
          <w:rFonts w:cs="Times New Roman"/>
        </w:rPr>
        <w:t xml:space="preserve">Further, the Court of Appeal’s reasoning — to which our colleagues subscribe — cuts against one of the core lessons from </w:t>
      </w:r>
      <w:r w:rsidRPr="00A97052">
        <w:rPr>
          <w:rFonts w:cs="Times New Roman"/>
          <w:i/>
        </w:rPr>
        <w:t>Mariner</w:t>
      </w:r>
      <w:r w:rsidRPr="00A97052">
        <w:rPr>
          <w:rFonts w:cs="Times New Roman"/>
        </w:rPr>
        <w:t>, being to look to “</w:t>
      </w:r>
      <w:r w:rsidRPr="00A97052">
        <w:rPr>
          <w:rFonts w:cs="Times New Roman"/>
          <w:u w:val="single"/>
        </w:rPr>
        <w:t>the actual application</w:t>
      </w:r>
      <w:r w:rsidRPr="00A97052">
        <w:rPr>
          <w:rFonts w:cs="Times New Roman"/>
        </w:rPr>
        <w:t xml:space="preserve"> of the regulatory scheme as opposed simply to its potential for interference with the owner’s activities” (p. 718 (emphasis added)). In concluding that there had been no taking in the present case, the Court of Appeal leaned heavily on the fact that the zoning rules had not changed, such that Annapolis’ land use rights remained the same after the release of the 2006 Planning Strategy. But the Court of Appeal neglected to consider Halifax’s </w:t>
      </w:r>
      <w:r w:rsidRPr="00A97052">
        <w:rPr>
          <w:rFonts w:cs="Times New Roman"/>
          <w:i/>
        </w:rPr>
        <w:t>application</w:t>
      </w:r>
      <w:r w:rsidRPr="00A97052">
        <w:rPr>
          <w:rFonts w:cs="Times New Roman"/>
        </w:rPr>
        <w:t xml:space="preserve"> of the regulatory scheme as alleged by Annapolis. Indeed, </w:t>
      </w:r>
      <w:r w:rsidRPr="00A97052">
        <w:rPr>
          <w:rFonts w:cs="Times New Roman"/>
          <w:i/>
        </w:rPr>
        <w:t>Manitoba Fisheries</w:t>
      </w:r>
      <w:r w:rsidRPr="00A97052">
        <w:rPr>
          <w:rFonts w:cs="Times New Roman"/>
        </w:rPr>
        <w:t xml:space="preserve">, </w:t>
      </w:r>
      <w:r w:rsidRPr="00A97052">
        <w:rPr>
          <w:rFonts w:cs="Times New Roman"/>
          <w:i/>
        </w:rPr>
        <w:t>Tener</w:t>
      </w:r>
      <w:r w:rsidRPr="00A97052">
        <w:rPr>
          <w:rFonts w:cs="Times New Roman"/>
        </w:rPr>
        <w:t>,</w:t>
      </w:r>
      <w:r w:rsidRPr="00A97052">
        <w:rPr>
          <w:rFonts w:cs="Times New Roman"/>
          <w:i/>
        </w:rPr>
        <w:t xml:space="preserve"> </w:t>
      </w:r>
      <w:r w:rsidRPr="00A97052">
        <w:rPr>
          <w:rFonts w:cs="Times New Roman"/>
        </w:rPr>
        <w:t xml:space="preserve">and </w:t>
      </w:r>
      <w:r w:rsidRPr="00A97052">
        <w:rPr>
          <w:rFonts w:cs="Times New Roman"/>
          <w:i/>
        </w:rPr>
        <w:t xml:space="preserve">Mariner </w:t>
      </w:r>
      <w:r w:rsidRPr="00A97052">
        <w:rPr>
          <w:rFonts w:cs="Times New Roman"/>
        </w:rPr>
        <w:t xml:space="preserve">all stand for the proposition that a regulation does not </w:t>
      </w:r>
      <w:r w:rsidRPr="00A97052">
        <w:rPr>
          <w:rFonts w:cs="Times New Roman"/>
          <w:i/>
        </w:rPr>
        <w:t xml:space="preserve">per se </w:t>
      </w:r>
      <w:r w:rsidRPr="00A97052">
        <w:rPr>
          <w:rFonts w:cs="Times New Roman"/>
        </w:rPr>
        <w:t xml:space="preserve">eliminate all reasonable uses of property where it provides a mechanism for permits, exemptions, or licenses to allow activities that are otherwise prohibited. In such cases, it is not the regulation alone that effects a constructive taking, but the </w:t>
      </w:r>
      <w:r w:rsidRPr="00A97052">
        <w:rPr>
          <w:rFonts w:cs="Times New Roman"/>
          <w:i/>
        </w:rPr>
        <w:t>application</w:t>
      </w:r>
      <w:r w:rsidRPr="00A97052">
        <w:rPr>
          <w:rFonts w:cs="Times New Roman"/>
        </w:rPr>
        <w:t xml:space="preserve"> of that regulation to the land, including the manner in which the public authority </w:t>
      </w:r>
      <w:r w:rsidRPr="00A97052">
        <w:rPr>
          <w:rFonts w:cs="Times New Roman"/>
          <w:i/>
        </w:rPr>
        <w:t xml:space="preserve">refuses </w:t>
      </w:r>
      <w:r w:rsidRPr="00A97052">
        <w:rPr>
          <w:rFonts w:cs="Times New Roman"/>
        </w:rPr>
        <w:t xml:space="preserve">to grant the permit, exemption, or license (see </w:t>
      </w:r>
      <w:r w:rsidRPr="00A97052">
        <w:rPr>
          <w:rFonts w:cs="Times New Roman"/>
          <w:i/>
        </w:rPr>
        <w:t>Manitoba Fisheries</w:t>
      </w:r>
      <w:r w:rsidRPr="00A97052">
        <w:rPr>
          <w:rFonts w:cs="Times New Roman"/>
        </w:rPr>
        <w:t xml:space="preserve">, at p. 103 (taking of the goodwill resulting from the refusal by the Crown corporation to grant a license or exemption for the export of fish); </w:t>
      </w:r>
      <w:r w:rsidRPr="00A97052">
        <w:rPr>
          <w:rFonts w:cs="Times New Roman"/>
          <w:i/>
        </w:rPr>
        <w:t>Tener</w:t>
      </w:r>
      <w:r w:rsidRPr="00A97052">
        <w:rPr>
          <w:rFonts w:cs="Times New Roman"/>
        </w:rPr>
        <w:t>, at pp. 564</w:t>
      </w:r>
      <w:r w:rsidRPr="00A97052">
        <w:rPr>
          <w:rFonts w:cs="Times New Roman"/>
        </w:rPr>
        <w:noBreakHyphen/>
        <w:t>65</w:t>
      </w:r>
      <w:r w:rsidRPr="00A97052">
        <w:rPr>
          <w:rFonts w:cs="Times New Roman"/>
          <w:i/>
        </w:rPr>
        <w:t xml:space="preserve"> </w:t>
      </w:r>
      <w:r w:rsidRPr="00A97052">
        <w:rPr>
          <w:rFonts w:cs="Times New Roman"/>
        </w:rPr>
        <w:t xml:space="preserve">(Crown’s notice denying a permit to conduct development work found to be an “expropriation” of the mineral rights)). In sum, “[w]hen . . . the claim is that the impact of a regulatory scheme has, in effect, taken away </w:t>
      </w:r>
      <w:r w:rsidRPr="00A97052">
        <w:rPr>
          <w:rFonts w:cs="Times New Roman"/>
          <w:u w:val="single"/>
        </w:rPr>
        <w:t>all</w:t>
      </w:r>
      <w:r w:rsidRPr="00A97052">
        <w:rPr>
          <w:rFonts w:cs="Times New Roman"/>
        </w:rPr>
        <w:t xml:space="preserve"> rights of ownership, it is not the existence of the regulatory authority that is significant, but its </w:t>
      </w:r>
      <w:r w:rsidRPr="00A97052">
        <w:rPr>
          <w:rFonts w:cs="Times New Roman"/>
          <w:u w:val="single"/>
        </w:rPr>
        <w:t>actual application</w:t>
      </w:r>
      <w:r w:rsidRPr="00A97052">
        <w:rPr>
          <w:rFonts w:cs="Times New Roman"/>
        </w:rPr>
        <w:t xml:space="preserve"> to the lands” (</w:t>
      </w:r>
      <w:r w:rsidRPr="00A97052">
        <w:rPr>
          <w:rFonts w:cs="Times New Roman"/>
          <w:i/>
        </w:rPr>
        <w:t>Mariner</w:t>
      </w:r>
      <w:r w:rsidRPr="00A97052">
        <w:rPr>
          <w:rFonts w:cs="Times New Roman"/>
        </w:rPr>
        <w:t>, at p. 729</w:t>
      </w:r>
      <w:r w:rsidRPr="00A97052">
        <w:rPr>
          <w:rFonts w:cs="Times New Roman"/>
          <w:i/>
        </w:rPr>
        <w:t xml:space="preserve"> </w:t>
      </w:r>
      <w:r w:rsidRPr="00A97052">
        <w:rPr>
          <w:rFonts w:cs="Times New Roman"/>
        </w:rPr>
        <w:t xml:space="preserve">(emphasis in original)). Therefore, the Court of Appeal erred in focussing solely on the “longstanding zoning </w:t>
      </w:r>
      <w:r w:rsidRPr="00A97052">
        <w:rPr>
          <w:rFonts w:cs="Times New Roman"/>
          <w:i/>
        </w:rPr>
        <w:t>status quo</w:t>
      </w:r>
      <w:r w:rsidRPr="00A97052">
        <w:rPr>
          <w:rFonts w:cs="Times New Roman"/>
        </w:rPr>
        <w:t xml:space="preserve"> for the Lands” (R.F., at para. 18)</w:t>
      </w:r>
      <w:r w:rsidRPr="00A97052">
        <w:rPr>
          <w:rFonts w:cs="Times New Roman"/>
          <w:i/>
        </w:rPr>
        <w:t xml:space="preserve"> </w:t>
      </w:r>
      <w:r w:rsidRPr="00A97052">
        <w:rPr>
          <w:rFonts w:cs="Times New Roman"/>
        </w:rPr>
        <w:t xml:space="preserve">since the passing of the </w:t>
      </w:r>
      <w:r w:rsidRPr="00A97052">
        <w:rPr>
          <w:rFonts w:cs="Times New Roman"/>
          <w:i/>
        </w:rPr>
        <w:t>Halifax Mainland Land Use By</w:t>
      </w:r>
      <w:r w:rsidRPr="00A97052">
        <w:rPr>
          <w:rFonts w:cs="Times New Roman"/>
          <w:i/>
        </w:rPr>
        <w:noBreakHyphen/>
        <w:t xml:space="preserve">Law </w:t>
      </w:r>
      <w:r w:rsidRPr="00A97052">
        <w:rPr>
          <w:rFonts w:cs="Times New Roman"/>
        </w:rPr>
        <w:t>in 2006.</w:t>
      </w:r>
    </w:p>
    <w:p w14:paraId="0B8B3B21" w14:textId="77777777" w:rsidR="001A2B0D" w:rsidRPr="00A97052" w:rsidRDefault="001A2B0D" w:rsidP="001A2B0D">
      <w:pPr>
        <w:pStyle w:val="ParaNoNdepar-AltN"/>
        <w:rPr>
          <w:rFonts w:cs="Times New Roman"/>
          <w:lang w:val="en-US"/>
        </w:rPr>
      </w:pPr>
      <w:r w:rsidRPr="00A97052">
        <w:rPr>
          <w:rFonts w:cs="Times New Roman"/>
        </w:rPr>
        <w:t xml:space="preserve">According to Annapolis, Halifax has repeatedly refused to initiate the secondary planning process which could lead to the re-zoning of the Annapolis Lands. If Annapolis can prove at trial that Halifax is unlikely to </w:t>
      </w:r>
      <w:r w:rsidRPr="00A97052">
        <w:rPr>
          <w:rFonts w:cs="Times New Roman"/>
          <w:i/>
        </w:rPr>
        <w:t>ever</w:t>
      </w:r>
      <w:r w:rsidRPr="00A97052">
        <w:rPr>
          <w:rFonts w:cs="Times New Roman"/>
        </w:rPr>
        <w:t xml:space="preserve"> grant secondary planning approval, this is clearly material to its constructive taking claim. In our view, all reasonable uses of land may be shown to have been eliminated where a permit needed to make reasonable use of the land is refused, such that the state has effectively taken away all rights of ownership.</w:t>
      </w:r>
    </w:p>
    <w:p w14:paraId="77682206" w14:textId="77777777" w:rsidR="001A2B0D" w:rsidRPr="00A97052" w:rsidRDefault="001A2B0D" w:rsidP="001A2B0D">
      <w:pPr>
        <w:pStyle w:val="ParaNoNdepar-AltN"/>
        <w:rPr>
          <w:rFonts w:cs="Times New Roman"/>
          <w:lang w:val="en-US"/>
        </w:rPr>
      </w:pPr>
      <w:r w:rsidRPr="00A97052">
        <w:rPr>
          <w:rFonts w:cs="Times New Roman"/>
          <w:lang w:val="en-US"/>
        </w:rPr>
        <w:t>We note</w:t>
      </w:r>
      <w:r w:rsidRPr="00A97052">
        <w:rPr>
          <w:rFonts w:cs="Times New Roman"/>
        </w:rPr>
        <w:t xml:space="preserve"> our colleagues’ characterization of Halifax’s alleged conduct as a mere “refusal to up-zone” which did not affect the reasonable uses of the Annapolis Lands. Our colleagues say that Halifax’s alleged conduct “simply disappointed” Annapolis’ hopes of cashing in on a speculative investment (para. 145). For several reasons, we respectfully reject this view.</w:t>
      </w:r>
    </w:p>
    <w:p w14:paraId="70EE337E" w14:textId="77777777" w:rsidR="001A2B0D" w:rsidRPr="00A97052" w:rsidRDefault="001A2B0D" w:rsidP="001A2B0D">
      <w:pPr>
        <w:pStyle w:val="ParaNoNdepar-AltN"/>
        <w:rPr>
          <w:rFonts w:cs="Times New Roman"/>
          <w:lang w:val="en-US"/>
        </w:rPr>
      </w:pPr>
      <w:r w:rsidRPr="00A97052">
        <w:rPr>
          <w:rFonts w:cs="Times New Roman"/>
        </w:rPr>
        <w:t>First, Annapolis did not acquire the Lands as a “speculative bet” (para. 145). Annapolis acquired most of the Lands in 1956, slowly adding to its holdings over time. Crucially, Halifax did not regulate land use in the relevant area prior to 1982. In other words, nothing prevented Annapolis from developing the Lands when they were first acquired. The conduct alleged is therefore not a mere “refusal to up</w:t>
      </w:r>
      <w:r w:rsidRPr="00A97052">
        <w:rPr>
          <w:rFonts w:cs="Times New Roman"/>
        </w:rPr>
        <w:noBreakHyphen/>
        <w:t>zone”, as our colleagues say (para. 115). Annapolis originally had the right to use the Lands at its discretion. It now alleges that Halifax eliminated this right and thereby secured a public advantage without compensation.</w:t>
      </w:r>
    </w:p>
    <w:p w14:paraId="7D3A5797" w14:textId="77777777" w:rsidR="001A2B0D" w:rsidRPr="00A97052" w:rsidRDefault="001A2B0D" w:rsidP="001A2B0D">
      <w:pPr>
        <w:pStyle w:val="ParaNoNdepar-AltN"/>
        <w:rPr>
          <w:rFonts w:cs="Times New Roman"/>
          <w:lang w:val="en-US"/>
        </w:rPr>
      </w:pPr>
      <w:r w:rsidRPr="00A97052">
        <w:rPr>
          <w:rFonts w:cs="Times New Roman"/>
        </w:rPr>
        <w:t>Secondly, and again with respect, our colleagues incorrectly characterize our position as an assertion that a “refusal to up</w:t>
      </w:r>
      <w:r w:rsidRPr="00A97052">
        <w:rPr>
          <w:rFonts w:cs="Times New Roman"/>
        </w:rPr>
        <w:noBreakHyphen/>
        <w:t xml:space="preserve">zone vacant land” is tantamount to a constructive taking (para. 151). A refusal to up-zone, standing alone, will not generally remove </w:t>
      </w:r>
      <w:r w:rsidRPr="00A97052">
        <w:rPr>
          <w:rFonts w:cs="Times New Roman"/>
          <w:i/>
        </w:rPr>
        <w:t>all</w:t>
      </w:r>
      <w:r w:rsidRPr="00A97052">
        <w:rPr>
          <w:rFonts w:cs="Times New Roman"/>
        </w:rPr>
        <w:t xml:space="preserve"> reasonable uses of vacant land. As we have explained, Halifax’s alleged conduct in this case is more than a mere refusal to up</w:t>
      </w:r>
      <w:r w:rsidRPr="00A97052">
        <w:rPr>
          <w:rFonts w:cs="Times New Roman"/>
        </w:rPr>
        <w:noBreakHyphen/>
        <w:t xml:space="preserve">zone. Annapolis claims that Halifax has effectively transformed its Lands into a public park. We emphasize, however, that Halifax may defeat Annapolis’ constructive taking claim by showing a </w:t>
      </w:r>
      <w:r w:rsidRPr="00A97052">
        <w:rPr>
          <w:rFonts w:cs="Times New Roman"/>
          <w:i/>
        </w:rPr>
        <w:t>single</w:t>
      </w:r>
      <w:r w:rsidRPr="00A97052">
        <w:rPr>
          <w:rFonts w:cs="Times New Roman"/>
        </w:rPr>
        <w:t xml:space="preserve"> reasonable use of the property.</w:t>
      </w:r>
    </w:p>
    <w:p w14:paraId="423F2E92" w14:textId="77777777" w:rsidR="001A2B0D" w:rsidRPr="00A97052" w:rsidRDefault="001A2B0D" w:rsidP="001A2B0D">
      <w:pPr>
        <w:pStyle w:val="ParaNoNdepar-AltN"/>
        <w:rPr>
          <w:rFonts w:cs="Times New Roman"/>
          <w:lang w:val="en-US"/>
        </w:rPr>
      </w:pPr>
      <w:r w:rsidRPr="00A97052">
        <w:rPr>
          <w:rFonts w:cs="Times New Roman"/>
        </w:rPr>
        <w:t xml:space="preserve">In this regard, it is telling that our colleagues do not identify </w:t>
      </w:r>
      <w:r w:rsidRPr="00A97052">
        <w:rPr>
          <w:rFonts w:cs="Times New Roman"/>
          <w:i/>
        </w:rPr>
        <w:t>any</w:t>
      </w:r>
      <w:r w:rsidRPr="00A97052">
        <w:rPr>
          <w:rFonts w:cs="Times New Roman"/>
        </w:rPr>
        <w:t xml:space="preserve"> reasonable use of the Annapolis Lands. The mere (theoretical) possibility for Annapolis to lease the lands is not indicative of any reasonable use of the property — as our colleagues implicitly recognize in discussing </w:t>
      </w:r>
      <w:r w:rsidRPr="00A97052">
        <w:rPr>
          <w:rFonts w:cs="Times New Roman"/>
          <w:i/>
        </w:rPr>
        <w:t>Benjamin</w:t>
      </w:r>
      <w:r w:rsidRPr="00A97052">
        <w:rPr>
          <w:rFonts w:cs="Times New Roman"/>
        </w:rPr>
        <w:t xml:space="preserve">. As they acknowledge, the City in </w:t>
      </w:r>
      <w:r w:rsidRPr="00A97052">
        <w:rPr>
          <w:rFonts w:cs="Times New Roman"/>
          <w:i/>
        </w:rPr>
        <w:t>Benjamin</w:t>
      </w:r>
      <w:r w:rsidRPr="00A97052">
        <w:rPr>
          <w:rFonts w:cs="Times New Roman"/>
        </w:rPr>
        <w:t xml:space="preserve"> “render[</w:t>
      </w:r>
      <w:proofErr w:type="spellStart"/>
      <w:r w:rsidRPr="00A97052">
        <w:rPr>
          <w:rFonts w:cs="Times New Roman"/>
        </w:rPr>
        <w:t>ed</w:t>
      </w:r>
      <w:proofErr w:type="spellEnd"/>
      <w:r w:rsidRPr="00A97052">
        <w:rPr>
          <w:rFonts w:cs="Times New Roman"/>
        </w:rPr>
        <w:t>] any use of the land practically impossible” (para. 139), despite the absence of any restrictions on leasing. In any event, it is not realistic to assert that Annapolis may lease lands which, according to its allegations, are already used as a public park by Halifax.</w:t>
      </w:r>
    </w:p>
    <w:p w14:paraId="0CEA747A" w14:textId="77777777" w:rsidR="001A2B0D" w:rsidRPr="00A97052" w:rsidRDefault="001A2B0D" w:rsidP="001A2B0D">
      <w:pPr>
        <w:pStyle w:val="ParaNoNdepar-AltN"/>
        <w:rPr>
          <w:rFonts w:cs="Times New Roman"/>
          <w:lang w:val="en-US"/>
        </w:rPr>
      </w:pPr>
      <w:r w:rsidRPr="00A97052">
        <w:rPr>
          <w:rFonts w:cs="Times New Roman"/>
        </w:rPr>
        <w:t>Moreover, in most cases, a public authority will not benefit from a refusal to up</w:t>
      </w:r>
      <w:r w:rsidRPr="00A97052">
        <w:rPr>
          <w:rFonts w:cs="Times New Roman"/>
        </w:rPr>
        <w:noBreakHyphen/>
        <w:t xml:space="preserve">zone vacant land. As such, even if all reasonable uses of land are eliminated by a zoning refusal, the first element of the </w:t>
      </w:r>
      <w:r w:rsidRPr="00A97052">
        <w:rPr>
          <w:rFonts w:cs="Times New Roman"/>
          <w:i/>
        </w:rPr>
        <w:t>CPR</w:t>
      </w:r>
      <w:r w:rsidRPr="00A97052">
        <w:rPr>
          <w:rFonts w:cs="Times New Roman"/>
        </w:rPr>
        <w:t xml:space="preserve"> test for a constructive taking would not ordinarily be met. Accordingly, we cannot agree with our colleagues that our approach “dramatically expands the potential liability of municipalities engaged in land use regulation” (para. 115). To the contrary, our approach is firmly rooted in the common law and does not encroach on the general rule that a refusal to up</w:t>
      </w:r>
      <w:r w:rsidRPr="00A97052">
        <w:rPr>
          <w:rFonts w:cs="Times New Roman"/>
        </w:rPr>
        <w:noBreakHyphen/>
        <w:t>zone does not itself effect a constructive taking.</w:t>
      </w:r>
    </w:p>
    <w:p w14:paraId="19833335" w14:textId="77777777" w:rsidR="001A2B0D" w:rsidRPr="00A97052" w:rsidRDefault="001A2B0D" w:rsidP="001A2B0D">
      <w:pPr>
        <w:pStyle w:val="ParaNoNdepar-AltN"/>
        <w:rPr>
          <w:rFonts w:cs="Times New Roman"/>
          <w:lang w:val="en-US"/>
        </w:rPr>
      </w:pPr>
      <w:r w:rsidRPr="00A97052">
        <w:rPr>
          <w:rFonts w:cs="Times New Roman"/>
        </w:rPr>
        <w:t>Lastly, we reiterate that provincial legislatures remain free, as they always have been, to “alter the common law” in respect of constructive takings (</w:t>
      </w:r>
      <w:r w:rsidRPr="00A97052">
        <w:rPr>
          <w:rFonts w:cs="Times New Roman"/>
          <w:i/>
        </w:rPr>
        <w:t>CPR</w:t>
      </w:r>
      <w:r w:rsidRPr="00A97052">
        <w:rPr>
          <w:rFonts w:cs="Times New Roman"/>
        </w:rPr>
        <w:t xml:space="preserve">, at para. 37, referring to the immunity conferred by s. 569 of the </w:t>
      </w:r>
      <w:r w:rsidRPr="00A97052">
        <w:rPr>
          <w:rFonts w:cs="Times New Roman"/>
          <w:i/>
        </w:rPr>
        <w:t>Vancouver Charter</w:t>
      </w:r>
      <w:r w:rsidRPr="00A97052">
        <w:rPr>
          <w:rFonts w:cs="Times New Roman"/>
        </w:rPr>
        <w:t>) — by, in this case, immunizing Halifax by statute from the obligation to pay compensation for taking private property in the public interest.</w:t>
      </w:r>
    </w:p>
    <w:p w14:paraId="59502549" w14:textId="77777777" w:rsidR="001A2B0D" w:rsidRPr="00A97052" w:rsidRDefault="001A2B0D" w:rsidP="001A2B0D">
      <w:pPr>
        <w:pStyle w:val="ParaNoNdepar-AltN"/>
        <w:rPr>
          <w:rFonts w:cs="Times New Roman"/>
        </w:rPr>
      </w:pPr>
      <w:r w:rsidRPr="00A97052">
        <w:rPr>
          <w:rFonts w:cs="Times New Roman"/>
          <w:lang w:val="en-US"/>
        </w:rPr>
        <w:t>In light of the foregoing, the Court of Appeal erred in striking Annapolis’ claim related to the alleged constructive taking. There are genuine issues of material fact to be tried.</w:t>
      </w:r>
    </w:p>
    <w:p w14:paraId="72B341BA" w14:textId="77777777" w:rsidR="001A2B0D" w:rsidRPr="00A97052" w:rsidRDefault="001A2B0D" w:rsidP="001A2B0D">
      <w:pPr>
        <w:pStyle w:val="Title1LevelTitre1Niveau-AltL"/>
        <w:numPr>
          <w:ilvl w:val="0"/>
          <w:numId w:val="8"/>
        </w:numPr>
        <w:rPr>
          <w:rFonts w:cs="Times New Roman"/>
        </w:rPr>
      </w:pPr>
      <w:bookmarkStart w:id="31" w:name="_Toc101877261"/>
      <w:bookmarkStart w:id="32" w:name="_Toc105502356"/>
      <w:r w:rsidRPr="00A97052">
        <w:rPr>
          <w:rFonts w:cs="Times New Roman"/>
        </w:rPr>
        <w:t>Disposition</w:t>
      </w:r>
      <w:bookmarkEnd w:id="31"/>
      <w:bookmarkEnd w:id="32"/>
    </w:p>
    <w:p w14:paraId="61ED5F19" w14:textId="77777777" w:rsidR="001A2B0D" w:rsidRPr="00A97052" w:rsidRDefault="001A2B0D" w:rsidP="001A2B0D">
      <w:pPr>
        <w:pStyle w:val="ParaNoNdepar-AltN"/>
        <w:rPr>
          <w:rFonts w:cs="Times New Roman"/>
        </w:rPr>
      </w:pPr>
      <w:r w:rsidRPr="00A97052">
        <w:rPr>
          <w:rFonts w:cs="Times New Roman"/>
        </w:rPr>
        <w:t>We would allow the appeal, set aside the Court of Appeal’s partial summary judgment order, and restore the motion judge’s order dismissing Halifax’s motion for partial summary judgment, with costs throughout. Annapolis’ claim against Halifax, in its entirety, may proceed to trial.</w:t>
      </w:r>
    </w:p>
    <w:p w14:paraId="111B6BAD" w14:textId="77777777" w:rsidR="001A2B0D" w:rsidRPr="00A97052" w:rsidRDefault="001A2B0D" w:rsidP="00CD4372">
      <w:pPr>
        <w:pStyle w:val="SCCNormalDoubleSpacing"/>
        <w:spacing w:after="480"/>
      </w:pPr>
    </w:p>
    <w:p w14:paraId="4A76E398" w14:textId="77777777" w:rsidR="001A2B0D" w:rsidRPr="00A97052" w:rsidRDefault="001A2B0D" w:rsidP="001A2B0D">
      <w:pPr>
        <w:tabs>
          <w:tab w:val="left" w:pos="1134"/>
        </w:tabs>
        <w:rPr>
          <w:szCs w:val="24"/>
        </w:rPr>
      </w:pPr>
      <w:r w:rsidRPr="0016589D">
        <w:rPr>
          <w:szCs w:val="24"/>
          <w:lang w:val="en-US"/>
        </w:rPr>
        <w:tab/>
      </w:r>
      <w:r w:rsidRPr="00A97052">
        <w:rPr>
          <w:szCs w:val="24"/>
        </w:rPr>
        <w:t xml:space="preserve">The reasons of Karakatsanis, Martin, Kasirer and Jamal JJ. </w:t>
      </w:r>
      <w:proofErr w:type="gramStart"/>
      <w:r w:rsidRPr="00A97052">
        <w:rPr>
          <w:szCs w:val="24"/>
        </w:rPr>
        <w:t>were</w:t>
      </w:r>
      <w:proofErr w:type="gramEnd"/>
      <w:r w:rsidRPr="00A97052">
        <w:rPr>
          <w:szCs w:val="24"/>
        </w:rPr>
        <w:t xml:space="preserve"> delivered by</w:t>
      </w:r>
    </w:p>
    <w:p w14:paraId="4E06192E" w14:textId="77777777" w:rsidR="001A2B0D" w:rsidRPr="00A97052" w:rsidRDefault="001A2B0D" w:rsidP="001A2B0D">
      <w:pPr>
        <w:tabs>
          <w:tab w:val="left" w:pos="1134"/>
        </w:tabs>
        <w:rPr>
          <w:szCs w:val="24"/>
        </w:rPr>
      </w:pPr>
    </w:p>
    <w:p w14:paraId="7D83A035" w14:textId="77777777" w:rsidR="001A2B0D" w:rsidRPr="00A97052" w:rsidRDefault="001A2B0D" w:rsidP="00B60B0E">
      <w:pPr>
        <w:pStyle w:val="JudgeJuge"/>
        <w:tabs>
          <w:tab w:val="clear" w:pos="1260"/>
          <w:tab w:val="left" w:pos="1134"/>
        </w:tabs>
      </w:pPr>
      <w:r w:rsidRPr="00A97052">
        <w:tab/>
        <w:t xml:space="preserve">Kasirer and Jamal JJ. — </w:t>
      </w:r>
    </w:p>
    <w:p w14:paraId="3DA61AAC" w14:textId="77777777" w:rsidR="001A2B0D" w:rsidRPr="00A97052" w:rsidRDefault="001A2B0D" w:rsidP="00B60B0E">
      <w:pPr>
        <w:pStyle w:val="Title1LevelTitre1Niveau-AltL"/>
        <w:numPr>
          <w:ilvl w:val="0"/>
          <w:numId w:val="33"/>
        </w:numPr>
        <w:jc w:val="both"/>
        <w:rPr>
          <w:rFonts w:cs="Times New Roman"/>
        </w:rPr>
      </w:pPr>
      <w:r w:rsidRPr="00A97052">
        <w:rPr>
          <w:rFonts w:cs="Times New Roman"/>
        </w:rPr>
        <w:t>Overview</w:t>
      </w:r>
    </w:p>
    <w:p w14:paraId="285A176C" w14:textId="77777777" w:rsidR="001A2B0D" w:rsidRPr="00A97052" w:rsidRDefault="001A2B0D" w:rsidP="001A2B0D">
      <w:pPr>
        <w:pStyle w:val="ParaNoNdepar-AltN"/>
      </w:pPr>
      <w:r w:rsidRPr="00A97052">
        <w:t>We have had the advantage of reading the reasons of our colleagues Côté and Brown JJ. With respect for their views, we conclude that the appeal should be dismissed.</w:t>
      </w:r>
    </w:p>
    <w:p w14:paraId="23414308" w14:textId="77777777" w:rsidR="001A2B0D" w:rsidRPr="00A97052" w:rsidRDefault="001A2B0D" w:rsidP="001A2B0D">
      <w:pPr>
        <w:pStyle w:val="ParaNoNdepar-AltN"/>
        <w:rPr>
          <w:rFonts w:cs="Times New Roman"/>
        </w:rPr>
      </w:pPr>
      <w:r w:rsidRPr="00A97052">
        <w:rPr>
          <w:rFonts w:cs="Times New Roman"/>
        </w:rPr>
        <w:t xml:space="preserve">This Court summarized the test for a </w:t>
      </w:r>
      <w:r w:rsidRPr="00A97052">
        <w:rPr>
          <w:rFonts w:cs="Times New Roman"/>
          <w:i/>
        </w:rPr>
        <w:t>de facto</w:t>
      </w:r>
      <w:r w:rsidRPr="00A97052">
        <w:rPr>
          <w:rFonts w:cs="Times New Roman"/>
        </w:rPr>
        <w:t xml:space="preserve"> (or constructive) taking at common law in its unanimous decision in </w:t>
      </w:r>
      <w:r w:rsidRPr="00A97052">
        <w:rPr>
          <w:rFonts w:cs="Times New Roman"/>
          <w:i/>
        </w:rPr>
        <w:t>Canadian Pacific Railway Co. v. Vancouver (City)</w:t>
      </w:r>
      <w:r w:rsidRPr="00A97052">
        <w:rPr>
          <w:rFonts w:cs="Times New Roman"/>
        </w:rPr>
        <w:t>, 2006 SCC 5, [2006] 1 S.C.R. 227 (“</w:t>
      </w:r>
      <w:r w:rsidRPr="00A97052">
        <w:rPr>
          <w:rFonts w:cs="Times New Roman"/>
          <w:i/>
        </w:rPr>
        <w:t>CPR</w:t>
      </w:r>
      <w:r w:rsidRPr="00A97052">
        <w:rPr>
          <w:rFonts w:cs="Times New Roman"/>
        </w:rPr>
        <w:t>”), at para. 30, per McLachlin C.J.:</w:t>
      </w:r>
    </w:p>
    <w:p w14:paraId="19B5579C" w14:textId="77777777" w:rsidR="001A2B0D" w:rsidRPr="00A97052" w:rsidRDefault="001A2B0D" w:rsidP="001A2B0D">
      <w:pPr>
        <w:pStyle w:val="Citation-AltC"/>
        <w:ind w:firstLine="274"/>
      </w:pPr>
      <w:r w:rsidRPr="00A97052">
        <w:t xml:space="preserve">For a </w:t>
      </w:r>
      <w:r w:rsidRPr="00A97052">
        <w:rPr>
          <w:i/>
        </w:rPr>
        <w:t>de facto</w:t>
      </w:r>
      <w:r w:rsidRPr="00A97052">
        <w:t xml:space="preserve"> taking requiring compensation at common law, two requirements must be met: (1) an acquisition of a beneficial interest in the property or flowing from it, and (2) removal of all reasonable uses of the property (see </w:t>
      </w:r>
      <w:r w:rsidRPr="00A97052">
        <w:rPr>
          <w:i/>
        </w:rPr>
        <w:t>Mariner Real Estate Ltd. v. Nova Scotia (Attorney General)</w:t>
      </w:r>
      <w:r w:rsidRPr="00A97052">
        <w:t xml:space="preserve"> (1999), 177 D.L.R. (4th) 696 (N.S.C.A.), at p. 716; </w:t>
      </w:r>
      <w:r w:rsidRPr="00A97052">
        <w:rPr>
          <w:i/>
        </w:rPr>
        <w:t>Manitoba Fisheries Ltd. v. The Queen</w:t>
      </w:r>
      <w:r w:rsidRPr="00A97052">
        <w:t xml:space="preserve">, [1979] 1 S.C.R. 101; and </w:t>
      </w:r>
      <w:proofErr w:type="gramStart"/>
      <w:r w:rsidRPr="00A97052">
        <w:rPr>
          <w:i/>
        </w:rPr>
        <w:t>The</w:t>
      </w:r>
      <w:proofErr w:type="gramEnd"/>
      <w:r w:rsidRPr="00A97052">
        <w:rPr>
          <w:i/>
        </w:rPr>
        <w:t xml:space="preserve"> Queen in Right of British Columbia v. Tener</w:t>
      </w:r>
      <w:r w:rsidRPr="00A97052">
        <w:t>, [1985] 1 S.C.R. 533).</w:t>
      </w:r>
    </w:p>
    <w:p w14:paraId="5CEEBD02" w14:textId="77777777" w:rsidR="001A2B0D" w:rsidRPr="00A97052" w:rsidRDefault="001A2B0D" w:rsidP="001A2B0D">
      <w:pPr>
        <w:pStyle w:val="ParaNoNdepar-AltN"/>
        <w:rPr>
          <w:rFonts w:cs="Times New Roman"/>
        </w:rPr>
      </w:pPr>
      <w:r w:rsidRPr="00A97052">
        <w:rPr>
          <w:rFonts w:cs="Times New Roman"/>
        </w:rPr>
        <w:t xml:space="preserve">Annapolis Group Inc. has asked this Court to depart from this precedent. It urges the Court to allow its appeal from the order of the Nova Scotia Court of Appeal granting partial summary judgment dismissing its claim against Halifax Regional Municipality for a </w:t>
      </w:r>
      <w:r w:rsidRPr="00A97052">
        <w:rPr>
          <w:rFonts w:cs="Times New Roman"/>
          <w:i/>
        </w:rPr>
        <w:t>de facto</w:t>
      </w:r>
      <w:r w:rsidRPr="00A97052">
        <w:rPr>
          <w:rFonts w:cs="Times New Roman"/>
        </w:rPr>
        <w:t xml:space="preserve"> taking of its lands. Annapolis invited — and needs — this Court to depart from </w:t>
      </w:r>
      <w:r w:rsidRPr="00A97052">
        <w:rPr>
          <w:rFonts w:cs="Times New Roman"/>
          <w:i/>
        </w:rPr>
        <w:t>CPR</w:t>
      </w:r>
      <w:r w:rsidRPr="00A97052">
        <w:rPr>
          <w:rFonts w:cs="Times New Roman"/>
        </w:rPr>
        <w:t xml:space="preserve"> for its claim to proceed to trial.</w:t>
      </w:r>
    </w:p>
    <w:p w14:paraId="4DD5DE8D" w14:textId="77777777" w:rsidR="001A2B0D" w:rsidRPr="00A97052" w:rsidRDefault="001A2B0D" w:rsidP="001A2B0D">
      <w:pPr>
        <w:pStyle w:val="ParaNoNdepar-AltN"/>
        <w:rPr>
          <w:rFonts w:cs="Times New Roman"/>
        </w:rPr>
      </w:pPr>
      <w:r w:rsidRPr="00A97052">
        <w:rPr>
          <w:rFonts w:cs="Times New Roman"/>
        </w:rPr>
        <w:t xml:space="preserve">Our colleagues Côté and Brown JJ. </w:t>
      </w:r>
      <w:proofErr w:type="gramStart"/>
      <w:r w:rsidRPr="00A97052">
        <w:rPr>
          <w:rFonts w:cs="Times New Roman"/>
        </w:rPr>
        <w:t>have</w:t>
      </w:r>
      <w:proofErr w:type="gramEnd"/>
      <w:r w:rsidRPr="00A97052">
        <w:rPr>
          <w:rFonts w:cs="Times New Roman"/>
        </w:rPr>
        <w:t xml:space="preserve"> accepted Annapolis’ invitation and propose to change the </w:t>
      </w:r>
      <w:r w:rsidRPr="00A97052">
        <w:rPr>
          <w:rFonts w:cs="Times New Roman"/>
          <w:i/>
        </w:rPr>
        <w:t>CPR</w:t>
      </w:r>
      <w:r w:rsidRPr="00A97052">
        <w:rPr>
          <w:rFonts w:cs="Times New Roman"/>
        </w:rPr>
        <w:t xml:space="preserve"> precedent in two respects. We respectfully disagree with the changes they propose and how they apply the law in this case.</w:t>
      </w:r>
    </w:p>
    <w:p w14:paraId="20C7A57C" w14:textId="77777777" w:rsidR="001A2B0D" w:rsidRPr="00A97052" w:rsidRDefault="001A2B0D" w:rsidP="001A2B0D">
      <w:pPr>
        <w:pStyle w:val="ParaNoNdepar-AltN"/>
        <w:rPr>
          <w:rFonts w:cs="Times New Roman"/>
        </w:rPr>
      </w:pPr>
      <w:r w:rsidRPr="00A97052">
        <w:rPr>
          <w:rFonts w:cs="Times New Roman"/>
        </w:rPr>
        <w:t xml:space="preserve">First, we disagree with our colleagues’ view that the first element of the </w:t>
      </w:r>
      <w:r w:rsidRPr="00A97052">
        <w:rPr>
          <w:rFonts w:cs="Times New Roman"/>
          <w:i/>
        </w:rPr>
        <w:t>CPR</w:t>
      </w:r>
      <w:r w:rsidRPr="00A97052">
        <w:rPr>
          <w:rFonts w:cs="Times New Roman"/>
        </w:rPr>
        <w:t xml:space="preserve"> test — which requires “an acquisition of a beneficial interest in the property or flowing from it” — should be replaced with the much broader notion of an “advantage”, whether or not “a proprietary interest was actually acquired by the government” (see paras. 4, 25, 27, 38, 40 and 44</w:t>
      </w:r>
      <w:r w:rsidRPr="00A97052">
        <w:rPr>
          <w:rFonts w:cs="Times New Roman"/>
        </w:rPr>
        <w:noBreakHyphen/>
        <w:t xml:space="preserve">45). Our colleagues’ reformulation involves an unwarranted departure from </w:t>
      </w:r>
      <w:r w:rsidRPr="00A97052">
        <w:rPr>
          <w:rFonts w:cs="Times New Roman"/>
          <w:i/>
        </w:rPr>
        <w:t>CPR</w:t>
      </w:r>
      <w:r w:rsidRPr="00A97052">
        <w:rPr>
          <w:rFonts w:cs="Times New Roman"/>
        </w:rPr>
        <w:t xml:space="preserve"> and significantly expands the potential liability of public authorities when regulating land use in the public interest. In our view, this Court should retain the </w:t>
      </w:r>
      <w:r w:rsidRPr="00A97052">
        <w:rPr>
          <w:rFonts w:cs="Times New Roman"/>
          <w:i/>
        </w:rPr>
        <w:t>CPR</w:t>
      </w:r>
      <w:r w:rsidRPr="00A97052">
        <w:rPr>
          <w:rFonts w:cs="Times New Roman"/>
        </w:rPr>
        <w:t xml:space="preserve"> test for a </w:t>
      </w:r>
      <w:r w:rsidRPr="00A97052">
        <w:rPr>
          <w:rFonts w:cs="Times New Roman"/>
          <w:i/>
        </w:rPr>
        <w:t>de facto</w:t>
      </w:r>
      <w:r w:rsidRPr="00A97052">
        <w:rPr>
          <w:rFonts w:cs="Times New Roman"/>
        </w:rPr>
        <w:t xml:space="preserve"> taking, which insists that a proprietary interest be acquired. Courts across common law Canada have applied this test without difficulty.</w:t>
      </w:r>
    </w:p>
    <w:p w14:paraId="26244CDB" w14:textId="77777777" w:rsidR="001A2B0D" w:rsidRPr="00A97052" w:rsidRDefault="001A2B0D" w:rsidP="001A2B0D">
      <w:pPr>
        <w:pStyle w:val="ParaNoNdepar-AltN"/>
        <w:rPr>
          <w:rFonts w:cs="Times New Roman"/>
        </w:rPr>
      </w:pPr>
      <w:r w:rsidRPr="00A97052">
        <w:rPr>
          <w:rFonts w:cs="Times New Roman"/>
        </w:rPr>
        <w:t xml:space="preserve">Second, we disagree with our colleagues’ view that a public authority’s “intention” is a material fact in a claim for a </w:t>
      </w:r>
      <w:r w:rsidRPr="00A97052">
        <w:rPr>
          <w:rFonts w:cs="Times New Roman"/>
          <w:i/>
        </w:rPr>
        <w:t>de facto</w:t>
      </w:r>
      <w:r w:rsidRPr="00A97052">
        <w:rPr>
          <w:rFonts w:cs="Times New Roman"/>
        </w:rPr>
        <w:t xml:space="preserve"> taking (para. 53). This is also an unwarranted departure from </w:t>
      </w:r>
      <w:r w:rsidRPr="00A97052">
        <w:rPr>
          <w:rFonts w:cs="Times New Roman"/>
          <w:i/>
        </w:rPr>
        <w:t>CPR</w:t>
      </w:r>
      <w:r w:rsidRPr="00A97052">
        <w:rPr>
          <w:rFonts w:cs="Times New Roman"/>
        </w:rPr>
        <w:t xml:space="preserve"> and this Court’s prior jurisprudence. The material facts for a </w:t>
      </w:r>
      <w:r w:rsidRPr="00A97052">
        <w:rPr>
          <w:rFonts w:cs="Times New Roman"/>
          <w:i/>
        </w:rPr>
        <w:t>de facto</w:t>
      </w:r>
      <w:r w:rsidRPr="00A97052">
        <w:rPr>
          <w:rFonts w:cs="Times New Roman"/>
        </w:rPr>
        <w:t xml:space="preserve"> taking claim concern the </w:t>
      </w:r>
      <w:r w:rsidRPr="00A97052">
        <w:rPr>
          <w:rFonts w:cs="Times New Roman"/>
          <w:i/>
        </w:rPr>
        <w:t>effects</w:t>
      </w:r>
      <w:r w:rsidRPr="00A97052">
        <w:rPr>
          <w:rFonts w:cs="Times New Roman"/>
        </w:rPr>
        <w:t xml:space="preserve"> of the public authority’s regulatory activity, not its </w:t>
      </w:r>
      <w:r w:rsidRPr="00A97052">
        <w:rPr>
          <w:rFonts w:cs="Times New Roman"/>
          <w:i/>
        </w:rPr>
        <w:t>intention</w:t>
      </w:r>
      <w:r w:rsidRPr="00A97052">
        <w:rPr>
          <w:rFonts w:cs="Times New Roman"/>
        </w:rPr>
        <w:t>.</w:t>
      </w:r>
    </w:p>
    <w:p w14:paraId="59A539FC" w14:textId="77777777" w:rsidR="001A2B0D" w:rsidRPr="00A97052" w:rsidRDefault="001A2B0D" w:rsidP="001A2B0D">
      <w:pPr>
        <w:pStyle w:val="ParaNoNdepar-AltN"/>
        <w:rPr>
          <w:rFonts w:cs="Times New Roman"/>
        </w:rPr>
      </w:pPr>
      <w:r w:rsidRPr="00A97052">
        <w:rPr>
          <w:rFonts w:cs="Times New Roman"/>
        </w:rPr>
        <w:t xml:space="preserve">Here, Annapolis’ </w:t>
      </w:r>
      <w:r w:rsidRPr="00A97052">
        <w:rPr>
          <w:rFonts w:cs="Times New Roman"/>
          <w:i/>
        </w:rPr>
        <w:t>de facto</w:t>
      </w:r>
      <w:r w:rsidRPr="00A97052">
        <w:rPr>
          <w:rFonts w:cs="Times New Roman"/>
        </w:rPr>
        <w:t xml:space="preserve"> taking claim arises from Halifax’s refusal to “up</w:t>
      </w:r>
      <w:r w:rsidRPr="00A97052">
        <w:rPr>
          <w:rFonts w:cs="Times New Roman"/>
        </w:rPr>
        <w:noBreakHyphen/>
        <w:t>zone” (in French: “</w:t>
      </w:r>
      <w:proofErr w:type="spellStart"/>
      <w:r w:rsidRPr="00A97052">
        <w:rPr>
          <w:rFonts w:cs="Times New Roman"/>
          <w:i/>
        </w:rPr>
        <w:t>procéder</w:t>
      </w:r>
      <w:proofErr w:type="spellEnd"/>
      <w:r w:rsidRPr="00A97052">
        <w:rPr>
          <w:rFonts w:cs="Times New Roman"/>
          <w:i/>
        </w:rPr>
        <w:t xml:space="preserve"> à un rezonage pour usage plus </w:t>
      </w:r>
      <w:proofErr w:type="spellStart"/>
      <w:r w:rsidRPr="00A97052">
        <w:rPr>
          <w:rFonts w:cs="Times New Roman"/>
          <w:i/>
        </w:rPr>
        <w:t>intensif</w:t>
      </w:r>
      <w:proofErr w:type="spellEnd"/>
      <w:r w:rsidRPr="00A97052">
        <w:rPr>
          <w:rFonts w:cs="Times New Roman"/>
        </w:rPr>
        <w:t xml:space="preserve">”) land — to re-zone to enlarge the permissible uses of land, in this case so that Annapolis may commercially develop the land for housing — in connection with about 1,000 acres of vacant and treed land owned by Annapolis (“Annapolis Lands”). Annapolis’ proposed use for commercial development is impermissible and has been impermissible for many years. Annapolis now alleges that a Halifax municipal council resolution in 2016 refusing to up-zone the land to permit development — a regular occurrence in municipalities across Canada — and Halifax’s alleged acts of trespass in encouraging the public to hike, canoe, and swim on the lands, give rise to claims for </w:t>
      </w:r>
      <w:r w:rsidRPr="00A97052">
        <w:rPr>
          <w:rFonts w:cs="Times New Roman"/>
          <w:i/>
        </w:rPr>
        <w:t>de facto</w:t>
      </w:r>
      <w:r w:rsidRPr="00A97052">
        <w:rPr>
          <w:rFonts w:cs="Times New Roman"/>
        </w:rPr>
        <w:t xml:space="preserve"> taking, abuse of public office, and unjust enrichment.</w:t>
      </w:r>
    </w:p>
    <w:p w14:paraId="32AE5CE1" w14:textId="77777777" w:rsidR="001A2B0D" w:rsidRPr="00A97052" w:rsidRDefault="001A2B0D" w:rsidP="001A2B0D">
      <w:pPr>
        <w:pStyle w:val="ParaNoNdepar-AltN"/>
        <w:rPr>
          <w:rFonts w:cs="Times New Roman"/>
        </w:rPr>
      </w:pPr>
      <w:r w:rsidRPr="00A97052">
        <w:rPr>
          <w:rFonts w:cs="Times New Roman"/>
        </w:rPr>
        <w:t xml:space="preserve">The claims for abuse of public office and unjust enrichment are proceeding to trial, and, if the court finds Halifax liable, it may award a remedy. If Annapolis succeeds, it will be compensated for the harm occasioned by this conduct. But these matters are distinct from the question of whether Annapolis has alleged facts that would substantiate a claim for </w:t>
      </w:r>
      <w:r w:rsidRPr="00A97052">
        <w:rPr>
          <w:rFonts w:cs="Times New Roman"/>
          <w:i/>
        </w:rPr>
        <w:t>de facto</w:t>
      </w:r>
      <w:r w:rsidRPr="00A97052">
        <w:rPr>
          <w:rFonts w:cs="Times New Roman"/>
        </w:rPr>
        <w:t xml:space="preserve"> taking under the applicable common law rules. The only issue on this appeal is whether the claim for </w:t>
      </w:r>
      <w:r w:rsidRPr="00A97052">
        <w:rPr>
          <w:rFonts w:cs="Times New Roman"/>
          <w:i/>
        </w:rPr>
        <w:t>de facto</w:t>
      </w:r>
      <w:r w:rsidRPr="00A97052">
        <w:rPr>
          <w:rFonts w:cs="Times New Roman"/>
        </w:rPr>
        <w:t xml:space="preserve"> taking should also proceed to trial.</w:t>
      </w:r>
    </w:p>
    <w:p w14:paraId="662DDF87" w14:textId="77777777" w:rsidR="001A2B0D" w:rsidRPr="00A97052" w:rsidRDefault="001A2B0D" w:rsidP="001A2B0D">
      <w:pPr>
        <w:pStyle w:val="ParaNoNdepar-AltN"/>
        <w:rPr>
          <w:rFonts w:cs="Times New Roman"/>
        </w:rPr>
      </w:pPr>
      <w:r w:rsidRPr="00A97052">
        <w:rPr>
          <w:rFonts w:cs="Times New Roman"/>
        </w:rPr>
        <w:t xml:space="preserve">The Nova Scotia Supreme Court declined to grant partial summary judgment on the </w:t>
      </w:r>
      <w:r w:rsidRPr="00A97052">
        <w:rPr>
          <w:rFonts w:cs="Times New Roman"/>
          <w:i/>
        </w:rPr>
        <w:t>de facto</w:t>
      </w:r>
      <w:r w:rsidRPr="00A97052">
        <w:rPr>
          <w:rFonts w:cs="Times New Roman"/>
        </w:rPr>
        <w:t xml:space="preserve"> taking claim because the law could change through “creative interpretations on what may constitute a taking” and because a public authority’s intention may be relevant to a </w:t>
      </w:r>
      <w:r w:rsidRPr="00A97052">
        <w:rPr>
          <w:rFonts w:cs="Times New Roman"/>
          <w:i/>
        </w:rPr>
        <w:t>de facto</w:t>
      </w:r>
      <w:r w:rsidRPr="00A97052">
        <w:rPr>
          <w:rFonts w:cs="Times New Roman"/>
        </w:rPr>
        <w:t xml:space="preserve"> taking claim (2019 NSSC 341, 17 L.C.R. (2d) 1, paras. 42 and 36). The Nova Scotia Court of Appeal allowed the appeal and granted partial summary judgment (2021 NSCA 3, 455 D.L.R. (4th) 349). It ruled that the evidence on the motion, seen in light of </w:t>
      </w:r>
      <w:r w:rsidRPr="00A97052">
        <w:rPr>
          <w:rFonts w:cs="Times New Roman"/>
          <w:i/>
        </w:rPr>
        <w:t>CPR</w:t>
      </w:r>
      <w:r w:rsidRPr="00A97052">
        <w:rPr>
          <w:rFonts w:cs="Times New Roman"/>
        </w:rPr>
        <w:t xml:space="preserve"> and prior jurisprudence, establish no material fact in dispute either that Halifax has acquired a proprietary interest or that Annapolis has lost all reasonable uses of its lands. The Court of Appeal also ruled that intention is not a material fact for a </w:t>
      </w:r>
      <w:r w:rsidRPr="00A97052">
        <w:rPr>
          <w:rFonts w:cs="Times New Roman"/>
          <w:i/>
        </w:rPr>
        <w:t>de facto</w:t>
      </w:r>
      <w:r w:rsidRPr="00A97052">
        <w:rPr>
          <w:rFonts w:cs="Times New Roman"/>
        </w:rPr>
        <w:t xml:space="preserve"> taking claim.</w:t>
      </w:r>
    </w:p>
    <w:p w14:paraId="08E53C4D" w14:textId="77777777" w:rsidR="001A2B0D" w:rsidRPr="00A97052" w:rsidRDefault="001A2B0D" w:rsidP="001A2B0D">
      <w:pPr>
        <w:pStyle w:val="ParaNoNdepar-AltN"/>
        <w:rPr>
          <w:rFonts w:cs="Times New Roman"/>
        </w:rPr>
      </w:pPr>
      <w:r w:rsidRPr="00A97052">
        <w:rPr>
          <w:rFonts w:cs="Times New Roman"/>
        </w:rPr>
        <w:t xml:space="preserve">In our view, this appeal should be dismissed. There is no material fact in dispute on either branch of the </w:t>
      </w:r>
      <w:r w:rsidRPr="00A97052">
        <w:rPr>
          <w:rFonts w:cs="Times New Roman"/>
          <w:i/>
        </w:rPr>
        <w:t>CPR</w:t>
      </w:r>
      <w:r w:rsidRPr="00A97052">
        <w:rPr>
          <w:rFonts w:cs="Times New Roman"/>
        </w:rPr>
        <w:t xml:space="preserve"> test for a </w:t>
      </w:r>
      <w:r w:rsidRPr="00A97052">
        <w:rPr>
          <w:rFonts w:cs="Times New Roman"/>
          <w:i/>
        </w:rPr>
        <w:t>de facto</w:t>
      </w:r>
      <w:r w:rsidRPr="00A97052">
        <w:rPr>
          <w:rFonts w:cs="Times New Roman"/>
        </w:rPr>
        <w:t xml:space="preserve"> taking. First, Halifax has acquired no beneficial interest in the Annapolis Lands or flowing from them. It has simply refused to up-zone the lands. Second, the uncontradicted evidence is that Annapolis has been deprived of </w:t>
      </w:r>
      <w:r w:rsidRPr="00A97052">
        <w:rPr>
          <w:rFonts w:cs="Times New Roman"/>
          <w:i/>
        </w:rPr>
        <w:t>no</w:t>
      </w:r>
      <w:r w:rsidRPr="00A97052">
        <w:rPr>
          <w:rFonts w:cs="Times New Roman"/>
        </w:rPr>
        <w:t xml:space="preserve"> reasonable uses — let alone </w:t>
      </w:r>
      <w:r w:rsidRPr="00A97052">
        <w:rPr>
          <w:rFonts w:cs="Times New Roman"/>
          <w:i/>
        </w:rPr>
        <w:t>all</w:t>
      </w:r>
      <w:r w:rsidRPr="00A97052">
        <w:rPr>
          <w:rFonts w:cs="Times New Roman"/>
        </w:rPr>
        <w:t xml:space="preserve"> reasonable uses — of its lands. The zoning and uses of the Annapolis Lands remain entirely unchanged. The lands remain vacant and treed, just as they have been since Annapolis acquired them. Importantly, the Court of Appeal rightly recalled that pursuant to the judgment of this Court in </w:t>
      </w:r>
      <w:r w:rsidRPr="00A97052">
        <w:rPr>
          <w:rFonts w:cs="Times New Roman"/>
          <w:i/>
        </w:rPr>
        <w:t>CPR</w:t>
      </w:r>
      <w:r w:rsidRPr="00A97052">
        <w:rPr>
          <w:rFonts w:cs="Times New Roman"/>
        </w:rPr>
        <w:t xml:space="preserve">, a public authority’s improper motive is not a factor in the analysis and cannot make up for a failure to establish the two settled requirements for a claim of </w:t>
      </w:r>
      <w:r w:rsidRPr="00A97052">
        <w:rPr>
          <w:rFonts w:cs="Times New Roman"/>
          <w:i/>
        </w:rPr>
        <w:t>de facto</w:t>
      </w:r>
      <w:r w:rsidRPr="00A97052">
        <w:rPr>
          <w:rFonts w:cs="Times New Roman"/>
        </w:rPr>
        <w:t xml:space="preserve"> taking. Accordingly, partial summary judgment was properly granted dismissing the </w:t>
      </w:r>
      <w:r w:rsidRPr="00A97052">
        <w:rPr>
          <w:rFonts w:cs="Times New Roman"/>
          <w:i/>
        </w:rPr>
        <w:t>de facto</w:t>
      </w:r>
      <w:r w:rsidRPr="00A97052">
        <w:rPr>
          <w:rFonts w:cs="Times New Roman"/>
        </w:rPr>
        <w:t xml:space="preserve"> taking claim as the claim has no real chance of success in law.</w:t>
      </w:r>
    </w:p>
    <w:p w14:paraId="5D470BEB" w14:textId="77777777" w:rsidR="001A2B0D" w:rsidRPr="00A97052" w:rsidRDefault="001A2B0D" w:rsidP="001A2B0D">
      <w:pPr>
        <w:pStyle w:val="ParaNoNdepar-AltN"/>
        <w:rPr>
          <w:rFonts w:cs="Times New Roman"/>
        </w:rPr>
      </w:pPr>
      <w:r w:rsidRPr="00A97052">
        <w:rPr>
          <w:rFonts w:cs="Times New Roman"/>
        </w:rPr>
        <w:t xml:space="preserve">Annapolis’ core claim is that Halifax’s refusal to up-zone its land to permit residential development, along with the fact that Halifax acted deliberately to secure the advantage of using the Annapolis Lands as a public park, constitutes a </w:t>
      </w:r>
      <w:r w:rsidRPr="00A97052">
        <w:rPr>
          <w:rFonts w:cs="Times New Roman"/>
          <w:i/>
        </w:rPr>
        <w:t xml:space="preserve">de facto </w:t>
      </w:r>
      <w:r w:rsidRPr="00A97052">
        <w:rPr>
          <w:rFonts w:cs="Times New Roman"/>
        </w:rPr>
        <w:t xml:space="preserve">taking. However, a refusal to up-zone, in the circumstances of this case, cannot establish a </w:t>
      </w:r>
      <w:r w:rsidRPr="00A97052">
        <w:rPr>
          <w:rFonts w:cs="Times New Roman"/>
          <w:i/>
        </w:rPr>
        <w:t>de facto</w:t>
      </w:r>
      <w:r w:rsidRPr="00A97052">
        <w:rPr>
          <w:rFonts w:cs="Times New Roman"/>
        </w:rPr>
        <w:t xml:space="preserve"> taking unless this Court departs from the common law requirements that Halifax has acquired a beneficial interest involving the property and that Halifax has removed all reasonable uses of the property. We decline to alter the settled law to allow Annapolis to proceed with its claim. We are respectfully of the view that by acceding to Annapolis’ plea to set aside this Court’s decision in </w:t>
      </w:r>
      <w:r w:rsidRPr="00A97052">
        <w:rPr>
          <w:rFonts w:cs="Times New Roman"/>
          <w:i/>
        </w:rPr>
        <w:t>CPR</w:t>
      </w:r>
      <w:r w:rsidRPr="00A97052">
        <w:rPr>
          <w:rFonts w:cs="Times New Roman"/>
        </w:rPr>
        <w:t xml:space="preserve"> as a governing precedent, our colleagues’ opinion risks radically changing the complexion of municipal planning law by providing, in like up-zoning contexts, a windfall to developers who speculate at municipal taxpayers’ expense.</w:t>
      </w:r>
    </w:p>
    <w:p w14:paraId="09A12E2F" w14:textId="77777777" w:rsidR="001A2B0D" w:rsidRPr="00A97052" w:rsidRDefault="001A2B0D" w:rsidP="001A2B0D">
      <w:pPr>
        <w:pStyle w:val="Title1LevelTitre1Niveau-AltL"/>
        <w:jc w:val="both"/>
        <w:rPr>
          <w:rFonts w:cs="Times New Roman"/>
        </w:rPr>
      </w:pPr>
      <w:r w:rsidRPr="00A97052">
        <w:rPr>
          <w:rFonts w:cs="Times New Roman"/>
        </w:rPr>
        <w:t>Background</w:t>
      </w:r>
    </w:p>
    <w:p w14:paraId="07758590" w14:textId="77777777" w:rsidR="001A2B0D" w:rsidRPr="00A97052" w:rsidRDefault="001A2B0D" w:rsidP="001A2B0D">
      <w:pPr>
        <w:pStyle w:val="ParaNoNdepar-AltN"/>
        <w:rPr>
          <w:rFonts w:cs="Times New Roman"/>
        </w:rPr>
      </w:pPr>
      <w:r w:rsidRPr="00A97052">
        <w:rPr>
          <w:rFonts w:cs="Times New Roman"/>
        </w:rPr>
        <w:t xml:space="preserve">We take no issue with our colleagues’ summary of the factual background and the decisions below, but we wish to highlight the precise conduct of Halifax that Annapolis alleges constitutes a </w:t>
      </w:r>
      <w:r w:rsidRPr="00A97052">
        <w:rPr>
          <w:rFonts w:cs="Times New Roman"/>
          <w:i/>
        </w:rPr>
        <w:t>de facto</w:t>
      </w:r>
      <w:r w:rsidRPr="00A97052">
        <w:rPr>
          <w:rFonts w:cs="Times New Roman"/>
        </w:rPr>
        <w:t xml:space="preserve"> taking: (1) refusing to up-zone the Annapolis Lands and to zone the lands as a park, and (2) encouraging the public to trespass.</w:t>
      </w:r>
    </w:p>
    <w:p w14:paraId="4291998A" w14:textId="77777777" w:rsidR="001A2B0D" w:rsidRPr="00A97052" w:rsidRDefault="001A2B0D" w:rsidP="001A2B0D">
      <w:pPr>
        <w:pStyle w:val="ParaNoNdepar-AltN"/>
        <w:rPr>
          <w:rFonts w:cs="Times New Roman"/>
        </w:rPr>
      </w:pPr>
      <w:r w:rsidRPr="00A97052">
        <w:rPr>
          <w:rFonts w:cs="Times New Roman"/>
        </w:rPr>
        <w:t>Between the 1950s and 2014, Annapolis, a real estate development company, acquired the Annapolis Lands, consisting of about 1,000 acres of vacant and treed land. Annapolis hoped to develop the lands into residential communities and to sell the development for a profit. The Annapolis Lands — which are still vacant and treed — are next to the Blue Mountain</w:t>
      </w:r>
      <w:r w:rsidRPr="00A97052">
        <w:rPr>
          <w:rFonts w:cs="Times New Roman"/>
        </w:rPr>
        <w:noBreakHyphen/>
        <w:t xml:space="preserve">Birch Cove Lakes Wilderness Area, a large wilderness area protected under the </w:t>
      </w:r>
      <w:r w:rsidRPr="00A97052">
        <w:rPr>
          <w:rFonts w:cs="Times New Roman"/>
          <w:i/>
        </w:rPr>
        <w:t>Wilderness Areas Protection Act</w:t>
      </w:r>
      <w:r w:rsidRPr="00A97052">
        <w:rPr>
          <w:rFonts w:cs="Times New Roman"/>
        </w:rPr>
        <w:t xml:space="preserve">, S.N.S. 1998, </w:t>
      </w:r>
      <w:proofErr w:type="gramStart"/>
      <w:r w:rsidRPr="00A97052">
        <w:rPr>
          <w:rFonts w:cs="Times New Roman"/>
        </w:rPr>
        <w:t>c</w:t>
      </w:r>
      <w:proofErr w:type="gramEnd"/>
      <w:r w:rsidRPr="00A97052">
        <w:rPr>
          <w:rFonts w:cs="Times New Roman"/>
        </w:rPr>
        <w:t>. 27.</w:t>
      </w:r>
    </w:p>
    <w:p w14:paraId="66BC0DC2" w14:textId="77777777" w:rsidR="001A2B0D" w:rsidRPr="00A97052" w:rsidRDefault="001A2B0D" w:rsidP="001A2B0D">
      <w:pPr>
        <w:pStyle w:val="ParaNoNdepar-AltN"/>
        <w:rPr>
          <w:rFonts w:cs="Times New Roman"/>
        </w:rPr>
      </w:pPr>
      <w:r w:rsidRPr="00A97052">
        <w:rPr>
          <w:rFonts w:cs="Times New Roman"/>
        </w:rPr>
        <w:t xml:space="preserve">In 2006, Halifax adopted a “Regional Municipal Planning Strategy” as a policy statement to guide land development in the municipality. This policy, essentially a vision statement of long-term property development in the municipality, was adopted under the </w:t>
      </w:r>
      <w:r w:rsidRPr="00A97052">
        <w:rPr>
          <w:rFonts w:cs="Times New Roman"/>
          <w:i/>
        </w:rPr>
        <w:t>Municipal Government Act</w:t>
      </w:r>
      <w:r w:rsidRPr="00A97052">
        <w:rPr>
          <w:rFonts w:cs="Times New Roman"/>
        </w:rPr>
        <w:t xml:space="preserve">, S.N.S. 1998, c. 18, and the </w:t>
      </w:r>
      <w:r w:rsidRPr="00A97052">
        <w:rPr>
          <w:rFonts w:cs="Times New Roman"/>
          <w:i/>
        </w:rPr>
        <w:t>Halifax Regional Municipality Charter</w:t>
      </w:r>
      <w:r w:rsidRPr="00A97052">
        <w:rPr>
          <w:rFonts w:cs="Times New Roman"/>
        </w:rPr>
        <w:t>, S.N.S. 2008, c. 39 (“</w:t>
      </w:r>
      <w:r w:rsidRPr="00A97052">
        <w:rPr>
          <w:rFonts w:cs="Times New Roman"/>
          <w:i/>
        </w:rPr>
        <w:t>Halifax Charter</w:t>
      </w:r>
      <w:r w:rsidRPr="00A97052">
        <w:rPr>
          <w:rFonts w:cs="Times New Roman"/>
        </w:rPr>
        <w:t>”). Both statutes require Halifax to put in place a municipal planning strategy containing “statements of policy” to “guide the development and management of the municipality”, including “the future use, management and development of lands within the municipality” (</w:t>
      </w:r>
      <w:r w:rsidRPr="00A97052">
        <w:rPr>
          <w:rFonts w:cs="Times New Roman"/>
          <w:i/>
        </w:rPr>
        <w:t>Municipal Government Act</w:t>
      </w:r>
      <w:r w:rsidRPr="00A97052">
        <w:rPr>
          <w:rFonts w:cs="Times New Roman"/>
        </w:rPr>
        <w:t xml:space="preserve">, ss. 212 to 214; </w:t>
      </w:r>
      <w:r w:rsidRPr="00A97052">
        <w:rPr>
          <w:rFonts w:cs="Times New Roman"/>
          <w:i/>
        </w:rPr>
        <w:t>Halifax Charter</w:t>
      </w:r>
      <w:r w:rsidRPr="00A97052">
        <w:rPr>
          <w:rFonts w:cs="Times New Roman"/>
        </w:rPr>
        <w:t xml:space="preserve">, ss. 227 to 229). Both statutes also expressly provide that “[t]he adoption of a municipal planning strategy does </w:t>
      </w:r>
      <w:r w:rsidRPr="00A97052">
        <w:rPr>
          <w:rFonts w:cs="Times New Roman"/>
          <w:u w:val="single"/>
        </w:rPr>
        <w:t>not</w:t>
      </w:r>
      <w:r w:rsidRPr="00A97052">
        <w:rPr>
          <w:rFonts w:cs="Times New Roman"/>
        </w:rPr>
        <w:t xml:space="preserve"> commit the council to undertake any of the projects suggested in it” (</w:t>
      </w:r>
      <w:r w:rsidRPr="00A97052">
        <w:rPr>
          <w:rFonts w:cs="Times New Roman"/>
          <w:i/>
        </w:rPr>
        <w:t>Municipal Government Act</w:t>
      </w:r>
      <w:r w:rsidRPr="00A97052">
        <w:rPr>
          <w:rFonts w:cs="Times New Roman"/>
        </w:rPr>
        <w:t xml:space="preserve">, s. 217(2); </w:t>
      </w:r>
      <w:r w:rsidRPr="00A97052">
        <w:rPr>
          <w:rFonts w:cs="Times New Roman"/>
          <w:i/>
        </w:rPr>
        <w:t>Halifax Charter</w:t>
      </w:r>
      <w:r w:rsidRPr="00A97052">
        <w:rPr>
          <w:rFonts w:cs="Times New Roman"/>
        </w:rPr>
        <w:t>, s. 232(2) (emphasis added to both statutes)).</w:t>
      </w:r>
    </w:p>
    <w:p w14:paraId="5768C862" w14:textId="77777777" w:rsidR="001A2B0D" w:rsidRPr="00A97052" w:rsidRDefault="001A2B0D" w:rsidP="001A2B0D">
      <w:pPr>
        <w:pStyle w:val="ParaNoNdepar-AltN"/>
        <w:rPr>
          <w:rFonts w:cs="Times New Roman"/>
        </w:rPr>
      </w:pPr>
      <w:r w:rsidRPr="00A97052">
        <w:rPr>
          <w:rFonts w:cs="Times New Roman"/>
        </w:rPr>
        <w:t>Under Halifax’s 2006 Regional Municipal Planning Strategy, about a third of the Annapolis Lands are designated “Urban Settlement”, which means they could be developed for serviced residential communities within 25 years. The remaining two</w:t>
      </w:r>
      <w:r w:rsidRPr="00A97052">
        <w:rPr>
          <w:rFonts w:cs="Times New Roman"/>
        </w:rPr>
        <w:noBreakHyphen/>
        <w:t>thirds of the Annapolis Lands are designated “Urban Reserve”, which means they could be developed after 25 years. Serviced development on the Annapolis Lands cannot occur, however, unless Halifax adopts a municipal resolution authorizing a “secondary planning process” and amends its zoning by-law to allow residential development.</w:t>
      </w:r>
    </w:p>
    <w:p w14:paraId="69DC2992" w14:textId="77777777" w:rsidR="001A2B0D" w:rsidRPr="00A97052" w:rsidRDefault="001A2B0D" w:rsidP="001A2B0D">
      <w:pPr>
        <w:pStyle w:val="ParaNoNdepar-AltN"/>
        <w:rPr>
          <w:rFonts w:cs="Times New Roman"/>
        </w:rPr>
      </w:pPr>
      <w:r w:rsidRPr="00A97052">
        <w:rPr>
          <w:rFonts w:cs="Times New Roman"/>
        </w:rPr>
        <w:t xml:space="preserve">Starting in 2007, Annapolis urged Halifax to take these legislative measures to permit Annapolis to build residential communities on the lands. Halifax has consistently refused to do so, preferring to maintain the </w:t>
      </w:r>
      <w:r w:rsidRPr="00A97052">
        <w:rPr>
          <w:rFonts w:cs="Times New Roman"/>
          <w:i/>
        </w:rPr>
        <w:t>status quo</w:t>
      </w:r>
      <w:r w:rsidRPr="00A97052">
        <w:rPr>
          <w:rFonts w:cs="Times New Roman"/>
        </w:rPr>
        <w:t>. In 2016, Halifax adopted a municipal resolution stating that it would not authorize a secondary planning process on the Annapolis Lands “at this time”.</w:t>
      </w:r>
    </w:p>
    <w:p w14:paraId="3E33BB4D" w14:textId="77777777" w:rsidR="001A2B0D" w:rsidRPr="00A97052" w:rsidRDefault="001A2B0D" w:rsidP="001A2B0D">
      <w:pPr>
        <w:pStyle w:val="ParaNoNdepar-AltN"/>
        <w:rPr>
          <w:rFonts w:cs="Times New Roman"/>
        </w:rPr>
      </w:pPr>
      <w:r w:rsidRPr="00A97052">
        <w:rPr>
          <w:rFonts w:cs="Times New Roman"/>
        </w:rPr>
        <w:t xml:space="preserve">The 2016 municipal resolution refusing to up-zone the lands to permit development led to this litigation. In 2017, Annapolis sued Halifax for over $120 million for the alleged </w:t>
      </w:r>
      <w:r w:rsidRPr="00A97052">
        <w:rPr>
          <w:rFonts w:cs="Times New Roman"/>
          <w:i/>
        </w:rPr>
        <w:t>de facto</w:t>
      </w:r>
      <w:r w:rsidRPr="00A97052">
        <w:rPr>
          <w:rFonts w:cs="Times New Roman"/>
        </w:rPr>
        <w:t xml:space="preserve"> taking of its lands and for abuse of public office and unjust enrichment. </w:t>
      </w:r>
    </w:p>
    <w:p w14:paraId="61A55D13" w14:textId="77777777" w:rsidR="001A2B0D" w:rsidRPr="00A97052" w:rsidRDefault="001A2B0D" w:rsidP="001A2B0D">
      <w:pPr>
        <w:pStyle w:val="ParaNoNdepar-AltN"/>
        <w:rPr>
          <w:rFonts w:cs="Times New Roman"/>
        </w:rPr>
      </w:pPr>
      <w:r w:rsidRPr="00A97052">
        <w:rPr>
          <w:rFonts w:cs="Times New Roman"/>
        </w:rPr>
        <w:t xml:space="preserve">Only the </w:t>
      </w:r>
      <w:r w:rsidRPr="00A97052">
        <w:rPr>
          <w:rFonts w:cs="Times New Roman"/>
          <w:i/>
        </w:rPr>
        <w:t>de facto</w:t>
      </w:r>
      <w:r w:rsidRPr="00A97052">
        <w:rPr>
          <w:rFonts w:cs="Times New Roman"/>
        </w:rPr>
        <w:t xml:space="preserve"> taking claim is in issue on this appeal. Annapolis alleges that Halifax refused to up-zone the lands because it intends to use them for a park and that Halifax has encouraged the public to trespass on the lands to hike, canoe, and swim. Annapolis also claims that Halifax has refused to zone the lands as a park because it would otherwise have a statutory obligation to buy the lands within a year (see </w:t>
      </w:r>
      <w:r w:rsidRPr="00A97052">
        <w:rPr>
          <w:rFonts w:cs="Times New Roman"/>
          <w:i/>
        </w:rPr>
        <w:t>Municipal Government Act</w:t>
      </w:r>
      <w:r w:rsidRPr="00A97052">
        <w:rPr>
          <w:rFonts w:cs="Times New Roman"/>
        </w:rPr>
        <w:t xml:space="preserve">, s. 222; </w:t>
      </w:r>
      <w:r w:rsidRPr="00A97052">
        <w:rPr>
          <w:rFonts w:cs="Times New Roman"/>
          <w:i/>
        </w:rPr>
        <w:t>Halifax Charter</w:t>
      </w:r>
      <w:r w:rsidRPr="00A97052">
        <w:rPr>
          <w:rFonts w:cs="Times New Roman"/>
        </w:rPr>
        <w:t xml:space="preserve">, s. 237). Annapolis’ key allegations of </w:t>
      </w:r>
      <w:r w:rsidRPr="00A97052">
        <w:rPr>
          <w:rFonts w:cs="Times New Roman"/>
          <w:i/>
        </w:rPr>
        <w:t>de facto</w:t>
      </w:r>
      <w:r w:rsidRPr="00A97052">
        <w:rPr>
          <w:rFonts w:cs="Times New Roman"/>
        </w:rPr>
        <w:t xml:space="preserve"> taking are set out in its amended statement of claim, dated March 22, 2017, at paras. 111</w:t>
      </w:r>
      <w:r w:rsidRPr="00A97052">
        <w:rPr>
          <w:rFonts w:cs="Times New Roman"/>
        </w:rPr>
        <w:noBreakHyphen/>
        <w:t>12:</w:t>
      </w:r>
    </w:p>
    <w:p w14:paraId="1FF09585" w14:textId="77777777" w:rsidR="001A2B0D" w:rsidRPr="00A97052" w:rsidRDefault="001A2B0D" w:rsidP="001A2B0D">
      <w:pPr>
        <w:pStyle w:val="Citation-AltC"/>
        <w:ind w:firstLine="274"/>
      </w:pPr>
      <w:r w:rsidRPr="00A97052">
        <w:t xml:space="preserve">[Halifax] has </w:t>
      </w:r>
      <w:r w:rsidRPr="00A97052">
        <w:rPr>
          <w:i/>
        </w:rPr>
        <w:t>de facto</w:t>
      </w:r>
      <w:r w:rsidRPr="00A97052">
        <w:t xml:space="preserve"> expropriated the Annapolis Lands for public use as a park. [Halifax] has delayed and obstructed all of Annapolis’ attempts to develop the Annapolis Lands, and likewise, has deliberately avoided expressly zoning the Annapolis Lands to avoid its compensation obligation. In doing so, it has obtained the use of the Annapolis Lands as a public park, and has deprived Annapolis of any use of the Annapolis Lands.</w:t>
      </w:r>
    </w:p>
    <w:p w14:paraId="6BA4CD34" w14:textId="77777777" w:rsidR="001A2B0D" w:rsidRPr="00A97052" w:rsidRDefault="001A2B0D" w:rsidP="001A2B0D">
      <w:pPr>
        <w:pStyle w:val="Citation-AltC"/>
      </w:pPr>
    </w:p>
    <w:p w14:paraId="2C614571" w14:textId="77777777" w:rsidR="001A2B0D" w:rsidRPr="00A97052" w:rsidRDefault="001A2B0D" w:rsidP="001A2B0D">
      <w:pPr>
        <w:pStyle w:val="Citation-AltC"/>
        <w:ind w:firstLine="274"/>
      </w:pPr>
      <w:r w:rsidRPr="00A97052">
        <w:t>Indeed, [Halifax] encourages members of the public to use the Annapolis Lands as a park. In addition to a variety of other outdoor activities, members of the public hike, cycle, canoe, camp, and swim on the Annapolis Lands as if [Halifax] held the Annapolis Lands as a park.</w:t>
      </w:r>
    </w:p>
    <w:p w14:paraId="2AB1DC24" w14:textId="77777777" w:rsidR="001A2B0D" w:rsidRPr="00A97052" w:rsidRDefault="001A2B0D" w:rsidP="001A2B0D">
      <w:pPr>
        <w:pStyle w:val="Citation-AltC"/>
      </w:pPr>
    </w:p>
    <w:p w14:paraId="04570DA0" w14:textId="77777777" w:rsidR="001A2B0D" w:rsidRPr="00A97052" w:rsidRDefault="001A2B0D" w:rsidP="001A2B0D">
      <w:pPr>
        <w:pStyle w:val="Citation-AltC"/>
      </w:pPr>
      <w:r w:rsidRPr="00A97052">
        <w:t>(A.R., vol. I, at p. 146)</w:t>
      </w:r>
    </w:p>
    <w:p w14:paraId="1AB25D9D" w14:textId="77777777" w:rsidR="001A2B0D" w:rsidRPr="00A97052" w:rsidRDefault="001A2B0D" w:rsidP="001A2B0D">
      <w:pPr>
        <w:pStyle w:val="ParaNoNdepar-AltN"/>
        <w:rPr>
          <w:rFonts w:cs="Times New Roman"/>
        </w:rPr>
      </w:pPr>
      <w:r w:rsidRPr="00A97052">
        <w:rPr>
          <w:rFonts w:cs="Times New Roman"/>
        </w:rPr>
        <w:t xml:space="preserve">As we will explain, none of these pleaded acts, alone or in combination, amount to a </w:t>
      </w:r>
      <w:r w:rsidRPr="00A97052">
        <w:rPr>
          <w:rFonts w:cs="Times New Roman"/>
          <w:i/>
        </w:rPr>
        <w:t>de facto</w:t>
      </w:r>
      <w:r w:rsidRPr="00A97052">
        <w:rPr>
          <w:rFonts w:cs="Times New Roman"/>
        </w:rPr>
        <w:t xml:space="preserve"> taking.</w:t>
      </w:r>
    </w:p>
    <w:p w14:paraId="47BE0323" w14:textId="77777777" w:rsidR="001A2B0D" w:rsidRPr="00A97052" w:rsidRDefault="001A2B0D" w:rsidP="001A2B0D">
      <w:pPr>
        <w:pStyle w:val="Title1LevelTitre1Niveau-AltL"/>
        <w:jc w:val="both"/>
        <w:rPr>
          <w:rFonts w:cs="Times New Roman"/>
        </w:rPr>
      </w:pPr>
      <w:r w:rsidRPr="00A97052">
        <w:rPr>
          <w:rFonts w:cs="Times New Roman"/>
        </w:rPr>
        <w:t>Law</w:t>
      </w:r>
    </w:p>
    <w:p w14:paraId="5F8B2AE8" w14:textId="77777777" w:rsidR="001A2B0D" w:rsidRPr="00A97052" w:rsidRDefault="001A2B0D" w:rsidP="001A2B0D">
      <w:pPr>
        <w:pStyle w:val="Title2LevelTitre2Niveau"/>
        <w:jc w:val="both"/>
        <w:rPr>
          <w:rFonts w:cs="Times New Roman"/>
        </w:rPr>
      </w:pPr>
      <w:r w:rsidRPr="00A97052">
        <w:rPr>
          <w:rFonts w:cs="Times New Roman"/>
        </w:rPr>
        <w:t>This Court Should Not Depart From the CPR Test for De Facto Taking</w:t>
      </w:r>
    </w:p>
    <w:p w14:paraId="78F9F446" w14:textId="77777777" w:rsidR="001A2B0D" w:rsidRPr="00A97052" w:rsidRDefault="001A2B0D" w:rsidP="001A2B0D">
      <w:pPr>
        <w:pStyle w:val="Title3LevelTitre3Niveau"/>
        <w:jc w:val="both"/>
        <w:rPr>
          <w:rFonts w:cs="Times New Roman"/>
        </w:rPr>
      </w:pPr>
      <w:r w:rsidRPr="00A97052">
        <w:rPr>
          <w:rFonts w:cs="Times New Roman"/>
        </w:rPr>
        <w:t>Introduction</w:t>
      </w:r>
    </w:p>
    <w:p w14:paraId="281D1426" w14:textId="77777777" w:rsidR="001A2B0D" w:rsidRPr="00A97052" w:rsidRDefault="001A2B0D" w:rsidP="001A2B0D">
      <w:pPr>
        <w:pStyle w:val="ParaNoNdepar-AltN"/>
        <w:tabs>
          <w:tab w:val="clear" w:pos="1152"/>
          <w:tab w:val="left" w:pos="1166"/>
        </w:tabs>
        <w:rPr>
          <w:rFonts w:cs="Times New Roman"/>
        </w:rPr>
      </w:pPr>
      <w:r w:rsidRPr="00A97052">
        <w:rPr>
          <w:rFonts w:cs="Times New Roman"/>
        </w:rPr>
        <w:t xml:space="preserve">Our colleagues state that the test for a </w:t>
      </w:r>
      <w:r w:rsidRPr="00A97052">
        <w:rPr>
          <w:rFonts w:cs="Times New Roman"/>
          <w:i/>
        </w:rPr>
        <w:t>de facto</w:t>
      </w:r>
      <w:r w:rsidRPr="00A97052">
        <w:rPr>
          <w:rFonts w:cs="Times New Roman"/>
        </w:rPr>
        <w:t xml:space="preserve"> taking is set out in this Court’s decision in </w:t>
      </w:r>
      <w:r w:rsidRPr="00A97052">
        <w:rPr>
          <w:rFonts w:cs="Times New Roman"/>
          <w:i/>
        </w:rPr>
        <w:t>CPR</w:t>
      </w:r>
      <w:r w:rsidRPr="00A97052">
        <w:rPr>
          <w:rFonts w:cs="Times New Roman"/>
        </w:rPr>
        <w:t xml:space="preserve">, when “properly understood” (para. 44). Respectfully, our colleagues then depart from </w:t>
      </w:r>
      <w:r w:rsidRPr="00A97052">
        <w:rPr>
          <w:rFonts w:cs="Times New Roman"/>
          <w:i/>
        </w:rPr>
        <w:t>CPR</w:t>
      </w:r>
      <w:r w:rsidRPr="00A97052">
        <w:rPr>
          <w:rFonts w:cs="Times New Roman"/>
        </w:rPr>
        <w:t xml:space="preserve"> by inappropriately extending </w:t>
      </w:r>
      <w:r w:rsidRPr="00A97052">
        <w:rPr>
          <w:rFonts w:cs="Times New Roman"/>
          <w:i/>
        </w:rPr>
        <w:t>CPR</w:t>
      </w:r>
      <w:r w:rsidRPr="00A97052">
        <w:rPr>
          <w:rFonts w:cs="Times New Roman"/>
        </w:rPr>
        <w:t xml:space="preserve">’s acquisition requirement — that the public authority’s regulatory actions result in the “acquisition of a beneficial interest in the property or flowing from it” — to encompass any “advantage” accruing to the public authority, whether or not what is acquired is proprietary and whether or not what is acquired corresponds to what is removed. Our colleagues depart from precedent and change the common law even though courts across common law Canada have applied </w:t>
      </w:r>
      <w:r w:rsidRPr="00A97052">
        <w:rPr>
          <w:rFonts w:cs="Times New Roman"/>
          <w:i/>
        </w:rPr>
        <w:t>CPR</w:t>
      </w:r>
      <w:r w:rsidRPr="00A97052">
        <w:rPr>
          <w:rFonts w:cs="Times New Roman"/>
        </w:rPr>
        <w:t xml:space="preserve"> without difficulty and no court has expressed concern that the law is uncertain or unclear.</w:t>
      </w:r>
    </w:p>
    <w:p w14:paraId="7E9AACE0" w14:textId="77777777" w:rsidR="001A2B0D" w:rsidRPr="00A97052" w:rsidRDefault="001A2B0D" w:rsidP="001A2B0D">
      <w:pPr>
        <w:pStyle w:val="ParaNoNdepar-AltN"/>
        <w:tabs>
          <w:tab w:val="clear" w:pos="1152"/>
          <w:tab w:val="left" w:pos="1166"/>
        </w:tabs>
        <w:rPr>
          <w:rFonts w:cs="Times New Roman"/>
        </w:rPr>
      </w:pPr>
      <w:r w:rsidRPr="00A97052">
        <w:rPr>
          <w:rFonts w:cs="Times New Roman"/>
        </w:rPr>
        <w:t xml:space="preserve">Our colleagues derive this understanding of the acquisition requirement by parsing </w:t>
      </w:r>
      <w:r w:rsidRPr="00A97052">
        <w:rPr>
          <w:rFonts w:cs="Times New Roman"/>
          <w:i/>
        </w:rPr>
        <w:t>CPR</w:t>
      </w:r>
      <w:r w:rsidRPr="00A97052">
        <w:rPr>
          <w:rFonts w:cs="Times New Roman"/>
        </w:rPr>
        <w:t xml:space="preserve"> and the authorities cited by McLachlin C.J., even though she referred to “a beneficial interest in the property or flowing from it” rather than a mere “advantage”. By stretching the acquisition requirement, our colleagues go some way towards endorsing Annapolis’ request that this Court should “revisit the </w:t>
      </w:r>
      <w:r w:rsidRPr="00A97052">
        <w:rPr>
          <w:rFonts w:cs="Times New Roman"/>
          <w:i/>
        </w:rPr>
        <w:t>CPR</w:t>
      </w:r>
      <w:r w:rsidRPr="00A97052">
        <w:rPr>
          <w:rFonts w:cs="Times New Roman"/>
        </w:rPr>
        <w:t xml:space="preserve"> test due to the confusion caused by the concept of ‘acquisition of a beneficial interest in property or flowing from it’” (A.F. in response to interveners, at para. 27). Annapolis urged this Court to abandon </w:t>
      </w:r>
      <w:r w:rsidRPr="00A97052">
        <w:rPr>
          <w:rFonts w:cs="Times New Roman"/>
          <w:i/>
        </w:rPr>
        <w:t>CPR</w:t>
      </w:r>
      <w:r w:rsidRPr="00A97052">
        <w:rPr>
          <w:rFonts w:cs="Times New Roman"/>
        </w:rPr>
        <w:t>’s acquisition requirement because it was “a new element”, “a departure from historical jurisprudence”, and “not a required part of the test” (A.F., at paras. 36, 45 and 52). According to Annapolis, “a taking does not require an acquisition” (A.F., at para. 59; see also para. 66).</w:t>
      </w:r>
    </w:p>
    <w:p w14:paraId="0EE6FAA0" w14:textId="77777777" w:rsidR="001A2B0D" w:rsidRPr="00A97052" w:rsidRDefault="001A2B0D" w:rsidP="001A2B0D">
      <w:pPr>
        <w:pStyle w:val="ParaNoNdepar-AltN"/>
        <w:tabs>
          <w:tab w:val="clear" w:pos="1152"/>
          <w:tab w:val="left" w:pos="1166"/>
        </w:tabs>
        <w:rPr>
          <w:rFonts w:cs="Times New Roman"/>
        </w:rPr>
      </w:pPr>
      <w:r w:rsidRPr="00A97052">
        <w:rPr>
          <w:rFonts w:cs="Times New Roman"/>
        </w:rPr>
        <w:t xml:space="preserve">Annapolis cited, among other authorities, the views of several commentators in support of its position that “this Court’s analysis in </w:t>
      </w:r>
      <w:r w:rsidRPr="00A97052">
        <w:rPr>
          <w:rFonts w:cs="Times New Roman"/>
          <w:i/>
        </w:rPr>
        <w:t>CPR</w:t>
      </w:r>
      <w:r w:rsidRPr="00A97052">
        <w:rPr>
          <w:rFonts w:cs="Times New Roman"/>
        </w:rPr>
        <w:t xml:space="preserve">, if taken literally, effectively abolishes liability for </w:t>
      </w:r>
      <w:r w:rsidRPr="00A97052">
        <w:rPr>
          <w:rFonts w:cs="Times New Roman"/>
          <w:i/>
        </w:rPr>
        <w:t>de facto</w:t>
      </w:r>
      <w:r w:rsidRPr="00A97052">
        <w:rPr>
          <w:rFonts w:cs="Times New Roman"/>
        </w:rPr>
        <w:t xml:space="preserve"> taking” (A.F., at para. 9; see also paras. 35 and 52). Annapolis asserted that </w:t>
      </w:r>
      <w:r w:rsidRPr="00A97052">
        <w:rPr>
          <w:rFonts w:cs="Times New Roman"/>
          <w:i/>
        </w:rPr>
        <w:t>CPR</w:t>
      </w:r>
      <w:r w:rsidRPr="00A97052">
        <w:rPr>
          <w:rFonts w:cs="Times New Roman"/>
        </w:rPr>
        <w:t xml:space="preserve"> should be “confined to its facts” (A.F., at para. 36) and pointed to similar commentary suggesting that this Court was mistaken in including the acquisition of a beneficial interest as part of the test (A.F., at paras. 89</w:t>
      </w:r>
      <w:r w:rsidRPr="00A97052">
        <w:rPr>
          <w:rFonts w:cs="Times New Roman"/>
        </w:rPr>
        <w:noBreakHyphen/>
        <w:t xml:space="preserve">92). Annapolis further criticized </w:t>
      </w:r>
      <w:r w:rsidRPr="00A97052">
        <w:rPr>
          <w:rFonts w:cs="Times New Roman"/>
          <w:i/>
        </w:rPr>
        <w:t>CPR</w:t>
      </w:r>
      <w:r w:rsidRPr="00A97052">
        <w:rPr>
          <w:rFonts w:cs="Times New Roman"/>
        </w:rPr>
        <w:t xml:space="preserve"> by submitting that </w:t>
      </w:r>
      <w:r w:rsidRPr="00A97052">
        <w:rPr>
          <w:rFonts w:cs="Times New Roman"/>
          <w:i/>
        </w:rPr>
        <w:t>de facto</w:t>
      </w:r>
      <w:r w:rsidRPr="00A97052">
        <w:rPr>
          <w:rFonts w:cs="Times New Roman"/>
        </w:rPr>
        <w:t xml:space="preserve"> taking can be satisfied by government conduct without there necessarily having been an acquisition of anything (A.F., at para. 62).</w:t>
      </w:r>
    </w:p>
    <w:p w14:paraId="4E29794E" w14:textId="77777777" w:rsidR="001A2B0D" w:rsidRPr="00A97052" w:rsidRDefault="001A2B0D" w:rsidP="001A2B0D">
      <w:pPr>
        <w:pStyle w:val="ParaNoNdepar-AltN"/>
        <w:tabs>
          <w:tab w:val="clear" w:pos="1152"/>
          <w:tab w:val="left" w:pos="1166"/>
        </w:tabs>
        <w:rPr>
          <w:rFonts w:cs="Times New Roman"/>
        </w:rPr>
      </w:pPr>
      <w:r w:rsidRPr="00A97052">
        <w:rPr>
          <w:rFonts w:cs="Times New Roman"/>
        </w:rPr>
        <w:t xml:space="preserve">We respectfully disagree with our colleagues’ proposed departure from the acquisition requirement as framed in </w:t>
      </w:r>
      <w:r w:rsidRPr="00A97052">
        <w:rPr>
          <w:rFonts w:cs="Times New Roman"/>
          <w:i/>
        </w:rPr>
        <w:t>CPR</w:t>
      </w:r>
      <w:r w:rsidRPr="00A97052">
        <w:rPr>
          <w:rFonts w:cs="Times New Roman"/>
        </w:rPr>
        <w:t xml:space="preserve">. By subverting the acquisition requirement, our colleagues effectively accede to the request of the intervener the Canadian Constitution Foundation that this Court “revisit” the </w:t>
      </w:r>
      <w:r w:rsidRPr="00A97052">
        <w:rPr>
          <w:rFonts w:cs="Times New Roman"/>
          <w:i/>
        </w:rPr>
        <w:t>CPR</w:t>
      </w:r>
      <w:r w:rsidRPr="00A97052">
        <w:rPr>
          <w:rFonts w:cs="Times New Roman"/>
        </w:rPr>
        <w:t xml:space="preserve"> test by focusing on “the effect of the government measure on the rights of the owner, not what was acquired by the government”, so that the acquisition requirement in </w:t>
      </w:r>
      <w:r w:rsidRPr="00A97052">
        <w:rPr>
          <w:rFonts w:cs="Times New Roman"/>
          <w:i/>
        </w:rPr>
        <w:t>CPR</w:t>
      </w:r>
      <w:r w:rsidRPr="00A97052">
        <w:rPr>
          <w:rFonts w:cs="Times New Roman"/>
        </w:rPr>
        <w:t xml:space="preserve"> becomes “largely superfluous” (I.F., at paras. 6 and 9).</w:t>
      </w:r>
    </w:p>
    <w:p w14:paraId="281F937B" w14:textId="77777777" w:rsidR="001A2B0D" w:rsidRPr="00A97052" w:rsidRDefault="001A2B0D" w:rsidP="001A2B0D">
      <w:pPr>
        <w:pStyle w:val="ParaNoNdepar-AltN"/>
        <w:rPr>
          <w:rFonts w:cs="Times New Roman"/>
        </w:rPr>
      </w:pPr>
      <w:r w:rsidRPr="00A97052">
        <w:rPr>
          <w:rFonts w:cs="Times New Roman"/>
        </w:rPr>
        <w:t xml:space="preserve">As we explain below, under </w:t>
      </w:r>
      <w:r w:rsidRPr="00A97052">
        <w:rPr>
          <w:rFonts w:cs="Times New Roman"/>
          <w:i/>
        </w:rPr>
        <w:t>CPR</w:t>
      </w:r>
      <w:r w:rsidRPr="00A97052">
        <w:rPr>
          <w:rFonts w:cs="Times New Roman"/>
        </w:rPr>
        <w:t xml:space="preserve"> and the cases it cited, there is a </w:t>
      </w:r>
      <w:r w:rsidRPr="00A97052">
        <w:rPr>
          <w:rFonts w:cs="Times New Roman"/>
          <w:i/>
        </w:rPr>
        <w:t>de facto</w:t>
      </w:r>
      <w:r w:rsidRPr="00A97052">
        <w:rPr>
          <w:rFonts w:cs="Times New Roman"/>
        </w:rPr>
        <w:t xml:space="preserve"> taking only if there is both an acquisition and a corresponding deprivation of a proprietary interest removing all reasonable uses of the property. We also disagree with our colleagues’ claim, at para. 38, that the “beneficial interest” language of the acquisition requirement is concerned with the effect of a regulatory measure on the landowner and not with whether a proprietary interest was acquired by the public authority. While a </w:t>
      </w:r>
      <w:r w:rsidRPr="00A97052">
        <w:rPr>
          <w:rFonts w:cs="Times New Roman"/>
          <w:i/>
        </w:rPr>
        <w:t>de facto</w:t>
      </w:r>
      <w:r w:rsidRPr="00A97052">
        <w:rPr>
          <w:rFonts w:cs="Times New Roman"/>
        </w:rPr>
        <w:t xml:space="preserve"> taking claim is concerned with the effect of a regulatory measure on the landowner, that concern is reflected in the removal requirement. The removal requirement is distinct from the acquisition requirement, which focuses on whether the public authority acquired a proprietary interest. Moreover, contrary to Annapolis’ position, </w:t>
      </w:r>
      <w:r w:rsidRPr="00A97052">
        <w:rPr>
          <w:rFonts w:cs="Times New Roman"/>
          <w:i/>
        </w:rPr>
        <w:t>CPR</w:t>
      </w:r>
      <w:r w:rsidRPr="00A97052">
        <w:rPr>
          <w:rFonts w:cs="Times New Roman"/>
        </w:rPr>
        <w:t xml:space="preserve"> maintains the distinction between </w:t>
      </w:r>
      <w:r w:rsidRPr="00A97052">
        <w:rPr>
          <w:rFonts w:cs="Times New Roman"/>
          <w:i/>
        </w:rPr>
        <w:t>de jure</w:t>
      </w:r>
      <w:r w:rsidRPr="00A97052">
        <w:rPr>
          <w:rFonts w:cs="Times New Roman"/>
        </w:rPr>
        <w:t xml:space="preserve"> and </w:t>
      </w:r>
      <w:r w:rsidRPr="00A97052">
        <w:rPr>
          <w:rFonts w:cs="Times New Roman"/>
          <w:i/>
        </w:rPr>
        <w:t>de facto</w:t>
      </w:r>
      <w:r w:rsidRPr="00A97052">
        <w:rPr>
          <w:rFonts w:cs="Times New Roman"/>
        </w:rPr>
        <w:t xml:space="preserve"> takings: a </w:t>
      </w:r>
      <w:r w:rsidRPr="00A97052">
        <w:rPr>
          <w:rFonts w:cs="Times New Roman"/>
          <w:i/>
        </w:rPr>
        <w:t>de jure</w:t>
      </w:r>
      <w:r w:rsidRPr="00A97052">
        <w:rPr>
          <w:rFonts w:cs="Times New Roman"/>
        </w:rPr>
        <w:t xml:space="preserve"> taking involves the acquisition of legal title (such as when a public authority invokes the statutory expropriation framework), while a </w:t>
      </w:r>
      <w:r w:rsidRPr="00A97052">
        <w:rPr>
          <w:rFonts w:cs="Times New Roman"/>
          <w:i/>
        </w:rPr>
        <w:t>de facto</w:t>
      </w:r>
      <w:r w:rsidRPr="00A97052">
        <w:rPr>
          <w:rFonts w:cs="Times New Roman"/>
        </w:rPr>
        <w:t xml:space="preserve"> taking involves the acquisition of a proprietary interest without legal title.</w:t>
      </w:r>
    </w:p>
    <w:p w14:paraId="5E69AFF8" w14:textId="77777777" w:rsidR="001A2B0D" w:rsidRPr="00A97052" w:rsidRDefault="001A2B0D" w:rsidP="001A2B0D">
      <w:pPr>
        <w:pStyle w:val="Title3LevelTitre3Niveau"/>
        <w:jc w:val="both"/>
        <w:rPr>
          <w:rFonts w:cs="Times New Roman"/>
        </w:rPr>
      </w:pPr>
      <w:r w:rsidRPr="00A97052">
        <w:rPr>
          <w:rFonts w:cs="Times New Roman"/>
        </w:rPr>
        <w:t xml:space="preserve">A </w:t>
      </w:r>
      <w:r w:rsidRPr="00A97052">
        <w:rPr>
          <w:rFonts w:cs="Times New Roman"/>
          <w:i/>
        </w:rPr>
        <w:t>De Facto</w:t>
      </w:r>
      <w:r w:rsidRPr="00A97052">
        <w:rPr>
          <w:rFonts w:cs="Times New Roman"/>
        </w:rPr>
        <w:t xml:space="preserve"> Taking Requires the Acquisition of and a Corresponding Deprivation of a Proprietary Interest</w:t>
      </w:r>
    </w:p>
    <w:p w14:paraId="1790B894" w14:textId="77777777" w:rsidR="001A2B0D" w:rsidRPr="00A97052" w:rsidRDefault="001A2B0D" w:rsidP="001A2B0D">
      <w:pPr>
        <w:pStyle w:val="ParaNoNdepar-AltN"/>
        <w:rPr>
          <w:rFonts w:cs="Times New Roman"/>
        </w:rPr>
      </w:pPr>
      <w:r w:rsidRPr="00A97052">
        <w:rPr>
          <w:rFonts w:cs="Times New Roman"/>
          <w:i/>
        </w:rPr>
        <w:t>CPR</w:t>
      </w:r>
      <w:r w:rsidRPr="00A97052">
        <w:rPr>
          <w:rFonts w:cs="Times New Roman"/>
        </w:rPr>
        <w:t xml:space="preserve"> and the cases it cited — </w:t>
      </w:r>
      <w:r w:rsidRPr="00A97052">
        <w:rPr>
          <w:rFonts w:cs="Times New Roman"/>
          <w:i/>
        </w:rPr>
        <w:t>Manitoba Fisheries Ltd. v. The Queen</w:t>
      </w:r>
      <w:r w:rsidRPr="00A97052">
        <w:rPr>
          <w:rFonts w:cs="Times New Roman"/>
        </w:rPr>
        <w:t xml:space="preserve">, [1979] 1 S.C.R. 101, </w:t>
      </w:r>
      <w:r w:rsidRPr="00A97052">
        <w:rPr>
          <w:rFonts w:cs="Times New Roman"/>
          <w:i/>
        </w:rPr>
        <w:t>The Queen in Right of the Province of British Columbia v.</w:t>
      </w:r>
      <w:r w:rsidRPr="00A97052">
        <w:rPr>
          <w:rFonts w:cs="Times New Roman"/>
        </w:rPr>
        <w:t xml:space="preserve"> </w:t>
      </w:r>
      <w:r w:rsidRPr="00A97052">
        <w:rPr>
          <w:rFonts w:cs="Times New Roman"/>
          <w:i/>
        </w:rPr>
        <w:t>Tener</w:t>
      </w:r>
      <w:r w:rsidRPr="00A97052">
        <w:rPr>
          <w:rFonts w:cs="Times New Roman"/>
        </w:rPr>
        <w:t xml:space="preserve">, [1985] 1 S.C.R. 533, and </w:t>
      </w:r>
      <w:r w:rsidRPr="00A97052">
        <w:rPr>
          <w:rFonts w:cs="Times New Roman"/>
          <w:i/>
        </w:rPr>
        <w:t>Mariner Real Estate Ltd. v. Nova Scotia (Attorney General)</w:t>
      </w:r>
      <w:r w:rsidRPr="00A97052">
        <w:rPr>
          <w:rFonts w:cs="Times New Roman"/>
        </w:rPr>
        <w:t xml:space="preserve">, 1999 NSCA 98, 177 D.L.R. (4th) 696 — illustrate how the test for a </w:t>
      </w:r>
      <w:r w:rsidRPr="00A97052">
        <w:rPr>
          <w:rFonts w:cs="Times New Roman"/>
          <w:i/>
        </w:rPr>
        <w:t>de facto</w:t>
      </w:r>
      <w:r w:rsidRPr="00A97052">
        <w:rPr>
          <w:rFonts w:cs="Times New Roman"/>
        </w:rPr>
        <w:t xml:space="preserve"> taking should be applied. In two of these cases, the </w:t>
      </w:r>
      <w:r w:rsidRPr="00A97052">
        <w:rPr>
          <w:rFonts w:cs="Times New Roman"/>
          <w:i/>
        </w:rPr>
        <w:t>de facto</w:t>
      </w:r>
      <w:r w:rsidRPr="00A97052">
        <w:rPr>
          <w:rFonts w:cs="Times New Roman"/>
        </w:rPr>
        <w:t xml:space="preserve"> taking claim was accepted (</w:t>
      </w:r>
      <w:r w:rsidRPr="00A97052">
        <w:rPr>
          <w:rFonts w:cs="Times New Roman"/>
          <w:i/>
        </w:rPr>
        <w:t>Manitoba Fisheries</w:t>
      </w:r>
      <w:r w:rsidRPr="00A97052">
        <w:rPr>
          <w:rFonts w:cs="Times New Roman"/>
        </w:rPr>
        <w:t xml:space="preserve"> and </w:t>
      </w:r>
      <w:r w:rsidRPr="00A97052">
        <w:rPr>
          <w:rFonts w:cs="Times New Roman"/>
          <w:i/>
        </w:rPr>
        <w:t>Tener</w:t>
      </w:r>
      <w:r w:rsidRPr="00A97052">
        <w:rPr>
          <w:rFonts w:cs="Times New Roman"/>
        </w:rPr>
        <w:t>); in the other two cases, the claim was rejected (</w:t>
      </w:r>
      <w:r w:rsidRPr="00A97052">
        <w:rPr>
          <w:rFonts w:cs="Times New Roman"/>
          <w:i/>
        </w:rPr>
        <w:t>Mariner</w:t>
      </w:r>
      <w:r w:rsidRPr="00A97052">
        <w:rPr>
          <w:rFonts w:cs="Times New Roman"/>
        </w:rPr>
        <w:t xml:space="preserve"> and </w:t>
      </w:r>
      <w:r w:rsidRPr="00A97052">
        <w:rPr>
          <w:rFonts w:cs="Times New Roman"/>
          <w:i/>
        </w:rPr>
        <w:t>CPR</w:t>
      </w:r>
      <w:r w:rsidRPr="00A97052">
        <w:rPr>
          <w:rFonts w:cs="Times New Roman"/>
        </w:rPr>
        <w:t>). We will briefly discuss each case.</w:t>
      </w:r>
    </w:p>
    <w:p w14:paraId="2605C66E" w14:textId="77777777" w:rsidR="001A2B0D" w:rsidRPr="00A97052" w:rsidRDefault="001A2B0D" w:rsidP="001A2B0D">
      <w:pPr>
        <w:pStyle w:val="Title4LevelTitre4Niveau"/>
        <w:tabs>
          <w:tab w:val="clear" w:pos="900"/>
        </w:tabs>
        <w:jc w:val="both"/>
        <w:rPr>
          <w:rFonts w:cs="Times New Roman"/>
        </w:rPr>
      </w:pPr>
      <w:r w:rsidRPr="00A97052">
        <w:rPr>
          <w:rFonts w:cs="Times New Roman"/>
        </w:rPr>
        <w:t>Manitoba Fisheries</w:t>
      </w:r>
    </w:p>
    <w:p w14:paraId="469A3A6F" w14:textId="77777777" w:rsidR="001A2B0D" w:rsidRPr="00A97052" w:rsidRDefault="001A2B0D" w:rsidP="001A2B0D">
      <w:pPr>
        <w:pStyle w:val="ParaNoNdepar-AltN"/>
        <w:rPr>
          <w:rFonts w:cs="Times New Roman"/>
        </w:rPr>
      </w:pPr>
      <w:r w:rsidRPr="00A97052">
        <w:rPr>
          <w:rFonts w:cs="Times New Roman"/>
        </w:rPr>
        <w:t xml:space="preserve">In </w:t>
      </w:r>
      <w:r w:rsidRPr="00A97052">
        <w:rPr>
          <w:rFonts w:cs="Times New Roman"/>
          <w:i/>
        </w:rPr>
        <w:t>Manitoba Fisheries</w:t>
      </w:r>
      <w:r w:rsidRPr="00A97052">
        <w:rPr>
          <w:rFonts w:cs="Times New Roman"/>
        </w:rPr>
        <w:t xml:space="preserve">, this Court held that federal legislation granting a fish export monopoly to a Crown corporation, which resulted in putting a private fish export company out of business, amounted to a </w:t>
      </w:r>
      <w:r w:rsidRPr="00A97052">
        <w:rPr>
          <w:rFonts w:cs="Times New Roman"/>
          <w:i/>
        </w:rPr>
        <w:t>de facto</w:t>
      </w:r>
      <w:r w:rsidRPr="00A97052">
        <w:rPr>
          <w:rFonts w:cs="Times New Roman"/>
        </w:rPr>
        <w:t xml:space="preserve"> taking of the company’s goodwill. The Court found that the company’s goodwill was “property” (pp. 110 and 118). The legislation involved a </w:t>
      </w:r>
      <w:r w:rsidRPr="00A97052">
        <w:rPr>
          <w:rFonts w:cs="Times New Roman"/>
          <w:i/>
        </w:rPr>
        <w:t>de facto</w:t>
      </w:r>
      <w:r w:rsidRPr="00A97052">
        <w:rPr>
          <w:rFonts w:cs="Times New Roman"/>
        </w:rPr>
        <w:t xml:space="preserve"> (but not a </w:t>
      </w:r>
      <w:r w:rsidRPr="00A97052">
        <w:rPr>
          <w:rFonts w:cs="Times New Roman"/>
          <w:i/>
        </w:rPr>
        <w:t>de jure</w:t>
      </w:r>
      <w:r w:rsidRPr="00A97052">
        <w:rPr>
          <w:rFonts w:cs="Times New Roman"/>
        </w:rPr>
        <w:t xml:space="preserve">) taking because it had “the effect” of depriving the company of its goodwill and transferring it to the Crown </w:t>
      </w:r>
      <w:proofErr w:type="gramStart"/>
      <w:r w:rsidRPr="00A97052">
        <w:rPr>
          <w:rFonts w:cs="Times New Roman"/>
        </w:rPr>
        <w:t>corporation</w:t>
      </w:r>
      <w:proofErr w:type="gramEnd"/>
      <w:r w:rsidRPr="00A97052">
        <w:rPr>
          <w:rFonts w:cs="Times New Roman"/>
        </w:rPr>
        <w:t xml:space="preserve"> (p. 118). The legislation resulted in the company losing all reasonable uses of its goodwill and caused the “obliteration” of its “entire business” (p. 115). The Court also emphasized the correspondence between the acquisition and the deprivation: the company’s lost goodwill was “the same goodwill” that was “by statutory compulsion acquired by the federal authority”; the company was thus “deprived of property which was acquired by the Crown” (p. 110).</w:t>
      </w:r>
    </w:p>
    <w:p w14:paraId="25C09150" w14:textId="77777777" w:rsidR="001A2B0D" w:rsidRPr="00A97052" w:rsidRDefault="001A2B0D" w:rsidP="001A2B0D">
      <w:pPr>
        <w:pStyle w:val="Title4LevelTitre4Niveau"/>
        <w:tabs>
          <w:tab w:val="clear" w:pos="900"/>
        </w:tabs>
        <w:jc w:val="both"/>
        <w:rPr>
          <w:rFonts w:cs="Times New Roman"/>
        </w:rPr>
      </w:pPr>
      <w:r w:rsidRPr="00A97052">
        <w:rPr>
          <w:rFonts w:cs="Times New Roman"/>
        </w:rPr>
        <w:t>Tener</w:t>
      </w:r>
    </w:p>
    <w:p w14:paraId="67936D7F" w14:textId="77777777" w:rsidR="001A2B0D" w:rsidRPr="00A97052" w:rsidRDefault="001A2B0D" w:rsidP="001A2B0D">
      <w:pPr>
        <w:pStyle w:val="ParaNoNdepar-AltN"/>
        <w:rPr>
          <w:rFonts w:cs="Times New Roman"/>
        </w:rPr>
      </w:pPr>
      <w:r w:rsidRPr="00A97052">
        <w:rPr>
          <w:rFonts w:cs="Times New Roman"/>
        </w:rPr>
        <w:t xml:space="preserve">In </w:t>
      </w:r>
      <w:r w:rsidRPr="00A97052">
        <w:rPr>
          <w:rFonts w:cs="Times New Roman"/>
          <w:i/>
        </w:rPr>
        <w:t>Tener</w:t>
      </w:r>
      <w:r w:rsidRPr="00A97052">
        <w:rPr>
          <w:rFonts w:cs="Times New Roman"/>
        </w:rPr>
        <w:t xml:space="preserve">, this Court held that the Crown in right of British Columbia engaged in a </w:t>
      </w:r>
      <w:r w:rsidRPr="00A97052">
        <w:rPr>
          <w:rFonts w:cs="Times New Roman"/>
          <w:i/>
        </w:rPr>
        <w:t>de facto</w:t>
      </w:r>
      <w:r w:rsidRPr="00A97052">
        <w:rPr>
          <w:rFonts w:cs="Times New Roman"/>
        </w:rPr>
        <w:t xml:space="preserve"> taking by refusing to grant park use permits to the owners of registered mineral claims within a provincial park. The effect of refusing the permits was that the mineral rights could not be exploited through extraction. Estey J., for the majority, determined that the Crown’s actions deprived the owners of their ability to access and extract the minerals, a “right” and “property interest” the Crown had granted to them by giving them title to the mineral claims (pp. 553</w:t>
      </w:r>
      <w:r w:rsidRPr="00A97052">
        <w:rPr>
          <w:rFonts w:cs="Times New Roman"/>
        </w:rPr>
        <w:noBreakHyphen/>
        <w:t>54 and 556</w:t>
      </w:r>
      <w:r w:rsidRPr="00A97052">
        <w:rPr>
          <w:rFonts w:cs="Times New Roman"/>
        </w:rPr>
        <w:noBreakHyphen/>
        <w:t xml:space="preserve">57). The Crown had effectively recovered part of the property right by denying access (p. 563). The owners thus retained legal title to a property interest (the registered mineral claims), but that interest was rendered virtually useless. A </w:t>
      </w:r>
      <w:r w:rsidRPr="00A97052">
        <w:rPr>
          <w:rFonts w:cs="Times New Roman"/>
          <w:i/>
        </w:rPr>
        <w:t>de facto</w:t>
      </w:r>
      <w:r w:rsidRPr="00A97052">
        <w:rPr>
          <w:rFonts w:cs="Times New Roman"/>
        </w:rPr>
        <w:t xml:space="preserve"> (but not a </w:t>
      </w:r>
      <w:r w:rsidRPr="00A97052">
        <w:rPr>
          <w:rFonts w:cs="Times New Roman"/>
          <w:i/>
        </w:rPr>
        <w:t>de jure</w:t>
      </w:r>
      <w:r w:rsidRPr="00A97052">
        <w:rPr>
          <w:rFonts w:cs="Times New Roman"/>
        </w:rPr>
        <w:t>) taking was made out. The mineral extraction right, though legally retained, was effectively lost by the owners of the registered claims and effectively recovered by the Crown. The deprivation thus corresponded to the acquisition.</w:t>
      </w:r>
    </w:p>
    <w:p w14:paraId="1DDC8D43" w14:textId="77777777" w:rsidR="001A2B0D" w:rsidRPr="00A97052" w:rsidRDefault="001A2B0D" w:rsidP="001A2B0D">
      <w:pPr>
        <w:pStyle w:val="Title4LevelTitre4Niveau"/>
        <w:tabs>
          <w:tab w:val="clear" w:pos="900"/>
        </w:tabs>
        <w:jc w:val="both"/>
        <w:rPr>
          <w:rFonts w:cs="Times New Roman"/>
        </w:rPr>
      </w:pPr>
      <w:r w:rsidRPr="00A97052">
        <w:rPr>
          <w:rFonts w:cs="Times New Roman"/>
        </w:rPr>
        <w:t>Mariner</w:t>
      </w:r>
    </w:p>
    <w:p w14:paraId="3123FAF0" w14:textId="77777777" w:rsidR="001A2B0D" w:rsidRPr="00A97052" w:rsidRDefault="001A2B0D" w:rsidP="001A2B0D">
      <w:pPr>
        <w:pStyle w:val="ParaNoNdepar-AltN"/>
        <w:rPr>
          <w:rFonts w:cs="Times New Roman"/>
        </w:rPr>
      </w:pPr>
      <w:r w:rsidRPr="00A97052">
        <w:rPr>
          <w:rFonts w:cs="Times New Roman"/>
        </w:rPr>
        <w:t xml:space="preserve">In </w:t>
      </w:r>
      <w:r w:rsidRPr="00A97052">
        <w:rPr>
          <w:rFonts w:cs="Times New Roman"/>
          <w:i/>
        </w:rPr>
        <w:t>Mariner</w:t>
      </w:r>
      <w:r w:rsidRPr="00A97052">
        <w:rPr>
          <w:rFonts w:cs="Times New Roman"/>
        </w:rPr>
        <w:t xml:space="preserve">, the Nova Scotia Court of Appeal held that the province did not engage in a </w:t>
      </w:r>
      <w:r w:rsidRPr="00A97052">
        <w:rPr>
          <w:rFonts w:cs="Times New Roman"/>
          <w:i/>
        </w:rPr>
        <w:t>de facto</w:t>
      </w:r>
      <w:r w:rsidRPr="00A97052">
        <w:rPr>
          <w:rFonts w:cs="Times New Roman"/>
        </w:rPr>
        <w:t xml:space="preserve"> taking of a claimant’s property on a provincial beach by refusing to allow the claimant to build single-family dwellings on the property. Cromwell J.A. (as he then was) affirmed that a </w:t>
      </w:r>
      <w:r w:rsidRPr="00A97052">
        <w:rPr>
          <w:rFonts w:cs="Times New Roman"/>
          <w:i/>
        </w:rPr>
        <w:t>de facto</w:t>
      </w:r>
      <w:r w:rsidRPr="00A97052">
        <w:rPr>
          <w:rFonts w:cs="Times New Roman"/>
        </w:rPr>
        <w:t xml:space="preserve"> taking requires “an </w:t>
      </w:r>
      <w:r w:rsidRPr="00A97052">
        <w:rPr>
          <w:rFonts w:cs="Times New Roman"/>
          <w:i/>
        </w:rPr>
        <w:t>acquisition</w:t>
      </w:r>
      <w:r w:rsidRPr="00A97052">
        <w:rPr>
          <w:rFonts w:cs="Times New Roman"/>
        </w:rPr>
        <w:t xml:space="preserve"> as well as a </w:t>
      </w:r>
      <w:r w:rsidRPr="00A97052">
        <w:rPr>
          <w:rFonts w:cs="Times New Roman"/>
          <w:i/>
        </w:rPr>
        <w:t>deprivation</w:t>
      </w:r>
      <w:r w:rsidRPr="00A97052">
        <w:rPr>
          <w:rFonts w:cs="Times New Roman"/>
        </w:rPr>
        <w:t xml:space="preserve">” (p. 732 (emphasis in original)). He stressed the proprietary nature of what must be acquired (pp. 730 and 732). Cromwell J.A. also highlighted that both </w:t>
      </w:r>
      <w:r w:rsidRPr="00A97052">
        <w:rPr>
          <w:rFonts w:cs="Times New Roman"/>
          <w:i/>
        </w:rPr>
        <w:t>Tener</w:t>
      </w:r>
      <w:r w:rsidRPr="00A97052">
        <w:rPr>
          <w:rFonts w:cs="Times New Roman"/>
        </w:rPr>
        <w:t xml:space="preserve"> and </w:t>
      </w:r>
      <w:r w:rsidRPr="00A97052">
        <w:rPr>
          <w:rFonts w:cs="Times New Roman"/>
          <w:i/>
        </w:rPr>
        <w:t>Manitoba Fisheries</w:t>
      </w:r>
      <w:r w:rsidRPr="00A97052">
        <w:rPr>
          <w:rFonts w:cs="Times New Roman"/>
        </w:rPr>
        <w:t xml:space="preserve"> required the acquisition to correspond to the deprivation: in </w:t>
      </w:r>
      <w:r w:rsidRPr="00A97052">
        <w:rPr>
          <w:rFonts w:cs="Times New Roman"/>
          <w:i/>
        </w:rPr>
        <w:t>Tener</w:t>
      </w:r>
      <w:r w:rsidRPr="00A97052">
        <w:rPr>
          <w:rFonts w:cs="Times New Roman"/>
        </w:rPr>
        <w:t xml:space="preserve">, “the Crown </w:t>
      </w:r>
      <w:r w:rsidRPr="00A97052">
        <w:rPr>
          <w:rFonts w:cs="Times New Roman"/>
          <w:u w:val="single"/>
        </w:rPr>
        <w:t>re-acquired</w:t>
      </w:r>
      <w:r w:rsidRPr="00A97052">
        <w:rPr>
          <w:rFonts w:cs="Times New Roman"/>
        </w:rPr>
        <w:t xml:space="preserve"> in fact, though not in law, the mineral rights” (p. 731 (emphasis added)), while in </w:t>
      </w:r>
      <w:r w:rsidRPr="00A97052">
        <w:rPr>
          <w:rFonts w:cs="Times New Roman"/>
          <w:i/>
        </w:rPr>
        <w:t>Manitoba Fisheries</w:t>
      </w:r>
      <w:r w:rsidRPr="00A97052">
        <w:rPr>
          <w:rFonts w:cs="Times New Roman"/>
        </w:rPr>
        <w:t xml:space="preserve">, “[t]he crucial point . . . is that </w:t>
      </w:r>
      <w:r w:rsidRPr="00A97052">
        <w:rPr>
          <w:rFonts w:cs="Times New Roman"/>
          <w:u w:val="single"/>
        </w:rPr>
        <w:t>the asset which was, in effect, lost by [the private company] was the asset gained, in effect</w:t>
      </w:r>
      <w:r w:rsidRPr="00A97052">
        <w:rPr>
          <w:rFonts w:cs="Times New Roman"/>
        </w:rPr>
        <w:t xml:space="preserve">, by the new federal corporation” (p. 731 (emphasis added)). In </w:t>
      </w:r>
      <w:r w:rsidRPr="00A97052">
        <w:rPr>
          <w:rFonts w:cs="Times New Roman"/>
          <w:i/>
        </w:rPr>
        <w:t>Mariner</w:t>
      </w:r>
      <w:r w:rsidRPr="00A97052">
        <w:rPr>
          <w:rFonts w:cs="Times New Roman"/>
        </w:rPr>
        <w:t xml:space="preserve">, by contrast, there was no </w:t>
      </w:r>
      <w:r w:rsidRPr="00A97052">
        <w:rPr>
          <w:rFonts w:cs="Times New Roman"/>
          <w:i/>
        </w:rPr>
        <w:t>de facto</w:t>
      </w:r>
      <w:r w:rsidRPr="00A97052">
        <w:rPr>
          <w:rFonts w:cs="Times New Roman"/>
        </w:rPr>
        <w:t xml:space="preserve"> taking. Cromwell J.A. held that the “the loss of economic value resulting from land use regulation is not a taking of land” (p. 700). The province had acquired nothing because of the regulatory designation of the property as a beach, and the claimant had not lost virtually all rights of ownership (p. 700). As Cromwell J.A. observed, “[i]n this country, extensive and restrictive land use regulation is the norm. Such regulation has, almost without exception, been found not to constitute compensable expropriation” (p. 713). He decided that, “what is, in form, regulation will be held to be expropriation only when virtually all of the aggregated incidents of ownership have been taken away” (p. 717).</w:t>
      </w:r>
    </w:p>
    <w:p w14:paraId="4C5E9A7C" w14:textId="77777777" w:rsidR="001A2B0D" w:rsidRPr="00A97052" w:rsidRDefault="001A2B0D" w:rsidP="001A2B0D">
      <w:pPr>
        <w:pStyle w:val="Title4LevelTitre4Niveau"/>
        <w:tabs>
          <w:tab w:val="clear" w:pos="900"/>
        </w:tabs>
        <w:jc w:val="both"/>
        <w:rPr>
          <w:rFonts w:cs="Times New Roman"/>
        </w:rPr>
      </w:pPr>
      <w:r w:rsidRPr="00A97052">
        <w:rPr>
          <w:rFonts w:cs="Times New Roman"/>
        </w:rPr>
        <w:t>CPR</w:t>
      </w:r>
    </w:p>
    <w:p w14:paraId="645963F5" w14:textId="77777777" w:rsidR="001A2B0D" w:rsidRPr="00A97052" w:rsidRDefault="001A2B0D" w:rsidP="001A2B0D">
      <w:pPr>
        <w:pStyle w:val="ParaNoNdepar-AltN"/>
        <w:rPr>
          <w:rFonts w:cs="Times New Roman"/>
        </w:rPr>
      </w:pPr>
      <w:r w:rsidRPr="00A97052">
        <w:rPr>
          <w:rFonts w:cs="Times New Roman"/>
        </w:rPr>
        <w:t xml:space="preserve">Finally, in </w:t>
      </w:r>
      <w:r w:rsidRPr="00A97052">
        <w:rPr>
          <w:rFonts w:cs="Times New Roman"/>
          <w:i/>
        </w:rPr>
        <w:t>CPR</w:t>
      </w:r>
      <w:r w:rsidRPr="00A97052">
        <w:rPr>
          <w:rFonts w:cs="Times New Roman"/>
        </w:rPr>
        <w:t xml:space="preserve">, this Court held that the City of Vancouver did not engage in a </w:t>
      </w:r>
      <w:r w:rsidRPr="00A97052">
        <w:rPr>
          <w:rFonts w:cs="Times New Roman"/>
          <w:i/>
        </w:rPr>
        <w:t>de facto</w:t>
      </w:r>
      <w:r w:rsidRPr="00A97052">
        <w:rPr>
          <w:rFonts w:cs="Times New Roman"/>
        </w:rPr>
        <w:t xml:space="preserve"> taking of CPR’s land (a railway corridor) by enacting a by-law refusing to allow CPR to develop the land for residential and commercial uses. McLachlin C.J. determined that the City’s development freeze did not result in it acquiring any beneficial interest in CPR’s land; the freeze was simply an “assurance that the land will be used or developed in accordance with [the City’s] vision, without even precluding the historical or current use of the land” (para. 33). This was “not the sort of benefit” that could be construed as a taking (para. 33). Nor had the City removed all reasonable uses of CPR’s property, because CPR was not precluded from using the land to operate a railway — the only historical use — or from leasing the land or otherwise developing it as permitted by law (para. 34). Thus, CPR suffered no deprivation and the City enjoyed no acquisition. The claim for </w:t>
      </w:r>
      <w:r w:rsidRPr="00A97052">
        <w:rPr>
          <w:rFonts w:cs="Times New Roman"/>
          <w:i/>
        </w:rPr>
        <w:t>de facto</w:t>
      </w:r>
      <w:r w:rsidRPr="00A97052">
        <w:rPr>
          <w:rFonts w:cs="Times New Roman"/>
        </w:rPr>
        <w:t xml:space="preserve"> taking failed.</w:t>
      </w:r>
    </w:p>
    <w:p w14:paraId="545C90D5" w14:textId="77777777" w:rsidR="001A2B0D" w:rsidRPr="00A97052" w:rsidRDefault="001A2B0D" w:rsidP="001A2B0D">
      <w:pPr>
        <w:pStyle w:val="Title4LevelTitre4Niveau"/>
        <w:tabs>
          <w:tab w:val="clear" w:pos="900"/>
        </w:tabs>
        <w:jc w:val="both"/>
        <w:rPr>
          <w:rFonts w:cs="Times New Roman"/>
        </w:rPr>
      </w:pPr>
      <w:r w:rsidRPr="00A97052">
        <w:rPr>
          <w:rFonts w:cs="Times New Roman"/>
        </w:rPr>
        <w:t>Conclusion</w:t>
      </w:r>
    </w:p>
    <w:p w14:paraId="7E2D2B9E" w14:textId="77777777" w:rsidR="001A2B0D" w:rsidRPr="00A97052" w:rsidRDefault="001A2B0D" w:rsidP="001A2B0D">
      <w:pPr>
        <w:pStyle w:val="ParaNoNdepar-AltN"/>
        <w:rPr>
          <w:rFonts w:cs="Times New Roman"/>
        </w:rPr>
      </w:pPr>
      <w:r w:rsidRPr="00A97052">
        <w:rPr>
          <w:rFonts w:cs="Times New Roman"/>
          <w:i/>
        </w:rPr>
        <w:t>CPR</w:t>
      </w:r>
      <w:r w:rsidRPr="00A97052">
        <w:rPr>
          <w:rFonts w:cs="Times New Roman"/>
        </w:rPr>
        <w:t xml:space="preserve"> and the authorities it cited show there is no </w:t>
      </w:r>
      <w:r w:rsidRPr="00A97052">
        <w:rPr>
          <w:rFonts w:cs="Times New Roman"/>
          <w:i/>
        </w:rPr>
        <w:t>de facto</w:t>
      </w:r>
      <w:r w:rsidRPr="00A97052">
        <w:rPr>
          <w:rFonts w:cs="Times New Roman"/>
        </w:rPr>
        <w:t xml:space="preserve"> taking unless there is both the acquisition of a beneficial interest in the property or flowing from it and a removal of all reasonable uses of the property. The interest must be proprietary — not merely an “advantage” — and the acquisition must correspond to the deprivation. These requirements are confirmed by </w:t>
      </w:r>
      <w:r w:rsidRPr="00A97052">
        <w:rPr>
          <w:rFonts w:cs="Times New Roman"/>
          <w:szCs w:val="24"/>
        </w:rPr>
        <w:t xml:space="preserve">K. Horsman and G. Morley, eds., </w:t>
      </w:r>
      <w:r w:rsidRPr="00A97052">
        <w:rPr>
          <w:rFonts w:cs="Times New Roman"/>
          <w:i/>
          <w:szCs w:val="24"/>
        </w:rPr>
        <w:t xml:space="preserve">Government Liability: Law and Practice </w:t>
      </w:r>
      <w:r w:rsidRPr="00A97052">
        <w:rPr>
          <w:rFonts w:cs="Times New Roman"/>
          <w:szCs w:val="24"/>
        </w:rPr>
        <w:t>(loose</w:t>
      </w:r>
      <w:r w:rsidRPr="00A97052">
        <w:rPr>
          <w:rFonts w:cs="Times New Roman"/>
          <w:szCs w:val="24"/>
        </w:rPr>
        <w:noBreakHyphen/>
        <w:t xml:space="preserve">leaf), at </w:t>
      </w:r>
      <w:r w:rsidRPr="00A97052">
        <w:rPr>
          <w:rFonts w:cs="Times New Roman"/>
          <w:szCs w:val="24"/>
          <w:shd w:val="clear" w:color="auto" w:fill="FFFFFF"/>
        </w:rPr>
        <w:t>§ 5:1, which our colleagues rely on (at paras. 18</w:t>
      </w:r>
      <w:r w:rsidRPr="00A97052">
        <w:rPr>
          <w:rFonts w:cs="Times New Roman"/>
          <w:szCs w:val="24"/>
          <w:shd w:val="clear" w:color="auto" w:fill="FFFFFF"/>
        </w:rPr>
        <w:noBreakHyphen/>
        <w:t xml:space="preserve">20): a “taking” is “the forcible </w:t>
      </w:r>
      <w:r w:rsidRPr="00A97052">
        <w:rPr>
          <w:rFonts w:cs="Times New Roman"/>
          <w:szCs w:val="24"/>
          <w:u w:val="single"/>
          <w:shd w:val="clear" w:color="auto" w:fill="FFFFFF"/>
        </w:rPr>
        <w:t>acquisition</w:t>
      </w:r>
      <w:r w:rsidRPr="00A97052">
        <w:rPr>
          <w:rFonts w:cs="Times New Roman"/>
          <w:szCs w:val="24"/>
          <w:shd w:val="clear" w:color="auto" w:fill="FFFFFF"/>
        </w:rPr>
        <w:t xml:space="preserve"> by the Crown of privately owned </w:t>
      </w:r>
      <w:proofErr w:type="gramStart"/>
      <w:r w:rsidRPr="00A97052">
        <w:rPr>
          <w:rFonts w:cs="Times New Roman"/>
          <w:szCs w:val="24"/>
          <w:u w:val="single"/>
          <w:shd w:val="clear" w:color="auto" w:fill="FFFFFF"/>
        </w:rPr>
        <w:t>property</w:t>
      </w:r>
      <w:r w:rsidRPr="00A97052">
        <w:rPr>
          <w:rFonts w:cs="Times New Roman"/>
          <w:szCs w:val="24"/>
          <w:shd w:val="clear" w:color="auto" w:fill="FFFFFF"/>
        </w:rPr>
        <w:t xml:space="preserve"> .</w:t>
      </w:r>
      <w:proofErr w:type="gramEnd"/>
      <w:r w:rsidRPr="00A97052">
        <w:rPr>
          <w:rFonts w:cs="Times New Roman"/>
          <w:szCs w:val="24"/>
          <w:shd w:val="clear" w:color="auto" w:fill="FFFFFF"/>
        </w:rPr>
        <w:t xml:space="preserve"> . . for public purposes” (emphasis added). The authors also recognize that “[i]n takings law, only those rights that are proprietary and </w:t>
      </w:r>
      <w:proofErr w:type="gramStart"/>
      <w:r w:rsidRPr="00A97052">
        <w:rPr>
          <w:rFonts w:cs="Times New Roman"/>
          <w:szCs w:val="24"/>
          <w:shd w:val="clear" w:color="auto" w:fill="FFFFFF"/>
        </w:rPr>
        <w:t>vested .</w:t>
      </w:r>
      <w:proofErr w:type="gramEnd"/>
      <w:r w:rsidRPr="00A97052">
        <w:rPr>
          <w:rFonts w:cs="Times New Roman"/>
          <w:szCs w:val="24"/>
          <w:shd w:val="clear" w:color="auto" w:fill="FFFFFF"/>
        </w:rPr>
        <w:t> . . are compensable” (§ 5:8) and that “Canadian law recognizes that governments have the ability to greatly restrict the potential uses of property without triggering a right to compensation” (§ 5:13).</w:t>
      </w:r>
    </w:p>
    <w:p w14:paraId="25EF5059" w14:textId="77777777" w:rsidR="001A2B0D" w:rsidRPr="00A97052" w:rsidRDefault="001A2B0D" w:rsidP="001A2B0D">
      <w:pPr>
        <w:pStyle w:val="Title3LevelTitre3Niveau"/>
        <w:jc w:val="both"/>
        <w:rPr>
          <w:rFonts w:cs="Times New Roman"/>
        </w:rPr>
      </w:pPr>
      <w:r w:rsidRPr="00A97052">
        <w:rPr>
          <w:rFonts w:cs="Times New Roman"/>
        </w:rPr>
        <w:t>There Is No Basis to Change the Common Law</w:t>
      </w:r>
    </w:p>
    <w:p w14:paraId="68EA3B39" w14:textId="77777777" w:rsidR="001A2B0D" w:rsidRPr="00A97052" w:rsidRDefault="001A2B0D" w:rsidP="001A2B0D">
      <w:pPr>
        <w:pStyle w:val="ParaNoNdepar-AltN"/>
        <w:rPr>
          <w:rFonts w:cs="Times New Roman"/>
        </w:rPr>
      </w:pPr>
      <w:r w:rsidRPr="00A97052">
        <w:rPr>
          <w:rFonts w:cs="Times New Roman"/>
        </w:rPr>
        <w:t xml:space="preserve">We believe our colleagues have provided no basis for this Court to depart from the acquisition requirement as framed in </w:t>
      </w:r>
      <w:r w:rsidRPr="00A97052">
        <w:rPr>
          <w:rFonts w:cs="Times New Roman"/>
          <w:i/>
        </w:rPr>
        <w:t>CPR</w:t>
      </w:r>
      <w:r w:rsidRPr="00A97052">
        <w:rPr>
          <w:rFonts w:cs="Times New Roman"/>
        </w:rPr>
        <w:t xml:space="preserve">. They do not suggest that such a departure from precedent is needed to keep the common law in step with the evolution of society, to clarify a legal principle, or to resolve any inconsistency in the law, which are some of the usual grounds justifying evolution of the common law (see </w:t>
      </w:r>
      <w:proofErr w:type="spellStart"/>
      <w:r w:rsidRPr="00A97052">
        <w:rPr>
          <w:rFonts w:cs="Times New Roman"/>
          <w:i/>
        </w:rPr>
        <w:t>Friedmann</w:t>
      </w:r>
      <w:proofErr w:type="spellEnd"/>
      <w:r w:rsidRPr="00A97052">
        <w:rPr>
          <w:rFonts w:cs="Times New Roman"/>
          <w:i/>
        </w:rPr>
        <w:t xml:space="preserve"> Equity Developments Inc. v. Final Note Ltd.</w:t>
      </w:r>
      <w:r w:rsidRPr="00A97052">
        <w:rPr>
          <w:rFonts w:cs="Times New Roman"/>
        </w:rPr>
        <w:t xml:space="preserve">, 2000 SCC 34, [2000] 1 S.C.R. 842, at para. 42; </w:t>
      </w:r>
      <w:r w:rsidRPr="00A97052">
        <w:rPr>
          <w:rFonts w:cs="Times New Roman"/>
          <w:i/>
        </w:rPr>
        <w:t xml:space="preserve">R. v. </w:t>
      </w:r>
      <w:proofErr w:type="spellStart"/>
      <w:r w:rsidRPr="00A97052">
        <w:rPr>
          <w:rFonts w:cs="Times New Roman"/>
          <w:i/>
        </w:rPr>
        <w:t>Salituro</w:t>
      </w:r>
      <w:proofErr w:type="spellEnd"/>
      <w:r w:rsidRPr="00A97052">
        <w:rPr>
          <w:rFonts w:cs="Times New Roman"/>
        </w:rPr>
        <w:t>, [1991] 3 S.C.R. 654, at pp. 668</w:t>
      </w:r>
      <w:r w:rsidRPr="00A97052">
        <w:rPr>
          <w:rFonts w:cs="Times New Roman"/>
        </w:rPr>
        <w:noBreakHyphen/>
        <w:t>69 and 679).</w:t>
      </w:r>
    </w:p>
    <w:p w14:paraId="7CEEF230" w14:textId="77777777" w:rsidR="001A2B0D" w:rsidRPr="00A97052" w:rsidRDefault="001A2B0D" w:rsidP="001A2B0D">
      <w:pPr>
        <w:pStyle w:val="ParaNoNdepar-AltN"/>
        <w:rPr>
          <w:rFonts w:cs="Times New Roman"/>
        </w:rPr>
      </w:pPr>
      <w:r w:rsidRPr="00A97052">
        <w:rPr>
          <w:rFonts w:cs="Times New Roman"/>
        </w:rPr>
        <w:t xml:space="preserve">To the contrary, courts in common law Canada have applied the </w:t>
      </w:r>
      <w:r w:rsidRPr="00A97052">
        <w:rPr>
          <w:rFonts w:cs="Times New Roman"/>
          <w:i/>
        </w:rPr>
        <w:t>CPR</w:t>
      </w:r>
      <w:r w:rsidRPr="00A97052">
        <w:rPr>
          <w:rFonts w:cs="Times New Roman"/>
        </w:rPr>
        <w:t xml:space="preserve"> test without difficulty. No court has expressed any concern that the test is unworkable or unnecessarily complex (see British Columbia: </w:t>
      </w:r>
      <w:proofErr w:type="spellStart"/>
      <w:r w:rsidRPr="00A97052">
        <w:rPr>
          <w:rFonts w:cs="Times New Roman"/>
          <w:i/>
        </w:rPr>
        <w:t>FortisBC</w:t>
      </w:r>
      <w:proofErr w:type="spellEnd"/>
      <w:r w:rsidRPr="00A97052">
        <w:rPr>
          <w:rFonts w:cs="Times New Roman"/>
          <w:i/>
        </w:rPr>
        <w:t xml:space="preserve"> Energy Inc. v. Surrey (City)</w:t>
      </w:r>
      <w:r w:rsidRPr="00A97052">
        <w:rPr>
          <w:rFonts w:cs="Times New Roman"/>
        </w:rPr>
        <w:t>, 2013 BCSC 2382, 112 L.C.R. 89, at paras. 411 and 418</w:t>
      </w:r>
      <w:r w:rsidRPr="00A97052">
        <w:rPr>
          <w:rFonts w:cs="Times New Roman"/>
        </w:rPr>
        <w:noBreakHyphen/>
        <w:t xml:space="preserve">19; </w:t>
      </w:r>
      <w:r w:rsidRPr="00A97052">
        <w:rPr>
          <w:rFonts w:cs="Times New Roman"/>
          <w:i/>
        </w:rPr>
        <w:t>Compliance Coal Corporation v. British Columbia (Environmental Assessment Office)</w:t>
      </w:r>
      <w:r w:rsidRPr="00A97052">
        <w:rPr>
          <w:rFonts w:cs="Times New Roman"/>
        </w:rPr>
        <w:t xml:space="preserve">, 2020 BCSC 621, 13 L.C.R. (2d) 215, at paras. 92-101; Alberta: </w:t>
      </w:r>
      <w:r w:rsidRPr="00A97052">
        <w:rPr>
          <w:rFonts w:cs="Times New Roman"/>
          <w:i/>
        </w:rPr>
        <w:t>Genesis Land Development Corp. v. Alberta</w:t>
      </w:r>
      <w:r w:rsidRPr="00A97052">
        <w:rPr>
          <w:rFonts w:cs="Times New Roman"/>
        </w:rPr>
        <w:t>, 2009 ABQB 221, 471 A.R. 1, at paras. 127</w:t>
      </w:r>
      <w:r w:rsidRPr="00A97052">
        <w:rPr>
          <w:rFonts w:cs="Times New Roman"/>
        </w:rPr>
        <w:noBreakHyphen/>
        <w:t>29 and 141</w:t>
      </w:r>
      <w:r w:rsidRPr="00A97052">
        <w:rPr>
          <w:rFonts w:cs="Times New Roman"/>
        </w:rPr>
        <w:noBreakHyphen/>
        <w:t xml:space="preserve">42, aff’d 2010 ABCA 148, 477 A.R. 390; </w:t>
      </w:r>
      <w:proofErr w:type="spellStart"/>
      <w:r w:rsidRPr="00A97052">
        <w:rPr>
          <w:rFonts w:cs="Times New Roman"/>
          <w:i/>
        </w:rPr>
        <w:t>Kalmring</w:t>
      </w:r>
      <w:proofErr w:type="spellEnd"/>
      <w:r w:rsidRPr="00A97052">
        <w:rPr>
          <w:rFonts w:cs="Times New Roman"/>
          <w:i/>
        </w:rPr>
        <w:t xml:space="preserve"> v. Alberta</w:t>
      </w:r>
      <w:r w:rsidRPr="00A97052">
        <w:rPr>
          <w:rFonts w:cs="Times New Roman"/>
        </w:rPr>
        <w:t>, 2020 ABQB 81, 11 Alta. L.R. (7th) 177, at paras. 68 and 79</w:t>
      </w:r>
      <w:r w:rsidRPr="00A97052">
        <w:rPr>
          <w:rFonts w:cs="Times New Roman"/>
        </w:rPr>
        <w:noBreakHyphen/>
        <w:t xml:space="preserve">82; </w:t>
      </w:r>
      <w:proofErr w:type="spellStart"/>
      <w:r w:rsidRPr="00A97052">
        <w:rPr>
          <w:rFonts w:cs="Times New Roman"/>
          <w:i/>
        </w:rPr>
        <w:t>Altius</w:t>
      </w:r>
      <w:proofErr w:type="spellEnd"/>
      <w:r w:rsidRPr="00A97052">
        <w:rPr>
          <w:rFonts w:cs="Times New Roman"/>
          <w:i/>
        </w:rPr>
        <w:t xml:space="preserve"> Royalty Corporation v. Alberta</w:t>
      </w:r>
      <w:r w:rsidRPr="00A97052">
        <w:rPr>
          <w:rFonts w:cs="Times New Roman"/>
        </w:rPr>
        <w:t>, 2021 ABQB 3, 23 Alta. L.R. (7th) 105, at paras. 27 and 44</w:t>
      </w:r>
      <w:r w:rsidRPr="00A97052">
        <w:rPr>
          <w:rFonts w:cs="Times New Roman"/>
        </w:rPr>
        <w:noBreakHyphen/>
        <w:t xml:space="preserve">47, aff’d 2022 ABQB 255; Ontario: </w:t>
      </w:r>
      <w:r w:rsidRPr="00A97052">
        <w:rPr>
          <w:rFonts w:cs="Times New Roman"/>
          <w:i/>
        </w:rPr>
        <w:t>Club Pro Adult Entertainment Inc. v. Ontario</w:t>
      </w:r>
      <w:r w:rsidRPr="00A97052">
        <w:rPr>
          <w:rFonts w:cs="Times New Roman"/>
        </w:rPr>
        <w:t xml:space="preserve"> (2006), 27 B.L.R. (4th) 227 (S.C.J.) (“</w:t>
      </w:r>
      <w:r w:rsidRPr="00A97052">
        <w:rPr>
          <w:rFonts w:cs="Times New Roman"/>
          <w:i/>
        </w:rPr>
        <w:t>Club Pro (S.C.J.)</w:t>
      </w:r>
      <w:r w:rsidRPr="00A97052">
        <w:rPr>
          <w:rFonts w:cs="Times New Roman"/>
        </w:rPr>
        <w:t>”), at paras. 77</w:t>
      </w:r>
      <w:r w:rsidRPr="00A97052">
        <w:rPr>
          <w:rFonts w:cs="Times New Roman"/>
        </w:rPr>
        <w:noBreakHyphen/>
        <w:t xml:space="preserve">78 and 82, </w:t>
      </w:r>
      <w:proofErr w:type="spellStart"/>
      <w:r w:rsidRPr="00A97052">
        <w:rPr>
          <w:rFonts w:cs="Times New Roman"/>
        </w:rPr>
        <w:t>rev’d</w:t>
      </w:r>
      <w:proofErr w:type="spellEnd"/>
      <w:r w:rsidRPr="00A97052">
        <w:rPr>
          <w:rFonts w:cs="Times New Roman"/>
        </w:rPr>
        <w:t xml:space="preserve"> in part on other grounds 2008 ONCA 158, 42 B.L.R. (4th) 47; </w:t>
      </w:r>
      <w:proofErr w:type="spellStart"/>
      <w:r w:rsidRPr="00A97052">
        <w:rPr>
          <w:rFonts w:cs="Times New Roman"/>
          <w:i/>
        </w:rPr>
        <w:t>Railink</w:t>
      </w:r>
      <w:proofErr w:type="spellEnd"/>
      <w:r w:rsidRPr="00A97052">
        <w:rPr>
          <w:rFonts w:cs="Times New Roman"/>
          <w:i/>
        </w:rPr>
        <w:t xml:space="preserve"> Canada Ltd. v. Ontario</w:t>
      </w:r>
      <w:r w:rsidRPr="00A97052">
        <w:rPr>
          <w:rFonts w:cs="Times New Roman"/>
        </w:rPr>
        <w:t xml:space="preserve"> (2007), 95 L.C.R. 17 (S.C.J.), at para. 19; Nova Scotia: </w:t>
      </w:r>
      <w:r w:rsidRPr="00A97052">
        <w:rPr>
          <w:rFonts w:cs="Times New Roman"/>
          <w:i/>
        </w:rPr>
        <w:t>Taylor v. Dairy Farmers of Nova Scotia</w:t>
      </w:r>
      <w:r w:rsidRPr="00A97052">
        <w:rPr>
          <w:rFonts w:cs="Times New Roman"/>
        </w:rPr>
        <w:t>, 2010 NSSC 436, 298 N.S.R. (2d) 116, at paras. 74 and 82</w:t>
      </w:r>
      <w:r w:rsidRPr="00A97052">
        <w:rPr>
          <w:rFonts w:cs="Times New Roman"/>
        </w:rPr>
        <w:noBreakHyphen/>
        <w:t xml:space="preserve">85, aff’d 2012 NSCA 1, 311 N.S.R. (2d) 300; Newfoundland and Labrador: </w:t>
      </w:r>
      <w:r w:rsidRPr="00A97052">
        <w:rPr>
          <w:rFonts w:cs="Times New Roman"/>
          <w:i/>
        </w:rPr>
        <w:t>Lynch v. St. John’s (City)</w:t>
      </w:r>
      <w:r w:rsidRPr="00A97052">
        <w:rPr>
          <w:rFonts w:cs="Times New Roman"/>
        </w:rPr>
        <w:t>, 2016 NLCA 35, 400 D.L.R. (4th) 62, at paras. 54</w:t>
      </w:r>
      <w:r w:rsidRPr="00A97052">
        <w:rPr>
          <w:rFonts w:cs="Times New Roman"/>
        </w:rPr>
        <w:noBreakHyphen/>
        <w:t xml:space="preserve">63; </w:t>
      </w:r>
      <w:r w:rsidRPr="00A97052">
        <w:rPr>
          <w:rFonts w:cs="Times New Roman"/>
          <w:i/>
        </w:rPr>
        <w:t>Sun Construction Company Limited v. Conception Bay South (Town)</w:t>
      </w:r>
      <w:r w:rsidRPr="00A97052">
        <w:rPr>
          <w:rFonts w:cs="Times New Roman"/>
        </w:rPr>
        <w:t xml:space="preserve">, 2019 NLSC 102, 87 M.P.L.R. (5th) 256, at paras. 13 and 15; </w:t>
      </w:r>
      <w:r w:rsidRPr="00A97052">
        <w:rPr>
          <w:rFonts w:cs="Times New Roman"/>
          <w:i/>
        </w:rPr>
        <w:t>Gosse v. Conception Bay South (Town)</w:t>
      </w:r>
      <w:r w:rsidRPr="00A97052">
        <w:rPr>
          <w:rFonts w:cs="Times New Roman"/>
        </w:rPr>
        <w:t xml:space="preserve">, 2021 NLCA 23, 16 L.C.R. (2d) 123, at paras. 30 and 46; </w:t>
      </w:r>
      <w:r w:rsidRPr="00A97052">
        <w:rPr>
          <w:rFonts w:cs="Times New Roman"/>
          <w:i/>
        </w:rPr>
        <w:t>KMK Properties Inc. v. St. John’s (City)</w:t>
      </w:r>
      <w:r w:rsidRPr="00A97052">
        <w:rPr>
          <w:rFonts w:cs="Times New Roman"/>
        </w:rPr>
        <w:t>, 2021 NLSC 122, 19 M.P.L.R. (6th) 150, at paras. 18, 40 and 47</w:t>
      </w:r>
      <w:r w:rsidRPr="00A97052">
        <w:rPr>
          <w:rFonts w:cs="Times New Roman"/>
        </w:rPr>
        <w:noBreakHyphen/>
        <w:t xml:space="preserve">50; Federal Court: </w:t>
      </w:r>
      <w:r w:rsidRPr="00A97052">
        <w:rPr>
          <w:rFonts w:cs="Times New Roman"/>
          <w:i/>
        </w:rPr>
        <w:t>Dennis v. Canada</w:t>
      </w:r>
      <w:r w:rsidRPr="00A97052">
        <w:rPr>
          <w:rFonts w:cs="Times New Roman"/>
        </w:rPr>
        <w:t xml:space="preserve">, 2013 FC 1197, 114 L.C.R. 1, at paras. 21-24, aff’d 2014 FCA 232; </w:t>
      </w:r>
      <w:proofErr w:type="spellStart"/>
      <w:r w:rsidRPr="00A97052">
        <w:rPr>
          <w:rFonts w:cs="Times New Roman"/>
          <w:i/>
        </w:rPr>
        <w:t>Calwell</w:t>
      </w:r>
      <w:proofErr w:type="spellEnd"/>
      <w:r w:rsidRPr="00A97052">
        <w:rPr>
          <w:rFonts w:cs="Times New Roman"/>
          <w:i/>
        </w:rPr>
        <w:t xml:space="preserve"> Fishing Ltd. v. Canada</w:t>
      </w:r>
      <w:r w:rsidRPr="00A97052">
        <w:rPr>
          <w:rFonts w:cs="Times New Roman"/>
        </w:rPr>
        <w:t>, 2016 FC 312, at paras. 173 and 249</w:t>
      </w:r>
      <w:r w:rsidRPr="00A97052">
        <w:rPr>
          <w:rFonts w:cs="Times New Roman"/>
        </w:rPr>
        <w:noBreakHyphen/>
        <w:t xml:space="preserve">52 (CanLII); </w:t>
      </w:r>
      <w:r w:rsidRPr="00A97052">
        <w:rPr>
          <w:rFonts w:cs="Times New Roman"/>
          <w:i/>
        </w:rPr>
        <w:t>Anglehart v. Canada</w:t>
      </w:r>
      <w:r w:rsidRPr="00A97052">
        <w:rPr>
          <w:rFonts w:cs="Times New Roman"/>
        </w:rPr>
        <w:t>, 2016 FC 1159, [2017] 2 F.C.R. 74, at paras. 160</w:t>
      </w:r>
      <w:r w:rsidRPr="00A97052">
        <w:rPr>
          <w:rFonts w:cs="Times New Roman"/>
        </w:rPr>
        <w:noBreakHyphen/>
        <w:t xml:space="preserve">61, aff’d 2018 FCA 115, [2019] 1 F.C.R. 504; Yukon Territory: </w:t>
      </w:r>
      <w:r w:rsidRPr="00A97052">
        <w:rPr>
          <w:rFonts w:cs="Times New Roman"/>
          <w:i/>
        </w:rPr>
        <w:t>Northern Cross (Yukon) Ltd. v. Yukon (Energy, Mines and Resources)</w:t>
      </w:r>
      <w:r w:rsidRPr="00A97052">
        <w:rPr>
          <w:rFonts w:cs="Times New Roman"/>
        </w:rPr>
        <w:t xml:space="preserve">, 2021 YKSC 3, 16 L.C.R. (2d) 1, at paras. 285 and 309, </w:t>
      </w:r>
      <w:proofErr w:type="spellStart"/>
      <w:r w:rsidRPr="00A97052">
        <w:rPr>
          <w:rFonts w:cs="Times New Roman"/>
        </w:rPr>
        <w:t>rev’d</w:t>
      </w:r>
      <w:proofErr w:type="spellEnd"/>
      <w:r w:rsidRPr="00A97052">
        <w:rPr>
          <w:rFonts w:cs="Times New Roman"/>
        </w:rPr>
        <w:t xml:space="preserve"> in part on other grounds 2021 YKCA 6, 79 C.C.L.T. (4th) 179). Our colleagues do not suggest that lower courts have applied the </w:t>
      </w:r>
      <w:r w:rsidRPr="00A97052">
        <w:rPr>
          <w:rFonts w:cs="Times New Roman"/>
          <w:i/>
        </w:rPr>
        <w:t>CPR</w:t>
      </w:r>
      <w:r w:rsidRPr="00A97052">
        <w:rPr>
          <w:rFonts w:cs="Times New Roman"/>
        </w:rPr>
        <w:t xml:space="preserve"> test with difficulty but simply assert, without more, that “many” of these courts across Canada have applied the test incorrectly (para. 41).</w:t>
      </w:r>
    </w:p>
    <w:p w14:paraId="75CE1EA2" w14:textId="77777777" w:rsidR="001A2B0D" w:rsidRPr="00A97052" w:rsidRDefault="001A2B0D" w:rsidP="001A2B0D">
      <w:pPr>
        <w:pStyle w:val="ParaNoNdepar-AltN"/>
        <w:rPr>
          <w:rFonts w:cs="Times New Roman"/>
        </w:rPr>
      </w:pPr>
      <w:r w:rsidRPr="00A97052">
        <w:rPr>
          <w:rFonts w:cs="Times New Roman"/>
        </w:rPr>
        <w:t xml:space="preserve">We also note that at least one court has declined to abandon </w:t>
      </w:r>
      <w:r w:rsidRPr="00A97052">
        <w:rPr>
          <w:rFonts w:cs="Times New Roman"/>
          <w:i/>
        </w:rPr>
        <w:t>CPR</w:t>
      </w:r>
      <w:r w:rsidRPr="00A97052">
        <w:rPr>
          <w:rFonts w:cs="Times New Roman"/>
        </w:rPr>
        <w:t>’s acquisition requirement as proposed by Annapolis here (</w:t>
      </w:r>
      <w:proofErr w:type="spellStart"/>
      <w:r w:rsidRPr="00A97052">
        <w:rPr>
          <w:rFonts w:cs="Times New Roman"/>
          <w:i/>
        </w:rPr>
        <w:t>Altius</w:t>
      </w:r>
      <w:proofErr w:type="spellEnd"/>
      <w:r w:rsidRPr="00A97052">
        <w:rPr>
          <w:rFonts w:cs="Times New Roman"/>
          <w:i/>
        </w:rPr>
        <w:t xml:space="preserve"> Royalty Corporation v. Her Majesty the Queen in Right of Alberta</w:t>
      </w:r>
      <w:r w:rsidRPr="00A97052">
        <w:rPr>
          <w:rFonts w:cs="Times New Roman"/>
        </w:rPr>
        <w:t xml:space="preserve">, 2022 ABQB 255, at para. 76 (CanLII)), while another has rejected the suggestion that </w:t>
      </w:r>
      <w:r w:rsidRPr="00A97052">
        <w:rPr>
          <w:rFonts w:cs="Times New Roman"/>
          <w:i/>
        </w:rPr>
        <w:t>CPR</w:t>
      </w:r>
      <w:r w:rsidRPr="00A97052">
        <w:rPr>
          <w:rFonts w:cs="Times New Roman"/>
        </w:rPr>
        <w:t xml:space="preserve"> is inconsistent with </w:t>
      </w:r>
      <w:r w:rsidRPr="00A97052">
        <w:rPr>
          <w:rFonts w:cs="Times New Roman"/>
          <w:i/>
        </w:rPr>
        <w:t>Tener</w:t>
      </w:r>
      <w:r w:rsidRPr="00A97052">
        <w:rPr>
          <w:rFonts w:cs="Times New Roman"/>
        </w:rPr>
        <w:t xml:space="preserve"> and </w:t>
      </w:r>
      <w:r w:rsidRPr="00A97052">
        <w:rPr>
          <w:rFonts w:cs="Times New Roman"/>
          <w:i/>
        </w:rPr>
        <w:t>Manitoba Fisheries</w:t>
      </w:r>
      <w:r w:rsidRPr="00A97052">
        <w:rPr>
          <w:rFonts w:cs="Times New Roman"/>
        </w:rPr>
        <w:t xml:space="preserve"> and has affirmed that the “the law is very settled on this issue” (</w:t>
      </w:r>
      <w:r w:rsidRPr="00A97052">
        <w:rPr>
          <w:rFonts w:cs="Times New Roman"/>
          <w:i/>
        </w:rPr>
        <w:t>Club Pro (S.C.J.)</w:t>
      </w:r>
      <w:r w:rsidRPr="00A97052">
        <w:rPr>
          <w:rFonts w:cs="Times New Roman"/>
        </w:rPr>
        <w:t>, at para. 78, per Spies J.).</w:t>
      </w:r>
    </w:p>
    <w:p w14:paraId="7F7A2F26" w14:textId="77777777" w:rsidR="001A2B0D" w:rsidRPr="00A97052" w:rsidRDefault="001A2B0D" w:rsidP="001A2B0D">
      <w:pPr>
        <w:pStyle w:val="ParaNoNdepar-AltN"/>
        <w:rPr>
          <w:rFonts w:cs="Times New Roman"/>
        </w:rPr>
      </w:pPr>
      <w:r w:rsidRPr="00A97052">
        <w:rPr>
          <w:rFonts w:cs="Times New Roman"/>
        </w:rPr>
        <w:t xml:space="preserve">This confirms, in our view, that </w:t>
      </w:r>
      <w:r w:rsidRPr="00A97052">
        <w:rPr>
          <w:rFonts w:cs="Times New Roman"/>
          <w:i/>
        </w:rPr>
        <w:t>CPR</w:t>
      </w:r>
      <w:r w:rsidRPr="00A97052">
        <w:rPr>
          <w:rFonts w:cs="Times New Roman"/>
        </w:rPr>
        <w:t xml:space="preserve"> is settled law and that there is no reason to change it.</w:t>
      </w:r>
    </w:p>
    <w:p w14:paraId="0D6FC037" w14:textId="77777777" w:rsidR="001A2B0D" w:rsidRPr="00A97052" w:rsidRDefault="001A2B0D" w:rsidP="001A2B0D">
      <w:pPr>
        <w:pStyle w:val="Title3LevelTitre3Niveau"/>
        <w:jc w:val="both"/>
        <w:rPr>
          <w:rFonts w:cs="Times New Roman"/>
        </w:rPr>
      </w:pPr>
      <w:r w:rsidRPr="00A97052">
        <w:rPr>
          <w:rFonts w:cs="Times New Roman"/>
        </w:rPr>
        <w:t xml:space="preserve">Departing From </w:t>
      </w:r>
      <w:r w:rsidRPr="00A97052">
        <w:rPr>
          <w:rFonts w:cs="Times New Roman"/>
          <w:i/>
        </w:rPr>
        <w:t>CPR</w:t>
      </w:r>
      <w:r w:rsidRPr="00A97052">
        <w:rPr>
          <w:rFonts w:cs="Times New Roman"/>
        </w:rPr>
        <w:t xml:space="preserve"> Will Expose Municipalities Across Canada to Significant Financial Liability in Regulating Land Use</w:t>
      </w:r>
    </w:p>
    <w:p w14:paraId="132DB7C1" w14:textId="77777777" w:rsidR="001A2B0D" w:rsidRPr="00A97052" w:rsidRDefault="001A2B0D" w:rsidP="001A2B0D">
      <w:pPr>
        <w:pStyle w:val="ParaNoNdepar-AltN"/>
        <w:rPr>
          <w:rFonts w:cs="Times New Roman"/>
        </w:rPr>
      </w:pPr>
      <w:r w:rsidRPr="00A97052">
        <w:rPr>
          <w:rFonts w:cs="Times New Roman"/>
        </w:rPr>
        <w:t xml:space="preserve">Our colleagues’ reformulation of the acquisition requirement and departure from </w:t>
      </w:r>
      <w:r w:rsidRPr="00A97052">
        <w:rPr>
          <w:rFonts w:cs="Times New Roman"/>
          <w:i/>
        </w:rPr>
        <w:t>CPR</w:t>
      </w:r>
      <w:r w:rsidRPr="00A97052">
        <w:rPr>
          <w:rFonts w:cs="Times New Roman"/>
        </w:rPr>
        <w:t xml:space="preserve"> as precedent has significant ramifications. It dramatically expands the potential liability of municipalities engaged in land use regulation in the public interest and throws into question the settled law that a refusal to up-zone is not a </w:t>
      </w:r>
      <w:r w:rsidRPr="00A97052">
        <w:rPr>
          <w:rFonts w:cs="Times New Roman"/>
          <w:i/>
        </w:rPr>
        <w:t>de facto</w:t>
      </w:r>
      <w:r w:rsidRPr="00A97052">
        <w:rPr>
          <w:rFonts w:cs="Times New Roman"/>
        </w:rPr>
        <w:t xml:space="preserve"> taking.</w:t>
      </w:r>
    </w:p>
    <w:p w14:paraId="5BEF1C50" w14:textId="77777777" w:rsidR="001A2B0D" w:rsidRPr="00A97052" w:rsidRDefault="001A2B0D" w:rsidP="001A2B0D">
      <w:pPr>
        <w:pStyle w:val="ParaNoNdepar-AltN"/>
        <w:rPr>
          <w:rFonts w:cs="Times New Roman"/>
        </w:rPr>
      </w:pPr>
      <w:r w:rsidRPr="00A97052">
        <w:rPr>
          <w:rFonts w:cs="Times New Roman"/>
        </w:rPr>
        <w:t xml:space="preserve">For example, in </w:t>
      </w:r>
      <w:r w:rsidRPr="00A97052">
        <w:rPr>
          <w:rFonts w:cs="Times New Roman"/>
          <w:i/>
        </w:rPr>
        <w:t>Tener</w:t>
      </w:r>
      <w:r w:rsidRPr="00A97052">
        <w:rPr>
          <w:rFonts w:cs="Times New Roman"/>
        </w:rPr>
        <w:t>, at pp. 557 and 564, Estey J. affirmed that “[o]</w:t>
      </w:r>
      <w:proofErr w:type="spellStart"/>
      <w:r w:rsidRPr="00A97052">
        <w:rPr>
          <w:rFonts w:cs="Times New Roman"/>
        </w:rPr>
        <w:t>rdinarily</w:t>
      </w:r>
      <w:proofErr w:type="spellEnd"/>
      <w:r w:rsidRPr="00A97052">
        <w:rPr>
          <w:rFonts w:cs="Times New Roman"/>
        </w:rPr>
        <w:t>, in this country</w:t>
      </w:r>
      <w:proofErr w:type="gramStart"/>
      <w:r w:rsidRPr="00A97052">
        <w:rPr>
          <w:rFonts w:cs="Times New Roman"/>
        </w:rPr>
        <w:t>, .</w:t>
      </w:r>
      <w:proofErr w:type="gramEnd"/>
      <w:r w:rsidRPr="00A97052">
        <w:rPr>
          <w:rFonts w:cs="Times New Roman"/>
        </w:rPr>
        <w:t xml:space="preserve"> . . compensation does not follow zoning either up or down. . . . The imposition of zoning regulation and the regulation of activities on </w:t>
      </w:r>
      <w:proofErr w:type="gramStart"/>
      <w:r w:rsidRPr="00A97052">
        <w:rPr>
          <w:rFonts w:cs="Times New Roman"/>
        </w:rPr>
        <w:t>lands .</w:t>
      </w:r>
      <w:proofErr w:type="gramEnd"/>
      <w:r w:rsidRPr="00A97052">
        <w:rPr>
          <w:rFonts w:cs="Times New Roman"/>
        </w:rPr>
        <w:t> . . add nothing to the value of public property.”</w:t>
      </w:r>
    </w:p>
    <w:p w14:paraId="7F1E018D" w14:textId="77777777" w:rsidR="001A2B0D" w:rsidRPr="00A97052" w:rsidRDefault="001A2B0D" w:rsidP="001A2B0D">
      <w:pPr>
        <w:pStyle w:val="ParaNoNdepar-AltN"/>
        <w:rPr>
          <w:rFonts w:cs="Times New Roman"/>
        </w:rPr>
      </w:pPr>
      <w:r w:rsidRPr="00A97052">
        <w:rPr>
          <w:rFonts w:cs="Times New Roman"/>
        </w:rPr>
        <w:t xml:space="preserve">Similarly, in </w:t>
      </w:r>
      <w:r w:rsidRPr="00A97052">
        <w:rPr>
          <w:rFonts w:cs="Times New Roman"/>
          <w:i/>
        </w:rPr>
        <w:t>Mariner</w:t>
      </w:r>
      <w:r w:rsidRPr="00A97052">
        <w:rPr>
          <w:rFonts w:cs="Times New Roman"/>
        </w:rPr>
        <w:t xml:space="preserve">, at pp. 713 and 734, Cromwell J.A. stated that “[i]t is settled </w:t>
      </w:r>
      <w:proofErr w:type="gramStart"/>
      <w:r w:rsidRPr="00A97052">
        <w:rPr>
          <w:rFonts w:cs="Times New Roman"/>
        </w:rPr>
        <w:t>law .</w:t>
      </w:r>
      <w:proofErr w:type="gramEnd"/>
      <w:r w:rsidRPr="00A97052">
        <w:rPr>
          <w:rFonts w:cs="Times New Roman"/>
        </w:rPr>
        <w:t> . . that the regulation of land use which has the effect of decreasing the value of the land is not an expropriation. . . . [O]</w:t>
      </w:r>
      <w:proofErr w:type="spellStart"/>
      <w:r w:rsidRPr="00A97052">
        <w:rPr>
          <w:rFonts w:cs="Times New Roman"/>
        </w:rPr>
        <w:t>rdinarily</w:t>
      </w:r>
      <w:proofErr w:type="spellEnd"/>
      <w:r w:rsidRPr="00A97052">
        <w:rPr>
          <w:rFonts w:cs="Times New Roman"/>
        </w:rPr>
        <w:t xml:space="preserve"> compensation does not follow zoning either up or down. . . . Development freezes have consistently been held not to give rise to rights of compensation”.</w:t>
      </w:r>
    </w:p>
    <w:p w14:paraId="3D2E6BEB" w14:textId="77777777" w:rsidR="001A2B0D" w:rsidRPr="00A97052" w:rsidRDefault="001A2B0D" w:rsidP="001A2B0D">
      <w:pPr>
        <w:pStyle w:val="ParaNoNdepar-AltN"/>
        <w:rPr>
          <w:rFonts w:cs="Times New Roman"/>
        </w:rPr>
      </w:pPr>
      <w:r w:rsidRPr="00A97052">
        <w:rPr>
          <w:rFonts w:cs="Times New Roman"/>
        </w:rPr>
        <w:t xml:space="preserve">This settled law, which our colleagues propose now to set aside, was helpfully summarized by E. C. E. Todd in </w:t>
      </w:r>
      <w:r w:rsidRPr="00A97052">
        <w:rPr>
          <w:rFonts w:cs="Times New Roman"/>
          <w:i/>
        </w:rPr>
        <w:t>The Law of Expropriation and Compensation in Canada</w:t>
      </w:r>
      <w:r w:rsidRPr="00A97052">
        <w:rPr>
          <w:rFonts w:cs="Times New Roman"/>
        </w:rPr>
        <w:t xml:space="preserve"> (2nd ed. 1992), at pp. 22</w:t>
      </w:r>
      <w:r w:rsidRPr="00A97052">
        <w:rPr>
          <w:rFonts w:cs="Times New Roman"/>
        </w:rPr>
        <w:noBreakHyphen/>
        <w:t>23:</w:t>
      </w:r>
    </w:p>
    <w:p w14:paraId="38EEED37" w14:textId="77777777" w:rsidR="001A2B0D" w:rsidRPr="00A97052" w:rsidRDefault="001A2B0D" w:rsidP="001A2B0D">
      <w:pPr>
        <w:pStyle w:val="Citation-AltC"/>
      </w:pPr>
      <w:r w:rsidRPr="00A97052">
        <w:t>By the imposition, removal or alteration of land use controls a public authority may dramatically increase, or decrease, the value of land by changing the permitted uses which may be made of it. In such a case, in the absence of express statutory provision to the contrary an owner is not entitled to compensation or any other remedy notwithstanding that subdivision approval or rezoning is refused or development is blocked or frozen pursuant to statutory planning powers in order, for example, to facilitate the future acquisition of the land for public purposes. [Footnotes omitted.]</w:t>
      </w:r>
    </w:p>
    <w:p w14:paraId="410F1E76" w14:textId="77777777" w:rsidR="001A2B0D" w:rsidRPr="00A97052" w:rsidRDefault="001A2B0D" w:rsidP="001A2B0D">
      <w:pPr>
        <w:pStyle w:val="ParaNoNdepar-AltN"/>
        <w:numPr>
          <w:ilvl w:val="0"/>
          <w:numId w:val="0"/>
        </w:numPr>
        <w:rPr>
          <w:rFonts w:cs="Times New Roman"/>
        </w:rPr>
      </w:pPr>
      <w:r w:rsidRPr="00A97052">
        <w:rPr>
          <w:rFonts w:cs="Times New Roman"/>
        </w:rPr>
        <w:t xml:space="preserve">See also S. E. Hamill, “Common Law Property Theory and Jurisprudence in Canada” (2015), 40 </w:t>
      </w:r>
      <w:r w:rsidRPr="00A97052">
        <w:rPr>
          <w:rFonts w:cs="Times New Roman"/>
          <w:i/>
        </w:rPr>
        <w:t>Queen’s L.J.</w:t>
      </w:r>
      <w:r w:rsidRPr="00A97052">
        <w:rPr>
          <w:rFonts w:cs="Times New Roman"/>
        </w:rPr>
        <w:t xml:space="preserve"> 679, at p. 703 (“So long as the owner can continue to use their property as they always have, they cannot be considered to have suffered a legally recognizable loss”); S. M. Makuch, N. Craik and S. B. </w:t>
      </w:r>
      <w:proofErr w:type="spellStart"/>
      <w:r w:rsidRPr="00A97052">
        <w:rPr>
          <w:rFonts w:cs="Times New Roman"/>
        </w:rPr>
        <w:t>Leisk</w:t>
      </w:r>
      <w:proofErr w:type="spellEnd"/>
      <w:r w:rsidRPr="00A97052">
        <w:rPr>
          <w:rFonts w:cs="Times New Roman"/>
        </w:rPr>
        <w:t xml:space="preserve">, </w:t>
      </w:r>
      <w:r w:rsidRPr="00A97052">
        <w:rPr>
          <w:rFonts w:cs="Times New Roman"/>
          <w:i/>
        </w:rPr>
        <w:t>Canadian Municipal and Planning Law</w:t>
      </w:r>
      <w:r w:rsidRPr="00A97052">
        <w:rPr>
          <w:rFonts w:cs="Times New Roman"/>
        </w:rPr>
        <w:t xml:space="preserve"> (2nd ed. 2004), at p. 212 (“the courts would be well advised to remain true to their traditional approach, which is in keeping with the general assumptions of no compensation for planning decisions and of allowing municipalities to allocate the benefits and burdens of planning”).</w:t>
      </w:r>
    </w:p>
    <w:p w14:paraId="7C1079A4" w14:textId="77777777" w:rsidR="001A2B0D" w:rsidRPr="00A97052" w:rsidRDefault="001A2B0D" w:rsidP="001A2B0D">
      <w:pPr>
        <w:pStyle w:val="Title2LevelTitre2Niveau"/>
        <w:jc w:val="both"/>
        <w:rPr>
          <w:rFonts w:cs="Times New Roman"/>
        </w:rPr>
      </w:pPr>
      <w:r w:rsidRPr="00A97052">
        <w:rPr>
          <w:rFonts w:cs="Times New Roman"/>
        </w:rPr>
        <w:t>Intention Is Not a Material Fact for a Claim of De Facto Taking</w:t>
      </w:r>
    </w:p>
    <w:p w14:paraId="1F17948C" w14:textId="77777777" w:rsidR="001A2B0D" w:rsidRPr="00A97052" w:rsidRDefault="001A2B0D" w:rsidP="001A2B0D">
      <w:pPr>
        <w:pStyle w:val="ParaNoNdepar-AltN"/>
        <w:rPr>
          <w:rFonts w:cs="Times New Roman"/>
        </w:rPr>
      </w:pPr>
      <w:r w:rsidRPr="00A97052">
        <w:rPr>
          <w:rFonts w:cs="Times New Roman"/>
        </w:rPr>
        <w:t xml:space="preserve">We are also of the respectful view that our colleagues further depart from precedent when they say that “intent may constitute a ‘material fact’ in the context of a constructive expropriation claim” (para. 53). This statement contradicts their affirmation that “[t]he public authority’s intention is not an </w:t>
      </w:r>
      <w:r w:rsidRPr="00A97052">
        <w:rPr>
          <w:rFonts w:cs="Times New Roman"/>
          <w:i/>
        </w:rPr>
        <w:t>element</w:t>
      </w:r>
      <w:r w:rsidRPr="00A97052">
        <w:rPr>
          <w:rFonts w:cs="Times New Roman"/>
        </w:rPr>
        <w:t xml:space="preserve"> of the test for constructive takings at common law” (para. 52 (emphasis in original)) and that “the underlying objective pursued by a public </w:t>
      </w:r>
      <w:proofErr w:type="gramStart"/>
      <w:r w:rsidRPr="00A97052">
        <w:rPr>
          <w:rFonts w:cs="Times New Roman"/>
        </w:rPr>
        <w:t>authority .</w:t>
      </w:r>
      <w:proofErr w:type="gramEnd"/>
      <w:r w:rsidRPr="00A97052">
        <w:rPr>
          <w:rFonts w:cs="Times New Roman"/>
        </w:rPr>
        <w:t xml:space="preserve"> . . is neither necessary nor sufficient” (para. 57). In our view, intention is not an element of the test for a </w:t>
      </w:r>
      <w:r w:rsidRPr="00A97052">
        <w:rPr>
          <w:rFonts w:cs="Times New Roman"/>
          <w:i/>
        </w:rPr>
        <w:t>de facto</w:t>
      </w:r>
      <w:r w:rsidRPr="00A97052">
        <w:rPr>
          <w:rFonts w:cs="Times New Roman"/>
        </w:rPr>
        <w:t xml:space="preserve"> or constructive taking; it is equally not a material fact supporting such a claim.</w:t>
      </w:r>
    </w:p>
    <w:p w14:paraId="66AA7E06" w14:textId="77777777" w:rsidR="001A2B0D" w:rsidRPr="00A97052" w:rsidRDefault="001A2B0D" w:rsidP="001A2B0D">
      <w:pPr>
        <w:pStyle w:val="ParaNoNdepar-AltN"/>
        <w:rPr>
          <w:rFonts w:cs="Times New Roman"/>
        </w:rPr>
      </w:pPr>
      <w:r w:rsidRPr="00A97052">
        <w:rPr>
          <w:rFonts w:cs="Times New Roman"/>
        </w:rPr>
        <w:t xml:space="preserve">Our colleagues seek to reconcile their inconsistent positions by saying that “the intention to take constructively, if proven by the claimant, may support a finding that the landowner has lost all reasonable uses of their land” (para. 53). Again, we disagree. Although the public authority’s intention may provide narrative background or context or may be relevant to an administrative law claim that its actions were </w:t>
      </w:r>
      <w:r w:rsidRPr="00A97052">
        <w:rPr>
          <w:rFonts w:cs="Times New Roman"/>
          <w:i/>
        </w:rPr>
        <w:t>ultra vires</w:t>
      </w:r>
      <w:r w:rsidRPr="00A97052">
        <w:rPr>
          <w:rFonts w:cs="Times New Roman"/>
        </w:rPr>
        <w:t xml:space="preserve"> as having an improper purpose or being in bad faith (see </w:t>
      </w:r>
      <w:r w:rsidRPr="00A97052">
        <w:rPr>
          <w:rFonts w:cs="Times New Roman"/>
          <w:i/>
        </w:rPr>
        <w:t>Catalyst Paper Corp. v. North Cowichan (District)</w:t>
      </w:r>
      <w:r w:rsidRPr="00A97052">
        <w:rPr>
          <w:rFonts w:cs="Times New Roman"/>
        </w:rPr>
        <w:t xml:space="preserve">, 2012 SCC 2, [2012] 1 S.C.R. 5, at para. 28; </w:t>
      </w:r>
      <w:r w:rsidRPr="00A97052">
        <w:rPr>
          <w:rFonts w:cs="Times New Roman"/>
          <w:i/>
        </w:rPr>
        <w:t>Mariner</w:t>
      </w:r>
      <w:r w:rsidRPr="00A97052">
        <w:rPr>
          <w:rFonts w:cs="Times New Roman"/>
        </w:rPr>
        <w:t>, at pp. 717</w:t>
      </w:r>
      <w:r w:rsidRPr="00A97052">
        <w:rPr>
          <w:rFonts w:cs="Times New Roman"/>
        </w:rPr>
        <w:noBreakHyphen/>
        <w:t xml:space="preserve">18; </w:t>
      </w:r>
      <w:r w:rsidRPr="00A97052">
        <w:rPr>
          <w:rFonts w:cs="Times New Roman"/>
          <w:i/>
        </w:rPr>
        <w:t>CPR</w:t>
      </w:r>
      <w:r w:rsidRPr="00A97052">
        <w:rPr>
          <w:rFonts w:cs="Times New Roman"/>
        </w:rPr>
        <w:t>, at paras. 10</w:t>
      </w:r>
      <w:r w:rsidRPr="00A97052">
        <w:rPr>
          <w:rFonts w:cs="Times New Roman"/>
        </w:rPr>
        <w:noBreakHyphen/>
        <w:t xml:space="preserve">37), it is not relevant to a </w:t>
      </w:r>
      <w:r w:rsidRPr="00A97052">
        <w:rPr>
          <w:rFonts w:cs="Times New Roman"/>
          <w:i/>
        </w:rPr>
        <w:t>de facto</w:t>
      </w:r>
      <w:r w:rsidRPr="00A97052">
        <w:rPr>
          <w:rFonts w:cs="Times New Roman"/>
        </w:rPr>
        <w:t xml:space="preserve"> taking claim, which is concerned with the effect of the public authority’s actions, not with its intention.</w:t>
      </w:r>
    </w:p>
    <w:p w14:paraId="35B18ABD" w14:textId="77777777" w:rsidR="001A2B0D" w:rsidRPr="00A97052" w:rsidRDefault="001A2B0D" w:rsidP="001A2B0D">
      <w:pPr>
        <w:pStyle w:val="ParaNoNdepar-AltN"/>
        <w:rPr>
          <w:rFonts w:cs="Times New Roman"/>
        </w:rPr>
      </w:pPr>
      <w:r w:rsidRPr="00A97052">
        <w:rPr>
          <w:rFonts w:cs="Times New Roman"/>
        </w:rPr>
        <w:t xml:space="preserve">On our reading, none of the three authorities cited by our colleagues support their position that intention is a material fact for a </w:t>
      </w:r>
      <w:r w:rsidRPr="00A97052">
        <w:rPr>
          <w:rFonts w:cs="Times New Roman"/>
          <w:i/>
        </w:rPr>
        <w:t>de facto</w:t>
      </w:r>
      <w:r w:rsidRPr="00A97052">
        <w:rPr>
          <w:rFonts w:cs="Times New Roman"/>
        </w:rPr>
        <w:t xml:space="preserve"> taking claim. Our colleagues first rely, at para. 54, on </w:t>
      </w:r>
      <w:r w:rsidRPr="00A97052">
        <w:rPr>
          <w:rFonts w:cs="Times New Roman"/>
          <w:i/>
        </w:rPr>
        <w:t>Ulster Transport Authority v. James Brown &amp; Sons, Ltd.</w:t>
      </w:r>
      <w:r w:rsidRPr="00A97052">
        <w:rPr>
          <w:rFonts w:cs="Times New Roman"/>
        </w:rPr>
        <w:t xml:space="preserve">, [1953] N.I. 79 (C.A.) (cited in </w:t>
      </w:r>
      <w:r w:rsidRPr="00A97052">
        <w:rPr>
          <w:rFonts w:cs="Times New Roman"/>
          <w:i/>
        </w:rPr>
        <w:t>Manitoba Fisheries</w:t>
      </w:r>
      <w:r w:rsidRPr="00A97052">
        <w:rPr>
          <w:rFonts w:cs="Times New Roman"/>
        </w:rPr>
        <w:t xml:space="preserve">), at pp. 113 and 116. But the issue in </w:t>
      </w:r>
      <w:r w:rsidRPr="00A97052">
        <w:rPr>
          <w:rFonts w:cs="Times New Roman"/>
          <w:i/>
        </w:rPr>
        <w:t>Ulster</w:t>
      </w:r>
      <w:r w:rsidRPr="00A97052">
        <w:rPr>
          <w:rFonts w:cs="Times New Roman"/>
        </w:rPr>
        <w:t xml:space="preserve"> was whether legislation purporting to limit the business of furniture removers, properly interpreted, was </w:t>
      </w:r>
      <w:r w:rsidRPr="00A97052">
        <w:rPr>
          <w:rFonts w:cs="Times New Roman"/>
          <w:i/>
        </w:rPr>
        <w:t>ultra vires</w:t>
      </w:r>
      <w:r w:rsidRPr="00A97052">
        <w:rPr>
          <w:rFonts w:cs="Times New Roman"/>
        </w:rPr>
        <w:t xml:space="preserve"> for effectively taking property without compensation, contrary to a statutory prohibition of such taking. The discussion of intention in </w:t>
      </w:r>
      <w:r w:rsidRPr="00A97052">
        <w:rPr>
          <w:rFonts w:cs="Times New Roman"/>
          <w:i/>
        </w:rPr>
        <w:t>Ulster</w:t>
      </w:r>
      <w:r w:rsidRPr="00A97052">
        <w:rPr>
          <w:rFonts w:cs="Times New Roman"/>
        </w:rPr>
        <w:t xml:space="preserve"> concerned legislative intention, as objectively expressed, rather than the subjective intention or motive of the public authority responsible for the taking. </w:t>
      </w:r>
      <w:proofErr w:type="spellStart"/>
      <w:r w:rsidRPr="00A97052">
        <w:rPr>
          <w:rFonts w:cs="Times New Roman"/>
        </w:rPr>
        <w:t>MacDermott</w:t>
      </w:r>
      <w:proofErr w:type="spellEnd"/>
      <w:r w:rsidRPr="00A97052">
        <w:rPr>
          <w:rFonts w:cs="Times New Roman"/>
        </w:rPr>
        <w:t xml:space="preserve"> L.C.J. referred to “deliberate and intentional” drafting but asked what the “intention [of the legislation] was” and invoked the principle that “Parliament must be presumed to intend the necessary effect of its enactments” (p. 112). He added, at p. 114: “Whatever in fact [the Legislature’s] motives may have been, the intention of the Legislature, as gleaned from its terms, is what must guide the </w:t>
      </w:r>
      <w:proofErr w:type="gramStart"/>
      <w:r w:rsidRPr="00A97052">
        <w:rPr>
          <w:rFonts w:cs="Times New Roman"/>
        </w:rPr>
        <w:t>court .</w:t>
      </w:r>
      <w:proofErr w:type="gramEnd"/>
      <w:r w:rsidRPr="00A97052">
        <w:rPr>
          <w:rFonts w:cs="Times New Roman"/>
        </w:rPr>
        <w:t> . . .”</w:t>
      </w:r>
    </w:p>
    <w:p w14:paraId="77245756" w14:textId="77777777" w:rsidR="001A2B0D" w:rsidRPr="00A97052" w:rsidRDefault="001A2B0D" w:rsidP="001A2B0D">
      <w:pPr>
        <w:pStyle w:val="ParaNoNdepar-AltN"/>
        <w:rPr>
          <w:rFonts w:cs="Times New Roman"/>
        </w:rPr>
      </w:pPr>
      <w:r w:rsidRPr="00A97052">
        <w:rPr>
          <w:rFonts w:cs="Times New Roman"/>
        </w:rPr>
        <w:t xml:space="preserve">Second, our colleagues, at para. 55, rely on </w:t>
      </w:r>
      <w:r w:rsidRPr="00A97052">
        <w:rPr>
          <w:rFonts w:cs="Times New Roman"/>
          <w:i/>
        </w:rPr>
        <w:t>Lynch</w:t>
      </w:r>
      <w:r w:rsidRPr="00A97052">
        <w:rPr>
          <w:rFonts w:cs="Times New Roman"/>
        </w:rPr>
        <w:t xml:space="preserve">, at paras. 60 and 62, which considered whether the City of St. John’s refusal to permit development amounted to expropriation of the claimants’ property. The effect of the City’s action was to take away the claimants’ right to appropriate the groundwater from their property and to give the City a beneficial interest in the property, consisting of the right to a continuous flow of uncontaminated groundwater. The claimants’ property rights flowing from a Crown grant were thereby reduced. But neither the cited paragraphs nor the decision as a whole suggest that intention is a material fact for a </w:t>
      </w:r>
      <w:r w:rsidRPr="00A97052">
        <w:rPr>
          <w:rFonts w:cs="Times New Roman"/>
          <w:i/>
        </w:rPr>
        <w:t>de facto</w:t>
      </w:r>
      <w:r w:rsidRPr="00A97052">
        <w:rPr>
          <w:rFonts w:cs="Times New Roman"/>
        </w:rPr>
        <w:t xml:space="preserve"> taking claim. The case concerned the effect of the City’s actions that “purported” to remove the claimants’ right to appropriate groundwater on their land (para. 60).</w:t>
      </w:r>
    </w:p>
    <w:p w14:paraId="483786E9" w14:textId="77777777" w:rsidR="001A2B0D" w:rsidRPr="00A97052" w:rsidRDefault="001A2B0D" w:rsidP="001A2B0D">
      <w:pPr>
        <w:pStyle w:val="ParaNoNdepar-AltN"/>
        <w:rPr>
          <w:rFonts w:cs="Times New Roman"/>
        </w:rPr>
      </w:pPr>
      <w:r w:rsidRPr="00A97052">
        <w:rPr>
          <w:rFonts w:cs="Times New Roman"/>
        </w:rPr>
        <w:t>Finally, our colleagues, at para. </w:t>
      </w:r>
      <w:r w:rsidRPr="00A97052">
        <w:rPr>
          <w:rFonts w:cs="Times New Roman"/>
          <w:lang w:val="en-US"/>
        </w:rPr>
        <w:t xml:space="preserve">56, rely on </w:t>
      </w:r>
      <w:r w:rsidRPr="00A97052">
        <w:rPr>
          <w:rFonts w:cs="Times New Roman"/>
          <w:i/>
          <w:lang w:val="en-US"/>
        </w:rPr>
        <w:t xml:space="preserve">Montréal (Ville) v. </w:t>
      </w:r>
      <w:r w:rsidRPr="00A97052">
        <w:rPr>
          <w:rFonts w:cs="Times New Roman"/>
          <w:i/>
        </w:rPr>
        <w:t>Benjamin</w:t>
      </w:r>
      <w:r w:rsidRPr="00A97052">
        <w:rPr>
          <w:rFonts w:cs="Times New Roman"/>
        </w:rPr>
        <w:t xml:space="preserve">, 2004 CanLII 44591 (Que. C.A.), which considered whether a zoning by-law and the City of Montréal’s actions in fencing off the owner’s land to include it within a public park amounted to “disguised expropriation” under Quebec civil law. Our colleagues write that the City “manifested its intention” by refusing to remove various structures on the claimant’s land and its “intent buttressed the finding of disguised expropriation”. But our colleagues’ reference to the “manifested” intention shows that the proper focus is on the effect, or intention as expressed, rather than intention itself. And any intention that “buttressed” a finding of disguised expropriation only confirmed such a prior finding; it did not help establish that finding. In </w:t>
      </w:r>
      <w:r w:rsidRPr="00A97052">
        <w:rPr>
          <w:rFonts w:cs="Times New Roman"/>
          <w:szCs w:val="24"/>
          <w:lang w:val="en-US"/>
        </w:rPr>
        <w:t xml:space="preserve">our respectful view, </w:t>
      </w:r>
      <w:r w:rsidRPr="00A97052">
        <w:rPr>
          <w:rFonts w:cs="Times New Roman"/>
          <w:i/>
          <w:szCs w:val="24"/>
          <w:lang w:val="en-US"/>
        </w:rPr>
        <w:t>Benjamin</w:t>
      </w:r>
      <w:r w:rsidRPr="00A97052">
        <w:rPr>
          <w:rFonts w:cs="Times New Roman"/>
          <w:szCs w:val="24"/>
          <w:lang w:val="en-US"/>
        </w:rPr>
        <w:t xml:space="preserve"> does not support the relevance of intention to a </w:t>
      </w:r>
      <w:r w:rsidRPr="00A97052">
        <w:rPr>
          <w:rFonts w:cs="Times New Roman"/>
          <w:i/>
          <w:szCs w:val="24"/>
          <w:lang w:val="en-US"/>
        </w:rPr>
        <w:t>de facto</w:t>
      </w:r>
      <w:r w:rsidRPr="00A97052">
        <w:rPr>
          <w:rFonts w:cs="Times New Roman"/>
          <w:szCs w:val="24"/>
          <w:lang w:val="en-US"/>
        </w:rPr>
        <w:t xml:space="preserve"> taking claim.</w:t>
      </w:r>
    </w:p>
    <w:p w14:paraId="153F7E7A" w14:textId="77777777" w:rsidR="001A2B0D" w:rsidRPr="00A97052" w:rsidRDefault="001A2B0D" w:rsidP="001A2B0D">
      <w:pPr>
        <w:pStyle w:val="ParaNoNdepar-AltN"/>
        <w:rPr>
          <w:rFonts w:cs="Times New Roman"/>
          <w:lang w:val="en-US"/>
        </w:rPr>
      </w:pPr>
      <w:r w:rsidRPr="00A97052">
        <w:rPr>
          <w:rFonts w:cs="Times New Roman"/>
        </w:rPr>
        <w:t>The mention of [</w:t>
      </w:r>
      <w:r w:rsidRPr="00A97052">
        <w:rPr>
          <w:rFonts w:cs="Times New Roman"/>
          <w:smallCaps/>
        </w:rPr>
        <w:t>translation</w:t>
      </w:r>
      <w:r w:rsidRPr="00A97052">
        <w:rPr>
          <w:rFonts w:cs="Times New Roman"/>
        </w:rPr>
        <w:t>] “</w:t>
      </w:r>
      <w:r w:rsidRPr="00A97052">
        <w:rPr>
          <w:rFonts w:cs="Times New Roman"/>
          <w:lang w:val="en-US"/>
        </w:rPr>
        <w:t>abuse of right”</w:t>
      </w:r>
      <w:r w:rsidRPr="00A97052">
        <w:rPr>
          <w:rFonts w:cs="Times New Roman"/>
        </w:rPr>
        <w:t xml:space="preserve"> in </w:t>
      </w:r>
      <w:r w:rsidRPr="00A97052">
        <w:rPr>
          <w:rFonts w:cs="Times New Roman"/>
          <w:i/>
        </w:rPr>
        <w:t>Benjamin</w:t>
      </w:r>
      <w:r w:rsidRPr="00A97052">
        <w:rPr>
          <w:rFonts w:cs="Times New Roman"/>
        </w:rPr>
        <w:t xml:space="preserve"> does not suggest otherwise. A “disguised expropriation” is in itself an abuse of power, because a municipal government that uses its regulatory power to deprive an owner of the enjoyment of their property acts in a manner inconsistent with the municipality’s delegated authority (</w:t>
      </w:r>
      <w:r w:rsidRPr="00A97052">
        <w:rPr>
          <w:rFonts w:cs="Times New Roman"/>
          <w:i/>
        </w:rPr>
        <w:t>Lorraine (Ville) v. 2646‑8926 Québec inc.</w:t>
      </w:r>
      <w:r w:rsidRPr="00A97052">
        <w:rPr>
          <w:rFonts w:cs="Times New Roman"/>
        </w:rPr>
        <w:t>, 2018 SCC 35, [2018] 2 S.C.R. 577, at para. 27). This is how the expression “</w:t>
      </w:r>
      <w:r w:rsidRPr="00A97052">
        <w:rPr>
          <w:rFonts w:cs="Times New Roman"/>
          <w:lang w:val="en-US"/>
        </w:rPr>
        <w:t>abuse of right”</w:t>
      </w:r>
      <w:r w:rsidRPr="00A97052">
        <w:rPr>
          <w:rFonts w:cs="Times New Roman"/>
        </w:rPr>
        <w:t xml:space="preserve">, mentioned in </w:t>
      </w:r>
      <w:r w:rsidRPr="00A97052">
        <w:rPr>
          <w:rFonts w:cs="Times New Roman"/>
          <w:i/>
        </w:rPr>
        <w:t>Benjamin</w:t>
      </w:r>
      <w:r w:rsidRPr="00A97052">
        <w:rPr>
          <w:rFonts w:cs="Times New Roman"/>
        </w:rPr>
        <w:t xml:space="preserve">, was used by the Court of Appeal of Quebec in </w:t>
      </w:r>
      <w:r w:rsidRPr="00A97052">
        <w:rPr>
          <w:rFonts w:cs="Times New Roman"/>
          <w:i/>
        </w:rPr>
        <w:t>Lorraine</w:t>
      </w:r>
      <w:r w:rsidRPr="00A97052">
        <w:rPr>
          <w:rFonts w:cs="Times New Roman"/>
        </w:rPr>
        <w:t xml:space="preserve"> (2016 QCCA 1803, at para. 13) and has been subsequently interpreted (see </w:t>
      </w:r>
      <w:proofErr w:type="spellStart"/>
      <w:r w:rsidRPr="00A97052">
        <w:rPr>
          <w:rFonts w:cs="Times New Roman"/>
          <w:i/>
        </w:rPr>
        <w:t>Pillenière</w:t>
      </w:r>
      <w:proofErr w:type="spellEnd"/>
      <w:r w:rsidRPr="00A97052">
        <w:rPr>
          <w:rFonts w:cs="Times New Roman"/>
          <w:i/>
        </w:rPr>
        <w:t xml:space="preserve">, </w:t>
      </w:r>
      <w:proofErr w:type="spellStart"/>
      <w:r w:rsidRPr="00A97052">
        <w:rPr>
          <w:rFonts w:cs="Times New Roman"/>
          <w:i/>
        </w:rPr>
        <w:t>Simoneau</w:t>
      </w:r>
      <w:proofErr w:type="spellEnd"/>
      <w:r w:rsidRPr="00A97052">
        <w:rPr>
          <w:rFonts w:cs="Times New Roman"/>
          <w:i/>
        </w:rPr>
        <w:t xml:space="preserve"> v. Ville de Saint-Bruno-de-Montarville</w:t>
      </w:r>
      <w:r w:rsidRPr="00A97052">
        <w:rPr>
          <w:rFonts w:cs="Times New Roman"/>
        </w:rPr>
        <w:t>, 2021 QCCS 4031, 19 M.P.L.R. (6th) 275, at para. 112). This analysis focuses on the effect of municipal action and does not suggest that intent or motive is required for a distinct cause of action seeking compensation for disguised expropriation.</w:t>
      </w:r>
    </w:p>
    <w:p w14:paraId="3FE3BC07" w14:textId="77777777" w:rsidR="001A2B0D" w:rsidRPr="00A97052" w:rsidRDefault="001A2B0D" w:rsidP="001A2B0D">
      <w:pPr>
        <w:pStyle w:val="ParaNoNdepar-AltN"/>
        <w:rPr>
          <w:rFonts w:cs="Times New Roman"/>
        </w:rPr>
      </w:pPr>
      <w:r w:rsidRPr="00A97052">
        <w:rPr>
          <w:rFonts w:cs="Times New Roman"/>
        </w:rPr>
        <w:t xml:space="preserve">To the contrary, Quebec courts have expressly held that the public authority’s intention is irrelevant under the Quebec civil law of disguised expropriation. Disguised expropriation is based on art. 952 of the </w:t>
      </w:r>
      <w:r w:rsidRPr="00A97052">
        <w:rPr>
          <w:rFonts w:cs="Times New Roman"/>
          <w:i/>
        </w:rPr>
        <w:t>Civil Code of Québec</w:t>
      </w:r>
      <w:r w:rsidRPr="00A97052">
        <w:rPr>
          <w:rFonts w:cs="Times New Roman"/>
        </w:rPr>
        <w:t xml:space="preserve">, whose focus is the </w:t>
      </w:r>
      <w:r w:rsidRPr="00A97052">
        <w:rPr>
          <w:rFonts w:cs="Times New Roman"/>
          <w:i/>
        </w:rPr>
        <w:t>effect</w:t>
      </w:r>
      <w:r w:rsidRPr="00A97052">
        <w:rPr>
          <w:rFonts w:cs="Times New Roman"/>
        </w:rPr>
        <w:t xml:space="preserve"> of the public authority’s actions. This was recently confirmed by the unanimous judgment of the Quebec Court of Appeal in </w:t>
      </w:r>
      <w:r w:rsidRPr="00A97052">
        <w:rPr>
          <w:rFonts w:cs="Times New Roman"/>
          <w:i/>
        </w:rPr>
        <w:t>Dupras v. Ville de Mascouche</w:t>
      </w:r>
      <w:r w:rsidRPr="00A97052">
        <w:rPr>
          <w:rFonts w:cs="Times New Roman"/>
        </w:rPr>
        <w:t xml:space="preserve">, 2022 QCCA 350, at para. 29 (CanLII): </w:t>
      </w:r>
    </w:p>
    <w:p w14:paraId="1EB12ABE" w14:textId="77777777" w:rsidR="001A2B0D" w:rsidRPr="00A97052" w:rsidRDefault="001A2B0D" w:rsidP="001A2B0D">
      <w:pPr>
        <w:pStyle w:val="Citation-AltC"/>
        <w:ind w:firstLine="274"/>
        <w:rPr>
          <w:lang w:val="en-US"/>
        </w:rPr>
      </w:pPr>
      <w:r w:rsidRPr="00A97052">
        <w:t>[</w:t>
      </w:r>
      <w:r w:rsidRPr="00A97052">
        <w:rPr>
          <w:smallCaps/>
        </w:rPr>
        <w:t>translation</w:t>
      </w:r>
      <w:r w:rsidRPr="00A97052">
        <w:t xml:space="preserve">] Moreover, </w:t>
      </w:r>
      <w:r w:rsidRPr="00A97052">
        <w:rPr>
          <w:u w:val="single"/>
        </w:rPr>
        <w:t>the municipality’s good or bad faith — the wrongfulness of its conduct — is not relevant to the analysis; it is “the actual effect of the by</w:t>
      </w:r>
      <w:r w:rsidRPr="00A97052">
        <w:rPr>
          <w:u w:val="single"/>
        </w:rPr>
        <w:noBreakHyphen/>
        <w:t>law” that matters</w:t>
      </w:r>
      <w:bookmarkStart w:id="33" w:name="_Ref96414112"/>
      <w:bookmarkEnd w:id="33"/>
      <w:r w:rsidRPr="00A97052">
        <w:t xml:space="preserve">. This is why, when the Supreme Court used the concept of abuse to characterize disguised expropriation, it referred to abuse of the power to regulate in order to proceed, </w:t>
      </w:r>
      <w:r w:rsidRPr="00A97052">
        <w:rPr>
          <w:i/>
        </w:rPr>
        <w:t>de facto</w:t>
      </w:r>
      <w:r w:rsidRPr="00A97052">
        <w:t xml:space="preserve">, with an expropriation of property without paying the indemnity required in particular by article 952 of the </w:t>
      </w:r>
      <w:r w:rsidRPr="00A97052">
        <w:rPr>
          <w:i/>
          <w:iCs/>
        </w:rPr>
        <w:t>Civil Code of Québec</w:t>
      </w:r>
      <w:bookmarkStart w:id="34" w:name="_Ref96414446"/>
      <w:bookmarkEnd w:id="34"/>
      <w:r w:rsidRPr="00A97052">
        <w:t>. The validity of the by</w:t>
      </w:r>
      <w:r w:rsidRPr="00A97052">
        <w:noBreakHyphen/>
        <w:t>law restricting land use therefore does not preclude the existence of disguised expropriation.</w:t>
      </w:r>
      <w:r w:rsidRPr="00A97052">
        <w:rPr>
          <w:lang w:val="en-US"/>
        </w:rPr>
        <w:t xml:space="preserve"> [Emphasis added; footnotes omitted.]</w:t>
      </w:r>
    </w:p>
    <w:p w14:paraId="0DC17878" w14:textId="77777777" w:rsidR="001A2B0D" w:rsidRPr="00A97052" w:rsidRDefault="001A2B0D" w:rsidP="001A2B0D">
      <w:pPr>
        <w:pStyle w:val="ParaNoNdepar-AltN"/>
        <w:rPr>
          <w:rFonts w:cs="Times New Roman"/>
          <w:lang w:val="en-US"/>
        </w:rPr>
      </w:pPr>
      <w:r w:rsidRPr="00A97052">
        <w:rPr>
          <w:rFonts w:cs="Times New Roman"/>
        </w:rPr>
        <w:t xml:space="preserve">We also agree with the Nova Scotia Court of Appeal that this Court’s decision in </w:t>
      </w:r>
      <w:r w:rsidRPr="00A97052">
        <w:rPr>
          <w:rFonts w:cs="Times New Roman"/>
          <w:i/>
        </w:rPr>
        <w:t>Lorraine</w:t>
      </w:r>
      <w:r w:rsidRPr="00A97052">
        <w:rPr>
          <w:rFonts w:cs="Times New Roman"/>
        </w:rPr>
        <w:t>,</w:t>
      </w:r>
      <w:r w:rsidRPr="00A97052">
        <w:rPr>
          <w:rFonts w:cs="Times New Roman"/>
          <w:i/>
        </w:rPr>
        <w:t xml:space="preserve"> </w:t>
      </w:r>
      <w:r w:rsidRPr="00A97052">
        <w:rPr>
          <w:rFonts w:cs="Times New Roman"/>
        </w:rPr>
        <w:t>at para. 2, does not support the motion judge’s view, at paras. 35</w:t>
      </w:r>
      <w:r w:rsidRPr="00A97052">
        <w:rPr>
          <w:rFonts w:cs="Times New Roman"/>
        </w:rPr>
        <w:noBreakHyphen/>
        <w:t xml:space="preserve">36, that Halifax’s alleged “ulterior motive” is relevant to the </w:t>
      </w:r>
      <w:r w:rsidRPr="00A97052">
        <w:rPr>
          <w:rFonts w:cs="Times New Roman"/>
          <w:i/>
        </w:rPr>
        <w:t>de facto</w:t>
      </w:r>
      <w:r w:rsidRPr="00A97052">
        <w:rPr>
          <w:rFonts w:cs="Times New Roman"/>
        </w:rPr>
        <w:t xml:space="preserve"> taking claim. </w:t>
      </w:r>
      <w:r w:rsidRPr="00A97052">
        <w:rPr>
          <w:rFonts w:cs="Times New Roman"/>
          <w:lang w:val="en-US"/>
        </w:rPr>
        <w:t xml:space="preserve">The Quebec Court of Appeal correctly explained the import of </w:t>
      </w:r>
      <w:r w:rsidRPr="00A97052">
        <w:rPr>
          <w:rFonts w:cs="Times New Roman"/>
          <w:i/>
          <w:lang w:val="en-US"/>
        </w:rPr>
        <w:t>Lorraine</w:t>
      </w:r>
      <w:r w:rsidRPr="00A97052">
        <w:rPr>
          <w:rFonts w:cs="Times New Roman"/>
          <w:lang w:val="en-US"/>
        </w:rPr>
        <w:t xml:space="preserve"> in </w:t>
      </w:r>
      <w:r w:rsidRPr="00A97052">
        <w:rPr>
          <w:rFonts w:cs="Times New Roman"/>
          <w:i/>
          <w:lang w:val="en-US"/>
        </w:rPr>
        <w:t>Dupras</w:t>
      </w:r>
      <w:r w:rsidRPr="00A97052">
        <w:rPr>
          <w:rFonts w:cs="Times New Roman"/>
          <w:lang w:val="en-US"/>
        </w:rPr>
        <w:t xml:space="preserve"> in the passage quoted above: </w:t>
      </w:r>
      <w:r w:rsidRPr="00A97052">
        <w:rPr>
          <w:rFonts w:cs="Times New Roman"/>
        </w:rPr>
        <w:t xml:space="preserve">“. . . when the Supreme Court used the concept of abuse to characterize disguised expropriation, it referred to abuse of the power to regulate in order to proceed, </w:t>
      </w:r>
      <w:r w:rsidRPr="00A97052">
        <w:rPr>
          <w:rFonts w:cs="Times New Roman"/>
          <w:i/>
        </w:rPr>
        <w:t>de facto</w:t>
      </w:r>
      <w:r w:rsidRPr="00A97052">
        <w:rPr>
          <w:rFonts w:cs="Times New Roman"/>
        </w:rPr>
        <w:t>, with an expropriation of property without paying the indemnity required in particular by article 952 of the </w:t>
      </w:r>
      <w:r w:rsidRPr="00A97052">
        <w:rPr>
          <w:rFonts w:cs="Times New Roman"/>
          <w:i/>
          <w:iCs/>
        </w:rPr>
        <w:t>Civil Code of Québec</w:t>
      </w:r>
      <w:r w:rsidRPr="00A97052">
        <w:rPr>
          <w:rFonts w:cs="Times New Roman"/>
          <w:iCs/>
        </w:rPr>
        <w:t>”</w:t>
      </w:r>
      <w:r w:rsidRPr="00A97052">
        <w:rPr>
          <w:rFonts w:cs="Times New Roman"/>
          <w:iCs/>
          <w:lang w:val="en-US"/>
        </w:rPr>
        <w:t>.</w:t>
      </w:r>
      <w:r w:rsidRPr="00A97052">
        <w:rPr>
          <w:rFonts w:cs="Times New Roman"/>
          <w:lang w:val="en-US"/>
        </w:rPr>
        <w:t xml:space="preserve"> </w:t>
      </w:r>
      <w:r w:rsidRPr="00A97052">
        <w:rPr>
          <w:rFonts w:cs="Times New Roman"/>
        </w:rPr>
        <w:t xml:space="preserve">We accordingly disagree with the view of the motion judge and Annapolis that </w:t>
      </w:r>
      <w:r w:rsidRPr="00A97052">
        <w:rPr>
          <w:rFonts w:cs="Times New Roman"/>
          <w:i/>
        </w:rPr>
        <w:t>Lorraine</w:t>
      </w:r>
      <w:r w:rsidRPr="00A97052">
        <w:rPr>
          <w:rFonts w:cs="Times New Roman"/>
        </w:rPr>
        <w:t xml:space="preserve"> supports the relevance of motive to a disguised expropriation claim — a view that even our colleagues refrain from endorsing.</w:t>
      </w:r>
    </w:p>
    <w:p w14:paraId="523744F9" w14:textId="77777777" w:rsidR="001A2B0D" w:rsidRPr="00A97052" w:rsidRDefault="001A2B0D" w:rsidP="001A2B0D">
      <w:pPr>
        <w:pStyle w:val="ParaNoNdepar-AltN"/>
        <w:rPr>
          <w:rFonts w:cs="Times New Roman"/>
        </w:rPr>
      </w:pPr>
      <w:r w:rsidRPr="00A97052">
        <w:rPr>
          <w:rFonts w:cs="Times New Roman"/>
        </w:rPr>
        <w:t xml:space="preserve">That said, we do not quarrel with our colleagues’ general remarks, at paras. 47-48, on the Quebec law of disguised expropriation. We note, however, that while our colleagues describe disguised expropriation under art. 952 of the </w:t>
      </w:r>
      <w:r w:rsidRPr="00A97052">
        <w:rPr>
          <w:rFonts w:cs="Times New Roman"/>
          <w:i/>
        </w:rPr>
        <w:t>Civil Code of Québec</w:t>
      </w:r>
      <w:r w:rsidRPr="00A97052">
        <w:rPr>
          <w:rFonts w:cs="Times New Roman"/>
        </w:rPr>
        <w:t xml:space="preserve"> as a “no-fault liability scheme”, what the Quebec authorities mean by this is that fault, in the sense of bad faith, improper purpose, or improper motive, is not required. Nevertheless, the test for disguised expropriation remains extremely onerous: there must be an absolute negation of the exercise of the right of ownership, rendering its use impossible or equivalent to an actual confiscation of the property. As the Quebec Court of Appeal explained when referencing absence of fault in </w:t>
      </w:r>
      <w:r w:rsidRPr="00A97052">
        <w:rPr>
          <w:rFonts w:cs="Times New Roman"/>
          <w:i/>
        </w:rPr>
        <w:t xml:space="preserve">Ville de </w:t>
      </w:r>
      <w:proofErr w:type="spellStart"/>
      <w:r w:rsidRPr="00A97052">
        <w:rPr>
          <w:rFonts w:cs="Times New Roman"/>
          <w:i/>
        </w:rPr>
        <w:t>Léry</w:t>
      </w:r>
      <w:proofErr w:type="spellEnd"/>
      <w:r w:rsidRPr="00A97052">
        <w:rPr>
          <w:rFonts w:cs="Times New Roman"/>
          <w:i/>
        </w:rPr>
        <w:t xml:space="preserve"> v. Procureure générale du Québec</w:t>
      </w:r>
      <w:r w:rsidRPr="00A97052">
        <w:rPr>
          <w:rFonts w:cs="Times New Roman"/>
        </w:rPr>
        <w:t>, 2019 QCCA 1375, at para. 17:</w:t>
      </w:r>
    </w:p>
    <w:p w14:paraId="2D5DD2D5" w14:textId="77777777" w:rsidR="001A2B0D" w:rsidRPr="00A97052" w:rsidRDefault="001A2B0D" w:rsidP="001A2B0D">
      <w:pPr>
        <w:pStyle w:val="Citation-AltC"/>
        <w:rPr>
          <w:lang w:val="en-US"/>
        </w:rPr>
      </w:pPr>
      <w:r w:rsidRPr="00A97052">
        <w:t>[</w:t>
      </w:r>
      <w:r w:rsidRPr="00A97052">
        <w:rPr>
          <w:smallCaps/>
        </w:rPr>
        <w:t>translation</w:t>
      </w:r>
      <w:r w:rsidRPr="00A97052">
        <w:t>] However, absence of fault in the development of government objectives does not mean that there is no legal relationship between the appellant and the respondent, if what it alleges is shown. </w:t>
      </w:r>
      <w:r w:rsidRPr="00A97052">
        <w:rPr>
          <w:u w:val="single"/>
        </w:rPr>
        <w:t xml:space="preserve">In </w:t>
      </w:r>
      <w:proofErr w:type="spellStart"/>
      <w:r w:rsidRPr="00A97052">
        <w:rPr>
          <w:i/>
          <w:u w:val="single"/>
        </w:rPr>
        <w:t>Wallot</w:t>
      </w:r>
      <w:proofErr w:type="spellEnd"/>
      <w:r w:rsidRPr="00A97052">
        <w:rPr>
          <w:i/>
          <w:u w:val="single"/>
        </w:rPr>
        <w:t xml:space="preserve"> v. Québec (Ville)</w:t>
      </w:r>
      <w:r w:rsidRPr="00A97052">
        <w:rPr>
          <w:u w:val="single"/>
        </w:rPr>
        <w:t xml:space="preserve"> [2011 QCCA 1165, at paras. 45</w:t>
      </w:r>
      <w:r w:rsidRPr="00A97052">
        <w:rPr>
          <w:u w:val="single"/>
        </w:rPr>
        <w:noBreakHyphen/>
        <w:t>47], this Court stated that for a by</w:t>
      </w:r>
      <w:r w:rsidRPr="00A97052">
        <w:rPr>
          <w:u w:val="single"/>
        </w:rPr>
        <w:noBreakHyphen/>
        <w:t>law to be regarded as effecting disguised expropriation, it must amount to an absolute negation of the exercise of the right of ownership, i.e. render its use impossible, or be tantamount to an actual confiscation of the immovable.</w:t>
      </w:r>
      <w:r w:rsidRPr="00A97052">
        <w:t xml:space="preserve"> In such a case, the by</w:t>
      </w:r>
      <w:r w:rsidRPr="00A97052">
        <w:noBreakHyphen/>
        <w:t>law that permits no uses by the owner on its land is not a zoning by</w:t>
      </w:r>
      <w:r w:rsidRPr="00A97052">
        <w:noBreakHyphen/>
        <w:t xml:space="preserve">law but an expropriation. </w:t>
      </w:r>
      <w:r w:rsidRPr="00A97052">
        <w:rPr>
          <w:u w:val="single"/>
        </w:rPr>
        <w:t>The question of the municipality’s good or bad faith, or of its “fault”, then becomes entirely secondary, if not irrelevant.</w:t>
      </w:r>
      <w:r w:rsidRPr="00A97052">
        <w:rPr>
          <w:lang w:val="en-US"/>
        </w:rPr>
        <w:t xml:space="preserve"> [Emphasis added; footnote omitted.]</w:t>
      </w:r>
    </w:p>
    <w:p w14:paraId="036E0F12" w14:textId="77777777" w:rsidR="001A2B0D" w:rsidRPr="00A97052" w:rsidRDefault="001A2B0D" w:rsidP="001A2B0D">
      <w:pPr>
        <w:pStyle w:val="ParaNoNdepar-AltN"/>
        <w:numPr>
          <w:ilvl w:val="0"/>
          <w:numId w:val="0"/>
        </w:numPr>
        <w:rPr>
          <w:rFonts w:cs="Times New Roman"/>
          <w:lang w:val="fr-CA"/>
        </w:rPr>
      </w:pPr>
      <w:r w:rsidRPr="00A97052">
        <w:rPr>
          <w:rFonts w:cs="Times New Roman"/>
          <w:lang w:val="en-US"/>
        </w:rPr>
        <w:t xml:space="preserve">See also </w:t>
      </w:r>
      <w:proofErr w:type="spellStart"/>
      <w:r w:rsidRPr="00A97052">
        <w:rPr>
          <w:rFonts w:cs="Times New Roman"/>
          <w:i/>
          <w:lang w:val="en-US"/>
        </w:rPr>
        <w:t>Wallot</w:t>
      </w:r>
      <w:proofErr w:type="spellEnd"/>
      <w:r w:rsidRPr="00A97052">
        <w:rPr>
          <w:rFonts w:cs="Times New Roman"/>
          <w:i/>
          <w:lang w:val="en-US"/>
        </w:rPr>
        <w:t xml:space="preserve"> v. Québec (Ville)</w:t>
      </w:r>
      <w:r w:rsidRPr="00A97052">
        <w:rPr>
          <w:rFonts w:cs="Times New Roman"/>
          <w:lang w:val="en-US"/>
        </w:rPr>
        <w:t>, 2011 QCCA 1165, 24 Admin. L.R. (5th) 306, at paras. </w:t>
      </w:r>
      <w:r w:rsidRPr="00A97052">
        <w:rPr>
          <w:rFonts w:cs="Times New Roman"/>
          <w:lang w:val="fr-CA"/>
        </w:rPr>
        <w:t>41</w:t>
      </w:r>
      <w:r w:rsidRPr="00A97052">
        <w:rPr>
          <w:rFonts w:cs="Times New Roman"/>
          <w:lang w:val="fr-CA"/>
        </w:rPr>
        <w:noBreakHyphen/>
        <w:t xml:space="preserve">54; </w:t>
      </w:r>
      <w:r w:rsidRPr="00A97052">
        <w:rPr>
          <w:rFonts w:cs="Times New Roman"/>
          <w:i/>
          <w:lang w:val="fr-CA"/>
        </w:rPr>
        <w:t>Municipalité de Saint-Colomban v. Boutique de golf Gilles Gareau inc.</w:t>
      </w:r>
      <w:r w:rsidRPr="00A97052">
        <w:rPr>
          <w:rFonts w:cs="Times New Roman"/>
          <w:lang w:val="fr-CA"/>
        </w:rPr>
        <w:t xml:space="preserve">, 2019 QCCA 1402, at paras. 64-65; </w:t>
      </w:r>
      <w:r w:rsidRPr="00A97052">
        <w:rPr>
          <w:rFonts w:cs="Times New Roman"/>
          <w:i/>
          <w:lang w:val="fr-CA"/>
        </w:rPr>
        <w:t>Meadowbrook Groupe Pacific inc. v. Ville de Montréal</w:t>
      </w:r>
      <w:r w:rsidRPr="00A97052">
        <w:rPr>
          <w:rFonts w:cs="Times New Roman"/>
          <w:lang w:val="fr-CA"/>
        </w:rPr>
        <w:t xml:space="preserve">, 2019 QCCA 2037, 2019 CarswellQue 12262 (WL), at para. 29; </w:t>
      </w:r>
      <w:r w:rsidRPr="00A97052">
        <w:rPr>
          <w:rFonts w:cs="Times New Roman"/>
          <w:i/>
          <w:szCs w:val="24"/>
          <w:lang w:val="fr-CA"/>
        </w:rPr>
        <w:t>Ressources Strateco inc. v. Procureure générale du Québec</w:t>
      </w:r>
      <w:r w:rsidRPr="00A97052">
        <w:rPr>
          <w:rFonts w:cs="Times New Roman"/>
          <w:szCs w:val="24"/>
          <w:lang w:val="fr-CA"/>
        </w:rPr>
        <w:t>, 2020 QCCA 18, 32 C.E.L.R. (4th) 231, at paras. 113</w:t>
      </w:r>
      <w:r w:rsidRPr="00A97052">
        <w:rPr>
          <w:rFonts w:cs="Times New Roman"/>
          <w:szCs w:val="24"/>
          <w:lang w:val="fr-CA"/>
        </w:rPr>
        <w:noBreakHyphen/>
        <w:t xml:space="preserve">14; </w:t>
      </w:r>
      <w:r w:rsidRPr="00A97052">
        <w:rPr>
          <w:rFonts w:cs="Times New Roman"/>
          <w:i/>
          <w:szCs w:val="24"/>
          <w:lang w:val="fr-CA"/>
        </w:rPr>
        <w:t>Ville de Québec v. Rivard</w:t>
      </w:r>
      <w:r w:rsidRPr="00A97052">
        <w:rPr>
          <w:rFonts w:cs="Times New Roman"/>
          <w:szCs w:val="24"/>
          <w:lang w:val="fr-CA"/>
        </w:rPr>
        <w:t>, 2020 QCCA 146, at paras. 64</w:t>
      </w:r>
      <w:r w:rsidRPr="00A97052">
        <w:rPr>
          <w:rFonts w:cs="Times New Roman"/>
          <w:szCs w:val="24"/>
          <w:lang w:val="fr-CA"/>
        </w:rPr>
        <w:noBreakHyphen/>
        <w:t xml:space="preserve">65; </w:t>
      </w:r>
      <w:r w:rsidRPr="00A97052">
        <w:rPr>
          <w:rFonts w:cs="Times New Roman"/>
          <w:i/>
          <w:szCs w:val="24"/>
          <w:lang w:val="fr-CA"/>
        </w:rPr>
        <w:t>Ville de Saint-Rémi v. 9120-4883 Québec inc.</w:t>
      </w:r>
      <w:r w:rsidRPr="00A97052">
        <w:rPr>
          <w:rFonts w:cs="Times New Roman"/>
          <w:szCs w:val="24"/>
          <w:lang w:val="fr-CA"/>
        </w:rPr>
        <w:t>, 2021 QCCA 630, at paras. 25</w:t>
      </w:r>
      <w:r w:rsidRPr="00A97052">
        <w:rPr>
          <w:rFonts w:cs="Times New Roman"/>
          <w:szCs w:val="24"/>
          <w:lang w:val="fr-CA"/>
        </w:rPr>
        <w:noBreakHyphen/>
        <w:t xml:space="preserve">26 (CanLII); </w:t>
      </w:r>
      <w:r w:rsidRPr="00A97052">
        <w:rPr>
          <w:rFonts w:cs="Times New Roman"/>
          <w:i/>
          <w:szCs w:val="24"/>
          <w:lang w:val="fr-CA"/>
        </w:rPr>
        <w:t>Dupras</w:t>
      </w:r>
      <w:r w:rsidRPr="00A97052">
        <w:rPr>
          <w:rFonts w:cs="Times New Roman"/>
          <w:szCs w:val="24"/>
          <w:lang w:val="fr-CA"/>
        </w:rPr>
        <w:t>, at paras. 27</w:t>
      </w:r>
      <w:r w:rsidRPr="00A97052">
        <w:rPr>
          <w:rFonts w:cs="Times New Roman"/>
          <w:szCs w:val="24"/>
          <w:lang w:val="fr-CA"/>
        </w:rPr>
        <w:noBreakHyphen/>
        <w:t>29.</w:t>
      </w:r>
    </w:p>
    <w:p w14:paraId="3044E947" w14:textId="77777777" w:rsidR="001A2B0D" w:rsidRPr="00A97052" w:rsidRDefault="001A2B0D" w:rsidP="001A2B0D">
      <w:pPr>
        <w:pStyle w:val="ParaNoNdepar-AltN"/>
        <w:rPr>
          <w:rFonts w:cs="Times New Roman"/>
        </w:rPr>
      </w:pPr>
      <w:r w:rsidRPr="00A97052">
        <w:rPr>
          <w:rFonts w:cs="Times New Roman"/>
        </w:rPr>
        <w:t xml:space="preserve">Accordingly, the Quebec law of disguised expropriation does not support the relevance of motive or intention under the common law of </w:t>
      </w:r>
      <w:r w:rsidRPr="00A97052">
        <w:rPr>
          <w:rFonts w:cs="Times New Roman"/>
          <w:i/>
        </w:rPr>
        <w:t>de facto</w:t>
      </w:r>
      <w:r w:rsidRPr="00A97052">
        <w:rPr>
          <w:rFonts w:cs="Times New Roman"/>
        </w:rPr>
        <w:t xml:space="preserve"> taking.</w:t>
      </w:r>
    </w:p>
    <w:p w14:paraId="5EB6040F" w14:textId="77777777" w:rsidR="001A2B0D" w:rsidRPr="00A97052" w:rsidRDefault="001A2B0D" w:rsidP="001A2B0D">
      <w:pPr>
        <w:pStyle w:val="ParaNoNdepar-AltN"/>
        <w:rPr>
          <w:rFonts w:cs="Times New Roman"/>
          <w:lang w:val="en-US"/>
        </w:rPr>
      </w:pPr>
      <w:r w:rsidRPr="00A97052">
        <w:rPr>
          <w:rFonts w:cs="Times New Roman"/>
        </w:rPr>
        <w:t xml:space="preserve">We therefore agree with the conclusion of the Nova Scotia Court of Appeal, at para. 75, that the law of </w:t>
      </w:r>
      <w:r w:rsidRPr="00A97052">
        <w:rPr>
          <w:rFonts w:cs="Times New Roman"/>
          <w:i/>
        </w:rPr>
        <w:t>de facto</w:t>
      </w:r>
      <w:r w:rsidRPr="00A97052">
        <w:rPr>
          <w:rFonts w:cs="Times New Roman"/>
        </w:rPr>
        <w:t xml:space="preserve"> taking is “clear and settled”: a public authority’s motive or intention is not a material fact for such a claim and “cannot compensate for the failure to establish the two required elements of </w:t>
      </w:r>
      <w:r w:rsidRPr="00A97052">
        <w:rPr>
          <w:rFonts w:cs="Times New Roman"/>
          <w:i/>
        </w:rPr>
        <w:t>de facto</w:t>
      </w:r>
      <w:r w:rsidRPr="00A97052">
        <w:rPr>
          <w:rFonts w:cs="Times New Roman"/>
        </w:rPr>
        <w:t xml:space="preserve"> expropriation”.</w:t>
      </w:r>
    </w:p>
    <w:p w14:paraId="07C6A74B" w14:textId="77777777" w:rsidR="001A2B0D" w:rsidRPr="00A97052" w:rsidRDefault="001A2B0D" w:rsidP="001A2B0D">
      <w:pPr>
        <w:pStyle w:val="ParaNoNdepar-AltN"/>
        <w:rPr>
          <w:rFonts w:cs="Times New Roman"/>
          <w:lang w:val="en-US"/>
        </w:rPr>
      </w:pPr>
      <w:r w:rsidRPr="00A97052">
        <w:rPr>
          <w:rFonts w:cs="Times New Roman"/>
        </w:rPr>
        <w:t xml:space="preserve">We will now apply </w:t>
      </w:r>
      <w:r w:rsidRPr="00A97052">
        <w:rPr>
          <w:rFonts w:cs="Times New Roman"/>
          <w:i/>
        </w:rPr>
        <w:t>CPR</w:t>
      </w:r>
      <w:r w:rsidRPr="00A97052">
        <w:rPr>
          <w:rFonts w:cs="Times New Roman"/>
        </w:rPr>
        <w:t xml:space="preserve"> to the partial summary judgment motion at issue in this case.</w:t>
      </w:r>
    </w:p>
    <w:p w14:paraId="6B0C94AD" w14:textId="77777777" w:rsidR="001A2B0D" w:rsidRPr="00A97052" w:rsidRDefault="001A2B0D" w:rsidP="001A2B0D">
      <w:pPr>
        <w:pStyle w:val="Title1LevelTitre1Niveau-AltL"/>
        <w:jc w:val="both"/>
        <w:rPr>
          <w:rFonts w:cs="Times New Roman"/>
        </w:rPr>
      </w:pPr>
      <w:r w:rsidRPr="00A97052">
        <w:rPr>
          <w:rFonts w:cs="Times New Roman"/>
        </w:rPr>
        <w:t>Application</w:t>
      </w:r>
    </w:p>
    <w:p w14:paraId="5CB0A609" w14:textId="77777777" w:rsidR="001A2B0D" w:rsidRPr="00A97052" w:rsidRDefault="001A2B0D" w:rsidP="001A2B0D">
      <w:pPr>
        <w:pStyle w:val="Title2LevelTitre2Niveau"/>
        <w:jc w:val="both"/>
        <w:rPr>
          <w:rFonts w:cs="Times New Roman"/>
        </w:rPr>
      </w:pPr>
      <w:r w:rsidRPr="00A97052">
        <w:rPr>
          <w:rFonts w:cs="Times New Roman"/>
        </w:rPr>
        <w:t>Introduction</w:t>
      </w:r>
    </w:p>
    <w:p w14:paraId="7FDE8467" w14:textId="77777777" w:rsidR="001A2B0D" w:rsidRPr="00A97052" w:rsidRDefault="001A2B0D" w:rsidP="001A2B0D">
      <w:pPr>
        <w:pStyle w:val="ParaNoNdepar-AltN"/>
        <w:rPr>
          <w:rFonts w:cs="Times New Roman"/>
        </w:rPr>
      </w:pPr>
      <w:r w:rsidRPr="00A97052">
        <w:rPr>
          <w:rFonts w:cs="Times New Roman"/>
        </w:rPr>
        <w:t xml:space="preserve">In our view, the Nova Scotia Court of Appeal did not err in granting partial summary judgment. There is no genuine issue of material fact requiring a trial on either branch of the </w:t>
      </w:r>
      <w:r w:rsidRPr="00A97052">
        <w:rPr>
          <w:rFonts w:cs="Times New Roman"/>
          <w:i/>
        </w:rPr>
        <w:t>de facto</w:t>
      </w:r>
      <w:r w:rsidRPr="00A97052">
        <w:rPr>
          <w:rFonts w:cs="Times New Roman"/>
        </w:rPr>
        <w:t xml:space="preserve"> taking test, </w:t>
      </w:r>
      <w:r w:rsidRPr="00A97052">
        <w:rPr>
          <w:rFonts w:cs="Times New Roman"/>
          <w:i/>
        </w:rPr>
        <w:t>both</w:t>
      </w:r>
      <w:r w:rsidRPr="00A97052">
        <w:rPr>
          <w:rFonts w:cs="Times New Roman"/>
        </w:rPr>
        <w:t xml:space="preserve"> of which Annapolis must meet to succeed. We disagree with our colleagues’ conclusion, at para. 63, that there are “vast issues of material fact to be determined”, and also with their view, at para. </w:t>
      </w:r>
      <w:proofErr w:type="gramStart"/>
      <w:r w:rsidRPr="00A97052">
        <w:rPr>
          <w:rFonts w:cs="Times New Roman"/>
        </w:rPr>
        <w:t>61, that</w:t>
      </w:r>
      <w:proofErr w:type="gramEnd"/>
      <w:r w:rsidRPr="00A97052">
        <w:rPr>
          <w:rFonts w:cs="Times New Roman"/>
        </w:rPr>
        <w:t xml:space="preserve"> the Court of Appeal “merely disagreed with the motion judge’s exercise of discretion”. Under the law enunciated in </w:t>
      </w:r>
      <w:r w:rsidRPr="00A97052">
        <w:rPr>
          <w:rFonts w:cs="Times New Roman"/>
          <w:i/>
        </w:rPr>
        <w:t>CPR</w:t>
      </w:r>
      <w:r w:rsidRPr="00A97052">
        <w:rPr>
          <w:rFonts w:cs="Times New Roman"/>
        </w:rPr>
        <w:t xml:space="preserve">, Annapolis’ </w:t>
      </w:r>
      <w:r w:rsidRPr="00A97052">
        <w:rPr>
          <w:rFonts w:cs="Times New Roman"/>
          <w:i/>
        </w:rPr>
        <w:t>de facto</w:t>
      </w:r>
      <w:r w:rsidRPr="00A97052">
        <w:rPr>
          <w:rFonts w:cs="Times New Roman"/>
        </w:rPr>
        <w:t xml:space="preserve"> taking claim has no real chance of success and should be dismissed.</w:t>
      </w:r>
    </w:p>
    <w:p w14:paraId="168A5B28" w14:textId="77777777" w:rsidR="001A2B0D" w:rsidRPr="00A97052" w:rsidRDefault="001A2B0D" w:rsidP="001A2B0D">
      <w:pPr>
        <w:pStyle w:val="Title2LevelTitre2Niveau"/>
        <w:jc w:val="both"/>
        <w:rPr>
          <w:rFonts w:cs="Times New Roman"/>
        </w:rPr>
      </w:pPr>
      <w:r w:rsidRPr="00A97052">
        <w:rPr>
          <w:rFonts w:cs="Times New Roman"/>
        </w:rPr>
        <w:t>The Summary Judgment Test in Nova Scotia</w:t>
      </w:r>
    </w:p>
    <w:p w14:paraId="54D7CB32" w14:textId="77777777" w:rsidR="001A2B0D" w:rsidRPr="00A97052" w:rsidRDefault="001A2B0D" w:rsidP="001A2B0D">
      <w:pPr>
        <w:pStyle w:val="ParaNoNdepar-AltN"/>
        <w:rPr>
          <w:rFonts w:cs="Times New Roman"/>
        </w:rPr>
      </w:pPr>
      <w:r w:rsidRPr="00A97052">
        <w:rPr>
          <w:rFonts w:cs="Times New Roman"/>
        </w:rPr>
        <w:t>Summary judgment is available when there is no genuine issue for trial (</w:t>
      </w:r>
      <w:r w:rsidRPr="00A97052">
        <w:rPr>
          <w:rFonts w:cs="Times New Roman"/>
          <w:i/>
        </w:rPr>
        <w:t>Hryniak v. Mauldin</w:t>
      </w:r>
      <w:r w:rsidRPr="00A97052">
        <w:rPr>
          <w:rFonts w:cs="Times New Roman"/>
        </w:rPr>
        <w:t xml:space="preserve">, 2014 SCC 7, [2014] 1 S.C.R. 87, at para. 34). The test for summary judgment on evidence in an action under r. 13.04 of the </w:t>
      </w:r>
      <w:r w:rsidRPr="00A97052">
        <w:rPr>
          <w:rFonts w:cs="Times New Roman"/>
          <w:i/>
        </w:rPr>
        <w:t>Nova Scotia Civil Procedure Rules</w:t>
      </w:r>
      <w:r w:rsidRPr="00A97052">
        <w:rPr>
          <w:rFonts w:cs="Times New Roman"/>
        </w:rPr>
        <w:t xml:space="preserve"> was addressed by the Nova Scotia Court of Appeal in </w:t>
      </w:r>
      <w:r w:rsidRPr="00A97052">
        <w:rPr>
          <w:rFonts w:cs="Times New Roman"/>
          <w:i/>
        </w:rPr>
        <w:t>Shannex Inc. v. Dora Construction Ltd.</w:t>
      </w:r>
      <w:r w:rsidRPr="00A97052">
        <w:rPr>
          <w:rFonts w:cs="Times New Roman"/>
        </w:rPr>
        <w:t>, 2016 NSCA 89, 58 C.L.R. (4th) 1, at para. 34. The Nova Scotia Court of Appeal held that r. 13.04 asks five sequential questions, only the first three of which are relevant here:</w:t>
      </w:r>
    </w:p>
    <w:p w14:paraId="759B29CF" w14:textId="77777777" w:rsidR="001A2B0D" w:rsidRPr="00A97052" w:rsidRDefault="001A2B0D" w:rsidP="001A2B0D">
      <w:pPr>
        <w:pStyle w:val="ParaNoNdepar-AltN"/>
        <w:numPr>
          <w:ilvl w:val="0"/>
          <w:numId w:val="32"/>
        </w:numPr>
        <w:ind w:left="1980" w:hanging="812"/>
        <w:rPr>
          <w:rFonts w:cs="Times New Roman"/>
        </w:rPr>
      </w:pPr>
      <w:r w:rsidRPr="00A97052">
        <w:rPr>
          <w:rFonts w:cs="Times New Roman"/>
        </w:rPr>
        <w:t>First, does the pleading disclose a genuine issue of material fact — that is, one that would affect the result (either a pure question of fact or a question of mixed fact and law)? If the answer is “yes”, the issue should not be determined on summary judgment. If the answer is “no”, the court proceeds to the second question.</w:t>
      </w:r>
    </w:p>
    <w:p w14:paraId="5C9FD293" w14:textId="77777777" w:rsidR="001A2B0D" w:rsidRPr="00A97052" w:rsidRDefault="001A2B0D" w:rsidP="001A2B0D">
      <w:pPr>
        <w:pStyle w:val="ParaNoNdepar-AltN"/>
        <w:numPr>
          <w:ilvl w:val="0"/>
          <w:numId w:val="32"/>
        </w:numPr>
        <w:ind w:left="1980" w:hanging="812"/>
        <w:rPr>
          <w:rFonts w:cs="Times New Roman"/>
        </w:rPr>
      </w:pPr>
      <w:r w:rsidRPr="00A97052">
        <w:rPr>
          <w:rFonts w:cs="Times New Roman"/>
        </w:rPr>
        <w:t>Second, does the pleading require the determination of a question of law (either a pure question of law or a question of mixed fact and law)? If the answers to the first and second questions are both “no”, summary judgment must issue. If the answers to the first and second questions are “no” and “yes”, respectively, leaving only an issue of law, then the court proceeds to the third question.</w:t>
      </w:r>
    </w:p>
    <w:p w14:paraId="7A5E2C4A" w14:textId="77777777" w:rsidR="001A2B0D" w:rsidRPr="00A97052" w:rsidRDefault="001A2B0D" w:rsidP="001A2B0D">
      <w:pPr>
        <w:pStyle w:val="ParaNoNdepar-AltN"/>
        <w:numPr>
          <w:ilvl w:val="0"/>
          <w:numId w:val="32"/>
        </w:numPr>
        <w:ind w:left="1980" w:hanging="812"/>
        <w:rPr>
          <w:rFonts w:cs="Times New Roman"/>
        </w:rPr>
      </w:pPr>
      <w:r w:rsidRPr="00A97052">
        <w:rPr>
          <w:rFonts w:cs="Times New Roman"/>
        </w:rPr>
        <w:t>Third, the court may grant or deny summary judgment in the exercise of its discretion. The court must ask whether the pleading has a real chance of success. If the answer is “no”, summary judgment must issue. If the answer is “yes”, the court considers whether to exercise its discretion to finally determine the issue of law.</w:t>
      </w:r>
    </w:p>
    <w:p w14:paraId="09D5F963" w14:textId="77777777" w:rsidR="001A2B0D" w:rsidRPr="00A97052" w:rsidRDefault="001A2B0D" w:rsidP="001A2B0D">
      <w:pPr>
        <w:pStyle w:val="ParaNoNdepar-AltN"/>
        <w:rPr>
          <w:rFonts w:cs="Times New Roman"/>
        </w:rPr>
      </w:pPr>
      <w:r w:rsidRPr="00A97052">
        <w:rPr>
          <w:rFonts w:cs="Times New Roman"/>
        </w:rPr>
        <w:t>When the motion judge applies an incorrect legal principle or errs with regard to a purely legal question, the decision should be reviewed on a correctness standard (</w:t>
      </w:r>
      <w:r w:rsidRPr="00A97052">
        <w:rPr>
          <w:rFonts w:cs="Times New Roman"/>
          <w:i/>
        </w:rPr>
        <w:t>Hryniak</w:t>
      </w:r>
      <w:r w:rsidRPr="00A97052">
        <w:rPr>
          <w:rFonts w:cs="Times New Roman"/>
        </w:rPr>
        <w:t>, at para. 84).</w:t>
      </w:r>
    </w:p>
    <w:p w14:paraId="70CD1105" w14:textId="77777777" w:rsidR="001A2B0D" w:rsidRPr="00A97052" w:rsidRDefault="001A2B0D" w:rsidP="001A2B0D">
      <w:pPr>
        <w:pStyle w:val="ParaNoNdepar-AltN"/>
        <w:rPr>
          <w:rFonts w:cs="Times New Roman"/>
        </w:rPr>
      </w:pPr>
      <w:r w:rsidRPr="00A97052">
        <w:rPr>
          <w:rFonts w:cs="Times New Roman"/>
        </w:rPr>
        <w:t xml:space="preserve">In our view, Halifax’s motion for partial summary judgment succeeds under r. 13.04 based on the third question in </w:t>
      </w:r>
      <w:r w:rsidRPr="00A97052">
        <w:rPr>
          <w:rFonts w:cs="Times New Roman"/>
          <w:i/>
        </w:rPr>
        <w:t>Shannex</w:t>
      </w:r>
      <w:r w:rsidRPr="00A97052">
        <w:rPr>
          <w:rFonts w:cs="Times New Roman"/>
        </w:rPr>
        <w:t xml:space="preserve">. We accept that there should be flexibility in allowing novel claims to either be determined on summary judgment or proceed to trial (see </w:t>
      </w:r>
      <w:r w:rsidRPr="00A97052">
        <w:rPr>
          <w:rFonts w:cs="Times New Roman"/>
          <w:i/>
        </w:rPr>
        <w:t>R. v. Imperial Tobacco Canada Ltd.</w:t>
      </w:r>
      <w:r w:rsidRPr="00A97052">
        <w:rPr>
          <w:rFonts w:cs="Times New Roman"/>
        </w:rPr>
        <w:t xml:space="preserve">, 2011 SCC 42, [2011] 3 S.C.R. 45, at para. 21; </w:t>
      </w:r>
      <w:r w:rsidRPr="00A97052">
        <w:rPr>
          <w:rFonts w:cs="Times New Roman"/>
          <w:i/>
        </w:rPr>
        <w:t>Warman v. Law Society of Alberta</w:t>
      </w:r>
      <w:r w:rsidRPr="00A97052">
        <w:rPr>
          <w:rFonts w:cs="Times New Roman"/>
        </w:rPr>
        <w:t>, 2015 ABCA 368, 609 A.R. 83, at para. 6;</w:t>
      </w:r>
      <w:r w:rsidRPr="00A97052">
        <w:rPr>
          <w:rFonts w:cs="Times New Roman"/>
          <w:i/>
        </w:rPr>
        <w:t xml:space="preserve"> Condominium Corp. No. 0321365 v. Cuthbert</w:t>
      </w:r>
      <w:r w:rsidRPr="00A97052">
        <w:rPr>
          <w:rFonts w:cs="Times New Roman"/>
        </w:rPr>
        <w:t xml:space="preserve">, 2016 ABCA 46, 612 A.R. 284, at para. 35; </w:t>
      </w:r>
      <w:proofErr w:type="spellStart"/>
      <w:r w:rsidRPr="00A97052">
        <w:rPr>
          <w:rFonts w:cs="Times New Roman"/>
          <w:i/>
        </w:rPr>
        <w:t>Rudichuk</w:t>
      </w:r>
      <w:proofErr w:type="spellEnd"/>
      <w:r w:rsidRPr="00A97052">
        <w:rPr>
          <w:rFonts w:cs="Times New Roman"/>
          <w:i/>
        </w:rPr>
        <w:t xml:space="preserve"> v. Genesis Land Development Corp.</w:t>
      </w:r>
      <w:r w:rsidRPr="00A97052">
        <w:rPr>
          <w:rFonts w:cs="Times New Roman"/>
        </w:rPr>
        <w:t xml:space="preserve">, 2020 ABCA 42, 98 Alta. L.R. (6th) 339, at para. 35; </w:t>
      </w:r>
      <w:r w:rsidRPr="00A97052">
        <w:rPr>
          <w:rFonts w:cs="Times New Roman"/>
          <w:i/>
        </w:rPr>
        <w:t>Wallbridge v. Brunning</w:t>
      </w:r>
      <w:r w:rsidRPr="00A97052">
        <w:rPr>
          <w:rFonts w:cs="Times New Roman"/>
        </w:rPr>
        <w:t xml:space="preserve">, 2018 ONCA 363, 422 D.L.R. (4th) 305, at para. 26). In this case, however, Annapolis’ </w:t>
      </w:r>
      <w:r w:rsidRPr="00A97052">
        <w:rPr>
          <w:rFonts w:cs="Times New Roman"/>
          <w:i/>
        </w:rPr>
        <w:t>de facto</w:t>
      </w:r>
      <w:r w:rsidRPr="00A97052">
        <w:rPr>
          <w:rFonts w:cs="Times New Roman"/>
        </w:rPr>
        <w:t xml:space="preserve"> taking claim has no real chance of success.</w:t>
      </w:r>
    </w:p>
    <w:p w14:paraId="0612E6A7" w14:textId="77777777" w:rsidR="001A2B0D" w:rsidRPr="00A97052" w:rsidRDefault="001A2B0D" w:rsidP="001A2B0D">
      <w:pPr>
        <w:pStyle w:val="Title3LevelTitre3Niveau"/>
        <w:jc w:val="both"/>
        <w:rPr>
          <w:rFonts w:cs="Times New Roman"/>
        </w:rPr>
      </w:pPr>
      <w:r w:rsidRPr="00A97052">
        <w:rPr>
          <w:rFonts w:cs="Times New Roman"/>
        </w:rPr>
        <w:t>There Is No Genuine Issue of Material Fact That Halifax Has Acquired a Beneficial Interest in the Annapolis Lands or Flowing From Them, Either in Refusing to Up-Zone the Lands or by Allegedly Encouraging Trespass</w:t>
      </w:r>
    </w:p>
    <w:p w14:paraId="1E2755A2" w14:textId="77777777" w:rsidR="001A2B0D" w:rsidRPr="00A97052" w:rsidRDefault="001A2B0D" w:rsidP="001A2B0D">
      <w:pPr>
        <w:pStyle w:val="ParaNoNdepar-AltN"/>
        <w:rPr>
          <w:rFonts w:cs="Times New Roman"/>
        </w:rPr>
      </w:pPr>
      <w:r w:rsidRPr="00A97052">
        <w:rPr>
          <w:rFonts w:cs="Times New Roman"/>
        </w:rPr>
        <w:t>Neither Halifax’s 2016 municipal resolution refusing to up-zone the Annapolis Lands nor Halifax’s alleged acts of encouraging the public to trespass raises any genuine issue of material fact that Halifax has acquired a beneficial interest in the lands or flowing from them.</w:t>
      </w:r>
    </w:p>
    <w:p w14:paraId="660CEDD5" w14:textId="77777777" w:rsidR="001A2B0D" w:rsidRPr="00A97052" w:rsidRDefault="001A2B0D" w:rsidP="001A2B0D">
      <w:pPr>
        <w:pStyle w:val="ParaNoNdepar-AltN"/>
        <w:rPr>
          <w:rFonts w:cs="Times New Roman"/>
        </w:rPr>
      </w:pPr>
      <w:r w:rsidRPr="00A97052">
        <w:rPr>
          <w:rFonts w:cs="Times New Roman"/>
        </w:rPr>
        <w:t xml:space="preserve">The municipal resolution merely preserved the </w:t>
      </w:r>
      <w:r w:rsidRPr="00A97052">
        <w:rPr>
          <w:rFonts w:cs="Times New Roman"/>
          <w:i/>
        </w:rPr>
        <w:t>status quo</w:t>
      </w:r>
      <w:r w:rsidRPr="00A97052">
        <w:rPr>
          <w:rFonts w:cs="Times New Roman"/>
        </w:rPr>
        <w:t xml:space="preserve"> by refusing to allow lands which have always been vacant and treed and situated next to a protected wilderness area to be developed into serviced residential communities. It is of no moment that the 2006 Regional Municipal Planning Strategy, as a statement of policy, stated that a possible future use of the Annapolis Lands included serviced residential development. Both the </w:t>
      </w:r>
      <w:r w:rsidRPr="00A97052">
        <w:rPr>
          <w:rFonts w:cs="Times New Roman"/>
          <w:i/>
        </w:rPr>
        <w:t>Municipal Government Act</w:t>
      </w:r>
      <w:r w:rsidRPr="00A97052">
        <w:rPr>
          <w:rFonts w:cs="Times New Roman"/>
        </w:rPr>
        <w:t xml:space="preserve"> and the </w:t>
      </w:r>
      <w:r w:rsidRPr="00A97052">
        <w:rPr>
          <w:rFonts w:cs="Times New Roman"/>
          <w:i/>
        </w:rPr>
        <w:t>Halifax Charter</w:t>
      </w:r>
      <w:r w:rsidRPr="00A97052">
        <w:rPr>
          <w:rFonts w:cs="Times New Roman"/>
        </w:rPr>
        <w:t xml:space="preserve"> confirm that “[t]he adoption of a municipal planning strategy does not commit the council to undertake any of the projects suggested in it” (</w:t>
      </w:r>
      <w:r w:rsidRPr="00A97052">
        <w:rPr>
          <w:rFonts w:cs="Times New Roman"/>
          <w:i/>
        </w:rPr>
        <w:t>Municipal Government Act</w:t>
      </w:r>
      <w:r w:rsidRPr="00A97052">
        <w:rPr>
          <w:rFonts w:cs="Times New Roman"/>
        </w:rPr>
        <w:t xml:space="preserve">, s. 217(2); </w:t>
      </w:r>
      <w:r w:rsidRPr="00A97052">
        <w:rPr>
          <w:rFonts w:cs="Times New Roman"/>
          <w:i/>
        </w:rPr>
        <w:t>Halifax Charter</w:t>
      </w:r>
      <w:r w:rsidRPr="00A97052">
        <w:rPr>
          <w:rFonts w:cs="Times New Roman"/>
        </w:rPr>
        <w:t>, s. 232(2)).</w:t>
      </w:r>
    </w:p>
    <w:p w14:paraId="190CF73F" w14:textId="77777777" w:rsidR="001A2B0D" w:rsidRPr="00A97052" w:rsidRDefault="001A2B0D" w:rsidP="001A2B0D">
      <w:pPr>
        <w:pStyle w:val="ParaNoNdepar-AltN"/>
        <w:rPr>
          <w:rFonts w:cs="Times New Roman"/>
        </w:rPr>
      </w:pPr>
      <w:r w:rsidRPr="00A97052">
        <w:rPr>
          <w:rFonts w:cs="Times New Roman"/>
        </w:rPr>
        <w:t xml:space="preserve">Halifax’s adoption of a municipal resolution refusing to up-zone the lands also cannot be a basis for a </w:t>
      </w:r>
      <w:r w:rsidRPr="00A97052">
        <w:rPr>
          <w:rFonts w:cs="Times New Roman"/>
          <w:i/>
        </w:rPr>
        <w:t>de facto</w:t>
      </w:r>
      <w:r w:rsidRPr="00A97052">
        <w:rPr>
          <w:rFonts w:cs="Times New Roman"/>
        </w:rPr>
        <w:t xml:space="preserve"> taking claim because the resolution did not result in Halifax acquiring any proprietary interest in the lands. As this Court held in </w:t>
      </w:r>
      <w:r w:rsidRPr="00A97052">
        <w:rPr>
          <w:rFonts w:cs="Times New Roman"/>
          <w:i/>
        </w:rPr>
        <w:t>CPR</w:t>
      </w:r>
      <w:r w:rsidRPr="00A97052">
        <w:rPr>
          <w:rFonts w:cs="Times New Roman"/>
        </w:rPr>
        <w:t xml:space="preserve">, at para. 33, a mere assurance that land will be used or developed in accordance with a municipality’s vision, without precluding historical or current uses of the land, is “not the sort of benefit” that can meet the acquisition requirement. This is why the common law has consistently held that a refusal to up-zone is not actionable as a </w:t>
      </w:r>
      <w:r w:rsidRPr="00A97052">
        <w:rPr>
          <w:rFonts w:cs="Times New Roman"/>
          <w:i/>
        </w:rPr>
        <w:t>de facto</w:t>
      </w:r>
      <w:r w:rsidRPr="00A97052">
        <w:rPr>
          <w:rFonts w:cs="Times New Roman"/>
        </w:rPr>
        <w:t xml:space="preserve"> taking. Our colleagues claim, at para. 64, that “[p]reserving a park in its natural state may constitute an advantage accruing to the state”, but this flouts </w:t>
      </w:r>
      <w:r w:rsidRPr="00A97052">
        <w:rPr>
          <w:rFonts w:cs="Times New Roman"/>
          <w:i/>
        </w:rPr>
        <w:t>CPR</w:t>
      </w:r>
      <w:r w:rsidRPr="00A97052">
        <w:rPr>
          <w:rFonts w:cs="Times New Roman"/>
        </w:rPr>
        <w:t xml:space="preserve">’s insistence that the public authority must have acquired a proprietary interest. A mere “advantage” does not suffice. Respectfully, our colleagues’ expansive approach to what constitutes a </w:t>
      </w:r>
      <w:r w:rsidRPr="00A97052">
        <w:rPr>
          <w:rFonts w:cs="Times New Roman"/>
          <w:i/>
        </w:rPr>
        <w:t>de facto</w:t>
      </w:r>
      <w:r w:rsidRPr="00A97052">
        <w:rPr>
          <w:rFonts w:cs="Times New Roman"/>
        </w:rPr>
        <w:t xml:space="preserve"> taking departs from precedent and would result in </w:t>
      </w:r>
      <w:r w:rsidRPr="00A97052">
        <w:rPr>
          <w:rFonts w:cs="Times New Roman"/>
          <w:i/>
        </w:rPr>
        <w:t>CPR</w:t>
      </w:r>
      <w:r w:rsidRPr="00A97052">
        <w:rPr>
          <w:rFonts w:cs="Times New Roman"/>
        </w:rPr>
        <w:t xml:space="preserve"> being decided differently.</w:t>
      </w:r>
    </w:p>
    <w:p w14:paraId="2175F0D3" w14:textId="77777777" w:rsidR="001A2B0D" w:rsidRPr="00A97052" w:rsidRDefault="001A2B0D" w:rsidP="001A2B0D">
      <w:pPr>
        <w:pStyle w:val="ParaNoNdepar-AltN"/>
        <w:rPr>
          <w:rFonts w:cs="Times New Roman"/>
        </w:rPr>
      </w:pPr>
      <w:r w:rsidRPr="00A97052">
        <w:rPr>
          <w:rFonts w:cs="Times New Roman"/>
        </w:rPr>
        <w:t>We also respectfully disagree with our colleagues’ suggestion, at para. 65, that Halifax’s alleged encouragement of trespass changes this conclusion. For example, at the hearing of the appeal, Annapolis insisted that Halifax has distributed promotional material encouraging people to hike at Fox Lake, which is within the Annapolis Lands. Annapolis claimed that this was an example of Halifax’s “use [of] the Annapolis Lands as a Regional Park” (outline of argument, at para. 5, in condensed book, at p. 2). We disagree. A public authority does not and cannot acquire a proprietary interest</w:t>
      </w:r>
      <w:r w:rsidRPr="00A97052">
        <w:rPr>
          <w:rFonts w:cs="Times New Roman"/>
          <w:i/>
        </w:rPr>
        <w:t xml:space="preserve"> </w:t>
      </w:r>
      <w:r w:rsidRPr="00A97052">
        <w:rPr>
          <w:rFonts w:cs="Times New Roman"/>
        </w:rPr>
        <w:t xml:space="preserve">by encouraging others to trespass. If these allegations were made out at trial, Halifax might well expose itself to liability on some other basis. But this allegation cannot ground a claim for a </w:t>
      </w:r>
      <w:r w:rsidRPr="00A97052">
        <w:rPr>
          <w:rFonts w:cs="Times New Roman"/>
          <w:i/>
        </w:rPr>
        <w:t>de facto</w:t>
      </w:r>
      <w:r w:rsidRPr="00A97052">
        <w:rPr>
          <w:rFonts w:cs="Times New Roman"/>
        </w:rPr>
        <w:t xml:space="preserve"> taking.</w:t>
      </w:r>
    </w:p>
    <w:p w14:paraId="44A48653" w14:textId="77777777" w:rsidR="001A2B0D" w:rsidRPr="00A97052" w:rsidRDefault="001A2B0D" w:rsidP="001A2B0D">
      <w:pPr>
        <w:pStyle w:val="ParaNoNdepar-AltN"/>
        <w:rPr>
          <w:rFonts w:cs="Times New Roman"/>
          <w:lang w:val="en-US"/>
        </w:rPr>
      </w:pPr>
      <w:r w:rsidRPr="00A97052">
        <w:rPr>
          <w:rFonts w:cs="Times New Roman"/>
        </w:rPr>
        <w:t xml:space="preserve">Annapolis’ position illustrates how incompatible the notion of an “advantage” proposed by our colleagues is with any proprietary interest. The only cases they rely on, at paras. 65-66, are the Quebec disguised expropriation cases of </w:t>
      </w:r>
      <w:r w:rsidRPr="00A97052">
        <w:rPr>
          <w:rFonts w:cs="Times New Roman"/>
          <w:i/>
        </w:rPr>
        <w:t>Benjamin</w:t>
      </w:r>
      <w:r w:rsidRPr="00A97052">
        <w:rPr>
          <w:rFonts w:cs="Times New Roman"/>
        </w:rPr>
        <w:t xml:space="preserve"> and </w:t>
      </w:r>
      <w:r w:rsidRPr="00A97052">
        <w:rPr>
          <w:rFonts w:cs="Times New Roman"/>
          <w:i/>
        </w:rPr>
        <w:t>Dupras</w:t>
      </w:r>
      <w:r w:rsidRPr="00A97052">
        <w:rPr>
          <w:rFonts w:cs="Times New Roman"/>
        </w:rPr>
        <w:t xml:space="preserve">, but such reliance is misplaced. As </w:t>
      </w:r>
      <w:r w:rsidRPr="00A97052">
        <w:rPr>
          <w:rFonts w:cs="Times New Roman"/>
          <w:i/>
        </w:rPr>
        <w:t>Dupras</w:t>
      </w:r>
      <w:r w:rsidRPr="00A97052">
        <w:rPr>
          <w:rFonts w:cs="Times New Roman"/>
        </w:rPr>
        <w:t>, at para. </w:t>
      </w:r>
      <w:r w:rsidRPr="00A97052">
        <w:rPr>
          <w:rFonts w:cs="Times New Roman"/>
          <w:lang w:val="en-US"/>
        </w:rPr>
        <w:t>34, makes plain, and as our colleagues recognize, at para. </w:t>
      </w:r>
      <w:r w:rsidRPr="00A97052">
        <w:rPr>
          <w:rFonts w:cs="Times New Roman"/>
          <w:lang w:val="fr-CA"/>
        </w:rPr>
        <w:t xml:space="preserve">48, the acquisition </w:t>
      </w:r>
      <w:proofErr w:type="spellStart"/>
      <w:r w:rsidRPr="00A97052">
        <w:rPr>
          <w:rFonts w:cs="Times New Roman"/>
          <w:lang w:val="fr-CA"/>
        </w:rPr>
        <w:t>requirement</w:t>
      </w:r>
      <w:proofErr w:type="spellEnd"/>
      <w:r w:rsidRPr="00A97052">
        <w:rPr>
          <w:rFonts w:cs="Times New Roman"/>
          <w:lang w:val="fr-CA"/>
        </w:rPr>
        <w:t xml:space="preserve"> has no direct </w:t>
      </w:r>
      <w:proofErr w:type="spellStart"/>
      <w:r w:rsidRPr="00A97052">
        <w:rPr>
          <w:rFonts w:cs="Times New Roman"/>
          <w:lang w:val="fr-CA"/>
        </w:rPr>
        <w:t>corollary</w:t>
      </w:r>
      <w:proofErr w:type="spellEnd"/>
      <w:r w:rsidRPr="00A97052">
        <w:rPr>
          <w:rFonts w:cs="Times New Roman"/>
          <w:lang w:val="fr-CA"/>
        </w:rPr>
        <w:t xml:space="preserve"> under Quebec civil law (see M. A. </w:t>
      </w:r>
      <w:proofErr w:type="spellStart"/>
      <w:r w:rsidRPr="00A97052">
        <w:rPr>
          <w:rFonts w:cs="Times New Roman"/>
          <w:lang w:val="fr-CA"/>
        </w:rPr>
        <w:t>LeChasseur</w:t>
      </w:r>
      <w:proofErr w:type="spellEnd"/>
      <w:r w:rsidRPr="00A97052">
        <w:rPr>
          <w:rFonts w:cs="Times New Roman"/>
          <w:lang w:val="fr-CA"/>
        </w:rPr>
        <w:t xml:space="preserve">, “L’expropriation </w:t>
      </w:r>
      <w:r w:rsidRPr="00A97052">
        <w:rPr>
          <w:rFonts w:cs="Times New Roman"/>
          <w:i/>
          <w:lang w:val="fr-CA"/>
        </w:rPr>
        <w:t>de facto</w:t>
      </w:r>
      <w:r w:rsidRPr="00A97052">
        <w:rPr>
          <w:rFonts w:cs="Times New Roman"/>
          <w:lang w:val="fr-CA"/>
        </w:rPr>
        <w:t xml:space="preserve"> au Canada et la transcendance des solidarités”, in Service de la qualité de la profession du Barreau du Québec, vol. 509, </w:t>
      </w:r>
      <w:r w:rsidRPr="00A97052">
        <w:rPr>
          <w:rFonts w:cs="Times New Roman"/>
          <w:i/>
          <w:lang w:val="fr-CA"/>
        </w:rPr>
        <w:t>Développements récents en droit municipal</w:t>
      </w:r>
      <w:r w:rsidRPr="00A97052">
        <w:rPr>
          <w:rFonts w:cs="Times New Roman"/>
          <w:lang w:val="fr-CA"/>
        </w:rPr>
        <w:t xml:space="preserve"> (2022), 71, at p. 172). </w:t>
      </w:r>
      <w:r w:rsidRPr="00A97052">
        <w:rPr>
          <w:rFonts w:cs="Times New Roman"/>
          <w:i/>
        </w:rPr>
        <w:t>Benjamin</w:t>
      </w:r>
      <w:r w:rsidRPr="00A97052">
        <w:rPr>
          <w:rFonts w:cs="Times New Roman"/>
        </w:rPr>
        <w:t xml:space="preserve"> is also a markedly different case. In </w:t>
      </w:r>
      <w:r w:rsidRPr="00A97052">
        <w:rPr>
          <w:rFonts w:cs="Times New Roman"/>
          <w:i/>
        </w:rPr>
        <w:t>Benjamin</w:t>
      </w:r>
      <w:r w:rsidRPr="00A97052">
        <w:rPr>
          <w:rFonts w:cs="Times New Roman"/>
        </w:rPr>
        <w:t>, the City had passed zoning by-laws allowing only public uses of the owner’s land. It also took physical possession of the owner’s land by erecting a fence to transform the land into a park. There was both physical dispossession and the prior use of legislative power to render any use of the land practically impossible (</w:t>
      </w:r>
      <w:r w:rsidRPr="00A97052">
        <w:rPr>
          <w:rFonts w:cs="Times New Roman"/>
          <w:i/>
        </w:rPr>
        <w:t>Benjamin</w:t>
      </w:r>
      <w:r w:rsidRPr="00A97052">
        <w:rPr>
          <w:rFonts w:cs="Times New Roman"/>
        </w:rPr>
        <w:t xml:space="preserve">, at paras. 9, 11, 14 and 65; see also </w:t>
      </w:r>
      <w:proofErr w:type="spellStart"/>
      <w:r w:rsidRPr="00A97052">
        <w:rPr>
          <w:rFonts w:cs="Times New Roman"/>
          <w:i/>
          <w:szCs w:val="24"/>
          <w:lang w:val="en-US"/>
        </w:rPr>
        <w:t>Rivard</w:t>
      </w:r>
      <w:proofErr w:type="spellEnd"/>
      <w:r w:rsidRPr="00A97052">
        <w:rPr>
          <w:rFonts w:cs="Times New Roman"/>
          <w:szCs w:val="24"/>
          <w:lang w:val="en-US"/>
        </w:rPr>
        <w:t xml:space="preserve">, at para. 66). This conduct is a far cry from the refusal to up-zone encountered in this appeal. The focus of </w:t>
      </w:r>
      <w:r w:rsidRPr="00A97052">
        <w:rPr>
          <w:rFonts w:cs="Times New Roman"/>
          <w:i/>
          <w:szCs w:val="24"/>
          <w:lang w:val="en-US"/>
        </w:rPr>
        <w:t>Benjamin</w:t>
      </w:r>
      <w:r w:rsidRPr="00A97052">
        <w:rPr>
          <w:rFonts w:cs="Times New Roman"/>
          <w:szCs w:val="24"/>
          <w:lang w:val="en-US"/>
        </w:rPr>
        <w:t xml:space="preserve"> was on the change of regulation that took away the rights of the landowner, which is not the case here. </w:t>
      </w:r>
      <w:r w:rsidRPr="00A97052">
        <w:rPr>
          <w:rFonts w:cs="Times New Roman"/>
        </w:rPr>
        <w:t xml:space="preserve">Therefore, the findings of disguised expropriation in </w:t>
      </w:r>
      <w:r w:rsidRPr="00A97052">
        <w:rPr>
          <w:rFonts w:cs="Times New Roman"/>
          <w:i/>
        </w:rPr>
        <w:t>Benjamin</w:t>
      </w:r>
      <w:r w:rsidRPr="00A97052">
        <w:rPr>
          <w:rFonts w:cs="Times New Roman"/>
        </w:rPr>
        <w:t xml:space="preserve"> and </w:t>
      </w:r>
      <w:r w:rsidRPr="00A97052">
        <w:rPr>
          <w:rFonts w:cs="Times New Roman"/>
          <w:i/>
        </w:rPr>
        <w:t>Dupras</w:t>
      </w:r>
      <w:r w:rsidRPr="00A97052">
        <w:rPr>
          <w:rFonts w:cs="Times New Roman"/>
        </w:rPr>
        <w:t xml:space="preserve"> do not directly illuminate what can or cannot meet the acquisition requirement at common law.</w:t>
      </w:r>
    </w:p>
    <w:p w14:paraId="76C1F66A" w14:textId="77777777" w:rsidR="001A2B0D" w:rsidRPr="00A97052" w:rsidRDefault="001A2B0D" w:rsidP="001A2B0D">
      <w:pPr>
        <w:pStyle w:val="ParaNoNdepar-AltN"/>
        <w:rPr>
          <w:rFonts w:cs="Times New Roman"/>
        </w:rPr>
      </w:pPr>
      <w:r w:rsidRPr="00A97052">
        <w:rPr>
          <w:rFonts w:cs="Times New Roman"/>
        </w:rPr>
        <w:t xml:space="preserve">None of the allegedly “vast issues of material fact” listed by our colleagues, at para. 59, and the motion judge, at paras. 25-26 and 36, has any bearing on the </w:t>
      </w:r>
      <w:r w:rsidRPr="00A97052">
        <w:rPr>
          <w:rFonts w:cs="Times New Roman"/>
          <w:i/>
        </w:rPr>
        <w:t>de facto</w:t>
      </w:r>
      <w:r w:rsidRPr="00A97052">
        <w:rPr>
          <w:rFonts w:cs="Times New Roman"/>
        </w:rPr>
        <w:t xml:space="preserve"> taking claim. To the extent that these facts help make Halifax liable for abuse of public office or unjust enrichment, an appropriate remedy can be awarded for those claims at trial. It bears noting that, as the Court of Appeal observed, at para. 83, if Halifax has acted for an improper purpose, Annapolis may succeed in its cause of action for abuse of public office. The Court of Appeal rightly relied on </w:t>
      </w:r>
      <w:r w:rsidRPr="00A97052">
        <w:rPr>
          <w:rFonts w:cs="Times New Roman"/>
          <w:i/>
        </w:rPr>
        <w:t>Mariner</w:t>
      </w:r>
      <w:r w:rsidRPr="00A97052">
        <w:rPr>
          <w:rFonts w:cs="Times New Roman"/>
        </w:rPr>
        <w:t>, at pp. 717</w:t>
      </w:r>
      <w:r w:rsidRPr="00A97052">
        <w:rPr>
          <w:rFonts w:cs="Times New Roman"/>
        </w:rPr>
        <w:noBreakHyphen/>
        <w:t xml:space="preserve">18, where Cromwell J.A. explained that administrative law claims for unlawful actions are distinct from compensatory claims for </w:t>
      </w:r>
      <w:r w:rsidRPr="00A97052">
        <w:rPr>
          <w:rFonts w:cs="Times New Roman"/>
          <w:i/>
        </w:rPr>
        <w:t>de facto</w:t>
      </w:r>
      <w:r w:rsidRPr="00A97052">
        <w:rPr>
          <w:rFonts w:cs="Times New Roman"/>
        </w:rPr>
        <w:t xml:space="preserve"> taking. But these facts are not material facts in support of the </w:t>
      </w:r>
      <w:r w:rsidRPr="00A97052">
        <w:rPr>
          <w:rFonts w:cs="Times New Roman"/>
          <w:i/>
        </w:rPr>
        <w:t>de facto</w:t>
      </w:r>
      <w:r w:rsidRPr="00A97052">
        <w:rPr>
          <w:rFonts w:cs="Times New Roman"/>
        </w:rPr>
        <w:t xml:space="preserve"> taking claim: </w:t>
      </w:r>
    </w:p>
    <w:p w14:paraId="0A173FAA" w14:textId="77777777" w:rsidR="001A2B0D" w:rsidRPr="00A97052" w:rsidRDefault="001A2B0D" w:rsidP="001A2B0D">
      <w:pPr>
        <w:pStyle w:val="ParaNoNdepar-AltN"/>
        <w:numPr>
          <w:ilvl w:val="0"/>
          <w:numId w:val="32"/>
        </w:numPr>
        <w:ind w:left="1980" w:hanging="812"/>
        <w:rPr>
          <w:rFonts w:cs="Times New Roman"/>
          <w:szCs w:val="24"/>
        </w:rPr>
      </w:pPr>
      <w:r w:rsidRPr="00A97052">
        <w:rPr>
          <w:rFonts w:cs="Times New Roman"/>
          <w:szCs w:val="24"/>
        </w:rPr>
        <w:t xml:space="preserve">Correspondence between counsel in which Halifax denies allegations in the amended statement of claim are not “material facts” in support of a </w:t>
      </w:r>
      <w:r w:rsidRPr="00A97052">
        <w:rPr>
          <w:rFonts w:cs="Times New Roman"/>
          <w:i/>
          <w:szCs w:val="24"/>
        </w:rPr>
        <w:t>de facto</w:t>
      </w:r>
      <w:r w:rsidRPr="00A97052">
        <w:rPr>
          <w:rFonts w:cs="Times New Roman"/>
          <w:szCs w:val="24"/>
        </w:rPr>
        <w:t xml:space="preserve"> taking claim.</w:t>
      </w:r>
    </w:p>
    <w:p w14:paraId="38F219AD" w14:textId="77777777" w:rsidR="001A2B0D" w:rsidRPr="00A97052" w:rsidRDefault="001A2B0D" w:rsidP="001A2B0D">
      <w:pPr>
        <w:pStyle w:val="ParaNoNdepar-AltN"/>
        <w:numPr>
          <w:ilvl w:val="0"/>
          <w:numId w:val="32"/>
        </w:numPr>
        <w:ind w:left="1980" w:hanging="812"/>
        <w:rPr>
          <w:rFonts w:cs="Times New Roman"/>
          <w:szCs w:val="24"/>
        </w:rPr>
      </w:pPr>
      <w:r w:rsidRPr="00A97052">
        <w:rPr>
          <w:rFonts w:cs="Times New Roman"/>
          <w:szCs w:val="24"/>
        </w:rPr>
        <w:t>Signage on Annapolis’ property depicting Halifax’s logo on various trails does not have the effect of Halifax acquiring any proprietary interest.</w:t>
      </w:r>
    </w:p>
    <w:p w14:paraId="3ACFCF2D" w14:textId="77777777" w:rsidR="001A2B0D" w:rsidRPr="00A97052" w:rsidRDefault="001A2B0D" w:rsidP="001A2B0D">
      <w:pPr>
        <w:pStyle w:val="ParaNoNdepar-AltN"/>
        <w:numPr>
          <w:ilvl w:val="0"/>
          <w:numId w:val="32"/>
        </w:numPr>
        <w:ind w:left="1980" w:hanging="812"/>
        <w:rPr>
          <w:rFonts w:cs="Times New Roman"/>
          <w:szCs w:val="24"/>
        </w:rPr>
      </w:pPr>
      <w:r w:rsidRPr="00A97052">
        <w:rPr>
          <w:rFonts w:cs="Times New Roman"/>
          <w:szCs w:val="24"/>
        </w:rPr>
        <w:t xml:space="preserve">A newspaper article quoting a Halifax employee does not support the claim that Halifax has acquired a proprietary interest in the Annapolis Lands. What a newspaper says, or </w:t>
      </w:r>
      <w:r w:rsidRPr="00A97052">
        <w:rPr>
          <w:rFonts w:cs="Times New Roman"/>
        </w:rPr>
        <w:t>quotes</w:t>
      </w:r>
      <w:r w:rsidRPr="00A97052">
        <w:rPr>
          <w:rFonts w:cs="Times New Roman"/>
          <w:szCs w:val="24"/>
        </w:rPr>
        <w:t xml:space="preserve"> a Halifax employee as saying, does not affect this issue.</w:t>
      </w:r>
    </w:p>
    <w:p w14:paraId="514BB635" w14:textId="77777777" w:rsidR="001A2B0D" w:rsidRPr="00A97052" w:rsidRDefault="001A2B0D" w:rsidP="001A2B0D">
      <w:pPr>
        <w:pStyle w:val="ParaNoNdepar-AltN"/>
        <w:numPr>
          <w:ilvl w:val="0"/>
          <w:numId w:val="32"/>
        </w:numPr>
        <w:ind w:left="1980" w:hanging="812"/>
        <w:rPr>
          <w:rFonts w:cs="Times New Roman"/>
          <w:szCs w:val="24"/>
        </w:rPr>
      </w:pPr>
      <w:r w:rsidRPr="00A97052">
        <w:rPr>
          <w:rFonts w:cs="Times New Roman"/>
          <w:szCs w:val="24"/>
        </w:rPr>
        <w:t xml:space="preserve">Discovery evidence on whether the Annapolis Lands were to be treated as development lands, not parklands, under the 2006 Regional Municipal Planning Strategy is not a material fact in dispute. The Strategy speaks for itself. As a matter of law, it “does not commit the council to undertake any of the projects </w:t>
      </w:r>
      <w:r w:rsidRPr="00A97052">
        <w:rPr>
          <w:rFonts w:cs="Times New Roman"/>
        </w:rPr>
        <w:t>suggested</w:t>
      </w:r>
      <w:r w:rsidRPr="00A97052">
        <w:rPr>
          <w:rFonts w:cs="Times New Roman"/>
          <w:szCs w:val="24"/>
        </w:rPr>
        <w:t xml:space="preserve"> in it” (</w:t>
      </w:r>
      <w:r w:rsidRPr="00A97052">
        <w:rPr>
          <w:rFonts w:cs="Times New Roman"/>
          <w:i/>
          <w:szCs w:val="24"/>
        </w:rPr>
        <w:t>Municipal Government Act</w:t>
      </w:r>
      <w:r w:rsidRPr="00A97052">
        <w:rPr>
          <w:rFonts w:cs="Times New Roman"/>
          <w:szCs w:val="24"/>
        </w:rPr>
        <w:t xml:space="preserve">, s. 217(2); </w:t>
      </w:r>
      <w:r w:rsidRPr="00A97052">
        <w:rPr>
          <w:rFonts w:cs="Times New Roman"/>
          <w:i/>
          <w:szCs w:val="24"/>
        </w:rPr>
        <w:t>Halifax Charter</w:t>
      </w:r>
      <w:r w:rsidRPr="00A97052">
        <w:rPr>
          <w:rFonts w:cs="Times New Roman"/>
          <w:szCs w:val="24"/>
        </w:rPr>
        <w:t>, s. 232(2)). The same applies to the next two bullets that our colleagues cite, relating to the Planning Strategy, clauses 1.7.1 and 3.1.</w:t>
      </w:r>
    </w:p>
    <w:p w14:paraId="6099E652" w14:textId="77777777" w:rsidR="001A2B0D" w:rsidRPr="00A97052" w:rsidRDefault="001A2B0D" w:rsidP="001A2B0D">
      <w:pPr>
        <w:pStyle w:val="ParaNoNdepar-AltN"/>
        <w:numPr>
          <w:ilvl w:val="0"/>
          <w:numId w:val="32"/>
        </w:numPr>
        <w:ind w:left="1980" w:hanging="812"/>
        <w:rPr>
          <w:rFonts w:cs="Times New Roman"/>
          <w:szCs w:val="24"/>
        </w:rPr>
      </w:pPr>
      <w:r w:rsidRPr="00A97052">
        <w:rPr>
          <w:rFonts w:cs="Times New Roman"/>
          <w:szCs w:val="24"/>
        </w:rPr>
        <w:t xml:space="preserve">Discovery evidence relating to the 2016 municipal council resolution, and later clarifications from counsel, has no bearing on whether Halifax acquired a proprietary interest in the Annapolis Lands. The pleaded allegation of </w:t>
      </w:r>
      <w:r w:rsidRPr="00A97052">
        <w:rPr>
          <w:rFonts w:cs="Times New Roman"/>
          <w:i/>
          <w:szCs w:val="24"/>
        </w:rPr>
        <w:t>de facto</w:t>
      </w:r>
      <w:r w:rsidRPr="00A97052">
        <w:rPr>
          <w:rFonts w:cs="Times New Roman"/>
          <w:szCs w:val="24"/>
        </w:rPr>
        <w:t xml:space="preserve"> taking relies </w:t>
      </w:r>
      <w:r w:rsidRPr="00A97052">
        <w:rPr>
          <w:rFonts w:cs="Times New Roman"/>
        </w:rPr>
        <w:t>on</w:t>
      </w:r>
      <w:r w:rsidRPr="00A97052">
        <w:rPr>
          <w:rFonts w:cs="Times New Roman"/>
          <w:szCs w:val="24"/>
        </w:rPr>
        <w:t xml:space="preserve"> the resolution itself, which, as already noted, merely preserved the </w:t>
      </w:r>
      <w:r w:rsidRPr="00A97052">
        <w:rPr>
          <w:rFonts w:cs="Times New Roman"/>
          <w:i/>
          <w:szCs w:val="24"/>
        </w:rPr>
        <w:t>status quo</w:t>
      </w:r>
      <w:r w:rsidRPr="00A97052">
        <w:rPr>
          <w:rFonts w:cs="Times New Roman"/>
          <w:szCs w:val="24"/>
        </w:rPr>
        <w:t>.</w:t>
      </w:r>
    </w:p>
    <w:p w14:paraId="0B25B42E" w14:textId="77777777" w:rsidR="001A2B0D" w:rsidRPr="00A97052" w:rsidRDefault="001A2B0D" w:rsidP="001A2B0D">
      <w:pPr>
        <w:pStyle w:val="ParaNoNdepar-AltN"/>
        <w:numPr>
          <w:ilvl w:val="0"/>
          <w:numId w:val="32"/>
        </w:numPr>
        <w:ind w:left="1980" w:hanging="812"/>
        <w:rPr>
          <w:rFonts w:cs="Times New Roman"/>
          <w:szCs w:val="24"/>
        </w:rPr>
      </w:pPr>
      <w:r w:rsidRPr="00A97052">
        <w:rPr>
          <w:rFonts w:cs="Times New Roman"/>
          <w:szCs w:val="24"/>
        </w:rPr>
        <w:t xml:space="preserve">Evidence of an alleged ulterior motive of Halifax is irrelevant to the </w:t>
      </w:r>
      <w:r w:rsidRPr="00A97052">
        <w:rPr>
          <w:rFonts w:cs="Times New Roman"/>
          <w:i/>
          <w:szCs w:val="24"/>
        </w:rPr>
        <w:t>de facto</w:t>
      </w:r>
      <w:r w:rsidRPr="00A97052">
        <w:rPr>
          <w:rFonts w:cs="Times New Roman"/>
          <w:szCs w:val="24"/>
        </w:rPr>
        <w:t xml:space="preserve"> taking claim, as already </w:t>
      </w:r>
      <w:r w:rsidRPr="00A97052">
        <w:rPr>
          <w:rFonts w:cs="Times New Roman"/>
        </w:rPr>
        <w:t>explained</w:t>
      </w:r>
      <w:r w:rsidRPr="00A97052">
        <w:rPr>
          <w:rFonts w:cs="Times New Roman"/>
          <w:szCs w:val="24"/>
        </w:rPr>
        <w:t xml:space="preserve"> above.</w:t>
      </w:r>
    </w:p>
    <w:p w14:paraId="407DFAC3" w14:textId="77777777" w:rsidR="001A2B0D" w:rsidRPr="00A97052" w:rsidRDefault="001A2B0D" w:rsidP="001A2B0D">
      <w:pPr>
        <w:pStyle w:val="ParaNoNdepar-AltN"/>
        <w:rPr>
          <w:rFonts w:cs="Times New Roman"/>
        </w:rPr>
      </w:pPr>
      <w:r w:rsidRPr="00A97052">
        <w:rPr>
          <w:rFonts w:cs="Times New Roman"/>
        </w:rPr>
        <w:t>There are thus no disputed material facts as to whether Halifax acquired a proprietary interest in the Annapolis Lands. No such interest was acquired. Halifax merely refused to up-zone the lands. Because these are not material facts, we respectfully disagree with the motion judge, at para. </w:t>
      </w:r>
      <w:proofErr w:type="gramStart"/>
      <w:r w:rsidRPr="00A97052">
        <w:rPr>
          <w:rFonts w:cs="Times New Roman"/>
        </w:rPr>
        <w:t>44, that</w:t>
      </w:r>
      <w:proofErr w:type="gramEnd"/>
      <w:r w:rsidRPr="00A97052">
        <w:rPr>
          <w:rFonts w:cs="Times New Roman"/>
        </w:rPr>
        <w:t xml:space="preserve"> the </w:t>
      </w:r>
      <w:r w:rsidRPr="00A97052">
        <w:rPr>
          <w:rFonts w:cs="Times New Roman"/>
          <w:i/>
        </w:rPr>
        <w:t>de facto</w:t>
      </w:r>
      <w:r w:rsidRPr="00A97052">
        <w:rPr>
          <w:rFonts w:cs="Times New Roman"/>
        </w:rPr>
        <w:t xml:space="preserve"> taking claim may properly go to trial along with the balance of the matters in dispute.</w:t>
      </w:r>
    </w:p>
    <w:p w14:paraId="3C09F191" w14:textId="77777777" w:rsidR="001A2B0D" w:rsidRPr="00A97052" w:rsidRDefault="001A2B0D" w:rsidP="001A2B0D">
      <w:pPr>
        <w:pStyle w:val="Title3LevelTitre3Niveau"/>
        <w:jc w:val="both"/>
        <w:rPr>
          <w:rFonts w:cs="Times New Roman"/>
        </w:rPr>
      </w:pPr>
      <w:r w:rsidRPr="00A97052">
        <w:rPr>
          <w:rFonts w:cs="Times New Roman"/>
        </w:rPr>
        <w:t>There Is No Genuine Issue of Material Fact That Halifax Has Deprived Annapolis of All Reasonable Uses of the Annapolis Lands</w:t>
      </w:r>
    </w:p>
    <w:p w14:paraId="648522A3" w14:textId="77777777" w:rsidR="001A2B0D" w:rsidRPr="00A97052" w:rsidRDefault="001A2B0D" w:rsidP="001A2B0D">
      <w:pPr>
        <w:pStyle w:val="ParaNoNdepar-AltN"/>
        <w:rPr>
          <w:rFonts w:cs="Times New Roman"/>
        </w:rPr>
      </w:pPr>
      <w:r w:rsidRPr="00A97052">
        <w:rPr>
          <w:rFonts w:cs="Times New Roman"/>
        </w:rPr>
        <w:t xml:space="preserve">Even if Annapolis could establish that Halifax has acquired a beneficial interest in the Annapolis Lands or flowing from them, it cannot meet the second requirement of the test for a </w:t>
      </w:r>
      <w:r w:rsidRPr="00A97052">
        <w:rPr>
          <w:rFonts w:cs="Times New Roman"/>
          <w:i/>
        </w:rPr>
        <w:t>de facto</w:t>
      </w:r>
      <w:r w:rsidRPr="00A97052">
        <w:rPr>
          <w:rFonts w:cs="Times New Roman"/>
        </w:rPr>
        <w:t xml:space="preserve"> taking: there is no genuine issue of material fact that Halifax has deprived Annapolis of all reasonable uses of its lands. This in itself is fatal to Annapolis’ appeal given that the two requirements in </w:t>
      </w:r>
      <w:r w:rsidRPr="00A97052">
        <w:rPr>
          <w:rFonts w:cs="Times New Roman"/>
          <w:i/>
        </w:rPr>
        <w:t>CPR</w:t>
      </w:r>
      <w:r w:rsidRPr="00A97052">
        <w:rPr>
          <w:rFonts w:cs="Times New Roman"/>
        </w:rPr>
        <w:t xml:space="preserve"> are cumulative.</w:t>
      </w:r>
    </w:p>
    <w:p w14:paraId="628EB4AF" w14:textId="77777777" w:rsidR="001A2B0D" w:rsidRPr="00A97052" w:rsidRDefault="001A2B0D" w:rsidP="001A2B0D">
      <w:pPr>
        <w:pStyle w:val="ParaNoNdepar-AltN"/>
        <w:rPr>
          <w:rFonts w:cs="Times New Roman"/>
        </w:rPr>
      </w:pPr>
      <w:r w:rsidRPr="00A97052">
        <w:rPr>
          <w:rFonts w:cs="Times New Roman"/>
        </w:rPr>
        <w:t xml:space="preserve">This second element of the </w:t>
      </w:r>
      <w:r w:rsidRPr="00A97052">
        <w:rPr>
          <w:rFonts w:cs="Times New Roman"/>
          <w:i/>
        </w:rPr>
        <w:t>CPR</w:t>
      </w:r>
      <w:r w:rsidRPr="00A97052">
        <w:rPr>
          <w:rFonts w:cs="Times New Roman"/>
        </w:rPr>
        <w:t xml:space="preserve"> test must be assessed “not only in relation to the land’s potential highest and best use, but having regard to the nature of the land and the range of reasonable uses to which it has actually been put” (</w:t>
      </w:r>
      <w:r w:rsidRPr="00A97052">
        <w:rPr>
          <w:rFonts w:cs="Times New Roman"/>
          <w:i/>
        </w:rPr>
        <w:t>CPR</w:t>
      </w:r>
      <w:r w:rsidRPr="00A97052">
        <w:rPr>
          <w:rFonts w:cs="Times New Roman"/>
        </w:rPr>
        <w:t xml:space="preserve">, at para. 34, quoting </w:t>
      </w:r>
      <w:r w:rsidRPr="00A97052">
        <w:rPr>
          <w:rFonts w:cs="Times New Roman"/>
          <w:i/>
        </w:rPr>
        <w:t>Mariner</w:t>
      </w:r>
      <w:r w:rsidRPr="00A97052">
        <w:rPr>
          <w:rFonts w:cs="Times New Roman"/>
        </w:rPr>
        <w:t xml:space="preserve">, at p. 717). When “a regulatory regime is imposed on land, its </w:t>
      </w:r>
      <w:r w:rsidRPr="00A97052">
        <w:rPr>
          <w:rFonts w:cs="Times New Roman"/>
          <w:i/>
        </w:rPr>
        <w:t>actual application</w:t>
      </w:r>
      <w:r w:rsidRPr="00A97052">
        <w:rPr>
          <w:rFonts w:cs="Times New Roman"/>
        </w:rPr>
        <w:t xml:space="preserve"> in the specific case must be examined, </w:t>
      </w:r>
      <w:r w:rsidRPr="00A97052">
        <w:rPr>
          <w:rFonts w:cs="Times New Roman"/>
          <w:u w:val="single"/>
        </w:rPr>
        <w:t>not</w:t>
      </w:r>
      <w:r w:rsidRPr="00A97052">
        <w:rPr>
          <w:rFonts w:cs="Times New Roman"/>
        </w:rPr>
        <w:t xml:space="preserve"> the potential, but as yet unexploited, range of possible regulation” (</w:t>
      </w:r>
      <w:r w:rsidRPr="00A97052">
        <w:rPr>
          <w:rFonts w:cs="Times New Roman"/>
          <w:i/>
        </w:rPr>
        <w:t>Mariner</w:t>
      </w:r>
      <w:r w:rsidRPr="00A97052">
        <w:rPr>
          <w:rFonts w:cs="Times New Roman"/>
        </w:rPr>
        <w:t>, at p. 718 (underlining added)). Confinement to uneconomic uses is insufficient (</w:t>
      </w:r>
      <w:r w:rsidRPr="00A97052">
        <w:rPr>
          <w:rFonts w:cs="Times New Roman"/>
          <w:i/>
        </w:rPr>
        <w:t>CPR</w:t>
      </w:r>
      <w:r w:rsidRPr="00A97052">
        <w:rPr>
          <w:rFonts w:cs="Times New Roman"/>
        </w:rPr>
        <w:t>, at paras. 8 and 27</w:t>
      </w:r>
      <w:r w:rsidRPr="00A97052">
        <w:rPr>
          <w:rFonts w:cs="Times New Roman"/>
        </w:rPr>
        <w:noBreakHyphen/>
        <w:t>31). Loss of virtually all economic value is also insufficient (</w:t>
      </w:r>
      <w:r w:rsidRPr="00A97052">
        <w:rPr>
          <w:rFonts w:cs="Times New Roman"/>
          <w:i/>
        </w:rPr>
        <w:t>Mariner</w:t>
      </w:r>
      <w:r w:rsidRPr="00A97052">
        <w:rPr>
          <w:rFonts w:cs="Times New Roman"/>
        </w:rPr>
        <w:t>, at pp. 714 and 719</w:t>
      </w:r>
      <w:r w:rsidRPr="00A97052">
        <w:rPr>
          <w:rFonts w:cs="Times New Roman"/>
        </w:rPr>
        <w:noBreakHyphen/>
        <w:t>27).</w:t>
      </w:r>
    </w:p>
    <w:p w14:paraId="17B685E1" w14:textId="77777777" w:rsidR="001A2B0D" w:rsidRPr="00A97052" w:rsidRDefault="001A2B0D" w:rsidP="001A2B0D">
      <w:pPr>
        <w:pStyle w:val="ParaNoNdepar-AltN"/>
        <w:rPr>
          <w:rFonts w:cs="Times New Roman"/>
        </w:rPr>
      </w:pPr>
      <w:r w:rsidRPr="00A97052">
        <w:rPr>
          <w:rFonts w:cs="Times New Roman"/>
        </w:rPr>
        <w:t xml:space="preserve">In </w:t>
      </w:r>
      <w:r w:rsidRPr="00A97052">
        <w:rPr>
          <w:rFonts w:cs="Times New Roman"/>
          <w:i/>
        </w:rPr>
        <w:t>CPR</w:t>
      </w:r>
      <w:r w:rsidRPr="00A97052">
        <w:rPr>
          <w:rFonts w:cs="Times New Roman"/>
        </w:rPr>
        <w:t>, for example, this Court held that the City of Vancouver’s by-law did not remove all reasonable uses of the property because it did not prevent the landowner from using its land to operate a railway, the only use to which the land had ever been put during the history of the City (para. 34).</w:t>
      </w:r>
    </w:p>
    <w:p w14:paraId="503AB638" w14:textId="77777777" w:rsidR="001A2B0D" w:rsidRPr="00A97052" w:rsidRDefault="001A2B0D" w:rsidP="001A2B0D">
      <w:pPr>
        <w:pStyle w:val="ParaNoNdepar-AltN"/>
        <w:rPr>
          <w:rFonts w:cs="Times New Roman"/>
        </w:rPr>
      </w:pPr>
      <w:r w:rsidRPr="00A97052">
        <w:rPr>
          <w:rFonts w:cs="Times New Roman"/>
        </w:rPr>
        <w:t>The situation here is indistinguishable. As the Nova Scotia Court of Appeal noted, at para. 14, “[t]he zoning of the Annapolis Lands has not changed since the adoption of the Land Use By-law in 2006.” The court added: “Annapolis has the same rights with respect to its lands that it had prior to Council’s resolution on September 6, 2016. Nothing has changed” (para. 91). The lands were vacant and treed when Annapolis acquired them, and they remain vacant and treed. Halifax’s refusal to up-zone the lands in 2016 did not deprive Annapolis of any reasonable uses of its lands. It simply disappointed Annapolis’ hope of developing them. Annapolis speculated that, one day, it would have that right. The company made a bet and lost. There is no principled basis for saying that Halifax and its taxpayers now have to guarantee that speculative bet. We therefore agree with the submission of Halifax’s counsel, that “[Annapolis] bought barren land with no rights to do anything more than that. The municipality is not the guarantor of their land speculation” (transcript, at p. 79).</w:t>
      </w:r>
    </w:p>
    <w:p w14:paraId="776D65FF" w14:textId="77777777" w:rsidR="001A2B0D" w:rsidRPr="00A97052" w:rsidRDefault="001A2B0D" w:rsidP="001A2B0D">
      <w:pPr>
        <w:pStyle w:val="ParaNoNdepar-AltN"/>
        <w:rPr>
          <w:rFonts w:cs="Times New Roman"/>
        </w:rPr>
      </w:pPr>
      <w:r w:rsidRPr="00A97052">
        <w:rPr>
          <w:rFonts w:cs="Times New Roman"/>
        </w:rPr>
        <w:t xml:space="preserve">Contrary to our colleagues’ suggestion at para. 72, Halifax has not taken Annapolis’ “right” to develop the lands. Annapolis claims that it had an unfettered right to develop the lands before they were first zoned in 1982. Yet Annapolis grounds its </w:t>
      </w:r>
      <w:r w:rsidRPr="00A97052">
        <w:rPr>
          <w:rFonts w:cs="Times New Roman"/>
          <w:i/>
        </w:rPr>
        <w:t>de facto</w:t>
      </w:r>
      <w:r w:rsidRPr="00A97052">
        <w:rPr>
          <w:rFonts w:cs="Times New Roman"/>
        </w:rPr>
        <w:t xml:space="preserve"> taking claim in the proceedings before us in Halifax’s refusal to up-zone </w:t>
      </w:r>
      <w:r w:rsidRPr="00A97052">
        <w:rPr>
          <w:rFonts w:cs="Times New Roman"/>
          <w:i/>
        </w:rPr>
        <w:t>in 2016</w:t>
      </w:r>
      <w:r w:rsidRPr="00A97052">
        <w:rPr>
          <w:rFonts w:cs="Times New Roman"/>
        </w:rPr>
        <w:t xml:space="preserve"> — which, as already noted, did not affect the zoning of the lands or Annapolis’ rights. Indeed, our colleagues acknowledge that </w:t>
      </w:r>
      <w:r w:rsidRPr="00A97052">
        <w:rPr>
          <w:rFonts w:cs="Times New Roman"/>
          <w:i/>
        </w:rPr>
        <w:t>the zoning has not changed since 2006</w:t>
      </w:r>
      <w:r w:rsidRPr="00A97052">
        <w:rPr>
          <w:rFonts w:cs="Times New Roman"/>
        </w:rPr>
        <w:t xml:space="preserve"> (para. 7). The potential permissible uses of the lands before 1982 are thus irrelevant to Annapolis’ claim. </w:t>
      </w:r>
    </w:p>
    <w:p w14:paraId="3AEED7CE" w14:textId="77777777" w:rsidR="001A2B0D" w:rsidRPr="00A97052" w:rsidRDefault="001A2B0D" w:rsidP="001A2B0D">
      <w:pPr>
        <w:pStyle w:val="ParaNoNdepar-AltN"/>
        <w:rPr>
          <w:rFonts w:cs="Times New Roman"/>
        </w:rPr>
      </w:pPr>
      <w:r w:rsidRPr="00A97052">
        <w:rPr>
          <w:rFonts w:cs="Times New Roman"/>
        </w:rPr>
        <w:t xml:space="preserve">We therefore agree with the Nova Scotia Court of Appeal, at para. 92: “. . . the lands and the reasonable uses to which Annapolis can put them remain exactly as they have been for many years”. This responds to our colleagues’ criticism that the Court of Appeal “failed to identify a single reasonable possible use of the property” (para. 70; see also para. 74). The lands remain vacant and treed and are zoned exactly as before. Further, as counsel for Halifax conceded during oral argument, subject to the current zoning Annapolis can lease the lands (transcript, at p. 72), just as CPR could in </w:t>
      </w:r>
      <w:r w:rsidRPr="00A97052">
        <w:rPr>
          <w:rFonts w:cs="Times New Roman"/>
          <w:i/>
        </w:rPr>
        <w:t>CPR</w:t>
      </w:r>
      <w:r w:rsidRPr="00A97052">
        <w:rPr>
          <w:rFonts w:cs="Times New Roman"/>
        </w:rPr>
        <w:t xml:space="preserve"> (</w:t>
      </w:r>
      <w:r w:rsidRPr="00A97052">
        <w:rPr>
          <w:rFonts w:cs="Times New Roman"/>
          <w:i/>
        </w:rPr>
        <w:t>CPR</w:t>
      </w:r>
      <w:r w:rsidRPr="00A97052">
        <w:rPr>
          <w:rFonts w:cs="Times New Roman"/>
        </w:rPr>
        <w:t xml:space="preserve">, at para. 34). We note, too, that confinement of the land to uneconomic uses does not in itself establish a </w:t>
      </w:r>
      <w:r w:rsidRPr="00A97052">
        <w:rPr>
          <w:rFonts w:cs="Times New Roman"/>
          <w:i/>
        </w:rPr>
        <w:t>de facto</w:t>
      </w:r>
      <w:r w:rsidRPr="00A97052">
        <w:rPr>
          <w:rFonts w:cs="Times New Roman"/>
        </w:rPr>
        <w:t xml:space="preserve"> taking (see </w:t>
      </w:r>
      <w:r w:rsidRPr="00A97052">
        <w:rPr>
          <w:rFonts w:cs="Times New Roman"/>
          <w:i/>
        </w:rPr>
        <w:t>CPR</w:t>
      </w:r>
      <w:r w:rsidRPr="00A97052">
        <w:rPr>
          <w:rFonts w:cs="Times New Roman"/>
        </w:rPr>
        <w:t xml:space="preserve">, at paras. 8 and 34; Horsman and Morley, at </w:t>
      </w:r>
      <w:r w:rsidRPr="00A97052">
        <w:rPr>
          <w:rFonts w:cs="Times New Roman"/>
          <w:szCs w:val="24"/>
          <w:shd w:val="clear" w:color="auto" w:fill="FFFFFF"/>
        </w:rPr>
        <w:t>§ 5:13</w:t>
      </w:r>
      <w:r w:rsidRPr="00A97052">
        <w:rPr>
          <w:rFonts w:cs="Times New Roman"/>
        </w:rPr>
        <w:t>).</w:t>
      </w:r>
    </w:p>
    <w:p w14:paraId="77D9D086" w14:textId="77777777" w:rsidR="001A2B0D" w:rsidRPr="00A97052" w:rsidRDefault="001A2B0D" w:rsidP="001A2B0D">
      <w:pPr>
        <w:pStyle w:val="ParaNoNdepar-AltN"/>
        <w:rPr>
          <w:rFonts w:cs="Times New Roman"/>
        </w:rPr>
      </w:pPr>
      <w:r w:rsidRPr="00A97052">
        <w:rPr>
          <w:rFonts w:cs="Times New Roman"/>
        </w:rPr>
        <w:t xml:space="preserve">In our respectful view, there is no basis in the record for our colleagues to assert that “it is disputed whether Halifax, by allegedly treating the Annapolis Lands as a public park, has </w:t>
      </w:r>
      <w:r w:rsidRPr="00A97052">
        <w:rPr>
          <w:rFonts w:cs="Times New Roman"/>
          <w:u w:val="single"/>
        </w:rPr>
        <w:t>eliminated</w:t>
      </w:r>
      <w:r w:rsidRPr="00A97052">
        <w:rPr>
          <w:rFonts w:cs="Times New Roman"/>
        </w:rPr>
        <w:t xml:space="preserve"> all uses of the Lands except serviced development, which is conditional upon the approval of Annapolis’ secondary planning applications” (para. 69 (emphasis added)). Halifax did not eliminate or remove any reasonable use of the property. It simply refused to up-zone the lands to allow for residential development. </w:t>
      </w:r>
    </w:p>
    <w:p w14:paraId="7A21AAF3" w14:textId="77777777" w:rsidR="001A2B0D" w:rsidRPr="00A97052" w:rsidRDefault="001A2B0D" w:rsidP="001A2B0D">
      <w:pPr>
        <w:pStyle w:val="ParaNoNdepar-AltN"/>
        <w:rPr>
          <w:rFonts w:cs="Times New Roman"/>
        </w:rPr>
      </w:pPr>
      <w:r w:rsidRPr="00A97052">
        <w:rPr>
          <w:rFonts w:cs="Times New Roman"/>
        </w:rPr>
        <w:t xml:space="preserve">Our colleagues nevertheless claim, at para. 76, that “it is telling that [Kasirer and Jamal JJ.] </w:t>
      </w:r>
      <w:proofErr w:type="gramStart"/>
      <w:r w:rsidRPr="00A97052">
        <w:rPr>
          <w:rFonts w:cs="Times New Roman"/>
        </w:rPr>
        <w:t>do</w:t>
      </w:r>
      <w:proofErr w:type="gramEnd"/>
      <w:r w:rsidRPr="00A97052">
        <w:rPr>
          <w:rFonts w:cs="Times New Roman"/>
        </w:rPr>
        <w:t xml:space="preserve"> not identify </w:t>
      </w:r>
      <w:r w:rsidRPr="00A97052">
        <w:rPr>
          <w:rFonts w:cs="Times New Roman"/>
          <w:i/>
        </w:rPr>
        <w:t>any</w:t>
      </w:r>
      <w:r w:rsidRPr="00A97052">
        <w:rPr>
          <w:rFonts w:cs="Times New Roman"/>
        </w:rPr>
        <w:t xml:space="preserve"> reasonable use of the Annapolis Lands” (emphasis in original). Respectfully, this illustrates how our colleagues have changed the law. First, our colleagues evaluate the reasonable uses of the lands from the perspective of a commercial property developer, even though our law has never required that the “use” be confined to those of one class of landowner. Second, the removal requirement insists not merely that there be no reasonable uses, but also that they have been </w:t>
      </w:r>
      <w:r w:rsidRPr="00A97052">
        <w:rPr>
          <w:rFonts w:cs="Times New Roman"/>
          <w:i/>
        </w:rPr>
        <w:t>removed by the</w:t>
      </w:r>
      <w:r w:rsidRPr="00A97052">
        <w:rPr>
          <w:rFonts w:cs="Times New Roman"/>
        </w:rPr>
        <w:t xml:space="preserve"> </w:t>
      </w:r>
      <w:r w:rsidRPr="00A97052">
        <w:rPr>
          <w:rFonts w:cs="Times New Roman"/>
          <w:i/>
        </w:rPr>
        <w:t>public authority</w:t>
      </w:r>
      <w:r w:rsidRPr="00A97052">
        <w:rPr>
          <w:rFonts w:cs="Times New Roman"/>
        </w:rPr>
        <w:t xml:space="preserve">. The issue is whether there has been a </w:t>
      </w:r>
      <w:r w:rsidRPr="00A97052">
        <w:rPr>
          <w:rFonts w:cs="Times New Roman"/>
          <w:i/>
        </w:rPr>
        <w:t>de facto</w:t>
      </w:r>
      <w:r w:rsidRPr="00A97052">
        <w:rPr>
          <w:rFonts w:cs="Times New Roman"/>
        </w:rPr>
        <w:t xml:space="preserve"> taking </w:t>
      </w:r>
      <w:r w:rsidRPr="00A97052">
        <w:rPr>
          <w:rFonts w:cs="Times New Roman"/>
          <w:i/>
        </w:rPr>
        <w:t>by the public authority</w:t>
      </w:r>
      <w:r w:rsidRPr="00A97052">
        <w:rPr>
          <w:rFonts w:cs="Times New Roman"/>
        </w:rPr>
        <w:t>. Annapolis cannot show that Halifax removed any reasonable uses. Nor, in any event, is there any legal impediment to Annapolis leasing the lands.</w:t>
      </w:r>
    </w:p>
    <w:p w14:paraId="78A8194B" w14:textId="77777777" w:rsidR="001A2B0D" w:rsidRPr="00A97052" w:rsidRDefault="001A2B0D" w:rsidP="001A2B0D">
      <w:pPr>
        <w:pStyle w:val="ParaNoNdepar-AltN"/>
        <w:rPr>
          <w:rFonts w:cs="Times New Roman"/>
        </w:rPr>
      </w:pPr>
      <w:r w:rsidRPr="00A97052">
        <w:rPr>
          <w:rFonts w:cs="Times New Roman"/>
        </w:rPr>
        <w:t>Our colleagues respond to the zoning and uses of the Annapolis Lands having not changed with the suggestion</w:t>
      </w:r>
      <w:r w:rsidRPr="00A97052">
        <w:rPr>
          <w:rStyle w:val="CommentReference"/>
          <w:rFonts w:eastAsia="Times New Roman" w:cs="Times New Roman"/>
          <w:lang w:eastAsia="en-CA"/>
        </w:rPr>
        <w:t xml:space="preserve"> </w:t>
      </w:r>
      <w:r w:rsidRPr="00A97052">
        <w:rPr>
          <w:rFonts w:cs="Times New Roman"/>
        </w:rPr>
        <w:t xml:space="preserve">that this ignores “Halifax’s </w:t>
      </w:r>
      <w:r w:rsidRPr="00A97052">
        <w:rPr>
          <w:rFonts w:cs="Times New Roman"/>
          <w:i/>
        </w:rPr>
        <w:t>application</w:t>
      </w:r>
      <w:r w:rsidRPr="00A97052">
        <w:rPr>
          <w:rFonts w:cs="Times New Roman"/>
        </w:rPr>
        <w:t xml:space="preserve"> of the regulatory scheme as alleged by Annapolis” (para. 71 (emphasis in original)). Our colleagues assert that “[i]f Annapolis can prove at trial that Halifax is unlikely to </w:t>
      </w:r>
      <w:r w:rsidRPr="00A97052">
        <w:rPr>
          <w:rFonts w:cs="Times New Roman"/>
          <w:i/>
        </w:rPr>
        <w:t>ever</w:t>
      </w:r>
      <w:r w:rsidRPr="00A97052">
        <w:rPr>
          <w:rFonts w:cs="Times New Roman"/>
        </w:rPr>
        <w:t xml:space="preserve"> grant secondary planning approval, this is clearly material to its constructive taking claim” (para. 72 (emphasis in original)). We respectfully disagree. As a matter of proof, we do not see how Annapolis can prove a negative, particularly one involving a future fact.</w:t>
      </w:r>
    </w:p>
    <w:p w14:paraId="63DF5D89" w14:textId="77777777" w:rsidR="001A2B0D" w:rsidRPr="00A97052" w:rsidRDefault="001A2B0D" w:rsidP="001A2B0D">
      <w:pPr>
        <w:pStyle w:val="ParaNoNdepar-AltN"/>
        <w:rPr>
          <w:rFonts w:cs="Times New Roman"/>
        </w:rPr>
      </w:pPr>
      <w:r w:rsidRPr="00A97052">
        <w:rPr>
          <w:rFonts w:cs="Times New Roman"/>
        </w:rPr>
        <w:t xml:space="preserve">More importantly, even if Annapolis could somehow show that Halifax will never up-zone the lands, that could not establish that Annapolis has lost all reasonable uses of those lands. The lands have never been used for serviced development — they have always been vacant and treed. Our colleagues’ assertion amounts to saying that a refusal to up-zone vacant land can give rise to a </w:t>
      </w:r>
      <w:r w:rsidRPr="00A97052">
        <w:rPr>
          <w:rFonts w:cs="Times New Roman"/>
          <w:i/>
        </w:rPr>
        <w:t>de facto</w:t>
      </w:r>
      <w:r w:rsidRPr="00A97052">
        <w:rPr>
          <w:rFonts w:cs="Times New Roman"/>
        </w:rPr>
        <w:t xml:space="preserve"> taking merely if all “</w:t>
      </w:r>
      <w:r w:rsidRPr="00A97052">
        <w:rPr>
          <w:rFonts w:cs="Times New Roman"/>
          <w:i/>
        </w:rPr>
        <w:t xml:space="preserve">potential </w:t>
      </w:r>
      <w:r w:rsidRPr="00A97052">
        <w:rPr>
          <w:rFonts w:cs="Times New Roman"/>
        </w:rPr>
        <w:t xml:space="preserve">reasonable uses” are prohibited (para. 45 (emphasis in original)). That would upset the settled law reflected in </w:t>
      </w:r>
      <w:r w:rsidRPr="00A97052">
        <w:rPr>
          <w:rFonts w:cs="Times New Roman"/>
          <w:i/>
        </w:rPr>
        <w:t>Manitoba Fisheries</w:t>
      </w:r>
      <w:r w:rsidRPr="00A97052">
        <w:rPr>
          <w:rFonts w:cs="Times New Roman"/>
        </w:rPr>
        <w:t xml:space="preserve">, </w:t>
      </w:r>
      <w:r w:rsidRPr="00A97052">
        <w:rPr>
          <w:rFonts w:cs="Times New Roman"/>
          <w:i/>
        </w:rPr>
        <w:t>Tener</w:t>
      </w:r>
      <w:r w:rsidRPr="00A97052">
        <w:rPr>
          <w:rFonts w:cs="Times New Roman"/>
        </w:rPr>
        <w:t xml:space="preserve">, </w:t>
      </w:r>
      <w:r w:rsidRPr="00A97052">
        <w:rPr>
          <w:rFonts w:cs="Times New Roman"/>
          <w:i/>
        </w:rPr>
        <w:t>Mariner</w:t>
      </w:r>
      <w:r w:rsidRPr="00A97052">
        <w:rPr>
          <w:rFonts w:cs="Times New Roman"/>
        </w:rPr>
        <w:t xml:space="preserve">, and </w:t>
      </w:r>
      <w:r w:rsidRPr="00A97052">
        <w:rPr>
          <w:rFonts w:cs="Times New Roman"/>
          <w:i/>
        </w:rPr>
        <w:t>CPR</w:t>
      </w:r>
      <w:r w:rsidRPr="00A97052">
        <w:rPr>
          <w:rFonts w:cs="Times New Roman"/>
        </w:rPr>
        <w:t xml:space="preserve">, and it would eliminate Halifax’s statutory and common law protection from liability for refusing to up-zone. In </w:t>
      </w:r>
      <w:r w:rsidRPr="00A97052">
        <w:rPr>
          <w:rFonts w:cs="Times New Roman"/>
          <w:i/>
        </w:rPr>
        <w:t>CPR</w:t>
      </w:r>
      <w:r w:rsidRPr="00A97052">
        <w:rPr>
          <w:rFonts w:cs="Times New Roman"/>
        </w:rPr>
        <w:t xml:space="preserve">, this Court specifically noted that removal of all reasonable uses of the land must be assessed in relation to both its potential uses as well as the “nature of the land and the range of reasonable uses to which it has actually been put” (para. 34, quoting </w:t>
      </w:r>
      <w:r w:rsidRPr="00A97052">
        <w:rPr>
          <w:rFonts w:cs="Times New Roman"/>
          <w:i/>
        </w:rPr>
        <w:t>Mariner</w:t>
      </w:r>
      <w:r w:rsidRPr="00A97052">
        <w:rPr>
          <w:rFonts w:cs="Times New Roman"/>
        </w:rPr>
        <w:t>, at p. 717). That statement applies equally in this case.</w:t>
      </w:r>
    </w:p>
    <w:p w14:paraId="0B144463" w14:textId="77777777" w:rsidR="001A2B0D" w:rsidRPr="00A97052" w:rsidRDefault="001A2B0D" w:rsidP="001A2B0D">
      <w:pPr>
        <w:pStyle w:val="Title2LevelTitre2Niveau"/>
        <w:jc w:val="both"/>
        <w:rPr>
          <w:rFonts w:cs="Times New Roman"/>
        </w:rPr>
      </w:pPr>
      <w:r w:rsidRPr="00A97052">
        <w:rPr>
          <w:rFonts w:cs="Times New Roman"/>
        </w:rPr>
        <w:t>Conclusion</w:t>
      </w:r>
    </w:p>
    <w:p w14:paraId="239047DC" w14:textId="77777777" w:rsidR="001A2B0D" w:rsidRPr="00A97052" w:rsidRDefault="001A2B0D" w:rsidP="001A2B0D">
      <w:pPr>
        <w:pStyle w:val="ParaNoNdepar-AltN"/>
        <w:rPr>
          <w:rFonts w:cs="Times New Roman"/>
        </w:rPr>
      </w:pPr>
      <w:r w:rsidRPr="00A97052">
        <w:rPr>
          <w:rFonts w:cs="Times New Roman"/>
        </w:rPr>
        <w:t xml:space="preserve">We conclude that there is no genuine issue of material fact that Halifax has acquired a beneficial interest in the Annapolis Lands or flowing from them or that Halifax has deprived Annapolis of all reasonable uses of its lands. In view of the settled law, the pleading of a </w:t>
      </w:r>
      <w:r w:rsidRPr="00A97052">
        <w:rPr>
          <w:rFonts w:cs="Times New Roman"/>
          <w:i/>
        </w:rPr>
        <w:t>de facto</w:t>
      </w:r>
      <w:r w:rsidRPr="00A97052">
        <w:rPr>
          <w:rFonts w:cs="Times New Roman"/>
        </w:rPr>
        <w:t xml:space="preserve"> taking has no real chance of success. Like the Nova Scotia Court of Appeal, we would grant partial summary judgment dismissing the claim for </w:t>
      </w:r>
      <w:r w:rsidRPr="00A97052">
        <w:rPr>
          <w:rFonts w:cs="Times New Roman"/>
          <w:i/>
        </w:rPr>
        <w:t>de facto</w:t>
      </w:r>
      <w:r w:rsidRPr="00A97052">
        <w:rPr>
          <w:rFonts w:cs="Times New Roman"/>
        </w:rPr>
        <w:t xml:space="preserve"> taking.</w:t>
      </w:r>
    </w:p>
    <w:p w14:paraId="712177BE" w14:textId="77777777" w:rsidR="001A2B0D" w:rsidRPr="00A97052" w:rsidRDefault="001A2B0D" w:rsidP="001A2B0D">
      <w:pPr>
        <w:pStyle w:val="Title1LevelTitre1Niveau-AltL"/>
        <w:jc w:val="both"/>
        <w:rPr>
          <w:rFonts w:cs="Times New Roman"/>
        </w:rPr>
      </w:pPr>
      <w:r w:rsidRPr="00A97052">
        <w:rPr>
          <w:rFonts w:cs="Times New Roman"/>
        </w:rPr>
        <w:t>Disposition</w:t>
      </w:r>
    </w:p>
    <w:p w14:paraId="2BFBB666" w14:textId="77777777" w:rsidR="001A2B0D" w:rsidRPr="00A97052" w:rsidRDefault="001A2B0D" w:rsidP="001A2B0D">
      <w:pPr>
        <w:pStyle w:val="ParaNoNdepar-AltN"/>
        <w:rPr>
          <w:rFonts w:cs="Times New Roman"/>
        </w:rPr>
      </w:pPr>
      <w:r w:rsidRPr="00A97052">
        <w:rPr>
          <w:rFonts w:cs="Times New Roman"/>
        </w:rPr>
        <w:t>We would dismiss the appeal with costs throughout.</w:t>
      </w:r>
    </w:p>
    <w:p w14:paraId="0D654574" w14:textId="77777777" w:rsidR="001A2B0D" w:rsidRPr="00A97052" w:rsidRDefault="001A2B0D" w:rsidP="00CD4372">
      <w:pPr>
        <w:pStyle w:val="SCCNormalDoubleSpacing"/>
        <w:spacing w:after="480"/>
      </w:pPr>
    </w:p>
    <w:p w14:paraId="263256FD" w14:textId="501450C9" w:rsidR="009B57B3" w:rsidRPr="00A97052" w:rsidRDefault="00C8436C" w:rsidP="00CD4372">
      <w:pPr>
        <w:pStyle w:val="SCCNormalDoubleSpacing"/>
        <w:spacing w:after="480"/>
        <w:rPr>
          <w:i/>
        </w:rPr>
      </w:pPr>
      <w:r w:rsidRPr="00A97052">
        <w:tab/>
      </w:r>
      <w:r w:rsidR="00656313" w:rsidRPr="00A97052">
        <w:rPr>
          <w:i/>
        </w:rPr>
        <w:t>Appeal</w:t>
      </w:r>
      <w:r w:rsidRPr="00A97052">
        <w:t xml:space="preserve"> </w:t>
      </w:r>
      <w:r w:rsidR="00CB3948" w:rsidRPr="00A97052">
        <w:rPr>
          <w:i/>
        </w:rPr>
        <w:t xml:space="preserve">allowed </w:t>
      </w:r>
      <w:r w:rsidR="006156CD" w:rsidRPr="00A97052">
        <w:rPr>
          <w:i/>
        </w:rPr>
        <w:t xml:space="preserve">with costs throughout, </w:t>
      </w:r>
      <w:r w:rsidR="006156CD" w:rsidRPr="00A97052">
        <w:rPr>
          <w:smallCaps/>
        </w:rPr>
        <w:t>Karakatsanis</w:t>
      </w:r>
      <w:r w:rsidR="006156CD" w:rsidRPr="00A97052">
        <w:rPr>
          <w:i/>
        </w:rPr>
        <w:t xml:space="preserve">, </w:t>
      </w:r>
      <w:r w:rsidR="006156CD" w:rsidRPr="00A97052">
        <w:rPr>
          <w:smallCaps/>
        </w:rPr>
        <w:t>Martin</w:t>
      </w:r>
      <w:r w:rsidR="006156CD" w:rsidRPr="00A97052">
        <w:rPr>
          <w:i/>
        </w:rPr>
        <w:t xml:space="preserve">, </w:t>
      </w:r>
      <w:r w:rsidR="006156CD" w:rsidRPr="00A97052">
        <w:rPr>
          <w:smallCaps/>
        </w:rPr>
        <w:t>Kasirer</w:t>
      </w:r>
      <w:r w:rsidR="006156CD" w:rsidRPr="00A97052">
        <w:rPr>
          <w:i/>
          <w:smallCaps/>
        </w:rPr>
        <w:t xml:space="preserve"> </w:t>
      </w:r>
      <w:r w:rsidR="006156CD" w:rsidRPr="00A97052">
        <w:rPr>
          <w:i/>
        </w:rPr>
        <w:t xml:space="preserve">and </w:t>
      </w:r>
      <w:r w:rsidR="006156CD" w:rsidRPr="00A97052">
        <w:rPr>
          <w:smallCaps/>
        </w:rPr>
        <w:t>Jamal</w:t>
      </w:r>
      <w:r w:rsidR="006156CD" w:rsidRPr="00A97052">
        <w:rPr>
          <w:i/>
          <w:smallCaps/>
        </w:rPr>
        <w:t xml:space="preserve"> </w:t>
      </w:r>
      <w:r w:rsidR="006156CD" w:rsidRPr="00A97052">
        <w:rPr>
          <w:smallCaps/>
        </w:rPr>
        <w:t>JJ.</w:t>
      </w:r>
      <w:r w:rsidR="006156CD" w:rsidRPr="00A97052">
        <w:rPr>
          <w:i/>
        </w:rPr>
        <w:t xml:space="preserve"> </w:t>
      </w:r>
      <w:proofErr w:type="gramStart"/>
      <w:r w:rsidR="006156CD" w:rsidRPr="00A97052">
        <w:rPr>
          <w:i/>
        </w:rPr>
        <w:t>dissenting</w:t>
      </w:r>
      <w:proofErr w:type="gramEnd"/>
      <w:r w:rsidR="00CB3948" w:rsidRPr="00A97052">
        <w:rPr>
          <w:i/>
        </w:rPr>
        <w:t>.</w:t>
      </w:r>
    </w:p>
    <w:p w14:paraId="54DB0814" w14:textId="77777777" w:rsidR="007F26FE" w:rsidRPr="00A97052" w:rsidRDefault="007136C4" w:rsidP="00CD4372">
      <w:pPr>
        <w:pStyle w:val="SCCLawFirm"/>
        <w:spacing w:after="480"/>
      </w:pPr>
      <w:r w:rsidRPr="00A97052">
        <w:tab/>
        <w:t>Solicitors for th</w:t>
      </w:r>
      <w:r w:rsidR="00C8436C" w:rsidRPr="00A97052">
        <w:t>e appellant: Lenczner Slaght</w:t>
      </w:r>
      <w:r w:rsidRPr="00A97052">
        <w:t>, Toronto.</w:t>
      </w:r>
    </w:p>
    <w:p w14:paraId="18C16546" w14:textId="77777777" w:rsidR="00304E02" w:rsidRPr="00A97052" w:rsidRDefault="007136C4" w:rsidP="00CD4372">
      <w:pPr>
        <w:pStyle w:val="SCCLawFirm"/>
        <w:spacing w:after="480"/>
      </w:pPr>
      <w:r w:rsidRPr="00A97052">
        <w:tab/>
        <w:t>Solicitors for the respondent: McInnes Cooper, Halifax</w:t>
      </w:r>
      <w:r w:rsidR="004A24D5" w:rsidRPr="00A97052">
        <w:t>; Halifax Regional Municipality, Halifax</w:t>
      </w:r>
      <w:r w:rsidRPr="00A97052">
        <w:t>.</w:t>
      </w:r>
    </w:p>
    <w:p w14:paraId="784D3A1F" w14:textId="77777777" w:rsidR="00304E02" w:rsidRPr="00A97052" w:rsidRDefault="00304E02" w:rsidP="00CD4372">
      <w:pPr>
        <w:pStyle w:val="SCCLawFirm"/>
        <w:spacing w:after="480"/>
      </w:pPr>
      <w:r w:rsidRPr="00A97052">
        <w:tab/>
        <w:t xml:space="preserve">Solicitor for the intervener the Attorney General of Canada: </w:t>
      </w:r>
      <w:r w:rsidR="00AE1F92" w:rsidRPr="00A97052">
        <w:t>Attorney General of Canada</w:t>
      </w:r>
      <w:r w:rsidRPr="00A97052">
        <w:t>, Winnipeg.</w:t>
      </w:r>
    </w:p>
    <w:p w14:paraId="49D10C23" w14:textId="77777777" w:rsidR="00304E02" w:rsidRPr="00A97052" w:rsidRDefault="00304E02" w:rsidP="00CD4372">
      <w:pPr>
        <w:pStyle w:val="SCCLawFirm"/>
        <w:spacing w:after="480"/>
      </w:pPr>
      <w:r w:rsidRPr="00A97052">
        <w:tab/>
        <w:t>Solicitor for the intervener the Attorney General of Ontario: Attorney General of Ontario, Toronto.</w:t>
      </w:r>
    </w:p>
    <w:p w14:paraId="605A10B6" w14:textId="77777777" w:rsidR="00304E02" w:rsidRPr="00A97052" w:rsidRDefault="00304E02" w:rsidP="00CD4372">
      <w:pPr>
        <w:pStyle w:val="SCCLawFirm"/>
        <w:spacing w:after="480"/>
      </w:pPr>
      <w:r w:rsidRPr="00A97052">
        <w:tab/>
        <w:t>Solicitor for the intervener the Attorney General of Nova Scotia: Attorney General of Nova Scotia, Halifax.</w:t>
      </w:r>
    </w:p>
    <w:p w14:paraId="052CB5EB" w14:textId="77777777" w:rsidR="007F26FE" w:rsidRPr="00A97052" w:rsidRDefault="007136C4" w:rsidP="00CD4372">
      <w:pPr>
        <w:pStyle w:val="SCCLawFirm"/>
        <w:spacing w:after="480"/>
      </w:pPr>
      <w:r w:rsidRPr="00A97052">
        <w:tab/>
        <w:t xml:space="preserve">Solicitor for the intervener </w:t>
      </w:r>
      <w:r w:rsidR="006B7DE5" w:rsidRPr="00A97052">
        <w:t xml:space="preserve">the </w:t>
      </w:r>
      <w:r w:rsidRPr="00A97052">
        <w:t>Attorney General of British Columbia: Attorney General of British Columbia, Victoria.</w:t>
      </w:r>
    </w:p>
    <w:p w14:paraId="32E48E56" w14:textId="77777777" w:rsidR="007F26FE" w:rsidRPr="00A97052" w:rsidRDefault="007136C4" w:rsidP="00CD4372">
      <w:pPr>
        <w:pStyle w:val="SCCLawFirm"/>
        <w:spacing w:after="480"/>
      </w:pPr>
      <w:r w:rsidRPr="00A97052">
        <w:tab/>
        <w:t xml:space="preserve">Solicitors for the intervener </w:t>
      </w:r>
      <w:r w:rsidR="006B7DE5" w:rsidRPr="00A97052">
        <w:t xml:space="preserve">the </w:t>
      </w:r>
      <w:r w:rsidRPr="00A97052">
        <w:t>Canadian Constitution Foundation</w:t>
      </w:r>
      <w:r w:rsidR="00C8436C" w:rsidRPr="00A97052">
        <w:t>: Miller Thomson</w:t>
      </w:r>
      <w:r w:rsidRPr="00A97052">
        <w:t>, Edmonton.</w:t>
      </w:r>
    </w:p>
    <w:p w14:paraId="6787F7E8" w14:textId="77777777" w:rsidR="007F26FE" w:rsidRPr="00A97052" w:rsidRDefault="007136C4" w:rsidP="00CD4372">
      <w:pPr>
        <w:pStyle w:val="SCCLawFirm"/>
        <w:spacing w:after="480"/>
      </w:pPr>
      <w:r w:rsidRPr="00A97052">
        <w:tab/>
        <w:t xml:space="preserve">Solicitors for the intervener </w:t>
      </w:r>
      <w:r w:rsidR="006B7DE5" w:rsidRPr="00A97052">
        <w:t xml:space="preserve">the </w:t>
      </w:r>
      <w:r w:rsidRPr="00A97052">
        <w:t>Ontario Landowners Association</w:t>
      </w:r>
      <w:r w:rsidR="00C8436C" w:rsidRPr="00A97052">
        <w:t>: McCarthy Tétrault</w:t>
      </w:r>
      <w:r w:rsidRPr="00A97052">
        <w:t>, Toronto.</w:t>
      </w:r>
    </w:p>
    <w:p w14:paraId="02693ADE" w14:textId="77777777" w:rsidR="007F26FE" w:rsidRPr="00A97052" w:rsidRDefault="007136C4" w:rsidP="00CD4372">
      <w:pPr>
        <w:pStyle w:val="SCCLawFirm"/>
        <w:spacing w:after="480"/>
      </w:pPr>
      <w:r w:rsidRPr="00A97052">
        <w:tab/>
        <w:t xml:space="preserve">Solicitors for the intervener </w:t>
      </w:r>
      <w:r w:rsidR="006B7DE5" w:rsidRPr="00A97052">
        <w:t xml:space="preserve">the </w:t>
      </w:r>
      <w:r w:rsidRPr="00A97052">
        <w:t>Canadian Home Builders’ Association</w:t>
      </w:r>
      <w:r w:rsidR="00C8436C" w:rsidRPr="00A97052">
        <w:t xml:space="preserve">: </w:t>
      </w:r>
      <w:proofErr w:type="spellStart"/>
      <w:r w:rsidR="00C8436C" w:rsidRPr="00A97052">
        <w:t>Rayman</w:t>
      </w:r>
      <w:proofErr w:type="spellEnd"/>
      <w:r w:rsidR="00C8436C" w:rsidRPr="00A97052">
        <w:t xml:space="preserve"> </w:t>
      </w:r>
      <w:proofErr w:type="spellStart"/>
      <w:r w:rsidR="00C8436C" w:rsidRPr="00A97052">
        <w:t>Beitchman</w:t>
      </w:r>
      <w:proofErr w:type="spellEnd"/>
      <w:r w:rsidRPr="00A97052">
        <w:t>, Toronto.</w:t>
      </w:r>
    </w:p>
    <w:p w14:paraId="26EB8BFA" w14:textId="77777777" w:rsidR="007F26FE" w:rsidRDefault="007136C4" w:rsidP="00CD4372">
      <w:pPr>
        <w:pStyle w:val="SCCLawFirm"/>
        <w:spacing w:after="480"/>
      </w:pPr>
      <w:r w:rsidRPr="00A97052">
        <w:tab/>
        <w:t>Solicitor for the intervener Ecojustice Canada Society: Ecojustice Canada Society, Halifax.</w:t>
      </w:r>
    </w:p>
    <w:sectPr w:rsidR="007F26FE" w:rsidSect="000648CC">
      <w:headerReference w:type="even" r:id="rId10"/>
      <w:headerReference w:type="default" r:id="rId11"/>
      <w:footerReference w:type="even" r:id="rId12"/>
      <w:footerReference w:type="default" r:id="rId13"/>
      <w:headerReference w:type="first" r:id="rId14"/>
      <w:footerReference w:type="first" r:id="rId15"/>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071572" w14:textId="77777777" w:rsidR="002C4971" w:rsidRDefault="002C4971">
      <w:r>
        <w:separator/>
      </w:r>
    </w:p>
  </w:endnote>
  <w:endnote w:type="continuationSeparator" w:id="0">
    <w:p w14:paraId="4857F30E" w14:textId="77777777" w:rsidR="002C4971" w:rsidRDefault="002C4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4D6E1" w14:textId="77777777" w:rsidR="00CA4269" w:rsidRDefault="00CA42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D8D15" w14:textId="77777777" w:rsidR="00CA4269" w:rsidRDefault="00CA426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E3A09" w14:textId="77777777" w:rsidR="00CA4269" w:rsidRDefault="00CA42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E263A1" w14:textId="77777777" w:rsidR="002C4971" w:rsidRDefault="002C4971">
      <w:r>
        <w:separator/>
      </w:r>
    </w:p>
  </w:footnote>
  <w:footnote w:type="continuationSeparator" w:id="0">
    <w:p w14:paraId="40E2C78D" w14:textId="77777777" w:rsidR="002C4971" w:rsidRDefault="002C49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19B38" w14:textId="77777777" w:rsidR="00CA4269" w:rsidRDefault="00CA42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FC5DE" w14:textId="77777777" w:rsidR="00450352" w:rsidRPr="00CD4372" w:rsidRDefault="00450352" w:rsidP="00CD437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11DFB9" w14:textId="77777777" w:rsidR="00CA4269" w:rsidRDefault="00CA42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2A6B61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BA7D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BC4DB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2A69C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2484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B033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2A59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667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A326A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42DA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426C25"/>
    <w:multiLevelType w:val="hybridMultilevel"/>
    <w:tmpl w:val="00E81EB0"/>
    <w:lvl w:ilvl="0" w:tplc="04090001">
      <w:start w:val="1"/>
      <w:numFmt w:val="bullet"/>
      <w:lvlText w:val=""/>
      <w:lvlJc w:val="left"/>
      <w:pPr>
        <w:ind w:left="1526" w:hanging="360"/>
      </w:pPr>
      <w:rPr>
        <w:rFonts w:ascii="Symbol" w:hAnsi="Symbol" w:hint="default"/>
      </w:rPr>
    </w:lvl>
    <w:lvl w:ilvl="1" w:tplc="04090003">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1" w15:restartNumberingAfterBreak="0">
    <w:nsid w:val="064B09D4"/>
    <w:multiLevelType w:val="hybridMultilevel"/>
    <w:tmpl w:val="CC580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DD579F"/>
    <w:multiLevelType w:val="hybridMultilevel"/>
    <w:tmpl w:val="005E9898"/>
    <w:lvl w:ilvl="0" w:tplc="10090011">
      <w:start w:val="1"/>
      <w:numFmt w:val="decimal"/>
      <w:lvlText w:val="%1)"/>
      <w:lvlJc w:val="left"/>
      <w:pPr>
        <w:ind w:left="900" w:hanging="360"/>
      </w:pPr>
    </w:lvl>
    <w:lvl w:ilvl="1" w:tplc="10090019">
      <w:start w:val="1"/>
      <w:numFmt w:val="lowerLetter"/>
      <w:lvlText w:val="%2."/>
      <w:lvlJc w:val="left"/>
      <w:pPr>
        <w:ind w:left="1620" w:hanging="360"/>
      </w:pPr>
    </w:lvl>
    <w:lvl w:ilvl="2" w:tplc="1009001B">
      <w:start w:val="1"/>
      <w:numFmt w:val="lowerRoman"/>
      <w:lvlText w:val="%3."/>
      <w:lvlJc w:val="right"/>
      <w:pPr>
        <w:ind w:left="2340" w:hanging="180"/>
      </w:pPr>
    </w:lvl>
    <w:lvl w:ilvl="3" w:tplc="1009000F">
      <w:start w:val="1"/>
      <w:numFmt w:val="decimal"/>
      <w:lvlText w:val="%4."/>
      <w:lvlJc w:val="left"/>
      <w:pPr>
        <w:ind w:left="3060" w:hanging="360"/>
      </w:pPr>
    </w:lvl>
    <w:lvl w:ilvl="4" w:tplc="10090019">
      <w:start w:val="1"/>
      <w:numFmt w:val="lowerLetter"/>
      <w:lvlText w:val="%5."/>
      <w:lvlJc w:val="left"/>
      <w:pPr>
        <w:ind w:left="3780" w:hanging="360"/>
      </w:pPr>
    </w:lvl>
    <w:lvl w:ilvl="5" w:tplc="1009001B">
      <w:start w:val="1"/>
      <w:numFmt w:val="lowerRoman"/>
      <w:lvlText w:val="%6."/>
      <w:lvlJc w:val="right"/>
      <w:pPr>
        <w:ind w:left="4500" w:hanging="180"/>
      </w:pPr>
    </w:lvl>
    <w:lvl w:ilvl="6" w:tplc="1009000F">
      <w:start w:val="1"/>
      <w:numFmt w:val="decimal"/>
      <w:lvlText w:val="%7."/>
      <w:lvlJc w:val="left"/>
      <w:pPr>
        <w:ind w:left="5220" w:hanging="360"/>
      </w:pPr>
    </w:lvl>
    <w:lvl w:ilvl="7" w:tplc="10090019">
      <w:start w:val="1"/>
      <w:numFmt w:val="lowerLetter"/>
      <w:lvlText w:val="%8."/>
      <w:lvlJc w:val="left"/>
      <w:pPr>
        <w:ind w:left="5940" w:hanging="360"/>
      </w:pPr>
    </w:lvl>
    <w:lvl w:ilvl="8" w:tplc="1009001B">
      <w:start w:val="1"/>
      <w:numFmt w:val="lowerRoman"/>
      <w:lvlText w:val="%9."/>
      <w:lvlJc w:val="right"/>
      <w:pPr>
        <w:ind w:left="6660" w:hanging="180"/>
      </w:pPr>
    </w:lvl>
  </w:abstractNum>
  <w:abstractNum w:abstractNumId="13"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0115E39"/>
    <w:multiLevelType w:val="hybridMultilevel"/>
    <w:tmpl w:val="6BE21B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5C3101"/>
    <w:multiLevelType w:val="hybridMultilevel"/>
    <w:tmpl w:val="AFA4C014"/>
    <w:lvl w:ilvl="0" w:tplc="E4A41E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136F64"/>
    <w:multiLevelType w:val="hybridMultilevel"/>
    <w:tmpl w:val="4600C00A"/>
    <w:lvl w:ilvl="0" w:tplc="CD864866">
      <w:start w:val="1"/>
      <w:numFmt w:val="lowerLetter"/>
      <w:lvlText w:val="(%1)"/>
      <w:lvlJc w:val="left"/>
      <w:pPr>
        <w:ind w:left="1440" w:hanging="360"/>
      </w:pPr>
      <w:rPr>
        <w:rFonts w:ascii="Times New Roman" w:eastAsiaTheme="minorEastAsia"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3A269BE"/>
    <w:multiLevelType w:val="hybridMultilevel"/>
    <w:tmpl w:val="424E113C"/>
    <w:lvl w:ilvl="0" w:tplc="846E002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20" w15:restartNumberingAfterBreak="0">
    <w:nsid w:val="47096B8A"/>
    <w:multiLevelType w:val="hybridMultilevel"/>
    <w:tmpl w:val="AC8AA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C64FE2"/>
    <w:multiLevelType w:val="hybridMultilevel"/>
    <w:tmpl w:val="0B76EEBC"/>
    <w:lvl w:ilvl="0" w:tplc="434646E8">
      <w:start w:val="1"/>
      <w:numFmt w:val="decimal"/>
      <w:lvlText w:val="[%1]"/>
      <w:lvlJc w:val="left"/>
      <w:pPr>
        <w:ind w:left="36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9A0DD5"/>
    <w:multiLevelType w:val="multilevel"/>
    <w:tmpl w:val="B60C6DE8"/>
    <w:lvl w:ilvl="0">
      <w:start w:val="1"/>
      <w:numFmt w:val="decimal"/>
      <w:lvlText w:val="[%1]"/>
      <w:lvlJc w:val="left"/>
      <w:pPr>
        <w:tabs>
          <w:tab w:val="num" w:pos="1152"/>
        </w:tabs>
        <w:ind w:left="0" w:firstLine="0"/>
      </w:pPr>
      <w:rPr>
        <w:rFonts w:ascii="Times New Roman" w:hAnsi="Times New Roman" w:hint="default"/>
        <w:sz w:val="24"/>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24"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4283EE8"/>
    <w:multiLevelType w:val="multilevel"/>
    <w:tmpl w:val="640CAA70"/>
    <w:lvl w:ilvl="0">
      <w:start w:val="1"/>
      <w:numFmt w:val="decimal"/>
      <w:pStyle w:val="ParaNoNdepar-AltN"/>
      <w:lvlText w:val="[%1]"/>
      <w:lvlJc w:val="left"/>
      <w:pPr>
        <w:tabs>
          <w:tab w:val="num" w:pos="1152"/>
        </w:tabs>
        <w:ind w:left="0" w:firstLine="0"/>
      </w:pPr>
      <w:rPr>
        <w:rFonts w:ascii="Times New Roman" w:hAnsi="Times New Roman" w:hint="default"/>
        <w:b w:val="0"/>
        <w:i w:val="0"/>
        <w:strike w:val="0"/>
        <w:color w:val="auto"/>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B0237CE"/>
    <w:multiLevelType w:val="multilevel"/>
    <w:tmpl w:val="1E8AD642"/>
    <w:lvl w:ilvl="0">
      <w:start w:val="1"/>
      <w:numFmt w:val="decimal"/>
      <w:lvlText w:val="[%1]"/>
      <w:lvlJc w:val="left"/>
      <w:pPr>
        <w:tabs>
          <w:tab w:val="num" w:pos="1152"/>
        </w:tabs>
        <w:ind w:left="0" w:firstLine="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0761DDA"/>
    <w:multiLevelType w:val="hybridMultilevel"/>
    <w:tmpl w:val="D0061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9773B6"/>
    <w:multiLevelType w:val="hybridMultilevel"/>
    <w:tmpl w:val="AC04BAD2"/>
    <w:lvl w:ilvl="0" w:tplc="A44A204E">
      <w:numFmt w:val="bullet"/>
      <w:lvlText w:val=""/>
      <w:lvlJc w:val="left"/>
      <w:pPr>
        <w:ind w:left="360" w:hanging="360"/>
      </w:pPr>
      <w:rPr>
        <w:rFonts w:ascii="Symbol" w:eastAsiaTheme="minorHAnsi" w:hAnsi="Symbol"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0" w15:restartNumberingAfterBreak="0">
    <w:nsid w:val="7FD618C1"/>
    <w:multiLevelType w:val="hybridMultilevel"/>
    <w:tmpl w:val="5322D364"/>
    <w:lvl w:ilvl="0" w:tplc="04090011">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27"/>
  </w:num>
  <w:num w:numId="2">
    <w:abstractNumId w:val="14"/>
  </w:num>
  <w:num w:numId="3">
    <w:abstractNumId w:val="13"/>
  </w:num>
  <w:num w:numId="4">
    <w:abstractNumId w:val="23"/>
  </w:num>
  <w:num w:numId="5">
    <w:abstractNumId w:val="24"/>
  </w:num>
  <w:num w:numId="6">
    <w:abstractNumId w:val="25"/>
  </w:num>
  <w:num w:numId="7">
    <w:abstractNumId w:val="19"/>
  </w:num>
  <w:num w:numId="8">
    <w:abstractNumId w:val="19"/>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29"/>
  </w:num>
  <w:num w:numId="10">
    <w:abstractNumId w:val="16"/>
  </w:num>
  <w:num w:numId="11">
    <w:abstractNumId w:val="17"/>
  </w:num>
  <w:num w:numId="12">
    <w:abstractNumId w:val="30"/>
  </w:num>
  <w:num w:numId="13">
    <w:abstractNumId w:val="11"/>
  </w:num>
  <w:num w:numId="14">
    <w:abstractNumId w:val="10"/>
  </w:num>
  <w:num w:numId="15">
    <w:abstractNumId w:val="1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8"/>
  </w:num>
  <w:num w:numId="29">
    <w:abstractNumId w:val="22"/>
  </w:num>
  <w:num w:numId="30">
    <w:abstractNumId w:val="26"/>
  </w:num>
  <w:num w:numId="31">
    <w:abstractNumId w:val="20"/>
  </w:num>
  <w:num w:numId="32">
    <w:abstractNumId w:val="28"/>
  </w:num>
  <w:num w:numId="33">
    <w:abstractNumId w:val="19"/>
    <w:lvlOverride w:ilvl="0">
      <w:startOverride w:val="1"/>
      <w:lvl w:ilvl="0">
        <w:start w:val="1"/>
        <w:numFmt w:val="upperRoman"/>
        <w:pStyle w:val="Title1LevelTitre1Niveau-AltL"/>
        <w:lvlText w:val="%1."/>
        <w:lvlJc w:val="left"/>
        <w:pPr>
          <w:tabs>
            <w:tab w:val="num" w:pos="576"/>
          </w:tabs>
          <w:ind w:left="576" w:hanging="576"/>
        </w:pPr>
        <w:rPr>
          <w:rFonts w:hint="default"/>
          <w:sz w:val="24"/>
        </w:rPr>
      </w:lvl>
    </w:lvlOverride>
    <w:lvlOverride w:ilvl="1">
      <w:startOverride w:va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startOverride w:val="1"/>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startOverride w:val="1"/>
      <w:lvl w:ilvl="3">
        <w:start w:val="1"/>
        <w:numFmt w:val="lowerLetter"/>
        <w:pStyle w:val="Title4LevelTitre4Niveau"/>
        <w:lvlText w:val="(%4)"/>
        <w:lvlJc w:val="left"/>
        <w:pPr>
          <w:tabs>
            <w:tab w:val="num" w:pos="1152"/>
          </w:tabs>
          <w:ind w:left="1152" w:hanging="576"/>
        </w:pPr>
        <w:rPr>
          <w:rFonts w:hint="default"/>
          <w:b w:val="0"/>
          <w:i w:val="0"/>
        </w:rPr>
      </w:lvl>
    </w:lvlOverride>
    <w:lvlOverride w:ilvl="4">
      <w:startOverride w:val="1"/>
      <w:lvl w:ilvl="4">
        <w:start w:val="1"/>
        <w:numFmt w:val="lowerRoman"/>
        <w:pStyle w:val="Title5LevelTitre5Niveau"/>
        <w:lvlText w:val="(%5)"/>
        <w:lvlJc w:val="left"/>
        <w:pPr>
          <w:tabs>
            <w:tab w:val="num" w:pos="1728"/>
          </w:tabs>
          <w:ind w:left="1728" w:hanging="576"/>
        </w:pPr>
        <w:rPr>
          <w:rFonts w:hint="default"/>
        </w:rPr>
      </w:lvl>
    </w:lvlOverride>
    <w:lvlOverride w:ilvl="5">
      <w:startOverride w:val="1"/>
      <w:lvl w:ilvl="5">
        <w:start w:val="1"/>
        <w:numFmt w:val="decimal"/>
        <w:pStyle w:val="Title6LevelTitre6Niveau"/>
        <w:lvlText w:val="%6."/>
        <w:lvlJc w:val="left"/>
        <w:pPr>
          <w:tabs>
            <w:tab w:val="num" w:pos="1728"/>
          </w:tabs>
          <w:ind w:left="1728" w:hanging="576"/>
        </w:pPr>
        <w:rPr>
          <w:rFonts w:hint="default"/>
          <w:b w:val="0"/>
          <w:i w:val="0"/>
        </w:rPr>
      </w:lvl>
    </w:lvlOverride>
    <w:lvlOverride w:ilvl="6">
      <w:startOverride w:val="1"/>
      <w:lvl w:ilvl="6">
        <w:start w:val="1"/>
        <w:numFmt w:val="decimal"/>
        <w:lvlText w:val="%7."/>
        <w:lvlJc w:val="left"/>
        <w:pPr>
          <w:ind w:left="8208" w:hanging="432"/>
        </w:pPr>
        <w:rPr>
          <w:rFonts w:hint="default"/>
        </w:rPr>
      </w:lvl>
    </w:lvlOverride>
    <w:lvlOverride w:ilvl="7">
      <w:startOverride w:val="1"/>
      <w:lvl w:ilvl="7">
        <w:start w:val="1"/>
        <w:numFmt w:val="lowerLetter"/>
        <w:lvlText w:val="%8."/>
        <w:lvlJc w:val="left"/>
        <w:pPr>
          <w:ind w:left="8640" w:hanging="432"/>
        </w:pPr>
        <w:rPr>
          <w:rFonts w:hint="default"/>
        </w:rPr>
      </w:lvl>
    </w:lvlOverride>
    <w:lvlOverride w:ilvl="8">
      <w:startOverride w:val="1"/>
      <w:lvl w:ilvl="8">
        <w:start w:val="1"/>
        <w:numFmt w:val="lowerRoman"/>
        <w:lvlText w:val="%9."/>
        <w:lvlJc w:val="left"/>
        <w:pPr>
          <w:ind w:left="9072" w:hanging="432"/>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removePersonalInformation/>
  <w:removeDateAndTime/>
  <w:bordersDoNotSurroundHeader/>
  <w:bordersDoNotSurroundFooter/>
  <w:proofState w:spelling="clean" w:grammar="clean"/>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056E5"/>
    <w:rsid w:val="00025198"/>
    <w:rsid w:val="00025E3F"/>
    <w:rsid w:val="000428AA"/>
    <w:rsid w:val="000578A3"/>
    <w:rsid w:val="000648CC"/>
    <w:rsid w:val="000C59B8"/>
    <w:rsid w:val="000C6AF0"/>
    <w:rsid w:val="000F2446"/>
    <w:rsid w:val="00104F33"/>
    <w:rsid w:val="00111DE2"/>
    <w:rsid w:val="00116B38"/>
    <w:rsid w:val="00135406"/>
    <w:rsid w:val="00135972"/>
    <w:rsid w:val="001426A9"/>
    <w:rsid w:val="00154D7C"/>
    <w:rsid w:val="001570B0"/>
    <w:rsid w:val="0015752C"/>
    <w:rsid w:val="00157737"/>
    <w:rsid w:val="00165277"/>
    <w:rsid w:val="0016589D"/>
    <w:rsid w:val="00170592"/>
    <w:rsid w:val="00186351"/>
    <w:rsid w:val="00195D83"/>
    <w:rsid w:val="001A00C1"/>
    <w:rsid w:val="001A2B0D"/>
    <w:rsid w:val="001B33E0"/>
    <w:rsid w:val="001B4573"/>
    <w:rsid w:val="001C779F"/>
    <w:rsid w:val="001D0E61"/>
    <w:rsid w:val="001D2AC1"/>
    <w:rsid w:val="001D4E88"/>
    <w:rsid w:val="00220FC2"/>
    <w:rsid w:val="002222F4"/>
    <w:rsid w:val="00224FC0"/>
    <w:rsid w:val="00225EA4"/>
    <w:rsid w:val="00226EAF"/>
    <w:rsid w:val="00231F3A"/>
    <w:rsid w:val="00234199"/>
    <w:rsid w:val="002406EE"/>
    <w:rsid w:val="00243EC8"/>
    <w:rsid w:val="00270D93"/>
    <w:rsid w:val="002745CC"/>
    <w:rsid w:val="002767D1"/>
    <w:rsid w:val="002B7924"/>
    <w:rsid w:val="002C09C0"/>
    <w:rsid w:val="002C4971"/>
    <w:rsid w:val="002D28C3"/>
    <w:rsid w:val="002D39A4"/>
    <w:rsid w:val="002E6705"/>
    <w:rsid w:val="00301D08"/>
    <w:rsid w:val="0030329A"/>
    <w:rsid w:val="00304C44"/>
    <w:rsid w:val="00304E02"/>
    <w:rsid w:val="0031086F"/>
    <w:rsid w:val="0031414C"/>
    <w:rsid w:val="00314E01"/>
    <w:rsid w:val="00316C23"/>
    <w:rsid w:val="0032089D"/>
    <w:rsid w:val="0032598E"/>
    <w:rsid w:val="003310DE"/>
    <w:rsid w:val="003323B0"/>
    <w:rsid w:val="00336108"/>
    <w:rsid w:val="0035169A"/>
    <w:rsid w:val="0035259D"/>
    <w:rsid w:val="00364B18"/>
    <w:rsid w:val="0036528F"/>
    <w:rsid w:val="0036529B"/>
    <w:rsid w:val="003A125D"/>
    <w:rsid w:val="003A4C70"/>
    <w:rsid w:val="003B215F"/>
    <w:rsid w:val="003C213E"/>
    <w:rsid w:val="003C799C"/>
    <w:rsid w:val="003D0399"/>
    <w:rsid w:val="003D050B"/>
    <w:rsid w:val="003D1E75"/>
    <w:rsid w:val="003E1C71"/>
    <w:rsid w:val="003E318F"/>
    <w:rsid w:val="003F327B"/>
    <w:rsid w:val="00406166"/>
    <w:rsid w:val="0040704B"/>
    <w:rsid w:val="00410A55"/>
    <w:rsid w:val="00411300"/>
    <w:rsid w:val="00415417"/>
    <w:rsid w:val="00426659"/>
    <w:rsid w:val="0043179A"/>
    <w:rsid w:val="00443311"/>
    <w:rsid w:val="00450352"/>
    <w:rsid w:val="00454BDB"/>
    <w:rsid w:val="00464800"/>
    <w:rsid w:val="00465132"/>
    <w:rsid w:val="00480C90"/>
    <w:rsid w:val="0048396F"/>
    <w:rsid w:val="00493C18"/>
    <w:rsid w:val="004A24D5"/>
    <w:rsid w:val="004A600C"/>
    <w:rsid w:val="004A6118"/>
    <w:rsid w:val="004C478D"/>
    <w:rsid w:val="004D66BB"/>
    <w:rsid w:val="004E2C26"/>
    <w:rsid w:val="004E50E3"/>
    <w:rsid w:val="004F36FF"/>
    <w:rsid w:val="005125A8"/>
    <w:rsid w:val="00521AE8"/>
    <w:rsid w:val="00527180"/>
    <w:rsid w:val="0054201E"/>
    <w:rsid w:val="0054549F"/>
    <w:rsid w:val="00555291"/>
    <w:rsid w:val="00566AD1"/>
    <w:rsid w:val="005723E8"/>
    <w:rsid w:val="00583EDE"/>
    <w:rsid w:val="005853D9"/>
    <w:rsid w:val="005925F8"/>
    <w:rsid w:val="005A6079"/>
    <w:rsid w:val="005E4698"/>
    <w:rsid w:val="005E7BE5"/>
    <w:rsid w:val="00610539"/>
    <w:rsid w:val="00610F76"/>
    <w:rsid w:val="00613969"/>
    <w:rsid w:val="006156CD"/>
    <w:rsid w:val="00625C35"/>
    <w:rsid w:val="00656313"/>
    <w:rsid w:val="006565F4"/>
    <w:rsid w:val="00684EE8"/>
    <w:rsid w:val="00684EEA"/>
    <w:rsid w:val="0069689B"/>
    <w:rsid w:val="006A1551"/>
    <w:rsid w:val="006B5FF5"/>
    <w:rsid w:val="006B7DE5"/>
    <w:rsid w:val="006D35A1"/>
    <w:rsid w:val="006F30AF"/>
    <w:rsid w:val="00701759"/>
    <w:rsid w:val="00705C15"/>
    <w:rsid w:val="007136C4"/>
    <w:rsid w:val="0071600E"/>
    <w:rsid w:val="007208D1"/>
    <w:rsid w:val="00747288"/>
    <w:rsid w:val="00747DD3"/>
    <w:rsid w:val="00751289"/>
    <w:rsid w:val="007549C8"/>
    <w:rsid w:val="00754A0B"/>
    <w:rsid w:val="007660A9"/>
    <w:rsid w:val="00766D14"/>
    <w:rsid w:val="00767A0F"/>
    <w:rsid w:val="007A05F6"/>
    <w:rsid w:val="007B6F4A"/>
    <w:rsid w:val="007C4172"/>
    <w:rsid w:val="007C530C"/>
    <w:rsid w:val="007D4B5C"/>
    <w:rsid w:val="007E1C47"/>
    <w:rsid w:val="007E337A"/>
    <w:rsid w:val="007E5C70"/>
    <w:rsid w:val="007F02AB"/>
    <w:rsid w:val="007F26FE"/>
    <w:rsid w:val="007F2FF5"/>
    <w:rsid w:val="007F3F08"/>
    <w:rsid w:val="007F4AC4"/>
    <w:rsid w:val="00804CC6"/>
    <w:rsid w:val="00817190"/>
    <w:rsid w:val="00820EE5"/>
    <w:rsid w:val="00824351"/>
    <w:rsid w:val="008250D5"/>
    <w:rsid w:val="008260E2"/>
    <w:rsid w:val="008322BD"/>
    <w:rsid w:val="00833E0A"/>
    <w:rsid w:val="00834F73"/>
    <w:rsid w:val="00864CF8"/>
    <w:rsid w:val="00872819"/>
    <w:rsid w:val="00874914"/>
    <w:rsid w:val="00891422"/>
    <w:rsid w:val="00892E1A"/>
    <w:rsid w:val="008A153D"/>
    <w:rsid w:val="008A3F29"/>
    <w:rsid w:val="008A4E9D"/>
    <w:rsid w:val="008B660A"/>
    <w:rsid w:val="008C01DA"/>
    <w:rsid w:val="008F78E9"/>
    <w:rsid w:val="00903811"/>
    <w:rsid w:val="00911989"/>
    <w:rsid w:val="009179F9"/>
    <w:rsid w:val="00933E5E"/>
    <w:rsid w:val="00935218"/>
    <w:rsid w:val="009403F3"/>
    <w:rsid w:val="00942247"/>
    <w:rsid w:val="00944778"/>
    <w:rsid w:val="009555B7"/>
    <w:rsid w:val="009567AA"/>
    <w:rsid w:val="00967374"/>
    <w:rsid w:val="0099258B"/>
    <w:rsid w:val="009A343A"/>
    <w:rsid w:val="009B2F23"/>
    <w:rsid w:val="009B57B3"/>
    <w:rsid w:val="009C5B92"/>
    <w:rsid w:val="009D2920"/>
    <w:rsid w:val="009D5AEB"/>
    <w:rsid w:val="009F0E33"/>
    <w:rsid w:val="00A030CE"/>
    <w:rsid w:val="00A149DF"/>
    <w:rsid w:val="00A1755C"/>
    <w:rsid w:val="00A21B90"/>
    <w:rsid w:val="00A41805"/>
    <w:rsid w:val="00A42DCD"/>
    <w:rsid w:val="00A47F17"/>
    <w:rsid w:val="00A52AFB"/>
    <w:rsid w:val="00A548CB"/>
    <w:rsid w:val="00A5521C"/>
    <w:rsid w:val="00A643E7"/>
    <w:rsid w:val="00A65378"/>
    <w:rsid w:val="00A700A4"/>
    <w:rsid w:val="00A73C38"/>
    <w:rsid w:val="00A96368"/>
    <w:rsid w:val="00A97052"/>
    <w:rsid w:val="00AB670D"/>
    <w:rsid w:val="00AE1F92"/>
    <w:rsid w:val="00AE4535"/>
    <w:rsid w:val="00AF03C5"/>
    <w:rsid w:val="00B000D8"/>
    <w:rsid w:val="00B00F75"/>
    <w:rsid w:val="00B145B6"/>
    <w:rsid w:val="00B279EB"/>
    <w:rsid w:val="00B50C81"/>
    <w:rsid w:val="00B557F8"/>
    <w:rsid w:val="00B60B0E"/>
    <w:rsid w:val="00B815FC"/>
    <w:rsid w:val="00B93FBC"/>
    <w:rsid w:val="00BA7DA0"/>
    <w:rsid w:val="00BB0EB2"/>
    <w:rsid w:val="00BB2EE4"/>
    <w:rsid w:val="00BC2108"/>
    <w:rsid w:val="00BD0E9E"/>
    <w:rsid w:val="00BD1BEC"/>
    <w:rsid w:val="00BD32FF"/>
    <w:rsid w:val="00BE4CDF"/>
    <w:rsid w:val="00C02092"/>
    <w:rsid w:val="00C24D91"/>
    <w:rsid w:val="00C53F14"/>
    <w:rsid w:val="00C600CF"/>
    <w:rsid w:val="00C6084F"/>
    <w:rsid w:val="00C62A66"/>
    <w:rsid w:val="00C71458"/>
    <w:rsid w:val="00C72D0A"/>
    <w:rsid w:val="00C77613"/>
    <w:rsid w:val="00C819A4"/>
    <w:rsid w:val="00C8261F"/>
    <w:rsid w:val="00C828E7"/>
    <w:rsid w:val="00C8436C"/>
    <w:rsid w:val="00C86719"/>
    <w:rsid w:val="00C921DD"/>
    <w:rsid w:val="00CA4269"/>
    <w:rsid w:val="00CA49BD"/>
    <w:rsid w:val="00CA6391"/>
    <w:rsid w:val="00CB3948"/>
    <w:rsid w:val="00CC34BD"/>
    <w:rsid w:val="00CC3DDF"/>
    <w:rsid w:val="00CD4372"/>
    <w:rsid w:val="00CE161A"/>
    <w:rsid w:val="00CE3171"/>
    <w:rsid w:val="00CF1601"/>
    <w:rsid w:val="00CF214E"/>
    <w:rsid w:val="00D0172F"/>
    <w:rsid w:val="00D068A7"/>
    <w:rsid w:val="00D17476"/>
    <w:rsid w:val="00D30147"/>
    <w:rsid w:val="00D32086"/>
    <w:rsid w:val="00D37A3F"/>
    <w:rsid w:val="00D4431D"/>
    <w:rsid w:val="00D4667A"/>
    <w:rsid w:val="00D55428"/>
    <w:rsid w:val="00D63A1C"/>
    <w:rsid w:val="00D7516F"/>
    <w:rsid w:val="00D8579F"/>
    <w:rsid w:val="00D95F8E"/>
    <w:rsid w:val="00DA0590"/>
    <w:rsid w:val="00DB773B"/>
    <w:rsid w:val="00DB7BEA"/>
    <w:rsid w:val="00DC1739"/>
    <w:rsid w:val="00DC1788"/>
    <w:rsid w:val="00DE319C"/>
    <w:rsid w:val="00DF0CA8"/>
    <w:rsid w:val="00DF2B48"/>
    <w:rsid w:val="00DF49A7"/>
    <w:rsid w:val="00DF4B32"/>
    <w:rsid w:val="00E07EE2"/>
    <w:rsid w:val="00E07FD1"/>
    <w:rsid w:val="00E133E2"/>
    <w:rsid w:val="00E176D8"/>
    <w:rsid w:val="00E22C46"/>
    <w:rsid w:val="00E24573"/>
    <w:rsid w:val="00E25E1E"/>
    <w:rsid w:val="00E27EE7"/>
    <w:rsid w:val="00E35404"/>
    <w:rsid w:val="00E45109"/>
    <w:rsid w:val="00E47B7A"/>
    <w:rsid w:val="00E526F5"/>
    <w:rsid w:val="00E56A44"/>
    <w:rsid w:val="00E60269"/>
    <w:rsid w:val="00E72581"/>
    <w:rsid w:val="00E77932"/>
    <w:rsid w:val="00E97830"/>
    <w:rsid w:val="00EA5DE5"/>
    <w:rsid w:val="00EE0B1C"/>
    <w:rsid w:val="00EE643C"/>
    <w:rsid w:val="00EF0683"/>
    <w:rsid w:val="00EF69D2"/>
    <w:rsid w:val="00EF766E"/>
    <w:rsid w:val="00F0070C"/>
    <w:rsid w:val="00F00EB7"/>
    <w:rsid w:val="00F36AB6"/>
    <w:rsid w:val="00F37A09"/>
    <w:rsid w:val="00F409CE"/>
    <w:rsid w:val="00F4379D"/>
    <w:rsid w:val="00F455E5"/>
    <w:rsid w:val="00F50187"/>
    <w:rsid w:val="00F50D2D"/>
    <w:rsid w:val="00F56C8B"/>
    <w:rsid w:val="00F66810"/>
    <w:rsid w:val="00F74433"/>
    <w:rsid w:val="00F846D9"/>
    <w:rsid w:val="00F84DF4"/>
    <w:rsid w:val="00F85C97"/>
    <w:rsid w:val="00FA7402"/>
    <w:rsid w:val="00FB37D2"/>
    <w:rsid w:val="00FC4EFB"/>
    <w:rsid w:val="00FD068D"/>
    <w:rsid w:val="00FD4F28"/>
    <w:rsid w:val="00FE6784"/>
    <w:rsid w:val="00FE6EAA"/>
    <w:rsid w:val="00FF2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61821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A2B0D"/>
    <w:pPr>
      <w:keepNext/>
      <w:keepLines/>
      <w:spacing w:before="200"/>
      <w:outlineLvl w:val="2"/>
    </w:pPr>
    <w:rPr>
      <w:rFonts w:asciiTheme="majorHAnsi" w:eastAsiaTheme="majorEastAsia" w:hAnsiTheme="majorHAnsi" w:cstheme="majorBidi"/>
      <w:b/>
      <w:bCs/>
      <w:color w:val="4F81BD" w:themeColor="accent1"/>
      <w:szCs w:val="22"/>
      <w:lang w:val="en-US" w:eastAsia="en-US" w:bidi="en-US"/>
    </w:rPr>
  </w:style>
  <w:style w:type="paragraph" w:styleId="Heading4">
    <w:name w:val="heading 4"/>
    <w:basedOn w:val="Normal"/>
    <w:next w:val="Normal"/>
    <w:link w:val="Heading4Char"/>
    <w:uiPriority w:val="9"/>
    <w:semiHidden/>
    <w:unhideWhenUsed/>
    <w:qFormat/>
    <w:rsid w:val="001A2B0D"/>
    <w:pPr>
      <w:keepNext/>
      <w:keepLines/>
      <w:spacing w:before="200"/>
      <w:outlineLvl w:val="3"/>
    </w:pPr>
    <w:rPr>
      <w:rFonts w:asciiTheme="majorHAnsi" w:eastAsiaTheme="majorEastAsia" w:hAnsiTheme="majorHAnsi" w:cstheme="majorBidi"/>
      <w:b/>
      <w:bCs/>
      <w:i/>
      <w:iCs/>
      <w:color w:val="4F81BD" w:themeColor="accent1"/>
      <w:szCs w:val="22"/>
      <w:lang w:val="en-US" w:eastAsia="en-US" w:bidi="en-US"/>
    </w:rPr>
  </w:style>
  <w:style w:type="paragraph" w:styleId="Heading5">
    <w:name w:val="heading 5"/>
    <w:basedOn w:val="Normal"/>
    <w:next w:val="Normal"/>
    <w:link w:val="Heading5Char"/>
    <w:uiPriority w:val="9"/>
    <w:semiHidden/>
    <w:unhideWhenUsed/>
    <w:qFormat/>
    <w:rsid w:val="001A2B0D"/>
    <w:pPr>
      <w:keepNext/>
      <w:keepLines/>
      <w:spacing w:before="200"/>
      <w:outlineLvl w:val="4"/>
    </w:pPr>
    <w:rPr>
      <w:rFonts w:asciiTheme="majorHAnsi" w:eastAsiaTheme="majorEastAsia" w:hAnsiTheme="majorHAnsi" w:cstheme="majorBidi"/>
      <w:color w:val="243F60" w:themeColor="accent1" w:themeShade="7F"/>
      <w:szCs w:val="22"/>
      <w:lang w:val="en-US" w:eastAsia="en-US" w:bidi="en-US"/>
    </w:rPr>
  </w:style>
  <w:style w:type="paragraph" w:styleId="Heading6">
    <w:name w:val="heading 6"/>
    <w:basedOn w:val="Normal"/>
    <w:next w:val="Normal"/>
    <w:link w:val="Heading6Char"/>
    <w:uiPriority w:val="9"/>
    <w:semiHidden/>
    <w:unhideWhenUsed/>
    <w:qFormat/>
    <w:rsid w:val="001A2B0D"/>
    <w:pPr>
      <w:keepNext/>
      <w:keepLines/>
      <w:spacing w:before="200"/>
      <w:outlineLvl w:val="5"/>
    </w:pPr>
    <w:rPr>
      <w:rFonts w:asciiTheme="majorHAnsi" w:eastAsiaTheme="majorEastAsia" w:hAnsiTheme="majorHAnsi" w:cstheme="majorBidi"/>
      <w:i/>
      <w:iCs/>
      <w:color w:val="243F60" w:themeColor="accent1" w:themeShade="7F"/>
      <w:szCs w:val="22"/>
      <w:lang w:val="en-US" w:eastAsia="en-US" w:bidi="en-US"/>
    </w:rPr>
  </w:style>
  <w:style w:type="paragraph" w:styleId="Heading7">
    <w:name w:val="heading 7"/>
    <w:basedOn w:val="Normal"/>
    <w:next w:val="Normal"/>
    <w:link w:val="Heading7Char"/>
    <w:uiPriority w:val="9"/>
    <w:semiHidden/>
    <w:unhideWhenUsed/>
    <w:qFormat/>
    <w:rsid w:val="001A2B0D"/>
    <w:pPr>
      <w:keepNext/>
      <w:keepLines/>
      <w:spacing w:before="200"/>
      <w:outlineLvl w:val="6"/>
    </w:pPr>
    <w:rPr>
      <w:rFonts w:asciiTheme="majorHAnsi" w:eastAsiaTheme="majorEastAsia" w:hAnsiTheme="majorHAnsi" w:cstheme="majorBidi"/>
      <w:i/>
      <w:iCs/>
      <w:color w:val="404040" w:themeColor="text1" w:themeTint="BF"/>
      <w:szCs w:val="22"/>
      <w:lang w:val="en-US" w:eastAsia="en-US" w:bidi="en-US"/>
    </w:rPr>
  </w:style>
  <w:style w:type="paragraph" w:styleId="Heading8">
    <w:name w:val="heading 8"/>
    <w:basedOn w:val="Normal"/>
    <w:next w:val="Normal"/>
    <w:link w:val="Heading8Char"/>
    <w:uiPriority w:val="9"/>
    <w:semiHidden/>
    <w:unhideWhenUsed/>
    <w:qFormat/>
    <w:rsid w:val="001A2B0D"/>
    <w:pPr>
      <w:keepNext/>
      <w:keepLines/>
      <w:spacing w:before="200"/>
      <w:outlineLvl w:val="7"/>
    </w:pPr>
    <w:rPr>
      <w:rFonts w:asciiTheme="majorHAnsi" w:eastAsiaTheme="majorEastAsia" w:hAnsiTheme="majorHAnsi" w:cstheme="majorBidi"/>
      <w:color w:val="4F81BD" w:themeColor="accent1"/>
      <w:sz w:val="20"/>
      <w:lang w:val="en-US" w:eastAsia="en-US" w:bidi="en-US"/>
    </w:rPr>
  </w:style>
  <w:style w:type="paragraph" w:styleId="Heading9">
    <w:name w:val="heading 9"/>
    <w:basedOn w:val="Normal"/>
    <w:next w:val="Normal"/>
    <w:link w:val="Heading9Char"/>
    <w:uiPriority w:val="9"/>
    <w:semiHidden/>
    <w:unhideWhenUsed/>
    <w:qFormat/>
    <w:rsid w:val="001A2B0D"/>
    <w:pPr>
      <w:keepNext/>
      <w:keepLines/>
      <w:spacing w:before="200"/>
      <w:outlineLvl w:val="8"/>
    </w:pPr>
    <w:rPr>
      <w:rFonts w:asciiTheme="majorHAnsi" w:eastAsiaTheme="majorEastAsia" w:hAnsiTheme="majorHAnsi" w:cstheme="majorBidi"/>
      <w:i/>
      <w:iCs/>
      <w:color w:val="404040" w:themeColor="text1" w:themeTint="BF"/>
      <w:sz w:val="2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CommentReference">
    <w:name w:val="annotation reference"/>
    <w:basedOn w:val="DefaultParagraphFont"/>
    <w:uiPriority w:val="99"/>
    <w:semiHidden/>
    <w:unhideWhenUsed/>
    <w:rsid w:val="0036529B"/>
    <w:rPr>
      <w:sz w:val="16"/>
      <w:szCs w:val="16"/>
    </w:rPr>
  </w:style>
  <w:style w:type="paragraph" w:styleId="CommentText">
    <w:name w:val="annotation text"/>
    <w:basedOn w:val="Normal"/>
    <w:link w:val="CommentTextChar"/>
    <w:uiPriority w:val="99"/>
    <w:unhideWhenUsed/>
    <w:rsid w:val="0036529B"/>
    <w:rPr>
      <w:sz w:val="20"/>
    </w:rPr>
  </w:style>
  <w:style w:type="character" w:customStyle="1" w:styleId="CommentTextChar">
    <w:name w:val="Comment Text Char"/>
    <w:basedOn w:val="DefaultParagraphFont"/>
    <w:link w:val="CommentText"/>
    <w:uiPriority w:val="99"/>
    <w:rsid w:val="0036529B"/>
  </w:style>
  <w:style w:type="paragraph" w:styleId="CommentSubject">
    <w:name w:val="annotation subject"/>
    <w:basedOn w:val="CommentText"/>
    <w:next w:val="CommentText"/>
    <w:link w:val="CommentSubjectChar"/>
    <w:uiPriority w:val="99"/>
    <w:semiHidden/>
    <w:unhideWhenUsed/>
    <w:rsid w:val="0036529B"/>
    <w:rPr>
      <w:b/>
      <w:bCs/>
    </w:rPr>
  </w:style>
  <w:style w:type="character" w:customStyle="1" w:styleId="CommentSubjectChar">
    <w:name w:val="Comment Subject Char"/>
    <w:basedOn w:val="CommentTextChar"/>
    <w:link w:val="CommentSubject"/>
    <w:uiPriority w:val="99"/>
    <w:semiHidden/>
    <w:rsid w:val="0036529B"/>
    <w:rPr>
      <w:b/>
      <w:bCs/>
    </w:rPr>
  </w:style>
  <w:style w:type="character" w:styleId="Hyperlink">
    <w:name w:val="Hyperlink"/>
    <w:basedOn w:val="DefaultParagraphFont"/>
    <w:uiPriority w:val="99"/>
    <w:unhideWhenUsed/>
    <w:rsid w:val="008250D5"/>
    <w:rPr>
      <w:color w:val="660000"/>
      <w:u w:val="none"/>
    </w:rPr>
  </w:style>
  <w:style w:type="table" w:styleId="TableGrid">
    <w:name w:val="Table Grid"/>
    <w:basedOn w:val="TableNormal"/>
    <w:uiPriority w:val="59"/>
    <w:rsid w:val="00F50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250D5"/>
    <w:rPr>
      <w:color w:val="800080" w:themeColor="followedHyperlink"/>
      <w:u w:val="single"/>
    </w:rPr>
  </w:style>
  <w:style w:type="character" w:customStyle="1" w:styleId="Heading3Char">
    <w:name w:val="Heading 3 Char"/>
    <w:basedOn w:val="DefaultParagraphFont"/>
    <w:link w:val="Heading3"/>
    <w:uiPriority w:val="9"/>
    <w:semiHidden/>
    <w:rsid w:val="001A2B0D"/>
    <w:rPr>
      <w:rFonts w:asciiTheme="majorHAnsi" w:eastAsiaTheme="majorEastAsia" w:hAnsiTheme="majorHAnsi" w:cstheme="majorBidi"/>
      <w:b/>
      <w:bCs/>
      <w:color w:val="4F81BD" w:themeColor="accent1"/>
      <w:sz w:val="24"/>
      <w:szCs w:val="22"/>
      <w:lang w:val="en-US" w:eastAsia="en-US" w:bidi="en-US"/>
    </w:rPr>
  </w:style>
  <w:style w:type="character" w:customStyle="1" w:styleId="Heading4Char">
    <w:name w:val="Heading 4 Char"/>
    <w:basedOn w:val="DefaultParagraphFont"/>
    <w:link w:val="Heading4"/>
    <w:uiPriority w:val="9"/>
    <w:semiHidden/>
    <w:rsid w:val="001A2B0D"/>
    <w:rPr>
      <w:rFonts w:asciiTheme="majorHAnsi" w:eastAsiaTheme="majorEastAsia" w:hAnsiTheme="majorHAnsi" w:cstheme="majorBidi"/>
      <w:b/>
      <w:bCs/>
      <w:i/>
      <w:iCs/>
      <w:color w:val="4F81BD" w:themeColor="accent1"/>
      <w:sz w:val="24"/>
      <w:szCs w:val="22"/>
      <w:lang w:val="en-US" w:eastAsia="en-US" w:bidi="en-US"/>
    </w:rPr>
  </w:style>
  <w:style w:type="character" w:customStyle="1" w:styleId="Heading5Char">
    <w:name w:val="Heading 5 Char"/>
    <w:basedOn w:val="DefaultParagraphFont"/>
    <w:link w:val="Heading5"/>
    <w:uiPriority w:val="9"/>
    <w:semiHidden/>
    <w:rsid w:val="001A2B0D"/>
    <w:rPr>
      <w:rFonts w:asciiTheme="majorHAnsi" w:eastAsiaTheme="majorEastAsia" w:hAnsiTheme="majorHAnsi" w:cstheme="majorBidi"/>
      <w:color w:val="243F60" w:themeColor="accent1" w:themeShade="7F"/>
      <w:sz w:val="24"/>
      <w:szCs w:val="22"/>
      <w:lang w:val="en-US" w:eastAsia="en-US" w:bidi="en-US"/>
    </w:rPr>
  </w:style>
  <w:style w:type="character" w:customStyle="1" w:styleId="Heading6Char">
    <w:name w:val="Heading 6 Char"/>
    <w:basedOn w:val="DefaultParagraphFont"/>
    <w:link w:val="Heading6"/>
    <w:uiPriority w:val="9"/>
    <w:semiHidden/>
    <w:rsid w:val="001A2B0D"/>
    <w:rPr>
      <w:rFonts w:asciiTheme="majorHAnsi" w:eastAsiaTheme="majorEastAsia" w:hAnsiTheme="majorHAnsi" w:cstheme="majorBidi"/>
      <w:i/>
      <w:iCs/>
      <w:color w:val="243F60" w:themeColor="accent1" w:themeShade="7F"/>
      <w:sz w:val="24"/>
      <w:szCs w:val="22"/>
      <w:lang w:val="en-US" w:eastAsia="en-US" w:bidi="en-US"/>
    </w:rPr>
  </w:style>
  <w:style w:type="character" w:customStyle="1" w:styleId="Heading7Char">
    <w:name w:val="Heading 7 Char"/>
    <w:basedOn w:val="DefaultParagraphFont"/>
    <w:link w:val="Heading7"/>
    <w:uiPriority w:val="9"/>
    <w:semiHidden/>
    <w:rsid w:val="001A2B0D"/>
    <w:rPr>
      <w:rFonts w:asciiTheme="majorHAnsi" w:eastAsiaTheme="majorEastAsia" w:hAnsiTheme="majorHAnsi" w:cstheme="majorBidi"/>
      <w:i/>
      <w:iCs/>
      <w:color w:val="404040" w:themeColor="text1" w:themeTint="BF"/>
      <w:sz w:val="24"/>
      <w:szCs w:val="22"/>
      <w:lang w:val="en-US" w:eastAsia="en-US" w:bidi="en-US"/>
    </w:rPr>
  </w:style>
  <w:style w:type="character" w:customStyle="1" w:styleId="Heading8Char">
    <w:name w:val="Heading 8 Char"/>
    <w:basedOn w:val="DefaultParagraphFont"/>
    <w:link w:val="Heading8"/>
    <w:uiPriority w:val="9"/>
    <w:semiHidden/>
    <w:rsid w:val="001A2B0D"/>
    <w:rPr>
      <w:rFonts w:asciiTheme="majorHAnsi" w:eastAsiaTheme="majorEastAsia" w:hAnsiTheme="majorHAnsi" w:cstheme="majorBidi"/>
      <w:color w:val="4F81BD" w:themeColor="accent1"/>
      <w:lang w:val="en-US" w:eastAsia="en-US" w:bidi="en-US"/>
    </w:rPr>
  </w:style>
  <w:style w:type="character" w:customStyle="1" w:styleId="Heading9Char">
    <w:name w:val="Heading 9 Char"/>
    <w:basedOn w:val="DefaultParagraphFont"/>
    <w:link w:val="Heading9"/>
    <w:uiPriority w:val="9"/>
    <w:semiHidden/>
    <w:rsid w:val="001A2B0D"/>
    <w:rPr>
      <w:rFonts w:asciiTheme="majorHAnsi" w:eastAsiaTheme="majorEastAsia" w:hAnsiTheme="majorHAnsi" w:cstheme="majorBidi"/>
      <w:i/>
      <w:iCs/>
      <w:color w:val="404040" w:themeColor="text1" w:themeTint="BF"/>
      <w:lang w:val="en-US" w:eastAsia="en-US" w:bidi="en-US"/>
    </w:rPr>
  </w:style>
  <w:style w:type="paragraph" w:customStyle="1" w:styleId="SCCLsocOtherPartyRoleSeparator">
    <w:name w:val="SCC.Lsoc.OtherPartyRoleSeparator"/>
    <w:basedOn w:val="Normal"/>
    <w:next w:val="Normal"/>
    <w:link w:val="SCCLsocOtherPartyRoleSeparatorChar"/>
    <w:rsid w:val="001A2B0D"/>
    <w:pPr>
      <w:spacing w:after="480"/>
    </w:pPr>
    <w:rPr>
      <w:rFonts w:eastAsiaTheme="minorHAnsi" w:cstheme="minorBidi"/>
      <w:szCs w:val="22"/>
      <w:lang w:val="en-US" w:eastAsia="en-US" w:bidi="en-US"/>
    </w:rPr>
  </w:style>
  <w:style w:type="paragraph" w:customStyle="1" w:styleId="SCCCoram">
    <w:name w:val="SCC.Coram"/>
    <w:basedOn w:val="Normal"/>
    <w:next w:val="Normal"/>
    <w:link w:val="SCCCoramChar"/>
    <w:rsid w:val="001A2B0D"/>
    <w:pPr>
      <w:pBdr>
        <w:bottom w:val="single" w:sz="4" w:space="1" w:color="auto"/>
      </w:pBdr>
    </w:pPr>
    <w:rPr>
      <w:rFonts w:eastAsiaTheme="minorHAnsi" w:cstheme="minorBidi"/>
      <w:szCs w:val="22"/>
      <w:lang w:val="en-US" w:eastAsia="en-US" w:bidi="en-US"/>
    </w:rPr>
  </w:style>
  <w:style w:type="character" w:customStyle="1" w:styleId="SCCCoramChar">
    <w:name w:val="SCC.Coram Char"/>
    <w:basedOn w:val="DefaultParagraphFont"/>
    <w:link w:val="SCCCoram"/>
    <w:rsid w:val="001A2B0D"/>
    <w:rPr>
      <w:rFonts w:eastAsiaTheme="minorHAnsi" w:cstheme="minorBidi"/>
      <w:sz w:val="24"/>
      <w:szCs w:val="22"/>
      <w:lang w:val="en-US" w:eastAsia="en-US" w:bidi="en-US"/>
    </w:rPr>
  </w:style>
  <w:style w:type="character" w:customStyle="1" w:styleId="SCCLsocOtherPartyRoleSeparatorChar">
    <w:name w:val="SCC.Lsoc.OtherPartyRoleSeparator Char"/>
    <w:basedOn w:val="DefaultParagraphFont"/>
    <w:link w:val="SCCLsocOtherPartyRoleSeparator"/>
    <w:rsid w:val="001A2B0D"/>
    <w:rPr>
      <w:rFonts w:eastAsiaTheme="minorHAnsi" w:cstheme="minorBidi"/>
      <w:sz w:val="24"/>
      <w:szCs w:val="22"/>
      <w:lang w:val="en-US" w:eastAsia="en-US" w:bidi="en-US"/>
    </w:rPr>
  </w:style>
  <w:style w:type="character" w:customStyle="1" w:styleId="SCCBanSummaryChar">
    <w:name w:val="SCC.BanSummary Char"/>
    <w:basedOn w:val="DefaultParagraphFont"/>
    <w:link w:val="SCCBanSummary"/>
    <w:rsid w:val="001A2B0D"/>
    <w:rPr>
      <w:b/>
      <w:sz w:val="24"/>
    </w:rPr>
  </w:style>
  <w:style w:type="paragraph" w:customStyle="1" w:styleId="Citation-AltC">
    <w:name w:val="Citation - Alt C"/>
    <w:uiPriority w:val="2"/>
    <w:qFormat/>
    <w:rsid w:val="001A2B0D"/>
    <w:pPr>
      <w:spacing w:after="720"/>
      <w:ind w:left="1166"/>
      <w:contextualSpacing/>
      <w:jc w:val="both"/>
    </w:pPr>
    <w:rPr>
      <w:sz w:val="24"/>
    </w:rPr>
  </w:style>
  <w:style w:type="paragraph" w:customStyle="1" w:styleId="ContinueParaSuitedupar-AltP">
    <w:name w:val="Continue Para. / Suite du par. - Alt P"/>
    <w:next w:val="ParaNoNdepar-AltN"/>
    <w:uiPriority w:val="1"/>
    <w:qFormat/>
    <w:rsid w:val="001A2B0D"/>
    <w:pPr>
      <w:spacing w:before="480" w:after="480" w:line="480" w:lineRule="auto"/>
      <w:jc w:val="both"/>
    </w:pPr>
    <w:rPr>
      <w:rFonts w:eastAsiaTheme="minorHAnsi" w:cstheme="minorBidi"/>
      <w:sz w:val="24"/>
      <w:szCs w:val="22"/>
      <w:lang w:eastAsia="en-US"/>
    </w:rPr>
  </w:style>
  <w:style w:type="paragraph" w:customStyle="1" w:styleId="JudgeJuge">
    <w:name w:val="Judge / Juge"/>
    <w:link w:val="JudgeJugeChar"/>
    <w:uiPriority w:val="3"/>
    <w:rsid w:val="001A2B0D"/>
    <w:pPr>
      <w:tabs>
        <w:tab w:val="left" w:pos="1260"/>
      </w:tabs>
      <w:spacing w:after="480" w:line="480" w:lineRule="auto"/>
    </w:pPr>
    <w:rPr>
      <w:smallCaps/>
      <w:sz w:val="24"/>
    </w:rPr>
  </w:style>
  <w:style w:type="paragraph" w:customStyle="1" w:styleId="ParaNoNdepar-AltN">
    <w:name w:val="Para. No. / Nº de par. - Alt N"/>
    <w:qFormat/>
    <w:rsid w:val="001A2B0D"/>
    <w:pPr>
      <w:numPr>
        <w:numId w:val="6"/>
      </w:numPr>
      <w:spacing w:before="480" w:after="480" w:line="480" w:lineRule="auto"/>
      <w:jc w:val="both"/>
    </w:pPr>
    <w:rPr>
      <w:rFonts w:eastAsiaTheme="minorEastAsia" w:cstheme="minorBidi"/>
      <w:sz w:val="24"/>
      <w:szCs w:val="22"/>
      <w:lang w:eastAsia="en-US"/>
    </w:rPr>
  </w:style>
  <w:style w:type="paragraph" w:customStyle="1" w:styleId="Title1LevelTitre1Niveau-AltL">
    <w:name w:val="Title 1 Level / Titre 1 Niveau - Alt L"/>
    <w:next w:val="ParaNoNdepar-AltN"/>
    <w:uiPriority w:val="4"/>
    <w:qFormat/>
    <w:rsid w:val="001A2B0D"/>
    <w:pPr>
      <w:numPr>
        <w:numId w:val="7"/>
      </w:numPr>
      <w:spacing w:before="480" w:after="720"/>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1A2B0D"/>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1A2B0D"/>
    <w:pPr>
      <w:numPr>
        <w:ilvl w:val="2"/>
      </w:numPr>
      <w:outlineLvl w:val="2"/>
    </w:pPr>
  </w:style>
  <w:style w:type="paragraph" w:customStyle="1" w:styleId="Title4LevelTitre4Niveau">
    <w:name w:val="Title 4 Level / Titre 4 Niveau"/>
    <w:basedOn w:val="Title3LevelTitre3Niveau"/>
    <w:next w:val="ParaNoNdepar-AltN"/>
    <w:uiPriority w:val="4"/>
    <w:qFormat/>
    <w:rsid w:val="001A2B0D"/>
    <w:pPr>
      <w:numPr>
        <w:ilvl w:val="3"/>
      </w:numPr>
      <w:tabs>
        <w:tab w:val="num" w:pos="900"/>
      </w:tabs>
      <w:outlineLvl w:val="3"/>
    </w:pPr>
    <w:rPr>
      <w:i/>
      <w:u w:val="none"/>
    </w:rPr>
  </w:style>
  <w:style w:type="paragraph" w:customStyle="1" w:styleId="Title5LevelTitre5Niveau">
    <w:name w:val="Title 5 Level / Titre 5 Niveau"/>
    <w:basedOn w:val="Title1LevelTitre1Niveau-AltL"/>
    <w:next w:val="ParaNoNdepar-AltN"/>
    <w:uiPriority w:val="4"/>
    <w:qFormat/>
    <w:rsid w:val="001A2B0D"/>
    <w:pPr>
      <w:numPr>
        <w:ilvl w:val="4"/>
      </w:numPr>
      <w:tabs>
        <w:tab w:val="clear" w:pos="1728"/>
        <w:tab w:val="num" w:pos="1440"/>
      </w:tabs>
      <w:outlineLvl w:val="4"/>
    </w:pPr>
  </w:style>
  <w:style w:type="paragraph" w:styleId="TOC1">
    <w:name w:val="toc 1"/>
    <w:basedOn w:val="Normal"/>
    <w:next w:val="Normal"/>
    <w:autoRedefine/>
    <w:uiPriority w:val="39"/>
    <w:unhideWhenUsed/>
    <w:rsid w:val="001A2B0D"/>
    <w:pPr>
      <w:tabs>
        <w:tab w:val="left" w:pos="360"/>
        <w:tab w:val="right" w:leader="dot" w:pos="8270"/>
      </w:tabs>
      <w:spacing w:before="120" w:after="120"/>
    </w:pPr>
    <w:rPr>
      <w:rFonts w:eastAsiaTheme="minorHAnsi" w:cstheme="minorBidi"/>
      <w:noProof/>
      <w:u w:val="single"/>
      <w:lang w:val="en-US" w:eastAsia="en-US" w:bidi="en-US"/>
    </w:rPr>
  </w:style>
  <w:style w:type="paragraph" w:styleId="TOC2">
    <w:name w:val="toc 2"/>
    <w:basedOn w:val="Normal"/>
    <w:next w:val="Normal"/>
    <w:autoRedefine/>
    <w:uiPriority w:val="39"/>
    <w:unhideWhenUsed/>
    <w:rsid w:val="001A2B0D"/>
    <w:pPr>
      <w:tabs>
        <w:tab w:val="left" w:pos="720"/>
        <w:tab w:val="right" w:leader="dot" w:pos="8270"/>
      </w:tabs>
      <w:spacing w:before="120" w:after="120"/>
      <w:ind w:left="432" w:hanging="432"/>
    </w:pPr>
    <w:rPr>
      <w:rFonts w:eastAsiaTheme="minorHAnsi" w:cstheme="minorBidi"/>
      <w:i/>
      <w:szCs w:val="22"/>
      <w:lang w:val="en-US" w:eastAsia="en-US" w:bidi="en-US"/>
    </w:rPr>
  </w:style>
  <w:style w:type="paragraph" w:styleId="TOC3">
    <w:name w:val="toc 3"/>
    <w:basedOn w:val="Normal"/>
    <w:next w:val="Normal"/>
    <w:autoRedefine/>
    <w:uiPriority w:val="39"/>
    <w:unhideWhenUsed/>
    <w:rsid w:val="001A2B0D"/>
    <w:pPr>
      <w:tabs>
        <w:tab w:val="left" w:pos="1080"/>
        <w:tab w:val="right" w:leader="dot" w:pos="8270"/>
      </w:tabs>
      <w:spacing w:before="120" w:after="120"/>
      <w:ind w:left="864" w:hanging="432"/>
    </w:pPr>
    <w:rPr>
      <w:rFonts w:eastAsiaTheme="minorHAnsi" w:cstheme="minorBidi"/>
      <w:noProof/>
      <w:u w:val="single"/>
      <w:lang w:val="en-US" w:eastAsia="en-US" w:bidi="en-US"/>
    </w:rPr>
  </w:style>
  <w:style w:type="paragraph" w:styleId="TOC4">
    <w:name w:val="toc 4"/>
    <w:basedOn w:val="Normal"/>
    <w:next w:val="Normal"/>
    <w:autoRedefine/>
    <w:uiPriority w:val="39"/>
    <w:unhideWhenUsed/>
    <w:rsid w:val="001A2B0D"/>
    <w:pPr>
      <w:tabs>
        <w:tab w:val="left" w:pos="900"/>
        <w:tab w:val="right" w:leader="dot" w:pos="8270"/>
      </w:tabs>
      <w:spacing w:before="120" w:after="120"/>
      <w:ind w:left="900" w:hanging="450"/>
    </w:pPr>
    <w:rPr>
      <w:rFonts w:eastAsiaTheme="minorEastAsia" w:cstheme="minorBidi"/>
      <w:i/>
      <w:noProof/>
      <w:szCs w:val="22"/>
      <w:lang w:val="en-US" w:eastAsia="en-US" w:bidi="en-US"/>
    </w:rPr>
  </w:style>
  <w:style w:type="paragraph" w:styleId="TOC5">
    <w:name w:val="toc 5"/>
    <w:basedOn w:val="Normal"/>
    <w:next w:val="Normal"/>
    <w:autoRedefine/>
    <w:uiPriority w:val="39"/>
    <w:unhideWhenUsed/>
    <w:rsid w:val="001A2B0D"/>
    <w:pPr>
      <w:tabs>
        <w:tab w:val="left" w:pos="1440"/>
        <w:tab w:val="right" w:leader="dot" w:pos="8270"/>
      </w:tabs>
      <w:spacing w:before="120" w:after="120"/>
      <w:ind w:left="1454" w:hanging="547"/>
    </w:pPr>
    <w:rPr>
      <w:rFonts w:eastAsiaTheme="minorHAnsi" w:cstheme="minorBidi"/>
      <w:noProof/>
      <w:u w:val="single"/>
      <w:lang w:val="en-US" w:eastAsia="en-US" w:bidi="en-US"/>
    </w:rPr>
  </w:style>
  <w:style w:type="paragraph" w:styleId="TOC6">
    <w:name w:val="toc 6"/>
    <w:basedOn w:val="Normal"/>
    <w:next w:val="Normal"/>
    <w:autoRedefine/>
    <w:uiPriority w:val="39"/>
    <w:unhideWhenUsed/>
    <w:rsid w:val="001A2B0D"/>
    <w:pPr>
      <w:tabs>
        <w:tab w:val="left" w:pos="2160"/>
        <w:tab w:val="right" w:leader="dot" w:pos="8270"/>
      </w:tabs>
      <w:spacing w:after="100"/>
      <w:ind w:left="1800"/>
    </w:pPr>
    <w:rPr>
      <w:rFonts w:eastAsiaTheme="minorHAnsi" w:cstheme="minorBidi"/>
      <w:noProof/>
      <w:lang w:val="en-US" w:eastAsia="en-US" w:bidi="en-US"/>
    </w:rPr>
  </w:style>
  <w:style w:type="table" w:customStyle="1" w:styleId="TableGrid1">
    <w:name w:val="Table Grid1"/>
    <w:basedOn w:val="TableNormal"/>
    <w:uiPriority w:val="59"/>
    <w:rsid w:val="001A2B0D"/>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1A2B0D"/>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1A2B0D"/>
    <w:pPr>
      <w:numPr>
        <w:ilvl w:val="5"/>
      </w:numPr>
      <w:jc w:val="both"/>
      <w:outlineLvl w:val="5"/>
    </w:pPr>
    <w:rPr>
      <w:i/>
      <w:u w:val="none"/>
    </w:rPr>
  </w:style>
  <w:style w:type="paragraph" w:styleId="FootnoteText">
    <w:name w:val="footnote text"/>
    <w:basedOn w:val="Normal"/>
    <w:link w:val="FootnoteTextChar"/>
    <w:uiPriority w:val="99"/>
    <w:unhideWhenUsed/>
    <w:rsid w:val="001A2B0D"/>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1A2B0D"/>
  </w:style>
  <w:style w:type="character" w:styleId="FootnoteReference">
    <w:name w:val="footnote reference"/>
    <w:basedOn w:val="DefaultParagraphFont"/>
    <w:uiPriority w:val="99"/>
    <w:semiHidden/>
    <w:unhideWhenUsed/>
    <w:rsid w:val="001A2B0D"/>
    <w:rPr>
      <w:vertAlign w:val="superscript"/>
    </w:rPr>
  </w:style>
  <w:style w:type="paragraph" w:styleId="ListParagraph">
    <w:name w:val="List Paragraph"/>
    <w:basedOn w:val="Normal"/>
    <w:uiPriority w:val="34"/>
    <w:qFormat/>
    <w:rsid w:val="001A2B0D"/>
    <w:pPr>
      <w:ind w:left="720"/>
      <w:contextualSpacing/>
    </w:pPr>
    <w:rPr>
      <w:rFonts w:eastAsiaTheme="minorHAnsi" w:cstheme="minorBidi"/>
      <w:szCs w:val="22"/>
      <w:lang w:val="en-US" w:eastAsia="en-US" w:bidi="en-US"/>
    </w:rPr>
  </w:style>
  <w:style w:type="character" w:styleId="SubtleEmphasis">
    <w:name w:val="Subtle Emphasis"/>
    <w:basedOn w:val="DefaultParagraphFont"/>
    <w:uiPriority w:val="19"/>
    <w:rsid w:val="001A2B0D"/>
    <w:rPr>
      <w:i/>
      <w:iCs/>
      <w:color w:val="808080" w:themeColor="text1" w:themeTint="7F"/>
    </w:rPr>
  </w:style>
  <w:style w:type="paragraph" w:customStyle="1" w:styleId="reasonsunnumberedparagraph">
    <w:name w:val="reasonsunnumberedparagraph"/>
    <w:basedOn w:val="Normal"/>
    <w:rsid w:val="001A2B0D"/>
    <w:pPr>
      <w:spacing w:before="100" w:beforeAutospacing="1" w:after="100" w:afterAutospacing="1"/>
    </w:pPr>
    <w:rPr>
      <w:rFonts w:eastAsiaTheme="minorHAnsi" w:cstheme="minorBidi"/>
      <w:szCs w:val="22"/>
      <w:lang w:val="en-US" w:eastAsia="en-US" w:bidi="en-US"/>
    </w:rPr>
  </w:style>
  <w:style w:type="paragraph" w:customStyle="1" w:styleId="reasonsnumberedparagraph">
    <w:name w:val="reasonsnumberedparagraph"/>
    <w:basedOn w:val="Normal"/>
    <w:rsid w:val="001A2B0D"/>
    <w:pPr>
      <w:spacing w:before="100" w:beforeAutospacing="1" w:after="100" w:afterAutospacing="1"/>
    </w:pPr>
    <w:rPr>
      <w:rFonts w:eastAsiaTheme="minorHAnsi" w:cstheme="minorBidi"/>
      <w:szCs w:val="22"/>
      <w:lang w:val="en-US" w:eastAsia="en-US" w:bidi="en-US"/>
    </w:rPr>
  </w:style>
  <w:style w:type="paragraph" w:styleId="TOCHeading">
    <w:name w:val="TOC Heading"/>
    <w:basedOn w:val="Heading1"/>
    <w:next w:val="Normal"/>
    <w:uiPriority w:val="39"/>
    <w:unhideWhenUsed/>
    <w:qFormat/>
    <w:rsid w:val="001A2B0D"/>
    <w:pPr>
      <w:spacing w:before="480" w:after="0"/>
      <w:ind w:left="0" w:firstLine="0"/>
      <w:outlineLvl w:val="9"/>
    </w:pPr>
    <w:rPr>
      <w:lang w:val="en-US" w:eastAsia="en-US" w:bidi="en-US"/>
    </w:rPr>
  </w:style>
  <w:style w:type="paragraph" w:styleId="Revision">
    <w:name w:val="Revision"/>
    <w:hidden/>
    <w:uiPriority w:val="99"/>
    <w:semiHidden/>
    <w:rsid w:val="001A2B0D"/>
    <w:rPr>
      <w:rFonts w:eastAsiaTheme="minorHAnsi" w:cstheme="minorBidi"/>
      <w:sz w:val="24"/>
      <w:szCs w:val="22"/>
      <w:lang w:val="en-US" w:eastAsia="en-US" w:bidi="en-US"/>
    </w:rPr>
  </w:style>
  <w:style w:type="character" w:customStyle="1" w:styleId="sccappellantforindexchar0">
    <w:name w:val="sccappellantforindexchar"/>
    <w:basedOn w:val="DefaultParagraphFont"/>
    <w:rsid w:val="001A2B0D"/>
  </w:style>
  <w:style w:type="character" w:customStyle="1" w:styleId="sccrespondentforindexchar0">
    <w:name w:val="sccrespondentforindexchar"/>
    <w:basedOn w:val="DefaultParagraphFont"/>
    <w:rsid w:val="001A2B0D"/>
  </w:style>
  <w:style w:type="character" w:customStyle="1" w:styleId="JudgeJugeChar">
    <w:name w:val="Judge / Juge Char"/>
    <w:basedOn w:val="DefaultParagraphFont"/>
    <w:link w:val="JudgeJuge"/>
    <w:uiPriority w:val="3"/>
    <w:rsid w:val="001A2B0D"/>
    <w:rPr>
      <w:smallCaps/>
      <w:sz w:val="24"/>
    </w:rPr>
  </w:style>
  <w:style w:type="paragraph" w:styleId="NoSpacing">
    <w:name w:val="No Spacing"/>
    <w:uiPriority w:val="1"/>
    <w:rsid w:val="001A2B0D"/>
    <w:rPr>
      <w:rFonts w:eastAsiaTheme="minorHAnsi" w:cstheme="minorBidi"/>
      <w:sz w:val="24"/>
      <w:szCs w:val="22"/>
      <w:lang w:val="en-US" w:eastAsia="en-US" w:bidi="en-US"/>
    </w:rPr>
  </w:style>
  <w:style w:type="paragraph" w:styleId="Caption">
    <w:name w:val="caption"/>
    <w:basedOn w:val="Normal"/>
    <w:next w:val="Normal"/>
    <w:uiPriority w:val="35"/>
    <w:semiHidden/>
    <w:unhideWhenUsed/>
    <w:qFormat/>
    <w:rsid w:val="001A2B0D"/>
    <w:rPr>
      <w:rFonts w:eastAsiaTheme="minorHAnsi" w:cstheme="minorBidi"/>
      <w:b/>
      <w:bCs/>
      <w:color w:val="4F81BD" w:themeColor="accent1"/>
      <w:sz w:val="18"/>
      <w:szCs w:val="18"/>
      <w:lang w:val="en-US" w:eastAsia="en-US" w:bidi="en-US"/>
    </w:rPr>
  </w:style>
  <w:style w:type="paragraph" w:styleId="Title">
    <w:name w:val="Title"/>
    <w:basedOn w:val="Normal"/>
    <w:next w:val="Normal"/>
    <w:link w:val="TitleChar"/>
    <w:uiPriority w:val="10"/>
    <w:rsid w:val="001A2B0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bidi="en-US"/>
    </w:rPr>
  </w:style>
  <w:style w:type="character" w:customStyle="1" w:styleId="TitleChar">
    <w:name w:val="Title Char"/>
    <w:basedOn w:val="DefaultParagraphFont"/>
    <w:link w:val="Title"/>
    <w:uiPriority w:val="10"/>
    <w:rsid w:val="001A2B0D"/>
    <w:rPr>
      <w:rFonts w:asciiTheme="majorHAnsi" w:eastAsiaTheme="majorEastAsia" w:hAnsiTheme="majorHAnsi" w:cstheme="majorBidi"/>
      <w:color w:val="17365D" w:themeColor="text2" w:themeShade="BF"/>
      <w:spacing w:val="5"/>
      <w:kern w:val="28"/>
      <w:sz w:val="52"/>
      <w:szCs w:val="52"/>
      <w:lang w:val="en-US" w:eastAsia="en-US" w:bidi="en-US"/>
    </w:rPr>
  </w:style>
  <w:style w:type="paragraph" w:styleId="Subtitle">
    <w:name w:val="Subtitle"/>
    <w:basedOn w:val="Normal"/>
    <w:next w:val="Normal"/>
    <w:link w:val="SubtitleChar"/>
    <w:uiPriority w:val="11"/>
    <w:rsid w:val="001A2B0D"/>
    <w:pPr>
      <w:numPr>
        <w:ilvl w:val="1"/>
      </w:numPr>
    </w:pPr>
    <w:rPr>
      <w:rFonts w:asciiTheme="majorHAnsi" w:eastAsiaTheme="majorEastAsia" w:hAnsiTheme="majorHAnsi" w:cstheme="majorBidi"/>
      <w:i/>
      <w:iCs/>
      <w:color w:val="4F81BD" w:themeColor="accent1"/>
      <w:spacing w:val="15"/>
      <w:szCs w:val="24"/>
      <w:lang w:val="en-US" w:eastAsia="en-US" w:bidi="en-US"/>
    </w:rPr>
  </w:style>
  <w:style w:type="character" w:customStyle="1" w:styleId="SubtitleChar">
    <w:name w:val="Subtitle Char"/>
    <w:basedOn w:val="DefaultParagraphFont"/>
    <w:link w:val="Subtitle"/>
    <w:uiPriority w:val="11"/>
    <w:rsid w:val="001A2B0D"/>
    <w:rPr>
      <w:rFonts w:asciiTheme="majorHAnsi" w:eastAsiaTheme="majorEastAsia" w:hAnsiTheme="majorHAnsi" w:cstheme="majorBidi"/>
      <w:i/>
      <w:iCs/>
      <w:color w:val="4F81BD" w:themeColor="accent1"/>
      <w:spacing w:val="15"/>
      <w:sz w:val="24"/>
      <w:szCs w:val="24"/>
      <w:lang w:val="en-US" w:eastAsia="en-US" w:bidi="en-US"/>
    </w:rPr>
  </w:style>
  <w:style w:type="character" w:styleId="Emphasis">
    <w:name w:val="Emphasis"/>
    <w:basedOn w:val="DefaultParagraphFont"/>
    <w:uiPriority w:val="20"/>
    <w:rsid w:val="001A2B0D"/>
    <w:rPr>
      <w:i/>
      <w:iCs/>
    </w:rPr>
  </w:style>
  <w:style w:type="paragraph" w:styleId="IntenseQuote">
    <w:name w:val="Intense Quote"/>
    <w:basedOn w:val="Normal"/>
    <w:next w:val="Normal"/>
    <w:link w:val="IntenseQuoteChar"/>
    <w:uiPriority w:val="30"/>
    <w:rsid w:val="001A2B0D"/>
    <w:pPr>
      <w:pBdr>
        <w:bottom w:val="single" w:sz="4" w:space="4" w:color="4F81BD" w:themeColor="accent1"/>
      </w:pBdr>
      <w:spacing w:before="200" w:after="280"/>
      <w:ind w:left="936" w:right="936"/>
    </w:pPr>
    <w:rPr>
      <w:rFonts w:eastAsiaTheme="minorHAnsi" w:cstheme="minorBidi"/>
      <w:b/>
      <w:bCs/>
      <w:i/>
      <w:iCs/>
      <w:color w:val="4F81BD" w:themeColor="accent1"/>
      <w:szCs w:val="22"/>
      <w:lang w:val="en-US" w:eastAsia="en-US" w:bidi="en-US"/>
    </w:rPr>
  </w:style>
  <w:style w:type="character" w:customStyle="1" w:styleId="IntenseQuoteChar">
    <w:name w:val="Intense Quote Char"/>
    <w:basedOn w:val="DefaultParagraphFont"/>
    <w:link w:val="IntenseQuote"/>
    <w:uiPriority w:val="30"/>
    <w:rsid w:val="001A2B0D"/>
    <w:rPr>
      <w:rFonts w:eastAsiaTheme="minorHAnsi" w:cstheme="minorBidi"/>
      <w:b/>
      <w:bCs/>
      <w:i/>
      <w:iCs/>
      <w:color w:val="4F81BD" w:themeColor="accent1"/>
      <w:sz w:val="24"/>
      <w:szCs w:val="22"/>
      <w:lang w:val="en-US" w:eastAsia="en-US" w:bidi="en-US"/>
    </w:rPr>
  </w:style>
  <w:style w:type="character" w:styleId="IntenseEmphasis">
    <w:name w:val="Intense Emphasis"/>
    <w:basedOn w:val="DefaultParagraphFont"/>
    <w:uiPriority w:val="21"/>
    <w:rsid w:val="001A2B0D"/>
    <w:rPr>
      <w:b/>
      <w:bCs/>
      <w:i/>
      <w:iCs/>
      <w:color w:val="4F81BD" w:themeColor="accent1"/>
    </w:rPr>
  </w:style>
  <w:style w:type="character" w:styleId="SubtleReference">
    <w:name w:val="Subtle Reference"/>
    <w:basedOn w:val="DefaultParagraphFont"/>
    <w:uiPriority w:val="31"/>
    <w:rsid w:val="001A2B0D"/>
    <w:rPr>
      <w:smallCaps/>
      <w:color w:val="C0504D" w:themeColor="accent2"/>
      <w:u w:val="single"/>
    </w:rPr>
  </w:style>
  <w:style w:type="character" w:styleId="IntenseReference">
    <w:name w:val="Intense Reference"/>
    <w:basedOn w:val="DefaultParagraphFont"/>
    <w:uiPriority w:val="32"/>
    <w:rsid w:val="001A2B0D"/>
    <w:rPr>
      <w:b/>
      <w:bCs/>
      <w:smallCaps/>
      <w:color w:val="C0504D" w:themeColor="accent2"/>
      <w:spacing w:val="5"/>
      <w:u w:val="single"/>
    </w:rPr>
  </w:style>
  <w:style w:type="character" w:styleId="BookTitle">
    <w:name w:val="Book Title"/>
    <w:basedOn w:val="DefaultParagraphFont"/>
    <w:uiPriority w:val="33"/>
    <w:rsid w:val="001A2B0D"/>
    <w:rPr>
      <w:b/>
      <w:bCs/>
      <w:smallCaps/>
      <w:spacing w:val="5"/>
    </w:rPr>
  </w:style>
  <w:style w:type="character" w:customStyle="1" w:styleId="reflex3-missing">
    <w:name w:val="reflex3-missing"/>
    <w:basedOn w:val="DefaultParagraphFont"/>
    <w:rsid w:val="001A2B0D"/>
  </w:style>
  <w:style w:type="table" w:customStyle="1" w:styleId="TableGrid2">
    <w:name w:val="Table Grid2"/>
    <w:basedOn w:val="TableNormal"/>
    <w:next w:val="TableGrid"/>
    <w:uiPriority w:val="59"/>
    <w:rsid w:val="001A2B0D"/>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cisia.lexum.com/nsc/nsca/en/item/490931/index.do"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95</Pages>
  <Words>23782</Words>
  <Characters>121889</Characters>
  <Application>Microsoft Office Word</Application>
  <DocSecurity>0</DocSecurity>
  <Lines>1015</Lines>
  <Paragraphs>290</Paragraphs>
  <ScaleCrop>false</ScaleCrop>
  <Company/>
  <LinksUpToDate>false</LinksUpToDate>
  <CharactersWithSpaces>145381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2022-10-21T11:00:00Z</dcterms:created>
  <dcterms:modified xsi:type="dcterms:W3CDTF">2022-10-21T11:31:00Z</dcterms:modified>
</cp:coreProperties>
</file>