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3"/>
        <w:gridCol w:w="3330"/>
      </w:tblGrid>
      <w:tr w:rsidR="00FF662C" w:rsidRPr="00FF662C" w:rsidTr="00DE45DB">
        <w:trPr>
          <w:trHeight w:val="2103"/>
        </w:trPr>
        <w:tc>
          <w:tcPr>
            <w:tcW w:w="5000" w:type="pct"/>
            <w:gridSpan w:val="4"/>
          </w:tcPr>
          <w:p w:rsidR="00FF662C" w:rsidRPr="00FF662C" w:rsidRDefault="00FF662C" w:rsidP="00FF662C">
            <w:pPr>
              <w:jc w:val="center"/>
              <w:rPr>
                <w:b/>
              </w:rPr>
            </w:pPr>
            <w:r w:rsidRPr="00FF662C">
              <w:rPr>
                <w:b/>
                <w:noProof/>
              </w:rPr>
              <w:drawing>
                <wp:inline distT="0" distB="0" distL="0" distR="0" wp14:anchorId="0716F853" wp14:editId="17413736">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FF662C" w:rsidRPr="00FF662C" w:rsidRDefault="00FF662C" w:rsidP="00FF662C">
            <w:pPr>
              <w:spacing w:before="120" w:after="100" w:afterAutospacing="1"/>
              <w:jc w:val="center"/>
            </w:pPr>
            <w:r w:rsidRPr="00FF662C">
              <w:rPr>
                <w:b/>
              </w:rPr>
              <w:t>SUPREME COURT OF CANADA</w:t>
            </w:r>
          </w:p>
        </w:tc>
      </w:tr>
      <w:tr w:rsidR="00FF662C" w:rsidRPr="00FF662C" w:rsidTr="00FF662C">
        <w:tblPrEx>
          <w:tblCellMar>
            <w:top w:w="58" w:type="dxa"/>
            <w:left w:w="58" w:type="dxa"/>
            <w:bottom w:w="58" w:type="dxa"/>
            <w:right w:w="58" w:type="dxa"/>
          </w:tblCellMar>
        </w:tblPrEx>
        <w:trPr>
          <w:cantSplit/>
        </w:trPr>
        <w:tc>
          <w:tcPr>
            <w:tcW w:w="2078" w:type="pct"/>
            <w:gridSpan w:val="2"/>
          </w:tcPr>
          <w:p w:rsidR="00FF662C" w:rsidRPr="00FF662C" w:rsidRDefault="00FF662C" w:rsidP="00FF662C">
            <w:pPr>
              <w:rPr>
                <w:b/>
                <w:smallCaps/>
                <w:lang w:val="fr-CA"/>
              </w:rPr>
            </w:pPr>
          </w:p>
          <w:p w:rsidR="00FF662C" w:rsidRPr="00FF662C" w:rsidRDefault="00FF662C" w:rsidP="00FF662C">
            <w:pPr>
              <w:rPr>
                <w:b/>
                <w:smallCaps/>
                <w:lang w:val="fr-CA"/>
              </w:rPr>
            </w:pPr>
            <w:r w:rsidRPr="00FF662C">
              <w:rPr>
                <w:b/>
                <w:smallCaps/>
                <w:lang w:val="fr-CA"/>
              </w:rPr>
              <w:t>Citation:</w:t>
            </w:r>
            <w:r w:rsidRPr="00FF662C">
              <w:rPr>
                <w:lang w:val="fr-CA"/>
              </w:rPr>
              <w:t xml:space="preserve"> Des Groseillers </w:t>
            </w:r>
            <w:r w:rsidRPr="00FF662C">
              <w:rPr>
                <w:i/>
                <w:lang w:val="fr-CA"/>
              </w:rPr>
              <w:t xml:space="preserve">v. </w:t>
            </w:r>
            <w:r w:rsidRPr="00FF662C">
              <w:rPr>
                <w:lang w:val="fr-CA"/>
              </w:rPr>
              <w:t>Quebec (Agence du revenu), 2022 SCC 42</w:t>
            </w:r>
          </w:p>
        </w:tc>
        <w:tc>
          <w:tcPr>
            <w:tcW w:w="879" w:type="pct"/>
          </w:tcPr>
          <w:p w:rsidR="00FF662C" w:rsidRPr="00FF662C" w:rsidRDefault="00FF662C" w:rsidP="00FF662C">
            <w:pPr>
              <w:rPr>
                <w:lang w:val="fr-CA"/>
              </w:rPr>
            </w:pPr>
          </w:p>
        </w:tc>
        <w:tc>
          <w:tcPr>
            <w:tcW w:w="2043" w:type="pct"/>
          </w:tcPr>
          <w:p w:rsidR="00FF662C" w:rsidRPr="00FF662C" w:rsidRDefault="00FF662C" w:rsidP="00FF662C">
            <w:pPr>
              <w:rPr>
                <w:b/>
                <w:smallCaps/>
                <w:lang w:val="fr-CA"/>
              </w:rPr>
            </w:pPr>
          </w:p>
          <w:p w:rsidR="00FF662C" w:rsidRPr="00FF662C" w:rsidRDefault="00FF662C" w:rsidP="00FF662C">
            <w:pPr>
              <w:jc w:val="both"/>
            </w:pPr>
            <w:r w:rsidRPr="00FF662C">
              <w:rPr>
                <w:b/>
                <w:smallCaps/>
              </w:rPr>
              <w:t>Appeal Heard:</w:t>
            </w:r>
            <w:r w:rsidRPr="00FF662C">
              <w:t xml:space="preserve"> November 3, 2022</w:t>
            </w:r>
          </w:p>
          <w:p w:rsidR="00FF662C" w:rsidRPr="00FF662C" w:rsidRDefault="00FF662C" w:rsidP="00FF662C">
            <w:r w:rsidRPr="00FF662C">
              <w:rPr>
                <w:b/>
                <w:smallCaps/>
              </w:rPr>
              <w:t>Judgment Rendered:</w:t>
            </w:r>
            <w:r w:rsidRPr="00FF662C">
              <w:t xml:space="preserve"> November 17, 2022</w:t>
            </w:r>
          </w:p>
          <w:p w:rsidR="00FF662C" w:rsidRPr="00FF662C" w:rsidRDefault="00FF662C" w:rsidP="00FF662C">
            <w:r w:rsidRPr="00FF662C">
              <w:rPr>
                <w:b/>
                <w:smallCaps/>
              </w:rPr>
              <w:t>Docket:</w:t>
            </w:r>
            <w:r w:rsidRPr="00FF662C">
              <w:t xml:space="preserve"> 39879</w:t>
            </w:r>
          </w:p>
        </w:tc>
      </w:tr>
      <w:tr w:rsidR="00FF662C" w:rsidRPr="00FF662C" w:rsidTr="00DE45DB">
        <w:tblPrEx>
          <w:tblCellMar>
            <w:top w:w="58" w:type="dxa"/>
            <w:left w:w="58" w:type="dxa"/>
            <w:bottom w:w="58" w:type="dxa"/>
            <w:right w:w="58" w:type="dxa"/>
          </w:tblCellMar>
        </w:tblPrEx>
        <w:trPr>
          <w:cantSplit/>
        </w:trPr>
        <w:tc>
          <w:tcPr>
            <w:tcW w:w="5000" w:type="pct"/>
            <w:gridSpan w:val="4"/>
          </w:tcPr>
          <w:p w:rsidR="00FF662C" w:rsidRPr="00FF662C" w:rsidRDefault="00FF662C" w:rsidP="00FF662C"/>
          <w:p w:rsidR="00FF662C" w:rsidRPr="00FF662C" w:rsidRDefault="00FF662C" w:rsidP="00FF662C">
            <w:pPr>
              <w:rPr>
                <w:b/>
                <w:smallCaps/>
              </w:rPr>
            </w:pPr>
            <w:r w:rsidRPr="00FF662C">
              <w:rPr>
                <w:b/>
                <w:smallCaps/>
              </w:rPr>
              <w:t>Between:</w:t>
            </w:r>
          </w:p>
          <w:p w:rsidR="00FF662C" w:rsidRPr="00FF662C" w:rsidRDefault="00FF662C" w:rsidP="00FF662C">
            <w:pPr>
              <w:jc w:val="center"/>
              <w:rPr>
                <w:b/>
              </w:rPr>
            </w:pPr>
          </w:p>
          <w:p w:rsidR="00FF662C" w:rsidRPr="00FF662C" w:rsidRDefault="00FF662C" w:rsidP="00FF662C">
            <w:pPr>
              <w:jc w:val="center"/>
              <w:rPr>
                <w:b/>
              </w:rPr>
            </w:pPr>
            <w:r w:rsidRPr="00FF662C">
              <w:rPr>
                <w:b/>
              </w:rPr>
              <w:t>Yves Des Groseillers and BMTC Group Inc.</w:t>
            </w:r>
          </w:p>
          <w:p w:rsidR="00FF662C" w:rsidRPr="00FF662C" w:rsidRDefault="00FF662C" w:rsidP="00FF662C">
            <w:pPr>
              <w:jc w:val="center"/>
              <w:rPr>
                <w:lang w:val="fr-CA"/>
              </w:rPr>
            </w:pPr>
            <w:r w:rsidRPr="00FF662C">
              <w:rPr>
                <w:lang w:val="fr-CA"/>
              </w:rPr>
              <w:t>Appellants</w:t>
            </w:r>
          </w:p>
          <w:p w:rsidR="00FF662C" w:rsidRPr="00FF662C" w:rsidRDefault="00FF662C" w:rsidP="00FF662C">
            <w:pPr>
              <w:rPr>
                <w:lang w:val="fr-CA"/>
              </w:rPr>
            </w:pPr>
          </w:p>
          <w:p w:rsidR="00FF662C" w:rsidRPr="00FF662C" w:rsidRDefault="00FF662C" w:rsidP="00FF662C">
            <w:pPr>
              <w:jc w:val="center"/>
              <w:rPr>
                <w:lang w:val="fr-CA"/>
              </w:rPr>
            </w:pPr>
            <w:r w:rsidRPr="00FF662C">
              <w:rPr>
                <w:lang w:val="fr-CA"/>
              </w:rPr>
              <w:t>and</w:t>
            </w:r>
          </w:p>
          <w:p w:rsidR="00FF662C" w:rsidRPr="00FF662C" w:rsidRDefault="00FF662C" w:rsidP="00FF662C">
            <w:pPr>
              <w:rPr>
                <w:lang w:val="fr-CA"/>
              </w:rPr>
            </w:pPr>
          </w:p>
          <w:p w:rsidR="00FF662C" w:rsidRPr="00FF662C" w:rsidRDefault="00FF662C" w:rsidP="00FF662C">
            <w:pPr>
              <w:jc w:val="center"/>
              <w:rPr>
                <w:b/>
                <w:lang w:val="fr-CA"/>
              </w:rPr>
            </w:pPr>
            <w:r w:rsidRPr="00FF662C">
              <w:rPr>
                <w:b/>
                <w:lang w:val="fr-CA"/>
              </w:rPr>
              <w:t>Agence du revenu du Québec</w:t>
            </w:r>
          </w:p>
          <w:p w:rsidR="00FF662C" w:rsidRPr="00FF662C" w:rsidRDefault="00FF662C" w:rsidP="00FF662C">
            <w:pPr>
              <w:jc w:val="center"/>
            </w:pPr>
            <w:r w:rsidRPr="00FF662C">
              <w:t>Respondent</w:t>
            </w:r>
          </w:p>
          <w:p w:rsidR="00FF662C" w:rsidRPr="00FF662C" w:rsidRDefault="00FF662C" w:rsidP="00FF662C"/>
          <w:p w:rsidR="00FF662C" w:rsidRPr="00FF662C" w:rsidRDefault="00FF662C" w:rsidP="00FF662C">
            <w:pPr>
              <w:jc w:val="center"/>
              <w:rPr>
                <w:b/>
                <w:smallCaps/>
              </w:rPr>
            </w:pPr>
            <w:r w:rsidRPr="00FF662C">
              <w:rPr>
                <w:b/>
                <w:smallCaps/>
              </w:rPr>
              <w:t>Official English Translation</w:t>
            </w:r>
          </w:p>
          <w:p w:rsidR="00FF662C" w:rsidRPr="00FF662C" w:rsidRDefault="00FF662C" w:rsidP="00FF662C"/>
          <w:p w:rsidR="00FF662C" w:rsidRPr="00FF662C" w:rsidRDefault="00FF662C" w:rsidP="00FF662C">
            <w:r w:rsidRPr="00FF662C">
              <w:rPr>
                <w:b/>
                <w:smallCaps/>
              </w:rPr>
              <w:t>Coram:</w:t>
            </w:r>
            <w:r w:rsidRPr="00FF662C">
              <w:t xml:space="preserve"> Wagner C.J. and Karakatsanis, Brown, Rowe, Martin, Kasirer and Jamal JJ.</w:t>
            </w:r>
          </w:p>
          <w:p w:rsidR="00FF662C" w:rsidRPr="00FF662C" w:rsidRDefault="00FF662C" w:rsidP="00FF662C">
            <w:pPr>
              <w:rPr>
                <w:b/>
                <w:smallCaps/>
              </w:rPr>
            </w:pPr>
          </w:p>
        </w:tc>
      </w:tr>
      <w:tr w:rsidR="00FF662C" w:rsidRPr="00FF662C" w:rsidTr="00DE45DB">
        <w:tblPrEx>
          <w:tblCellMar>
            <w:top w:w="58" w:type="dxa"/>
            <w:left w:w="58" w:type="dxa"/>
            <w:bottom w:w="58" w:type="dxa"/>
            <w:right w:w="58" w:type="dxa"/>
          </w:tblCellMar>
        </w:tblPrEx>
        <w:trPr>
          <w:cantSplit/>
        </w:trPr>
        <w:tc>
          <w:tcPr>
            <w:tcW w:w="1231" w:type="pct"/>
          </w:tcPr>
          <w:p w:rsidR="00FF662C" w:rsidRPr="00FF662C" w:rsidRDefault="00FF662C" w:rsidP="00FF662C">
            <w:r w:rsidRPr="00FF662C">
              <w:rPr>
                <w:b/>
                <w:smallCaps/>
              </w:rPr>
              <w:t>Reasons for Judgment</w:t>
            </w:r>
            <w:r w:rsidRPr="00FF662C">
              <w:rPr>
                <w:b/>
              </w:rPr>
              <w:t>:</w:t>
            </w:r>
            <w:r w:rsidRPr="00FF662C">
              <w:t xml:space="preserve"> </w:t>
            </w:r>
          </w:p>
          <w:p w:rsidR="00FF662C" w:rsidRPr="00FF662C" w:rsidRDefault="00FF662C" w:rsidP="00FF662C">
            <w:r w:rsidRPr="00FF662C">
              <w:t>(paras. 1 to 5)</w:t>
            </w:r>
          </w:p>
        </w:tc>
        <w:tc>
          <w:tcPr>
            <w:tcW w:w="3769" w:type="pct"/>
            <w:gridSpan w:val="3"/>
          </w:tcPr>
          <w:p w:rsidR="00FF662C" w:rsidRPr="00FF662C" w:rsidRDefault="00FF662C" w:rsidP="00FF662C">
            <w:r w:rsidRPr="00FF662C">
              <w:t>The Court</w:t>
            </w:r>
          </w:p>
        </w:tc>
      </w:tr>
    </w:tbl>
    <w:p w:rsidR="00FF662C" w:rsidRPr="00FF662C" w:rsidRDefault="00FF662C" w:rsidP="00FF662C">
      <w:pPr>
        <w:rPr>
          <w:rFonts w:eastAsiaTheme="minorHAnsi" w:cstheme="minorBidi"/>
          <w:szCs w:val="24"/>
          <w:lang w:eastAsia="en-US"/>
        </w:rPr>
      </w:pPr>
    </w:p>
    <w:p w:rsidR="00FF662C" w:rsidRPr="00FF662C" w:rsidRDefault="00FF662C" w:rsidP="00FF662C">
      <w:pPr>
        <w:rPr>
          <w:rFonts w:eastAsiaTheme="minorHAnsi" w:cstheme="minorBidi"/>
          <w:szCs w:val="24"/>
          <w:lang w:eastAsia="en-US"/>
        </w:rPr>
      </w:pPr>
    </w:p>
    <w:p w:rsidR="00FF662C" w:rsidRPr="00FF662C" w:rsidRDefault="00FF662C" w:rsidP="00FF662C">
      <w:pPr>
        <w:rPr>
          <w:rFonts w:eastAsiaTheme="minorHAnsi" w:cstheme="minorBidi"/>
          <w:szCs w:val="24"/>
          <w:lang w:eastAsia="en-US"/>
        </w:rPr>
      </w:pPr>
    </w:p>
    <w:p w:rsidR="00FF662C" w:rsidRPr="00FF662C" w:rsidRDefault="00FF662C" w:rsidP="00FF662C">
      <w:pPr>
        <w:rPr>
          <w:rFonts w:eastAsiaTheme="minorHAnsi" w:cstheme="minorBidi"/>
          <w:szCs w:val="24"/>
          <w:lang w:eastAsia="en-US"/>
        </w:rPr>
      </w:pPr>
      <w:r w:rsidRPr="00FF662C">
        <w:rPr>
          <w:rFonts w:eastAsiaTheme="minorHAnsi" w:cstheme="minorBidi"/>
          <w:b/>
          <w:smallCaps/>
          <w:szCs w:val="24"/>
          <w:lang w:eastAsia="en-US"/>
        </w:rPr>
        <w:t>Note:</w:t>
      </w:r>
      <w:r w:rsidRPr="00FF662C">
        <w:rPr>
          <w:rFonts w:eastAsiaTheme="minorHAnsi" w:cstheme="minorBidi"/>
          <w:b/>
          <w:szCs w:val="24"/>
          <w:lang w:eastAsia="en-US"/>
        </w:rPr>
        <w:t xml:space="preserve"> </w:t>
      </w:r>
      <w:r w:rsidRPr="00FF662C">
        <w:rPr>
          <w:rFonts w:eastAsiaTheme="minorHAnsi" w:cstheme="minorBidi"/>
          <w:szCs w:val="24"/>
          <w:lang w:eastAsia="en-US"/>
        </w:rPr>
        <w:t xml:space="preserve">This document is subject to editorial revision before its reproduction in final form in the </w:t>
      </w:r>
      <w:r w:rsidRPr="00FF662C">
        <w:rPr>
          <w:rFonts w:eastAsiaTheme="minorHAnsi" w:cstheme="minorBidi"/>
          <w:i/>
          <w:szCs w:val="24"/>
          <w:lang w:eastAsia="en-US"/>
        </w:rPr>
        <w:t>Canada Supreme Court Reports</w:t>
      </w:r>
      <w:r w:rsidRPr="00FF662C">
        <w:rPr>
          <w:rFonts w:eastAsiaTheme="minorHAnsi" w:cstheme="minorBidi"/>
          <w:szCs w:val="24"/>
          <w:lang w:eastAsia="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FF662C" w:rsidRPr="00FF662C" w:rsidTr="00DE45DB">
        <w:tc>
          <w:tcPr>
            <w:tcW w:w="1500" w:type="pct"/>
            <w:tcMar>
              <w:top w:w="284" w:type="dxa"/>
            </w:tcMar>
          </w:tcPr>
          <w:p w:rsidR="00FF662C" w:rsidRPr="00FF662C" w:rsidRDefault="00FF662C" w:rsidP="00FF662C"/>
        </w:tc>
        <w:tc>
          <w:tcPr>
            <w:tcW w:w="2000" w:type="pct"/>
            <w:tcBorders>
              <w:bottom w:val="single" w:sz="4" w:space="0" w:color="auto"/>
            </w:tcBorders>
            <w:tcMar>
              <w:top w:w="284" w:type="dxa"/>
            </w:tcMar>
          </w:tcPr>
          <w:p w:rsidR="00FF662C" w:rsidRPr="00FF662C" w:rsidRDefault="00FF662C" w:rsidP="00FF662C"/>
        </w:tc>
        <w:tc>
          <w:tcPr>
            <w:tcW w:w="1500" w:type="pct"/>
            <w:tcMar>
              <w:top w:w="284" w:type="dxa"/>
            </w:tcMar>
          </w:tcPr>
          <w:p w:rsidR="00FF662C" w:rsidRPr="00FF662C" w:rsidRDefault="00FF662C" w:rsidP="00FF662C"/>
        </w:tc>
      </w:tr>
    </w:tbl>
    <w:p w:rsidR="00FF662C" w:rsidRPr="00FF662C" w:rsidRDefault="00FF662C">
      <w:pPr>
        <w:rPr>
          <w:b/>
          <w:lang w:val="en-US"/>
        </w:rPr>
      </w:pPr>
      <w:r w:rsidRPr="00FF662C">
        <w:rPr>
          <w:lang w:val="en-US"/>
        </w:rPr>
        <w:br w:type="page"/>
      </w:r>
    </w:p>
    <w:p w:rsidR="0083752A" w:rsidRPr="00FF662C" w:rsidRDefault="00CF6111">
      <w:pPr>
        <w:pStyle w:val="SCCLsocParty"/>
        <w:rPr>
          <w:lang w:val="fr-CA"/>
        </w:rPr>
      </w:pPr>
      <w:r w:rsidRPr="00FF662C">
        <w:rPr>
          <w:lang w:val="fr-CA"/>
        </w:rPr>
        <w:lastRenderedPageBreak/>
        <w:t>Yves Des Groseillers and</w:t>
      </w:r>
    </w:p>
    <w:p w:rsidR="0083752A" w:rsidRPr="00FF662C" w:rsidRDefault="005F11E8">
      <w:pPr>
        <w:pStyle w:val="SCCLsocLastPartyInRole"/>
        <w:rPr>
          <w:lang w:val="fr-CA"/>
        </w:rPr>
      </w:pPr>
      <w:r w:rsidRPr="00FF662C">
        <w:rPr>
          <w:lang w:val="fr-CA"/>
        </w:rPr>
        <w:t>BMTC Group Inc.</w:t>
      </w:r>
      <w:r w:rsidRPr="00FF662C">
        <w:rPr>
          <w:rStyle w:val="SCCLsocPartyRole"/>
          <w:lang w:val="fr-CA"/>
        </w:rPr>
        <w:tab/>
        <w:t>Appellants</w:t>
      </w:r>
    </w:p>
    <w:p w:rsidR="0083752A" w:rsidRPr="00FF662C" w:rsidRDefault="005F11E8">
      <w:pPr>
        <w:pStyle w:val="SCCLsocVersus"/>
        <w:rPr>
          <w:lang w:val="fr-CA"/>
        </w:rPr>
      </w:pPr>
      <w:r w:rsidRPr="00FF662C">
        <w:rPr>
          <w:lang w:val="fr-CA"/>
        </w:rPr>
        <w:t>v.</w:t>
      </w:r>
    </w:p>
    <w:p w:rsidR="0083752A" w:rsidRPr="00FF662C" w:rsidRDefault="005F11E8" w:rsidP="00D0419C">
      <w:pPr>
        <w:pStyle w:val="SCCLsocLastPartyInRole"/>
        <w:rPr>
          <w:lang w:val="fr-CA"/>
        </w:rPr>
      </w:pPr>
      <w:r w:rsidRPr="00FF662C">
        <w:rPr>
          <w:lang w:val="fr-CA"/>
        </w:rPr>
        <w:t>Agence du revenu du Québec</w:t>
      </w:r>
      <w:r w:rsidRPr="00FF662C">
        <w:rPr>
          <w:rStyle w:val="SCCLsocPartyRole"/>
          <w:lang w:val="fr-CA"/>
        </w:rPr>
        <w:tab/>
        <w:t>Respondent</w:t>
      </w:r>
    </w:p>
    <w:p w:rsidR="00426659" w:rsidRPr="00FF662C" w:rsidRDefault="00426659" w:rsidP="00D0419C">
      <w:pPr>
        <w:spacing w:after="720"/>
        <w:jc w:val="both"/>
        <w:rPr>
          <w:b/>
          <w:lang w:val="fr-CA"/>
        </w:rPr>
      </w:pPr>
      <w:r w:rsidRPr="00FF662C">
        <w:rPr>
          <w:b/>
          <w:lang w:val="fr-CA"/>
        </w:rPr>
        <w:t>Indexed as:</w:t>
      </w:r>
      <w:r w:rsidR="00F6143A" w:rsidRPr="00FF662C">
        <w:rPr>
          <w:b/>
          <w:lang w:val="fr-CA"/>
        </w:rPr>
        <w:t xml:space="preserve"> </w:t>
      </w:r>
      <w:r w:rsidR="00F6143A" w:rsidRPr="00FF662C">
        <w:rPr>
          <w:rStyle w:val="SCCAppellantForIndexChar"/>
          <w:lang w:val="fr-CA"/>
        </w:rPr>
        <w:t>Des Groseillers</w:t>
      </w:r>
      <w:r w:rsidRPr="00FF662C">
        <w:rPr>
          <w:b/>
          <w:lang w:val="fr-CA"/>
        </w:rPr>
        <w:t xml:space="preserve"> </w:t>
      </w:r>
      <w:r w:rsidRPr="00FF662C">
        <w:rPr>
          <w:b/>
          <w:i/>
          <w:lang w:val="fr-CA"/>
        </w:rPr>
        <w:t>v.</w:t>
      </w:r>
      <w:r w:rsidRPr="00FF662C">
        <w:rPr>
          <w:b/>
          <w:lang w:val="fr-CA"/>
        </w:rPr>
        <w:t xml:space="preserve"> </w:t>
      </w:r>
      <w:r w:rsidR="00F6143A" w:rsidRPr="00FF662C">
        <w:rPr>
          <w:b/>
          <w:lang w:val="fr-CA"/>
        </w:rPr>
        <w:t>Quebec (</w:t>
      </w:r>
      <w:r w:rsidRPr="00FF662C">
        <w:rPr>
          <w:rStyle w:val="SCCRespondentForIndexChar"/>
          <w:lang w:val="fr-CA"/>
        </w:rPr>
        <w:t xml:space="preserve">Agence du </w:t>
      </w:r>
      <w:r w:rsidR="006A2849" w:rsidRPr="00FF662C">
        <w:rPr>
          <w:rStyle w:val="SCCRespondentForIndexChar"/>
          <w:lang w:val="fr-CA"/>
        </w:rPr>
        <w:t>revenu</w:t>
      </w:r>
      <w:r w:rsidR="00F6143A" w:rsidRPr="00FF662C">
        <w:rPr>
          <w:rStyle w:val="SCCRespondentForIndexChar"/>
          <w:lang w:val="fr-CA"/>
        </w:rPr>
        <w:t>)</w:t>
      </w:r>
    </w:p>
    <w:p w:rsidR="00426659" w:rsidRPr="00FF662C" w:rsidRDefault="00AE4535" w:rsidP="00D0419C">
      <w:pPr>
        <w:pStyle w:val="SCCSystemYear"/>
        <w:spacing w:after="720"/>
        <w:jc w:val="both"/>
      </w:pPr>
      <w:r w:rsidRPr="00FF662C">
        <w:t>2022</w:t>
      </w:r>
      <w:r w:rsidR="003D0399" w:rsidRPr="00FF662C">
        <w:t xml:space="preserve"> </w:t>
      </w:r>
      <w:r w:rsidR="00D0419C" w:rsidRPr="00FF662C">
        <w:t xml:space="preserve">SCC </w:t>
      </w:r>
      <w:r w:rsidR="00823F31" w:rsidRPr="00FF662C">
        <w:t>42</w:t>
      </w:r>
    </w:p>
    <w:p w:rsidR="008322BD" w:rsidRPr="00FF662C" w:rsidRDefault="006A2849" w:rsidP="00D0419C">
      <w:pPr>
        <w:spacing w:after="720"/>
        <w:jc w:val="both"/>
      </w:pPr>
      <w:r w:rsidRPr="00FF662C">
        <w:t xml:space="preserve">File No.: </w:t>
      </w:r>
      <w:r w:rsidR="009B57B3" w:rsidRPr="00FF662C">
        <w:t>39879.</w:t>
      </w:r>
    </w:p>
    <w:p w:rsidR="008322BD" w:rsidRPr="00FF662C" w:rsidRDefault="00AE4535" w:rsidP="00D0419C">
      <w:pPr>
        <w:spacing w:after="720"/>
        <w:jc w:val="both"/>
      </w:pPr>
      <w:r w:rsidRPr="00FF662C">
        <w:t>2022: November 3</w:t>
      </w:r>
      <w:r w:rsidR="009B57B3" w:rsidRPr="00FF662C">
        <w:t xml:space="preserve">; </w:t>
      </w:r>
      <w:r w:rsidR="001A089E" w:rsidRPr="00FF662C">
        <w:t>2022: November 17</w:t>
      </w:r>
      <w:r w:rsidR="009B57B3" w:rsidRPr="00FF662C">
        <w:t>.</w:t>
      </w:r>
    </w:p>
    <w:p w:rsidR="008322BD" w:rsidRPr="00FF662C" w:rsidRDefault="006A2849" w:rsidP="00D0419C">
      <w:pPr>
        <w:spacing w:after="720"/>
        <w:jc w:val="both"/>
      </w:pPr>
      <w:r w:rsidRPr="00FF662C">
        <w:t xml:space="preserve">Present: </w:t>
      </w:r>
      <w:r w:rsidR="009B57B3" w:rsidRPr="00FF662C">
        <w:t>Wagner C.J. and Karakatsanis, Brown, Rowe, Martin, Kasirer and Jamal JJ.</w:t>
      </w:r>
    </w:p>
    <w:p w:rsidR="008322BD" w:rsidRPr="00FF662C" w:rsidRDefault="00656313" w:rsidP="00D0419C">
      <w:pPr>
        <w:pStyle w:val="SCCLowerCourtNameLowercase"/>
        <w:spacing w:after="720" w:line="240" w:lineRule="auto"/>
      </w:pPr>
      <w:r w:rsidRPr="00FF662C">
        <w:t>o</w:t>
      </w:r>
      <w:r w:rsidR="00170592" w:rsidRPr="00FF662C">
        <w:t>n</w:t>
      </w:r>
      <w:r w:rsidR="00224FC0" w:rsidRPr="00FF662C">
        <w:t xml:space="preserve"> </w:t>
      </w:r>
      <w:r w:rsidRPr="00FF662C">
        <w:t>a</w:t>
      </w:r>
      <w:r w:rsidR="00170592" w:rsidRPr="00FF662C">
        <w:t>ppeal</w:t>
      </w:r>
      <w:r w:rsidR="00224FC0" w:rsidRPr="00FF662C">
        <w:t xml:space="preserve"> </w:t>
      </w:r>
      <w:r w:rsidR="00170592" w:rsidRPr="00FF662C">
        <w:t>from</w:t>
      </w:r>
      <w:r w:rsidR="009567AA" w:rsidRPr="00FF662C">
        <w:t xml:space="preserve"> the</w:t>
      </w:r>
      <w:r w:rsidR="00224FC0" w:rsidRPr="00FF662C">
        <w:t xml:space="preserve"> </w:t>
      </w:r>
      <w:r w:rsidR="006A2849" w:rsidRPr="00FF662C">
        <w:t xml:space="preserve">court of appeal </w:t>
      </w:r>
      <w:r w:rsidR="009B57B3" w:rsidRPr="00FF662C">
        <w:t>f</w:t>
      </w:r>
      <w:r w:rsidR="006A2849" w:rsidRPr="00FF662C">
        <w:t>or quebec</w:t>
      </w:r>
    </w:p>
    <w:p w:rsidR="00490505" w:rsidRPr="00FF662C" w:rsidRDefault="00490505" w:rsidP="00C46391">
      <w:pPr>
        <w:pStyle w:val="SCCNormalDoubleSpacing"/>
        <w:spacing w:after="480"/>
      </w:pPr>
      <w:r w:rsidRPr="00FF662C">
        <w:tab/>
      </w:r>
      <w:r w:rsidRPr="00FF662C">
        <w:rPr>
          <w:i/>
        </w:rPr>
        <w:t xml:space="preserve">Taxation — Income tax — Assessment — Taxpayer giving stock options to various registered charities — Taxpayer claiming tax credits corresponding to amounts of gifts </w:t>
      </w:r>
      <w:r w:rsidR="004C15E2" w:rsidRPr="00FF662C">
        <w:rPr>
          <w:i/>
        </w:rPr>
        <w:t>i</w:t>
      </w:r>
      <w:r w:rsidRPr="00FF662C">
        <w:rPr>
          <w:i/>
        </w:rPr>
        <w:t>n his tax returns — Reassessments made against taxpayer to add amounts of gifts to his taxable income — Reassessments vacated by Court of Québec but restored by Court of Appeal — Court of Appeal’s decision affirmed — Taxation Act, CQLR</w:t>
      </w:r>
      <w:r w:rsidR="00C46391" w:rsidRPr="00FF662C">
        <w:rPr>
          <w:i/>
        </w:rPr>
        <w:t>, c. I</w:t>
      </w:r>
      <w:r w:rsidR="00C46391" w:rsidRPr="00FF662C">
        <w:rPr>
          <w:i/>
        </w:rPr>
        <w:noBreakHyphen/>
      </w:r>
      <w:r w:rsidRPr="00FF662C">
        <w:rPr>
          <w:i/>
        </w:rPr>
        <w:t>3, ss</w:t>
      </w:r>
      <w:r w:rsidR="00C46391" w:rsidRPr="00FF662C">
        <w:rPr>
          <w:i/>
        </w:rPr>
        <w:t>. </w:t>
      </w:r>
      <w:r w:rsidRPr="00FF662C">
        <w:rPr>
          <w:i/>
        </w:rPr>
        <w:t>50, 422(c</w:t>
      </w:r>
      <w:proofErr w:type="gramStart"/>
      <w:r w:rsidRPr="00FF662C">
        <w:rPr>
          <w:i/>
        </w:rPr>
        <w:t>)ii</w:t>
      </w:r>
      <w:proofErr w:type="gramEnd"/>
      <w:r w:rsidRPr="00FF662C">
        <w:rPr>
          <w:i/>
        </w:rPr>
        <w:t>.</w:t>
      </w:r>
    </w:p>
    <w:p w:rsidR="003B215F" w:rsidRPr="00FF662C" w:rsidRDefault="002E6705" w:rsidP="00D0419C">
      <w:pPr>
        <w:pStyle w:val="SCCNormalDoubleSpacing"/>
        <w:spacing w:after="720" w:line="240" w:lineRule="auto"/>
      </w:pPr>
      <w:r w:rsidRPr="00FF662C">
        <w:rPr>
          <w:b/>
        </w:rPr>
        <w:lastRenderedPageBreak/>
        <w:t>Statutes and Regulations Cite</w:t>
      </w:r>
      <w:r w:rsidR="00A41805" w:rsidRPr="00FF662C">
        <w:rPr>
          <w:b/>
        </w:rPr>
        <w:t>d</w:t>
      </w:r>
    </w:p>
    <w:p w:rsidR="00A149DF" w:rsidRPr="00FF662C" w:rsidRDefault="005E1403" w:rsidP="00D0419C">
      <w:pPr>
        <w:pStyle w:val="SCCNormalDoubleSpacing"/>
        <w:spacing w:after="720" w:line="240" w:lineRule="auto"/>
        <w:ind w:left="547" w:hanging="547"/>
      </w:pPr>
      <w:r w:rsidRPr="00FF662C">
        <w:rPr>
          <w:i/>
        </w:rPr>
        <w:t>Taxation Act</w:t>
      </w:r>
      <w:r w:rsidR="00D0419C" w:rsidRPr="00FF662C">
        <w:t>, CQLR, c. I</w:t>
      </w:r>
      <w:r w:rsidR="00D0419C" w:rsidRPr="00FF662C">
        <w:noBreakHyphen/>
      </w:r>
      <w:r w:rsidRPr="00FF662C">
        <w:t>3</w:t>
      </w:r>
      <w:r w:rsidR="00D0419C" w:rsidRPr="00FF662C">
        <w:t>, ss. </w:t>
      </w:r>
      <w:r w:rsidR="007A2EB6" w:rsidRPr="00FF662C">
        <w:t>50, 422(</w:t>
      </w:r>
      <w:r w:rsidR="007A2EB6" w:rsidRPr="00FF662C">
        <w:rPr>
          <w:i/>
        </w:rPr>
        <w:t>c</w:t>
      </w:r>
      <w:proofErr w:type="gramStart"/>
      <w:r w:rsidR="007A2EB6" w:rsidRPr="00FF662C">
        <w:t>)ii</w:t>
      </w:r>
      <w:proofErr w:type="gramEnd"/>
      <w:r w:rsidRPr="00FF662C">
        <w:t>.</w:t>
      </w:r>
    </w:p>
    <w:p w:rsidR="00656313" w:rsidRPr="00FF662C" w:rsidRDefault="009B57B3" w:rsidP="00D0419C">
      <w:pPr>
        <w:pStyle w:val="SCCNormalDoubleSpacing"/>
        <w:spacing w:after="480"/>
      </w:pPr>
      <w:r w:rsidRPr="00FF662C">
        <w:tab/>
        <w:t xml:space="preserve">APPEAL from a judgment of the </w:t>
      </w:r>
      <w:r w:rsidR="007A2EB6" w:rsidRPr="00FF662C">
        <w:t xml:space="preserve">Quebec </w:t>
      </w:r>
      <w:r w:rsidRPr="00FF662C">
        <w:t>Cour</w:t>
      </w:r>
      <w:r w:rsidR="007A2EB6" w:rsidRPr="00FF662C">
        <w:t>t of Appeal</w:t>
      </w:r>
      <w:r w:rsidR="003C0825" w:rsidRPr="00FF662C">
        <w:t xml:space="preserve"> (Chamberland, Schrager and Cournoyer JJ.A.), </w:t>
      </w:r>
      <w:hyperlink r:id="rId9" w:history="1">
        <w:r w:rsidR="003C0825" w:rsidRPr="00FF662C">
          <w:rPr>
            <w:rStyle w:val="Hyperlink"/>
          </w:rPr>
          <w:t>2021 QCCA 906</w:t>
        </w:r>
      </w:hyperlink>
      <w:r w:rsidR="003C0825" w:rsidRPr="00FF662C">
        <w:t>,</w:t>
      </w:r>
      <w:r w:rsidR="000D0D03" w:rsidRPr="00FF662C">
        <w:t xml:space="preserve"> [2021] </w:t>
      </w:r>
      <w:r w:rsidR="00807413" w:rsidRPr="00FF662C">
        <w:t>AZ</w:t>
      </w:r>
      <w:r w:rsidR="00807413" w:rsidRPr="00FF662C">
        <w:noBreakHyphen/>
      </w:r>
      <w:r w:rsidR="000D0D03" w:rsidRPr="00FF662C">
        <w:t>51770266,</w:t>
      </w:r>
      <w:r w:rsidR="003C0825" w:rsidRPr="00FF662C">
        <w:t xml:space="preserve"> [2021] J.Q. n</w:t>
      </w:r>
      <w:r w:rsidR="003C0825" w:rsidRPr="00FF662C">
        <w:rPr>
          <w:vertAlign w:val="superscript"/>
        </w:rPr>
        <w:t>o</w:t>
      </w:r>
      <w:r w:rsidR="00D0419C" w:rsidRPr="00FF662C">
        <w:t> </w:t>
      </w:r>
      <w:r w:rsidR="003C0825" w:rsidRPr="00FF662C">
        <w:t xml:space="preserve">5962 (QL), 2021 CarswellQue 6472 (WL), </w:t>
      </w:r>
      <w:r w:rsidR="003F79F0" w:rsidRPr="00FF662C">
        <w:t xml:space="preserve">setting aside a decision of Bourgeois J., </w:t>
      </w:r>
      <w:r w:rsidR="00CD4E9D" w:rsidRPr="00FF662C">
        <w:t xml:space="preserve">2019 QCCQ 1430, </w:t>
      </w:r>
      <w:r w:rsidR="00141951" w:rsidRPr="00FF662C">
        <w:t>[2019] J.Q. n</w:t>
      </w:r>
      <w:r w:rsidR="00141951" w:rsidRPr="00FF662C">
        <w:rPr>
          <w:vertAlign w:val="superscript"/>
        </w:rPr>
        <w:t>o</w:t>
      </w:r>
      <w:r w:rsidR="00D0419C" w:rsidRPr="00FF662C">
        <w:t> </w:t>
      </w:r>
      <w:r w:rsidR="00141951" w:rsidRPr="00FF662C">
        <w:t>2345 (QL), 2019 CarswellQue 1831 (WL). Appeal dismissed.</w:t>
      </w:r>
    </w:p>
    <w:p w:rsidR="0083752A" w:rsidRPr="00FF662C" w:rsidRDefault="00EC44F0" w:rsidP="00D0419C">
      <w:pPr>
        <w:pStyle w:val="SCCNormalDoubleSpacing"/>
        <w:spacing w:after="480"/>
      </w:pPr>
      <w:r w:rsidRPr="00FF662C">
        <w:rPr>
          <w:rStyle w:val="SCCCounselNameChar"/>
        </w:rPr>
        <w:tab/>
        <w:t>Dominic </w:t>
      </w:r>
      <w:r w:rsidR="005F11E8" w:rsidRPr="00FF662C">
        <w:rPr>
          <w:rStyle w:val="SCCCounselNameChar"/>
        </w:rPr>
        <w:t>C. Belley</w:t>
      </w:r>
      <w:r w:rsidR="005F11E8" w:rsidRPr="00FF662C">
        <w:rPr>
          <w:rStyle w:val="SCCCounselNameChar"/>
          <w:i w:val="0"/>
        </w:rPr>
        <w:t>,</w:t>
      </w:r>
      <w:r w:rsidR="005F11E8" w:rsidRPr="00FF662C">
        <w:rPr>
          <w:rStyle w:val="SCCCounselNameChar"/>
        </w:rPr>
        <w:t xml:space="preserve"> Catherine Dubé</w:t>
      </w:r>
      <w:r w:rsidR="005F11E8" w:rsidRPr="00FF662C">
        <w:rPr>
          <w:rStyle w:val="SCCCounselNameChar"/>
          <w:i w:val="0"/>
        </w:rPr>
        <w:t>,</w:t>
      </w:r>
      <w:r w:rsidR="00D0419C" w:rsidRPr="00FF662C">
        <w:rPr>
          <w:rStyle w:val="SCCCounselNameChar"/>
        </w:rPr>
        <w:t xml:space="preserve"> Nicolas Benoit</w:t>
      </w:r>
      <w:r w:rsidR="00D0419C" w:rsidRPr="00FF662C">
        <w:rPr>
          <w:rStyle w:val="SCCCounselNameChar"/>
        </w:rPr>
        <w:noBreakHyphen/>
      </w:r>
      <w:r w:rsidR="005F11E8" w:rsidRPr="00FF662C">
        <w:rPr>
          <w:rStyle w:val="SCCCounselNameChar"/>
        </w:rPr>
        <w:t>Guay</w:t>
      </w:r>
      <w:r w:rsidR="005F11E8" w:rsidRPr="00FF662C">
        <w:rPr>
          <w:rStyle w:val="SCCCounselSeparatorChar"/>
        </w:rPr>
        <w:t xml:space="preserve"> and </w:t>
      </w:r>
      <w:r w:rsidR="005F11E8" w:rsidRPr="00FF662C">
        <w:rPr>
          <w:rStyle w:val="SCCCounselNameChar"/>
        </w:rPr>
        <w:t>Mareine Gervais Cloutier</w:t>
      </w:r>
      <w:r w:rsidR="005F11E8" w:rsidRPr="00FF662C">
        <w:rPr>
          <w:rStyle w:val="SCCCounselPartyRoleChar"/>
        </w:rPr>
        <w:t>, for the appellant</w:t>
      </w:r>
      <w:r w:rsidR="00143E8B" w:rsidRPr="00FF662C">
        <w:rPr>
          <w:rStyle w:val="SCCCounselPartyRoleChar"/>
        </w:rPr>
        <w:t>s</w:t>
      </w:r>
      <w:r w:rsidR="005F11E8" w:rsidRPr="00FF662C">
        <w:rPr>
          <w:rStyle w:val="SCCCounselPartyRoleChar"/>
        </w:rPr>
        <w:t>.</w:t>
      </w:r>
    </w:p>
    <w:p w:rsidR="0083752A" w:rsidRPr="00FF662C" w:rsidRDefault="005F11E8" w:rsidP="00D0419C">
      <w:pPr>
        <w:pStyle w:val="SCCNormalDoubleSpacing"/>
        <w:spacing w:after="480"/>
      </w:pPr>
      <w:r w:rsidRPr="00FF662C">
        <w:rPr>
          <w:rStyle w:val="SCCCounselNameChar"/>
        </w:rPr>
        <w:tab/>
        <w:t>Normand Perreault</w:t>
      </w:r>
      <w:r w:rsidRPr="00FF662C">
        <w:rPr>
          <w:rStyle w:val="SCCCounselSeparatorChar"/>
        </w:rPr>
        <w:t xml:space="preserve"> and </w:t>
      </w:r>
      <w:r w:rsidRPr="00FF662C">
        <w:rPr>
          <w:rStyle w:val="SCCCounselNameChar"/>
        </w:rPr>
        <w:t>Gabriel Déry</w:t>
      </w:r>
      <w:r w:rsidRPr="00FF662C">
        <w:rPr>
          <w:rStyle w:val="SCCCounselPartyRoleChar"/>
        </w:rPr>
        <w:t>, for the respondent.</w:t>
      </w:r>
    </w:p>
    <w:p w:rsidR="00FF662C" w:rsidRPr="00FF662C" w:rsidRDefault="00FF662C" w:rsidP="00FF662C">
      <w:pPr>
        <w:tabs>
          <w:tab w:val="left" w:pos="1134"/>
        </w:tabs>
        <w:autoSpaceDE w:val="0"/>
        <w:autoSpaceDN w:val="0"/>
        <w:adjustRightInd w:val="0"/>
        <w:snapToGrid w:val="0"/>
        <w:rPr>
          <w:color w:val="000000"/>
          <w:szCs w:val="24"/>
          <w:lang w:val="x-none"/>
        </w:rPr>
      </w:pPr>
      <w:r w:rsidRPr="005B3CDF">
        <w:rPr>
          <w:szCs w:val="24"/>
          <w:lang w:val="en-US"/>
        </w:rPr>
        <w:tab/>
      </w:r>
      <w:r w:rsidRPr="00FF662C">
        <w:rPr>
          <w:color w:val="000000"/>
          <w:szCs w:val="24"/>
          <w:lang w:val="x-none"/>
        </w:rPr>
        <w:t>English version of the judgment delivered by</w:t>
      </w:r>
    </w:p>
    <w:p w:rsidR="00FF662C" w:rsidRPr="00FF662C" w:rsidRDefault="00FF662C" w:rsidP="00FF662C">
      <w:pPr>
        <w:tabs>
          <w:tab w:val="left" w:pos="1134"/>
        </w:tabs>
        <w:autoSpaceDE w:val="0"/>
        <w:autoSpaceDN w:val="0"/>
        <w:adjustRightInd w:val="0"/>
        <w:snapToGrid w:val="0"/>
        <w:rPr>
          <w:color w:val="000000"/>
          <w:szCs w:val="24"/>
          <w:lang w:val="x-none"/>
        </w:rPr>
      </w:pPr>
    </w:p>
    <w:p w:rsidR="00FF662C" w:rsidRPr="00FF662C" w:rsidRDefault="00FF662C" w:rsidP="00FF662C">
      <w:pPr>
        <w:pStyle w:val="JudgeJuge"/>
        <w:tabs>
          <w:tab w:val="clear" w:pos="1166"/>
          <w:tab w:val="left" w:pos="1134"/>
        </w:tabs>
        <w:spacing w:before="240"/>
        <w:rPr>
          <w:lang w:val="en-CA"/>
        </w:rPr>
      </w:pPr>
      <w:r w:rsidRPr="00FF662C">
        <w:rPr>
          <w:lang w:val="en-CA"/>
        </w:rPr>
        <w:tab/>
        <w:t xml:space="preserve">The Court — </w:t>
      </w:r>
    </w:p>
    <w:p w:rsidR="00FF662C" w:rsidRPr="00FF662C" w:rsidRDefault="00FF662C" w:rsidP="00FF662C">
      <w:pPr>
        <w:pStyle w:val="ParaNoNdepar-AltN"/>
        <w:spacing w:before="0"/>
        <w:rPr>
          <w:rFonts w:cs="Times New Roman"/>
          <w:lang w:val="en-CA"/>
        </w:rPr>
      </w:pPr>
      <w:r w:rsidRPr="00FF662C">
        <w:rPr>
          <w:rFonts w:cs="Times New Roman"/>
          <w:szCs w:val="24"/>
          <w:lang w:val="en-CA"/>
        </w:rPr>
        <w:t>We are all of the opinion that the appeal should be dismissed.</w:t>
      </w:r>
    </w:p>
    <w:p w:rsidR="00FF662C" w:rsidRPr="00FF662C" w:rsidRDefault="00FF662C" w:rsidP="00FF662C">
      <w:pPr>
        <w:pStyle w:val="ParaNoNdepar-AltN"/>
        <w:spacing w:before="0"/>
        <w:rPr>
          <w:rFonts w:cs="Times New Roman"/>
          <w:lang w:val="en-CA"/>
        </w:rPr>
      </w:pPr>
      <w:r w:rsidRPr="00FF662C">
        <w:rPr>
          <w:rFonts w:cs="Times New Roman"/>
          <w:lang w:val="en-CA"/>
        </w:rPr>
        <w:t>In a unanimous judgment of the Quebec Court of Appeal relating to the</w:t>
      </w:r>
      <w:r w:rsidRPr="00FF662C">
        <w:rPr>
          <w:rFonts w:cs="Times New Roman"/>
          <w:i/>
          <w:szCs w:val="24"/>
          <w:lang w:val="en-US"/>
        </w:rPr>
        <w:t xml:space="preserve"> </w:t>
      </w:r>
      <w:r w:rsidRPr="00FF662C">
        <w:rPr>
          <w:rFonts w:cs="Times New Roman"/>
          <w:i/>
          <w:lang w:val="en-US"/>
        </w:rPr>
        <w:t>Taxation Act</w:t>
      </w:r>
      <w:r w:rsidRPr="00FF662C">
        <w:rPr>
          <w:rFonts w:cs="Times New Roman"/>
          <w:lang w:val="en-US"/>
        </w:rPr>
        <w:t>, CQLR, c. I</w:t>
      </w:r>
      <w:r w:rsidRPr="00FF662C">
        <w:rPr>
          <w:rFonts w:cs="Times New Roman"/>
          <w:lang w:val="en-US"/>
        </w:rPr>
        <w:noBreakHyphen/>
        <w:t>3 (“T.A.”), Cournoyer J.A. correctly stated the following:</w:t>
      </w:r>
    </w:p>
    <w:p w:rsidR="00FF662C" w:rsidRPr="00FF662C" w:rsidRDefault="00FF662C" w:rsidP="00FF662C">
      <w:pPr>
        <w:pStyle w:val="Citation-AltC"/>
        <w:spacing w:after="240"/>
        <w:ind w:firstLine="4"/>
        <w:contextualSpacing w:val="0"/>
        <w:rPr>
          <w:rStyle w:val="reflex2-link"/>
          <w:szCs w:val="22"/>
          <w:lang w:val="en-CA"/>
        </w:rPr>
      </w:pPr>
      <w:r w:rsidRPr="00FF662C">
        <w:rPr>
          <w:lang w:val="en-CA"/>
        </w:rPr>
        <w:tab/>
        <w:t>[</w:t>
      </w:r>
      <w:r w:rsidRPr="00FF662C">
        <w:rPr>
          <w:smallCaps/>
          <w:lang w:val="en-CA"/>
        </w:rPr>
        <w:t>translation</w:t>
      </w:r>
      <w:r w:rsidRPr="00FF662C">
        <w:rPr>
          <w:lang w:val="en-CA"/>
        </w:rPr>
        <w:t>] Because we are engaged primarily in an exercise of statutory interpretation, and for ease of reference, I will reproduce sections 50, 54 and 422 T.A. again:</w:t>
      </w:r>
    </w:p>
    <w:p w:rsidR="00FF662C" w:rsidRPr="00FF662C" w:rsidRDefault="00FF662C" w:rsidP="00FF662C">
      <w:pPr>
        <w:pStyle w:val="Citation-AltC"/>
        <w:spacing w:after="240"/>
        <w:ind w:left="1440" w:hanging="270"/>
        <w:contextualSpacing w:val="0"/>
        <w:rPr>
          <w:lang w:val="en-CA" w:eastAsia="fr-CA"/>
        </w:rPr>
      </w:pPr>
      <w:r w:rsidRPr="00FF662C">
        <w:rPr>
          <w:b/>
          <w:bCs/>
          <w:lang w:val="en-CA" w:eastAsia="fr-CA"/>
        </w:rPr>
        <w:tab/>
        <w:t>50.</w:t>
      </w:r>
      <w:r w:rsidRPr="00FF662C">
        <w:rPr>
          <w:lang w:val="en-CA" w:eastAsia="fr-CA"/>
        </w:rPr>
        <w:t xml:space="preserve"> </w:t>
      </w:r>
      <w:r w:rsidRPr="00FF662C">
        <w:rPr>
          <w:lang w:val="en-CA"/>
        </w:rPr>
        <w:t xml:space="preserve">An employee who transfers or disposes of rights under the agreement referred to in section 48 in respect of securities to a person with whom the employee is dealing at arm’s length, </w:t>
      </w:r>
      <w:r w:rsidRPr="00FF662C">
        <w:rPr>
          <w:u w:val="single"/>
          <w:lang w:val="en-CA"/>
        </w:rPr>
        <w:t>is deemed to receive</w:t>
      </w:r>
      <w:r w:rsidRPr="00FF662C">
        <w:rPr>
          <w:lang w:val="en-CA"/>
        </w:rPr>
        <w:t xml:space="preserve"> because of the employee’s office or employment, in the taxation year in which the employee makes the transfer or disposition, </w:t>
      </w:r>
      <w:r w:rsidRPr="00FF662C">
        <w:rPr>
          <w:u w:val="single"/>
          <w:lang w:val="en-CA"/>
        </w:rPr>
        <w:t>a benefit equal to the amount by which the value of the consideration for the transfer or disposition exceeds the amount paid by the employee to acquire those rights</w:t>
      </w:r>
      <w:r w:rsidRPr="00FF662C">
        <w:rPr>
          <w:lang w:val="en-CA"/>
        </w:rPr>
        <w:t>.</w:t>
      </w:r>
    </w:p>
    <w:p w:rsidR="00FF662C" w:rsidRPr="00FF662C" w:rsidRDefault="00FF662C" w:rsidP="00FF662C">
      <w:pPr>
        <w:pStyle w:val="Citation-AltC"/>
        <w:tabs>
          <w:tab w:val="left" w:pos="1440"/>
        </w:tabs>
        <w:spacing w:after="240"/>
        <w:ind w:firstLine="4"/>
        <w:contextualSpacing w:val="0"/>
        <w:rPr>
          <w:lang w:val="en-CA"/>
        </w:rPr>
      </w:pPr>
      <w:r w:rsidRPr="00FF662C">
        <w:rPr>
          <w:lang w:val="en-CA"/>
        </w:rPr>
        <w:tab/>
        <w:t>[...]</w:t>
      </w:r>
    </w:p>
    <w:p w:rsidR="00FF662C" w:rsidRPr="00FF662C" w:rsidRDefault="00FF662C" w:rsidP="00FF662C">
      <w:pPr>
        <w:pStyle w:val="Citation-AltC"/>
        <w:spacing w:after="240"/>
        <w:ind w:left="1440" w:hanging="270"/>
        <w:contextualSpacing w:val="0"/>
        <w:rPr>
          <w:lang w:val="en-CA" w:eastAsia="fr-CA"/>
        </w:rPr>
      </w:pPr>
      <w:bookmarkStart w:id="0" w:name="_Hlk60045834"/>
      <w:r w:rsidRPr="00FF662C">
        <w:rPr>
          <w:b/>
          <w:bCs/>
          <w:lang w:val="en-CA" w:eastAsia="fr-CA"/>
        </w:rPr>
        <w:tab/>
        <w:t>54.</w:t>
      </w:r>
      <w:r w:rsidRPr="00FF662C">
        <w:rPr>
          <w:lang w:val="en-CA" w:eastAsia="fr-CA"/>
        </w:rPr>
        <w:t xml:space="preserve"> If a particular qualifying person has agreed to sell or issue one of its securities, or a security of a qualifying person with which it does not deal at arm’s length, to one of its employees or to an employee of the qualifying person with which it does not deal at arm’s length, </w:t>
      </w:r>
      <w:r w:rsidRPr="00FF662C">
        <w:rPr>
          <w:u w:val="single"/>
          <w:lang w:val="en-CA" w:eastAsia="fr-CA"/>
        </w:rPr>
        <w:t>the employee is deemed to receive no benefit under or because of the agreement other than as provided in this division</w:t>
      </w:r>
      <w:r w:rsidRPr="00FF662C">
        <w:rPr>
          <w:lang w:val="en-CA" w:eastAsia="fr-CA"/>
        </w:rPr>
        <w:t>.</w:t>
      </w:r>
      <w:bookmarkEnd w:id="0"/>
    </w:p>
    <w:p w:rsidR="00FF662C" w:rsidRPr="00FF662C" w:rsidRDefault="00FF662C" w:rsidP="00FF662C">
      <w:pPr>
        <w:pStyle w:val="Citation-AltC"/>
        <w:spacing w:after="240"/>
        <w:contextualSpacing w:val="0"/>
        <w:rPr>
          <w:lang w:val="en-CA"/>
        </w:rPr>
      </w:pPr>
      <w:r w:rsidRPr="00FF662C">
        <w:rPr>
          <w:lang w:val="en-CA"/>
        </w:rPr>
        <w:tab/>
        <w:t>[...]</w:t>
      </w:r>
    </w:p>
    <w:p w:rsidR="00FF662C" w:rsidRPr="00FF662C" w:rsidRDefault="00FF662C" w:rsidP="00FF662C">
      <w:pPr>
        <w:pStyle w:val="Citation-AltC"/>
        <w:spacing w:after="240"/>
        <w:ind w:left="1440" w:hanging="270"/>
        <w:contextualSpacing w:val="0"/>
        <w:rPr>
          <w:lang w:val="en-CA" w:eastAsia="fr-CA"/>
        </w:rPr>
      </w:pPr>
      <w:r w:rsidRPr="00FF662C">
        <w:rPr>
          <w:b/>
          <w:bCs/>
          <w:lang w:val="en-CA" w:eastAsia="fr-CA"/>
        </w:rPr>
        <w:tab/>
        <w:t>422.</w:t>
      </w:r>
      <w:r w:rsidRPr="00FF662C">
        <w:rPr>
          <w:lang w:val="en-CA" w:eastAsia="fr-CA"/>
        </w:rPr>
        <w:t xml:space="preserve"> </w:t>
      </w:r>
      <w:r w:rsidRPr="00FF662C">
        <w:rPr>
          <w:u w:val="single"/>
          <w:lang w:val="en-CA" w:eastAsia="fr-CA"/>
        </w:rPr>
        <w:t>Except as otherwise provided in this Part</w:t>
      </w:r>
      <w:r w:rsidRPr="00FF662C">
        <w:rPr>
          <w:lang w:val="en-CA" w:eastAsia="fr-CA"/>
        </w:rPr>
        <w:t xml:space="preserve">, </w:t>
      </w:r>
      <w:r w:rsidRPr="00FF662C">
        <w:rPr>
          <w:u w:val="single"/>
          <w:lang w:val="en-CA" w:eastAsia="fr-CA"/>
        </w:rPr>
        <w:t>the disposition</w:t>
      </w:r>
      <w:r w:rsidRPr="00FF662C">
        <w:rPr>
          <w:lang w:val="en-CA" w:eastAsia="fr-CA"/>
        </w:rPr>
        <w:t xml:space="preserve"> or acquisition </w:t>
      </w:r>
      <w:r w:rsidRPr="00FF662C">
        <w:rPr>
          <w:u w:val="single"/>
          <w:lang w:val="en-CA" w:eastAsia="fr-CA"/>
        </w:rPr>
        <w:t>of a property by a taxpayer is deemed to be made at the fair market value of the property at the time of the disposition</w:t>
      </w:r>
      <w:r w:rsidRPr="00FF662C">
        <w:rPr>
          <w:lang w:val="en-CA" w:eastAsia="fr-CA"/>
        </w:rPr>
        <w:t xml:space="preserve"> or acquisition, as the case may be, </w:t>
      </w:r>
      <w:r w:rsidRPr="00FF662C">
        <w:rPr>
          <w:u w:val="single"/>
          <w:lang w:val="en-CA" w:eastAsia="fr-CA"/>
        </w:rPr>
        <w:t>where</w:t>
      </w:r>
    </w:p>
    <w:p w:rsidR="00FF662C" w:rsidRPr="00FF662C" w:rsidRDefault="00FF662C" w:rsidP="00FF662C">
      <w:pPr>
        <w:pStyle w:val="Citation-AltC"/>
        <w:spacing w:after="240"/>
        <w:ind w:left="1440" w:hanging="270"/>
        <w:contextualSpacing w:val="0"/>
        <w:rPr>
          <w:lang w:val="en-CA" w:eastAsia="fr-CA"/>
        </w:rPr>
      </w:pPr>
      <w:r w:rsidRPr="00FF662C">
        <w:rPr>
          <w:lang w:val="en-CA" w:eastAsia="fr-CA"/>
        </w:rPr>
        <w:tab/>
        <w:t xml:space="preserve">(a) </w:t>
      </w:r>
      <w:proofErr w:type="gramStart"/>
      <w:r w:rsidRPr="00FF662C">
        <w:rPr>
          <w:lang w:val="en-CA" w:eastAsia="fr-CA"/>
        </w:rPr>
        <w:t>the</w:t>
      </w:r>
      <w:proofErr w:type="gramEnd"/>
      <w:r w:rsidRPr="00FF662C">
        <w:rPr>
          <w:lang w:val="en-CA" w:eastAsia="fr-CA"/>
        </w:rPr>
        <w:t xml:space="preserve"> taxpayer acquires it by gift, succession or will, or because of a disposition that does not result in a change in the beneficial ownership of the property;</w:t>
      </w:r>
    </w:p>
    <w:p w:rsidR="00FF662C" w:rsidRPr="00FF662C" w:rsidRDefault="00FF662C" w:rsidP="00FF662C">
      <w:pPr>
        <w:pStyle w:val="Citation-AltC"/>
        <w:spacing w:after="240"/>
        <w:ind w:left="1440" w:hanging="270"/>
        <w:contextualSpacing w:val="0"/>
        <w:rPr>
          <w:lang w:val="en-CA" w:eastAsia="fr-CA"/>
        </w:rPr>
      </w:pPr>
      <w:r w:rsidRPr="00FF662C">
        <w:rPr>
          <w:lang w:val="en-CA" w:eastAsia="fr-CA"/>
        </w:rPr>
        <w:tab/>
        <w:t xml:space="preserve">(b) </w:t>
      </w:r>
      <w:proofErr w:type="gramStart"/>
      <w:r w:rsidRPr="00FF662C">
        <w:rPr>
          <w:lang w:val="en-CA" w:eastAsia="fr-CA"/>
        </w:rPr>
        <w:t>the</w:t>
      </w:r>
      <w:proofErr w:type="gramEnd"/>
      <w:r w:rsidRPr="00FF662C">
        <w:rPr>
          <w:lang w:val="en-CA" w:eastAsia="fr-CA"/>
        </w:rPr>
        <w:t xml:space="preserve"> taxpayer acquires it from a person with whom he is not dealing at arm’s length, for an amount greater than such value; or</w:t>
      </w:r>
    </w:p>
    <w:p w:rsidR="00FF662C" w:rsidRPr="00FF662C" w:rsidRDefault="00FF662C" w:rsidP="00FF662C">
      <w:pPr>
        <w:pStyle w:val="Citation-AltC"/>
        <w:spacing w:after="240"/>
        <w:ind w:left="720" w:firstLine="450"/>
        <w:contextualSpacing w:val="0"/>
        <w:rPr>
          <w:lang w:val="en-CA" w:eastAsia="fr-CA"/>
        </w:rPr>
      </w:pPr>
      <w:r w:rsidRPr="00FF662C">
        <w:rPr>
          <w:lang w:val="en-CA" w:eastAsia="fr-CA"/>
        </w:rPr>
        <w:tab/>
        <w:t xml:space="preserve">(c) </w:t>
      </w:r>
      <w:proofErr w:type="gramStart"/>
      <w:r w:rsidRPr="00FF662C">
        <w:rPr>
          <w:u w:val="single"/>
          <w:lang w:val="en-CA" w:eastAsia="fr-CA"/>
        </w:rPr>
        <w:t>the</w:t>
      </w:r>
      <w:proofErr w:type="gramEnd"/>
      <w:r w:rsidRPr="00FF662C">
        <w:rPr>
          <w:u w:val="single"/>
          <w:lang w:val="en-CA" w:eastAsia="fr-CA"/>
        </w:rPr>
        <w:t xml:space="preserve"> taxpayer disposes of it</w:t>
      </w:r>
    </w:p>
    <w:p w:rsidR="00FF662C" w:rsidRPr="00FF662C" w:rsidRDefault="00FF662C" w:rsidP="00FF662C">
      <w:pPr>
        <w:pStyle w:val="Citation-AltC"/>
        <w:spacing w:after="240"/>
        <w:ind w:left="1440" w:hanging="270"/>
        <w:contextualSpacing w:val="0"/>
        <w:rPr>
          <w:lang w:val="en-CA" w:eastAsia="fr-CA"/>
        </w:rPr>
      </w:pPr>
      <w:r w:rsidRPr="00FF662C">
        <w:rPr>
          <w:lang w:val="en-CA" w:eastAsia="fr-CA"/>
        </w:rPr>
        <w:tab/>
        <w:t>i. to a person with whom the taxpayer is not dealing at arm’s length, gratuitously or for consideration that is less than that fair market value,</w:t>
      </w:r>
    </w:p>
    <w:p w:rsidR="00FF662C" w:rsidRPr="00FF662C" w:rsidRDefault="00FF662C" w:rsidP="00FF662C">
      <w:pPr>
        <w:pStyle w:val="Citation-AltC"/>
        <w:spacing w:after="240"/>
        <w:ind w:left="720" w:firstLine="450"/>
        <w:contextualSpacing w:val="0"/>
        <w:rPr>
          <w:u w:val="single"/>
          <w:lang w:val="en-CA" w:eastAsia="fr-CA"/>
        </w:rPr>
      </w:pPr>
      <w:r w:rsidRPr="00FF662C">
        <w:rPr>
          <w:lang w:val="en-CA" w:eastAsia="fr-CA"/>
        </w:rPr>
        <w:tab/>
        <w:t xml:space="preserve">ii. </w:t>
      </w:r>
      <w:proofErr w:type="gramStart"/>
      <w:r w:rsidRPr="00FF662C">
        <w:rPr>
          <w:u w:val="single"/>
          <w:lang w:val="en-CA" w:eastAsia="fr-CA"/>
        </w:rPr>
        <w:t>to</w:t>
      </w:r>
      <w:proofErr w:type="gramEnd"/>
      <w:r w:rsidRPr="00FF662C">
        <w:rPr>
          <w:u w:val="single"/>
          <w:lang w:val="en-CA" w:eastAsia="fr-CA"/>
        </w:rPr>
        <w:t xml:space="preserve"> any person by gift</w:t>
      </w:r>
      <w:r w:rsidRPr="00FF662C">
        <w:rPr>
          <w:lang w:val="en-CA" w:eastAsia="fr-CA"/>
        </w:rPr>
        <w:t xml:space="preserve"> or</w:t>
      </w:r>
    </w:p>
    <w:p w:rsidR="00FF662C" w:rsidRPr="00FF662C" w:rsidRDefault="00FF662C" w:rsidP="00FF662C">
      <w:pPr>
        <w:pStyle w:val="Citation-AltC"/>
        <w:spacing w:after="240"/>
        <w:ind w:left="1440" w:hanging="270"/>
        <w:contextualSpacing w:val="0"/>
        <w:rPr>
          <w:lang w:val="en-CA" w:eastAsia="fr-CA"/>
        </w:rPr>
      </w:pPr>
      <w:r w:rsidRPr="00FF662C">
        <w:rPr>
          <w:lang w:val="en-CA" w:eastAsia="fr-CA"/>
        </w:rPr>
        <w:tab/>
      </w:r>
      <w:proofErr w:type="gramStart"/>
      <w:r w:rsidRPr="00FF662C">
        <w:rPr>
          <w:lang w:val="en-CA" w:eastAsia="fr-CA"/>
        </w:rPr>
        <w:t>iii</w:t>
      </w:r>
      <w:proofErr w:type="gramEnd"/>
      <w:r w:rsidRPr="00FF662C">
        <w:rPr>
          <w:lang w:val="en-CA" w:eastAsia="fr-CA"/>
        </w:rPr>
        <w:t>. to a trust because of a disposition that does not result in a change in the beneficial ownership of the property.</w:t>
      </w:r>
    </w:p>
    <w:p w:rsidR="00FF662C" w:rsidRPr="00FF662C" w:rsidRDefault="00FF662C" w:rsidP="00FF662C">
      <w:pPr>
        <w:pStyle w:val="Citation-AltC"/>
        <w:spacing w:after="240"/>
        <w:ind w:left="4590" w:hanging="270"/>
        <w:contextualSpacing w:val="0"/>
        <w:rPr>
          <w:lang w:val="en-CA" w:eastAsia="fr-CA"/>
        </w:rPr>
      </w:pPr>
      <w:r w:rsidRPr="00FF662C">
        <w:rPr>
          <w:lang w:val="en-CA" w:eastAsia="fr-CA"/>
        </w:rPr>
        <w:tab/>
      </w:r>
      <w:r w:rsidRPr="00FF662C">
        <w:rPr>
          <w:lang w:val="en-CA"/>
        </w:rPr>
        <w:t>. . .</w:t>
      </w:r>
    </w:p>
    <w:p w:rsidR="00FF662C" w:rsidRPr="00FF662C" w:rsidRDefault="00FF662C" w:rsidP="00FF662C">
      <w:pPr>
        <w:pStyle w:val="Citation-AltC"/>
        <w:spacing w:after="240"/>
        <w:ind w:left="1170"/>
        <w:contextualSpacing w:val="0"/>
        <w:rPr>
          <w:lang w:val="en-CA"/>
        </w:rPr>
      </w:pPr>
      <w:r w:rsidRPr="00FF662C">
        <w:rPr>
          <w:lang w:val="en-CA"/>
        </w:rPr>
        <w:tab/>
        <w:t>Mr. Des Groseillers argues that section 422 does not apply in this case because sections 47.18 to 58.0.7 of the T.A. constitute a complete code that contains, within itself and in an exhaustive manner, all the rules for the computation of income derived from the issuance of securities to employees, as well as all the legal fictions that the legislature considered necessary to adopt in support of those rules. He adds that section 54 T.A. is a section that excludes the application of section 422 T.A., by providing otherwise.</w:t>
      </w:r>
    </w:p>
    <w:p w:rsidR="00FF662C" w:rsidRPr="00FF662C" w:rsidRDefault="00FF662C" w:rsidP="00FF662C">
      <w:pPr>
        <w:pStyle w:val="Citation-AltC"/>
        <w:spacing w:after="240"/>
        <w:ind w:left="1170"/>
        <w:contextualSpacing w:val="0"/>
        <w:rPr>
          <w:lang w:val="en-CA"/>
        </w:rPr>
      </w:pPr>
      <w:r w:rsidRPr="00FF662C">
        <w:rPr>
          <w:lang w:val="en-US"/>
        </w:rPr>
        <w:tab/>
        <w:t>How should the</w:t>
      </w:r>
      <w:r w:rsidRPr="00FF662C">
        <w:rPr>
          <w:lang w:val="en-CA"/>
        </w:rPr>
        <w:t xml:space="preserve"> matter be resolved?</w:t>
      </w:r>
    </w:p>
    <w:p w:rsidR="00FF662C" w:rsidRPr="00FF662C" w:rsidRDefault="00FF662C" w:rsidP="00FF662C">
      <w:pPr>
        <w:pStyle w:val="Citation-AltC"/>
        <w:spacing w:after="240"/>
        <w:ind w:left="4590" w:hanging="270"/>
        <w:contextualSpacing w:val="0"/>
        <w:rPr>
          <w:lang w:val="en-CA"/>
        </w:rPr>
      </w:pPr>
      <w:r w:rsidRPr="00FF662C">
        <w:rPr>
          <w:lang w:val="en-CA"/>
        </w:rPr>
        <w:tab/>
        <w:t>. . .</w:t>
      </w:r>
    </w:p>
    <w:p w:rsidR="00FF662C" w:rsidRPr="00FF662C" w:rsidRDefault="00FF662C" w:rsidP="00FF662C">
      <w:pPr>
        <w:pStyle w:val="Citation-AltC"/>
        <w:tabs>
          <w:tab w:val="left" w:pos="1170"/>
        </w:tabs>
        <w:spacing w:after="240"/>
        <w:ind w:left="1170"/>
        <w:contextualSpacing w:val="0"/>
        <w:rPr>
          <w:szCs w:val="24"/>
          <w:lang w:val="en-CA" w:eastAsia="fr-CA"/>
        </w:rPr>
      </w:pPr>
      <w:r w:rsidRPr="00FF662C">
        <w:rPr>
          <w:rStyle w:val="reflex2-link"/>
          <w:szCs w:val="22"/>
          <w:lang w:val="en-CA"/>
        </w:rPr>
        <w:tab/>
      </w:r>
      <w:r w:rsidRPr="00FF662C">
        <w:rPr>
          <w:lang w:val="en-CA"/>
        </w:rPr>
        <w:t>First, section 50 T.A. provides for two things. To begin with, it indicates the time at which a benefit received because of an agreement referred to in section 48 T.A. will be taxed.</w:t>
      </w:r>
      <w:r w:rsidRPr="00FF662C">
        <w:rPr>
          <w:szCs w:val="24"/>
          <w:lang w:val="en-CA" w:eastAsia="fr-CA"/>
        </w:rPr>
        <w:t xml:space="preserve"> In addition, by treating the transfer as employment income, section 50 creates an exception to the general rule that the disposition of property gives rise to a capital gain or loss. Subparagraph 422(c</w:t>
      </w:r>
      <w:proofErr w:type="gramStart"/>
      <w:r w:rsidRPr="00FF662C">
        <w:rPr>
          <w:szCs w:val="24"/>
          <w:lang w:val="en-CA" w:eastAsia="fr-CA"/>
        </w:rPr>
        <w:t>)(</w:t>
      </w:r>
      <w:proofErr w:type="gramEnd"/>
      <w:r w:rsidRPr="00FF662C">
        <w:rPr>
          <w:szCs w:val="24"/>
          <w:lang w:val="en-CA" w:eastAsia="fr-CA"/>
        </w:rPr>
        <w:t>ii) T.A., in attributing a value to the consideration, has no impact on these legal fictions. That being said, there is, in my view, no actual conflict between section 50 and section 422.</w:t>
      </w:r>
    </w:p>
    <w:p w:rsidR="00FF662C" w:rsidRPr="00FF662C" w:rsidRDefault="00FF662C" w:rsidP="00FF662C">
      <w:pPr>
        <w:pStyle w:val="Citation-AltC"/>
        <w:spacing w:after="240"/>
        <w:ind w:left="1170"/>
        <w:contextualSpacing w:val="0"/>
        <w:rPr>
          <w:szCs w:val="24"/>
          <w:lang w:val="en-CA" w:eastAsia="fr-CA"/>
        </w:rPr>
      </w:pPr>
      <w:r w:rsidRPr="00FF662C">
        <w:rPr>
          <w:rStyle w:val="reflex2-link"/>
          <w:szCs w:val="22"/>
          <w:lang w:val="en-CA"/>
        </w:rPr>
        <w:tab/>
      </w:r>
      <w:r w:rsidRPr="00FF662C">
        <w:rPr>
          <w:szCs w:val="24"/>
          <w:lang w:val="en-CA" w:eastAsia="fr-CA"/>
        </w:rPr>
        <w:t xml:space="preserve">Second, the very broad formulation of the rule set out in section 422 suggests that the legislature’s purpose was to attribute to any disposition of property by a person a value equal to the fair market value of the property for the purposes of computation of income. Moreover, the legislature did not explicitly exclude the Division of the statute relating to employee stock options from the application of section 422 when it enacted the </w:t>
      </w:r>
      <w:r w:rsidRPr="00FF662C">
        <w:rPr>
          <w:i/>
          <w:szCs w:val="24"/>
          <w:lang w:val="en-CA" w:eastAsia="fr-CA"/>
        </w:rPr>
        <w:t>Taxation Act</w:t>
      </w:r>
      <w:r w:rsidRPr="00FF662C">
        <w:rPr>
          <w:szCs w:val="24"/>
          <w:lang w:val="en-CA" w:eastAsia="fr-CA"/>
        </w:rPr>
        <w:t xml:space="preserve"> in 1972 or when subsequent amendments were made thereto. Its silence in this regard is telling, because there are several express references in the T.A. to the non</w:t>
      </w:r>
      <w:r w:rsidRPr="00FF662C">
        <w:rPr>
          <w:szCs w:val="24"/>
          <w:lang w:val="en-CA" w:eastAsia="fr-CA"/>
        </w:rPr>
        <w:noBreakHyphen/>
        <w:t>applicability of section 422.</w:t>
      </w:r>
    </w:p>
    <w:p w:rsidR="00FF662C" w:rsidRPr="00FF662C" w:rsidRDefault="00FF662C" w:rsidP="00FF662C">
      <w:pPr>
        <w:pStyle w:val="Citation-AltC"/>
        <w:spacing w:after="240"/>
        <w:ind w:left="1170"/>
        <w:contextualSpacing w:val="0"/>
        <w:rPr>
          <w:szCs w:val="24"/>
          <w:lang w:val="en-CA" w:eastAsia="fr-CA"/>
        </w:rPr>
      </w:pPr>
      <w:r w:rsidRPr="00FF662C">
        <w:rPr>
          <w:rStyle w:val="reflex2-link"/>
          <w:szCs w:val="22"/>
          <w:lang w:val="en-CA"/>
        </w:rPr>
        <w:tab/>
      </w:r>
      <w:r w:rsidRPr="00FF662C">
        <w:rPr>
          <w:szCs w:val="24"/>
          <w:lang w:val="en-CA" w:eastAsia="fr-CA"/>
        </w:rPr>
        <w:t xml:space="preserve">The only effect of section 54 T.A. is to give precedence to the application of sections 49 et seq. over any other </w:t>
      </w:r>
      <w:r w:rsidRPr="00FF662C">
        <w:rPr>
          <w:rFonts w:eastAsiaTheme="minorHAnsi"/>
          <w:szCs w:val="24"/>
          <w:lang w:val="en-CA" w:eastAsia="fr-CA"/>
        </w:rPr>
        <w:t>section</w:t>
      </w:r>
      <w:r w:rsidRPr="00FF662C">
        <w:rPr>
          <w:szCs w:val="24"/>
          <w:lang w:val="en-CA" w:eastAsia="fr-CA"/>
        </w:rPr>
        <w:t xml:space="preserve"> that lays down </w:t>
      </w:r>
      <w:r w:rsidRPr="00FF662C">
        <w:rPr>
          <w:szCs w:val="24"/>
          <w:u w:val="single"/>
          <w:lang w:val="en-CA" w:eastAsia="fr-CA"/>
        </w:rPr>
        <w:t>a taxing rule</w:t>
      </w:r>
      <w:r w:rsidRPr="00FF662C">
        <w:rPr>
          <w:szCs w:val="24"/>
          <w:lang w:val="en-CA" w:eastAsia="fr-CA"/>
        </w:rPr>
        <w:t>. Section 54 does not prevent the ARQ from relying on the presumptions set out in the T.A. in computing a taxpayer’s taxable income.</w:t>
      </w:r>
    </w:p>
    <w:p w:rsidR="00FF662C" w:rsidRPr="00FF662C" w:rsidRDefault="00FF662C" w:rsidP="00FF662C">
      <w:pPr>
        <w:pStyle w:val="Citation-AltC"/>
        <w:spacing w:after="240"/>
        <w:ind w:left="4590" w:hanging="270"/>
        <w:contextualSpacing w:val="0"/>
        <w:rPr>
          <w:szCs w:val="24"/>
          <w:lang w:val="en-CA" w:eastAsia="fr-CA"/>
        </w:rPr>
      </w:pPr>
      <w:r w:rsidRPr="00FF662C">
        <w:rPr>
          <w:szCs w:val="24"/>
          <w:lang w:val="en-CA" w:eastAsia="fr-CA"/>
        </w:rPr>
        <w:tab/>
      </w:r>
      <w:r w:rsidRPr="00FF662C">
        <w:rPr>
          <w:lang w:val="en-CA" w:eastAsia="fr-CA"/>
        </w:rPr>
        <w:t>. . .</w:t>
      </w:r>
    </w:p>
    <w:p w:rsidR="00FF662C" w:rsidRPr="00FF662C" w:rsidRDefault="00FF662C" w:rsidP="00FF662C">
      <w:pPr>
        <w:pStyle w:val="Citation-AltC"/>
        <w:spacing w:after="240"/>
        <w:ind w:left="1170"/>
        <w:contextualSpacing w:val="0"/>
        <w:rPr>
          <w:lang w:val="en-CA" w:eastAsia="fr-CA"/>
        </w:rPr>
      </w:pPr>
      <w:r w:rsidRPr="00FF662C">
        <w:rPr>
          <w:rStyle w:val="reflex2-link"/>
          <w:szCs w:val="22"/>
          <w:lang w:val="en-CA"/>
        </w:rPr>
        <w:tab/>
      </w:r>
      <w:r w:rsidRPr="00FF662C">
        <w:rPr>
          <w:lang w:val="en-CA" w:eastAsia="fr-CA"/>
        </w:rPr>
        <w:t>In this case, the interpretation adopted by the trial judge posits that Division VI of the T.A. is a complete code and that “section 422 T.A. may not be relied upon to supplement the rules for the computation of income provided for in Division VI”.</w:t>
      </w:r>
    </w:p>
    <w:p w:rsidR="00FF662C" w:rsidRPr="00FF662C" w:rsidRDefault="00FF662C" w:rsidP="00FF662C">
      <w:pPr>
        <w:pStyle w:val="Citation-AltC"/>
        <w:spacing w:after="240"/>
        <w:ind w:left="1170"/>
        <w:contextualSpacing w:val="0"/>
        <w:rPr>
          <w:lang w:val="en-CA" w:eastAsia="fr-CA"/>
        </w:rPr>
      </w:pPr>
      <w:r w:rsidRPr="00FF662C">
        <w:rPr>
          <w:rStyle w:val="reflex2-link"/>
          <w:szCs w:val="22"/>
          <w:lang w:val="en-CA"/>
        </w:rPr>
        <w:tab/>
      </w:r>
      <w:r w:rsidRPr="00FF662C">
        <w:rPr>
          <w:lang w:val="en-CA" w:eastAsia="fr-CA"/>
        </w:rPr>
        <w:t>However, while section 54 ensures that sections 49 et seq. of the T.A. apply to benefits arising from the granting of stock options and excludes those benefits from the ambit of sections 36 and 37, it does not, in the absence of clear legislative indicia to this effect, constitute a code so complete and so hermetic that the application of section 422 is excluded.</w:t>
      </w:r>
    </w:p>
    <w:p w:rsidR="00FF662C" w:rsidRPr="00FF662C" w:rsidRDefault="00FF662C" w:rsidP="00FF662C">
      <w:pPr>
        <w:pStyle w:val="Citation-AltC"/>
        <w:spacing w:after="240"/>
        <w:ind w:left="1170"/>
        <w:contextualSpacing w:val="0"/>
        <w:rPr>
          <w:lang w:val="en-CA" w:eastAsia="fr-CA"/>
        </w:rPr>
      </w:pPr>
      <w:r w:rsidRPr="00FF662C">
        <w:rPr>
          <w:rStyle w:val="reflex2-link"/>
          <w:szCs w:val="22"/>
          <w:lang w:val="en-CA"/>
        </w:rPr>
        <w:tab/>
      </w:r>
      <w:r w:rsidRPr="00FF662C">
        <w:rPr>
          <w:lang w:val="en-CA" w:eastAsia="fr-CA"/>
        </w:rPr>
        <w:t xml:space="preserve">I note that section 422 is in Title VII of the T.A., which concerns the </w:t>
      </w:r>
      <w:r w:rsidRPr="00FF662C">
        <w:rPr>
          <w:lang w:val="en-CA"/>
        </w:rPr>
        <w:t>omnibus rules relating to the computation of income. It provides more specifically that where a taxpayer disposes of property to any person by gift, as in this case, the disposition is deemed to be made at the fair market value of the property at the time of the disposition. [</w:t>
      </w:r>
      <w:r w:rsidRPr="00FF662C">
        <w:rPr>
          <w:lang w:val="en-US"/>
        </w:rPr>
        <w:t>Emphasis in original; footnotes omitted.]</w:t>
      </w:r>
    </w:p>
    <w:p w:rsidR="00FF662C" w:rsidRPr="00FF662C" w:rsidRDefault="00FF662C" w:rsidP="00FF662C">
      <w:pPr>
        <w:pStyle w:val="Citation-AltC"/>
        <w:tabs>
          <w:tab w:val="left" w:pos="1170"/>
        </w:tabs>
        <w:ind w:left="1181" w:hanging="274"/>
        <w:contextualSpacing w:val="0"/>
        <w:rPr>
          <w:lang w:val="en-CA"/>
        </w:rPr>
      </w:pPr>
      <w:r w:rsidRPr="00FF662C">
        <w:rPr>
          <w:lang w:val="en-US"/>
        </w:rPr>
        <w:tab/>
        <w:t>(2021 QCCA 906, at paras. 52, 57</w:t>
      </w:r>
      <w:r w:rsidRPr="00FF662C">
        <w:rPr>
          <w:lang w:val="en-US"/>
        </w:rPr>
        <w:noBreakHyphen/>
        <w:t>58, 62</w:t>
      </w:r>
      <w:r w:rsidRPr="00FF662C">
        <w:rPr>
          <w:lang w:val="en-US"/>
        </w:rPr>
        <w:noBreakHyphen/>
        <w:t>64 and 69</w:t>
      </w:r>
      <w:r w:rsidRPr="00FF662C">
        <w:rPr>
          <w:lang w:val="en-US"/>
        </w:rPr>
        <w:noBreakHyphen/>
        <w:t>71 (CanLII))</w:t>
      </w:r>
    </w:p>
    <w:p w:rsidR="00FF662C" w:rsidRPr="00FF662C" w:rsidRDefault="00FF662C" w:rsidP="00FF662C">
      <w:pPr>
        <w:pStyle w:val="ParaNoNdepar-AltN"/>
        <w:spacing w:before="0"/>
        <w:rPr>
          <w:rFonts w:cs="Times New Roman"/>
          <w:lang w:val="en-CA"/>
        </w:rPr>
      </w:pPr>
      <w:r w:rsidRPr="00FF662C">
        <w:rPr>
          <w:rFonts w:cs="Times New Roman"/>
          <w:lang w:val="en-CA" w:eastAsia="fr-CA"/>
        </w:rPr>
        <w:t>We agree with Cournoyer J.A.’s view; this is sufficient to dismiss the appeal. The other grounds advanced by the appellants are without merit.</w:t>
      </w:r>
    </w:p>
    <w:p w:rsidR="00FF662C" w:rsidRPr="00FF662C" w:rsidRDefault="00FF662C" w:rsidP="00FF662C">
      <w:pPr>
        <w:pStyle w:val="ParaNoNdepar-AltN"/>
        <w:spacing w:before="0"/>
        <w:rPr>
          <w:rStyle w:val="reflex2-link"/>
          <w:rFonts w:cs="Times New Roman"/>
          <w:lang w:val="en-CA"/>
        </w:rPr>
      </w:pPr>
      <w:r w:rsidRPr="00FF662C">
        <w:rPr>
          <w:rFonts w:cs="Times New Roman"/>
          <w:lang w:val="en-CA"/>
        </w:rPr>
        <w:t>Like the Court of Appeal, we conclude that the respondent properly assessed Mr. Des Groseillers, pursuant to s. 50 T.A., for the benefit received. In this case, and on the basis of s. 422(</w:t>
      </w:r>
      <w:r w:rsidRPr="00FF662C">
        <w:rPr>
          <w:rFonts w:cs="Times New Roman"/>
          <w:i/>
          <w:lang w:val="en-CA"/>
        </w:rPr>
        <w:t>c</w:t>
      </w:r>
      <w:proofErr w:type="gramStart"/>
      <w:r w:rsidRPr="00FF662C">
        <w:rPr>
          <w:rFonts w:cs="Times New Roman"/>
          <w:lang w:val="en-CA"/>
        </w:rPr>
        <w:t>)ii</w:t>
      </w:r>
      <w:proofErr w:type="gramEnd"/>
      <w:r w:rsidRPr="00FF662C">
        <w:rPr>
          <w:rFonts w:cs="Times New Roman"/>
          <w:lang w:val="en-CA"/>
        </w:rPr>
        <w:t xml:space="preserve"> T.A., the value of the consideration received is deemed to be equal to the fair market value of the stock options at the time of the gift.</w:t>
      </w:r>
    </w:p>
    <w:p w:rsidR="00FF662C" w:rsidRPr="00FF662C" w:rsidRDefault="00FF662C" w:rsidP="00FF662C">
      <w:pPr>
        <w:pStyle w:val="ParaNoNdepar-AltN"/>
        <w:spacing w:before="0"/>
        <w:rPr>
          <w:rFonts w:cs="Times New Roman"/>
          <w:lang w:val="en-CA"/>
        </w:rPr>
      </w:pPr>
      <w:r w:rsidRPr="00FF662C">
        <w:rPr>
          <w:rFonts w:cs="Times New Roman"/>
          <w:lang w:val="en-CA"/>
        </w:rPr>
        <w:t>The appeal is therefore dismissed with costs throughout.</w:t>
      </w:r>
    </w:p>
    <w:p w:rsidR="009B57B3" w:rsidRPr="00FF662C" w:rsidRDefault="00143E8B" w:rsidP="00D0419C">
      <w:pPr>
        <w:pStyle w:val="SCCNormalDoubleSpacing"/>
        <w:spacing w:after="480"/>
      </w:pPr>
      <w:bookmarkStart w:id="1" w:name="_GoBack"/>
      <w:bookmarkEnd w:id="1"/>
      <w:r w:rsidRPr="00FF662C">
        <w:tab/>
      </w:r>
      <w:r w:rsidR="00656313" w:rsidRPr="00FF662C">
        <w:rPr>
          <w:i/>
        </w:rPr>
        <w:t>Appeal</w:t>
      </w:r>
      <w:r w:rsidR="00496D03" w:rsidRPr="00FF662C">
        <w:rPr>
          <w:i/>
        </w:rPr>
        <w:t xml:space="preserve"> dismissed</w:t>
      </w:r>
      <w:r w:rsidR="00C86B04" w:rsidRPr="00FF662C">
        <w:rPr>
          <w:i/>
        </w:rPr>
        <w:t xml:space="preserve"> with costs</w:t>
      </w:r>
      <w:r w:rsidR="007A2EB6" w:rsidRPr="00FF662C">
        <w:rPr>
          <w:i/>
        </w:rPr>
        <w:t xml:space="preserve"> throughout</w:t>
      </w:r>
      <w:r w:rsidR="00496D03" w:rsidRPr="00FF662C">
        <w:rPr>
          <w:i/>
        </w:rPr>
        <w:t>.</w:t>
      </w:r>
    </w:p>
    <w:p w:rsidR="0083752A" w:rsidRPr="00FF662C" w:rsidRDefault="006F4BAE" w:rsidP="00D0419C">
      <w:pPr>
        <w:pStyle w:val="SCCLawFirm"/>
        <w:spacing w:after="480"/>
      </w:pPr>
      <w:r w:rsidRPr="00FF662C">
        <w:tab/>
        <w:t>Solicitor</w:t>
      </w:r>
      <w:r w:rsidR="005F11E8" w:rsidRPr="00FF662C">
        <w:t>s for the appellant</w:t>
      </w:r>
      <w:r w:rsidRPr="00FF662C">
        <w:t>s</w:t>
      </w:r>
      <w:r w:rsidR="005F11E8" w:rsidRPr="00FF662C">
        <w:t xml:space="preserve">: </w:t>
      </w:r>
      <w:r w:rsidRPr="00FF662C">
        <w:t>Norton Rose Fulbright Canada</w:t>
      </w:r>
      <w:r w:rsidR="005F11E8" w:rsidRPr="00FF662C">
        <w:t>, Montréal.</w:t>
      </w:r>
    </w:p>
    <w:p w:rsidR="00E24573" w:rsidRDefault="005F11E8" w:rsidP="00D0419C">
      <w:pPr>
        <w:pStyle w:val="SCCLawFirm"/>
        <w:spacing w:after="480"/>
        <w:rPr>
          <w:lang w:val="fr-CA"/>
        </w:rPr>
      </w:pPr>
      <w:r w:rsidRPr="00FF662C">
        <w:tab/>
      </w:r>
      <w:r w:rsidRPr="00FF662C">
        <w:rPr>
          <w:lang w:val="fr-CA"/>
        </w:rPr>
        <w:t>Sol</w:t>
      </w:r>
      <w:r w:rsidR="006F4BAE" w:rsidRPr="00FF662C">
        <w:rPr>
          <w:lang w:val="fr-CA"/>
        </w:rPr>
        <w:t>icitors</w:t>
      </w:r>
      <w:r w:rsidRPr="00FF662C">
        <w:rPr>
          <w:lang w:val="fr-CA"/>
        </w:rPr>
        <w:t xml:space="preserve"> for the respondent: Larivière Meunier</w:t>
      </w:r>
      <w:r w:rsidR="007A2EB6" w:rsidRPr="00FF662C">
        <w:rPr>
          <w:lang w:val="fr-CA"/>
        </w:rPr>
        <w:t xml:space="preserve"> (Revenu Québec)</w:t>
      </w:r>
      <w:r w:rsidRPr="00FF662C">
        <w:rPr>
          <w:lang w:val="fr-CA"/>
        </w:rPr>
        <w:t>, Montréal.</w:t>
      </w:r>
    </w:p>
    <w:sectPr w:rsidR="00E24573"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4D9" w:rsidRDefault="005104D9">
      <w:r>
        <w:separator/>
      </w:r>
    </w:p>
  </w:endnote>
  <w:endnote w:type="continuationSeparator" w:id="0">
    <w:p w:rsidR="005104D9" w:rsidRDefault="0051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CAC" w:rsidRDefault="008C6C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CAC" w:rsidRDefault="008C6C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CAC" w:rsidRDefault="008C6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4D9" w:rsidRDefault="005104D9">
      <w:r>
        <w:separator/>
      </w:r>
    </w:p>
  </w:footnote>
  <w:footnote w:type="continuationSeparator" w:id="0">
    <w:p w:rsidR="005104D9" w:rsidRDefault="00510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CAC" w:rsidRDefault="008C6C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C46391" w:rsidRDefault="00450352" w:rsidP="00C463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CAC" w:rsidRDefault="008C6C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83EE8"/>
    <w:multiLevelType w:val="multilevel"/>
    <w:tmpl w:val="5B869662"/>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59B4"/>
    <w:rsid w:val="00025198"/>
    <w:rsid w:val="000578A3"/>
    <w:rsid w:val="000648CC"/>
    <w:rsid w:val="000A2112"/>
    <w:rsid w:val="000C59B8"/>
    <w:rsid w:val="000C6AF0"/>
    <w:rsid w:val="000D0AB9"/>
    <w:rsid w:val="000D0D03"/>
    <w:rsid w:val="000F4611"/>
    <w:rsid w:val="00104F33"/>
    <w:rsid w:val="00111DE2"/>
    <w:rsid w:val="00116B38"/>
    <w:rsid w:val="00135406"/>
    <w:rsid w:val="00135972"/>
    <w:rsid w:val="00141951"/>
    <w:rsid w:val="001426A9"/>
    <w:rsid w:val="00143E8B"/>
    <w:rsid w:val="00154D7C"/>
    <w:rsid w:val="001570B0"/>
    <w:rsid w:val="0015752C"/>
    <w:rsid w:val="00157737"/>
    <w:rsid w:val="00165277"/>
    <w:rsid w:val="00170592"/>
    <w:rsid w:val="00186351"/>
    <w:rsid w:val="00195D83"/>
    <w:rsid w:val="001A00C1"/>
    <w:rsid w:val="001A089E"/>
    <w:rsid w:val="001B33E0"/>
    <w:rsid w:val="001B4573"/>
    <w:rsid w:val="001C779F"/>
    <w:rsid w:val="001D2AC1"/>
    <w:rsid w:val="001D4E88"/>
    <w:rsid w:val="00220FC2"/>
    <w:rsid w:val="002222F4"/>
    <w:rsid w:val="00224FC0"/>
    <w:rsid w:val="00225EA4"/>
    <w:rsid w:val="00226EAF"/>
    <w:rsid w:val="00231F3A"/>
    <w:rsid w:val="00234199"/>
    <w:rsid w:val="002406EE"/>
    <w:rsid w:val="00243EC8"/>
    <w:rsid w:val="00270D93"/>
    <w:rsid w:val="002745CC"/>
    <w:rsid w:val="0027624B"/>
    <w:rsid w:val="002B7924"/>
    <w:rsid w:val="002D28C3"/>
    <w:rsid w:val="002D39A4"/>
    <w:rsid w:val="002E6705"/>
    <w:rsid w:val="00301D08"/>
    <w:rsid w:val="0030329A"/>
    <w:rsid w:val="0031086F"/>
    <w:rsid w:val="0031414C"/>
    <w:rsid w:val="00314E01"/>
    <w:rsid w:val="0032089D"/>
    <w:rsid w:val="003310DE"/>
    <w:rsid w:val="003323B0"/>
    <w:rsid w:val="0035169A"/>
    <w:rsid w:val="0035259D"/>
    <w:rsid w:val="00364B18"/>
    <w:rsid w:val="003965F2"/>
    <w:rsid w:val="003A125D"/>
    <w:rsid w:val="003A4C70"/>
    <w:rsid w:val="003B215F"/>
    <w:rsid w:val="003C0825"/>
    <w:rsid w:val="003C799C"/>
    <w:rsid w:val="003D0399"/>
    <w:rsid w:val="003E1C71"/>
    <w:rsid w:val="003F327B"/>
    <w:rsid w:val="003F79F0"/>
    <w:rsid w:val="00406166"/>
    <w:rsid w:val="0040704B"/>
    <w:rsid w:val="00410A55"/>
    <w:rsid w:val="00411300"/>
    <w:rsid w:val="00415417"/>
    <w:rsid w:val="00426659"/>
    <w:rsid w:val="00450352"/>
    <w:rsid w:val="00454BDB"/>
    <w:rsid w:val="00464800"/>
    <w:rsid w:val="00465132"/>
    <w:rsid w:val="00480C90"/>
    <w:rsid w:val="0048396F"/>
    <w:rsid w:val="00490505"/>
    <w:rsid w:val="00493C18"/>
    <w:rsid w:val="00496D03"/>
    <w:rsid w:val="004A600C"/>
    <w:rsid w:val="004A6118"/>
    <w:rsid w:val="004C15E2"/>
    <w:rsid w:val="004C478D"/>
    <w:rsid w:val="004E2C26"/>
    <w:rsid w:val="004F36FF"/>
    <w:rsid w:val="005104D9"/>
    <w:rsid w:val="005125A8"/>
    <w:rsid w:val="00521AE8"/>
    <w:rsid w:val="00527180"/>
    <w:rsid w:val="0054201E"/>
    <w:rsid w:val="00555291"/>
    <w:rsid w:val="00566AD1"/>
    <w:rsid w:val="00583EDE"/>
    <w:rsid w:val="005A6079"/>
    <w:rsid w:val="005A7255"/>
    <w:rsid w:val="005B3CDF"/>
    <w:rsid w:val="005E1403"/>
    <w:rsid w:val="005E4698"/>
    <w:rsid w:val="005F11E8"/>
    <w:rsid w:val="00610539"/>
    <w:rsid w:val="00613969"/>
    <w:rsid w:val="00625C35"/>
    <w:rsid w:val="00656313"/>
    <w:rsid w:val="006565F4"/>
    <w:rsid w:val="00684EEA"/>
    <w:rsid w:val="0069689B"/>
    <w:rsid w:val="006A1551"/>
    <w:rsid w:val="006A2849"/>
    <w:rsid w:val="006B5FF5"/>
    <w:rsid w:val="006F30AF"/>
    <w:rsid w:val="006F4BAE"/>
    <w:rsid w:val="00701759"/>
    <w:rsid w:val="00705C15"/>
    <w:rsid w:val="0071600E"/>
    <w:rsid w:val="007208D1"/>
    <w:rsid w:val="00747288"/>
    <w:rsid w:val="00747DD3"/>
    <w:rsid w:val="007549C8"/>
    <w:rsid w:val="00754A0B"/>
    <w:rsid w:val="00766D14"/>
    <w:rsid w:val="00767A0F"/>
    <w:rsid w:val="007A05F6"/>
    <w:rsid w:val="007A2EB6"/>
    <w:rsid w:val="007B6F4A"/>
    <w:rsid w:val="007E1C47"/>
    <w:rsid w:val="007E337A"/>
    <w:rsid w:val="007E5C70"/>
    <w:rsid w:val="007F2FF5"/>
    <w:rsid w:val="007F3F08"/>
    <w:rsid w:val="00804CC6"/>
    <w:rsid w:val="00807413"/>
    <w:rsid w:val="00817190"/>
    <w:rsid w:val="00820EE5"/>
    <w:rsid w:val="00823F31"/>
    <w:rsid w:val="008260E2"/>
    <w:rsid w:val="008322BD"/>
    <w:rsid w:val="00833E0A"/>
    <w:rsid w:val="00834F73"/>
    <w:rsid w:val="0083752A"/>
    <w:rsid w:val="00864CF8"/>
    <w:rsid w:val="00872819"/>
    <w:rsid w:val="00874914"/>
    <w:rsid w:val="00891422"/>
    <w:rsid w:val="00892E1A"/>
    <w:rsid w:val="008A3F29"/>
    <w:rsid w:val="008B660A"/>
    <w:rsid w:val="008C01DA"/>
    <w:rsid w:val="008C6CAC"/>
    <w:rsid w:val="008F78E9"/>
    <w:rsid w:val="00911989"/>
    <w:rsid w:val="009179F9"/>
    <w:rsid w:val="00933E5E"/>
    <w:rsid w:val="00935218"/>
    <w:rsid w:val="009403F3"/>
    <w:rsid w:val="009555B7"/>
    <w:rsid w:val="009567AA"/>
    <w:rsid w:val="00967374"/>
    <w:rsid w:val="009A343A"/>
    <w:rsid w:val="009B2F23"/>
    <w:rsid w:val="009B57B3"/>
    <w:rsid w:val="009C5B92"/>
    <w:rsid w:val="009D2920"/>
    <w:rsid w:val="009D5AEB"/>
    <w:rsid w:val="009F0E33"/>
    <w:rsid w:val="00A030CE"/>
    <w:rsid w:val="00A149DF"/>
    <w:rsid w:val="00A1755C"/>
    <w:rsid w:val="00A21B90"/>
    <w:rsid w:val="00A24454"/>
    <w:rsid w:val="00A41805"/>
    <w:rsid w:val="00A42DCD"/>
    <w:rsid w:val="00A52AFB"/>
    <w:rsid w:val="00A548CB"/>
    <w:rsid w:val="00A5521C"/>
    <w:rsid w:val="00A643E7"/>
    <w:rsid w:val="00A73C38"/>
    <w:rsid w:val="00AB670D"/>
    <w:rsid w:val="00AE4535"/>
    <w:rsid w:val="00AF03C5"/>
    <w:rsid w:val="00B000D8"/>
    <w:rsid w:val="00B00F75"/>
    <w:rsid w:val="00B145B6"/>
    <w:rsid w:val="00B279EB"/>
    <w:rsid w:val="00B50C81"/>
    <w:rsid w:val="00B557F8"/>
    <w:rsid w:val="00B815FC"/>
    <w:rsid w:val="00B93FBC"/>
    <w:rsid w:val="00BA7DA0"/>
    <w:rsid w:val="00BB2EE4"/>
    <w:rsid w:val="00BC2108"/>
    <w:rsid w:val="00BD0E9E"/>
    <w:rsid w:val="00BD1BEC"/>
    <w:rsid w:val="00BD32FF"/>
    <w:rsid w:val="00C01E8F"/>
    <w:rsid w:val="00C02092"/>
    <w:rsid w:val="00C24D91"/>
    <w:rsid w:val="00C46391"/>
    <w:rsid w:val="00C53F14"/>
    <w:rsid w:val="00C600CF"/>
    <w:rsid w:val="00C6084F"/>
    <w:rsid w:val="00C62A66"/>
    <w:rsid w:val="00C71458"/>
    <w:rsid w:val="00C77613"/>
    <w:rsid w:val="00C828E7"/>
    <w:rsid w:val="00C83F9C"/>
    <w:rsid w:val="00C86719"/>
    <w:rsid w:val="00C86B04"/>
    <w:rsid w:val="00C921DD"/>
    <w:rsid w:val="00CA6391"/>
    <w:rsid w:val="00CC34BD"/>
    <w:rsid w:val="00CD4E9D"/>
    <w:rsid w:val="00CE161A"/>
    <w:rsid w:val="00CE3171"/>
    <w:rsid w:val="00CF1601"/>
    <w:rsid w:val="00CF6111"/>
    <w:rsid w:val="00D0172F"/>
    <w:rsid w:val="00D0419C"/>
    <w:rsid w:val="00D068A7"/>
    <w:rsid w:val="00D17476"/>
    <w:rsid w:val="00D32086"/>
    <w:rsid w:val="00D37A3F"/>
    <w:rsid w:val="00D4431D"/>
    <w:rsid w:val="00D4667A"/>
    <w:rsid w:val="00D63A1C"/>
    <w:rsid w:val="00D7516F"/>
    <w:rsid w:val="00D8579F"/>
    <w:rsid w:val="00D95F8E"/>
    <w:rsid w:val="00DA0590"/>
    <w:rsid w:val="00DB7BEA"/>
    <w:rsid w:val="00DC1739"/>
    <w:rsid w:val="00DC1788"/>
    <w:rsid w:val="00DE319C"/>
    <w:rsid w:val="00DF0CA8"/>
    <w:rsid w:val="00DF2B48"/>
    <w:rsid w:val="00DF49A7"/>
    <w:rsid w:val="00E07EE2"/>
    <w:rsid w:val="00E07FD1"/>
    <w:rsid w:val="00E176D8"/>
    <w:rsid w:val="00E24573"/>
    <w:rsid w:val="00E25E1E"/>
    <w:rsid w:val="00E27EE7"/>
    <w:rsid w:val="00E35404"/>
    <w:rsid w:val="00E45109"/>
    <w:rsid w:val="00E47B7A"/>
    <w:rsid w:val="00E56A44"/>
    <w:rsid w:val="00E60269"/>
    <w:rsid w:val="00E77932"/>
    <w:rsid w:val="00E97830"/>
    <w:rsid w:val="00EB0263"/>
    <w:rsid w:val="00EC44F0"/>
    <w:rsid w:val="00EE643C"/>
    <w:rsid w:val="00EF0683"/>
    <w:rsid w:val="00EF69D2"/>
    <w:rsid w:val="00EF766E"/>
    <w:rsid w:val="00F0070C"/>
    <w:rsid w:val="00F00EB7"/>
    <w:rsid w:val="00F36AB6"/>
    <w:rsid w:val="00F37A09"/>
    <w:rsid w:val="00F409CE"/>
    <w:rsid w:val="00F4379D"/>
    <w:rsid w:val="00F50D2D"/>
    <w:rsid w:val="00F56C8B"/>
    <w:rsid w:val="00F6143A"/>
    <w:rsid w:val="00F66810"/>
    <w:rsid w:val="00F76327"/>
    <w:rsid w:val="00F846D9"/>
    <w:rsid w:val="00F84DF4"/>
    <w:rsid w:val="00F85C97"/>
    <w:rsid w:val="00FB37D2"/>
    <w:rsid w:val="00FC4EFB"/>
    <w:rsid w:val="00FD068D"/>
    <w:rsid w:val="00FD4F28"/>
    <w:rsid w:val="00FE6784"/>
    <w:rsid w:val="00FF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24454"/>
    <w:rPr>
      <w:color w:val="660000"/>
      <w:u w:val="none"/>
    </w:rPr>
  </w:style>
  <w:style w:type="character" w:styleId="FollowedHyperlink">
    <w:name w:val="FollowedHyperlink"/>
    <w:basedOn w:val="DefaultParagraphFont"/>
    <w:uiPriority w:val="99"/>
    <w:semiHidden/>
    <w:unhideWhenUsed/>
    <w:rsid w:val="00A24454"/>
    <w:rPr>
      <w:color w:val="800080" w:themeColor="followedHyperlink"/>
      <w:u w:val="single"/>
    </w:rPr>
  </w:style>
  <w:style w:type="paragraph" w:customStyle="1" w:styleId="Citation-AltC">
    <w:name w:val="Citation - Alt C"/>
    <w:uiPriority w:val="2"/>
    <w:qFormat/>
    <w:rsid w:val="00FF662C"/>
    <w:pPr>
      <w:spacing w:after="720"/>
      <w:ind w:left="1166"/>
      <w:contextualSpacing/>
      <w:jc w:val="both"/>
    </w:pPr>
    <w:rPr>
      <w:sz w:val="24"/>
      <w:lang w:val="fr-CA"/>
    </w:rPr>
  </w:style>
  <w:style w:type="paragraph" w:customStyle="1" w:styleId="JudgeJuge">
    <w:name w:val="Judge / Juge"/>
    <w:uiPriority w:val="3"/>
    <w:rsid w:val="00FF662C"/>
    <w:pPr>
      <w:tabs>
        <w:tab w:val="left" w:pos="1166"/>
      </w:tabs>
      <w:spacing w:after="480" w:line="480" w:lineRule="auto"/>
    </w:pPr>
    <w:rPr>
      <w:smallCaps/>
      <w:sz w:val="24"/>
      <w:lang w:val="fr-CA"/>
    </w:rPr>
  </w:style>
  <w:style w:type="paragraph" w:customStyle="1" w:styleId="ParaNoNdepar-AltN">
    <w:name w:val="Para. No. / Nº de par. - Alt N"/>
    <w:qFormat/>
    <w:rsid w:val="00FF662C"/>
    <w:pPr>
      <w:numPr>
        <w:numId w:val="1"/>
      </w:numPr>
      <w:tabs>
        <w:tab w:val="clear" w:pos="1152"/>
        <w:tab w:val="left" w:pos="1166"/>
      </w:tabs>
      <w:spacing w:before="480" w:after="480" w:line="480" w:lineRule="auto"/>
      <w:jc w:val="both"/>
    </w:pPr>
    <w:rPr>
      <w:rFonts w:eastAsiaTheme="minorEastAsia" w:cstheme="minorBidi"/>
      <w:sz w:val="24"/>
      <w:szCs w:val="22"/>
      <w:lang w:val="fr-CA" w:eastAsia="en-US"/>
    </w:rPr>
  </w:style>
  <w:style w:type="character" w:customStyle="1" w:styleId="reflex2-link">
    <w:name w:val="reflex2-link"/>
    <w:basedOn w:val="DefaultParagraphFont"/>
    <w:rsid w:val="00FF662C"/>
  </w:style>
  <w:style w:type="table" w:styleId="TableGrid">
    <w:name w:val="Table Grid"/>
    <w:basedOn w:val="TableNormal"/>
    <w:uiPriority w:val="59"/>
    <w:rsid w:val="00FF662C"/>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itoyens.soquij.qc.ca/php/decision.php?ID=8F95AFEF3F8EC3ECEEC916B09875C5A1&amp;captchaToken=03AEkXODA24qr1DkcFsa_9948m__Z4GLN54_ZkHqLUrNI--d3XZZd2WGX-IMUMFjHjyYIEasu4aAk_eOMR8c2zpy3NlNKgQlNHRnFXlhIrpYxCf0w5PkjdwSaETzpQy7T6OgDPS_4Swvl2LXuSUWHNZYGIuhOfrNzpMfdt4PyEMtfeitKSlXhYTLA0NU0stpY8W9ldrMFpQ8Y_4I1mhEb_Gn1r_HP2p3TJN21OuWmO-zlF1q-sga1W9lMoCs7jfFD6Lgl68ES1lj-AqaS3unS6k5-MPUSYcHavil7tY16SBdwKQfeqYckfDzZ-lxwaYr0Kt-79vx4Qh3-g4blwuhywFkIUPmb9WImIZi754n1nqZe_VQJ0xG6S06TiciCmS1B46lPVx5JedrYmwJqFVt_TpDSexUlViJH9VL36O-4ysmd3FGqWWXe2I7gZ-KIv-ochg7R0XFugbl6fZtJpPBZAN0BVCRokei1ISMAyOrP6QlsjRjoZMf2Pc6_nR30McpSXIcJpwNUCoQC8Ufk-LRRyxHrpQ_FLJHu-CQ"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7350</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2022-11-16T16:38:00Z</dcterms:created>
  <dcterms:modified xsi:type="dcterms:W3CDTF">2022-11-17T15:18:00Z</dcterms:modified>
</cp:coreProperties>
</file>