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3E3C12" w:rsidRPr="003E3C12" w:rsidTr="00F725B0">
        <w:trPr>
          <w:trHeight w:val="2103"/>
        </w:trPr>
        <w:tc>
          <w:tcPr>
            <w:tcW w:w="5000" w:type="pct"/>
            <w:gridSpan w:val="4"/>
          </w:tcPr>
          <w:p w:rsidR="003E3C12" w:rsidRPr="003E3C12" w:rsidRDefault="003E3C12" w:rsidP="003E3C12">
            <w:pPr>
              <w:jc w:val="center"/>
              <w:rPr>
                <w:b/>
              </w:rPr>
            </w:pPr>
            <w:r w:rsidRPr="003E3C12">
              <w:rPr>
                <w:b/>
                <w:noProof/>
              </w:rPr>
              <w:drawing>
                <wp:inline distT="0" distB="0" distL="0" distR="0" wp14:anchorId="7139E061" wp14:editId="5461D8F5">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3E3C12" w:rsidRPr="003E3C12" w:rsidRDefault="003E3C12" w:rsidP="003E3C12">
            <w:pPr>
              <w:spacing w:before="120" w:after="100" w:afterAutospacing="1"/>
              <w:jc w:val="center"/>
            </w:pPr>
            <w:r w:rsidRPr="003E3C12">
              <w:rPr>
                <w:b/>
              </w:rPr>
              <w:t>SUPREME COURT OF CANADA</w:t>
            </w:r>
          </w:p>
        </w:tc>
      </w:tr>
      <w:tr w:rsidR="003E3C12" w:rsidRPr="003E3C12" w:rsidTr="006A55B9">
        <w:tblPrEx>
          <w:tblCellMar>
            <w:top w:w="58" w:type="dxa"/>
            <w:left w:w="58" w:type="dxa"/>
            <w:bottom w:w="58" w:type="dxa"/>
            <w:right w:w="58" w:type="dxa"/>
          </w:tblCellMar>
        </w:tblPrEx>
        <w:trPr>
          <w:cantSplit/>
        </w:trPr>
        <w:tc>
          <w:tcPr>
            <w:tcW w:w="2078" w:type="pct"/>
            <w:gridSpan w:val="2"/>
          </w:tcPr>
          <w:p w:rsidR="003E3C12" w:rsidRPr="003E3C12" w:rsidRDefault="003E3C12" w:rsidP="003E3C12">
            <w:pPr>
              <w:rPr>
                <w:b/>
                <w:smallCaps/>
                <w:lang w:val="fr-CA"/>
              </w:rPr>
            </w:pPr>
          </w:p>
          <w:p w:rsidR="003E3C12" w:rsidRPr="003E3C12" w:rsidRDefault="003E3C12" w:rsidP="003E3C12">
            <w:pPr>
              <w:rPr>
                <w:b/>
                <w:smallCaps/>
                <w:lang w:val="fr-CA"/>
              </w:rPr>
            </w:pPr>
            <w:r w:rsidRPr="003E3C12">
              <w:rPr>
                <w:b/>
                <w:smallCaps/>
                <w:lang w:val="fr-CA"/>
              </w:rPr>
              <w:t>Citation:</w:t>
            </w:r>
            <w:r w:rsidRPr="003E3C12">
              <w:rPr>
                <w:lang w:val="fr-CA"/>
              </w:rPr>
              <w:t xml:space="preserve"> R. </w:t>
            </w:r>
            <w:r w:rsidRPr="003E3C12">
              <w:rPr>
                <w:i/>
                <w:lang w:val="fr-CA"/>
              </w:rPr>
              <w:t>v.</w:t>
            </w:r>
            <w:r w:rsidRPr="003E3C12">
              <w:rPr>
                <w:lang w:val="fr-CA"/>
              </w:rPr>
              <w:t xml:space="preserve"> Dare, 2022 SCC 47</w:t>
            </w:r>
          </w:p>
        </w:tc>
        <w:tc>
          <w:tcPr>
            <w:tcW w:w="878" w:type="pct"/>
          </w:tcPr>
          <w:p w:rsidR="003E3C12" w:rsidRPr="003E3C12" w:rsidRDefault="003E3C12" w:rsidP="003E3C12">
            <w:pPr>
              <w:rPr>
                <w:lang w:val="fr-CA"/>
              </w:rPr>
            </w:pPr>
          </w:p>
        </w:tc>
        <w:tc>
          <w:tcPr>
            <w:tcW w:w="2043" w:type="pct"/>
          </w:tcPr>
          <w:p w:rsidR="003E3C12" w:rsidRPr="003E3C12" w:rsidRDefault="003E3C12" w:rsidP="003E3C12">
            <w:pPr>
              <w:rPr>
                <w:b/>
                <w:smallCaps/>
                <w:lang w:val="fr-CA"/>
              </w:rPr>
            </w:pPr>
          </w:p>
          <w:p w:rsidR="003E3C12" w:rsidRPr="003E3C12" w:rsidRDefault="003E3C12" w:rsidP="003E3C12">
            <w:pPr>
              <w:jc w:val="both"/>
            </w:pPr>
            <w:r w:rsidRPr="003E3C12">
              <w:rPr>
                <w:b/>
                <w:smallCaps/>
              </w:rPr>
              <w:t>Appeal Heard:</w:t>
            </w:r>
            <w:r w:rsidRPr="003E3C12">
              <w:t xml:space="preserve"> May 17, 2022</w:t>
            </w:r>
          </w:p>
          <w:p w:rsidR="003E3C12" w:rsidRPr="003E3C12" w:rsidRDefault="003E3C12" w:rsidP="003E3C12">
            <w:r w:rsidRPr="003E3C12">
              <w:rPr>
                <w:b/>
                <w:smallCaps/>
              </w:rPr>
              <w:t>Judgment Rendered:</w:t>
            </w:r>
            <w:r w:rsidRPr="003E3C12">
              <w:t xml:space="preserve"> November 24, 2022</w:t>
            </w:r>
          </w:p>
          <w:p w:rsidR="003E3C12" w:rsidRPr="003E3C12" w:rsidRDefault="003E3C12" w:rsidP="003E3C12">
            <w:r w:rsidRPr="003E3C12">
              <w:rPr>
                <w:b/>
                <w:smallCaps/>
              </w:rPr>
              <w:t>Docket:</w:t>
            </w:r>
            <w:r w:rsidRPr="003E3C12">
              <w:t xml:space="preserve"> 39871</w:t>
            </w:r>
          </w:p>
        </w:tc>
      </w:tr>
      <w:tr w:rsidR="003E3C12" w:rsidRPr="003E3C12" w:rsidTr="00F725B0">
        <w:tblPrEx>
          <w:tblCellMar>
            <w:top w:w="58" w:type="dxa"/>
            <w:left w:w="58" w:type="dxa"/>
            <w:bottom w:w="58" w:type="dxa"/>
            <w:right w:w="58" w:type="dxa"/>
          </w:tblCellMar>
        </w:tblPrEx>
        <w:tc>
          <w:tcPr>
            <w:tcW w:w="5000" w:type="pct"/>
            <w:gridSpan w:val="4"/>
          </w:tcPr>
          <w:p w:rsidR="003E3C12" w:rsidRPr="003E3C12" w:rsidRDefault="003E3C12" w:rsidP="003E3C12"/>
          <w:p w:rsidR="003E3C12" w:rsidRPr="003E3C12" w:rsidRDefault="003E3C12" w:rsidP="003E3C12">
            <w:pPr>
              <w:rPr>
                <w:b/>
                <w:smallCaps/>
              </w:rPr>
            </w:pPr>
            <w:r w:rsidRPr="003E3C12">
              <w:rPr>
                <w:b/>
                <w:smallCaps/>
              </w:rPr>
              <w:t>Between:</w:t>
            </w:r>
          </w:p>
          <w:p w:rsidR="003E3C12" w:rsidRPr="003E3C12" w:rsidRDefault="003E3C12" w:rsidP="003E3C12">
            <w:pPr>
              <w:rPr>
                <w:b/>
                <w:smallCaps/>
              </w:rPr>
            </w:pPr>
          </w:p>
          <w:p w:rsidR="003E3C12" w:rsidRPr="003E3C12" w:rsidRDefault="003E3C12" w:rsidP="003E3C12">
            <w:pPr>
              <w:jc w:val="center"/>
              <w:rPr>
                <w:b/>
              </w:rPr>
            </w:pPr>
            <w:r w:rsidRPr="003E3C12">
              <w:rPr>
                <w:b/>
              </w:rPr>
              <w:t>Temitope Dare</w:t>
            </w:r>
          </w:p>
          <w:p w:rsidR="003E3C12" w:rsidRPr="003E3C12" w:rsidRDefault="003E3C12" w:rsidP="003E3C12">
            <w:pPr>
              <w:jc w:val="center"/>
            </w:pPr>
            <w:r w:rsidRPr="003E3C12">
              <w:t>Appellant</w:t>
            </w:r>
          </w:p>
          <w:p w:rsidR="003E3C12" w:rsidRPr="003E3C12" w:rsidRDefault="003E3C12" w:rsidP="003E3C12"/>
          <w:p w:rsidR="003E3C12" w:rsidRPr="003E3C12" w:rsidRDefault="003E3C12" w:rsidP="003E3C12">
            <w:pPr>
              <w:jc w:val="center"/>
            </w:pPr>
            <w:r w:rsidRPr="003E3C12">
              <w:t>and</w:t>
            </w:r>
          </w:p>
          <w:p w:rsidR="003E3C12" w:rsidRPr="003E3C12" w:rsidRDefault="003E3C12" w:rsidP="003E3C12"/>
          <w:p w:rsidR="003E3C12" w:rsidRPr="003E3C12" w:rsidRDefault="003E3C12" w:rsidP="003E3C12">
            <w:pPr>
              <w:jc w:val="center"/>
              <w:rPr>
                <w:b/>
              </w:rPr>
            </w:pPr>
            <w:r w:rsidRPr="003E3C12">
              <w:rPr>
                <w:b/>
              </w:rPr>
              <w:t>His Majesty The King</w:t>
            </w:r>
          </w:p>
          <w:p w:rsidR="003E3C12" w:rsidRPr="003E3C12" w:rsidRDefault="003E3C12" w:rsidP="003E3C12">
            <w:pPr>
              <w:jc w:val="center"/>
            </w:pPr>
            <w:r w:rsidRPr="003E3C12">
              <w:t>Respondent</w:t>
            </w:r>
          </w:p>
          <w:p w:rsidR="003E3C12" w:rsidRPr="003E3C12" w:rsidRDefault="003E3C12" w:rsidP="003E3C12"/>
          <w:p w:rsidR="003E3C12" w:rsidRPr="003E3C12" w:rsidRDefault="003E3C12" w:rsidP="003E3C12">
            <w:pPr>
              <w:jc w:val="center"/>
            </w:pPr>
            <w:r w:rsidRPr="003E3C12">
              <w:t>- and -</w:t>
            </w:r>
          </w:p>
          <w:p w:rsidR="003E3C12" w:rsidRPr="003E3C12" w:rsidRDefault="003E3C12" w:rsidP="003E3C12"/>
          <w:p w:rsidR="003E3C12" w:rsidRPr="003E3C12" w:rsidRDefault="003E3C12" w:rsidP="003E3C12">
            <w:pPr>
              <w:jc w:val="center"/>
              <w:rPr>
                <w:b/>
              </w:rPr>
            </w:pPr>
            <w:r w:rsidRPr="003E3C12">
              <w:rPr>
                <w:b/>
              </w:rPr>
              <w:t>Director of Public Prosecutions, Criminal Lawyers’ Association of Ontario, British Columbia Civil Liberties Association and Canadian Civil Liberties Association</w:t>
            </w:r>
          </w:p>
          <w:p w:rsidR="003E3C12" w:rsidRPr="003E3C12" w:rsidRDefault="003E3C12" w:rsidP="003E3C12">
            <w:pPr>
              <w:jc w:val="center"/>
            </w:pPr>
            <w:r w:rsidRPr="003E3C12">
              <w:t>Interveners</w:t>
            </w:r>
          </w:p>
          <w:p w:rsidR="003E3C12" w:rsidRPr="003E3C12" w:rsidRDefault="003E3C12" w:rsidP="003E3C12"/>
          <w:p w:rsidR="003E3C12" w:rsidRPr="003E3C12" w:rsidRDefault="003E3C12" w:rsidP="003E3C12">
            <w:pPr>
              <w:jc w:val="center"/>
              <w:rPr>
                <w:b/>
                <w:smallCaps/>
              </w:rPr>
            </w:pPr>
          </w:p>
          <w:p w:rsidR="003E3C12" w:rsidRPr="003E3C12" w:rsidRDefault="003E3C12" w:rsidP="003E3C12"/>
          <w:p w:rsidR="003E3C12" w:rsidRPr="003E3C12" w:rsidRDefault="003E3C12" w:rsidP="003E3C12">
            <w:r w:rsidRPr="003E3C12">
              <w:rPr>
                <w:b/>
                <w:smallCaps/>
              </w:rPr>
              <w:t>Coram:</w:t>
            </w:r>
            <w:r w:rsidRPr="003E3C12">
              <w:t xml:space="preserve"> Wagner C.J. and Moldaver, Karakatsanis, Côté, Brown, Rowe, Martin, Kasirer and Jamal JJ.</w:t>
            </w:r>
          </w:p>
          <w:p w:rsidR="003E3C12" w:rsidRPr="003E3C12" w:rsidRDefault="003E3C12" w:rsidP="003E3C12">
            <w:pPr>
              <w:rPr>
                <w:b/>
                <w:smallCaps/>
              </w:rPr>
            </w:pPr>
          </w:p>
        </w:tc>
      </w:tr>
      <w:tr w:rsidR="003E3C12" w:rsidRPr="003E3C12" w:rsidTr="00F725B0">
        <w:tblPrEx>
          <w:tblCellMar>
            <w:top w:w="58" w:type="dxa"/>
            <w:left w:w="58" w:type="dxa"/>
            <w:bottom w:w="58" w:type="dxa"/>
            <w:right w:w="58" w:type="dxa"/>
          </w:tblCellMar>
        </w:tblPrEx>
        <w:trPr>
          <w:cantSplit/>
        </w:trPr>
        <w:tc>
          <w:tcPr>
            <w:tcW w:w="1231" w:type="pct"/>
          </w:tcPr>
          <w:p w:rsidR="003E3C12" w:rsidRPr="003E3C12" w:rsidRDefault="003E3C12" w:rsidP="003E3C12">
            <w:pPr>
              <w:rPr>
                <w:smallCaps/>
              </w:rPr>
            </w:pPr>
            <w:r w:rsidRPr="003E3C12">
              <w:rPr>
                <w:b/>
                <w:smallCaps/>
              </w:rPr>
              <w:t>Reasons for Judgment:</w:t>
            </w:r>
            <w:r w:rsidRPr="003E3C12">
              <w:rPr>
                <w:smallCaps/>
              </w:rPr>
              <w:t xml:space="preserve"> </w:t>
            </w:r>
          </w:p>
          <w:p w:rsidR="003E3C12" w:rsidRPr="003E3C12" w:rsidRDefault="003E3C12" w:rsidP="003E3C12">
            <w:r w:rsidRPr="003E3C12">
              <w:t>(paras. 1 to 7)</w:t>
            </w:r>
          </w:p>
        </w:tc>
        <w:tc>
          <w:tcPr>
            <w:tcW w:w="3769" w:type="pct"/>
            <w:gridSpan w:val="3"/>
          </w:tcPr>
          <w:p w:rsidR="003E3C12" w:rsidRPr="003E3C12" w:rsidRDefault="003E3C12" w:rsidP="003E3C12">
            <w:r w:rsidRPr="003E3C12">
              <w:t>Karakatsanis J. (Wagner C.J. and Moldaver, Côté, Brown, Rowe, Martin, Kasirer and Jamal JJ. concurring)</w:t>
            </w:r>
          </w:p>
        </w:tc>
      </w:tr>
    </w:tbl>
    <w:p w:rsidR="003E3C12" w:rsidRPr="003E3C12" w:rsidRDefault="003E3C12" w:rsidP="003E3C12">
      <w:pPr>
        <w:rPr>
          <w:rFonts w:eastAsiaTheme="minorHAnsi" w:cstheme="minorBidi"/>
          <w:szCs w:val="24"/>
          <w:lang w:eastAsia="en-US"/>
        </w:rPr>
      </w:pPr>
    </w:p>
    <w:p w:rsidR="003E3C12" w:rsidRPr="003E3C12" w:rsidRDefault="003E3C12" w:rsidP="003E3C12">
      <w:pPr>
        <w:rPr>
          <w:rFonts w:eastAsiaTheme="minorHAnsi" w:cstheme="minorBidi"/>
          <w:szCs w:val="24"/>
          <w:lang w:eastAsia="en-US"/>
        </w:rPr>
      </w:pPr>
    </w:p>
    <w:p w:rsidR="003E3C12" w:rsidRPr="003E3C12" w:rsidRDefault="003E3C12" w:rsidP="003E3C12">
      <w:pPr>
        <w:rPr>
          <w:rFonts w:eastAsiaTheme="minorHAnsi" w:cstheme="minorBidi"/>
          <w:szCs w:val="24"/>
          <w:lang w:eastAsia="en-US"/>
        </w:rPr>
      </w:pPr>
      <w:r w:rsidRPr="003E3C12">
        <w:rPr>
          <w:rFonts w:eastAsiaTheme="minorHAnsi" w:cstheme="minorBidi"/>
          <w:b/>
          <w:smallCaps/>
          <w:szCs w:val="24"/>
          <w:lang w:eastAsia="en-US"/>
        </w:rPr>
        <w:t>Note:</w:t>
      </w:r>
      <w:r w:rsidRPr="003E3C12">
        <w:rPr>
          <w:rFonts w:eastAsiaTheme="minorHAnsi" w:cstheme="minorBidi"/>
          <w:b/>
          <w:szCs w:val="24"/>
          <w:lang w:eastAsia="en-US"/>
        </w:rPr>
        <w:t xml:space="preserve"> </w:t>
      </w:r>
      <w:r w:rsidRPr="003E3C12">
        <w:rPr>
          <w:rFonts w:eastAsiaTheme="minorHAnsi" w:cstheme="minorBidi"/>
          <w:szCs w:val="24"/>
          <w:lang w:eastAsia="en-US"/>
        </w:rPr>
        <w:t xml:space="preserve">This document is subject to editorial revision before its reproduction in final form in the </w:t>
      </w:r>
      <w:r w:rsidRPr="003E3C12">
        <w:rPr>
          <w:rFonts w:eastAsiaTheme="minorHAnsi" w:cstheme="minorBidi"/>
          <w:i/>
          <w:szCs w:val="24"/>
          <w:lang w:eastAsia="en-US"/>
        </w:rPr>
        <w:t>Canada Supreme Court Reports</w:t>
      </w:r>
      <w:r w:rsidRPr="003E3C12">
        <w:rPr>
          <w:rFonts w:eastAsiaTheme="minorHAnsi" w:cstheme="minorBidi"/>
          <w:szCs w:val="24"/>
          <w:lang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3E3C12" w:rsidRPr="003E3C12" w:rsidTr="00F725B0">
        <w:tc>
          <w:tcPr>
            <w:tcW w:w="1500" w:type="pct"/>
            <w:tcMar>
              <w:top w:w="284" w:type="dxa"/>
            </w:tcMar>
          </w:tcPr>
          <w:p w:rsidR="003E3C12" w:rsidRPr="003E3C12" w:rsidRDefault="003E3C12" w:rsidP="003E3C12"/>
        </w:tc>
        <w:tc>
          <w:tcPr>
            <w:tcW w:w="2000" w:type="pct"/>
            <w:tcBorders>
              <w:bottom w:val="single" w:sz="4" w:space="0" w:color="auto"/>
            </w:tcBorders>
            <w:tcMar>
              <w:top w:w="284" w:type="dxa"/>
            </w:tcMar>
          </w:tcPr>
          <w:p w:rsidR="003E3C12" w:rsidRPr="003E3C12" w:rsidRDefault="003E3C12" w:rsidP="003E3C12"/>
        </w:tc>
        <w:tc>
          <w:tcPr>
            <w:tcW w:w="1500" w:type="pct"/>
            <w:tcMar>
              <w:top w:w="284" w:type="dxa"/>
            </w:tcMar>
          </w:tcPr>
          <w:p w:rsidR="003E3C12" w:rsidRPr="003E3C12" w:rsidRDefault="003E3C12" w:rsidP="003E3C12"/>
        </w:tc>
      </w:tr>
    </w:tbl>
    <w:p w:rsidR="003E3C12" w:rsidRPr="003E3C12" w:rsidRDefault="003E3C12" w:rsidP="003E3C12">
      <w:pPr>
        <w:rPr>
          <w:rFonts w:eastAsiaTheme="minorHAnsi" w:cstheme="minorBidi"/>
          <w:szCs w:val="24"/>
          <w:lang w:eastAsia="en-US"/>
        </w:rPr>
      </w:pPr>
    </w:p>
    <w:p w:rsidR="003E3C12" w:rsidRPr="003E3C12" w:rsidRDefault="003E3C12">
      <w:pPr>
        <w:rPr>
          <w:b/>
        </w:rPr>
      </w:pPr>
      <w:r w:rsidRPr="003E3C12">
        <w:br w:type="page"/>
      </w:r>
    </w:p>
    <w:p w:rsidR="001645AE" w:rsidRPr="003E3C12" w:rsidRDefault="00DF61AF">
      <w:pPr>
        <w:pStyle w:val="SCCLsocLastPartyInRole"/>
      </w:pPr>
      <w:r w:rsidRPr="003E3C12">
        <w:t>Temitope Dare</w:t>
      </w:r>
      <w:r w:rsidRPr="003E3C12">
        <w:rPr>
          <w:rStyle w:val="SCCLsocPartyRole"/>
        </w:rPr>
        <w:tab/>
        <w:t>Appellant</w:t>
      </w:r>
    </w:p>
    <w:p w:rsidR="001645AE" w:rsidRPr="003E3C12" w:rsidRDefault="00DF61AF">
      <w:pPr>
        <w:pStyle w:val="SCCLsocVersus"/>
      </w:pPr>
      <w:proofErr w:type="gramStart"/>
      <w:r w:rsidRPr="003E3C12">
        <w:t>v</w:t>
      </w:r>
      <w:proofErr w:type="gramEnd"/>
      <w:r w:rsidRPr="003E3C12">
        <w:t>.</w:t>
      </w:r>
    </w:p>
    <w:p w:rsidR="001645AE" w:rsidRPr="003E3C12" w:rsidRDefault="00526D25">
      <w:pPr>
        <w:pStyle w:val="SCCLsocLastPartyInRole"/>
      </w:pPr>
      <w:r w:rsidRPr="003E3C12">
        <w:t>H</w:t>
      </w:r>
      <w:r w:rsidR="00125B10" w:rsidRPr="003E3C12">
        <w:t>is</w:t>
      </w:r>
      <w:r w:rsidRPr="003E3C12">
        <w:t xml:space="preserve"> Majesty </w:t>
      </w:r>
      <w:proofErr w:type="gramStart"/>
      <w:r w:rsidRPr="003E3C12">
        <w:t>T</w:t>
      </w:r>
      <w:r w:rsidR="00125B10" w:rsidRPr="003E3C12">
        <w:t>he</w:t>
      </w:r>
      <w:proofErr w:type="gramEnd"/>
      <w:r w:rsidR="00125B10" w:rsidRPr="003E3C12">
        <w:t xml:space="preserve"> King</w:t>
      </w:r>
      <w:r w:rsidR="00DF61AF" w:rsidRPr="003E3C12">
        <w:rPr>
          <w:rStyle w:val="SCCLsocPartyRole"/>
        </w:rPr>
        <w:tab/>
        <w:t>Respondent</w:t>
      </w:r>
    </w:p>
    <w:p w:rsidR="001645AE" w:rsidRPr="003E3C12" w:rsidRDefault="00DF61AF">
      <w:pPr>
        <w:pStyle w:val="SCCLsocOtherPartySeparator"/>
      </w:pPr>
      <w:proofErr w:type="gramStart"/>
      <w:r w:rsidRPr="003E3C12">
        <w:t>and</w:t>
      </w:r>
      <w:proofErr w:type="gramEnd"/>
    </w:p>
    <w:p w:rsidR="001645AE" w:rsidRPr="003E3C12" w:rsidRDefault="00DF61AF">
      <w:pPr>
        <w:pStyle w:val="SCCLsocParty"/>
      </w:pPr>
      <w:r w:rsidRPr="003E3C12">
        <w:t>Director of Public Prosecutions,</w:t>
      </w:r>
    </w:p>
    <w:p w:rsidR="001645AE" w:rsidRPr="003E3C12" w:rsidRDefault="00DF61AF">
      <w:pPr>
        <w:pStyle w:val="SCCLsocParty"/>
      </w:pPr>
      <w:r w:rsidRPr="003E3C12">
        <w:t>Criminal Lawyers</w:t>
      </w:r>
      <w:r w:rsidR="00526D25" w:rsidRPr="003E3C12">
        <w:t>’</w:t>
      </w:r>
      <w:r w:rsidRPr="003E3C12">
        <w:t xml:space="preserve"> Association of Ontario,</w:t>
      </w:r>
    </w:p>
    <w:p w:rsidR="001645AE" w:rsidRPr="003E3C12" w:rsidRDefault="00DF61AF">
      <w:pPr>
        <w:pStyle w:val="SCCLsocParty"/>
      </w:pPr>
      <w:r w:rsidRPr="003E3C12">
        <w:t>British Colum</w:t>
      </w:r>
      <w:r w:rsidR="00526D25" w:rsidRPr="003E3C12">
        <w:t>bia Civil Liberties Association and</w:t>
      </w:r>
    </w:p>
    <w:p w:rsidR="001645AE" w:rsidRPr="003E3C12" w:rsidRDefault="00DF61AF" w:rsidP="00AF649F">
      <w:pPr>
        <w:pStyle w:val="SCCLsocLastPartyInRole"/>
      </w:pPr>
      <w:r w:rsidRPr="003E3C12">
        <w:t>Canadian Civil Liberties Association</w:t>
      </w:r>
      <w:r w:rsidRPr="003E3C12">
        <w:rPr>
          <w:rStyle w:val="SCCLsocPartyRole"/>
        </w:rPr>
        <w:tab/>
        <w:t>Interveners</w:t>
      </w:r>
    </w:p>
    <w:p w:rsidR="00426659" w:rsidRPr="003E3C12" w:rsidRDefault="00426659" w:rsidP="00AF649F">
      <w:pPr>
        <w:spacing w:after="720"/>
        <w:jc w:val="both"/>
        <w:rPr>
          <w:b/>
        </w:rPr>
      </w:pPr>
      <w:r w:rsidRPr="003E3C12">
        <w:rPr>
          <w:b/>
        </w:rPr>
        <w:t xml:space="preserve">Indexed as: </w:t>
      </w:r>
      <w:r w:rsidR="00526D25" w:rsidRPr="003E3C12">
        <w:rPr>
          <w:rStyle w:val="SCCRespondentForIndexChar"/>
        </w:rPr>
        <w:t xml:space="preserve">R. </w:t>
      </w:r>
      <w:r w:rsidR="00526D25" w:rsidRPr="003E3C12">
        <w:rPr>
          <w:b/>
          <w:i/>
        </w:rPr>
        <w:t>v.</w:t>
      </w:r>
      <w:r w:rsidR="00526D25" w:rsidRPr="003E3C12">
        <w:rPr>
          <w:b/>
        </w:rPr>
        <w:t xml:space="preserve"> </w:t>
      </w:r>
      <w:r w:rsidRPr="003E3C12">
        <w:rPr>
          <w:rStyle w:val="SCCAppellantForIndexChar"/>
        </w:rPr>
        <w:t>Dare</w:t>
      </w:r>
    </w:p>
    <w:p w:rsidR="00426659" w:rsidRPr="003E3C12" w:rsidRDefault="00AE4535" w:rsidP="00AF649F">
      <w:pPr>
        <w:pStyle w:val="SCCSystemYear"/>
        <w:spacing w:after="720"/>
        <w:jc w:val="both"/>
      </w:pPr>
      <w:r w:rsidRPr="003E3C12">
        <w:t>2022</w:t>
      </w:r>
      <w:r w:rsidR="003D0399" w:rsidRPr="003E3C12">
        <w:t xml:space="preserve"> </w:t>
      </w:r>
      <w:r w:rsidR="00AF649F" w:rsidRPr="003E3C12">
        <w:t xml:space="preserve">SCC </w:t>
      </w:r>
      <w:r w:rsidR="00B72B0F" w:rsidRPr="003E3C12">
        <w:t>47</w:t>
      </w:r>
    </w:p>
    <w:p w:rsidR="008322BD" w:rsidRPr="003E3C12" w:rsidRDefault="00526D25" w:rsidP="00AF649F">
      <w:pPr>
        <w:spacing w:after="720"/>
        <w:jc w:val="both"/>
      </w:pPr>
      <w:r w:rsidRPr="003E3C12">
        <w:t>File No.:</w:t>
      </w:r>
      <w:r w:rsidR="009B57B3" w:rsidRPr="003E3C12">
        <w:t xml:space="preserve"> 39871.</w:t>
      </w:r>
    </w:p>
    <w:p w:rsidR="008322BD" w:rsidRPr="003E3C12" w:rsidRDefault="00AE4535" w:rsidP="00AF649F">
      <w:pPr>
        <w:spacing w:after="720"/>
        <w:jc w:val="both"/>
      </w:pPr>
      <w:r w:rsidRPr="003E3C12">
        <w:t>2022: May 17</w:t>
      </w:r>
      <w:r w:rsidR="009B57B3" w:rsidRPr="003E3C12">
        <w:t xml:space="preserve">; </w:t>
      </w:r>
      <w:r w:rsidR="005C37D4" w:rsidRPr="003E3C12">
        <w:t>2022: November 24</w:t>
      </w:r>
      <w:r w:rsidR="009B57B3" w:rsidRPr="003E3C12">
        <w:t>.</w:t>
      </w:r>
    </w:p>
    <w:p w:rsidR="008322BD" w:rsidRPr="003E3C12" w:rsidRDefault="004F3A3D" w:rsidP="00AF649F">
      <w:pPr>
        <w:spacing w:after="720"/>
        <w:jc w:val="both"/>
      </w:pPr>
      <w:r w:rsidRPr="003E3C12">
        <w:t xml:space="preserve">Present: </w:t>
      </w:r>
      <w:r w:rsidR="009B57B3" w:rsidRPr="003E3C12">
        <w:t>Wagner C.J. and Moldaver, Karakatsanis, Côté, Brown, Rowe, Martin, Kasirer and Jamal JJ.</w:t>
      </w:r>
    </w:p>
    <w:p w:rsidR="008322BD" w:rsidRPr="003E3C12" w:rsidRDefault="00656313" w:rsidP="00AF649F">
      <w:pPr>
        <w:pStyle w:val="SCCLowerCourtNameLowercase"/>
        <w:spacing w:after="720" w:line="240" w:lineRule="auto"/>
      </w:pPr>
      <w:r w:rsidRPr="003E3C12">
        <w:t>o</w:t>
      </w:r>
      <w:r w:rsidR="00170592" w:rsidRPr="003E3C12">
        <w:t>n</w:t>
      </w:r>
      <w:r w:rsidR="00224FC0" w:rsidRPr="003E3C12">
        <w:t xml:space="preserve"> </w:t>
      </w:r>
      <w:r w:rsidRPr="003E3C12">
        <w:t>a</w:t>
      </w:r>
      <w:r w:rsidR="00170592" w:rsidRPr="003E3C12">
        <w:t>ppeal</w:t>
      </w:r>
      <w:r w:rsidR="00224FC0" w:rsidRPr="003E3C12">
        <w:t xml:space="preserve"> </w:t>
      </w:r>
      <w:r w:rsidR="00170592" w:rsidRPr="003E3C12">
        <w:t>from</w:t>
      </w:r>
      <w:r w:rsidR="009567AA" w:rsidRPr="003E3C12">
        <w:t xml:space="preserve"> the</w:t>
      </w:r>
      <w:r w:rsidR="00224FC0" w:rsidRPr="003E3C12">
        <w:t xml:space="preserve"> </w:t>
      </w:r>
      <w:r w:rsidR="009B57B3" w:rsidRPr="003E3C12">
        <w:t>court of appeal for ontario</w:t>
      </w:r>
    </w:p>
    <w:p w:rsidR="006E23B4" w:rsidRPr="003E3C12" w:rsidRDefault="009B57B3" w:rsidP="00FD7B9E">
      <w:pPr>
        <w:pStyle w:val="SCCNormalDoubleSpacing"/>
        <w:spacing w:after="480"/>
        <w:rPr>
          <w:i/>
        </w:rPr>
      </w:pPr>
      <w:r w:rsidRPr="003E3C12">
        <w:tab/>
      </w:r>
      <w:r w:rsidR="006E23B4" w:rsidRPr="003E3C12">
        <w:rPr>
          <w:i/>
        </w:rPr>
        <w:t xml:space="preserve">Criminal law — Abuse of process — Entrapment — Bona fide inquiry — Virtual space — Internet — Accused responding to ad posted by police in escort section of online classified advertising website — Undercover officer posing as escort </w:t>
      </w:r>
      <w:r w:rsidR="006E23B4" w:rsidRPr="003E3C12">
        <w:rPr>
          <w:i/>
        </w:rPr>
        <w:lastRenderedPageBreak/>
        <w:t xml:space="preserve">disclosing to accused in ensuing text message chat that she was underage — Accused arrested when attending at hotel room to meet officer </w:t>
      </w:r>
      <w:r w:rsidR="00FD7B9E" w:rsidRPr="003E3C12">
        <w:rPr>
          <w:i/>
        </w:rPr>
        <w:t>and charged with child luring</w:t>
      </w:r>
      <w:r w:rsidR="00FD7B9E" w:rsidRPr="003E3C12">
        <w:rPr>
          <w:i/>
        </w:rPr>
        <w:noBreakHyphen/>
      </w:r>
      <w:r w:rsidR="006E23B4" w:rsidRPr="003E3C12">
        <w:rPr>
          <w:i/>
        </w:rPr>
        <w:t>related offences — Accused convicted but seeking stay of proceedings on basis of entrapment —</w:t>
      </w:r>
      <w:r w:rsidR="00FD7B9E" w:rsidRPr="003E3C12">
        <w:rPr>
          <w:i/>
        </w:rPr>
        <w:t xml:space="preserve"> Whether accused entrapped.</w:t>
      </w:r>
    </w:p>
    <w:p w:rsidR="006E23B4" w:rsidRPr="003E3C12" w:rsidRDefault="006E23B4" w:rsidP="006E23B4">
      <w:pPr>
        <w:pStyle w:val="SCCNormalDoubleSpacing"/>
        <w:spacing w:after="480"/>
        <w:rPr>
          <w:b/>
          <w:lang w:val="en"/>
        </w:rPr>
      </w:pPr>
      <w:r w:rsidRPr="003E3C12">
        <w:rPr>
          <w:b/>
          <w:lang w:val="en"/>
        </w:rPr>
        <w:tab/>
      </w:r>
      <w:r w:rsidRPr="003E3C12">
        <w:t>D was 1 of 104 people arrested over the course of “Project Raphael”, an online investigation conducted by the York Regional Police that targeted the buyer side of the juvenile sex work market. In 2016, while browsing the escort subdirectory of Backpage.com, D responded to an ad placed by an undercover</w:t>
      </w:r>
      <w:r w:rsidR="001C5AD2" w:rsidRPr="003E3C12">
        <w:t xml:space="preserve"> officer posing as “Kathy”. </w:t>
      </w:r>
      <w:r w:rsidRPr="003E3C12">
        <w:t xml:space="preserve">Communicating with D by text, “Kathy” eventually revealed </w:t>
      </w:r>
      <w:r w:rsidR="001C5AD2" w:rsidRPr="003E3C12">
        <w:t>that “she” was 15 years old. When D arrived at a</w:t>
      </w:r>
      <w:r w:rsidRPr="003E3C12">
        <w:t xml:space="preserve"> designa</w:t>
      </w:r>
      <w:r w:rsidR="001C5AD2" w:rsidRPr="003E3C12">
        <w:t>ted hotel room to meet “Kathy”</w:t>
      </w:r>
      <w:r w:rsidRPr="003E3C12">
        <w:t>, he was arrested and charged with three offences under s</w:t>
      </w:r>
      <w:r w:rsidR="00FD7B9E" w:rsidRPr="003E3C12">
        <w:t>s. 172.1(1</w:t>
      </w:r>
      <w:proofErr w:type="gramStart"/>
      <w:r w:rsidR="00FD7B9E" w:rsidRPr="003E3C12">
        <w:t>)(</w:t>
      </w:r>
      <w:proofErr w:type="gramEnd"/>
      <w:r w:rsidR="00FD7B9E" w:rsidRPr="003E3C12">
        <w:t>a), 172.1(1)(b) and s. </w:t>
      </w:r>
      <w:r w:rsidRPr="003E3C12">
        <w:t xml:space="preserve">286.1(2) of the </w:t>
      </w:r>
      <w:r w:rsidRPr="003E3C12">
        <w:rPr>
          <w:i/>
        </w:rPr>
        <w:t>Criminal Code</w:t>
      </w:r>
      <w:r w:rsidR="001C5AD2" w:rsidRPr="003E3C12">
        <w:t>.</w:t>
      </w:r>
      <w:r w:rsidRPr="003E3C12">
        <w:t xml:space="preserve"> He was convicted on all counts by a jury at trial but applied for a stay of proceedings based on entrapment. The application judge dismissed the application, concluding Project Raphael was based on the police’s reasonable suspicion that the offences were occurring within a sufficiently precise space. The Court </w:t>
      </w:r>
      <w:r w:rsidR="00FD7B9E" w:rsidRPr="003E3C12">
        <w:t>of Appeal dismissed D’s appeal.</w:t>
      </w:r>
    </w:p>
    <w:p w:rsidR="006E23B4" w:rsidRPr="003E3C12" w:rsidRDefault="006E23B4" w:rsidP="006E23B4">
      <w:pPr>
        <w:pStyle w:val="SCCNormalDoubleSpacing"/>
        <w:spacing w:after="480"/>
      </w:pPr>
      <w:r w:rsidRPr="003E3C12">
        <w:tab/>
      </w:r>
      <w:r w:rsidRPr="003E3C12">
        <w:rPr>
          <w:rStyle w:val="QuoteChar"/>
        </w:rPr>
        <w:t>Held</w:t>
      </w:r>
      <w:r w:rsidRPr="003E3C12">
        <w:rPr>
          <w:rStyle w:val="QuoteChar"/>
          <w:i w:val="0"/>
        </w:rPr>
        <w:t>:</w:t>
      </w:r>
      <w:r w:rsidRPr="003E3C12">
        <w:rPr>
          <w:i/>
        </w:rPr>
        <w:t xml:space="preserve"> </w:t>
      </w:r>
      <w:r w:rsidR="00FD7B9E" w:rsidRPr="003E3C12">
        <w:t>The appeal should be dismissed.</w:t>
      </w:r>
    </w:p>
    <w:p w:rsidR="006E23B4" w:rsidRPr="003E3C12" w:rsidRDefault="006E23B4" w:rsidP="006E23B4">
      <w:pPr>
        <w:pStyle w:val="SCCNormalDoubleSpacing"/>
        <w:spacing w:after="480"/>
      </w:pPr>
      <w:r w:rsidRPr="003E3C12">
        <w:rPr>
          <w:i/>
        </w:rPr>
        <w:tab/>
      </w:r>
      <w:r w:rsidRPr="003E3C12">
        <w:t xml:space="preserve">D was not entrapped for the reasons given in </w:t>
      </w:r>
      <w:r w:rsidRPr="003E3C12">
        <w:rPr>
          <w:i/>
        </w:rPr>
        <w:t>R. v. Ramelson</w:t>
      </w:r>
      <w:r w:rsidRPr="003E3C12">
        <w:t xml:space="preserve">, 2022 SCC </w:t>
      </w:r>
      <w:r w:rsidR="001C5AD2" w:rsidRPr="003E3C12">
        <w:t>44</w:t>
      </w:r>
      <w:r w:rsidRPr="003E3C12">
        <w:t xml:space="preserve">, where it was held that Project Raphael was a </w:t>
      </w:r>
      <w:r w:rsidRPr="003E3C12">
        <w:rPr>
          <w:i/>
        </w:rPr>
        <w:t>bona fide</w:t>
      </w:r>
      <w:r w:rsidR="00FD7B9E" w:rsidRPr="003E3C12">
        <w:t xml:space="preserve"> inquiry.</w:t>
      </w:r>
    </w:p>
    <w:p w:rsidR="007E1C47" w:rsidRPr="003E3C12" w:rsidRDefault="002E6705" w:rsidP="002C219C">
      <w:pPr>
        <w:pStyle w:val="SCCNormalDoubleSpacing"/>
        <w:widowControl w:val="0"/>
        <w:spacing w:after="720" w:line="240" w:lineRule="auto"/>
        <w:rPr>
          <w:b/>
        </w:rPr>
      </w:pPr>
      <w:r w:rsidRPr="003E3C12">
        <w:rPr>
          <w:b/>
        </w:rPr>
        <w:t>Cases Cited</w:t>
      </w:r>
    </w:p>
    <w:p w:rsidR="004E2C26" w:rsidRPr="003E3C12" w:rsidRDefault="002E6705" w:rsidP="002C219C">
      <w:pPr>
        <w:pStyle w:val="SCCNormalDoubleSpacing"/>
        <w:widowControl w:val="0"/>
        <w:spacing w:after="480"/>
      </w:pPr>
      <w:r w:rsidRPr="003E3C12">
        <w:lastRenderedPageBreak/>
        <w:tab/>
      </w:r>
      <w:r w:rsidRPr="003E3C12">
        <w:rPr>
          <w:b/>
        </w:rPr>
        <w:t>Referred to:</w:t>
      </w:r>
      <w:r w:rsidR="00BD0E9E" w:rsidRPr="003E3C12">
        <w:t xml:space="preserve"> </w:t>
      </w:r>
      <w:r w:rsidR="00CD45AF" w:rsidRPr="003E3C12">
        <w:rPr>
          <w:i/>
        </w:rPr>
        <w:t>R. v. Ramelson</w:t>
      </w:r>
      <w:r w:rsidR="00CD45AF" w:rsidRPr="003E3C12">
        <w:t xml:space="preserve">, 2022 SCC </w:t>
      </w:r>
      <w:r w:rsidR="00B72B0F" w:rsidRPr="003E3C12">
        <w:t>44</w:t>
      </w:r>
      <w:r w:rsidR="00CD45AF" w:rsidRPr="003E3C12">
        <w:t xml:space="preserve">; </w:t>
      </w:r>
      <w:r w:rsidR="007A38DA" w:rsidRPr="003E3C12">
        <w:rPr>
          <w:i/>
        </w:rPr>
        <w:t>R. v. Jaffer</w:t>
      </w:r>
      <w:r w:rsidR="007A38DA" w:rsidRPr="003E3C12">
        <w:t xml:space="preserve">, 2022 SCC 45; </w:t>
      </w:r>
      <w:r w:rsidR="00CD45AF" w:rsidRPr="003E3C12">
        <w:rPr>
          <w:i/>
        </w:rPr>
        <w:t>R. v. Haniffa</w:t>
      </w:r>
      <w:r w:rsidR="00CD45AF" w:rsidRPr="003E3C12">
        <w:t xml:space="preserve">, 2022 SCC </w:t>
      </w:r>
      <w:r w:rsidR="00B72B0F" w:rsidRPr="003E3C12">
        <w:t>46</w:t>
      </w:r>
      <w:r w:rsidR="00CD45AF" w:rsidRPr="003E3C12">
        <w:t>;</w:t>
      </w:r>
      <w:r w:rsidR="00CD45AF" w:rsidRPr="003E3C12">
        <w:rPr>
          <w:i/>
        </w:rPr>
        <w:t xml:space="preserve"> </w:t>
      </w:r>
      <w:r w:rsidR="00161D0E" w:rsidRPr="003E3C12">
        <w:rPr>
          <w:i/>
        </w:rPr>
        <w:t>Kienapple v. The Queen</w:t>
      </w:r>
      <w:r w:rsidR="00161D0E" w:rsidRPr="003E3C12">
        <w:t>,</w:t>
      </w:r>
      <w:r w:rsidR="00161D0E" w:rsidRPr="003E3C12">
        <w:rPr>
          <w:i/>
        </w:rPr>
        <w:t xml:space="preserve"> </w:t>
      </w:r>
      <w:r w:rsidR="00161D0E" w:rsidRPr="003E3C12">
        <w:t xml:space="preserve">[1975] 1 S.C.R. 729; </w:t>
      </w:r>
      <w:r w:rsidR="00BB4C76" w:rsidRPr="003E3C12">
        <w:rPr>
          <w:i/>
        </w:rPr>
        <w:t>R. v. Ramelson</w:t>
      </w:r>
      <w:r w:rsidR="00BB4C76" w:rsidRPr="003E3C12">
        <w:t>, 2021 ONCA 328, 155 O.R. (3d) 481</w:t>
      </w:r>
      <w:r w:rsidR="00BD7142" w:rsidRPr="003E3C12">
        <w:t>.</w:t>
      </w:r>
    </w:p>
    <w:p w:rsidR="003B215F" w:rsidRPr="003E3C12" w:rsidRDefault="002E6705" w:rsidP="002C219C">
      <w:pPr>
        <w:pStyle w:val="SCCNormalDoubleSpacing"/>
        <w:spacing w:after="720" w:line="240" w:lineRule="auto"/>
      </w:pPr>
      <w:r w:rsidRPr="003E3C12">
        <w:rPr>
          <w:b/>
        </w:rPr>
        <w:t>Statutes and Regulations Cite</w:t>
      </w:r>
      <w:r w:rsidR="00A41805" w:rsidRPr="003E3C12">
        <w:rPr>
          <w:b/>
        </w:rPr>
        <w:t>d</w:t>
      </w:r>
    </w:p>
    <w:p w:rsidR="00A149DF" w:rsidRPr="003E3C12" w:rsidRDefault="00A2673C" w:rsidP="002C219C">
      <w:pPr>
        <w:pStyle w:val="SCCNormalDoubleSpacing"/>
        <w:spacing w:after="720" w:line="240" w:lineRule="auto"/>
        <w:ind w:left="547" w:hanging="547"/>
        <w:rPr>
          <w:lang w:val="fr-CA"/>
        </w:rPr>
      </w:pPr>
      <w:r w:rsidRPr="003E3C12">
        <w:rPr>
          <w:i/>
          <w:lang w:val="fr-CA"/>
        </w:rPr>
        <w:t>Criminal Code</w:t>
      </w:r>
      <w:r w:rsidR="002C219C" w:rsidRPr="003E3C12">
        <w:rPr>
          <w:lang w:val="fr-CA"/>
        </w:rPr>
        <w:t>, R.S.C. 1985, c. C</w:t>
      </w:r>
      <w:r w:rsidR="002C219C" w:rsidRPr="003E3C12">
        <w:rPr>
          <w:lang w:val="fr-CA"/>
        </w:rPr>
        <w:noBreakHyphen/>
        <w:t xml:space="preserve">46, </w:t>
      </w:r>
      <w:proofErr w:type="spellStart"/>
      <w:r w:rsidR="002C219C" w:rsidRPr="003E3C12">
        <w:rPr>
          <w:lang w:val="fr-CA"/>
        </w:rPr>
        <w:t>ss</w:t>
      </w:r>
      <w:proofErr w:type="spellEnd"/>
      <w:r w:rsidR="002C219C" w:rsidRPr="003E3C12">
        <w:rPr>
          <w:lang w:val="fr-CA"/>
        </w:rPr>
        <w:t>. </w:t>
      </w:r>
      <w:r w:rsidRPr="003E3C12">
        <w:rPr>
          <w:lang w:val="fr-CA"/>
        </w:rPr>
        <w:t>152, 172.1(1</w:t>
      </w:r>
      <w:proofErr w:type="gramStart"/>
      <w:r w:rsidRPr="003E3C12">
        <w:rPr>
          <w:lang w:val="fr-CA"/>
        </w:rPr>
        <w:t>)(</w:t>
      </w:r>
      <w:proofErr w:type="gramEnd"/>
      <w:r w:rsidRPr="003E3C12">
        <w:rPr>
          <w:lang w:val="fr-CA"/>
        </w:rPr>
        <w:t>a), (b), 286.1(2).</w:t>
      </w:r>
    </w:p>
    <w:p w:rsidR="00656313" w:rsidRPr="003E3C12" w:rsidRDefault="004F3A3D" w:rsidP="002C219C">
      <w:pPr>
        <w:pStyle w:val="SCCNormalDoubleSpacing"/>
        <w:spacing w:after="480"/>
      </w:pPr>
      <w:r w:rsidRPr="003E3C12">
        <w:rPr>
          <w:lang w:val="fr-CA"/>
        </w:rPr>
        <w:tab/>
      </w:r>
      <w:r w:rsidR="009B57B3" w:rsidRPr="003E3C12">
        <w:t>APPEAL from a judgment of the</w:t>
      </w:r>
      <w:r w:rsidR="00965DEE" w:rsidRPr="003E3C12">
        <w:t xml:space="preserve"> Ontario Court of Appeal </w:t>
      </w:r>
      <w:r w:rsidRPr="003E3C12">
        <w:t xml:space="preserve">(Juriansz, Tulloch and Paciocco JJ.A.), </w:t>
      </w:r>
      <w:hyperlink r:id="rId9" w:history="1">
        <w:r w:rsidRPr="003E3C12">
          <w:rPr>
            <w:rStyle w:val="Hyperlink"/>
          </w:rPr>
          <w:t>2021 ONCA 327</w:t>
        </w:r>
      </w:hyperlink>
      <w:r w:rsidRPr="003E3C12">
        <w:t>, 155</w:t>
      </w:r>
      <w:r w:rsidR="002C219C" w:rsidRPr="003E3C12">
        <w:t xml:space="preserve"> O.R. (3d) 516, [2021] O.J. No. </w:t>
      </w:r>
      <w:r w:rsidRPr="003E3C12">
        <w:t xml:space="preserve">2624 (QL), 2021 CarswellOnt 7086 (WL), </w:t>
      </w:r>
      <w:r w:rsidR="00823377" w:rsidRPr="003E3C12">
        <w:t xml:space="preserve">affirming the </w:t>
      </w:r>
      <w:r w:rsidR="004B51CF" w:rsidRPr="003E3C12">
        <w:t xml:space="preserve">conviction of the accused and the </w:t>
      </w:r>
      <w:r w:rsidR="00823377" w:rsidRPr="003E3C12">
        <w:t xml:space="preserve">dismissal of the application for a stay of proceedings. Appeal </w:t>
      </w:r>
      <w:r w:rsidR="00AA1B10" w:rsidRPr="003E3C12">
        <w:t>dismissed</w:t>
      </w:r>
      <w:r w:rsidR="00823377" w:rsidRPr="003E3C12">
        <w:t>.</w:t>
      </w:r>
    </w:p>
    <w:p w:rsidR="006A3A20" w:rsidRPr="003E3C12" w:rsidRDefault="00DF61AF" w:rsidP="002C219C">
      <w:pPr>
        <w:pStyle w:val="SCCNormalDoubleSpacing"/>
        <w:spacing w:after="480"/>
        <w:rPr>
          <w:rStyle w:val="SCCCounselNameChar"/>
          <w:i w:val="0"/>
        </w:rPr>
      </w:pPr>
      <w:r w:rsidRPr="003E3C12">
        <w:rPr>
          <w:rStyle w:val="SCCCounselNameChar"/>
        </w:rPr>
        <w:tab/>
      </w:r>
      <w:r w:rsidR="006A3A20" w:rsidRPr="003E3C12">
        <w:rPr>
          <w:rStyle w:val="SCCCounselNameChar"/>
        </w:rPr>
        <w:t>Temitope Dare</w:t>
      </w:r>
      <w:r w:rsidR="006A3A20" w:rsidRPr="003E3C12">
        <w:rPr>
          <w:rStyle w:val="SCCCounselNameChar"/>
          <w:i w:val="0"/>
        </w:rPr>
        <w:t xml:space="preserve">, </w:t>
      </w:r>
      <w:r w:rsidR="006A3A20" w:rsidRPr="003E3C12">
        <w:t>on his own behalf.</w:t>
      </w:r>
    </w:p>
    <w:p w:rsidR="001645AE" w:rsidRPr="003E3C12" w:rsidRDefault="006A3A20" w:rsidP="002C219C">
      <w:pPr>
        <w:pStyle w:val="SCCNormalDoubleSpacing"/>
        <w:spacing w:after="480"/>
      </w:pPr>
      <w:r w:rsidRPr="003E3C12">
        <w:rPr>
          <w:rStyle w:val="SCCCounselNameChar"/>
        </w:rPr>
        <w:tab/>
      </w:r>
      <w:r w:rsidR="00490CCC" w:rsidRPr="003E3C12">
        <w:rPr>
          <w:rStyle w:val="SCCCounselNameChar"/>
        </w:rPr>
        <w:t xml:space="preserve">Lisa Fineberg </w:t>
      </w:r>
      <w:r w:rsidR="00490CCC" w:rsidRPr="003E3C12">
        <w:rPr>
          <w:rStyle w:val="SCCCounselNameChar"/>
          <w:i w:val="0"/>
        </w:rPr>
        <w:t xml:space="preserve">and </w:t>
      </w:r>
      <w:r w:rsidR="00DF61AF" w:rsidRPr="003E3C12">
        <w:rPr>
          <w:rStyle w:val="SCCCounselNameChar"/>
        </w:rPr>
        <w:t>Katie Doherty</w:t>
      </w:r>
      <w:r w:rsidR="00DF61AF" w:rsidRPr="003E3C12">
        <w:rPr>
          <w:rStyle w:val="SCCCounselPartyRoleChar"/>
        </w:rPr>
        <w:t>, for the respondent.</w:t>
      </w:r>
    </w:p>
    <w:p w:rsidR="001645AE" w:rsidRPr="003E3C12" w:rsidRDefault="00DF61AF" w:rsidP="002C219C">
      <w:pPr>
        <w:pStyle w:val="SCCNormalDoubleSpacing"/>
        <w:spacing w:after="480"/>
      </w:pPr>
      <w:r w:rsidRPr="003E3C12">
        <w:rPr>
          <w:rStyle w:val="SCCCounselNameChar"/>
        </w:rPr>
        <w:tab/>
        <w:t>David Quayat</w:t>
      </w:r>
      <w:r w:rsidRPr="003E3C12">
        <w:rPr>
          <w:rStyle w:val="SCCCounselSeparatorChar"/>
        </w:rPr>
        <w:t xml:space="preserve"> and </w:t>
      </w:r>
      <w:r w:rsidRPr="003E3C12">
        <w:rPr>
          <w:rStyle w:val="SCCCounselNameChar"/>
        </w:rPr>
        <w:t>Chris Greenwood</w:t>
      </w:r>
      <w:r w:rsidRPr="003E3C12">
        <w:rPr>
          <w:rStyle w:val="SCCCounselPartyRoleChar"/>
        </w:rPr>
        <w:t xml:space="preserve">, for the intervener </w:t>
      </w:r>
      <w:r w:rsidR="006A3A20" w:rsidRPr="003E3C12">
        <w:rPr>
          <w:rStyle w:val="SCCCounselPartyRoleChar"/>
        </w:rPr>
        <w:t xml:space="preserve">the </w:t>
      </w:r>
      <w:r w:rsidRPr="003E3C12">
        <w:rPr>
          <w:rStyle w:val="SCCCounselPartyRoleChar"/>
        </w:rPr>
        <w:t>Director of Public Prosecutions.</w:t>
      </w:r>
    </w:p>
    <w:p w:rsidR="001645AE" w:rsidRPr="003E3C12" w:rsidRDefault="00DF61AF" w:rsidP="002C219C">
      <w:pPr>
        <w:pStyle w:val="SCCNormalDoubleSpacing"/>
        <w:spacing w:after="480"/>
      </w:pPr>
      <w:r w:rsidRPr="003E3C12">
        <w:rPr>
          <w:rStyle w:val="SCCCounselNameChar"/>
        </w:rPr>
        <w:tab/>
        <w:t>Michael Lacy</w:t>
      </w:r>
      <w:r w:rsidRPr="003E3C12">
        <w:rPr>
          <w:rStyle w:val="SCCCounselSeparatorChar"/>
        </w:rPr>
        <w:t xml:space="preserve"> and </w:t>
      </w:r>
      <w:r w:rsidRPr="003E3C12">
        <w:rPr>
          <w:rStyle w:val="SCCCounselNameChar"/>
        </w:rPr>
        <w:t>Bryan Badali</w:t>
      </w:r>
      <w:r w:rsidRPr="003E3C12">
        <w:rPr>
          <w:rStyle w:val="SCCCounselPartyRoleChar"/>
        </w:rPr>
        <w:t xml:space="preserve">, for the intervener </w:t>
      </w:r>
      <w:r w:rsidR="006A3A20" w:rsidRPr="003E3C12">
        <w:rPr>
          <w:rStyle w:val="SCCCounselPartyRoleChar"/>
        </w:rPr>
        <w:t xml:space="preserve">the </w:t>
      </w:r>
      <w:r w:rsidRPr="003E3C12">
        <w:rPr>
          <w:rStyle w:val="SCCCounselPartyRoleChar"/>
        </w:rPr>
        <w:t>Criminal Lawyers</w:t>
      </w:r>
      <w:r w:rsidR="00526D25" w:rsidRPr="003E3C12">
        <w:rPr>
          <w:rStyle w:val="SCCCounselPartyRoleChar"/>
        </w:rPr>
        <w:t>’</w:t>
      </w:r>
      <w:r w:rsidRPr="003E3C12">
        <w:rPr>
          <w:rStyle w:val="SCCCounselPartyRoleChar"/>
        </w:rPr>
        <w:t xml:space="preserve"> Association of Ontario.</w:t>
      </w:r>
    </w:p>
    <w:p w:rsidR="001645AE" w:rsidRPr="003E3C12" w:rsidRDefault="00DF61AF" w:rsidP="002C219C">
      <w:pPr>
        <w:pStyle w:val="SCCNormalDoubleSpacing"/>
        <w:spacing w:after="480"/>
      </w:pPr>
      <w:r w:rsidRPr="003E3C12">
        <w:rPr>
          <w:rStyle w:val="SCCCounselNameChar"/>
        </w:rPr>
        <w:tab/>
        <w:t>Gerald Chan</w:t>
      </w:r>
      <w:r w:rsidRPr="003E3C12">
        <w:rPr>
          <w:rStyle w:val="SCCCounselSeparatorChar"/>
        </w:rPr>
        <w:t xml:space="preserve"> and </w:t>
      </w:r>
      <w:r w:rsidRPr="003E3C12">
        <w:rPr>
          <w:rStyle w:val="SCCCounselNameChar"/>
        </w:rPr>
        <w:t>Spencer Bass</w:t>
      </w:r>
      <w:r w:rsidRPr="003E3C12">
        <w:rPr>
          <w:rStyle w:val="SCCCounselPartyRoleChar"/>
        </w:rPr>
        <w:t>, for the intervener</w:t>
      </w:r>
      <w:r w:rsidR="006A3A20" w:rsidRPr="003E3C12">
        <w:rPr>
          <w:rStyle w:val="SCCCounselPartyRoleChar"/>
        </w:rPr>
        <w:t xml:space="preserve"> the</w:t>
      </w:r>
      <w:r w:rsidRPr="003E3C12">
        <w:rPr>
          <w:rStyle w:val="SCCCounselPartyRoleChar"/>
        </w:rPr>
        <w:t xml:space="preserve"> British Columbia Civil Liberties Association.</w:t>
      </w:r>
    </w:p>
    <w:p w:rsidR="001645AE" w:rsidRPr="003E3C12" w:rsidRDefault="00DF61AF" w:rsidP="002C219C">
      <w:pPr>
        <w:pStyle w:val="SCCNormalDoubleSpacing"/>
        <w:spacing w:after="480"/>
      </w:pPr>
      <w:r w:rsidRPr="003E3C12">
        <w:rPr>
          <w:rStyle w:val="SCCCounselNameChar"/>
        </w:rPr>
        <w:lastRenderedPageBreak/>
        <w:tab/>
        <w:t>Danielle Glatt</w:t>
      </w:r>
      <w:r w:rsidRPr="003E3C12">
        <w:rPr>
          <w:rStyle w:val="SCCCounselSeparatorChar"/>
        </w:rPr>
        <w:t xml:space="preserve"> and </w:t>
      </w:r>
      <w:r w:rsidRPr="003E3C12">
        <w:rPr>
          <w:rStyle w:val="SCCCounselNameChar"/>
        </w:rPr>
        <w:t>Catherine Fan</w:t>
      </w:r>
      <w:r w:rsidRPr="003E3C12">
        <w:rPr>
          <w:rStyle w:val="SCCCounselPartyRoleChar"/>
        </w:rPr>
        <w:t xml:space="preserve">, for the intervener </w:t>
      </w:r>
      <w:r w:rsidR="006A3A20" w:rsidRPr="003E3C12">
        <w:rPr>
          <w:rStyle w:val="SCCCounselPartyRoleChar"/>
        </w:rPr>
        <w:t xml:space="preserve">the </w:t>
      </w:r>
      <w:r w:rsidRPr="003E3C12">
        <w:rPr>
          <w:rStyle w:val="SCCCounselPartyRoleChar"/>
        </w:rPr>
        <w:t>Canadian Civil Liberties Association.</w:t>
      </w:r>
    </w:p>
    <w:p w:rsidR="003E3C12" w:rsidRPr="003E3C12" w:rsidRDefault="003E3C12" w:rsidP="003E3C12">
      <w:pPr>
        <w:tabs>
          <w:tab w:val="left" w:pos="1134"/>
        </w:tabs>
        <w:jc w:val="both"/>
        <w:rPr>
          <w:szCs w:val="24"/>
        </w:rPr>
      </w:pPr>
      <w:r w:rsidRPr="003E3C12">
        <w:rPr>
          <w:szCs w:val="24"/>
        </w:rPr>
        <w:tab/>
        <w:t>The judgment of the Court was delivered by</w:t>
      </w:r>
    </w:p>
    <w:p w:rsidR="003E3C12" w:rsidRPr="003E3C12" w:rsidRDefault="003E3C12" w:rsidP="003E3C12">
      <w:pPr>
        <w:tabs>
          <w:tab w:val="left" w:pos="1134"/>
        </w:tabs>
        <w:jc w:val="both"/>
        <w:rPr>
          <w:szCs w:val="24"/>
        </w:rPr>
      </w:pPr>
    </w:p>
    <w:p w:rsidR="003E3C12" w:rsidRPr="003E3C12" w:rsidRDefault="003E3C12" w:rsidP="006A55B9">
      <w:pPr>
        <w:pStyle w:val="JudgeJuge"/>
        <w:tabs>
          <w:tab w:val="clear" w:pos="1166"/>
          <w:tab w:val="left" w:pos="1134"/>
        </w:tabs>
      </w:pPr>
      <w:r w:rsidRPr="003E3C12">
        <w:tab/>
        <w:t>Karakatsanis J. —</w:t>
      </w:r>
    </w:p>
    <w:p w:rsidR="003E3C12" w:rsidRPr="003E3C12" w:rsidRDefault="003E3C12" w:rsidP="003E3C12">
      <w:pPr>
        <w:pStyle w:val="ParaNoNdepar-AltN"/>
        <w:tabs>
          <w:tab w:val="clear" w:pos="1152"/>
          <w:tab w:val="left" w:pos="1166"/>
        </w:tabs>
        <w:rPr>
          <w:rFonts w:cs="Times New Roman"/>
        </w:rPr>
      </w:pPr>
      <w:r w:rsidRPr="003E3C12">
        <w:rPr>
          <w:rFonts w:cs="Times New Roman"/>
        </w:rPr>
        <w:t xml:space="preserve">The appellant, Temitope Dare, was 1 of 104 people arrested over the course of “Project Raphael”, an online investigation of the York Regional Police which targeted the buyer side of the juvenile sex work market. His appeal before this Court was heard together with three others, each concerning the doctrine of entrapment in the context of the Project Raphael online police investigation. The companion cases, with reasons released concurrently, are </w:t>
      </w:r>
      <w:r w:rsidRPr="003E3C12">
        <w:rPr>
          <w:rFonts w:cs="Times New Roman"/>
          <w:i/>
        </w:rPr>
        <w:t>R. v. Ramelson</w:t>
      </w:r>
      <w:r w:rsidRPr="003E3C12">
        <w:rPr>
          <w:rFonts w:cs="Times New Roman"/>
        </w:rPr>
        <w:t xml:space="preserve">, 2022 SCC 44, </w:t>
      </w:r>
      <w:r w:rsidRPr="003E3C12">
        <w:rPr>
          <w:rFonts w:cs="Times New Roman"/>
          <w:i/>
        </w:rPr>
        <w:t>R. v. Jaffer</w:t>
      </w:r>
      <w:r w:rsidRPr="003E3C12">
        <w:rPr>
          <w:rFonts w:cs="Times New Roman"/>
        </w:rPr>
        <w:t xml:space="preserve">, 2022 SCC 45 and </w:t>
      </w:r>
      <w:r w:rsidRPr="003E3C12">
        <w:rPr>
          <w:rFonts w:cs="Times New Roman"/>
          <w:i/>
        </w:rPr>
        <w:t>R. v. Haniffa</w:t>
      </w:r>
      <w:r w:rsidRPr="003E3C12">
        <w:rPr>
          <w:rFonts w:cs="Times New Roman"/>
        </w:rPr>
        <w:t xml:space="preserve">, 2022 SCC 46. Like two of the other three appellants, Mr. Dare’s appeal is from an order of the Court of Appeal for Ontario dismissing his conviction appeal and his appeal from the application judge’s dismissal of his entrapment application. </w:t>
      </w:r>
    </w:p>
    <w:p w:rsidR="003E3C12" w:rsidRPr="003E3C12" w:rsidRDefault="003E3C12" w:rsidP="003E3C12">
      <w:pPr>
        <w:pStyle w:val="ParaNoNdepar-AltN"/>
        <w:tabs>
          <w:tab w:val="clear" w:pos="1152"/>
          <w:tab w:val="left" w:pos="1166"/>
        </w:tabs>
        <w:rPr>
          <w:rFonts w:cs="Times New Roman"/>
        </w:rPr>
      </w:pPr>
      <w:r w:rsidRPr="003E3C12">
        <w:rPr>
          <w:rFonts w:cs="Times New Roman"/>
        </w:rPr>
        <w:t xml:space="preserve">Mr. Dare’s appeal concerns the </w:t>
      </w:r>
      <w:r w:rsidRPr="003E3C12">
        <w:rPr>
          <w:rFonts w:cs="Times New Roman"/>
          <w:i/>
        </w:rPr>
        <w:t>bona fide</w:t>
      </w:r>
      <w:r w:rsidRPr="003E3C12">
        <w:rPr>
          <w:rFonts w:cs="Times New Roman"/>
        </w:rPr>
        <w:t xml:space="preserve"> inquiry prong of the entrapment doctrine in relation to Project Raphael. Because I consider these issues at length in </w:t>
      </w:r>
      <w:r w:rsidRPr="003E3C12">
        <w:rPr>
          <w:rFonts w:cs="Times New Roman"/>
          <w:i/>
        </w:rPr>
        <w:t>Ramelson</w:t>
      </w:r>
      <w:r w:rsidRPr="003E3C12">
        <w:rPr>
          <w:rFonts w:cs="Times New Roman"/>
        </w:rPr>
        <w:t xml:space="preserve"> and because the disposition of this appeal is necessarily the same, my reasons here are brief.</w:t>
      </w:r>
    </w:p>
    <w:p w:rsidR="003E3C12" w:rsidRPr="003E3C12" w:rsidRDefault="003E3C12" w:rsidP="003E3C12">
      <w:pPr>
        <w:pStyle w:val="ParaNoNdepar-AltN"/>
        <w:tabs>
          <w:tab w:val="clear" w:pos="1152"/>
          <w:tab w:val="left" w:pos="1166"/>
        </w:tabs>
        <w:rPr>
          <w:rFonts w:cs="Times New Roman"/>
        </w:rPr>
      </w:pPr>
      <w:r w:rsidRPr="003E3C12">
        <w:rPr>
          <w:rFonts w:cs="Times New Roman"/>
        </w:rPr>
        <w:t xml:space="preserve">On March 25, 2016, while browsing the escort subdirectory of Backpage.com, Mr. Dare responded to an ad purportedly placed by “Kathy”. The ad indicated she was 18 years old (the minimum age allowed by the website), described her as a “Tight Brand New </w:t>
      </w:r>
      <w:proofErr w:type="gramStart"/>
      <w:r w:rsidRPr="003E3C12">
        <w:rPr>
          <w:rFonts w:cs="Times New Roman"/>
        </w:rPr>
        <w:t>girl .</w:t>
      </w:r>
      <w:proofErr w:type="gramEnd"/>
      <w:r w:rsidRPr="003E3C12">
        <w:rPr>
          <w:rFonts w:cs="Times New Roman"/>
        </w:rPr>
        <w:t> . . who is sexy and young with a tight body”, and stated that she had a “YOUNG FRIEND” (R.R., vol. IV, at p. 118). Communicating with Mr. Dare by text, the undercover officer (UC) eventually revealed to him that “she” was 15 years old:</w:t>
      </w:r>
    </w:p>
    <w:p w:rsidR="003E3C12" w:rsidRPr="003E3C12" w:rsidRDefault="003E3C12" w:rsidP="003E3C12">
      <w:pPr>
        <w:pStyle w:val="Citation-AltC"/>
      </w:pPr>
      <w:r w:rsidRPr="003E3C12">
        <w:t xml:space="preserve">[03:26 – UC]: You cool with young? </w:t>
      </w:r>
    </w:p>
    <w:p w:rsidR="003E3C12" w:rsidRPr="003E3C12" w:rsidRDefault="003E3C12" w:rsidP="003E3C12">
      <w:pPr>
        <w:pStyle w:val="Citation-AltC"/>
      </w:pPr>
    </w:p>
    <w:p w:rsidR="003E3C12" w:rsidRPr="003E3C12" w:rsidRDefault="003E3C12" w:rsidP="003E3C12">
      <w:pPr>
        <w:pStyle w:val="Citation-AltC"/>
      </w:pPr>
      <w:r w:rsidRPr="003E3C12">
        <w:t>[03:26 – Dare]: Yes</w:t>
      </w:r>
    </w:p>
    <w:p w:rsidR="003E3C12" w:rsidRPr="003E3C12" w:rsidRDefault="003E3C12" w:rsidP="003E3C12">
      <w:pPr>
        <w:pStyle w:val="Citation-AltC"/>
      </w:pPr>
    </w:p>
    <w:p w:rsidR="003E3C12" w:rsidRPr="003E3C12" w:rsidRDefault="003E3C12" w:rsidP="003E3C12">
      <w:pPr>
        <w:pStyle w:val="Citation-AltC"/>
      </w:pPr>
      <w:r w:rsidRPr="003E3C12">
        <w:t xml:space="preserve">[03:27 – Dare]: Am also young </w:t>
      </w:r>
    </w:p>
    <w:p w:rsidR="003E3C12" w:rsidRPr="003E3C12" w:rsidRDefault="003E3C12" w:rsidP="003E3C12">
      <w:pPr>
        <w:pStyle w:val="Citation-AltC"/>
      </w:pPr>
    </w:p>
    <w:p w:rsidR="003E3C12" w:rsidRPr="003E3C12" w:rsidRDefault="003E3C12" w:rsidP="003E3C12">
      <w:pPr>
        <w:pStyle w:val="Citation-AltC"/>
      </w:pPr>
      <w:r w:rsidRPr="003E3C12">
        <w:t xml:space="preserve">[03:27 – UC]: Ok cool. I’m 15 but look bit older. </w:t>
      </w:r>
    </w:p>
    <w:p w:rsidR="003E3C12" w:rsidRPr="003E3C12" w:rsidRDefault="003E3C12" w:rsidP="003E3C12">
      <w:pPr>
        <w:pStyle w:val="Citation-AltC"/>
      </w:pPr>
    </w:p>
    <w:p w:rsidR="003E3C12" w:rsidRPr="003E3C12" w:rsidRDefault="003E3C12" w:rsidP="003E3C12">
      <w:pPr>
        <w:pStyle w:val="Citation-AltC"/>
        <w:jc w:val="center"/>
      </w:pPr>
      <w:r w:rsidRPr="003E3C12">
        <w:t>. . .</w:t>
      </w:r>
    </w:p>
    <w:p w:rsidR="003E3C12" w:rsidRPr="003E3C12" w:rsidRDefault="003E3C12" w:rsidP="003E3C12">
      <w:pPr>
        <w:pStyle w:val="Citation-AltC"/>
      </w:pPr>
    </w:p>
    <w:p w:rsidR="003E3C12" w:rsidRPr="003E3C12" w:rsidRDefault="003E3C12" w:rsidP="003E3C12">
      <w:pPr>
        <w:pStyle w:val="Citation-AltC"/>
      </w:pPr>
      <w:r w:rsidRPr="003E3C12">
        <w:t xml:space="preserve">[03:28 – UC]: How old are you if don’t mind me asking? </w:t>
      </w:r>
    </w:p>
    <w:p w:rsidR="003E3C12" w:rsidRPr="003E3C12" w:rsidRDefault="003E3C12" w:rsidP="003E3C12">
      <w:pPr>
        <w:pStyle w:val="Citation-AltC"/>
      </w:pPr>
    </w:p>
    <w:p w:rsidR="003E3C12" w:rsidRPr="003E3C12" w:rsidRDefault="003E3C12" w:rsidP="003E3C12">
      <w:pPr>
        <w:pStyle w:val="Citation-AltC"/>
      </w:pPr>
      <w:r w:rsidRPr="003E3C12">
        <w:t>[03:29 – Dare]: Ok am 22</w:t>
      </w:r>
    </w:p>
    <w:p w:rsidR="003E3C12" w:rsidRPr="003E3C12" w:rsidRDefault="003E3C12" w:rsidP="003E3C12">
      <w:pPr>
        <w:pStyle w:val="Citation-AltC"/>
      </w:pPr>
    </w:p>
    <w:p w:rsidR="003E3C12" w:rsidRPr="003E3C12" w:rsidRDefault="003E3C12" w:rsidP="003E3C12">
      <w:pPr>
        <w:pStyle w:val="Citation-AltC"/>
      </w:pPr>
      <w:r w:rsidRPr="003E3C12">
        <w:t xml:space="preserve">(R.R., vol. IV, at pp. 121-22) </w:t>
      </w:r>
    </w:p>
    <w:p w:rsidR="003E3C12" w:rsidRPr="003E3C12" w:rsidRDefault="003E3C12" w:rsidP="003E3C12">
      <w:pPr>
        <w:pStyle w:val="ParaNoNdepar-AltN"/>
        <w:tabs>
          <w:tab w:val="clear" w:pos="1152"/>
          <w:tab w:val="left" w:pos="1166"/>
        </w:tabs>
        <w:rPr>
          <w:rFonts w:cs="Times New Roman"/>
        </w:rPr>
      </w:pPr>
      <w:r w:rsidRPr="003E3C12">
        <w:rPr>
          <w:rFonts w:cs="Times New Roman"/>
        </w:rPr>
        <w:t xml:space="preserve">When Mr. Dare arrived at the designated hotel room, he was arrested. He was charged with 3 offences: telecommunicating with a person he believed to be under the age of 18 years, for the purpose of committing an offence under s. 286.1(2) of the </w:t>
      </w:r>
      <w:r w:rsidRPr="003E3C12">
        <w:rPr>
          <w:rFonts w:cs="Times New Roman"/>
          <w:i/>
        </w:rPr>
        <w:t>Criminal Code</w:t>
      </w:r>
      <w:r w:rsidRPr="003E3C12">
        <w:rPr>
          <w:rFonts w:cs="Times New Roman"/>
        </w:rPr>
        <w:t xml:space="preserve">, R.S.C. 1985, c. C-46 (communicating to obtain sexual services from a minor), contrary to s. 172.1(1)(a); telecommunicating with a person he believed to be under the age of 16 years for the purpose of committing an offence under s. 152 (invitation to sexual touching), contrary to s. 172.1(1)(b); and communicating to obtain sexual services for consideration from a person under 18 years, contrary to s. 286.1(2). </w:t>
      </w:r>
    </w:p>
    <w:p w:rsidR="003E3C12" w:rsidRPr="003E3C12" w:rsidRDefault="003E3C12" w:rsidP="003E3C12">
      <w:pPr>
        <w:pStyle w:val="ParaNoNdepar-AltN"/>
        <w:tabs>
          <w:tab w:val="clear" w:pos="1152"/>
          <w:tab w:val="left" w:pos="1166"/>
        </w:tabs>
        <w:rPr>
          <w:rFonts w:cs="Times New Roman"/>
        </w:rPr>
      </w:pPr>
      <w:r w:rsidRPr="003E3C12">
        <w:rPr>
          <w:rFonts w:cs="Times New Roman"/>
        </w:rPr>
        <w:t>The jury convicted Mr. Dare on all three counts, but his convictions under ss. 172.1(1</w:t>
      </w:r>
      <w:proofErr w:type="gramStart"/>
      <w:r w:rsidRPr="003E3C12">
        <w:rPr>
          <w:rFonts w:cs="Times New Roman"/>
        </w:rPr>
        <w:t>)(</w:t>
      </w:r>
      <w:proofErr w:type="gramEnd"/>
      <w:r w:rsidRPr="003E3C12">
        <w:rPr>
          <w:rFonts w:cs="Times New Roman"/>
        </w:rPr>
        <w:t xml:space="preserve">b) and 286.1(2) were stayed pursuant to </w:t>
      </w:r>
      <w:r w:rsidRPr="003E3C12">
        <w:rPr>
          <w:rFonts w:cs="Times New Roman"/>
          <w:i/>
        </w:rPr>
        <w:t>Kienapple v. The Queen</w:t>
      </w:r>
      <w:r w:rsidRPr="003E3C12">
        <w:rPr>
          <w:rFonts w:cs="Times New Roman"/>
        </w:rPr>
        <w:t xml:space="preserve">, [1975] 1 S.C.R. 729. Mr. Dare then brought an application for a stay of proceedings, arguing that he had been entrapped. </w:t>
      </w:r>
    </w:p>
    <w:p w:rsidR="003E3C12" w:rsidRPr="003E3C12" w:rsidRDefault="003E3C12" w:rsidP="003E3C12">
      <w:pPr>
        <w:pStyle w:val="ParaNoNdepar-AltN"/>
        <w:tabs>
          <w:tab w:val="clear" w:pos="1152"/>
          <w:tab w:val="left" w:pos="1166"/>
        </w:tabs>
        <w:rPr>
          <w:rFonts w:cs="Times New Roman"/>
        </w:rPr>
      </w:pPr>
      <w:r w:rsidRPr="003E3C12">
        <w:rPr>
          <w:rFonts w:cs="Times New Roman"/>
        </w:rPr>
        <w:t xml:space="preserve">The application judge dismissed the application, concluding that Project Raphael was based on the police’s reasonable suspicion that the offences were occurring within a sufficiently precise space. Since the police did “everything possible within the confines of Backpage” to limit the pool of people who would select the ad to those interested in obtaining the sexual services of a young person, the police conduct did not amount to random virtue testing (A.R., vol. I, at p. 8). The Court of Appeal then dismissed Mr. Dare’s appeal for its reasons in </w:t>
      </w:r>
      <w:r w:rsidRPr="003E3C12">
        <w:rPr>
          <w:rFonts w:cs="Times New Roman"/>
          <w:i/>
        </w:rPr>
        <w:t>R. v. Ramelson</w:t>
      </w:r>
      <w:r w:rsidRPr="003E3C12">
        <w:rPr>
          <w:rFonts w:cs="Times New Roman"/>
        </w:rPr>
        <w:t>, 2021 ONCA 328, 155 O.R. (3d) 481, which addressed the common issue of whether the individuals arrested through Project Raphael were entrapped (2021 ONCA 327, 155 O.R. (3d) 516, at para. 28).</w:t>
      </w:r>
    </w:p>
    <w:p w:rsidR="003E3C12" w:rsidRPr="003E3C12" w:rsidRDefault="003E3C12" w:rsidP="003E3C12">
      <w:pPr>
        <w:pStyle w:val="ParaNoNdepar-AltN"/>
        <w:tabs>
          <w:tab w:val="clear" w:pos="1152"/>
          <w:tab w:val="left" w:pos="1166"/>
        </w:tabs>
        <w:rPr>
          <w:rFonts w:cs="Times New Roman"/>
        </w:rPr>
      </w:pPr>
      <w:r w:rsidRPr="003E3C12">
        <w:rPr>
          <w:rFonts w:cs="Times New Roman"/>
        </w:rPr>
        <w:t xml:space="preserve">In this appeal, Mr. Dare adopts the appellant submissions made in </w:t>
      </w:r>
      <w:r w:rsidRPr="003E3C12">
        <w:rPr>
          <w:rFonts w:cs="Times New Roman"/>
          <w:i/>
        </w:rPr>
        <w:t>Ramelson</w:t>
      </w:r>
      <w:r w:rsidRPr="003E3C12">
        <w:rPr>
          <w:rFonts w:cs="Times New Roman"/>
        </w:rPr>
        <w:t xml:space="preserve"> and </w:t>
      </w:r>
      <w:r w:rsidRPr="003E3C12">
        <w:rPr>
          <w:rFonts w:cs="Times New Roman"/>
          <w:i/>
        </w:rPr>
        <w:t>Haniffa</w:t>
      </w:r>
      <w:r w:rsidRPr="003E3C12">
        <w:rPr>
          <w:rFonts w:cs="Times New Roman"/>
        </w:rPr>
        <w:t xml:space="preserve">, stating that “the facts in the present case are sufficiently similar, so that the same conclusions ought to follow” (A.F., at para. 23). For the reasons I have given in </w:t>
      </w:r>
      <w:bookmarkStart w:id="0" w:name="_GoBack"/>
      <w:bookmarkEnd w:id="0"/>
      <w:r w:rsidRPr="003E3C12">
        <w:rPr>
          <w:rFonts w:cs="Times New Roman"/>
          <w:i/>
        </w:rPr>
        <w:t>Ramelson</w:t>
      </w:r>
      <w:r w:rsidRPr="003E3C12">
        <w:rPr>
          <w:rFonts w:cs="Times New Roman"/>
        </w:rPr>
        <w:t xml:space="preserve">, where I concluded that Project Raphael was a </w:t>
      </w:r>
      <w:r w:rsidRPr="003E3C12">
        <w:rPr>
          <w:rFonts w:cs="Times New Roman"/>
          <w:i/>
        </w:rPr>
        <w:t xml:space="preserve">bona fide </w:t>
      </w:r>
      <w:r w:rsidRPr="003E3C12">
        <w:rPr>
          <w:rFonts w:cs="Times New Roman"/>
        </w:rPr>
        <w:t>inquiry, I would not accede to Mr. Dare’s grounds of appeal. He was not entrapped. I would therefore dismiss the appeal.</w:t>
      </w:r>
    </w:p>
    <w:p w:rsidR="00A149DF" w:rsidRPr="003E3C12" w:rsidRDefault="006A3A20" w:rsidP="002C219C">
      <w:pPr>
        <w:pStyle w:val="SCCNormalDoubleSpacing"/>
        <w:spacing w:after="480"/>
      </w:pPr>
      <w:r w:rsidRPr="003E3C12">
        <w:tab/>
      </w:r>
      <w:r w:rsidR="00656313" w:rsidRPr="003E3C12">
        <w:rPr>
          <w:i/>
        </w:rPr>
        <w:t>Appeal</w:t>
      </w:r>
      <w:r w:rsidRPr="003E3C12">
        <w:rPr>
          <w:i/>
        </w:rPr>
        <w:t xml:space="preserve"> </w:t>
      </w:r>
      <w:r w:rsidR="00AA1B10" w:rsidRPr="003E3C12">
        <w:rPr>
          <w:i/>
        </w:rPr>
        <w:t>dismissed</w:t>
      </w:r>
      <w:r w:rsidRPr="003E3C12">
        <w:rPr>
          <w:i/>
        </w:rPr>
        <w:t>.</w:t>
      </w:r>
    </w:p>
    <w:p w:rsidR="001645AE" w:rsidRPr="003E3C12" w:rsidRDefault="006A3A20" w:rsidP="002C219C">
      <w:pPr>
        <w:pStyle w:val="SCCLawFirm"/>
        <w:spacing w:after="480"/>
      </w:pPr>
      <w:r w:rsidRPr="003E3C12">
        <w:tab/>
        <w:t>Solicitor</w:t>
      </w:r>
      <w:r w:rsidR="00DF61AF" w:rsidRPr="003E3C12">
        <w:t xml:space="preserve"> for the respondent: Attorney General of Ontario, </w:t>
      </w:r>
      <w:r w:rsidR="00C056F1" w:rsidRPr="003E3C12">
        <w:t xml:space="preserve">Crown Law Office </w:t>
      </w:r>
      <w:r w:rsidR="00BD693B" w:rsidRPr="003E3C12">
        <w:rPr>
          <w:iCs/>
          <w:color w:val="000000"/>
        </w:rPr>
        <w:t>—</w:t>
      </w:r>
      <w:r w:rsidR="00C056F1" w:rsidRPr="003E3C12">
        <w:t xml:space="preserve"> Criminal, Toronto.</w:t>
      </w:r>
    </w:p>
    <w:p w:rsidR="001645AE" w:rsidRPr="003E3C12" w:rsidRDefault="006A3A20" w:rsidP="002C219C">
      <w:pPr>
        <w:pStyle w:val="SCCLawFirm"/>
        <w:spacing w:after="480"/>
      </w:pPr>
      <w:r w:rsidRPr="003E3C12">
        <w:tab/>
        <w:t>Solicitor</w:t>
      </w:r>
      <w:r w:rsidR="00DF61AF" w:rsidRPr="003E3C12">
        <w:t xml:space="preserve"> for the intervener</w:t>
      </w:r>
      <w:r w:rsidRPr="003E3C12">
        <w:t xml:space="preserve"> the</w:t>
      </w:r>
      <w:r w:rsidR="00DF61AF" w:rsidRPr="003E3C12">
        <w:t xml:space="preserve"> Director of Public Prosecutions: Public Prosecution Service of Canada, Toronto.</w:t>
      </w:r>
    </w:p>
    <w:p w:rsidR="001645AE" w:rsidRPr="003E3C12" w:rsidRDefault="006A3A20" w:rsidP="002C219C">
      <w:pPr>
        <w:pStyle w:val="SCCLawFirm"/>
        <w:spacing w:after="480"/>
      </w:pPr>
      <w:r w:rsidRPr="003E3C12">
        <w:tab/>
        <w:t>Solicitors</w:t>
      </w:r>
      <w:r w:rsidR="00DF61AF" w:rsidRPr="003E3C12">
        <w:t xml:space="preserve"> for the intervener</w:t>
      </w:r>
      <w:r w:rsidRPr="003E3C12">
        <w:t xml:space="preserve"> the</w:t>
      </w:r>
      <w:r w:rsidR="00DF61AF" w:rsidRPr="003E3C12">
        <w:t xml:space="preserve"> Criminal Lawyers</w:t>
      </w:r>
      <w:r w:rsidR="00526D25" w:rsidRPr="003E3C12">
        <w:t>’</w:t>
      </w:r>
      <w:r w:rsidR="00DF61AF" w:rsidRPr="003E3C12">
        <w:t xml:space="preserve"> Association</w:t>
      </w:r>
      <w:r w:rsidRPr="003E3C12">
        <w:t xml:space="preserve"> of Ontario: Brauti Thorning</w:t>
      </w:r>
      <w:r w:rsidR="00DF61AF" w:rsidRPr="003E3C12">
        <w:t>, Toronto.</w:t>
      </w:r>
    </w:p>
    <w:p w:rsidR="001645AE" w:rsidRPr="003E3C12" w:rsidRDefault="006A3A20" w:rsidP="002C219C">
      <w:pPr>
        <w:pStyle w:val="SCCLawFirm"/>
        <w:spacing w:after="480"/>
      </w:pPr>
      <w:r w:rsidRPr="003E3C12">
        <w:tab/>
        <w:t>Solicitors</w:t>
      </w:r>
      <w:r w:rsidR="00DF61AF" w:rsidRPr="003E3C12">
        <w:t xml:space="preserve"> for the intervener </w:t>
      </w:r>
      <w:r w:rsidRPr="003E3C12">
        <w:t xml:space="preserve">the </w:t>
      </w:r>
      <w:r w:rsidR="00DF61AF" w:rsidRPr="003E3C12">
        <w:t>British Columbia Civil Liber</w:t>
      </w:r>
      <w:r w:rsidRPr="003E3C12">
        <w:t>ties Association: Stockwoods</w:t>
      </w:r>
      <w:r w:rsidR="00DF61AF" w:rsidRPr="003E3C12">
        <w:t>, Toronto.</w:t>
      </w:r>
    </w:p>
    <w:p w:rsidR="009B57B3" w:rsidRPr="00F6020D" w:rsidRDefault="006A3A20" w:rsidP="002C219C">
      <w:pPr>
        <w:pStyle w:val="SCCLawFirm"/>
        <w:spacing w:after="480"/>
        <w:rPr>
          <w:lang w:val="en-US"/>
        </w:rPr>
      </w:pPr>
      <w:r w:rsidRPr="003E3C12">
        <w:tab/>
        <w:t>Solicitors</w:t>
      </w:r>
      <w:r w:rsidR="00DF61AF" w:rsidRPr="003E3C12">
        <w:t xml:space="preserve"> for the intervener</w:t>
      </w:r>
      <w:r w:rsidRPr="003E3C12">
        <w:t xml:space="preserve"> the</w:t>
      </w:r>
      <w:r w:rsidR="00DF61AF" w:rsidRPr="003E3C12">
        <w:t xml:space="preserve"> Canadian Civil Liberties Association: Paliar</w:t>
      </w:r>
      <w:r w:rsidRPr="003E3C12">
        <w:t>e Roland Rosenberg Rothstein</w:t>
      </w:r>
      <w:r w:rsidR="00DF61AF" w:rsidRPr="003E3C12">
        <w:t>, Toronto.</w:t>
      </w:r>
    </w:p>
    <w:sectPr w:rsidR="009B57B3" w:rsidRPr="00F6020D"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8C1" w:rsidRDefault="006258C1">
      <w:r>
        <w:separator/>
      </w:r>
    </w:p>
  </w:endnote>
  <w:endnote w:type="continuationSeparator" w:id="0">
    <w:p w:rsidR="006258C1" w:rsidRDefault="00625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8C1" w:rsidRDefault="006258C1">
      <w:r>
        <w:separator/>
      </w:r>
    </w:p>
  </w:footnote>
  <w:footnote w:type="continuationSeparator" w:id="0">
    <w:p w:rsidR="006258C1" w:rsidRDefault="00625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E62C3D" w:rsidRDefault="00450352" w:rsidP="00E62C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83EE8"/>
    <w:multiLevelType w:val="multilevel"/>
    <w:tmpl w:val="2CC4A988"/>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67D7"/>
    <w:rsid w:val="00025198"/>
    <w:rsid w:val="000578A3"/>
    <w:rsid w:val="000648CC"/>
    <w:rsid w:val="00076B2D"/>
    <w:rsid w:val="000C59B8"/>
    <w:rsid w:val="000C6AF0"/>
    <w:rsid w:val="000C7694"/>
    <w:rsid w:val="00104F33"/>
    <w:rsid w:val="00111DE2"/>
    <w:rsid w:val="00116B38"/>
    <w:rsid w:val="00125B10"/>
    <w:rsid w:val="00135406"/>
    <w:rsid w:val="00135972"/>
    <w:rsid w:val="001426A9"/>
    <w:rsid w:val="00154D7C"/>
    <w:rsid w:val="001570B0"/>
    <w:rsid w:val="0015752C"/>
    <w:rsid w:val="00157737"/>
    <w:rsid w:val="00161D0E"/>
    <w:rsid w:val="001645AE"/>
    <w:rsid w:val="00165277"/>
    <w:rsid w:val="00166FFD"/>
    <w:rsid w:val="00170592"/>
    <w:rsid w:val="00186351"/>
    <w:rsid w:val="00195D83"/>
    <w:rsid w:val="001A00C1"/>
    <w:rsid w:val="001B33E0"/>
    <w:rsid w:val="001B4573"/>
    <w:rsid w:val="001C5AD2"/>
    <w:rsid w:val="001C779F"/>
    <w:rsid w:val="001D0329"/>
    <w:rsid w:val="001D2AC1"/>
    <w:rsid w:val="001D4E88"/>
    <w:rsid w:val="00220FC2"/>
    <w:rsid w:val="002222F4"/>
    <w:rsid w:val="00224FC0"/>
    <w:rsid w:val="00225EA4"/>
    <w:rsid w:val="00226EAF"/>
    <w:rsid w:val="00231F3A"/>
    <w:rsid w:val="00234199"/>
    <w:rsid w:val="002406EE"/>
    <w:rsid w:val="00243EC8"/>
    <w:rsid w:val="00270D93"/>
    <w:rsid w:val="00273FA5"/>
    <w:rsid w:val="002745CC"/>
    <w:rsid w:val="002A4ECA"/>
    <w:rsid w:val="002B7924"/>
    <w:rsid w:val="002C219C"/>
    <w:rsid w:val="002D1EC9"/>
    <w:rsid w:val="002D28C3"/>
    <w:rsid w:val="002D39A4"/>
    <w:rsid w:val="002E6705"/>
    <w:rsid w:val="00301D08"/>
    <w:rsid w:val="0030329A"/>
    <w:rsid w:val="0031086F"/>
    <w:rsid w:val="0031414C"/>
    <w:rsid w:val="00314E01"/>
    <w:rsid w:val="0032089D"/>
    <w:rsid w:val="003310DE"/>
    <w:rsid w:val="003323B0"/>
    <w:rsid w:val="0035169A"/>
    <w:rsid w:val="0035259D"/>
    <w:rsid w:val="00364B18"/>
    <w:rsid w:val="003A125D"/>
    <w:rsid w:val="003A4C70"/>
    <w:rsid w:val="003B215F"/>
    <w:rsid w:val="003C0B6B"/>
    <w:rsid w:val="003C799C"/>
    <w:rsid w:val="003D0399"/>
    <w:rsid w:val="003E1C71"/>
    <w:rsid w:val="003E3C12"/>
    <w:rsid w:val="003F327B"/>
    <w:rsid w:val="00406166"/>
    <w:rsid w:val="0040704B"/>
    <w:rsid w:val="00410A55"/>
    <w:rsid w:val="00411300"/>
    <w:rsid w:val="00415417"/>
    <w:rsid w:val="00426659"/>
    <w:rsid w:val="00450352"/>
    <w:rsid w:val="00454BDB"/>
    <w:rsid w:val="00464800"/>
    <w:rsid w:val="00465132"/>
    <w:rsid w:val="00480C90"/>
    <w:rsid w:val="0048396F"/>
    <w:rsid w:val="00490CCC"/>
    <w:rsid w:val="00493C18"/>
    <w:rsid w:val="004A600C"/>
    <w:rsid w:val="004A6118"/>
    <w:rsid w:val="004B51CF"/>
    <w:rsid w:val="004C478D"/>
    <w:rsid w:val="004E2C26"/>
    <w:rsid w:val="004F36FF"/>
    <w:rsid w:val="004F3A3D"/>
    <w:rsid w:val="005125A8"/>
    <w:rsid w:val="00521AE8"/>
    <w:rsid w:val="00525F52"/>
    <w:rsid w:val="00526D25"/>
    <w:rsid w:val="00527180"/>
    <w:rsid w:val="0054201E"/>
    <w:rsid w:val="00555291"/>
    <w:rsid w:val="00566AD1"/>
    <w:rsid w:val="00583EDE"/>
    <w:rsid w:val="00586F6D"/>
    <w:rsid w:val="005A6079"/>
    <w:rsid w:val="005C37D4"/>
    <w:rsid w:val="005E4698"/>
    <w:rsid w:val="00610539"/>
    <w:rsid w:val="00613969"/>
    <w:rsid w:val="00614BB8"/>
    <w:rsid w:val="006258C1"/>
    <w:rsid w:val="00625C35"/>
    <w:rsid w:val="00646B1C"/>
    <w:rsid w:val="00656313"/>
    <w:rsid w:val="006565F4"/>
    <w:rsid w:val="00684EEA"/>
    <w:rsid w:val="0069689B"/>
    <w:rsid w:val="006A1551"/>
    <w:rsid w:val="006A3A20"/>
    <w:rsid w:val="006A55B9"/>
    <w:rsid w:val="006B5FF5"/>
    <w:rsid w:val="006E23B4"/>
    <w:rsid w:val="006F0379"/>
    <w:rsid w:val="006F30AF"/>
    <w:rsid w:val="00701759"/>
    <w:rsid w:val="00705C15"/>
    <w:rsid w:val="0071600E"/>
    <w:rsid w:val="007208D1"/>
    <w:rsid w:val="00747288"/>
    <w:rsid w:val="00747DD3"/>
    <w:rsid w:val="007549C8"/>
    <w:rsid w:val="00754A0B"/>
    <w:rsid w:val="00766D14"/>
    <w:rsid w:val="00767A0F"/>
    <w:rsid w:val="007A05F6"/>
    <w:rsid w:val="007A38DA"/>
    <w:rsid w:val="007B6F4A"/>
    <w:rsid w:val="007E1C47"/>
    <w:rsid w:val="007E337A"/>
    <w:rsid w:val="007E5C70"/>
    <w:rsid w:val="007F2FF5"/>
    <w:rsid w:val="007F3F08"/>
    <w:rsid w:val="00804CC6"/>
    <w:rsid w:val="00817190"/>
    <w:rsid w:val="00820EE5"/>
    <w:rsid w:val="00823377"/>
    <w:rsid w:val="008260E2"/>
    <w:rsid w:val="008322BD"/>
    <w:rsid w:val="00833E0A"/>
    <w:rsid w:val="00834F73"/>
    <w:rsid w:val="00864CF8"/>
    <w:rsid w:val="00872819"/>
    <w:rsid w:val="00874914"/>
    <w:rsid w:val="00891422"/>
    <w:rsid w:val="00892E1A"/>
    <w:rsid w:val="008A3F29"/>
    <w:rsid w:val="008B643C"/>
    <w:rsid w:val="008B660A"/>
    <w:rsid w:val="008C01DA"/>
    <w:rsid w:val="008F78E9"/>
    <w:rsid w:val="00911989"/>
    <w:rsid w:val="009179F9"/>
    <w:rsid w:val="00933E5E"/>
    <w:rsid w:val="00935218"/>
    <w:rsid w:val="009403F3"/>
    <w:rsid w:val="009555B7"/>
    <w:rsid w:val="009567AA"/>
    <w:rsid w:val="00965DA3"/>
    <w:rsid w:val="00965DEE"/>
    <w:rsid w:val="00967374"/>
    <w:rsid w:val="009A343A"/>
    <w:rsid w:val="009B2F23"/>
    <w:rsid w:val="009B57B3"/>
    <w:rsid w:val="009C5B92"/>
    <w:rsid w:val="009D2920"/>
    <w:rsid w:val="009D5AEB"/>
    <w:rsid w:val="009F0E33"/>
    <w:rsid w:val="00A030CE"/>
    <w:rsid w:val="00A149DF"/>
    <w:rsid w:val="00A1755C"/>
    <w:rsid w:val="00A21B90"/>
    <w:rsid w:val="00A2673C"/>
    <w:rsid w:val="00A41805"/>
    <w:rsid w:val="00A42DCD"/>
    <w:rsid w:val="00A52AFB"/>
    <w:rsid w:val="00A548CB"/>
    <w:rsid w:val="00A5521C"/>
    <w:rsid w:val="00A61E37"/>
    <w:rsid w:val="00A643E7"/>
    <w:rsid w:val="00A73C38"/>
    <w:rsid w:val="00AA1B10"/>
    <w:rsid w:val="00AB670D"/>
    <w:rsid w:val="00AE23EA"/>
    <w:rsid w:val="00AE4535"/>
    <w:rsid w:val="00AF03C5"/>
    <w:rsid w:val="00AF649F"/>
    <w:rsid w:val="00B000D8"/>
    <w:rsid w:val="00B00F75"/>
    <w:rsid w:val="00B145B6"/>
    <w:rsid w:val="00B279EB"/>
    <w:rsid w:val="00B3099A"/>
    <w:rsid w:val="00B50C81"/>
    <w:rsid w:val="00B557F8"/>
    <w:rsid w:val="00B72B0F"/>
    <w:rsid w:val="00B815FC"/>
    <w:rsid w:val="00B93FBC"/>
    <w:rsid w:val="00BA7DA0"/>
    <w:rsid w:val="00BB2EE4"/>
    <w:rsid w:val="00BB4C76"/>
    <w:rsid w:val="00BC2108"/>
    <w:rsid w:val="00BD0E9E"/>
    <w:rsid w:val="00BD1BEC"/>
    <w:rsid w:val="00BD32FF"/>
    <w:rsid w:val="00BD693B"/>
    <w:rsid w:val="00BD7142"/>
    <w:rsid w:val="00BF552D"/>
    <w:rsid w:val="00C02092"/>
    <w:rsid w:val="00C056F1"/>
    <w:rsid w:val="00C24D91"/>
    <w:rsid w:val="00C53F14"/>
    <w:rsid w:val="00C600CF"/>
    <w:rsid w:val="00C6084F"/>
    <w:rsid w:val="00C62A66"/>
    <w:rsid w:val="00C71458"/>
    <w:rsid w:val="00C77613"/>
    <w:rsid w:val="00C828E7"/>
    <w:rsid w:val="00C86719"/>
    <w:rsid w:val="00C921DD"/>
    <w:rsid w:val="00CA6391"/>
    <w:rsid w:val="00CC34BD"/>
    <w:rsid w:val="00CD45AF"/>
    <w:rsid w:val="00CE161A"/>
    <w:rsid w:val="00CE3171"/>
    <w:rsid w:val="00CF1601"/>
    <w:rsid w:val="00D0172F"/>
    <w:rsid w:val="00D068A7"/>
    <w:rsid w:val="00D17476"/>
    <w:rsid w:val="00D32086"/>
    <w:rsid w:val="00D37503"/>
    <w:rsid w:val="00D37A3F"/>
    <w:rsid w:val="00D4431D"/>
    <w:rsid w:val="00D4667A"/>
    <w:rsid w:val="00D54B3A"/>
    <w:rsid w:val="00D63A1C"/>
    <w:rsid w:val="00D7516F"/>
    <w:rsid w:val="00D8579F"/>
    <w:rsid w:val="00D95F8E"/>
    <w:rsid w:val="00DA0590"/>
    <w:rsid w:val="00DB7BEA"/>
    <w:rsid w:val="00DC1739"/>
    <w:rsid w:val="00DC1788"/>
    <w:rsid w:val="00DD35C6"/>
    <w:rsid w:val="00DE319C"/>
    <w:rsid w:val="00DF0CA8"/>
    <w:rsid w:val="00DF2B48"/>
    <w:rsid w:val="00DF49A7"/>
    <w:rsid w:val="00DF61AF"/>
    <w:rsid w:val="00E07EE2"/>
    <w:rsid w:val="00E07FD1"/>
    <w:rsid w:val="00E176D8"/>
    <w:rsid w:val="00E24573"/>
    <w:rsid w:val="00E25E1E"/>
    <w:rsid w:val="00E27EE7"/>
    <w:rsid w:val="00E35404"/>
    <w:rsid w:val="00E45109"/>
    <w:rsid w:val="00E47B7A"/>
    <w:rsid w:val="00E56A44"/>
    <w:rsid w:val="00E60269"/>
    <w:rsid w:val="00E62C3D"/>
    <w:rsid w:val="00E77932"/>
    <w:rsid w:val="00E97830"/>
    <w:rsid w:val="00EC29F3"/>
    <w:rsid w:val="00EE643C"/>
    <w:rsid w:val="00EF0683"/>
    <w:rsid w:val="00EF69D2"/>
    <w:rsid w:val="00EF766E"/>
    <w:rsid w:val="00F0070C"/>
    <w:rsid w:val="00F00EB7"/>
    <w:rsid w:val="00F3282D"/>
    <w:rsid w:val="00F36AB6"/>
    <w:rsid w:val="00F37A09"/>
    <w:rsid w:val="00F409CE"/>
    <w:rsid w:val="00F4379D"/>
    <w:rsid w:val="00F50D2D"/>
    <w:rsid w:val="00F56C8B"/>
    <w:rsid w:val="00F6020D"/>
    <w:rsid w:val="00F66810"/>
    <w:rsid w:val="00F846D9"/>
    <w:rsid w:val="00F84DF4"/>
    <w:rsid w:val="00F85C97"/>
    <w:rsid w:val="00FB37D2"/>
    <w:rsid w:val="00FC4EFB"/>
    <w:rsid w:val="00FD068D"/>
    <w:rsid w:val="00FD4F28"/>
    <w:rsid w:val="00FD7B9E"/>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8B643C"/>
    <w:rPr>
      <w:color w:val="660000"/>
      <w:u w:val="none"/>
    </w:rPr>
  </w:style>
  <w:style w:type="paragraph" w:customStyle="1" w:styleId="ParaNoNdepar-AltN">
    <w:name w:val="Para. No. / Nº de par. - Alt N"/>
    <w:qFormat/>
    <w:rsid w:val="006E23B4"/>
    <w:pPr>
      <w:numPr>
        <w:numId w:val="1"/>
      </w:numPr>
      <w:spacing w:before="480" w:after="480" w:line="480" w:lineRule="auto"/>
      <w:jc w:val="both"/>
    </w:pPr>
    <w:rPr>
      <w:rFonts w:eastAsiaTheme="minorEastAsia" w:cstheme="minorBidi"/>
      <w:sz w:val="24"/>
      <w:szCs w:val="22"/>
      <w:lang w:eastAsia="en-US"/>
    </w:rPr>
  </w:style>
  <w:style w:type="paragraph" w:customStyle="1" w:styleId="Citation-AltC">
    <w:name w:val="Citation - Alt C"/>
    <w:uiPriority w:val="2"/>
    <w:qFormat/>
    <w:rsid w:val="003E3C12"/>
    <w:pPr>
      <w:spacing w:after="720"/>
      <w:ind w:left="1166"/>
      <w:contextualSpacing/>
      <w:jc w:val="both"/>
    </w:pPr>
    <w:rPr>
      <w:sz w:val="24"/>
      <w:szCs w:val="24"/>
    </w:rPr>
  </w:style>
  <w:style w:type="paragraph" w:customStyle="1" w:styleId="JudgeJuge">
    <w:name w:val="Judge / Juge"/>
    <w:uiPriority w:val="3"/>
    <w:rsid w:val="003E3C12"/>
    <w:pPr>
      <w:tabs>
        <w:tab w:val="left" w:pos="1166"/>
      </w:tabs>
      <w:spacing w:after="480" w:line="480" w:lineRule="auto"/>
    </w:pPr>
    <w:rPr>
      <w:smallCaps/>
      <w:sz w:val="24"/>
      <w:szCs w:val="24"/>
    </w:rPr>
  </w:style>
  <w:style w:type="table" w:styleId="TableGrid">
    <w:name w:val="Table Grid"/>
    <w:basedOn w:val="TableNormal"/>
    <w:uiPriority w:val="59"/>
    <w:rsid w:val="003E3C1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ntariocourts.ca/decisions/2021/2021ONCA032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1368</Words>
  <Characters>7241</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2022-11-24T00:28:00Z</dcterms:created>
  <dcterms:modified xsi:type="dcterms:W3CDTF">2022-11-24T00:28:00Z</dcterms:modified>
</cp:coreProperties>
</file>