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9F23CB" w:rsidRPr="009F23CB" w14:paraId="5BB1DCA1" w14:textId="77777777" w:rsidTr="003854A2">
        <w:trPr>
          <w:trHeight w:val="2103"/>
        </w:trPr>
        <w:tc>
          <w:tcPr>
            <w:tcW w:w="5000" w:type="pct"/>
            <w:gridSpan w:val="4"/>
          </w:tcPr>
          <w:p w14:paraId="0BD6735E" w14:textId="77777777" w:rsidR="009F23CB" w:rsidRPr="009F23CB" w:rsidRDefault="009F23CB" w:rsidP="009F23CB">
            <w:pPr>
              <w:jc w:val="center"/>
              <w:rPr>
                <w:b/>
              </w:rPr>
            </w:pPr>
            <w:r w:rsidRPr="009F23CB">
              <w:rPr>
                <w:b/>
                <w:noProof/>
              </w:rPr>
              <w:drawing>
                <wp:inline distT="0" distB="0" distL="0" distR="0" wp14:anchorId="368EC2CD" wp14:editId="1DD3F60F">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D14A2AF" w14:textId="77777777" w:rsidR="009F23CB" w:rsidRPr="009F23CB" w:rsidRDefault="009F23CB" w:rsidP="009F23CB">
            <w:pPr>
              <w:spacing w:before="120" w:after="100" w:afterAutospacing="1"/>
              <w:jc w:val="center"/>
            </w:pPr>
            <w:r w:rsidRPr="009F23CB">
              <w:rPr>
                <w:b/>
              </w:rPr>
              <w:t>SUPREME COURT OF CANADA</w:t>
            </w:r>
          </w:p>
        </w:tc>
      </w:tr>
      <w:tr w:rsidR="009F23CB" w:rsidRPr="009F23CB" w14:paraId="15B146F2" w14:textId="77777777" w:rsidTr="003854A2">
        <w:tblPrEx>
          <w:tblCellMar>
            <w:top w:w="58" w:type="dxa"/>
            <w:left w:w="58" w:type="dxa"/>
            <w:bottom w:w="58" w:type="dxa"/>
            <w:right w:w="58" w:type="dxa"/>
          </w:tblCellMar>
        </w:tblPrEx>
        <w:tc>
          <w:tcPr>
            <w:tcW w:w="2078" w:type="pct"/>
            <w:gridSpan w:val="2"/>
          </w:tcPr>
          <w:p w14:paraId="5169EA26" w14:textId="77777777" w:rsidR="009F23CB" w:rsidRPr="009F23CB" w:rsidRDefault="009F23CB" w:rsidP="009F23CB">
            <w:pPr>
              <w:rPr>
                <w:b/>
                <w:smallCaps/>
              </w:rPr>
            </w:pPr>
          </w:p>
          <w:p w14:paraId="67488F97" w14:textId="77777777" w:rsidR="009F23CB" w:rsidRPr="009F23CB" w:rsidRDefault="009F23CB" w:rsidP="009F23CB">
            <w:pPr>
              <w:jc w:val="both"/>
              <w:rPr>
                <w:b/>
              </w:rPr>
            </w:pPr>
            <w:r w:rsidRPr="009F23CB">
              <w:rPr>
                <w:b/>
                <w:smallCaps/>
              </w:rPr>
              <w:t>Citation:</w:t>
            </w:r>
            <w:r w:rsidRPr="009F23CB">
              <w:t xml:space="preserve"> R. </w:t>
            </w:r>
            <w:r w:rsidRPr="009F23CB">
              <w:rPr>
                <w:i/>
              </w:rPr>
              <w:t>v.</w:t>
            </w:r>
            <w:r w:rsidRPr="009F23CB">
              <w:t xml:space="preserve"> Beaver, 2022 SCC 54</w:t>
            </w:r>
          </w:p>
          <w:p w14:paraId="65B98140" w14:textId="77777777" w:rsidR="009F23CB" w:rsidRPr="009F23CB" w:rsidRDefault="009F23CB" w:rsidP="009F23CB">
            <w:pPr>
              <w:rPr>
                <w:b/>
                <w:smallCaps/>
              </w:rPr>
            </w:pPr>
          </w:p>
        </w:tc>
        <w:tc>
          <w:tcPr>
            <w:tcW w:w="781" w:type="pct"/>
          </w:tcPr>
          <w:p w14:paraId="18A05596" w14:textId="77777777" w:rsidR="009F23CB" w:rsidRPr="009F23CB" w:rsidRDefault="009F23CB" w:rsidP="009F23CB"/>
        </w:tc>
        <w:tc>
          <w:tcPr>
            <w:tcW w:w="2141" w:type="pct"/>
          </w:tcPr>
          <w:p w14:paraId="5A000D18" w14:textId="77777777" w:rsidR="009F23CB" w:rsidRPr="009F23CB" w:rsidRDefault="009F23CB" w:rsidP="009F23CB">
            <w:pPr>
              <w:rPr>
                <w:b/>
                <w:smallCaps/>
              </w:rPr>
            </w:pPr>
          </w:p>
          <w:p w14:paraId="4F033500" w14:textId="77777777" w:rsidR="009F23CB" w:rsidRPr="009F23CB" w:rsidRDefault="009F23CB" w:rsidP="009F23CB">
            <w:pPr>
              <w:jc w:val="both"/>
            </w:pPr>
            <w:r w:rsidRPr="009F23CB">
              <w:rPr>
                <w:b/>
                <w:smallCaps/>
              </w:rPr>
              <w:t>Appeals Heard:</w:t>
            </w:r>
            <w:r w:rsidRPr="009F23CB">
              <w:t xml:space="preserve"> February 14, 2022</w:t>
            </w:r>
          </w:p>
          <w:p w14:paraId="49150E53" w14:textId="77777777" w:rsidR="009F23CB" w:rsidRPr="009F23CB" w:rsidRDefault="009F23CB" w:rsidP="009F23CB">
            <w:r w:rsidRPr="009F23CB">
              <w:rPr>
                <w:b/>
                <w:smallCaps/>
              </w:rPr>
              <w:t>Judgment Rendered:</w:t>
            </w:r>
            <w:r w:rsidRPr="009F23CB">
              <w:t xml:space="preserve"> December 9, 2022</w:t>
            </w:r>
          </w:p>
          <w:p w14:paraId="47D37160" w14:textId="77777777" w:rsidR="009F23CB" w:rsidRPr="009F23CB" w:rsidRDefault="009F23CB" w:rsidP="009F23CB">
            <w:r w:rsidRPr="009F23CB">
              <w:rPr>
                <w:b/>
                <w:smallCaps/>
              </w:rPr>
              <w:t>Dockets:</w:t>
            </w:r>
            <w:r w:rsidRPr="009F23CB">
              <w:t xml:space="preserve"> 39480, 39481</w:t>
            </w:r>
          </w:p>
        </w:tc>
      </w:tr>
      <w:tr w:rsidR="009F23CB" w:rsidRPr="009F23CB" w14:paraId="2B41FF76" w14:textId="77777777" w:rsidTr="003854A2">
        <w:tblPrEx>
          <w:tblCellMar>
            <w:top w:w="58" w:type="dxa"/>
            <w:left w:w="58" w:type="dxa"/>
            <w:bottom w:w="58" w:type="dxa"/>
            <w:right w:w="58" w:type="dxa"/>
          </w:tblCellMar>
        </w:tblPrEx>
        <w:tc>
          <w:tcPr>
            <w:tcW w:w="5000" w:type="pct"/>
            <w:gridSpan w:val="4"/>
          </w:tcPr>
          <w:p w14:paraId="4CFB67F0" w14:textId="77777777" w:rsidR="009F23CB" w:rsidRPr="009F23CB" w:rsidRDefault="009F23CB" w:rsidP="009F23CB"/>
          <w:p w14:paraId="63CF3A9A" w14:textId="77777777" w:rsidR="009F23CB" w:rsidRPr="009F23CB" w:rsidRDefault="009F23CB" w:rsidP="009F23CB">
            <w:pPr>
              <w:rPr>
                <w:b/>
                <w:smallCaps/>
              </w:rPr>
            </w:pPr>
            <w:r w:rsidRPr="009F23CB">
              <w:rPr>
                <w:b/>
                <w:smallCaps/>
              </w:rPr>
              <w:t>Between:</w:t>
            </w:r>
          </w:p>
          <w:p w14:paraId="20080CAD" w14:textId="77777777" w:rsidR="009F23CB" w:rsidRPr="009F23CB" w:rsidRDefault="009F23CB" w:rsidP="009F23CB"/>
          <w:p w14:paraId="6FDAFD72" w14:textId="77777777" w:rsidR="009F23CB" w:rsidRPr="009F23CB" w:rsidRDefault="009F23CB" w:rsidP="009F23CB">
            <w:pPr>
              <w:jc w:val="center"/>
              <w:rPr>
                <w:b/>
              </w:rPr>
            </w:pPr>
            <w:r w:rsidRPr="009F23CB">
              <w:rPr>
                <w:b/>
              </w:rPr>
              <w:t>James Andrew Beaver</w:t>
            </w:r>
          </w:p>
          <w:p w14:paraId="3F39EBE2" w14:textId="77777777" w:rsidR="009F23CB" w:rsidRPr="009F23CB" w:rsidRDefault="009F23CB" w:rsidP="009F23CB">
            <w:pPr>
              <w:jc w:val="center"/>
            </w:pPr>
            <w:r w:rsidRPr="009F23CB">
              <w:t>Appellant</w:t>
            </w:r>
          </w:p>
          <w:p w14:paraId="2C1B257A" w14:textId="77777777" w:rsidR="009F23CB" w:rsidRPr="009F23CB" w:rsidRDefault="009F23CB" w:rsidP="009F23CB"/>
          <w:p w14:paraId="28799423" w14:textId="77777777" w:rsidR="009F23CB" w:rsidRPr="009F23CB" w:rsidRDefault="009F23CB" w:rsidP="009F23CB">
            <w:pPr>
              <w:jc w:val="center"/>
            </w:pPr>
            <w:r w:rsidRPr="009F23CB">
              <w:t>and</w:t>
            </w:r>
          </w:p>
          <w:p w14:paraId="5B34BBE2" w14:textId="77777777" w:rsidR="009F23CB" w:rsidRPr="009F23CB" w:rsidRDefault="009F23CB" w:rsidP="009F23CB"/>
          <w:p w14:paraId="1118BDA6" w14:textId="77777777" w:rsidR="009F23CB" w:rsidRPr="009F23CB" w:rsidRDefault="009F23CB" w:rsidP="009F23CB">
            <w:pPr>
              <w:jc w:val="center"/>
              <w:rPr>
                <w:b/>
              </w:rPr>
            </w:pPr>
            <w:r w:rsidRPr="009F23CB">
              <w:rPr>
                <w:b/>
              </w:rPr>
              <w:t>His Majesty The King</w:t>
            </w:r>
          </w:p>
          <w:p w14:paraId="7D303609" w14:textId="77777777" w:rsidR="009F23CB" w:rsidRPr="009F23CB" w:rsidRDefault="009F23CB" w:rsidP="009F23CB">
            <w:pPr>
              <w:jc w:val="center"/>
            </w:pPr>
            <w:r w:rsidRPr="009F23CB">
              <w:t>Respondent</w:t>
            </w:r>
          </w:p>
          <w:p w14:paraId="3D95E1F8" w14:textId="77777777" w:rsidR="009F23CB" w:rsidRPr="009F23CB" w:rsidRDefault="009F23CB" w:rsidP="009F23CB"/>
          <w:p w14:paraId="3A0AB3BF" w14:textId="77777777" w:rsidR="009F23CB" w:rsidRPr="009F23CB" w:rsidRDefault="009F23CB" w:rsidP="009F23CB">
            <w:pPr>
              <w:jc w:val="center"/>
            </w:pPr>
            <w:r w:rsidRPr="009F23CB">
              <w:t>- and -</w:t>
            </w:r>
          </w:p>
          <w:p w14:paraId="479E7942" w14:textId="77777777" w:rsidR="009F23CB" w:rsidRPr="009F23CB" w:rsidRDefault="009F23CB" w:rsidP="009F23CB"/>
          <w:p w14:paraId="259EAEC5" w14:textId="77777777" w:rsidR="009F23CB" w:rsidRPr="009F23CB" w:rsidRDefault="009F23CB" w:rsidP="009F23CB">
            <w:pPr>
              <w:jc w:val="center"/>
              <w:rPr>
                <w:b/>
              </w:rPr>
            </w:pPr>
            <w:r w:rsidRPr="009F23CB">
              <w:rPr>
                <w:b/>
              </w:rPr>
              <w:t>Attorney General of Ontario and Canadian Civil Liberties Association</w:t>
            </w:r>
          </w:p>
          <w:p w14:paraId="53A39495" w14:textId="77777777" w:rsidR="009F23CB" w:rsidRPr="009F23CB" w:rsidRDefault="009F23CB" w:rsidP="009F23CB">
            <w:pPr>
              <w:jc w:val="center"/>
            </w:pPr>
            <w:r w:rsidRPr="009F23CB">
              <w:t>Interveners</w:t>
            </w:r>
          </w:p>
          <w:p w14:paraId="4587E9E0" w14:textId="77777777" w:rsidR="009F23CB" w:rsidRPr="009F23CB" w:rsidRDefault="009F23CB" w:rsidP="009F23CB"/>
          <w:p w14:paraId="0A2416BD" w14:textId="77777777" w:rsidR="009F23CB" w:rsidRPr="009F23CB" w:rsidRDefault="009F23CB" w:rsidP="009F23CB">
            <w:pPr>
              <w:rPr>
                <w:b/>
                <w:smallCaps/>
              </w:rPr>
            </w:pPr>
            <w:r w:rsidRPr="009F23CB">
              <w:rPr>
                <w:b/>
                <w:smallCaps/>
              </w:rPr>
              <w:t>And Between:</w:t>
            </w:r>
          </w:p>
          <w:p w14:paraId="2588F467" w14:textId="77777777" w:rsidR="009F23CB" w:rsidRPr="009F23CB" w:rsidRDefault="009F23CB" w:rsidP="009F23CB"/>
          <w:p w14:paraId="1214DF8C" w14:textId="77777777" w:rsidR="009F23CB" w:rsidRPr="009F23CB" w:rsidRDefault="009F23CB" w:rsidP="009F23CB">
            <w:pPr>
              <w:jc w:val="center"/>
              <w:rPr>
                <w:b/>
              </w:rPr>
            </w:pPr>
            <w:r w:rsidRPr="009F23CB">
              <w:rPr>
                <w:b/>
              </w:rPr>
              <w:t>Brian John Lambert</w:t>
            </w:r>
          </w:p>
          <w:p w14:paraId="45D0C651" w14:textId="77777777" w:rsidR="009F23CB" w:rsidRPr="009F23CB" w:rsidRDefault="009F23CB" w:rsidP="009F23CB">
            <w:pPr>
              <w:jc w:val="center"/>
            </w:pPr>
            <w:r w:rsidRPr="009F23CB">
              <w:t>Appellant</w:t>
            </w:r>
          </w:p>
          <w:p w14:paraId="7554DDB3" w14:textId="77777777" w:rsidR="009F23CB" w:rsidRPr="009F23CB" w:rsidRDefault="009F23CB" w:rsidP="009F23CB"/>
          <w:p w14:paraId="53CA18C8" w14:textId="77777777" w:rsidR="009F23CB" w:rsidRPr="009F23CB" w:rsidRDefault="009F23CB" w:rsidP="009F23CB">
            <w:pPr>
              <w:jc w:val="center"/>
            </w:pPr>
            <w:r w:rsidRPr="009F23CB">
              <w:t>and</w:t>
            </w:r>
          </w:p>
          <w:p w14:paraId="0B259B22" w14:textId="77777777" w:rsidR="009F23CB" w:rsidRPr="009F23CB" w:rsidRDefault="009F23CB" w:rsidP="009F23CB"/>
          <w:p w14:paraId="3CBD1F19" w14:textId="77777777" w:rsidR="009F23CB" w:rsidRPr="009F23CB" w:rsidRDefault="009F23CB" w:rsidP="009F23CB">
            <w:pPr>
              <w:jc w:val="center"/>
              <w:rPr>
                <w:b/>
              </w:rPr>
            </w:pPr>
            <w:r w:rsidRPr="009F23CB">
              <w:rPr>
                <w:b/>
              </w:rPr>
              <w:t>His Majesty The King</w:t>
            </w:r>
          </w:p>
          <w:p w14:paraId="3E5EE151" w14:textId="77777777" w:rsidR="009F23CB" w:rsidRPr="009F23CB" w:rsidRDefault="009F23CB" w:rsidP="009F23CB">
            <w:pPr>
              <w:jc w:val="center"/>
            </w:pPr>
            <w:r w:rsidRPr="009F23CB">
              <w:t>Respondent</w:t>
            </w:r>
          </w:p>
          <w:p w14:paraId="58F6B518" w14:textId="77777777" w:rsidR="009F23CB" w:rsidRPr="009F23CB" w:rsidRDefault="009F23CB" w:rsidP="009F23CB"/>
          <w:p w14:paraId="0B8E3D4D" w14:textId="77777777" w:rsidR="009F23CB" w:rsidRPr="009F23CB" w:rsidRDefault="009F23CB" w:rsidP="009F23CB">
            <w:pPr>
              <w:jc w:val="center"/>
            </w:pPr>
            <w:r w:rsidRPr="009F23CB">
              <w:t>- and -</w:t>
            </w:r>
          </w:p>
          <w:p w14:paraId="6AD275CE" w14:textId="77777777" w:rsidR="009F23CB" w:rsidRPr="009F23CB" w:rsidRDefault="009F23CB" w:rsidP="009F23CB"/>
          <w:p w14:paraId="26FE60F0" w14:textId="77777777" w:rsidR="009F23CB" w:rsidRPr="009F23CB" w:rsidRDefault="009F23CB" w:rsidP="009F23CB">
            <w:pPr>
              <w:jc w:val="center"/>
              <w:rPr>
                <w:b/>
              </w:rPr>
            </w:pPr>
            <w:r w:rsidRPr="009F23CB">
              <w:rPr>
                <w:b/>
              </w:rPr>
              <w:t>Attorney General of Ontario</w:t>
            </w:r>
          </w:p>
          <w:p w14:paraId="07D9AFD5" w14:textId="77777777" w:rsidR="009F23CB" w:rsidRPr="009F23CB" w:rsidRDefault="009F23CB" w:rsidP="009F23CB">
            <w:pPr>
              <w:jc w:val="center"/>
            </w:pPr>
            <w:r w:rsidRPr="009F23CB">
              <w:t>Intervener</w:t>
            </w:r>
          </w:p>
          <w:p w14:paraId="453B2D49" w14:textId="77777777" w:rsidR="009F23CB" w:rsidRPr="009F23CB" w:rsidRDefault="009F23CB" w:rsidP="009F23CB"/>
          <w:p w14:paraId="0A45181F" w14:textId="77777777" w:rsidR="009F23CB" w:rsidRPr="009F23CB" w:rsidRDefault="009F23CB" w:rsidP="009F23CB">
            <w:pPr>
              <w:jc w:val="center"/>
              <w:rPr>
                <w:b/>
                <w:smallCaps/>
              </w:rPr>
            </w:pPr>
          </w:p>
          <w:p w14:paraId="17BB257F" w14:textId="77777777" w:rsidR="009F23CB" w:rsidRPr="009F23CB" w:rsidRDefault="009F23CB" w:rsidP="009F23CB"/>
          <w:p w14:paraId="019A3083" w14:textId="77777777" w:rsidR="009F23CB" w:rsidRPr="009F23CB" w:rsidRDefault="009F23CB" w:rsidP="009F23CB">
            <w:r w:rsidRPr="009F23CB">
              <w:rPr>
                <w:b/>
                <w:smallCaps/>
              </w:rPr>
              <w:t>Coram:</w:t>
            </w:r>
            <w:r w:rsidRPr="009F23CB">
              <w:t xml:space="preserve"> Wagner C.J. and Moldaver, Karakatsanis, Côté, Brown, Rowe, Martin, Kasirer and Jamal JJ.</w:t>
            </w:r>
          </w:p>
          <w:p w14:paraId="1343CDFC" w14:textId="77777777" w:rsidR="009F23CB" w:rsidRPr="009F23CB" w:rsidRDefault="009F23CB" w:rsidP="009F23CB">
            <w:pPr>
              <w:rPr>
                <w:b/>
                <w:smallCaps/>
              </w:rPr>
            </w:pPr>
          </w:p>
        </w:tc>
      </w:tr>
      <w:tr w:rsidR="009F23CB" w:rsidRPr="009F23CB" w14:paraId="1C2B12C6" w14:textId="77777777" w:rsidTr="003854A2">
        <w:tblPrEx>
          <w:tblCellMar>
            <w:top w:w="58" w:type="dxa"/>
            <w:left w:w="58" w:type="dxa"/>
            <w:bottom w:w="58" w:type="dxa"/>
            <w:right w:w="58" w:type="dxa"/>
          </w:tblCellMar>
        </w:tblPrEx>
        <w:trPr>
          <w:cantSplit/>
        </w:trPr>
        <w:tc>
          <w:tcPr>
            <w:tcW w:w="1231" w:type="pct"/>
          </w:tcPr>
          <w:p w14:paraId="1DF218B7" w14:textId="77777777" w:rsidR="009F23CB" w:rsidRPr="009F23CB" w:rsidRDefault="009F23CB" w:rsidP="009F23CB">
            <w:r w:rsidRPr="009F23CB">
              <w:rPr>
                <w:b/>
                <w:smallCaps/>
              </w:rPr>
              <w:t>Reasons for Judgment</w:t>
            </w:r>
            <w:r w:rsidRPr="009F23CB">
              <w:rPr>
                <w:b/>
              </w:rPr>
              <w:t>:</w:t>
            </w:r>
            <w:r w:rsidRPr="009F23CB">
              <w:t xml:space="preserve"> </w:t>
            </w:r>
          </w:p>
          <w:p w14:paraId="6BAAE135" w14:textId="77777777" w:rsidR="009F23CB" w:rsidRPr="009F23CB" w:rsidRDefault="009F23CB" w:rsidP="009F23CB">
            <w:r w:rsidRPr="009F23CB">
              <w:t>(paras. 1 to 137)</w:t>
            </w:r>
          </w:p>
        </w:tc>
        <w:tc>
          <w:tcPr>
            <w:tcW w:w="3769" w:type="pct"/>
            <w:gridSpan w:val="3"/>
          </w:tcPr>
          <w:p w14:paraId="158EA3B5" w14:textId="77777777" w:rsidR="009F23CB" w:rsidRPr="009F23CB" w:rsidRDefault="009F23CB" w:rsidP="009F23CB">
            <w:r w:rsidRPr="009F23CB">
              <w:t>Jamal J. (Wagner C.J. and Moldaver, Rowe and Kasirer JJ. concurring)</w:t>
            </w:r>
          </w:p>
        </w:tc>
      </w:tr>
      <w:tr w:rsidR="009F23CB" w:rsidRPr="009F23CB" w14:paraId="2D9F3DDF" w14:textId="77777777" w:rsidTr="003854A2">
        <w:tblPrEx>
          <w:tblCellMar>
            <w:top w:w="58" w:type="dxa"/>
            <w:left w:w="58" w:type="dxa"/>
            <w:bottom w:w="58" w:type="dxa"/>
            <w:right w:w="58" w:type="dxa"/>
          </w:tblCellMar>
        </w:tblPrEx>
        <w:trPr>
          <w:cantSplit/>
        </w:trPr>
        <w:tc>
          <w:tcPr>
            <w:tcW w:w="1231" w:type="pct"/>
          </w:tcPr>
          <w:p w14:paraId="3B7BFC5D" w14:textId="77777777" w:rsidR="009F23CB" w:rsidRPr="009F23CB" w:rsidRDefault="009F23CB" w:rsidP="009F23CB"/>
        </w:tc>
        <w:tc>
          <w:tcPr>
            <w:tcW w:w="3769" w:type="pct"/>
            <w:gridSpan w:val="3"/>
          </w:tcPr>
          <w:p w14:paraId="1E8D4BBC" w14:textId="77777777" w:rsidR="009F23CB" w:rsidRPr="009F23CB" w:rsidRDefault="009F23CB" w:rsidP="009F23CB"/>
        </w:tc>
      </w:tr>
      <w:tr w:rsidR="009F23CB" w:rsidRPr="009F23CB" w14:paraId="6F1B3A7A" w14:textId="77777777" w:rsidTr="003854A2">
        <w:tblPrEx>
          <w:tblCellMar>
            <w:top w:w="58" w:type="dxa"/>
            <w:left w:w="58" w:type="dxa"/>
            <w:bottom w:w="58" w:type="dxa"/>
            <w:right w:w="58" w:type="dxa"/>
          </w:tblCellMar>
        </w:tblPrEx>
        <w:trPr>
          <w:cantSplit/>
        </w:trPr>
        <w:tc>
          <w:tcPr>
            <w:tcW w:w="1231" w:type="pct"/>
          </w:tcPr>
          <w:p w14:paraId="51154DEE" w14:textId="77777777" w:rsidR="009F23CB" w:rsidRPr="009F23CB" w:rsidRDefault="009F23CB" w:rsidP="009F23CB">
            <w:r w:rsidRPr="009F23CB">
              <w:rPr>
                <w:b/>
                <w:smallCaps/>
              </w:rPr>
              <w:t>Dissenting Reasons</w:t>
            </w:r>
            <w:r w:rsidRPr="009F23CB">
              <w:rPr>
                <w:b/>
              </w:rPr>
              <w:t>:</w:t>
            </w:r>
            <w:r w:rsidRPr="009F23CB">
              <w:t xml:space="preserve"> </w:t>
            </w:r>
          </w:p>
          <w:p w14:paraId="395B8CF6" w14:textId="77777777" w:rsidR="009F23CB" w:rsidRPr="009F23CB" w:rsidRDefault="009F23CB" w:rsidP="009F23CB">
            <w:r w:rsidRPr="009F23CB">
              <w:t>(paras. 138 to 233)</w:t>
            </w:r>
          </w:p>
        </w:tc>
        <w:tc>
          <w:tcPr>
            <w:tcW w:w="3769" w:type="pct"/>
            <w:gridSpan w:val="3"/>
          </w:tcPr>
          <w:p w14:paraId="083B899E" w14:textId="77777777" w:rsidR="009F23CB" w:rsidRPr="009F23CB" w:rsidRDefault="009F23CB" w:rsidP="009F23CB">
            <w:r w:rsidRPr="009F23CB">
              <w:t>Martin J. (Karakatsanis, Côté and Brown JJ. concurring)</w:t>
            </w:r>
          </w:p>
        </w:tc>
      </w:tr>
    </w:tbl>
    <w:p w14:paraId="029F507C" w14:textId="77777777" w:rsidR="009F23CB" w:rsidRPr="009F23CB" w:rsidRDefault="009F23CB" w:rsidP="009F23CB">
      <w:pPr>
        <w:rPr>
          <w:rFonts w:eastAsiaTheme="minorHAnsi" w:cstheme="minorBidi"/>
          <w:szCs w:val="24"/>
          <w:lang w:eastAsia="en-US"/>
        </w:rPr>
      </w:pPr>
    </w:p>
    <w:p w14:paraId="34DF69C2" w14:textId="77777777" w:rsidR="009F23CB" w:rsidRPr="009F23CB" w:rsidRDefault="009F23CB" w:rsidP="009F23CB">
      <w:pPr>
        <w:rPr>
          <w:rFonts w:eastAsiaTheme="minorHAnsi" w:cstheme="minorBidi"/>
          <w:szCs w:val="24"/>
          <w:lang w:eastAsia="en-US"/>
        </w:rPr>
      </w:pPr>
    </w:p>
    <w:p w14:paraId="79E9009B" w14:textId="77777777" w:rsidR="009F23CB" w:rsidRPr="009F23CB" w:rsidRDefault="009F23CB" w:rsidP="009F23CB">
      <w:pPr>
        <w:rPr>
          <w:rFonts w:eastAsiaTheme="minorHAnsi" w:cstheme="minorBidi"/>
          <w:szCs w:val="24"/>
          <w:lang w:eastAsia="en-US"/>
        </w:rPr>
      </w:pPr>
    </w:p>
    <w:p w14:paraId="7AC935F0" w14:textId="77777777" w:rsidR="009F23CB" w:rsidRPr="009F23CB" w:rsidRDefault="009F23CB" w:rsidP="009F23CB">
      <w:pPr>
        <w:rPr>
          <w:rFonts w:eastAsiaTheme="minorHAnsi" w:cstheme="minorBidi"/>
          <w:szCs w:val="24"/>
          <w:lang w:eastAsia="en-US"/>
        </w:rPr>
      </w:pPr>
      <w:r w:rsidRPr="009F23CB">
        <w:rPr>
          <w:rFonts w:eastAsiaTheme="minorHAnsi" w:cstheme="minorBidi"/>
          <w:b/>
          <w:smallCaps/>
          <w:szCs w:val="24"/>
          <w:lang w:eastAsia="en-US"/>
        </w:rPr>
        <w:t>Note:</w:t>
      </w:r>
      <w:r w:rsidRPr="009F23CB">
        <w:rPr>
          <w:rFonts w:eastAsiaTheme="minorHAnsi" w:cstheme="minorBidi"/>
          <w:b/>
          <w:szCs w:val="24"/>
          <w:lang w:eastAsia="en-US"/>
        </w:rPr>
        <w:t xml:space="preserve"> </w:t>
      </w:r>
      <w:r w:rsidRPr="009F23CB">
        <w:rPr>
          <w:rFonts w:eastAsiaTheme="minorHAnsi" w:cstheme="minorBidi"/>
          <w:szCs w:val="24"/>
          <w:lang w:eastAsia="en-US"/>
        </w:rPr>
        <w:t xml:space="preserve">This document is subject to editorial revision before its reproduction in final form in the </w:t>
      </w:r>
      <w:r w:rsidRPr="009F23CB">
        <w:rPr>
          <w:rFonts w:eastAsiaTheme="minorHAnsi" w:cstheme="minorBidi"/>
          <w:i/>
          <w:szCs w:val="24"/>
          <w:lang w:eastAsia="en-US"/>
        </w:rPr>
        <w:t>Canada Supreme Court Reports</w:t>
      </w:r>
      <w:r w:rsidRPr="009F23CB">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F23CB" w:rsidRPr="009F23CB" w14:paraId="0F938170" w14:textId="77777777" w:rsidTr="003854A2">
        <w:tc>
          <w:tcPr>
            <w:tcW w:w="1500" w:type="pct"/>
            <w:tcMar>
              <w:top w:w="284" w:type="dxa"/>
            </w:tcMar>
          </w:tcPr>
          <w:p w14:paraId="14272D4E" w14:textId="77777777" w:rsidR="009F23CB" w:rsidRPr="009F23CB" w:rsidRDefault="009F23CB" w:rsidP="009F23CB"/>
        </w:tc>
        <w:tc>
          <w:tcPr>
            <w:tcW w:w="2000" w:type="pct"/>
            <w:tcBorders>
              <w:bottom w:val="single" w:sz="4" w:space="0" w:color="auto"/>
            </w:tcBorders>
            <w:tcMar>
              <w:top w:w="284" w:type="dxa"/>
            </w:tcMar>
          </w:tcPr>
          <w:p w14:paraId="3E01B937" w14:textId="77777777" w:rsidR="009F23CB" w:rsidRPr="009F23CB" w:rsidRDefault="009F23CB" w:rsidP="009F23CB"/>
        </w:tc>
        <w:tc>
          <w:tcPr>
            <w:tcW w:w="1500" w:type="pct"/>
            <w:tcMar>
              <w:top w:w="284" w:type="dxa"/>
            </w:tcMar>
          </w:tcPr>
          <w:p w14:paraId="632B4F71" w14:textId="77777777" w:rsidR="009F23CB" w:rsidRPr="009F23CB" w:rsidRDefault="009F23CB" w:rsidP="009F23CB"/>
        </w:tc>
      </w:tr>
    </w:tbl>
    <w:p w14:paraId="28D961EE" w14:textId="77777777" w:rsidR="009F23CB" w:rsidRPr="009F23CB" w:rsidRDefault="009F23CB" w:rsidP="009F23CB">
      <w:pPr>
        <w:rPr>
          <w:rFonts w:eastAsiaTheme="minorHAnsi" w:cstheme="minorBidi"/>
          <w:szCs w:val="24"/>
          <w:lang w:eastAsia="en-US"/>
        </w:rPr>
      </w:pPr>
    </w:p>
    <w:p w14:paraId="5C047A4D" w14:textId="77777777" w:rsidR="009F23CB" w:rsidRPr="009F23CB" w:rsidRDefault="009F23CB">
      <w:pPr>
        <w:rPr>
          <w:b/>
          <w:lang w:val="en-US"/>
        </w:rPr>
      </w:pPr>
      <w:r w:rsidRPr="009F23CB">
        <w:rPr>
          <w:lang w:val="en-US"/>
        </w:rPr>
        <w:br w:type="page"/>
      </w:r>
    </w:p>
    <w:p w14:paraId="1A690D59" w14:textId="6A3A5CBC" w:rsidR="00E815BE" w:rsidRPr="009F23CB" w:rsidRDefault="00CA06C9" w:rsidP="00371740">
      <w:pPr>
        <w:pStyle w:val="SCCLsocLastPartyInRole"/>
        <w:rPr>
          <w:lang w:val="fr-CA"/>
        </w:rPr>
      </w:pPr>
      <w:r w:rsidRPr="009F23CB">
        <w:rPr>
          <w:lang w:val="fr-CA"/>
        </w:rPr>
        <w:t>James Andrew Beaver</w:t>
      </w:r>
      <w:r w:rsidRPr="009F23CB">
        <w:rPr>
          <w:rStyle w:val="SCCLsocPartyRole"/>
          <w:lang w:val="fr-CA"/>
        </w:rPr>
        <w:tab/>
        <w:t>Appellant</w:t>
      </w:r>
    </w:p>
    <w:p w14:paraId="4B31E008" w14:textId="77777777" w:rsidR="00E815BE" w:rsidRPr="009F23CB" w:rsidRDefault="00CA06C9" w:rsidP="00371740">
      <w:pPr>
        <w:pStyle w:val="SCCLsocVersus"/>
        <w:rPr>
          <w:lang w:val="fr-CA"/>
        </w:rPr>
      </w:pPr>
      <w:r w:rsidRPr="009F23CB">
        <w:rPr>
          <w:lang w:val="fr-CA"/>
        </w:rPr>
        <w:t>v.</w:t>
      </w:r>
    </w:p>
    <w:p w14:paraId="536C5E6F" w14:textId="77777777" w:rsidR="00E815BE" w:rsidRPr="009F23CB" w:rsidRDefault="00CA06C9" w:rsidP="00371740">
      <w:pPr>
        <w:pStyle w:val="SCCLsocLastPartyInRole"/>
      </w:pPr>
      <w:r w:rsidRPr="009F23CB">
        <w:t xml:space="preserve">His Majesty </w:t>
      </w:r>
      <w:proofErr w:type="gramStart"/>
      <w:r w:rsidRPr="009F23CB">
        <w:t>The</w:t>
      </w:r>
      <w:proofErr w:type="gramEnd"/>
      <w:r w:rsidRPr="009F23CB">
        <w:t xml:space="preserve"> King</w:t>
      </w:r>
      <w:r w:rsidRPr="009F23CB">
        <w:rPr>
          <w:rStyle w:val="SCCLsocPartyRole"/>
        </w:rPr>
        <w:tab/>
        <w:t>Respondent</w:t>
      </w:r>
    </w:p>
    <w:p w14:paraId="7F6FA5C2" w14:textId="77777777" w:rsidR="00E815BE" w:rsidRPr="009F23CB" w:rsidRDefault="00CA06C9" w:rsidP="00371740">
      <w:pPr>
        <w:pStyle w:val="SCCLsocOtherPartySeparator"/>
      </w:pPr>
      <w:proofErr w:type="gramStart"/>
      <w:r w:rsidRPr="009F23CB">
        <w:t>and</w:t>
      </w:r>
      <w:proofErr w:type="gramEnd"/>
    </w:p>
    <w:p w14:paraId="7936F0B8" w14:textId="77777777" w:rsidR="00E815BE" w:rsidRPr="009F23CB" w:rsidRDefault="00CA06C9">
      <w:pPr>
        <w:pStyle w:val="SCCLsocParty"/>
      </w:pPr>
      <w:r w:rsidRPr="009F23CB">
        <w:t>Attorney General of Ontario</w:t>
      </w:r>
      <w:r w:rsidR="00C76B2B" w:rsidRPr="009F23CB">
        <w:t xml:space="preserve"> and</w:t>
      </w:r>
    </w:p>
    <w:p w14:paraId="4BBDBCC0" w14:textId="77777777" w:rsidR="00E815BE" w:rsidRPr="009F23CB" w:rsidRDefault="00CA06C9" w:rsidP="00371740">
      <w:pPr>
        <w:pStyle w:val="SCCLsocLastPartyInRole"/>
      </w:pPr>
      <w:r w:rsidRPr="009F23CB">
        <w:t>Canadian Civil Liberties Association</w:t>
      </w:r>
      <w:r w:rsidRPr="009F23CB">
        <w:rPr>
          <w:rStyle w:val="SCCLsocPartyRole"/>
        </w:rPr>
        <w:tab/>
        <w:t>Interveners</w:t>
      </w:r>
    </w:p>
    <w:p w14:paraId="48FEFFF8" w14:textId="77777777" w:rsidR="00DB045D" w:rsidRPr="009F23CB" w:rsidRDefault="00DB045D" w:rsidP="00371740">
      <w:pPr>
        <w:spacing w:after="720"/>
        <w:jc w:val="both"/>
      </w:pPr>
      <w:r w:rsidRPr="009F23CB">
        <w:noBreakHyphen/>
        <w:t xml:space="preserve"> </w:t>
      </w:r>
      <w:proofErr w:type="gramStart"/>
      <w:r w:rsidRPr="009F23CB">
        <w:t>and</w:t>
      </w:r>
      <w:proofErr w:type="gramEnd"/>
      <w:r w:rsidRPr="009F23CB">
        <w:t xml:space="preserve"> </w:t>
      </w:r>
      <w:r w:rsidRPr="009F23CB">
        <w:noBreakHyphen/>
      </w:r>
    </w:p>
    <w:p w14:paraId="79AEAE59" w14:textId="77777777" w:rsidR="00DB045D" w:rsidRPr="009F23CB" w:rsidRDefault="00DB045D" w:rsidP="00371740">
      <w:pPr>
        <w:pStyle w:val="SCCLsocLastPartyInRole"/>
      </w:pPr>
      <w:r w:rsidRPr="009F23CB">
        <w:t>Brian John Lambert</w:t>
      </w:r>
      <w:r w:rsidRPr="009F23CB">
        <w:rPr>
          <w:rStyle w:val="SCCLsocPartyRole"/>
        </w:rPr>
        <w:tab/>
        <w:t>Appellant</w:t>
      </w:r>
    </w:p>
    <w:p w14:paraId="3D6383B1" w14:textId="77777777" w:rsidR="00DB045D" w:rsidRPr="009F23CB" w:rsidRDefault="00DB045D" w:rsidP="00371740">
      <w:pPr>
        <w:pStyle w:val="SCCLsocVersus"/>
      </w:pPr>
      <w:proofErr w:type="gramStart"/>
      <w:r w:rsidRPr="009F23CB">
        <w:t>v</w:t>
      </w:r>
      <w:proofErr w:type="gramEnd"/>
      <w:r w:rsidRPr="009F23CB">
        <w:t>.</w:t>
      </w:r>
    </w:p>
    <w:p w14:paraId="2DC004C7" w14:textId="77777777" w:rsidR="00DB045D" w:rsidRPr="009F23CB" w:rsidRDefault="00071E59" w:rsidP="00371740">
      <w:pPr>
        <w:pStyle w:val="SCCLsocLastPartyInRole"/>
      </w:pPr>
      <w:r w:rsidRPr="009F23CB">
        <w:t xml:space="preserve">His Majesty </w:t>
      </w:r>
      <w:proofErr w:type="gramStart"/>
      <w:r w:rsidRPr="009F23CB">
        <w:t>T</w:t>
      </w:r>
      <w:r w:rsidR="00DB045D" w:rsidRPr="009F23CB">
        <w:t>he</w:t>
      </w:r>
      <w:proofErr w:type="gramEnd"/>
      <w:r w:rsidR="00DB045D" w:rsidRPr="009F23CB">
        <w:t xml:space="preserve"> King</w:t>
      </w:r>
      <w:r w:rsidR="00DB045D" w:rsidRPr="009F23CB">
        <w:rPr>
          <w:rStyle w:val="SCCLsocPartyRole"/>
        </w:rPr>
        <w:tab/>
        <w:t>Respondent</w:t>
      </w:r>
    </w:p>
    <w:p w14:paraId="3A841A37" w14:textId="77777777" w:rsidR="00DB045D" w:rsidRPr="009F23CB" w:rsidRDefault="00DB045D" w:rsidP="00371740">
      <w:pPr>
        <w:pStyle w:val="SCCLsocOtherPartySeparator"/>
      </w:pPr>
      <w:proofErr w:type="gramStart"/>
      <w:r w:rsidRPr="009F23CB">
        <w:t>and</w:t>
      </w:r>
      <w:proofErr w:type="gramEnd"/>
    </w:p>
    <w:p w14:paraId="78EE743D" w14:textId="77777777" w:rsidR="00A149DF" w:rsidRPr="009F23CB" w:rsidRDefault="00DB045D" w:rsidP="00371740">
      <w:pPr>
        <w:pStyle w:val="SCCLsocLastPartyInRole"/>
      </w:pPr>
      <w:r w:rsidRPr="009F23CB">
        <w:t>Attorney General of Ontario</w:t>
      </w:r>
      <w:r w:rsidRPr="009F23CB">
        <w:rPr>
          <w:rStyle w:val="SCCLsocPartyRole"/>
        </w:rPr>
        <w:tab/>
        <w:t>Intervener</w:t>
      </w:r>
    </w:p>
    <w:p w14:paraId="6EEE3434" w14:textId="77777777" w:rsidR="00426659" w:rsidRPr="009F23CB" w:rsidRDefault="00426659" w:rsidP="00371740">
      <w:pPr>
        <w:spacing w:after="720"/>
        <w:jc w:val="both"/>
        <w:rPr>
          <w:b/>
        </w:rPr>
      </w:pPr>
      <w:r w:rsidRPr="009F23CB">
        <w:rPr>
          <w:b/>
        </w:rPr>
        <w:t xml:space="preserve">Indexed as: </w:t>
      </w:r>
      <w:r w:rsidR="00071E59" w:rsidRPr="009F23CB">
        <w:rPr>
          <w:b/>
        </w:rPr>
        <w:t xml:space="preserve">R. </w:t>
      </w:r>
      <w:r w:rsidR="00071E59" w:rsidRPr="009F23CB">
        <w:rPr>
          <w:b/>
          <w:i/>
        </w:rPr>
        <w:t>v.</w:t>
      </w:r>
      <w:r w:rsidR="00071E59" w:rsidRPr="009F23CB">
        <w:rPr>
          <w:b/>
        </w:rPr>
        <w:t xml:space="preserve"> </w:t>
      </w:r>
      <w:r w:rsidRPr="009F23CB">
        <w:rPr>
          <w:rStyle w:val="SCCAppellantForIndexChar"/>
        </w:rPr>
        <w:t>Beaver</w:t>
      </w:r>
    </w:p>
    <w:p w14:paraId="7FF789A8" w14:textId="5E168DA9" w:rsidR="00426659" w:rsidRPr="009F23CB" w:rsidRDefault="00AE4535" w:rsidP="00371740">
      <w:pPr>
        <w:pStyle w:val="SCCSystemYear"/>
        <w:spacing w:after="720"/>
        <w:jc w:val="both"/>
      </w:pPr>
      <w:r w:rsidRPr="009F23CB">
        <w:t>2022</w:t>
      </w:r>
      <w:r w:rsidR="003D0399" w:rsidRPr="009F23CB">
        <w:t xml:space="preserve"> </w:t>
      </w:r>
      <w:r w:rsidR="00426659" w:rsidRPr="009F23CB">
        <w:t>SCC </w:t>
      </w:r>
      <w:r w:rsidR="000D6401" w:rsidRPr="009F23CB">
        <w:t>54</w:t>
      </w:r>
    </w:p>
    <w:p w14:paraId="21E0614D" w14:textId="77777777" w:rsidR="008322BD" w:rsidRPr="009F23CB" w:rsidRDefault="00071E59" w:rsidP="00371740">
      <w:pPr>
        <w:spacing w:after="720"/>
        <w:jc w:val="both"/>
      </w:pPr>
      <w:r w:rsidRPr="009F23CB">
        <w:t>File No</w:t>
      </w:r>
      <w:r w:rsidR="00153F84" w:rsidRPr="009F23CB">
        <w:t>s</w:t>
      </w:r>
      <w:r w:rsidRPr="009F23CB">
        <w:t xml:space="preserve">.: </w:t>
      </w:r>
      <w:r w:rsidR="009B57B3" w:rsidRPr="009F23CB">
        <w:t>39480</w:t>
      </w:r>
      <w:r w:rsidR="00153F84" w:rsidRPr="009F23CB">
        <w:t>, 39481</w:t>
      </w:r>
      <w:r w:rsidR="009B57B3" w:rsidRPr="009F23CB">
        <w:t>.</w:t>
      </w:r>
    </w:p>
    <w:p w14:paraId="25F1A39C" w14:textId="5E7709FA" w:rsidR="008322BD" w:rsidRPr="009F23CB" w:rsidRDefault="00371740" w:rsidP="00371740">
      <w:pPr>
        <w:spacing w:after="720"/>
        <w:jc w:val="both"/>
      </w:pPr>
      <w:r w:rsidRPr="009F23CB">
        <w:lastRenderedPageBreak/>
        <w:t>2022: February </w:t>
      </w:r>
      <w:r w:rsidR="00AE4535" w:rsidRPr="009F23CB">
        <w:t>14</w:t>
      </w:r>
      <w:r w:rsidR="009B57B3" w:rsidRPr="009F23CB">
        <w:t xml:space="preserve">; </w:t>
      </w:r>
      <w:r w:rsidR="00534D56" w:rsidRPr="009F23CB">
        <w:t>2022</w:t>
      </w:r>
      <w:r w:rsidRPr="009F23CB">
        <w:t>: December </w:t>
      </w:r>
      <w:r w:rsidR="00534D56" w:rsidRPr="009F23CB">
        <w:t>9</w:t>
      </w:r>
      <w:r w:rsidR="009B57B3" w:rsidRPr="009F23CB">
        <w:t>.</w:t>
      </w:r>
    </w:p>
    <w:p w14:paraId="137E83CA" w14:textId="3970BA2B" w:rsidR="008322BD" w:rsidRPr="009F23CB" w:rsidRDefault="00361D94" w:rsidP="00371740">
      <w:pPr>
        <w:spacing w:after="720"/>
        <w:jc w:val="both"/>
      </w:pPr>
      <w:r w:rsidRPr="009F23CB">
        <w:t xml:space="preserve">Present: </w:t>
      </w:r>
      <w:r w:rsidR="00371740" w:rsidRPr="009F23CB">
        <w:t>Wagner </w:t>
      </w:r>
      <w:r w:rsidR="009B57B3" w:rsidRPr="009F23CB">
        <w:t>C.J. and Moldaver, Karakatsanis, Côté, Brown, Rowe, Martin, Kasirer and Jamal JJ.</w:t>
      </w:r>
    </w:p>
    <w:p w14:paraId="1A6EF9BA" w14:textId="77777777" w:rsidR="002466FC" w:rsidRPr="009F23CB" w:rsidRDefault="002466FC" w:rsidP="002466FC">
      <w:pPr>
        <w:pStyle w:val="SCCLowerCourtNameLowercase"/>
        <w:spacing w:after="720" w:line="240" w:lineRule="auto"/>
      </w:pPr>
      <w:r w:rsidRPr="009F23CB">
        <w:t xml:space="preserve">on appeal from the court of appeal for </w:t>
      </w:r>
      <w:proofErr w:type="spellStart"/>
      <w:r w:rsidRPr="009F23CB">
        <w:t>alberta</w:t>
      </w:r>
      <w:proofErr w:type="spellEnd"/>
    </w:p>
    <w:p w14:paraId="2E6F1383" w14:textId="77777777" w:rsidR="002466FC" w:rsidRPr="009F23CB" w:rsidRDefault="002466FC" w:rsidP="002466FC">
      <w:pPr>
        <w:pStyle w:val="SCCNormalDoubleSpacing"/>
        <w:spacing w:after="480"/>
        <w:rPr>
          <w:i/>
          <w:iCs/>
          <w:color w:val="000000"/>
        </w:rPr>
      </w:pPr>
      <w:r w:rsidRPr="009F23CB">
        <w:tab/>
      </w:r>
      <w:r w:rsidRPr="009F23CB">
        <w:rPr>
          <w:i/>
          <w:iCs/>
          <w:color w:val="000000"/>
        </w:rPr>
        <w:t>Criminal law — Evidence — Admissibility — Confessions rule — Voluntariness — Individual unlawfully detained after reporting death of roommate — Individual</w:t>
      </w:r>
      <w:r w:rsidRPr="009F23CB">
        <w:rPr>
          <w:i/>
        </w:rPr>
        <w:t xml:space="preserve"> given police caution and advised of right to retain and instruct counsel without delay </w:t>
      </w:r>
      <w:r w:rsidRPr="009F23CB">
        <w:rPr>
          <w:i/>
          <w:iCs/>
          <w:color w:val="000000"/>
        </w:rPr>
        <w:t>but refusing to contact lawyer and confessing to involvement in death — Individual later charged with manslaughter and seeking exclusion of confession as involuntary — Trial judge admitting confession and entering conviction — Whether confession admissible at trial. </w:t>
      </w:r>
    </w:p>
    <w:p w14:paraId="764C523E" w14:textId="7A293703" w:rsidR="002466FC" w:rsidRPr="009F23CB" w:rsidRDefault="002466FC" w:rsidP="002466FC">
      <w:pPr>
        <w:pStyle w:val="SCCNormalDoubleSpacing"/>
        <w:spacing w:after="480"/>
        <w:rPr>
          <w:i/>
          <w:iCs/>
          <w:color w:val="000000"/>
        </w:rPr>
      </w:pPr>
      <w:r w:rsidRPr="009F23CB">
        <w:rPr>
          <w:i/>
          <w:iCs/>
          <w:color w:val="000000"/>
        </w:rPr>
        <w:tab/>
        <w:t>Criminal law — Arrest — Warrantless arrest — Reasonable and probable grounds — Warrantless arrest</w:t>
      </w:r>
      <w:r w:rsidR="008120AA" w:rsidRPr="009F23CB">
        <w:rPr>
          <w:i/>
          <w:iCs/>
          <w:color w:val="000000"/>
        </w:rPr>
        <w:t>s</w:t>
      </w:r>
      <w:r w:rsidRPr="009F23CB">
        <w:rPr>
          <w:i/>
          <w:iCs/>
          <w:color w:val="000000"/>
        </w:rPr>
        <w:t xml:space="preserve"> by police of two individuals for murder after they reported death of roommate — Whether police had reasonable and probable grounds for arrest</w:t>
      </w:r>
      <w:r w:rsidR="008120AA" w:rsidRPr="009F23CB">
        <w:rPr>
          <w:i/>
          <w:iCs/>
          <w:color w:val="000000"/>
        </w:rPr>
        <w:t>s</w:t>
      </w:r>
      <w:r w:rsidRPr="009F23CB">
        <w:rPr>
          <w:i/>
          <w:iCs/>
          <w:color w:val="000000"/>
        </w:rPr>
        <w:t>.</w:t>
      </w:r>
    </w:p>
    <w:p w14:paraId="68FC0391" w14:textId="77777777" w:rsidR="002466FC" w:rsidRPr="009F23CB" w:rsidRDefault="002466FC" w:rsidP="002466FC">
      <w:pPr>
        <w:pStyle w:val="SCCNormalDoubleSpacing"/>
        <w:spacing w:after="480"/>
        <w:rPr>
          <w:i/>
          <w:iCs/>
          <w:color w:val="000000"/>
        </w:rPr>
      </w:pPr>
      <w:r w:rsidRPr="009F23CB">
        <w:rPr>
          <w:i/>
          <w:iCs/>
          <w:color w:val="000000"/>
        </w:rPr>
        <w:tab/>
        <w:t xml:space="preserve">Constitutional law — Charter of Rights — Remedy — Exclusion of evidence — Police detaining two individuals with respect to death of roommate in breach of several of their Charter rights — Police attempting to make fresh start by later advising individuals of Charter rights and arresting them for murder — Police </w:t>
      </w:r>
      <w:r w:rsidRPr="009F23CB">
        <w:rPr>
          <w:i/>
          <w:iCs/>
          <w:color w:val="000000"/>
        </w:rPr>
        <w:lastRenderedPageBreak/>
        <w:t>then obtaining confessions — Trial judge admitting confessions at trial and entering convictions for manslaughter — Whether confessions should be excluded — Canadian Charter of Rights and Freedoms, s. 24(2).</w:t>
      </w:r>
    </w:p>
    <w:p w14:paraId="2721B302" w14:textId="4714BC90" w:rsidR="002466FC" w:rsidRPr="009F23CB" w:rsidRDefault="002466FC" w:rsidP="002466FC">
      <w:pPr>
        <w:pStyle w:val="SCCNormalDoubleSpacing"/>
        <w:spacing w:after="480"/>
        <w:rPr>
          <w:i/>
          <w:iCs/>
          <w:color w:val="000000"/>
        </w:rPr>
      </w:pPr>
      <w:r w:rsidRPr="009F23CB">
        <w:rPr>
          <w:i/>
          <w:iCs/>
          <w:color w:val="000000"/>
        </w:rPr>
        <w:tab/>
      </w:r>
      <w:r w:rsidRPr="009F23CB">
        <w:t>The accused, L and B, shared a townhouse with the deceased. One morning, L called 9</w:t>
      </w:r>
      <w:r w:rsidRPr="009F23CB">
        <w:noBreakHyphen/>
        <w:t>1</w:t>
      </w:r>
      <w:r w:rsidRPr="009F23CB">
        <w:noBreakHyphen/>
        <w:t>1 and alleged that he and B had arrived home to find the deceased dead in a puddle of blood. L told the 9</w:t>
      </w:r>
      <w:r w:rsidRPr="009F23CB">
        <w:noBreakHyphen/>
        <w:t>1</w:t>
      </w:r>
      <w:r w:rsidRPr="009F23CB">
        <w:noBreakHyphen/>
        <w:t>1 operator that they did not know how the deceased had died, but admitted that there had been altercations all week between L, B, and the deceased. Police officers who attended the scene in response to the 9</w:t>
      </w:r>
      <w:r w:rsidRPr="009F23CB">
        <w:noBreakHyphen/>
        <w:t>1</w:t>
      </w:r>
      <w:r w:rsidRPr="009F23CB">
        <w:noBreakHyphen/>
        <w:t>1 call breached the accused</w:t>
      </w:r>
      <w:r w:rsidR="009E380D" w:rsidRPr="009F23CB">
        <w:t>’</w:t>
      </w:r>
      <w:r w:rsidRPr="009F23CB">
        <w:t xml:space="preserve">s ss. 9, 10(a) and 10(b) </w:t>
      </w:r>
      <w:r w:rsidRPr="009F23CB">
        <w:rPr>
          <w:i/>
        </w:rPr>
        <w:t>Charter</w:t>
      </w:r>
      <w:r w:rsidRPr="009F23CB">
        <w:t xml:space="preserve"> rights by detaining them and taking them to the police station without lawful authority. When homicide detectives realized that their colleagues had unlawfully detained the accused, they promptly tried to make a “fresh start” by advising them of their </w:t>
      </w:r>
      <w:r w:rsidRPr="009F23CB">
        <w:rPr>
          <w:i/>
        </w:rPr>
        <w:t>Charter</w:t>
      </w:r>
      <w:r w:rsidRPr="009F23CB">
        <w:t xml:space="preserve"> rights and then arresting them for murder. When questioned separately, the accused initially denied any knowledge of how the deceased had died. Eventually, however, they both confessed to killing him. </w:t>
      </w:r>
    </w:p>
    <w:p w14:paraId="52DD2BB1" w14:textId="41AC3154" w:rsidR="002466FC" w:rsidRPr="009F23CB" w:rsidRDefault="002466FC" w:rsidP="002466FC">
      <w:pPr>
        <w:pStyle w:val="SCCNormalDoubleSpacing"/>
        <w:spacing w:after="480"/>
      </w:pPr>
      <w:r w:rsidRPr="009F23CB">
        <w:tab/>
        <w:t xml:space="preserve">At issue at trial was the admissibility of these confessions. On </w:t>
      </w:r>
      <w:r w:rsidRPr="009F23CB">
        <w:rPr>
          <w:i/>
        </w:rPr>
        <w:t>voir dire</w:t>
      </w:r>
      <w:r w:rsidRPr="009F23CB">
        <w:t>, the trial judge held that the Crown had proved the voluntariness of the accused</w:t>
      </w:r>
      <w:r w:rsidR="009E380D" w:rsidRPr="009F23CB">
        <w:t>’</w:t>
      </w:r>
      <w:r w:rsidRPr="009F23CB">
        <w:t xml:space="preserve">s confessions beyond a reasonable doubt and that neither of their confessions should be excluded under s. 24(2) of the </w:t>
      </w:r>
      <w:r w:rsidRPr="009F23CB">
        <w:rPr>
          <w:i/>
        </w:rPr>
        <w:t>Charter</w:t>
      </w:r>
      <w:r w:rsidRPr="009F23CB">
        <w:t>,</w:t>
      </w:r>
      <w:r w:rsidRPr="009F23CB">
        <w:rPr>
          <w:i/>
        </w:rPr>
        <w:t xml:space="preserve"> </w:t>
      </w:r>
      <w:r w:rsidRPr="009F23CB">
        <w:t xml:space="preserve">as they had not been “obtained in a manner” that infringed or denied any rights or freedoms guaranteed by the </w:t>
      </w:r>
      <w:r w:rsidRPr="009F23CB">
        <w:rPr>
          <w:i/>
        </w:rPr>
        <w:t>Charter</w:t>
      </w:r>
      <w:r w:rsidRPr="009F23CB">
        <w:t xml:space="preserve">. The trial judge determined that the homicide detectives cured the </w:t>
      </w:r>
      <w:r w:rsidRPr="009F23CB">
        <w:rPr>
          <w:i/>
        </w:rPr>
        <w:t xml:space="preserve">Charter </w:t>
      </w:r>
      <w:r w:rsidRPr="009F23CB">
        <w:t>breaches arising from the accused</w:t>
      </w:r>
      <w:r w:rsidR="009E380D" w:rsidRPr="009F23CB">
        <w:t>’</w:t>
      </w:r>
      <w:r w:rsidRPr="009F23CB">
        <w:t xml:space="preserve">s unlawful detention by making a “fresh start” and arresting them for </w:t>
      </w:r>
      <w:r w:rsidRPr="009F23CB">
        <w:lastRenderedPageBreak/>
        <w:t>murder at police headquarters. The accused were convicted of manslaughter. The Court of Appeal dismissed the conviction appeals. It found that there was no reviewable error in the trial judge</w:t>
      </w:r>
      <w:r w:rsidR="009E380D" w:rsidRPr="009F23CB">
        <w:t>’</w:t>
      </w:r>
      <w:r w:rsidRPr="009F23CB">
        <w:t xml:space="preserve">s assessment of voluntariness, and that the police had reasonable and probable grounds to arrest the accused for murder. The court further agreed that the homicide detectives made a “fresh start” in arresting the accused, such that their confessions were not “obtained in a manner” that breached the </w:t>
      </w:r>
      <w:r w:rsidRPr="009F23CB">
        <w:rPr>
          <w:i/>
        </w:rPr>
        <w:t>Charter</w:t>
      </w:r>
      <w:r w:rsidRPr="009F23CB">
        <w:t xml:space="preserve">. B appeals the determination regarding the voluntariness of his confession and both B and L appeal the determination that their confessions should not be excluded under s. 24(2) of the </w:t>
      </w:r>
      <w:r w:rsidRPr="009F23CB">
        <w:rPr>
          <w:i/>
        </w:rPr>
        <w:t>Charter</w:t>
      </w:r>
      <w:r w:rsidRPr="009F23CB">
        <w:t>.</w:t>
      </w:r>
    </w:p>
    <w:p w14:paraId="09E20896" w14:textId="77777777" w:rsidR="002466FC" w:rsidRPr="009F23CB" w:rsidRDefault="002466FC" w:rsidP="002466FC">
      <w:pPr>
        <w:pStyle w:val="SCCNormalDoubleSpacing"/>
        <w:spacing w:after="480"/>
      </w:pPr>
      <w:r w:rsidRPr="009F23CB">
        <w:rPr>
          <w:rStyle w:val="QuoteChar"/>
          <w:color w:val="auto"/>
          <w:lang w:val="en-CA"/>
        </w:rPr>
        <w:tab/>
        <w:t xml:space="preserve">Held </w:t>
      </w:r>
      <w:r w:rsidRPr="009F23CB">
        <w:rPr>
          <w:rStyle w:val="QuoteChar"/>
          <w:i w:val="0"/>
          <w:color w:val="auto"/>
          <w:lang w:val="en-CA"/>
        </w:rPr>
        <w:t>(Karakatsanis, Côté, Brown and Martin JJ. dissenting):</w:t>
      </w:r>
      <w:r w:rsidRPr="009F23CB">
        <w:t xml:space="preserve"> The appeals should be dismissed.</w:t>
      </w:r>
    </w:p>
    <w:p w14:paraId="3F700975" w14:textId="6165B2EB" w:rsidR="002466FC" w:rsidRPr="009F23CB" w:rsidRDefault="002466FC" w:rsidP="002466FC">
      <w:pPr>
        <w:pStyle w:val="SCCNormalDoubleSpacing"/>
        <w:spacing w:after="480"/>
      </w:pPr>
      <w:r w:rsidRPr="009F23CB">
        <w:rPr>
          <w:i/>
        </w:rPr>
        <w:tab/>
        <w:t>Per</w:t>
      </w:r>
      <w:r w:rsidRPr="009F23CB">
        <w:t xml:space="preserve"> Wagner C.J. and Moldaver, Rowe, Kasirer and </w:t>
      </w:r>
      <w:r w:rsidRPr="009F23CB">
        <w:rPr>
          <w:b/>
        </w:rPr>
        <w:t>Jamal</w:t>
      </w:r>
      <w:r w:rsidRPr="009F23CB">
        <w:t> JJ.: B</w:t>
      </w:r>
      <w:r w:rsidR="009E380D" w:rsidRPr="009F23CB">
        <w:t>’</w:t>
      </w:r>
      <w:r w:rsidRPr="009F23CB">
        <w:t xml:space="preserve">s confession was voluntary and thus admissible under the common law confessions rule, and the police had reasonable and probable grounds to arrest both accused for murder. However, although homicide detectives made a “fresh start” from the </w:t>
      </w:r>
      <w:r w:rsidRPr="009F23CB">
        <w:rPr>
          <w:i/>
        </w:rPr>
        <w:t>Charter</w:t>
      </w:r>
      <w:r w:rsidRPr="009F23CB">
        <w:t xml:space="preserve"> breaches arising from L</w:t>
      </w:r>
      <w:r w:rsidR="009E380D" w:rsidRPr="009F23CB">
        <w:t>’</w:t>
      </w:r>
      <w:r w:rsidRPr="009F23CB">
        <w:t>s unlawful detention, there was no “fresh start” made in B</w:t>
      </w:r>
      <w:r w:rsidR="009E380D" w:rsidRPr="009F23CB">
        <w:t>’</w:t>
      </w:r>
      <w:r w:rsidRPr="009F23CB">
        <w:t>s case. Thus, only B</w:t>
      </w:r>
      <w:r w:rsidR="009E380D" w:rsidRPr="009F23CB">
        <w:t>’</w:t>
      </w:r>
      <w:r w:rsidRPr="009F23CB">
        <w:t xml:space="preserve">s confession was obtained in a manner that breached the </w:t>
      </w:r>
      <w:r w:rsidRPr="009F23CB">
        <w:rPr>
          <w:i/>
        </w:rPr>
        <w:t>Charter</w:t>
      </w:r>
      <w:r w:rsidRPr="009F23CB">
        <w:t xml:space="preserve">. Balancing the lines of inquiry under s. 24(2) of the </w:t>
      </w:r>
      <w:r w:rsidRPr="009F23CB">
        <w:rPr>
          <w:i/>
        </w:rPr>
        <w:t>Charter</w:t>
      </w:r>
      <w:r w:rsidRPr="009F23CB">
        <w:t>, admitting B</w:t>
      </w:r>
      <w:r w:rsidR="009E380D" w:rsidRPr="009F23CB">
        <w:t>’</w:t>
      </w:r>
      <w:r w:rsidRPr="009F23CB">
        <w:t xml:space="preserve">s confession into evidence would not bring the administration of justice into disrepute. </w:t>
      </w:r>
    </w:p>
    <w:p w14:paraId="4827925D" w14:textId="312FF0DF" w:rsidR="002466FC" w:rsidRPr="009F23CB" w:rsidRDefault="002466FC" w:rsidP="002466FC">
      <w:pPr>
        <w:pStyle w:val="SCCNormalDoubleSpacing"/>
        <w:spacing w:after="480"/>
      </w:pPr>
      <w:r w:rsidRPr="009F23CB">
        <w:tab/>
        <w:t xml:space="preserve">The common law confessions rule provides that a confession to a person in authority is presumptively inadmissible, unless the Crown proves beyond a reasonable doubt that it was voluntary. Under this rule, an involuntary confession always warrants exclusion. But a voluntary confession will not always be admitted into evidence: if a voluntary confession was “obtained in a manner” that breached the </w:t>
      </w:r>
      <w:r w:rsidRPr="009F23CB">
        <w:rPr>
          <w:i/>
        </w:rPr>
        <w:t>Charter</w:t>
      </w:r>
      <w:r w:rsidRPr="009F23CB">
        <w:t>, it</w:t>
      </w:r>
      <w:r w:rsidRPr="009F23CB">
        <w:rPr>
          <w:i/>
        </w:rPr>
        <w:t xml:space="preserve"> </w:t>
      </w:r>
      <w:r w:rsidRPr="009F23CB">
        <w:t>can still potentially be excluded under s. 24(2). At the heart of the confessions rule is the delicate balance between individual rights and collective interests in the criminal justice system. The twin goals of the rule involve protecting the rights of the accused without unduly limiting society</w:t>
      </w:r>
      <w:r w:rsidR="009E380D" w:rsidRPr="009F23CB">
        <w:t>’</w:t>
      </w:r>
      <w:r w:rsidRPr="009F23CB">
        <w:t>s need to investigate and solve crimes. On the one hand, the common law recognizes an individual</w:t>
      </w:r>
      <w:r w:rsidR="009E380D" w:rsidRPr="009F23CB">
        <w:t>’</w:t>
      </w:r>
      <w:r w:rsidRPr="009F23CB">
        <w:t>s right against self</w:t>
      </w:r>
      <w:r w:rsidRPr="009F23CB">
        <w:noBreakHyphen/>
        <w:t>incrimination and right to remain silent; on the other, it is accepted that the police often need to speak to people when discharging their important public responsibility to investigate and solve crime.</w:t>
      </w:r>
    </w:p>
    <w:p w14:paraId="3126D0DA" w14:textId="7EFDD4AF" w:rsidR="002466FC" w:rsidRPr="009F23CB" w:rsidRDefault="002466FC" w:rsidP="002466FC">
      <w:pPr>
        <w:pStyle w:val="SCCNormalDoubleSpacing"/>
        <w:spacing w:after="480"/>
      </w:pPr>
      <w:r w:rsidRPr="009F23CB">
        <w:tab/>
        <w:t>Voluntariness, broadly defined, is the touchstone of the confessions rule. It is a shorthand for a complex of values engaging policy concerns related to not only the reliability of confessions, but also to respect for individual free will, the need for the police to obey the law, and the fairness and repute of the criminal justice system. The application of the confessions rule is necessarily flexible and contextual. When assessing the voluntariness of a confession, the trial judge must determine, based on the whole context of the case, whether the statements made by an accused were reliable and whether the conduct of the state served in any way to unfairly deprive the accused of their free choice to speak to a person in authority. The trial judge must consider all relevant factors, including the presence of threats or promises, the existence of oppressive conditions, whether the accused had an operating mind, any police trickery that would shock the community, and the presence or absence of a police caution. These factors are not a checklist and do not supplant a contextual inquiry. Absent an error of law in relation to the applicable legal principles, a trial judge</w:t>
      </w:r>
      <w:r w:rsidR="009E380D" w:rsidRPr="009F23CB">
        <w:t>’</w:t>
      </w:r>
      <w:r w:rsidRPr="009F23CB">
        <w:t>s application of the voluntariness framework is a question of fact or of mixed fact and law attracting appellate deference. Mere disagreement with the weight given to various items of evidence is not a basis to reverse a trial judge</w:t>
      </w:r>
      <w:r w:rsidR="009E380D" w:rsidRPr="009F23CB">
        <w:t>’</w:t>
      </w:r>
      <w:r w:rsidRPr="009F23CB">
        <w:t>s finding of voluntariness. </w:t>
      </w:r>
    </w:p>
    <w:p w14:paraId="39271795" w14:textId="77777777" w:rsidR="002466FC" w:rsidRPr="009F23CB" w:rsidRDefault="002466FC" w:rsidP="002466FC">
      <w:pPr>
        <w:pStyle w:val="SCCNormalDoubleSpacing"/>
        <w:spacing w:after="480"/>
      </w:pPr>
      <w:r w:rsidRPr="009F23CB">
        <w:tab/>
        <w:t xml:space="preserve">The police have statutory authority to arrest a person without a warrant under s. 495 of the </w:t>
      </w:r>
      <w:r w:rsidRPr="009F23CB">
        <w:rPr>
          <w:i/>
        </w:rPr>
        <w:t>Criminal Code</w:t>
      </w:r>
      <w:r w:rsidRPr="009F23CB">
        <w:rPr>
          <w:lang w:val="en-US"/>
        </w:rPr>
        <w:t xml:space="preserve">, </w:t>
      </w:r>
      <w:r w:rsidRPr="009F23CB">
        <w:t xml:space="preserve">which allows a peace officer to arrest a person if, on reasonable grounds, they believe the person has committed or is about to commit an indictable offence. A warrantless arrest requires subjective and objective grounds to arrest. The arresting officer must subjectively have reasonable and probable grounds for the arrest, and those grounds must be justifiable from an objective viewpoint. </w:t>
      </w:r>
    </w:p>
    <w:p w14:paraId="2BC0878C" w14:textId="49F7122D" w:rsidR="002466FC" w:rsidRPr="009F23CB" w:rsidRDefault="002466FC" w:rsidP="002466FC">
      <w:pPr>
        <w:pStyle w:val="SCCNormalDoubleSpacing"/>
        <w:spacing w:after="480"/>
      </w:pPr>
      <w:r w:rsidRPr="009F23CB">
        <w:tab/>
        <w:t>In assessing the subjective grounds for arrest, the question is whether the arresting officer honestly believed that the suspect committed the offence. Subjective grounds for arrest are often established through the police officer</w:t>
      </w:r>
      <w:r w:rsidR="009E380D" w:rsidRPr="009F23CB">
        <w:t>’</w:t>
      </w:r>
      <w:r w:rsidRPr="009F23CB">
        <w:t>s testimony. This requires the trial judge to evaluate the officer</w:t>
      </w:r>
      <w:r w:rsidR="009E380D" w:rsidRPr="009F23CB">
        <w:t>’</w:t>
      </w:r>
      <w:r w:rsidRPr="009F23CB">
        <w:t>s credibility, a finding that attracts particular deference on appeal. The objective assessment is based on the totality of the circumstances known to the officer at the time of the arrest, including the dynamics of the situation, as seen from the perspective of a reasonable person with comparable knowledge, training, and experience as the arresting officer. The arresting officer</w:t>
      </w:r>
      <w:r w:rsidR="009E380D" w:rsidRPr="009F23CB">
        <w:t>’</w:t>
      </w:r>
      <w:r w:rsidRPr="009F23CB">
        <w:t>s grounds for arrest must be more than a hunch or intuition. In evaluating the objective grounds to arrest, courts must recognize that the officer</w:t>
      </w:r>
      <w:r w:rsidR="009E380D" w:rsidRPr="009F23CB">
        <w:t>’</w:t>
      </w:r>
      <w:r w:rsidRPr="009F23CB">
        <w:t xml:space="preserve">s decision to arrest must often be made quickly in volatile and rapidly changing situations, and the officer must make their decision based on available information which is often less than exact or complete. At the same time, the police cannot rely on evidence discovered after the arrest to justify the subjective or objective grounds for arrest. Courts must also remember that determining whether sufficient grounds exist to justify an exercise of police powers is not a scientific or metaphysical exercise, but one that calls for the application of common sense, flexibility, and practical everyday experience. </w:t>
      </w:r>
    </w:p>
    <w:p w14:paraId="141CC63A" w14:textId="605FC621" w:rsidR="002466FC" w:rsidRPr="009F23CB" w:rsidRDefault="002466FC" w:rsidP="002466FC">
      <w:pPr>
        <w:pStyle w:val="SCCNormalDoubleSpacing"/>
        <w:spacing w:after="480"/>
      </w:pPr>
      <w:r w:rsidRPr="009F23CB">
        <w:tab/>
        <w:t>“Reasonable and probable grounds” as a basis for a warrantless arrest is a higher standard than “reasonable suspicion”. Reasonable suspicion requires a reasonable possibility of crime, while reasonable and probable grounds requires a reasonable probability of crime. The reasonable and probable grounds standard requires a reasonable belief that an individual is connected to the offence. A reasonable belief exists when there is an objective basis for the belief which is based on compelling and credible information. It is the police officer who directed the arrest who must have reasonable and probable grounds. The existence of reasonable and probable grounds is a factual finding reviewable only for palpable and overriding error, yet whether the facts as found by the trial judge amount to reasonable and probable grounds is a question of law reviewable for correctness. The police</w:t>
      </w:r>
      <w:r w:rsidR="009E380D" w:rsidRPr="009F23CB">
        <w:t>’</w:t>
      </w:r>
      <w:r w:rsidRPr="009F23CB">
        <w:t xml:space="preserve">s failure to take detailed contemporaneous notes of the grounds for arrest and the material relied on in forming those grounds does not preclude a finding of reasonable and probable grounds. Although notes are generally desirable, they are not mandatory in all cases. Imposing such a requirement could undermine the </w:t>
      </w:r>
      <w:r w:rsidRPr="009F23CB">
        <w:rPr>
          <w:szCs w:val="24"/>
        </w:rPr>
        <w:t xml:space="preserve">ability of the police to respond appropriately to the dynamic situations they face each day. </w:t>
      </w:r>
      <w:r w:rsidRPr="009F23CB">
        <w:t>Furthermore, the lack of contemporaneous notes does not necessarily frustrate judicial review of warrantless arrests. Courts routinely evaluate the existence of reasonable and probable grounds based on the arresting officer</w:t>
      </w:r>
      <w:r w:rsidR="009E380D" w:rsidRPr="009F23CB">
        <w:t>’</w:t>
      </w:r>
      <w:r w:rsidRPr="009F23CB">
        <w:t>s testimony and other evidence.</w:t>
      </w:r>
    </w:p>
    <w:p w14:paraId="2EED53AC" w14:textId="5F8039EA" w:rsidR="002466FC" w:rsidRPr="009F23CB" w:rsidRDefault="002466FC" w:rsidP="002466FC">
      <w:pPr>
        <w:pStyle w:val="SCCNormalDoubleSpacing"/>
        <w:spacing w:after="480"/>
      </w:pPr>
      <w:r w:rsidRPr="009F23CB">
        <w:tab/>
        <w:t xml:space="preserve">Determining whether evidence should be excluded under s. 24(2) of the </w:t>
      </w:r>
      <w:r w:rsidRPr="009F23CB">
        <w:rPr>
          <w:i/>
        </w:rPr>
        <w:t>Charter</w:t>
      </w:r>
      <w:r w:rsidRPr="009F23CB">
        <w:t xml:space="preserve"> proceeds in two parts. The first component — the threshold requirement — asks whether the evidence was “obtained in a manner” that infringed or denied a </w:t>
      </w:r>
      <w:r w:rsidRPr="009F23CB">
        <w:rPr>
          <w:i/>
        </w:rPr>
        <w:t>Charter</w:t>
      </w:r>
      <w:r w:rsidRPr="009F23CB">
        <w:t xml:space="preserve"> right or freedom. The threshold requirement insists that there be a nexus between the </w:t>
      </w:r>
      <w:r w:rsidRPr="009F23CB">
        <w:rPr>
          <w:i/>
        </w:rPr>
        <w:t xml:space="preserve">Charter </w:t>
      </w:r>
      <w:r w:rsidRPr="009F23CB">
        <w:t>breach and the evidence, absent which s. 24(2) has no application. This determination involves a case</w:t>
      </w:r>
      <w:r w:rsidRPr="009F23CB">
        <w:noBreakHyphen/>
        <w:t xml:space="preserve">specific factual inquiry into the existence and sufficiency of the connection between the </w:t>
      </w:r>
      <w:r w:rsidRPr="009F23CB">
        <w:rPr>
          <w:i/>
        </w:rPr>
        <w:t xml:space="preserve">Charter </w:t>
      </w:r>
      <w:r w:rsidRPr="009F23CB">
        <w:t>breach and the evidence obtained; there is no hard and fast rule. Once the threshold requirement is met,</w:t>
      </w:r>
      <w:r w:rsidR="009E380D" w:rsidRPr="009F23CB">
        <w:t xml:space="preserve"> the second component of the s. </w:t>
      </w:r>
      <w:r w:rsidRPr="009F23CB">
        <w:t xml:space="preserve">24(2) analysis — the evaluative component — asks whether, having regard to all the circumstances, admitting the evidence would bring the administration of justice into disrepute. Answering this question involves examining the impact of the admission on public confidence in the administration of justice over the long term, based on a balancing of (i) the seriousness of the </w:t>
      </w:r>
      <w:r w:rsidRPr="009F23CB">
        <w:rPr>
          <w:i/>
        </w:rPr>
        <w:t>Charter</w:t>
      </w:r>
      <w:r w:rsidRPr="009F23CB">
        <w:noBreakHyphen/>
        <w:t>infringing state conduct; (ii) the impact of the breach on the accused</w:t>
      </w:r>
      <w:r w:rsidR="009E380D" w:rsidRPr="009F23CB">
        <w:t>’</w:t>
      </w:r>
      <w:r w:rsidRPr="009F23CB">
        <w:t xml:space="preserve">s </w:t>
      </w:r>
      <w:r w:rsidRPr="009F23CB">
        <w:rPr>
          <w:i/>
        </w:rPr>
        <w:t>Charter</w:t>
      </w:r>
      <w:r w:rsidRPr="009F23CB">
        <w:noBreakHyphen/>
        <w:t>protected interests; and (iii) society</w:t>
      </w:r>
      <w:r w:rsidR="009E380D" w:rsidRPr="009F23CB">
        <w:t>’</w:t>
      </w:r>
      <w:r w:rsidRPr="009F23CB">
        <w:t xml:space="preserve">s interest in the adjudication of the case on its merits. Section 24(2) of the </w:t>
      </w:r>
      <w:r w:rsidRPr="009F23CB">
        <w:rPr>
          <w:i/>
        </w:rPr>
        <w:t>Charter</w:t>
      </w:r>
      <w:r w:rsidRPr="009F23CB">
        <w:t xml:space="preserve"> is not an automatic exclusionary rule precluding the admission of all unconstitutionally obtained evidence. Such evidence will only be excluded when the accused establishes that, having regard to all the circumstances, the admission of the evidence would bring the administration of justice into disrepute. Balancing the relevant considerations under s. 24(2) is a qualitative determination that is not capable of mathematical precision.</w:t>
      </w:r>
    </w:p>
    <w:p w14:paraId="61AFB497" w14:textId="5D450504" w:rsidR="002466FC" w:rsidRPr="009F23CB" w:rsidRDefault="002466FC" w:rsidP="002466FC">
      <w:pPr>
        <w:pStyle w:val="SCCNormalDoubleSpacing"/>
        <w:spacing w:after="480"/>
      </w:pPr>
      <w:r w:rsidRPr="009F23CB">
        <w:tab/>
        <w:t xml:space="preserve">Evidence will not be “obtained in a manner” that breached the </w:t>
      </w:r>
      <w:r w:rsidRPr="009F23CB">
        <w:rPr>
          <w:i/>
        </w:rPr>
        <w:t xml:space="preserve">Charter </w:t>
      </w:r>
      <w:r w:rsidRPr="009F23CB">
        <w:t xml:space="preserve">when the police made a “fresh start” from an earlier </w:t>
      </w:r>
      <w:r w:rsidRPr="009F23CB">
        <w:rPr>
          <w:i/>
        </w:rPr>
        <w:t xml:space="preserve">Charter </w:t>
      </w:r>
      <w:r w:rsidRPr="009F23CB">
        <w:t xml:space="preserve">breach by severing any temporal, contextual, or causal connection between the </w:t>
      </w:r>
      <w:r w:rsidRPr="009F23CB">
        <w:rPr>
          <w:i/>
        </w:rPr>
        <w:t>Charter</w:t>
      </w:r>
      <w:r w:rsidRPr="009F23CB">
        <w:t xml:space="preserve"> breach and the evidence obtained or by rendering any such connection remote or tenuous. The police may make a “fresh start” by later complying with the </w:t>
      </w:r>
      <w:r w:rsidRPr="009F23CB">
        <w:rPr>
          <w:i/>
        </w:rPr>
        <w:t>Charter</w:t>
      </w:r>
      <w:r w:rsidRPr="009F23CB">
        <w:t xml:space="preserve">, although subsequent compliance does not result in a “fresh start” in every case. The “fresh start” inquiry applies to any form of evidence that the police obtain following a </w:t>
      </w:r>
      <w:r w:rsidRPr="009F23CB">
        <w:rPr>
          <w:i/>
        </w:rPr>
        <w:t xml:space="preserve">Charter </w:t>
      </w:r>
      <w:r w:rsidRPr="009F23CB">
        <w:t xml:space="preserve">violation; it is not limited either to successive statements or to s. 10(b) </w:t>
      </w:r>
      <w:r w:rsidRPr="009F23CB">
        <w:rPr>
          <w:i/>
        </w:rPr>
        <w:t>Charter</w:t>
      </w:r>
      <w:r w:rsidRPr="009F23CB">
        <w:t xml:space="preserve"> violations. When undertaking the case</w:t>
      </w:r>
      <w:r w:rsidRPr="009F23CB">
        <w:noBreakHyphen/>
        <w:t xml:space="preserve">specific factual inquiry into whether the police effected a “fresh start”, some potentially illustrative indicators include whether (i) the police informed the accused of the </w:t>
      </w:r>
      <w:r w:rsidRPr="009F23CB">
        <w:rPr>
          <w:i/>
        </w:rPr>
        <w:t>Charter</w:t>
      </w:r>
      <w:r w:rsidRPr="009F23CB">
        <w:t xml:space="preserve"> breach and dispelled its effect with appropriate language; (ii) the police cautioned the accused after the </w:t>
      </w:r>
      <w:r w:rsidRPr="009F23CB">
        <w:rPr>
          <w:i/>
        </w:rPr>
        <w:t>Charter</w:t>
      </w:r>
      <w:r w:rsidRPr="009F23CB">
        <w:t xml:space="preserve"> breach but before the impugned evidence was obtained; (iii) the accused had the chance to consult counsel after the </w:t>
      </w:r>
      <w:r w:rsidRPr="009F23CB">
        <w:rPr>
          <w:i/>
        </w:rPr>
        <w:t>Charter</w:t>
      </w:r>
      <w:r w:rsidRPr="009F23CB">
        <w:t xml:space="preserve"> breach but before the impugned evidence was obtained; (iv) the accused gave informed consent to the taking of the impugned evidence after the </w:t>
      </w:r>
      <w:r w:rsidRPr="009F23CB">
        <w:rPr>
          <w:i/>
        </w:rPr>
        <w:t>Charter</w:t>
      </w:r>
      <w:r w:rsidRPr="009F23CB">
        <w:t xml:space="preserve"> breach; (v) the accused was released from detention after the </w:t>
      </w:r>
      <w:r w:rsidRPr="009F23CB">
        <w:rPr>
          <w:i/>
        </w:rPr>
        <w:t>Charter</w:t>
      </w:r>
      <w:r w:rsidRPr="009F23CB">
        <w:t xml:space="preserve"> breach but before the impugned evidence was obtained; and (vi) whether and how different police officers interacted with the accused after the </w:t>
      </w:r>
      <w:r w:rsidRPr="009F23CB">
        <w:rPr>
          <w:i/>
        </w:rPr>
        <w:t>Charter</w:t>
      </w:r>
      <w:r w:rsidRPr="009F23CB">
        <w:t xml:space="preserve"> breach but before the impugned evidence was obtained.</w:t>
      </w:r>
    </w:p>
    <w:p w14:paraId="2CAFED28" w14:textId="20C668DE" w:rsidR="002466FC" w:rsidRPr="009F23CB" w:rsidRDefault="002466FC" w:rsidP="002466FC">
      <w:pPr>
        <w:pStyle w:val="SCCNormalDoubleSpacing"/>
        <w:spacing w:after="480"/>
      </w:pPr>
      <w:r w:rsidRPr="009F23CB">
        <w:tab/>
        <w:t>In the instant case, deference is owed to the trial judge</w:t>
      </w:r>
      <w:r w:rsidR="009E380D" w:rsidRPr="009F23CB">
        <w:t>’</w:t>
      </w:r>
      <w:r w:rsidRPr="009F23CB">
        <w:t>s conclusion that B</w:t>
      </w:r>
      <w:r w:rsidR="009E380D" w:rsidRPr="009F23CB">
        <w:t>’</w:t>
      </w:r>
      <w:r w:rsidRPr="009F23CB">
        <w:t>s confession was voluntary, as B has not established that any palpable and overriding error infected the trial judge</w:t>
      </w:r>
      <w:r w:rsidR="009E380D" w:rsidRPr="009F23CB">
        <w:t>’</w:t>
      </w:r>
      <w:r w:rsidRPr="009F23CB">
        <w:t xml:space="preserve">s findings of fact. Furthermore, when examining all the information before the homicide detective through the eyes of a reasonable person with the knowledge, training, and experience comparable to such a seasoned homicide detective, it must be concluded that he had objectively reasonable and probable grounds to arrest the accused for murder. </w:t>
      </w:r>
    </w:p>
    <w:p w14:paraId="7429EB60" w14:textId="1F3EF367" w:rsidR="002466FC" w:rsidRPr="009F23CB" w:rsidRDefault="002466FC" w:rsidP="002466FC">
      <w:pPr>
        <w:pStyle w:val="SCCNormalDoubleSpacing"/>
        <w:spacing w:after="480"/>
      </w:pPr>
      <w:r w:rsidRPr="009F23CB">
        <w:tab/>
        <w:t xml:space="preserve">However, the trial judge erred in law by failing to apply the correct legal test and by applying an incorrect legal principle in his “fresh start” analysis by unhelpfully and inaccurately describing the police as having “cured” the earlier </w:t>
      </w:r>
      <w:r w:rsidRPr="009F23CB">
        <w:rPr>
          <w:i/>
        </w:rPr>
        <w:t xml:space="preserve">Charter </w:t>
      </w:r>
      <w:r w:rsidRPr="009F23CB">
        <w:t xml:space="preserve">breaches. The </w:t>
      </w:r>
      <w:r w:rsidRPr="009F23CB">
        <w:rPr>
          <w:i/>
        </w:rPr>
        <w:t xml:space="preserve">Charter </w:t>
      </w:r>
      <w:r w:rsidRPr="009F23CB">
        <w:t xml:space="preserve">breaches still occurred and merit proper consideration under the threshold requirement, but </w:t>
      </w:r>
      <w:r w:rsidRPr="009F23CB">
        <w:rPr>
          <w:i/>
        </w:rPr>
        <w:t>Charter</w:t>
      </w:r>
      <w:r w:rsidRPr="009F23CB">
        <w:noBreakHyphen/>
        <w:t>compliant conduct may dissociate the breaches from the impugned evidence. Analyzing the issue afresh, in L</w:t>
      </w:r>
      <w:r w:rsidR="009E380D" w:rsidRPr="009F23CB">
        <w:t>’</w:t>
      </w:r>
      <w:r w:rsidRPr="009F23CB">
        <w:t xml:space="preserve">s case, the police took several steps that collectively severed any contextual connection between the breach of his </w:t>
      </w:r>
      <w:r w:rsidRPr="009F23CB">
        <w:rPr>
          <w:i/>
        </w:rPr>
        <w:t>Charter</w:t>
      </w:r>
      <w:r w:rsidRPr="009F23CB">
        <w:t xml:space="preserve"> rights arising from his unlawful detention and his confession. These steps rendered any temporal connection with the </w:t>
      </w:r>
      <w:r w:rsidRPr="009F23CB">
        <w:rPr>
          <w:i/>
        </w:rPr>
        <w:t xml:space="preserve">Charter </w:t>
      </w:r>
      <w:r w:rsidRPr="009F23CB">
        <w:t xml:space="preserve">breaches remote. There was also no causal relationship between the </w:t>
      </w:r>
      <w:r w:rsidRPr="009F23CB">
        <w:rPr>
          <w:i/>
        </w:rPr>
        <w:t xml:space="preserve">Charter </w:t>
      </w:r>
      <w:r w:rsidRPr="009F23CB">
        <w:t>breaches and L</w:t>
      </w:r>
      <w:r w:rsidR="009E380D" w:rsidRPr="009F23CB">
        <w:t>’</w:t>
      </w:r>
      <w:r w:rsidRPr="009F23CB">
        <w:t>s confession. In all, L</w:t>
      </w:r>
      <w:r w:rsidR="009E380D" w:rsidRPr="009F23CB">
        <w:t>’</w:t>
      </w:r>
      <w:r w:rsidRPr="009F23CB">
        <w:t xml:space="preserve">s confession was not “obtained in a manner” that breached the </w:t>
      </w:r>
      <w:r w:rsidRPr="009F23CB">
        <w:rPr>
          <w:i/>
        </w:rPr>
        <w:t>Charter</w:t>
      </w:r>
      <w:r w:rsidRPr="009F23CB">
        <w:t>. However, B</w:t>
      </w:r>
      <w:r w:rsidR="009E380D" w:rsidRPr="009F23CB">
        <w:t>’</w:t>
      </w:r>
      <w:r w:rsidRPr="009F23CB">
        <w:t xml:space="preserve">s confession remained contextually linked to the earlier </w:t>
      </w:r>
      <w:r w:rsidRPr="009F23CB">
        <w:rPr>
          <w:i/>
        </w:rPr>
        <w:t xml:space="preserve">Charter </w:t>
      </w:r>
      <w:r w:rsidRPr="009F23CB">
        <w:t>breaches notwithstanding the police</w:t>
      </w:r>
      <w:r w:rsidR="009E380D" w:rsidRPr="009F23CB">
        <w:t>’</w:t>
      </w:r>
      <w:r w:rsidRPr="009F23CB">
        <w:t>s attempts at a “fresh start”. B</w:t>
      </w:r>
      <w:r w:rsidR="009E380D" w:rsidRPr="009F23CB">
        <w:t>’</w:t>
      </w:r>
      <w:r w:rsidRPr="009F23CB">
        <w:t xml:space="preserve">s confession was thus “obtained in a manner” that breached the </w:t>
      </w:r>
      <w:r w:rsidRPr="009F23CB">
        <w:rPr>
          <w:i/>
        </w:rPr>
        <w:t>Charter</w:t>
      </w:r>
      <w:r w:rsidRPr="009F23CB">
        <w:t>, which satisfies the threshold requirement under s. 24(2). The cumulative weight of the first two lines of inquiry is overwhelmed by a compelling public interest in admitting B</w:t>
      </w:r>
      <w:r w:rsidR="009E380D" w:rsidRPr="009F23CB">
        <w:t>’</w:t>
      </w:r>
      <w:r w:rsidRPr="009F23CB">
        <w:t>s confession. This evidence is crucial to the prosecution</w:t>
      </w:r>
      <w:r w:rsidR="009E380D" w:rsidRPr="009F23CB">
        <w:t>’</w:t>
      </w:r>
      <w:r w:rsidRPr="009F23CB">
        <w:t>s case against an offender who allegedly killed another person and then tried to obstruct the police investigation. On a proper balancing of the three lines of inquiry under s. 24(2), B</w:t>
      </w:r>
      <w:r w:rsidR="009E380D" w:rsidRPr="009F23CB">
        <w:t>’</w:t>
      </w:r>
      <w:r w:rsidRPr="009F23CB">
        <w:t>s confession should be admitted into evidence.</w:t>
      </w:r>
    </w:p>
    <w:p w14:paraId="0737A589" w14:textId="338648E3" w:rsidR="002466FC" w:rsidRPr="009F23CB" w:rsidRDefault="002466FC" w:rsidP="002466FC">
      <w:pPr>
        <w:pStyle w:val="SCCNormalDoubleSpacing"/>
        <w:spacing w:after="480"/>
      </w:pPr>
      <w:r w:rsidRPr="009F23CB">
        <w:rPr>
          <w:i/>
        </w:rPr>
        <w:tab/>
        <w:t>Per</w:t>
      </w:r>
      <w:r w:rsidRPr="009F23CB">
        <w:t xml:space="preserve"> Karakatsanis, Côté, Brown and </w:t>
      </w:r>
      <w:r w:rsidRPr="009F23CB">
        <w:rPr>
          <w:b/>
        </w:rPr>
        <w:t>Martin </w:t>
      </w:r>
      <w:r w:rsidRPr="009F23CB">
        <w:t>JJ. (</w:t>
      </w:r>
      <w:proofErr w:type="gramStart"/>
      <w:r w:rsidRPr="009F23CB">
        <w:t>dissenting</w:t>
      </w:r>
      <w:proofErr w:type="gramEnd"/>
      <w:r w:rsidRPr="009F23CB">
        <w:t>): The appeals should be allowed, the evidence obtained in a manner that infringed the accused</w:t>
      </w:r>
      <w:r w:rsidR="009E380D" w:rsidRPr="009F23CB">
        <w:t>’</w:t>
      </w:r>
      <w:r w:rsidRPr="009F23CB">
        <w:t xml:space="preserve">s </w:t>
      </w:r>
      <w:r w:rsidRPr="009F23CB">
        <w:rPr>
          <w:i/>
        </w:rPr>
        <w:t>Charter</w:t>
      </w:r>
      <w:r w:rsidRPr="009F23CB">
        <w:t xml:space="preserve"> rights excluded, the convictions set aside, and new trials ordered. There is disagreement with the majority</w:t>
      </w:r>
      <w:r w:rsidR="009E380D" w:rsidRPr="009F23CB">
        <w:t>’</w:t>
      </w:r>
      <w:r w:rsidRPr="009F23CB">
        <w:t>s conclusion that it was lawful for the police, after learning of the circumstances of the accused</w:t>
      </w:r>
      <w:r w:rsidR="009E380D" w:rsidRPr="009F23CB">
        <w:t>’</w:t>
      </w:r>
      <w:r w:rsidRPr="009F23CB">
        <w:t>s unlawful detention, to immediately arrest them for murder and direct their continued questioning. The information relied on to direct the accused</w:t>
      </w:r>
      <w:r w:rsidR="009E380D" w:rsidRPr="009F23CB">
        <w:t>’</w:t>
      </w:r>
      <w:r w:rsidRPr="009F23CB">
        <w:t>s arrests does not come close to the particularized probability required to meet the reasonable grounds standard.</w:t>
      </w:r>
      <w:r w:rsidRPr="009F23CB">
        <w:rPr>
          <w:lang w:val="en-US"/>
        </w:rPr>
        <w:t xml:space="preserve"> </w:t>
      </w:r>
      <w:r w:rsidRPr="009F23CB">
        <w:t>The arrests were a blatant attempt to salvage the investigation in the face of what officers knew were multiple serious violations of the accused</w:t>
      </w:r>
      <w:r w:rsidR="009E380D" w:rsidRPr="009F23CB">
        <w:t>’</w:t>
      </w:r>
      <w:r w:rsidRPr="009F23CB">
        <w:t xml:space="preserve">s </w:t>
      </w:r>
      <w:r w:rsidRPr="009F23CB">
        <w:rPr>
          <w:i/>
        </w:rPr>
        <w:t xml:space="preserve">Charter </w:t>
      </w:r>
      <w:r w:rsidRPr="009F23CB">
        <w:t>rights. The accumulation of breaches of well</w:t>
      </w:r>
      <w:r w:rsidRPr="009F23CB">
        <w:noBreakHyphen/>
        <w:t xml:space="preserve">established </w:t>
      </w:r>
      <w:r w:rsidRPr="009F23CB">
        <w:rPr>
          <w:i/>
        </w:rPr>
        <w:t xml:space="preserve">Charter </w:t>
      </w:r>
      <w:r w:rsidRPr="009F23CB">
        <w:t xml:space="preserve">standards requires that the evidence be excluded as a remedy under s. 24(2) of the </w:t>
      </w:r>
      <w:r w:rsidRPr="009F23CB">
        <w:rPr>
          <w:i/>
        </w:rPr>
        <w:t xml:space="preserve">Charter </w:t>
      </w:r>
      <w:r w:rsidRPr="009F23CB">
        <w:t xml:space="preserve">to avoid bringing further disrepute to the administration of justice. There is further disagreement with the majority regarding the test for exclusion under s. 24(2), which is long established and well known. The focus is on the connection between the breach and the evidence obtained, with reference to temporal, contextual, and causal elements. There is no need to speak in terms of whether there was a “fresh start” for those who have breached </w:t>
      </w:r>
      <w:r w:rsidRPr="009F23CB">
        <w:rPr>
          <w:i/>
        </w:rPr>
        <w:t>Charter</w:t>
      </w:r>
      <w:r w:rsidRPr="009F23CB">
        <w:t xml:space="preserve"> rights. The notion of a “fresh start” is an unhelpful and potentially misleading concept that has no place in the s. 24(2) analysis. It divides what is to be a holistic analysis into before and after segments and operates to remove </w:t>
      </w:r>
      <w:r w:rsidRPr="009F23CB">
        <w:rPr>
          <w:i/>
        </w:rPr>
        <w:t>Charter</w:t>
      </w:r>
      <w:r w:rsidRPr="009F23CB">
        <w:t xml:space="preserve"> breaches from the analysis, thus placing a heavy finger on the scale of s. 24(2). </w:t>
      </w:r>
    </w:p>
    <w:p w14:paraId="7CD61C5B" w14:textId="77777777" w:rsidR="002466FC" w:rsidRPr="009F23CB" w:rsidRDefault="002466FC" w:rsidP="002466FC">
      <w:pPr>
        <w:pStyle w:val="SCCNormalDoubleSpacing"/>
        <w:spacing w:after="480"/>
      </w:pPr>
      <w:r w:rsidRPr="009F23CB">
        <w:tab/>
        <w:t>The police must have reasonable grounds to believe an individual committed or was about to commit an indictable offence in order to lawfully arrest them without prior judicial authorization. The reasonable belief must relate to two elements: whether an offence has been committed, and whether the person under arrest committed the offence. The test must be met on both a subjective and an objective basis, which means that it is necessary, but not sufficient, for the police to have a personal, honestly held belief in the presence of reasonable grounds. The Crown must also establish that the asserted grounds were objectively reasonable from the perspective of a reasonable person standing in the position of the officer. Reasonable grounds is a high threshold that is met at the point where a credibly</w:t>
      </w:r>
      <w:r w:rsidRPr="009F23CB">
        <w:noBreakHyphen/>
        <w:t>based probability replaces suspicion. It requires the police to point to particularized evidence to support an objective basis for the belief which is based on compelling and credible information. Whether the legal standard of reasonable grounds was met on the particular facts of a given case is a question of law to be assessed on a correctness standard.</w:t>
      </w:r>
    </w:p>
    <w:p w14:paraId="3D0AD9FA" w14:textId="77777777" w:rsidR="002466FC" w:rsidRPr="009F23CB" w:rsidRDefault="002466FC" w:rsidP="002466FC">
      <w:pPr>
        <w:pStyle w:val="SCCNormalDoubleSpacing"/>
        <w:spacing w:after="480"/>
      </w:pPr>
      <w:r w:rsidRPr="009F23CB">
        <w:tab/>
        <w:t xml:space="preserve">The need to establish reasonable grounds before effecting an arrest is not a mere procedural requirement — it is a constitutional imperative. An arrest is a key investigative step on which much hinges, both for the police and for the arrestee. It triggers intrusive police powers relating to detention, interrogation, search, and the use of force. Absent reasonable grounds, the intrusion on liberty interests tolerated in the name of the investigation of crime cannot be justified. The reasonable grounds standard is a key constitutional safeguard and must not be watered down for investigative expediency or to salvage an investigation in the face of </w:t>
      </w:r>
      <w:r w:rsidRPr="009F23CB">
        <w:rPr>
          <w:i/>
        </w:rPr>
        <w:t>Charter</w:t>
      </w:r>
      <w:r w:rsidRPr="009F23CB">
        <w:noBreakHyphen/>
        <w:t>infringing conduct.</w:t>
      </w:r>
    </w:p>
    <w:p w14:paraId="64591CAB" w14:textId="1751E9AE" w:rsidR="002466FC" w:rsidRPr="009F23CB" w:rsidRDefault="002466FC" w:rsidP="002466FC">
      <w:pPr>
        <w:pStyle w:val="SCCNormalDoubleSpacing"/>
        <w:spacing w:after="480"/>
      </w:pPr>
      <w:r w:rsidRPr="009F23CB">
        <w:tab/>
        <w:t>It is well</w:t>
      </w:r>
      <w:r w:rsidRPr="009F23CB">
        <w:noBreakHyphen/>
        <w:t>recognized that police notes are crucial to the court</w:t>
      </w:r>
      <w:r w:rsidR="009E380D" w:rsidRPr="009F23CB">
        <w:t>’</w:t>
      </w:r>
      <w:r w:rsidRPr="009F23CB">
        <w:t>s ability to meaningfully review the exercise of police power without prior judicial authorization, including the arrest power. The absence of notes is a factor to be considered in deciding whether to accept the police officer</w:t>
      </w:r>
      <w:r w:rsidR="009E380D" w:rsidRPr="009F23CB">
        <w:t>’</w:t>
      </w:r>
      <w:r w:rsidRPr="009F23CB">
        <w:t>s testimony. In reviewing reasonable grounds, the absence of notes may inform the court</w:t>
      </w:r>
      <w:r w:rsidR="009E380D" w:rsidRPr="009F23CB">
        <w:t>’</w:t>
      </w:r>
      <w:r w:rsidRPr="009F23CB">
        <w:t>s assessment of the officer</w:t>
      </w:r>
      <w:r w:rsidR="009E380D" w:rsidRPr="009F23CB">
        <w:t>’</w:t>
      </w:r>
      <w:r w:rsidRPr="009F23CB">
        <w:t>s credibility, which is relevant to both the subjective and the objective elements of the test. Without notes, it is difficult to question assertions by the police that they had grounds to arrest the individual. Notes are therefore critical to checking the exercise of police power by ensuring that statements of personal belief do not go routinely or effectively unchallenged. The absence of notes may therefore hinder the accused</w:t>
      </w:r>
      <w:r w:rsidR="009E380D" w:rsidRPr="009F23CB">
        <w:t>’</w:t>
      </w:r>
      <w:r w:rsidRPr="009F23CB">
        <w:t>s ability to challenge the decision to arrest, and the court</w:t>
      </w:r>
      <w:r w:rsidR="009E380D" w:rsidRPr="009F23CB">
        <w:t>’</w:t>
      </w:r>
      <w:r w:rsidRPr="009F23CB">
        <w:t>s ability to get to the truth of the basis for that decision.</w:t>
      </w:r>
    </w:p>
    <w:p w14:paraId="49ADA596" w14:textId="47DC5545" w:rsidR="002466FC" w:rsidRPr="009F23CB" w:rsidRDefault="002466FC" w:rsidP="002466FC">
      <w:pPr>
        <w:pStyle w:val="SCCNormalDoubleSpacing"/>
        <w:spacing w:after="480"/>
      </w:pPr>
      <w:r w:rsidRPr="009F23CB">
        <w:tab/>
        <w:t>In the instant case, the information that the homicide detective explained formed the basis of his decision to arrest the accused may have given rise to a reasonable suspicion, but to accept that it formed the basis of reasonable grounds to believe that they killed the deceased would erode the reasonable grounds standard to a level inconsistent with what is required to provide a meaningful check on the state</w:t>
      </w:r>
      <w:r w:rsidR="009E380D" w:rsidRPr="009F23CB">
        <w:t>’</w:t>
      </w:r>
      <w:r w:rsidRPr="009F23CB">
        <w:t>s investigatory powers in accordance with the</w:t>
      </w:r>
      <w:r w:rsidRPr="009F23CB">
        <w:rPr>
          <w:i/>
        </w:rPr>
        <w:t xml:space="preserve"> Charter</w:t>
      </w:r>
      <w:r w:rsidR="009E380D" w:rsidRPr="009F23CB">
        <w:t>’</w:t>
      </w:r>
      <w:r w:rsidRPr="009F23CB">
        <w:t xml:space="preserve">s requirements. While the assessment is global and does not require an isolated parsing of each particular component or a </w:t>
      </w:r>
      <w:r w:rsidRPr="009F23CB">
        <w:rPr>
          <w:i/>
        </w:rPr>
        <w:t>prima facie</w:t>
      </w:r>
      <w:r w:rsidRPr="009F23CB">
        <w:t xml:space="preserve"> case to answer on each element of the offence, there must be something of substance proffered in order to meet the objective reasonable grounds standard. The police have failed to offer a substantively reasonable basis to support the asserted belief that at the time of the accused</w:t>
      </w:r>
      <w:r w:rsidR="009E380D" w:rsidRPr="009F23CB">
        <w:t>’</w:t>
      </w:r>
      <w:r w:rsidRPr="009F23CB">
        <w:t>s arrest, there were reasonable grounds to believe they had killed the deceased.</w:t>
      </w:r>
    </w:p>
    <w:p w14:paraId="25B640B0" w14:textId="77777777" w:rsidR="002466FC" w:rsidRPr="009F23CB" w:rsidRDefault="002466FC" w:rsidP="002466FC">
      <w:pPr>
        <w:pStyle w:val="SCCNormalDoubleSpacing"/>
        <w:spacing w:after="480"/>
      </w:pPr>
      <w:r w:rsidRPr="009F23CB">
        <w:tab/>
        <w:t xml:space="preserve">In determining whether evidence was “obtained in a manner” that breaches the </w:t>
      </w:r>
      <w:r w:rsidRPr="009F23CB">
        <w:rPr>
          <w:i/>
        </w:rPr>
        <w:t>Charter</w:t>
      </w:r>
      <w:r w:rsidRPr="009F23CB">
        <w:t>,</w:t>
      </w:r>
      <w:r w:rsidRPr="009F23CB">
        <w:rPr>
          <w:i/>
        </w:rPr>
        <w:t xml:space="preserve"> </w:t>
      </w:r>
      <w:r w:rsidRPr="009F23CB">
        <w:t xml:space="preserve">courts should examine the entire relationship between the evidence and the breach to determine the strength of the connection and assess whether the breach and the evidence are part of the same transaction or course of conduct. The connection may be temporal, contextual, causal, or a combination of the three. A strict causal connection is not required. Instead, a global assessment is necessary to determine whether a </w:t>
      </w:r>
      <w:r w:rsidRPr="009F23CB">
        <w:rPr>
          <w:i/>
        </w:rPr>
        <w:t xml:space="preserve">Charter </w:t>
      </w:r>
      <w:r w:rsidRPr="009F23CB">
        <w:t xml:space="preserve">violation occurred in the course of obtaining the evidence. The “obtained in a manner” analysis necessitates the full contextual analysis each time it is performed, regardless of whether subsequent </w:t>
      </w:r>
      <w:r w:rsidRPr="009F23CB">
        <w:rPr>
          <w:i/>
        </w:rPr>
        <w:t>Charter</w:t>
      </w:r>
      <w:r w:rsidRPr="009F23CB">
        <w:noBreakHyphen/>
        <w:t xml:space="preserve">compliant actions exist. </w:t>
      </w:r>
    </w:p>
    <w:p w14:paraId="5BDC6791" w14:textId="668FB689" w:rsidR="002466FC" w:rsidRPr="009F23CB" w:rsidRDefault="002466FC" w:rsidP="002466FC">
      <w:pPr>
        <w:pStyle w:val="SCCNormalDoubleSpacing"/>
        <w:spacing w:after="480"/>
      </w:pPr>
      <w:r w:rsidRPr="009F23CB">
        <w:tab/>
        <w:t xml:space="preserve">The notion of a “fresh start” is not part of the law in Canada and should not be so recognized. It is unnecessary because the established holistic approach is more than adequate to the task. The concept of a “fresh start” detracts from the broad and generous approach that the Court has adopted for the “obtained in a manner” requirement of s. 24 of the </w:t>
      </w:r>
      <w:r w:rsidRPr="009F23CB">
        <w:rPr>
          <w:i/>
        </w:rPr>
        <w:t>Charter</w:t>
      </w:r>
      <w:r w:rsidRPr="009F23CB">
        <w:t xml:space="preserve">. Regardless of the presence of </w:t>
      </w:r>
      <w:r w:rsidRPr="009F23CB">
        <w:rPr>
          <w:i/>
        </w:rPr>
        <w:t>Charter</w:t>
      </w:r>
      <w:r w:rsidRPr="009F23CB">
        <w:noBreakHyphen/>
        <w:t xml:space="preserve">compliant conduct following a breach, the test must remain the same in every case. Substituting a “fresh start” analysis for a complete and contextual “obtained in a manner” analysis would create an inflexible test that makes </w:t>
      </w:r>
      <w:r w:rsidRPr="009F23CB">
        <w:rPr>
          <w:i/>
        </w:rPr>
        <w:t xml:space="preserve">Charter </w:t>
      </w:r>
      <w:r w:rsidRPr="009F23CB">
        <w:t>remedies less accessible to those whose rights were violated. No single rule should disrupt the courts</w:t>
      </w:r>
      <w:r w:rsidR="009E380D" w:rsidRPr="009F23CB">
        <w:t>’</w:t>
      </w:r>
      <w:r w:rsidRPr="009F23CB">
        <w:t xml:space="preserve"> remedial inquiry.</w:t>
      </w:r>
    </w:p>
    <w:p w14:paraId="317E1864" w14:textId="1A1824B2" w:rsidR="002466FC" w:rsidRPr="009F23CB" w:rsidRDefault="002466FC" w:rsidP="002466FC">
      <w:pPr>
        <w:pStyle w:val="SCCNormalDoubleSpacing"/>
        <w:spacing w:after="480"/>
      </w:pPr>
      <w:r w:rsidRPr="009F23CB">
        <w:tab/>
        <w:t xml:space="preserve">As with all remedial provisions, s. 24 of the </w:t>
      </w:r>
      <w:r w:rsidRPr="009F23CB">
        <w:rPr>
          <w:i/>
        </w:rPr>
        <w:t xml:space="preserve">Charter </w:t>
      </w:r>
      <w:r w:rsidRPr="009F23CB">
        <w:t xml:space="preserve">must be given a large and liberal interpretation consistent with its purpose. Such an approach is important, as it is the gateway to the focus of s. 24(2): whether the admission of evidence would bring the administration of justice into disrepute. An overly narrow interpretation of s. 24(2) would prevent courts from even considering the seriousness of the </w:t>
      </w:r>
      <w:r w:rsidRPr="009F23CB">
        <w:rPr>
          <w:i/>
        </w:rPr>
        <w:t>Charter</w:t>
      </w:r>
      <w:r w:rsidRPr="009F23CB">
        <w:noBreakHyphen/>
        <w:t xml:space="preserve">infringing conduct, an unwelcome result which would automatically immunize prior </w:t>
      </w:r>
      <w:r w:rsidRPr="009F23CB">
        <w:rPr>
          <w:i/>
        </w:rPr>
        <w:t xml:space="preserve">Charter </w:t>
      </w:r>
      <w:r w:rsidRPr="009F23CB">
        <w:t xml:space="preserve">breaches. By shifting the focus to the eventual </w:t>
      </w:r>
      <w:r w:rsidRPr="009F23CB">
        <w:rPr>
          <w:i/>
        </w:rPr>
        <w:t>Charter</w:t>
      </w:r>
      <w:r w:rsidRPr="009F23CB">
        <w:noBreakHyphen/>
        <w:t>compliant conduct,</w:t>
      </w:r>
      <w:r w:rsidRPr="009F23CB">
        <w:rPr>
          <w:i/>
        </w:rPr>
        <w:t xml:space="preserve"> </w:t>
      </w:r>
      <w:r w:rsidRPr="009F23CB">
        <w:t xml:space="preserve">the “fresh start” doctrine distracts from the remedial nature of s. 24(2) and allows police to insulate their conduct from review, regardless of the severity of that conduct. </w:t>
      </w:r>
    </w:p>
    <w:p w14:paraId="4D7A91B0" w14:textId="785BFFCD" w:rsidR="002466FC" w:rsidRPr="009F23CB" w:rsidRDefault="002466FC" w:rsidP="002466FC">
      <w:pPr>
        <w:pStyle w:val="SCCNormalDoubleSpacing"/>
        <w:spacing w:after="480"/>
      </w:pPr>
      <w:r w:rsidRPr="009F23CB">
        <w:tab/>
        <w:t xml:space="preserve">Because the trial judge erred in concluding that there were reasonable grounds to arrest the accused and in relying on the concept of a “fresh start”, his conclusion that the evidence was not “obtained in a manner” within the meaning of s. 24(2) of the </w:t>
      </w:r>
      <w:r w:rsidRPr="009F23CB">
        <w:rPr>
          <w:i/>
        </w:rPr>
        <w:t>Charter</w:t>
      </w:r>
      <w:r w:rsidRPr="009F23CB">
        <w:t xml:space="preserve"> is not owed deference. There is a strong temporal, contextual, and causal connection between the breaches of the accused</w:t>
      </w:r>
      <w:r w:rsidR="009E380D" w:rsidRPr="009F23CB">
        <w:t>’</w:t>
      </w:r>
      <w:r w:rsidRPr="009F23CB">
        <w:t xml:space="preserve">s </w:t>
      </w:r>
      <w:r w:rsidRPr="009F23CB">
        <w:rPr>
          <w:i/>
        </w:rPr>
        <w:t xml:space="preserve">Charter </w:t>
      </w:r>
      <w:r w:rsidRPr="009F23CB">
        <w:t>rights and the collection of their statements. The accused were under the continuous control and supervision of the police from the time of their unlawful detention and transportation from the scene, to the time the police unlawfully directed their arrests, to the time they ultimately admitted their involvement in the death of their roommate. The fact that the police would not have obtained the evidence but for the violation of the accused</w:t>
      </w:r>
      <w:r w:rsidR="009E380D" w:rsidRPr="009F23CB">
        <w:t>’</w:t>
      </w:r>
      <w:r w:rsidRPr="009F23CB">
        <w:t xml:space="preserve">s </w:t>
      </w:r>
      <w:r w:rsidRPr="009F23CB">
        <w:rPr>
          <w:i/>
        </w:rPr>
        <w:t>Charter</w:t>
      </w:r>
      <w:r w:rsidRPr="009F23CB">
        <w:t xml:space="preserve"> rights supports the conclusion that the </w:t>
      </w:r>
      <w:r w:rsidRPr="009F23CB">
        <w:rPr>
          <w:i/>
        </w:rPr>
        <w:t xml:space="preserve">Charter </w:t>
      </w:r>
      <w:r w:rsidRPr="009F23CB">
        <w:t xml:space="preserve">breaches and the evidence provided were inextricably linked. </w:t>
      </w:r>
    </w:p>
    <w:p w14:paraId="7233F336" w14:textId="7E990D76" w:rsidR="002466FC" w:rsidRPr="009F23CB" w:rsidRDefault="002466FC" w:rsidP="002466FC">
      <w:pPr>
        <w:pStyle w:val="SCCNormalDoubleSpacing"/>
        <w:spacing w:after="480"/>
      </w:pPr>
      <w:r w:rsidRPr="009F23CB">
        <w:tab/>
        <w:t xml:space="preserve">Analyzing the issue anew, the admission of the evidence would bring the administration of justice into disrepute and therefore the evidence must be excluded under s. 24(2) of the </w:t>
      </w:r>
      <w:r w:rsidRPr="009F23CB">
        <w:rPr>
          <w:i/>
        </w:rPr>
        <w:t>Charter</w:t>
      </w:r>
      <w:r w:rsidRPr="009F23CB">
        <w:t>. The circumstances of the accused</w:t>
      </w:r>
      <w:r w:rsidR="009E380D" w:rsidRPr="009F23CB">
        <w:t>’</w:t>
      </w:r>
      <w:r w:rsidRPr="009F23CB">
        <w:t xml:space="preserve">s detention and questioning led to multiple officers breaching multiple </w:t>
      </w:r>
      <w:r w:rsidRPr="009F23CB">
        <w:rPr>
          <w:i/>
        </w:rPr>
        <w:t xml:space="preserve">Charter </w:t>
      </w:r>
      <w:r w:rsidRPr="009F23CB">
        <w:t xml:space="preserve">rights. The police conduct was extremely serious, violating foundational </w:t>
      </w:r>
      <w:r w:rsidRPr="009F23CB">
        <w:rPr>
          <w:i/>
        </w:rPr>
        <w:t xml:space="preserve">Charter </w:t>
      </w:r>
      <w:r w:rsidRPr="009F23CB">
        <w:t>principles that officers have been bound for decades to follow during the course of an investigation. There were no circumstances of uncertainty in the law or urgency in handling a dynamic situation that might explain these basic errors, which fundamentally undermined the accused</w:t>
      </w:r>
      <w:r w:rsidR="009E380D" w:rsidRPr="009F23CB">
        <w:t>’</w:t>
      </w:r>
      <w:r w:rsidRPr="009F23CB">
        <w:t xml:space="preserve">s </w:t>
      </w:r>
      <w:r w:rsidRPr="009F23CB">
        <w:rPr>
          <w:i/>
        </w:rPr>
        <w:t>Charter</w:t>
      </w:r>
      <w:r w:rsidRPr="009F23CB">
        <w:noBreakHyphen/>
        <w:t>protected interests. Considering the strength of these factors, society</w:t>
      </w:r>
      <w:r w:rsidR="009E380D" w:rsidRPr="009F23CB">
        <w:t>’</w:t>
      </w:r>
      <w:r w:rsidRPr="009F23CB">
        <w:t>s interest in the adjudication of the case on its merits is insufficient to tip the balance in favour of admission.</w:t>
      </w:r>
    </w:p>
    <w:p w14:paraId="76228F59" w14:textId="7BFA473F" w:rsidR="007E1C47" w:rsidRPr="009F23CB" w:rsidRDefault="002E6705" w:rsidP="00CB79B7">
      <w:pPr>
        <w:pStyle w:val="SCCNormalDoubleSpacing"/>
        <w:spacing w:after="480"/>
        <w:rPr>
          <w:b/>
        </w:rPr>
      </w:pPr>
      <w:r w:rsidRPr="009F23CB">
        <w:rPr>
          <w:b/>
        </w:rPr>
        <w:t>Cases Cited</w:t>
      </w:r>
    </w:p>
    <w:p w14:paraId="26E2335C" w14:textId="15E00089" w:rsidR="00A149DF" w:rsidRPr="009F23CB" w:rsidRDefault="007E7FCA" w:rsidP="00371740">
      <w:pPr>
        <w:pStyle w:val="SCCNormalDoubleSpacing"/>
        <w:spacing w:after="720" w:line="240" w:lineRule="auto"/>
      </w:pPr>
      <w:r w:rsidRPr="009F23CB">
        <w:t>By Jamal J.</w:t>
      </w:r>
    </w:p>
    <w:p w14:paraId="4ED904CC" w14:textId="2CA51CBF" w:rsidR="004E2C26" w:rsidRPr="009F23CB" w:rsidRDefault="002E6705" w:rsidP="00371740">
      <w:pPr>
        <w:pStyle w:val="SCCNormalDoubleSpacing"/>
        <w:spacing w:after="480"/>
        <w:rPr>
          <w:lang w:val="en-US"/>
        </w:rPr>
      </w:pPr>
      <w:r w:rsidRPr="009F23CB">
        <w:tab/>
      </w:r>
      <w:r w:rsidR="00C24A4E" w:rsidRPr="009F23CB">
        <w:rPr>
          <w:b/>
        </w:rPr>
        <w:t>Applied:</w:t>
      </w:r>
      <w:r w:rsidR="00C24A4E" w:rsidRPr="009F23CB">
        <w:t xml:space="preserve"> </w:t>
      </w:r>
      <w:r w:rsidR="00C24A4E" w:rsidRPr="009F23CB">
        <w:rPr>
          <w:i/>
          <w:lang w:val="en-US"/>
        </w:rPr>
        <w:t>R. v. Grant</w:t>
      </w:r>
      <w:r w:rsidR="00C24A4E" w:rsidRPr="009F23CB">
        <w:rPr>
          <w:lang w:val="en-US"/>
        </w:rPr>
        <w:t>, 2009 SCC 32, [2009] 2 S.C.R. 353</w:t>
      </w:r>
      <w:r w:rsidR="00C24A4E" w:rsidRPr="009F23CB">
        <w:t xml:space="preserve">; </w:t>
      </w:r>
      <w:r w:rsidR="00C24A4E" w:rsidRPr="009F23CB">
        <w:rPr>
          <w:b/>
        </w:rPr>
        <w:t>considered:</w:t>
      </w:r>
      <w:r w:rsidR="00C24A4E" w:rsidRPr="009F23CB">
        <w:t xml:space="preserve"> </w:t>
      </w:r>
      <w:r w:rsidR="00C24A4E" w:rsidRPr="009F23CB">
        <w:rPr>
          <w:i/>
          <w:lang w:val="en-US"/>
        </w:rPr>
        <w:t>R. v. Tessier</w:t>
      </w:r>
      <w:r w:rsidR="00C24A4E" w:rsidRPr="009F23CB">
        <w:rPr>
          <w:lang w:val="en-US"/>
        </w:rPr>
        <w:t xml:space="preserve">, 2018 ABQB 387, </w:t>
      </w:r>
      <w:proofErr w:type="spellStart"/>
      <w:r w:rsidR="00C24A4E" w:rsidRPr="009F23CB">
        <w:rPr>
          <w:lang w:val="en-US"/>
        </w:rPr>
        <w:t>rev</w:t>
      </w:r>
      <w:r w:rsidR="009E380D" w:rsidRPr="009F23CB">
        <w:rPr>
          <w:lang w:val="en-US"/>
        </w:rPr>
        <w:t>’</w:t>
      </w:r>
      <w:r w:rsidR="00C24A4E" w:rsidRPr="009F23CB">
        <w:rPr>
          <w:lang w:val="en-US"/>
        </w:rPr>
        <w:t>d</w:t>
      </w:r>
      <w:proofErr w:type="spellEnd"/>
      <w:r w:rsidR="00C24A4E" w:rsidRPr="009F23CB">
        <w:rPr>
          <w:lang w:val="en-US"/>
        </w:rPr>
        <w:t xml:space="preserve"> 2020 ABCA 289, 12 Alta. L.R. (7th) 55, </w:t>
      </w:r>
      <w:proofErr w:type="spellStart"/>
      <w:r w:rsidR="00C24A4E" w:rsidRPr="009F23CB">
        <w:rPr>
          <w:lang w:val="en-US"/>
        </w:rPr>
        <w:t>rev</w:t>
      </w:r>
      <w:r w:rsidR="009E380D" w:rsidRPr="009F23CB">
        <w:rPr>
          <w:lang w:val="en-US"/>
        </w:rPr>
        <w:t>’</w:t>
      </w:r>
      <w:r w:rsidR="00C24A4E" w:rsidRPr="009F23CB">
        <w:rPr>
          <w:lang w:val="en-US"/>
        </w:rPr>
        <w:t>d</w:t>
      </w:r>
      <w:proofErr w:type="spellEnd"/>
      <w:r w:rsidR="00C24A4E" w:rsidRPr="009F23CB">
        <w:rPr>
          <w:lang w:val="en-US"/>
        </w:rPr>
        <w:t xml:space="preserve"> 2022 SCC 35; </w:t>
      </w:r>
      <w:r w:rsidR="00C24A4E" w:rsidRPr="009F23CB">
        <w:rPr>
          <w:i/>
          <w:lang w:val="en-US"/>
        </w:rPr>
        <w:t>R. v. Wittwer</w:t>
      </w:r>
      <w:r w:rsidR="00C24A4E" w:rsidRPr="009F23CB">
        <w:rPr>
          <w:lang w:val="en-US"/>
        </w:rPr>
        <w:t xml:space="preserve">, 2008 SCC 33, [2008] 2 S.C.R. 235; </w:t>
      </w:r>
      <w:r w:rsidR="00C24A4E" w:rsidRPr="009F23CB">
        <w:rPr>
          <w:i/>
          <w:lang w:val="en-US"/>
        </w:rPr>
        <w:t>R. v. Simon</w:t>
      </w:r>
      <w:r w:rsidR="00C24A4E" w:rsidRPr="009F23CB">
        <w:rPr>
          <w:lang w:val="en-US"/>
        </w:rPr>
        <w:t xml:space="preserve">, 2008 ONCA 578, 269 O.A.C. 259; </w:t>
      </w:r>
      <w:r w:rsidR="00C24A4E" w:rsidRPr="009F23CB">
        <w:rPr>
          <w:b/>
        </w:rPr>
        <w:t>r</w:t>
      </w:r>
      <w:r w:rsidRPr="009F23CB">
        <w:rPr>
          <w:b/>
        </w:rPr>
        <w:t>eferred to:</w:t>
      </w:r>
      <w:r w:rsidR="00BD0E9E" w:rsidRPr="009F23CB">
        <w:t xml:space="preserve"> </w:t>
      </w:r>
      <w:r w:rsidR="007E7FCA" w:rsidRPr="009F23CB">
        <w:rPr>
          <w:i/>
          <w:lang w:val="en-US"/>
        </w:rPr>
        <w:t>R. v. Oickle</w:t>
      </w:r>
      <w:r w:rsidR="007E7FCA" w:rsidRPr="009F23CB">
        <w:rPr>
          <w:lang w:val="en-US"/>
        </w:rPr>
        <w:t xml:space="preserve">, 2000 SCC 38, [2000] 2 S.C.R. 3; </w:t>
      </w:r>
      <w:r w:rsidR="007E7FCA" w:rsidRPr="009F23CB">
        <w:rPr>
          <w:i/>
          <w:lang w:val="en-US"/>
        </w:rPr>
        <w:t>R. v. Spencer</w:t>
      </w:r>
      <w:r w:rsidR="007E7FCA" w:rsidRPr="009F23CB">
        <w:rPr>
          <w:lang w:val="en-US"/>
        </w:rPr>
        <w:t xml:space="preserve">, 2007 SCC 11, [2007] 1 S.C.R. 500; </w:t>
      </w:r>
      <w:r w:rsidR="007E7FCA" w:rsidRPr="009F23CB">
        <w:rPr>
          <w:i/>
          <w:lang w:val="en-US"/>
        </w:rPr>
        <w:t>R. v. Singh</w:t>
      </w:r>
      <w:r w:rsidR="007E7FCA" w:rsidRPr="009F23CB">
        <w:rPr>
          <w:lang w:val="en-US"/>
        </w:rPr>
        <w:t xml:space="preserve">, 2007 SCC 48, [2007] 3 S.C.R. 405; </w:t>
      </w:r>
      <w:r w:rsidR="007E7FCA" w:rsidRPr="009F23CB">
        <w:rPr>
          <w:i/>
          <w:lang w:val="en-US"/>
        </w:rPr>
        <w:t>Boudreau v. The King</w:t>
      </w:r>
      <w:r w:rsidR="007E7FCA" w:rsidRPr="009F23CB">
        <w:rPr>
          <w:lang w:val="en-US"/>
        </w:rPr>
        <w:t xml:space="preserve">, [1949] S.C.R. 262; </w:t>
      </w:r>
      <w:r w:rsidR="007E7FCA" w:rsidRPr="009F23CB">
        <w:rPr>
          <w:i/>
          <w:lang w:val="en-US"/>
        </w:rPr>
        <w:t>R. v. Manninen</w:t>
      </w:r>
      <w:r w:rsidR="007E7FCA" w:rsidRPr="009F23CB">
        <w:rPr>
          <w:lang w:val="en-US"/>
        </w:rPr>
        <w:t xml:space="preserve">, [1987] 1 S.C.R. 1233; </w:t>
      </w:r>
      <w:r w:rsidR="007E7FCA" w:rsidRPr="009F23CB">
        <w:rPr>
          <w:i/>
          <w:lang w:val="en-US"/>
        </w:rPr>
        <w:t>R. v. Brown</w:t>
      </w:r>
      <w:r w:rsidR="007E7FCA" w:rsidRPr="009F23CB">
        <w:rPr>
          <w:lang w:val="en-US"/>
        </w:rPr>
        <w:t xml:space="preserve">, 2015 ONSC 3305; </w:t>
      </w:r>
      <w:r w:rsidR="007E7FCA" w:rsidRPr="009F23CB">
        <w:rPr>
          <w:i/>
          <w:lang w:val="en-US"/>
        </w:rPr>
        <w:t>Housen v. Nikolaisen</w:t>
      </w:r>
      <w:r w:rsidR="007E7FCA" w:rsidRPr="009F23CB">
        <w:rPr>
          <w:lang w:val="en-US"/>
        </w:rPr>
        <w:t xml:space="preserve">, 2002 SCC 33, [2002] 2 S.C.R. 235; </w:t>
      </w:r>
      <w:r w:rsidR="007E7FCA" w:rsidRPr="009F23CB">
        <w:rPr>
          <w:i/>
          <w:lang w:val="en-US"/>
        </w:rPr>
        <w:t>R. v. Storrey</w:t>
      </w:r>
      <w:r w:rsidR="007E7FCA" w:rsidRPr="009F23CB">
        <w:rPr>
          <w:lang w:val="en-US"/>
        </w:rPr>
        <w:t xml:space="preserve">, [1990] 1 S.C.R. 241; </w:t>
      </w:r>
      <w:r w:rsidR="007E7FCA" w:rsidRPr="009F23CB">
        <w:rPr>
          <w:i/>
          <w:lang w:val="en-US"/>
        </w:rPr>
        <w:t>R. v. Latimer</w:t>
      </w:r>
      <w:r w:rsidR="007E7FCA" w:rsidRPr="009F23CB">
        <w:rPr>
          <w:lang w:val="en-US"/>
        </w:rPr>
        <w:t xml:space="preserve">, [1997] 1 S.C.R. 217; </w:t>
      </w:r>
      <w:r w:rsidR="007E7FCA" w:rsidRPr="009F23CB">
        <w:rPr>
          <w:i/>
          <w:lang w:val="en-US"/>
        </w:rPr>
        <w:t>R. v. Tim</w:t>
      </w:r>
      <w:r w:rsidR="007E7FCA" w:rsidRPr="009F23CB">
        <w:rPr>
          <w:lang w:val="en-US"/>
        </w:rPr>
        <w:t xml:space="preserve">, 2022 SCC 12; </w:t>
      </w:r>
      <w:r w:rsidR="007E7FCA" w:rsidRPr="009F23CB">
        <w:rPr>
          <w:i/>
          <w:lang w:val="en-US"/>
        </w:rPr>
        <w:t>R. v. Shepherd</w:t>
      </w:r>
      <w:r w:rsidR="007E7FCA" w:rsidRPr="009F23CB">
        <w:rPr>
          <w:lang w:val="en-US"/>
        </w:rPr>
        <w:t xml:space="preserve">, 2009 SCC 35, [2009] 2 S.C.R. 527; </w:t>
      </w:r>
      <w:r w:rsidR="007E7FCA" w:rsidRPr="009F23CB">
        <w:rPr>
          <w:i/>
          <w:lang w:val="en-US"/>
        </w:rPr>
        <w:t>R. v. G.F.</w:t>
      </w:r>
      <w:r w:rsidR="007E7FCA" w:rsidRPr="009F23CB">
        <w:rPr>
          <w:lang w:val="en-US"/>
        </w:rPr>
        <w:t xml:space="preserve">, 2021 SCC 20; </w:t>
      </w:r>
      <w:r w:rsidR="007E7FCA" w:rsidRPr="009F23CB">
        <w:rPr>
          <w:i/>
          <w:lang w:val="en-US"/>
        </w:rPr>
        <w:t>R. v. Beaudry</w:t>
      </w:r>
      <w:r w:rsidR="007E7FCA" w:rsidRPr="009F23CB">
        <w:rPr>
          <w:lang w:val="en-US"/>
        </w:rPr>
        <w:t xml:space="preserve">, 2007 SCC 5, [2007] 1 S.C.R. 190; </w:t>
      </w:r>
      <w:r w:rsidR="007E7FCA" w:rsidRPr="009F23CB">
        <w:rPr>
          <w:i/>
          <w:lang w:val="en-US"/>
        </w:rPr>
        <w:t>R. v. MacKenzie</w:t>
      </w:r>
      <w:r w:rsidR="007E7FCA" w:rsidRPr="009F23CB">
        <w:rPr>
          <w:lang w:val="en-US"/>
        </w:rPr>
        <w:t xml:space="preserve">, 2013 SCC 50, [2013] 3 S.C.R. 250; </w:t>
      </w:r>
      <w:r w:rsidR="007E7FCA" w:rsidRPr="009F23CB">
        <w:rPr>
          <w:i/>
          <w:lang w:val="en-US"/>
        </w:rPr>
        <w:t>R. v. Chehil</w:t>
      </w:r>
      <w:r w:rsidR="007E7FCA" w:rsidRPr="009F23CB">
        <w:rPr>
          <w:lang w:val="en-US"/>
        </w:rPr>
        <w:t xml:space="preserve">, 2013 SCC 49, [2013] 3 S.C.R. 220; </w:t>
      </w:r>
      <w:r w:rsidR="007E7FCA" w:rsidRPr="009F23CB">
        <w:rPr>
          <w:i/>
          <w:lang w:val="en-US"/>
        </w:rPr>
        <w:t>R. v. Golub</w:t>
      </w:r>
      <w:r w:rsidR="007E7FCA" w:rsidRPr="009F23CB">
        <w:rPr>
          <w:lang w:val="en-US"/>
        </w:rPr>
        <w:t xml:space="preserve"> (1997), 34 O.R. (3d) 743; </w:t>
      </w:r>
      <w:r w:rsidR="007E7FCA" w:rsidRPr="009F23CB">
        <w:rPr>
          <w:i/>
          <w:lang w:val="en-US"/>
        </w:rPr>
        <w:t>R. v. Canary</w:t>
      </w:r>
      <w:r w:rsidR="007E7FCA" w:rsidRPr="009F23CB">
        <w:rPr>
          <w:lang w:val="en-US"/>
        </w:rPr>
        <w:t xml:space="preserve">, 2018 ONCA 304, 361 C.C.C. (3d) 63; </w:t>
      </w:r>
      <w:r w:rsidR="007E7FCA" w:rsidRPr="009F23CB">
        <w:rPr>
          <w:i/>
          <w:lang w:val="en-US"/>
        </w:rPr>
        <w:t xml:space="preserve">R. v. </w:t>
      </w:r>
      <w:proofErr w:type="spellStart"/>
      <w:r w:rsidR="007E7FCA" w:rsidRPr="009F23CB">
        <w:rPr>
          <w:i/>
          <w:lang w:val="en-US"/>
        </w:rPr>
        <w:t>Debot</w:t>
      </w:r>
      <w:proofErr w:type="spellEnd"/>
      <w:r w:rsidR="007E7FCA" w:rsidRPr="009F23CB">
        <w:rPr>
          <w:lang w:val="en-US"/>
        </w:rPr>
        <w:t xml:space="preserve">, [1989] 2 S.C.R. 1140; </w:t>
      </w:r>
      <w:r w:rsidR="007E7FCA" w:rsidRPr="009F23CB">
        <w:rPr>
          <w:i/>
          <w:lang w:val="en-US"/>
        </w:rPr>
        <w:t>Mugesera v. Canada (Minister of Citizenship and Immigration)</w:t>
      </w:r>
      <w:r w:rsidR="007E7FCA" w:rsidRPr="009F23CB">
        <w:rPr>
          <w:lang w:val="en-US"/>
        </w:rPr>
        <w:t xml:space="preserve">, 2005 SCC 40, [2005] 2 S.C.R. 100; </w:t>
      </w:r>
      <w:r w:rsidR="007E7FCA" w:rsidRPr="009F23CB">
        <w:rPr>
          <w:i/>
          <w:lang w:val="en-US"/>
        </w:rPr>
        <w:t xml:space="preserve">R. v. </w:t>
      </w:r>
      <w:proofErr w:type="spellStart"/>
      <w:r w:rsidR="007E7FCA" w:rsidRPr="009F23CB">
        <w:rPr>
          <w:i/>
          <w:lang w:val="en-US"/>
        </w:rPr>
        <w:t>Henareh</w:t>
      </w:r>
      <w:proofErr w:type="spellEnd"/>
      <w:r w:rsidR="007E7FCA" w:rsidRPr="009F23CB">
        <w:rPr>
          <w:lang w:val="en-US"/>
        </w:rPr>
        <w:t xml:space="preserve">, 2017 BCCA 7; </w:t>
      </w:r>
      <w:r w:rsidR="007E7FCA" w:rsidRPr="009F23CB">
        <w:rPr>
          <w:i/>
          <w:lang w:val="en-US"/>
        </w:rPr>
        <w:t xml:space="preserve">R. v. </w:t>
      </w:r>
      <w:proofErr w:type="spellStart"/>
      <w:r w:rsidR="007E7FCA" w:rsidRPr="009F23CB">
        <w:rPr>
          <w:i/>
          <w:lang w:val="en-US"/>
        </w:rPr>
        <w:t>Loewen</w:t>
      </w:r>
      <w:proofErr w:type="spellEnd"/>
      <w:r w:rsidR="007E7FCA" w:rsidRPr="009F23CB">
        <w:rPr>
          <w:lang w:val="en-US"/>
        </w:rPr>
        <w:t xml:space="preserve">, 2010 ABCA 255, 490 A.R. 72; </w:t>
      </w:r>
      <w:r w:rsidR="007E7FCA" w:rsidRPr="009F23CB">
        <w:rPr>
          <w:i/>
          <w:lang w:val="en-US"/>
        </w:rPr>
        <w:t>R. v. Al </w:t>
      </w:r>
      <w:proofErr w:type="spellStart"/>
      <w:r w:rsidR="007E7FCA" w:rsidRPr="009F23CB">
        <w:rPr>
          <w:i/>
          <w:lang w:val="en-US"/>
        </w:rPr>
        <w:t>Askari</w:t>
      </w:r>
      <w:proofErr w:type="spellEnd"/>
      <w:r w:rsidR="007E7FCA" w:rsidRPr="009F23CB">
        <w:rPr>
          <w:lang w:val="en-US"/>
        </w:rPr>
        <w:t xml:space="preserve">, 2021 ABCA 204, 28 Alta. L.R. (7th) 129; </w:t>
      </w:r>
      <w:r w:rsidR="007E7FCA" w:rsidRPr="009F23CB">
        <w:rPr>
          <w:i/>
          <w:lang w:val="en-US"/>
        </w:rPr>
        <w:t>R. v. Omeasoo</w:t>
      </w:r>
      <w:r w:rsidR="007E7FCA" w:rsidRPr="009F23CB">
        <w:rPr>
          <w:lang w:val="en-US"/>
        </w:rPr>
        <w:t xml:space="preserve">, 2019 MBCA 43, [2019] 6 W.W.R. 280; </w:t>
      </w:r>
      <w:r w:rsidR="007E7FCA" w:rsidRPr="009F23CB">
        <w:rPr>
          <w:i/>
          <w:lang w:val="en-US"/>
        </w:rPr>
        <w:t>R. v. Summers</w:t>
      </w:r>
      <w:r w:rsidR="007E7FCA" w:rsidRPr="009F23CB">
        <w:rPr>
          <w:lang w:val="en-US"/>
        </w:rPr>
        <w:t xml:space="preserve">, 2019 NLCA 11, 4 C.A.N.L.R. 156; </w:t>
      </w:r>
      <w:r w:rsidR="007E7FCA" w:rsidRPr="009F23CB">
        <w:rPr>
          <w:i/>
          <w:lang w:val="en-US"/>
        </w:rPr>
        <w:t>R. v. Ha</w:t>
      </w:r>
      <w:r w:rsidR="007E7FCA" w:rsidRPr="009F23CB">
        <w:rPr>
          <w:lang w:val="en-US"/>
        </w:rPr>
        <w:t xml:space="preserve">, 2018 ABCA 233, 71 Alta. L.R. (6th) 46; </w:t>
      </w:r>
      <w:r w:rsidR="007E7FCA" w:rsidRPr="009F23CB">
        <w:rPr>
          <w:i/>
          <w:lang w:val="en-US"/>
        </w:rPr>
        <w:t xml:space="preserve">R. v. </w:t>
      </w:r>
      <w:proofErr w:type="spellStart"/>
      <w:r w:rsidR="007E7FCA" w:rsidRPr="009F23CB">
        <w:rPr>
          <w:i/>
          <w:lang w:val="en-US"/>
        </w:rPr>
        <w:t>MacCannell</w:t>
      </w:r>
      <w:proofErr w:type="spellEnd"/>
      <w:r w:rsidR="007E7FCA" w:rsidRPr="009F23CB">
        <w:rPr>
          <w:lang w:val="en-US"/>
        </w:rPr>
        <w:t xml:space="preserve">, 2014 BCCA 254, 359 B.C.A.C. 1; </w:t>
      </w:r>
      <w:r w:rsidR="007E7FCA" w:rsidRPr="009F23CB">
        <w:rPr>
          <w:i/>
          <w:lang w:val="en-US"/>
        </w:rPr>
        <w:t>R. v. Rezansoff</w:t>
      </w:r>
      <w:r w:rsidR="007E7FCA" w:rsidRPr="009F23CB">
        <w:rPr>
          <w:lang w:val="en-US"/>
        </w:rPr>
        <w:t xml:space="preserve">, 2014 SKCA 80, 442 Sask. R. 1; </w:t>
      </w:r>
      <w:r w:rsidR="007E7FCA" w:rsidRPr="009F23CB">
        <w:rPr>
          <w:i/>
          <w:lang w:val="en-US"/>
        </w:rPr>
        <w:t>R. v. Biron</w:t>
      </w:r>
      <w:r w:rsidR="007E7FCA" w:rsidRPr="009F23CB">
        <w:rPr>
          <w:lang w:val="en-US"/>
        </w:rPr>
        <w:t xml:space="preserve">, [1976] 2 S.C.R. 56; </w:t>
      </w:r>
      <w:r w:rsidR="007E7FCA" w:rsidRPr="009F23CB">
        <w:rPr>
          <w:i/>
          <w:lang w:val="en-US"/>
        </w:rPr>
        <w:t>R. v. Brayton</w:t>
      </w:r>
      <w:r w:rsidR="007E7FCA" w:rsidRPr="009F23CB">
        <w:rPr>
          <w:lang w:val="en-US"/>
        </w:rPr>
        <w:t xml:space="preserve">, 2021 ABCA 316, 33 Alta. L.R. (7th) 241; </w:t>
      </w:r>
      <w:r w:rsidR="007E7FCA" w:rsidRPr="009F23CB">
        <w:rPr>
          <w:i/>
          <w:lang w:val="en-US"/>
        </w:rPr>
        <w:t>R. v. Montgomery</w:t>
      </w:r>
      <w:r w:rsidR="007E7FCA" w:rsidRPr="009F23CB">
        <w:rPr>
          <w:lang w:val="en-US"/>
        </w:rPr>
        <w:t xml:space="preserve">, 2009 BCCA 41, 265 B.C.A.C. 284; </w:t>
      </w:r>
      <w:r w:rsidR="007E7FCA" w:rsidRPr="009F23CB">
        <w:rPr>
          <w:i/>
          <w:lang w:val="en-US"/>
        </w:rPr>
        <w:t>R. v. Fearon</w:t>
      </w:r>
      <w:r w:rsidR="007E7FCA" w:rsidRPr="009F23CB">
        <w:rPr>
          <w:lang w:val="en-US"/>
        </w:rPr>
        <w:t xml:space="preserve">, 2014 SCC 77, [2014] 3 S.C.R. 621; </w:t>
      </w:r>
      <w:r w:rsidR="007E7FCA" w:rsidRPr="009F23CB">
        <w:rPr>
          <w:i/>
          <w:lang w:val="en-US"/>
        </w:rPr>
        <w:t>R. v. Golden</w:t>
      </w:r>
      <w:r w:rsidR="007E7FCA" w:rsidRPr="009F23CB">
        <w:rPr>
          <w:lang w:val="en-US"/>
        </w:rPr>
        <w:t xml:space="preserve">, 2001 SCC 83, [2001] 3 S.C.R. 679; </w:t>
      </w:r>
      <w:r w:rsidR="007E7FCA" w:rsidRPr="009F23CB">
        <w:rPr>
          <w:i/>
          <w:lang w:val="en-US"/>
        </w:rPr>
        <w:t>R. v. Vu</w:t>
      </w:r>
      <w:r w:rsidR="007E7FCA" w:rsidRPr="009F23CB">
        <w:rPr>
          <w:lang w:val="en-US"/>
        </w:rPr>
        <w:t xml:space="preserve">, 2013 SCC 60, [2013] 3 S.C.R. 657; </w:t>
      </w:r>
      <w:r w:rsidR="007E7FCA" w:rsidRPr="009F23CB">
        <w:rPr>
          <w:i/>
          <w:lang w:val="en-US"/>
        </w:rPr>
        <w:t>R. v. Stairs</w:t>
      </w:r>
      <w:r w:rsidR="007E7FCA" w:rsidRPr="009F23CB">
        <w:rPr>
          <w:lang w:val="en-US"/>
        </w:rPr>
        <w:t xml:space="preserve">, 2022 SCC 11; </w:t>
      </w:r>
      <w:r w:rsidR="007E7FCA" w:rsidRPr="009F23CB">
        <w:rPr>
          <w:i/>
          <w:lang w:val="en-US"/>
        </w:rPr>
        <w:t>R. v. Nguyen</w:t>
      </w:r>
      <w:r w:rsidR="007E7FCA" w:rsidRPr="009F23CB">
        <w:rPr>
          <w:lang w:val="en-US"/>
        </w:rPr>
        <w:t xml:space="preserve">, 2017 BCPC 131; </w:t>
      </w:r>
      <w:r w:rsidR="007E7FCA" w:rsidRPr="009F23CB">
        <w:rPr>
          <w:i/>
          <w:lang w:val="en-US"/>
        </w:rPr>
        <w:t>R. v. Kroeker</w:t>
      </w:r>
      <w:r w:rsidR="007E7FCA" w:rsidRPr="009F23CB">
        <w:rPr>
          <w:lang w:val="en-US"/>
        </w:rPr>
        <w:t xml:space="preserve">, 2019 BCPC 127; </w:t>
      </w:r>
      <w:r w:rsidR="007E7FCA" w:rsidRPr="009F23CB">
        <w:rPr>
          <w:i/>
          <w:lang w:val="en-US"/>
        </w:rPr>
        <w:t>R. v. Rauch</w:t>
      </w:r>
      <w:r w:rsidR="007E7FCA" w:rsidRPr="009F23CB">
        <w:rPr>
          <w:lang w:val="en-US"/>
        </w:rPr>
        <w:t xml:space="preserve">, 2022 BCPC 117; </w:t>
      </w:r>
      <w:r w:rsidR="007E7FCA" w:rsidRPr="009F23CB">
        <w:rPr>
          <w:i/>
          <w:lang w:val="en-US"/>
        </w:rPr>
        <w:t>R. v. Daley</w:t>
      </w:r>
      <w:r w:rsidR="007E7FCA" w:rsidRPr="009F23CB">
        <w:rPr>
          <w:lang w:val="en-US"/>
        </w:rPr>
        <w:t xml:space="preserve">, 2015 ONSC 7367; </w:t>
      </w:r>
      <w:r w:rsidR="007E7FCA" w:rsidRPr="009F23CB">
        <w:rPr>
          <w:i/>
          <w:lang w:val="en-US"/>
        </w:rPr>
        <w:t>R. v. Broyles</w:t>
      </w:r>
      <w:r w:rsidR="007E7FCA" w:rsidRPr="009F23CB">
        <w:rPr>
          <w:lang w:val="en-US"/>
        </w:rPr>
        <w:t xml:space="preserve">, [1991] 3 S.C.R. 595; </w:t>
      </w:r>
      <w:r w:rsidR="007E7FCA" w:rsidRPr="009F23CB">
        <w:rPr>
          <w:i/>
          <w:lang w:val="en-US"/>
        </w:rPr>
        <w:t>R. v. Plaha</w:t>
      </w:r>
      <w:r w:rsidR="007E7FCA" w:rsidRPr="009F23CB">
        <w:rPr>
          <w:lang w:val="en-US"/>
        </w:rPr>
        <w:t xml:space="preserve"> (2004), 189 O.A.C. 376; </w:t>
      </w:r>
      <w:r w:rsidR="007E7FCA" w:rsidRPr="009F23CB">
        <w:rPr>
          <w:i/>
          <w:lang w:val="en-US"/>
        </w:rPr>
        <w:t>R. v. Strachan</w:t>
      </w:r>
      <w:r w:rsidR="007E7FCA" w:rsidRPr="009F23CB">
        <w:rPr>
          <w:lang w:val="en-US"/>
        </w:rPr>
        <w:t xml:space="preserve">, [1988] 2 S.C.R. 980; </w:t>
      </w:r>
      <w:r w:rsidR="007E7FCA" w:rsidRPr="009F23CB">
        <w:rPr>
          <w:i/>
          <w:lang w:val="en-US"/>
        </w:rPr>
        <w:t>R. v. McSweeney</w:t>
      </w:r>
      <w:r w:rsidR="007E7FCA" w:rsidRPr="009F23CB">
        <w:rPr>
          <w:lang w:val="en-US"/>
        </w:rPr>
        <w:t xml:space="preserve">, 2020 ONCA 2, </w:t>
      </w:r>
      <w:r w:rsidR="00BF1AC2" w:rsidRPr="009F23CB">
        <w:t>451 C.R.R. (2d) 357</w:t>
      </w:r>
      <w:r w:rsidR="007E7FCA" w:rsidRPr="009F23CB">
        <w:rPr>
          <w:lang w:val="en-US"/>
        </w:rPr>
        <w:t xml:space="preserve">; </w:t>
      </w:r>
      <w:r w:rsidR="007E7FCA" w:rsidRPr="009F23CB">
        <w:rPr>
          <w:i/>
          <w:lang w:val="en-US"/>
        </w:rPr>
        <w:t>R. v. Lauriente</w:t>
      </w:r>
      <w:r w:rsidR="007E7FCA" w:rsidRPr="009F23CB">
        <w:rPr>
          <w:lang w:val="en-US"/>
        </w:rPr>
        <w:t xml:space="preserve">, 2010 BCCA 72, 283 B.C.A.C. 215; </w:t>
      </w:r>
      <w:r w:rsidR="007E7FCA" w:rsidRPr="009F23CB">
        <w:rPr>
          <w:i/>
          <w:lang w:val="en-US"/>
        </w:rPr>
        <w:t>R. v. Manchulenko</w:t>
      </w:r>
      <w:r w:rsidR="007E7FCA" w:rsidRPr="009F23CB">
        <w:rPr>
          <w:lang w:val="en-US"/>
        </w:rPr>
        <w:t xml:space="preserve">, 2013 ONCA 543, 116 O.R. (3d) 721; </w:t>
      </w:r>
      <w:r w:rsidR="007E7FCA" w:rsidRPr="009F23CB">
        <w:rPr>
          <w:i/>
          <w:lang w:val="en-US"/>
        </w:rPr>
        <w:t>R. v. Mack</w:t>
      </w:r>
      <w:r w:rsidR="007E7FCA" w:rsidRPr="009F23CB">
        <w:rPr>
          <w:lang w:val="en-US"/>
        </w:rPr>
        <w:t xml:space="preserve">, 2014 SCC 58, [2014] 3 S.C.R. 3; </w:t>
      </w:r>
      <w:r w:rsidR="007E7FCA" w:rsidRPr="009F23CB">
        <w:rPr>
          <w:i/>
          <w:lang w:val="en-US"/>
        </w:rPr>
        <w:t>R. v. Pino</w:t>
      </w:r>
      <w:r w:rsidR="007E7FCA" w:rsidRPr="009F23CB">
        <w:rPr>
          <w:lang w:val="en-US"/>
        </w:rPr>
        <w:t xml:space="preserve">, 2016 ONCA 389, 130 O.R. (3d) 561; </w:t>
      </w:r>
      <w:r w:rsidR="007E7FCA" w:rsidRPr="009F23CB">
        <w:rPr>
          <w:i/>
          <w:lang w:val="en-US"/>
        </w:rPr>
        <w:t>R. v. Lewis</w:t>
      </w:r>
      <w:r w:rsidR="007E7FCA" w:rsidRPr="009F23CB">
        <w:rPr>
          <w:lang w:val="en-US"/>
        </w:rPr>
        <w:t xml:space="preserve">, 2007 ONCA 349, 86 O.R. (3d) 46; </w:t>
      </w:r>
      <w:r w:rsidR="007E7FCA" w:rsidRPr="009F23CB">
        <w:rPr>
          <w:i/>
          <w:lang w:val="en-US"/>
        </w:rPr>
        <w:t>R. v. Woods</w:t>
      </w:r>
      <w:r w:rsidR="007E7FCA" w:rsidRPr="009F23CB">
        <w:rPr>
          <w:lang w:val="en-US"/>
        </w:rPr>
        <w:t xml:space="preserve">, 2008 ONCA 713; </w:t>
      </w:r>
      <w:r w:rsidR="007E7FCA" w:rsidRPr="009F23CB">
        <w:rPr>
          <w:i/>
          <w:lang w:val="en-US"/>
        </w:rPr>
        <w:t>R. v. Hamilton</w:t>
      </w:r>
      <w:r w:rsidR="007E7FCA" w:rsidRPr="009F23CB">
        <w:rPr>
          <w:lang w:val="en-US"/>
        </w:rPr>
        <w:t xml:space="preserve">, 2017 ONCA 179, 347 C.C.C. (3d) 19; </w:t>
      </w:r>
      <w:r w:rsidR="007E7FCA" w:rsidRPr="009F23CB">
        <w:rPr>
          <w:i/>
          <w:lang w:val="en-US"/>
        </w:rPr>
        <w:t>R. v. I. (L.R.) and T. (E.)</w:t>
      </w:r>
      <w:r w:rsidR="007E7FCA" w:rsidRPr="009F23CB">
        <w:rPr>
          <w:lang w:val="en-US"/>
        </w:rPr>
        <w:t xml:space="preserve">, [1993] 4 S.C.R. 504; </w:t>
      </w:r>
      <w:r w:rsidR="007E7FCA" w:rsidRPr="009F23CB">
        <w:rPr>
          <w:i/>
          <w:lang w:val="en-US"/>
        </w:rPr>
        <w:t>R. v. R. (D.)</w:t>
      </w:r>
      <w:r w:rsidR="007E7FCA" w:rsidRPr="009F23CB">
        <w:rPr>
          <w:lang w:val="en-US"/>
        </w:rPr>
        <w:t xml:space="preserve">, [1994] 1 S.C.R. 881; </w:t>
      </w:r>
      <w:r w:rsidR="007E7FCA" w:rsidRPr="009F23CB">
        <w:rPr>
          <w:i/>
          <w:lang w:val="en-US"/>
        </w:rPr>
        <w:t>R. v. S.G.T.</w:t>
      </w:r>
      <w:r w:rsidR="007E7FCA" w:rsidRPr="009F23CB">
        <w:rPr>
          <w:lang w:val="en-US"/>
        </w:rPr>
        <w:t xml:space="preserve">, 2010 SCC 20, [2010] 1 S.C.R. 688; </w:t>
      </w:r>
      <w:r w:rsidR="00F3671D" w:rsidRPr="009F23CB">
        <w:rPr>
          <w:i/>
          <w:lang w:val="en-US"/>
        </w:rPr>
        <w:t>R.</w:t>
      </w:r>
      <w:r w:rsidR="007E7FCA" w:rsidRPr="009F23CB">
        <w:rPr>
          <w:i/>
          <w:lang w:val="en-US"/>
        </w:rPr>
        <w:t xml:space="preserve"> v. Dawkins</w:t>
      </w:r>
      <w:r w:rsidR="007E7FCA" w:rsidRPr="009F23CB">
        <w:rPr>
          <w:lang w:val="en-US"/>
        </w:rPr>
        <w:t xml:space="preserve">, 2018 ONSC 6394; </w:t>
      </w:r>
      <w:r w:rsidR="007E7FCA" w:rsidRPr="009F23CB">
        <w:rPr>
          <w:i/>
          <w:lang w:val="en-US"/>
        </w:rPr>
        <w:t>R. v. Chung</w:t>
      </w:r>
      <w:r w:rsidR="007E7FCA" w:rsidRPr="009F23CB">
        <w:rPr>
          <w:lang w:val="en-US"/>
        </w:rPr>
        <w:t xml:space="preserve">, 2020 SCC 8; </w:t>
      </w:r>
      <w:r w:rsidR="007E7FCA" w:rsidRPr="009F23CB">
        <w:rPr>
          <w:i/>
          <w:lang w:val="en-US"/>
        </w:rPr>
        <w:t xml:space="preserve">R. v. </w:t>
      </w:r>
      <w:proofErr w:type="spellStart"/>
      <w:r w:rsidR="007E7FCA" w:rsidRPr="009F23CB">
        <w:rPr>
          <w:i/>
          <w:lang w:val="en-US"/>
        </w:rPr>
        <w:t>Keror</w:t>
      </w:r>
      <w:proofErr w:type="spellEnd"/>
      <w:r w:rsidR="007E7FCA" w:rsidRPr="009F23CB">
        <w:rPr>
          <w:lang w:val="en-US"/>
        </w:rPr>
        <w:t xml:space="preserve">, 2017 ABCA 273, 57 Alta. L.R. (6th) 268; </w:t>
      </w:r>
      <w:r w:rsidR="007E7FCA" w:rsidRPr="009F23CB">
        <w:rPr>
          <w:i/>
          <w:lang w:val="en-US"/>
        </w:rPr>
        <w:t>R. v. Goldhart</w:t>
      </w:r>
      <w:r w:rsidR="007E7FCA" w:rsidRPr="009F23CB">
        <w:rPr>
          <w:lang w:val="en-US"/>
        </w:rPr>
        <w:t xml:space="preserve">, [1996] 2 S.C.R. 463; </w:t>
      </w:r>
      <w:r w:rsidR="007E7FCA" w:rsidRPr="009F23CB">
        <w:rPr>
          <w:i/>
          <w:lang w:val="en-US"/>
        </w:rPr>
        <w:t>R. v. Keshavarz</w:t>
      </w:r>
      <w:r w:rsidR="007E7FCA" w:rsidRPr="009F23CB">
        <w:rPr>
          <w:lang w:val="en-US"/>
        </w:rPr>
        <w:t xml:space="preserve">, 2022 ONCA 312, 413 C.C.C. (3d) 263; </w:t>
      </w:r>
      <w:r w:rsidR="007E7FCA" w:rsidRPr="009F23CB">
        <w:rPr>
          <w:i/>
          <w:lang w:val="en-US"/>
        </w:rPr>
        <w:t>R. v. Le</w:t>
      </w:r>
      <w:r w:rsidR="007E7FCA" w:rsidRPr="009F23CB">
        <w:rPr>
          <w:lang w:val="en-US"/>
        </w:rPr>
        <w:t xml:space="preserve">, 2019 SCC 34, [2019] 2 S.C.R. 692; </w:t>
      </w:r>
      <w:r w:rsidR="007E7FCA" w:rsidRPr="009F23CB">
        <w:rPr>
          <w:i/>
          <w:lang w:val="en-US"/>
        </w:rPr>
        <w:t>R. v. Lafrance</w:t>
      </w:r>
      <w:r w:rsidR="007E7FCA" w:rsidRPr="009F23CB">
        <w:rPr>
          <w:lang w:val="en-US"/>
        </w:rPr>
        <w:t xml:space="preserve">, 2022 SCC 32; </w:t>
      </w:r>
      <w:r w:rsidR="007E7FCA" w:rsidRPr="009F23CB">
        <w:rPr>
          <w:i/>
          <w:lang w:val="en-US"/>
        </w:rPr>
        <w:t>R. v. Collins</w:t>
      </w:r>
      <w:r w:rsidR="007E7FCA" w:rsidRPr="009F23CB">
        <w:rPr>
          <w:lang w:val="en-US"/>
        </w:rPr>
        <w:t xml:space="preserve">, [1987] 1 S.C.R. 265; </w:t>
      </w:r>
      <w:r w:rsidR="007E7FCA" w:rsidRPr="009F23CB">
        <w:rPr>
          <w:i/>
          <w:lang w:val="en-US"/>
        </w:rPr>
        <w:t>R. v. Harrison</w:t>
      </w:r>
      <w:r w:rsidR="007E7FCA" w:rsidRPr="009F23CB">
        <w:rPr>
          <w:lang w:val="en-US"/>
        </w:rPr>
        <w:t xml:space="preserve">, 2009 SCC 34, [2009] 2 S.C.R. 494; </w:t>
      </w:r>
      <w:r w:rsidR="007E7FCA" w:rsidRPr="009F23CB">
        <w:rPr>
          <w:i/>
          <w:lang w:val="en-US"/>
        </w:rPr>
        <w:t>R. v. Paterson</w:t>
      </w:r>
      <w:r w:rsidR="007E7FCA" w:rsidRPr="009F23CB">
        <w:rPr>
          <w:lang w:val="en-US"/>
        </w:rPr>
        <w:t xml:space="preserve">, 2017 SCC 15, [2017] 1 S.C.R. 202; </w:t>
      </w:r>
      <w:r w:rsidR="007E7FCA" w:rsidRPr="009F23CB">
        <w:rPr>
          <w:i/>
          <w:lang w:val="en-US"/>
        </w:rPr>
        <w:t>R. v. G.T.D.</w:t>
      </w:r>
      <w:r w:rsidR="007E7FCA" w:rsidRPr="009F23CB">
        <w:rPr>
          <w:lang w:val="en-US"/>
        </w:rPr>
        <w:t xml:space="preserve">, 2017 ABCA 274, 57 Alta. L.R. (6th) 213, </w:t>
      </w:r>
      <w:proofErr w:type="spellStart"/>
      <w:r w:rsidR="007E7FCA" w:rsidRPr="009F23CB">
        <w:rPr>
          <w:lang w:val="en-US"/>
        </w:rPr>
        <w:t>rev</w:t>
      </w:r>
      <w:r w:rsidR="009E380D" w:rsidRPr="009F23CB">
        <w:rPr>
          <w:lang w:val="en-US"/>
        </w:rPr>
        <w:t>’</w:t>
      </w:r>
      <w:r w:rsidR="007E7FCA" w:rsidRPr="009F23CB">
        <w:rPr>
          <w:lang w:val="en-US"/>
        </w:rPr>
        <w:t>d</w:t>
      </w:r>
      <w:proofErr w:type="spellEnd"/>
      <w:r w:rsidR="007E7FCA" w:rsidRPr="009F23CB">
        <w:rPr>
          <w:lang w:val="en-US"/>
        </w:rPr>
        <w:t xml:space="preserve"> 2018 SCC 7, [2018] 1 S.C.R. 220; </w:t>
      </w:r>
      <w:r w:rsidR="007E7FCA" w:rsidRPr="009F23CB">
        <w:rPr>
          <w:i/>
          <w:lang w:val="en-US"/>
        </w:rPr>
        <w:t>R. v. Côté</w:t>
      </w:r>
      <w:r w:rsidR="007E7FCA" w:rsidRPr="009F23CB">
        <w:rPr>
          <w:lang w:val="en-US"/>
        </w:rPr>
        <w:t xml:space="preserve">, 2011 SCC 46, [2011] 3 S.C.R. 215; </w:t>
      </w:r>
      <w:r w:rsidR="007E7FCA" w:rsidRPr="009F23CB">
        <w:rPr>
          <w:i/>
          <w:lang w:val="en-US"/>
        </w:rPr>
        <w:t>R. v. Mian</w:t>
      </w:r>
      <w:r w:rsidR="007E7FCA" w:rsidRPr="009F23CB">
        <w:rPr>
          <w:lang w:val="en-US"/>
        </w:rPr>
        <w:t xml:space="preserve">, 2014 SCC 54, [2014] 2 S.C.R. 689; </w:t>
      </w:r>
      <w:r w:rsidR="007E7FCA" w:rsidRPr="009F23CB">
        <w:rPr>
          <w:i/>
          <w:lang w:val="en-US"/>
        </w:rPr>
        <w:t>R. v. Rover</w:t>
      </w:r>
      <w:r w:rsidR="007E7FCA" w:rsidRPr="009F23CB">
        <w:rPr>
          <w:lang w:val="en-US"/>
        </w:rPr>
        <w:t xml:space="preserve">, 2018 ONCA 745, 143 O.R. (3d) 135; </w:t>
      </w:r>
      <w:r w:rsidR="007E7FCA" w:rsidRPr="009F23CB">
        <w:rPr>
          <w:i/>
          <w:lang w:val="en-US"/>
        </w:rPr>
        <w:t>R. v. Pileggi</w:t>
      </w:r>
      <w:r w:rsidR="007E7FCA" w:rsidRPr="009F23CB">
        <w:rPr>
          <w:lang w:val="en-US"/>
        </w:rPr>
        <w:t xml:space="preserve">, 2021 ONCA 4, 153 O.R. (3d) 561; </w:t>
      </w:r>
      <w:r w:rsidR="007E7FCA" w:rsidRPr="009F23CB">
        <w:rPr>
          <w:i/>
          <w:lang w:val="en-US"/>
        </w:rPr>
        <w:t>R. v. Godoy</w:t>
      </w:r>
      <w:r w:rsidR="007E7FCA" w:rsidRPr="009F23CB">
        <w:rPr>
          <w:lang w:val="en-US"/>
        </w:rPr>
        <w:t xml:space="preserve">, [1999] 1 S.C.R. 311; </w:t>
      </w:r>
      <w:r w:rsidR="007E7FCA" w:rsidRPr="009F23CB">
        <w:rPr>
          <w:i/>
          <w:lang w:val="en-US"/>
        </w:rPr>
        <w:t>R. v. McGuffie</w:t>
      </w:r>
      <w:r w:rsidR="007E7FCA" w:rsidRPr="009F23CB">
        <w:rPr>
          <w:lang w:val="en-US"/>
        </w:rPr>
        <w:t xml:space="preserve">, 2016 ONCA 365, 131 O.R. (3d) 643; </w:t>
      </w:r>
      <w:r w:rsidR="007E7FCA" w:rsidRPr="009F23CB">
        <w:rPr>
          <w:bCs/>
          <w:i/>
          <w:lang w:val="en-US"/>
        </w:rPr>
        <w:t>R. v. Chapman</w:t>
      </w:r>
      <w:r w:rsidR="007E7FCA" w:rsidRPr="009F23CB">
        <w:rPr>
          <w:bCs/>
          <w:lang w:val="en-US"/>
        </w:rPr>
        <w:t>, 2020 SKCA 11, 386 C.C.C. (3d) 24.</w:t>
      </w:r>
    </w:p>
    <w:p w14:paraId="0C460C8A" w14:textId="753D96F0" w:rsidR="00650978" w:rsidRPr="009F23CB" w:rsidRDefault="00371740" w:rsidP="00371740">
      <w:pPr>
        <w:pStyle w:val="SCCNormalDoubleSpacing"/>
        <w:spacing w:after="720" w:line="240" w:lineRule="auto"/>
      </w:pPr>
      <w:r w:rsidRPr="009F23CB">
        <w:t>By Martin </w:t>
      </w:r>
      <w:r w:rsidR="00650978" w:rsidRPr="009F23CB">
        <w:t>J. (dissenting)</w:t>
      </w:r>
    </w:p>
    <w:p w14:paraId="7699DEAC" w14:textId="78855293" w:rsidR="00A149DF" w:rsidRPr="009F23CB" w:rsidRDefault="00650978" w:rsidP="00371740">
      <w:pPr>
        <w:pStyle w:val="SCCNormalDoubleSpacing"/>
        <w:spacing w:after="480"/>
      </w:pPr>
      <w:r w:rsidRPr="009F23CB">
        <w:tab/>
      </w:r>
      <w:r w:rsidRPr="009F23CB">
        <w:rPr>
          <w:i/>
        </w:rPr>
        <w:t>R. v. Strachan</w:t>
      </w:r>
      <w:r w:rsidRPr="009F23CB">
        <w:t xml:space="preserve">, [1988] 2 S.C.R. 980; </w:t>
      </w:r>
      <w:r w:rsidRPr="009F23CB">
        <w:rPr>
          <w:i/>
        </w:rPr>
        <w:t>R. v. Goldhart</w:t>
      </w:r>
      <w:r w:rsidRPr="009F23CB">
        <w:t xml:space="preserve">, [1996] 2 S.C.R. 463; </w:t>
      </w:r>
      <w:r w:rsidRPr="009F23CB">
        <w:rPr>
          <w:i/>
        </w:rPr>
        <w:t>R. v. Wittwer</w:t>
      </w:r>
      <w:r w:rsidRPr="009F23CB">
        <w:t xml:space="preserve">, 2008 SCC 33, [2008] 2 S.C.R. 235; </w:t>
      </w:r>
      <w:r w:rsidRPr="009F23CB">
        <w:rPr>
          <w:i/>
        </w:rPr>
        <w:t>R. v. Grant</w:t>
      </w:r>
      <w:r w:rsidRPr="009F23CB">
        <w:t xml:space="preserve">, 2009 SCC 32, [2009] 2 S.C.R. 353; </w:t>
      </w:r>
      <w:r w:rsidRPr="009F23CB">
        <w:rPr>
          <w:i/>
        </w:rPr>
        <w:t>R. v. Storrey</w:t>
      </w:r>
      <w:r w:rsidRPr="009F23CB">
        <w:t xml:space="preserve">, [1990] 1 S.C.R. 241; </w:t>
      </w:r>
      <w:r w:rsidRPr="009F23CB">
        <w:rPr>
          <w:i/>
        </w:rPr>
        <w:t>Hunter v. Southam Inc.</w:t>
      </w:r>
      <w:r w:rsidRPr="009F23CB">
        <w:t xml:space="preserve">, [1984] 2 S.C.R. 145; </w:t>
      </w:r>
      <w:r w:rsidRPr="009F23CB">
        <w:rPr>
          <w:i/>
        </w:rPr>
        <w:t>Baron v. Canada</w:t>
      </w:r>
      <w:r w:rsidRPr="009F23CB">
        <w:t xml:space="preserve">, [1993] 1 S.C.R. 416; </w:t>
      </w:r>
      <w:r w:rsidRPr="009F23CB">
        <w:rPr>
          <w:i/>
        </w:rPr>
        <w:t>Mugesera v. Canada (Minister of Citizenship and Immigration)</w:t>
      </w:r>
      <w:r w:rsidRPr="009F23CB">
        <w:t xml:space="preserve">, 2005 SCC 40, [2005] 2 S.C.R. 100; </w:t>
      </w:r>
      <w:r w:rsidRPr="009F23CB">
        <w:rPr>
          <w:i/>
          <w:lang w:bidi="en-US"/>
        </w:rPr>
        <w:t>R. v. Shepherd</w:t>
      </w:r>
      <w:r w:rsidRPr="009F23CB">
        <w:rPr>
          <w:lang w:bidi="en-US"/>
        </w:rPr>
        <w:t xml:space="preserve">, 2009 SCC 35, [2009] 2 S.C.R. 527; </w:t>
      </w:r>
      <w:r w:rsidRPr="009F23CB">
        <w:rPr>
          <w:i/>
          <w:lang w:bidi="en-US"/>
        </w:rPr>
        <w:t>R. v. MacKenzie</w:t>
      </w:r>
      <w:r w:rsidRPr="009F23CB">
        <w:rPr>
          <w:lang w:bidi="en-US"/>
        </w:rPr>
        <w:t xml:space="preserve">, 2013 SCC 50, [2013] 3 S.C.R. 250; </w:t>
      </w:r>
      <w:r w:rsidRPr="009F23CB">
        <w:rPr>
          <w:i/>
        </w:rPr>
        <w:t>R. v. Fearon</w:t>
      </w:r>
      <w:r w:rsidRPr="009F23CB">
        <w:t xml:space="preserve">, 2014 SCC 77, [2014] 3 S.C.R. 621; </w:t>
      </w:r>
      <w:r w:rsidRPr="009F23CB">
        <w:rPr>
          <w:i/>
        </w:rPr>
        <w:t>R. v. Vu</w:t>
      </w:r>
      <w:r w:rsidRPr="009F23CB">
        <w:t xml:space="preserve">, 2013 SCC 60, [2013] 3 S.C.R. 657; </w:t>
      </w:r>
      <w:r w:rsidRPr="009F23CB">
        <w:rPr>
          <w:i/>
        </w:rPr>
        <w:t>Wood v. Schaeffer</w:t>
      </w:r>
      <w:r w:rsidRPr="009F23CB">
        <w:t xml:space="preserve">, 2013 SCC 71, [2013] 3 S.C.R. 1053; </w:t>
      </w:r>
      <w:r w:rsidRPr="009F23CB">
        <w:rPr>
          <w:i/>
        </w:rPr>
        <w:t xml:space="preserve">R. v. </w:t>
      </w:r>
      <w:proofErr w:type="spellStart"/>
      <w:r w:rsidRPr="009F23CB">
        <w:rPr>
          <w:i/>
        </w:rPr>
        <w:t>Lotfy</w:t>
      </w:r>
      <w:proofErr w:type="spellEnd"/>
      <w:r w:rsidRPr="009F23CB">
        <w:t xml:space="preserve">, 2017 BCCA 418, 357 C.C.C. (3d) 516; </w:t>
      </w:r>
      <w:r w:rsidRPr="009F23CB">
        <w:rPr>
          <w:i/>
        </w:rPr>
        <w:t>R. v. Faulkner</w:t>
      </w:r>
      <w:r w:rsidRPr="009F23CB">
        <w:t xml:space="preserve">, 2020 ABQB 231; </w:t>
      </w:r>
      <w:r w:rsidRPr="009F23CB">
        <w:rPr>
          <w:i/>
        </w:rPr>
        <w:t xml:space="preserve">R. v. </w:t>
      </w:r>
      <w:proofErr w:type="spellStart"/>
      <w:r w:rsidRPr="009F23CB">
        <w:rPr>
          <w:i/>
        </w:rPr>
        <w:t>Abdulatif</w:t>
      </w:r>
      <w:proofErr w:type="spellEnd"/>
      <w:r w:rsidRPr="009F23CB">
        <w:t xml:space="preserve">, </w:t>
      </w:r>
      <w:r w:rsidR="00350A39" w:rsidRPr="009F23CB">
        <w:t>2017</w:t>
      </w:r>
      <w:r w:rsidRPr="009F23CB">
        <w:t xml:space="preserve"> ONSC</w:t>
      </w:r>
      <w:r w:rsidR="00350A39" w:rsidRPr="009F23CB">
        <w:t xml:space="preserve"> 2089</w:t>
      </w:r>
      <w:r w:rsidRPr="009F23CB">
        <w:t xml:space="preserve">; </w:t>
      </w:r>
      <w:r w:rsidRPr="009F23CB">
        <w:rPr>
          <w:i/>
        </w:rPr>
        <w:t xml:space="preserve">R. v. </w:t>
      </w:r>
      <w:proofErr w:type="spellStart"/>
      <w:r w:rsidRPr="009F23CB">
        <w:rPr>
          <w:i/>
        </w:rPr>
        <w:t>Mascoe</w:t>
      </w:r>
      <w:proofErr w:type="spellEnd"/>
      <w:r w:rsidRPr="009F23CB">
        <w:t xml:space="preserve">, 2017 ONSC 4208, 350 C.C.C. (3d) 208; </w:t>
      </w:r>
      <w:r w:rsidRPr="009F23CB">
        <w:rPr>
          <w:i/>
        </w:rPr>
        <w:t>United States of America v. Sheppard</w:t>
      </w:r>
      <w:r w:rsidRPr="009F23CB">
        <w:t xml:space="preserve">, 2013 QCCS 5260, 295 C.R.R. (2d) 113; </w:t>
      </w:r>
      <w:r w:rsidRPr="009F23CB">
        <w:rPr>
          <w:i/>
        </w:rPr>
        <w:t>R. v. Davidoff</w:t>
      </w:r>
      <w:r w:rsidRPr="009F23CB">
        <w:t xml:space="preserve">, 2013 ABQB 244, 560 A.R. 252; </w:t>
      </w:r>
      <w:r w:rsidRPr="009F23CB">
        <w:rPr>
          <w:i/>
        </w:rPr>
        <w:t>R. v. Odgers</w:t>
      </w:r>
      <w:r w:rsidRPr="009F23CB">
        <w:t xml:space="preserve">, 2009 ONCJ 287; </w:t>
      </w:r>
      <w:r w:rsidRPr="009F23CB">
        <w:rPr>
          <w:i/>
        </w:rPr>
        <w:t>R. v. Fisher</w:t>
      </w:r>
      <w:r w:rsidRPr="009F23CB">
        <w:t xml:space="preserve">, 2005 CanLII 16070; </w:t>
      </w:r>
      <w:r w:rsidRPr="009F23CB">
        <w:rPr>
          <w:i/>
        </w:rPr>
        <w:t>R. v. Chehil</w:t>
      </w:r>
      <w:r w:rsidRPr="009F23CB">
        <w:t xml:space="preserve">, 2013 SCC 49, [2013] 3 S.C.R. 220; </w:t>
      </w:r>
      <w:r w:rsidRPr="009F23CB">
        <w:rPr>
          <w:i/>
        </w:rPr>
        <w:t>R. v. Feeney</w:t>
      </w:r>
      <w:r w:rsidRPr="009F23CB">
        <w:t xml:space="preserve">, [1997] 2 S.C.R. 13; </w:t>
      </w:r>
      <w:r w:rsidRPr="009F23CB">
        <w:rPr>
          <w:i/>
        </w:rPr>
        <w:t>R. v. Tim</w:t>
      </w:r>
      <w:r w:rsidRPr="009F23CB">
        <w:t xml:space="preserve">, 2022 SCC 12; </w:t>
      </w:r>
      <w:r w:rsidRPr="009F23CB">
        <w:rPr>
          <w:i/>
        </w:rPr>
        <w:t>Re B.C. Motor Vehicle Act</w:t>
      </w:r>
      <w:r w:rsidRPr="009F23CB">
        <w:t>,</w:t>
      </w:r>
      <w:r w:rsidRPr="009F23CB">
        <w:rPr>
          <w:i/>
        </w:rPr>
        <w:t xml:space="preserve"> </w:t>
      </w:r>
      <w:r w:rsidRPr="009F23CB">
        <w:t xml:space="preserve">[1985] 2 S.C.R. 486; </w:t>
      </w:r>
      <w:r w:rsidRPr="009F23CB">
        <w:rPr>
          <w:i/>
        </w:rPr>
        <w:t xml:space="preserve">R. v. </w:t>
      </w:r>
      <w:proofErr w:type="spellStart"/>
      <w:r w:rsidRPr="009F23CB">
        <w:rPr>
          <w:i/>
        </w:rPr>
        <w:t>Therens</w:t>
      </w:r>
      <w:proofErr w:type="spellEnd"/>
      <w:r w:rsidRPr="009F23CB">
        <w:t xml:space="preserve">, [1985] 1 S.C.R. 613; </w:t>
      </w:r>
      <w:r w:rsidRPr="009F23CB">
        <w:rPr>
          <w:i/>
        </w:rPr>
        <w:t>R. v. Pino</w:t>
      </w:r>
      <w:r w:rsidRPr="009F23CB">
        <w:t xml:space="preserve">, 2016 ONCA 389, 130 O.R. (3d) 561; </w:t>
      </w:r>
      <w:r w:rsidRPr="009F23CB">
        <w:rPr>
          <w:i/>
        </w:rPr>
        <w:t>R. v. Simon</w:t>
      </w:r>
      <w:r w:rsidRPr="009F23CB">
        <w:t xml:space="preserve">, 2008 ONCA 578, 269 O.A.C. 259; </w:t>
      </w:r>
      <w:r w:rsidRPr="009F23CB">
        <w:rPr>
          <w:i/>
        </w:rPr>
        <w:t>R. v. Manchulenko</w:t>
      </w:r>
      <w:r w:rsidRPr="009F23CB">
        <w:t xml:space="preserve">, 2013 ONCA 543, 116 O.R. (3d) 721; </w:t>
      </w:r>
      <w:r w:rsidRPr="009F23CB">
        <w:rPr>
          <w:i/>
        </w:rPr>
        <w:t>R. v. Hamilton</w:t>
      </w:r>
      <w:r w:rsidRPr="009F23CB">
        <w:t xml:space="preserve">, 2017 ONCA 179, 347 C.C.C. (3d) 19; </w:t>
      </w:r>
      <w:r w:rsidRPr="009F23CB">
        <w:rPr>
          <w:i/>
        </w:rPr>
        <w:t>R. v. McSweeney</w:t>
      </w:r>
      <w:r w:rsidRPr="009F23CB">
        <w:t xml:space="preserve">, 2020 ONCA 2, </w:t>
      </w:r>
      <w:r w:rsidR="00EF35E3" w:rsidRPr="009F23CB">
        <w:t>451 C.R.R. (2d) 357</w:t>
      </w:r>
      <w:r w:rsidRPr="009F23CB">
        <w:t xml:space="preserve">; </w:t>
      </w:r>
      <w:r w:rsidRPr="009F23CB">
        <w:rPr>
          <w:i/>
        </w:rPr>
        <w:t>R. v. Plaha</w:t>
      </w:r>
      <w:r w:rsidRPr="009F23CB">
        <w:t xml:space="preserve"> (2004), </w:t>
      </w:r>
      <w:r w:rsidR="00BB37F7" w:rsidRPr="009F23CB">
        <w:rPr>
          <w:lang w:val="en-US"/>
        </w:rPr>
        <w:t>189 O.A.C. 376</w:t>
      </w:r>
      <w:r w:rsidRPr="009F23CB">
        <w:t xml:space="preserve">; </w:t>
      </w:r>
      <w:r w:rsidRPr="009F23CB">
        <w:rPr>
          <w:i/>
        </w:rPr>
        <w:t>R. v. Reilly</w:t>
      </w:r>
      <w:r w:rsidRPr="009F23CB">
        <w:t>, 2020 BCCA 369, 397 C.C.C. (3d) 219, aff</w:t>
      </w:r>
      <w:r w:rsidR="009E380D" w:rsidRPr="009F23CB">
        <w:t>’</w:t>
      </w:r>
      <w:r w:rsidRPr="009F23CB">
        <w:t xml:space="preserve">d 2021 SCC 38; </w:t>
      </w:r>
      <w:r w:rsidR="00FA1CFC" w:rsidRPr="009F23CB">
        <w:rPr>
          <w:i/>
          <w:lang w:bidi="en-US"/>
        </w:rPr>
        <w:t>R. v. Black</w:t>
      </w:r>
      <w:r w:rsidR="00FA1CFC" w:rsidRPr="009F23CB">
        <w:rPr>
          <w:lang w:bidi="en-US"/>
        </w:rPr>
        <w:t xml:space="preserve">, [1989] 2 S.C.R. 138; </w:t>
      </w:r>
      <w:r w:rsidRPr="009F23CB">
        <w:rPr>
          <w:i/>
        </w:rPr>
        <w:t>R. v. Le</w:t>
      </w:r>
      <w:r w:rsidRPr="009F23CB">
        <w:t xml:space="preserve">, 2019 SCC 34, [2019] 2 S.C.R. 692; </w:t>
      </w:r>
      <w:r w:rsidRPr="009F23CB">
        <w:rPr>
          <w:i/>
          <w:lang w:val="en-US"/>
        </w:rPr>
        <w:t>R. v. Paterson</w:t>
      </w:r>
      <w:r w:rsidRPr="009F23CB">
        <w:rPr>
          <w:lang w:val="en-US"/>
        </w:rPr>
        <w:t xml:space="preserve">, 2017 SCC 15, [2017] 1 S.C.R. 202; </w:t>
      </w:r>
      <w:r w:rsidRPr="009F23CB">
        <w:rPr>
          <w:i/>
          <w:lang w:val="en-US"/>
        </w:rPr>
        <w:t xml:space="preserve">R. v. </w:t>
      </w:r>
      <w:proofErr w:type="spellStart"/>
      <w:r w:rsidRPr="009F23CB">
        <w:rPr>
          <w:i/>
          <w:lang w:val="en-US"/>
        </w:rPr>
        <w:t>Kokesch</w:t>
      </w:r>
      <w:proofErr w:type="spellEnd"/>
      <w:r w:rsidRPr="009F23CB">
        <w:rPr>
          <w:lang w:val="en-US"/>
        </w:rPr>
        <w:t xml:space="preserve">, [1990] 3 S.C.R. 3; </w:t>
      </w:r>
      <w:r w:rsidRPr="009F23CB">
        <w:rPr>
          <w:i/>
          <w:lang w:val="en-US"/>
        </w:rPr>
        <w:t xml:space="preserve">R. v. </w:t>
      </w:r>
      <w:proofErr w:type="spellStart"/>
      <w:r w:rsidRPr="009F23CB">
        <w:rPr>
          <w:i/>
          <w:lang w:val="en-US"/>
        </w:rPr>
        <w:t>Genest</w:t>
      </w:r>
      <w:proofErr w:type="spellEnd"/>
      <w:r w:rsidRPr="009F23CB">
        <w:rPr>
          <w:lang w:val="en-US"/>
        </w:rPr>
        <w:t xml:space="preserve">, [1989] 1 S.C.R. 59; </w:t>
      </w:r>
      <w:r w:rsidRPr="009F23CB">
        <w:rPr>
          <w:i/>
          <w:lang w:val="en-US"/>
        </w:rPr>
        <w:t>R. v. Harrison</w:t>
      </w:r>
      <w:r w:rsidRPr="009F23CB">
        <w:rPr>
          <w:lang w:val="en-US"/>
        </w:rPr>
        <w:t xml:space="preserve">, 2009 SCC 34, [2009] 2 S.C.R. 494; </w:t>
      </w:r>
      <w:r w:rsidRPr="009F23CB">
        <w:rPr>
          <w:i/>
          <w:lang w:val="en-US"/>
        </w:rPr>
        <w:t>R. v. Washington</w:t>
      </w:r>
      <w:r w:rsidRPr="009F23CB">
        <w:rPr>
          <w:lang w:val="en-US"/>
        </w:rPr>
        <w:t xml:space="preserve">, 2007 BCCA 540, 248 B.C.A.C. 65; </w:t>
      </w:r>
      <w:r w:rsidRPr="009F23CB">
        <w:rPr>
          <w:i/>
          <w:lang w:val="en-US"/>
        </w:rPr>
        <w:t xml:space="preserve">R. v. </w:t>
      </w:r>
      <w:proofErr w:type="spellStart"/>
      <w:r w:rsidRPr="009F23CB">
        <w:rPr>
          <w:i/>
          <w:lang w:val="en-US"/>
        </w:rPr>
        <w:t>Buhay</w:t>
      </w:r>
      <w:proofErr w:type="spellEnd"/>
      <w:r w:rsidRPr="009F23CB">
        <w:rPr>
          <w:lang w:val="en-US"/>
        </w:rPr>
        <w:t xml:space="preserve">, 2003 SCC 30, [2003] 1 S.C.R. 631; </w:t>
      </w:r>
      <w:r w:rsidRPr="009F23CB">
        <w:rPr>
          <w:i/>
          <w:lang w:val="en-US"/>
        </w:rPr>
        <w:t xml:space="preserve">R. v. </w:t>
      </w:r>
      <w:proofErr w:type="spellStart"/>
      <w:r w:rsidRPr="009F23CB">
        <w:rPr>
          <w:i/>
          <w:lang w:val="en-US"/>
        </w:rPr>
        <w:t>Suberu</w:t>
      </w:r>
      <w:proofErr w:type="spellEnd"/>
      <w:r w:rsidRPr="009F23CB">
        <w:rPr>
          <w:lang w:val="en-US"/>
        </w:rPr>
        <w:t>,</w:t>
      </w:r>
      <w:r w:rsidRPr="009F23CB">
        <w:rPr>
          <w:i/>
          <w:lang w:val="en-US"/>
        </w:rPr>
        <w:t xml:space="preserve"> </w:t>
      </w:r>
      <w:r w:rsidRPr="009F23CB">
        <w:rPr>
          <w:lang w:val="en-US"/>
        </w:rPr>
        <w:t xml:space="preserve">2009 SCC 33, [2009] 2 S.C.R. 460; </w:t>
      </w:r>
      <w:r w:rsidRPr="009F23CB">
        <w:rPr>
          <w:i/>
        </w:rPr>
        <w:t>R. v. Prosper</w:t>
      </w:r>
      <w:r w:rsidRPr="009F23CB">
        <w:t xml:space="preserve">, [1994] 3 S.C.R. 236; </w:t>
      </w:r>
      <w:r w:rsidRPr="009F23CB">
        <w:rPr>
          <w:i/>
        </w:rPr>
        <w:t>R. v. Ross</w:t>
      </w:r>
      <w:r w:rsidRPr="009F23CB">
        <w:t>, [1989] 1 S.C.R. 3;</w:t>
      </w:r>
      <w:r w:rsidR="00BB37F7" w:rsidRPr="009F23CB">
        <w:t xml:space="preserve"> </w:t>
      </w:r>
      <w:r w:rsidR="00BB37F7" w:rsidRPr="009F23CB">
        <w:rPr>
          <w:i/>
        </w:rPr>
        <w:t>R. v. Noel</w:t>
      </w:r>
      <w:r w:rsidR="00BB37F7" w:rsidRPr="009F23CB">
        <w:t xml:space="preserve">, 2019 ONCA 860; </w:t>
      </w:r>
      <w:r w:rsidR="00B44EE6" w:rsidRPr="009F23CB">
        <w:rPr>
          <w:i/>
        </w:rPr>
        <w:t>R. v. Burlingham</w:t>
      </w:r>
      <w:r w:rsidR="00B44EE6" w:rsidRPr="009F23CB">
        <w:t>, [1995] 2 S.C.R. 206</w:t>
      </w:r>
      <w:r w:rsidR="00F0761A" w:rsidRPr="009F23CB">
        <w:t>.</w:t>
      </w:r>
    </w:p>
    <w:p w14:paraId="119BC19B" w14:textId="54107377" w:rsidR="00A41805" w:rsidRPr="009F23CB" w:rsidRDefault="002E6705" w:rsidP="00371740">
      <w:pPr>
        <w:pStyle w:val="SCCNormalDoubleSpacing"/>
        <w:spacing w:after="720" w:line="240" w:lineRule="auto"/>
      </w:pPr>
      <w:r w:rsidRPr="009F23CB">
        <w:rPr>
          <w:b/>
        </w:rPr>
        <w:t>Statutes and Regulations Cite</w:t>
      </w:r>
      <w:r w:rsidR="00A41805" w:rsidRPr="009F23CB">
        <w:rPr>
          <w:b/>
        </w:rPr>
        <w:t>d</w:t>
      </w:r>
    </w:p>
    <w:p w14:paraId="1F5EFFC6" w14:textId="16F3AC6A" w:rsidR="00A149DF" w:rsidRPr="009F23CB" w:rsidRDefault="007E7FCA" w:rsidP="00371740">
      <w:pPr>
        <w:pStyle w:val="SCCNormalDoubleSpacing"/>
        <w:spacing w:after="240" w:line="240" w:lineRule="auto"/>
        <w:ind w:left="539" w:hanging="539"/>
      </w:pPr>
      <w:r w:rsidRPr="009F23CB">
        <w:rPr>
          <w:i/>
        </w:rPr>
        <w:t>Canadian Charter of Rights and Freedoms</w:t>
      </w:r>
      <w:r w:rsidRPr="009F23CB">
        <w:t>, ss. 7, 8, 9,</w:t>
      </w:r>
      <w:r w:rsidR="00957DDF" w:rsidRPr="009F23CB">
        <w:t xml:space="preserve"> 10(a), (b), 24</w:t>
      </w:r>
      <w:r w:rsidRPr="009F23CB">
        <w:t>.</w:t>
      </w:r>
    </w:p>
    <w:p w14:paraId="0D967224" w14:textId="02E707BE" w:rsidR="007E7FCA" w:rsidRPr="009F23CB" w:rsidRDefault="007E7FCA" w:rsidP="00371740">
      <w:pPr>
        <w:pStyle w:val="SCCNormalDoubleSpacing"/>
        <w:spacing w:after="240" w:line="240" w:lineRule="auto"/>
        <w:ind w:left="539" w:hanging="539"/>
        <w:rPr>
          <w:i/>
          <w:lang w:val="fr-CA"/>
        </w:rPr>
      </w:pPr>
      <w:r w:rsidRPr="009F23CB">
        <w:rPr>
          <w:i/>
          <w:lang w:val="fr-CA"/>
        </w:rPr>
        <w:t>Criminal Code</w:t>
      </w:r>
      <w:r w:rsidRPr="009F23CB">
        <w:rPr>
          <w:lang w:val="fr-CA"/>
        </w:rPr>
        <w:t xml:space="preserve">, R.S.C. 1985, c. C-46, </w:t>
      </w:r>
      <w:proofErr w:type="spellStart"/>
      <w:r w:rsidRPr="009F23CB">
        <w:rPr>
          <w:lang w:val="fr-CA"/>
        </w:rPr>
        <w:t>s</w:t>
      </w:r>
      <w:r w:rsidR="00F86DC1" w:rsidRPr="009F23CB">
        <w:rPr>
          <w:lang w:val="fr-CA"/>
        </w:rPr>
        <w:t>s</w:t>
      </w:r>
      <w:proofErr w:type="spellEnd"/>
      <w:r w:rsidRPr="009F23CB">
        <w:rPr>
          <w:lang w:val="fr-CA"/>
        </w:rPr>
        <w:t>. 495</w:t>
      </w:r>
      <w:r w:rsidR="00F86DC1" w:rsidRPr="009F23CB">
        <w:rPr>
          <w:lang w:val="fr-CA"/>
        </w:rPr>
        <w:t>, 503(1)</w:t>
      </w:r>
      <w:r w:rsidRPr="009F23CB">
        <w:rPr>
          <w:lang w:val="fr-CA"/>
        </w:rPr>
        <w:t>.</w:t>
      </w:r>
    </w:p>
    <w:p w14:paraId="20E9099E" w14:textId="7B5AABD3" w:rsidR="007E7FCA" w:rsidRPr="009F23CB" w:rsidRDefault="007E7FCA" w:rsidP="00371740">
      <w:pPr>
        <w:pStyle w:val="SCCNormalDoubleSpacing"/>
        <w:spacing w:after="720" w:line="240" w:lineRule="auto"/>
        <w:ind w:left="547" w:hanging="547"/>
      </w:pPr>
      <w:r w:rsidRPr="009F23CB">
        <w:rPr>
          <w:i/>
        </w:rPr>
        <w:t>Fatality Inquiries Act</w:t>
      </w:r>
      <w:r w:rsidR="00371740" w:rsidRPr="009F23CB">
        <w:t>, R.S.A. 2000, c. F</w:t>
      </w:r>
      <w:r w:rsidR="00371740" w:rsidRPr="009F23CB">
        <w:noBreakHyphen/>
      </w:r>
      <w:r w:rsidRPr="009F23CB">
        <w:t>9.</w:t>
      </w:r>
    </w:p>
    <w:p w14:paraId="48F29BC3" w14:textId="77777777" w:rsidR="002E6705" w:rsidRPr="009F23CB" w:rsidRDefault="002E6705" w:rsidP="00371740">
      <w:pPr>
        <w:pStyle w:val="SCCNormalDoubleSpacing"/>
        <w:spacing w:after="720" w:line="240" w:lineRule="auto"/>
        <w:rPr>
          <w:b/>
        </w:rPr>
      </w:pPr>
      <w:r w:rsidRPr="009F23CB">
        <w:rPr>
          <w:b/>
        </w:rPr>
        <w:t>Authors Cited</w:t>
      </w:r>
    </w:p>
    <w:p w14:paraId="2435F620" w14:textId="67B2028E" w:rsidR="007E7FCA" w:rsidRPr="009F23CB" w:rsidRDefault="00371740" w:rsidP="00371740">
      <w:pPr>
        <w:pStyle w:val="SCCNormalDoubleSpacing"/>
        <w:spacing w:after="240" w:line="240" w:lineRule="auto"/>
        <w:ind w:left="539" w:hanging="539"/>
      </w:pPr>
      <w:r w:rsidRPr="009F23CB">
        <w:t>Ewaschuk, E. </w:t>
      </w:r>
      <w:r w:rsidR="007E7FCA" w:rsidRPr="009F23CB">
        <w:t xml:space="preserve">G. </w:t>
      </w:r>
      <w:r w:rsidR="007E7FCA" w:rsidRPr="009F23CB">
        <w:rPr>
          <w:i/>
        </w:rPr>
        <w:t>Criminal Pleadings &amp; Practice in Canada</w:t>
      </w:r>
      <w:r w:rsidR="007E7FCA" w:rsidRPr="009F23CB">
        <w:t xml:space="preserve">, </w:t>
      </w:r>
      <w:r w:rsidR="00534D56" w:rsidRPr="009F23CB">
        <w:t>3rd</w:t>
      </w:r>
      <w:r w:rsidR="007E7FCA" w:rsidRPr="009F23CB">
        <w:t> ed. Toronto: Thomson Reuters, 2022 (</w:t>
      </w:r>
      <w:r w:rsidR="00534D56" w:rsidRPr="009F23CB">
        <w:t>loose-leaf updated September 2022, release 1</w:t>
      </w:r>
      <w:r w:rsidR="007E7FCA" w:rsidRPr="009F23CB">
        <w:t>).</w:t>
      </w:r>
    </w:p>
    <w:p w14:paraId="71653B1D" w14:textId="79156E93" w:rsidR="007E7FCA" w:rsidRPr="009F23CB" w:rsidRDefault="007E7FCA" w:rsidP="00371740">
      <w:pPr>
        <w:pStyle w:val="SCCNormalDoubleSpacing"/>
        <w:spacing w:after="240" w:line="240" w:lineRule="auto"/>
        <w:ind w:left="539" w:hanging="539"/>
      </w:pPr>
      <w:r w:rsidRPr="009F23CB">
        <w:rPr>
          <w:lang w:val="en-US"/>
        </w:rPr>
        <w:t xml:space="preserve">Marin, René J. </w:t>
      </w:r>
      <w:r w:rsidRPr="009F23CB">
        <w:rPr>
          <w:i/>
          <w:lang w:val="en-US"/>
        </w:rPr>
        <w:t>Admissibility of Statements</w:t>
      </w:r>
      <w:r w:rsidRPr="009F23CB">
        <w:rPr>
          <w:lang w:val="en-US"/>
        </w:rPr>
        <w:t>, 9th ed</w:t>
      </w:r>
      <w:r w:rsidR="00B03446" w:rsidRPr="009F23CB">
        <w:rPr>
          <w:lang w:val="en-US"/>
        </w:rPr>
        <w:t>. Toronto: Thomson Reuters, 1996</w:t>
      </w:r>
      <w:r w:rsidR="00371740" w:rsidRPr="009F23CB">
        <w:rPr>
          <w:lang w:val="en-US"/>
        </w:rPr>
        <w:t xml:space="preserve"> (loose</w:t>
      </w:r>
      <w:r w:rsidR="00371740" w:rsidRPr="009F23CB">
        <w:rPr>
          <w:lang w:val="en-US"/>
        </w:rPr>
        <w:noBreakHyphen/>
      </w:r>
      <w:r w:rsidRPr="009F23CB">
        <w:rPr>
          <w:lang w:val="en-US"/>
        </w:rPr>
        <w:t>leaf updated September 2022, release 2).</w:t>
      </w:r>
    </w:p>
    <w:p w14:paraId="566EB90C" w14:textId="663E97B5" w:rsidR="007E7FCA" w:rsidRPr="009F23CB" w:rsidRDefault="007E7FCA" w:rsidP="00371740">
      <w:pPr>
        <w:pStyle w:val="SCCNormalDoubleSpacing"/>
        <w:spacing w:after="240" w:line="240" w:lineRule="auto"/>
        <w:ind w:left="539" w:hanging="539"/>
        <w:rPr>
          <w:lang w:val="en-US"/>
        </w:rPr>
      </w:pPr>
      <w:r w:rsidRPr="009F23CB">
        <w:rPr>
          <w:i/>
          <w:iCs/>
          <w:lang w:val="en-US"/>
        </w:rPr>
        <w:t>McWilliams</w:t>
      </w:r>
      <w:r w:rsidR="009E380D" w:rsidRPr="009F23CB">
        <w:rPr>
          <w:i/>
          <w:iCs/>
          <w:lang w:val="en-US"/>
        </w:rPr>
        <w:t>’</w:t>
      </w:r>
      <w:r w:rsidRPr="009F23CB">
        <w:rPr>
          <w:i/>
          <w:iCs/>
          <w:lang w:val="en-US"/>
        </w:rPr>
        <w:t xml:space="preserve"> Canadian Criminal Evidence</w:t>
      </w:r>
      <w:r w:rsidRPr="009F23CB">
        <w:rPr>
          <w:lang w:val="en-US"/>
        </w:rPr>
        <w:t xml:space="preserve">, 5th ed. by S. Casey Hill, David M. Tanovich and Louis P. Strezos, eds. Toronto: Thomson Reuters, </w:t>
      </w:r>
      <w:r w:rsidR="00B03446" w:rsidRPr="009F23CB">
        <w:rPr>
          <w:lang w:val="en-US"/>
        </w:rPr>
        <w:t>2013</w:t>
      </w:r>
      <w:r w:rsidRPr="009F23CB">
        <w:rPr>
          <w:lang w:val="en-US"/>
        </w:rPr>
        <w:t xml:space="preserve"> (loose</w:t>
      </w:r>
      <w:r w:rsidRPr="009F23CB">
        <w:rPr>
          <w:lang w:val="en-US"/>
        </w:rPr>
        <w:noBreakHyphen/>
        <w:t>leaf updated July 2022, release 3).</w:t>
      </w:r>
    </w:p>
    <w:p w14:paraId="5240B917" w14:textId="77777777" w:rsidR="007E7FCA" w:rsidRPr="009F23CB" w:rsidRDefault="007E7FCA" w:rsidP="00371740">
      <w:pPr>
        <w:pStyle w:val="SCCNormalDoubleSpacing"/>
        <w:spacing w:after="240" w:line="240" w:lineRule="auto"/>
        <w:ind w:left="539" w:hanging="539"/>
        <w:rPr>
          <w:lang w:val="en-US"/>
        </w:rPr>
      </w:pPr>
      <w:r w:rsidRPr="009F23CB">
        <w:rPr>
          <w:lang w:val="en-US"/>
        </w:rPr>
        <w:t xml:space="preserve">Paciocco, David M., Palma Paciocco and Lee Stuesser. </w:t>
      </w:r>
      <w:r w:rsidRPr="009F23CB">
        <w:rPr>
          <w:i/>
          <w:lang w:val="en-US"/>
        </w:rPr>
        <w:t>The Law of Evidence</w:t>
      </w:r>
      <w:r w:rsidRPr="009F23CB">
        <w:rPr>
          <w:lang w:val="en-US"/>
        </w:rPr>
        <w:t>, 8th ed. Toronto: Irwin Law, 2020.</w:t>
      </w:r>
    </w:p>
    <w:p w14:paraId="3C6DC49A" w14:textId="77777777" w:rsidR="007E7FCA" w:rsidRPr="009F23CB" w:rsidRDefault="007E7FCA" w:rsidP="00371740">
      <w:pPr>
        <w:pStyle w:val="SCCNormalDoubleSpacing"/>
        <w:spacing w:after="240" w:line="240" w:lineRule="auto"/>
        <w:ind w:left="539" w:hanging="539"/>
      </w:pPr>
      <w:r w:rsidRPr="009F23CB">
        <w:rPr>
          <w:lang w:val="en-US"/>
        </w:rPr>
        <w:t xml:space="preserve">Penney, Steven, Vincenzo Rondinelli and James Stribopoulos. </w:t>
      </w:r>
      <w:r w:rsidRPr="009F23CB">
        <w:rPr>
          <w:i/>
          <w:lang w:val="en-US"/>
        </w:rPr>
        <w:t>Criminal Procedure in Canada</w:t>
      </w:r>
      <w:r w:rsidRPr="009F23CB">
        <w:rPr>
          <w:lang w:val="en-US"/>
        </w:rPr>
        <w:t>, 3rd ed. Toronto: LexisNexis, 2022.</w:t>
      </w:r>
    </w:p>
    <w:p w14:paraId="18AAF96F" w14:textId="75475A0E" w:rsidR="007E7FCA" w:rsidRPr="009F23CB" w:rsidRDefault="007E7FCA" w:rsidP="00371740">
      <w:pPr>
        <w:pStyle w:val="SCCNormalDoubleSpacing"/>
        <w:spacing w:after="240" w:line="240" w:lineRule="auto"/>
        <w:ind w:left="539" w:hanging="539"/>
        <w:rPr>
          <w:lang w:val="en-US"/>
        </w:rPr>
      </w:pPr>
      <w:r w:rsidRPr="009F23CB">
        <w:rPr>
          <w:lang w:val="en-US"/>
        </w:rPr>
        <w:t xml:space="preserve">Sankoff, Peter J. </w:t>
      </w:r>
      <w:r w:rsidRPr="009F23CB">
        <w:rPr>
          <w:i/>
          <w:lang w:val="en-US"/>
        </w:rPr>
        <w:t>The Law of Witnesses and Evidence in Canada</w:t>
      </w:r>
      <w:r w:rsidRPr="009F23CB">
        <w:rPr>
          <w:lang w:val="en-US"/>
        </w:rPr>
        <w:t xml:space="preserve">. Toronto: Thomson Reuters, </w:t>
      </w:r>
      <w:r w:rsidR="00B03446" w:rsidRPr="009F23CB">
        <w:rPr>
          <w:lang w:val="en-US"/>
        </w:rPr>
        <w:t>1991</w:t>
      </w:r>
      <w:r w:rsidRPr="009F23CB">
        <w:rPr>
          <w:lang w:val="en-US"/>
        </w:rPr>
        <w:t xml:space="preserve"> (loose-leaf updated September 2022, release 3).</w:t>
      </w:r>
    </w:p>
    <w:p w14:paraId="7F2A21D6" w14:textId="0E38B1A5" w:rsidR="00A149DF" w:rsidRPr="009F23CB" w:rsidRDefault="007E7FCA" w:rsidP="00371740">
      <w:pPr>
        <w:pStyle w:val="SCCNormalDoubleSpacing"/>
        <w:spacing w:after="720" w:line="240" w:lineRule="auto"/>
        <w:ind w:left="547" w:hanging="547"/>
        <w:rPr>
          <w:lang w:val="en-US"/>
        </w:rPr>
      </w:pPr>
      <w:r w:rsidRPr="009F23CB">
        <w:rPr>
          <w:lang w:val="en-US"/>
        </w:rPr>
        <w:t xml:space="preserve">Watt, David. </w:t>
      </w:r>
      <w:r w:rsidRPr="009F23CB">
        <w:rPr>
          <w:i/>
          <w:lang w:val="en-US"/>
        </w:rPr>
        <w:t>Watt</w:t>
      </w:r>
      <w:r w:rsidR="009E380D" w:rsidRPr="009F23CB">
        <w:rPr>
          <w:i/>
          <w:lang w:val="en-US"/>
        </w:rPr>
        <w:t>’</w:t>
      </w:r>
      <w:r w:rsidRPr="009F23CB">
        <w:rPr>
          <w:i/>
          <w:lang w:val="en-US"/>
        </w:rPr>
        <w:t>s Manual of Criminal Evidence</w:t>
      </w:r>
      <w:r w:rsidRPr="009F23CB">
        <w:rPr>
          <w:lang w:val="en-US"/>
        </w:rPr>
        <w:t>. Toronto: Thomson Reuters, 2021.</w:t>
      </w:r>
    </w:p>
    <w:p w14:paraId="0E610F2C" w14:textId="18056436" w:rsidR="00C40781" w:rsidRPr="009F23CB" w:rsidRDefault="009B57B3" w:rsidP="00371740">
      <w:pPr>
        <w:pStyle w:val="SCCNormalDoubleSpacing"/>
        <w:spacing w:after="480"/>
      </w:pPr>
      <w:r w:rsidRPr="009F23CB">
        <w:tab/>
        <w:t>APPEAL</w:t>
      </w:r>
      <w:r w:rsidR="00C76B2B" w:rsidRPr="009F23CB">
        <w:t>S</w:t>
      </w:r>
      <w:r w:rsidRPr="009F23CB">
        <w:t xml:space="preserve"> from a judgment of the </w:t>
      </w:r>
      <w:r w:rsidR="003F425C" w:rsidRPr="009F23CB">
        <w:t>Alberta Court of Appeal</w:t>
      </w:r>
      <w:r w:rsidR="00C76B2B" w:rsidRPr="009F23CB">
        <w:t xml:space="preserve"> (O</w:t>
      </w:r>
      <w:r w:rsidR="009E380D" w:rsidRPr="009F23CB">
        <w:t>’</w:t>
      </w:r>
      <w:r w:rsidR="00C76B2B" w:rsidRPr="009F23CB">
        <w:t xml:space="preserve">Ferrall, Wakeling and Feehan JJ.A.), </w:t>
      </w:r>
      <w:hyperlink r:id="rId9" w:history="1">
        <w:r w:rsidR="00C76B2B" w:rsidRPr="009F23CB">
          <w:rPr>
            <w:rStyle w:val="Hyperlink"/>
          </w:rPr>
          <w:t>2020 ABCA 203</w:t>
        </w:r>
      </w:hyperlink>
      <w:r w:rsidR="00C76B2B" w:rsidRPr="009F23CB">
        <w:t xml:space="preserve">, 4 Alta. L.R. (7th) 301, [2020] 7 W.W.R. 550, 393 C.C.C. (3d) 175, </w:t>
      </w:r>
      <w:r w:rsidR="003F425C" w:rsidRPr="009F23CB">
        <w:t xml:space="preserve">459 C.R.R. (2d) 105, </w:t>
      </w:r>
      <w:r w:rsidR="00C76B2B" w:rsidRPr="009F23CB">
        <w:t xml:space="preserve">[2020] A.J. No. 581 (QL), 2020 CarswellAlta 933 (WL), </w:t>
      </w:r>
      <w:r w:rsidR="00C40781" w:rsidRPr="009F23CB">
        <w:t xml:space="preserve">affirming a decision of Yamauchi J., 2019 ABQB 125, 88 Alta. L.R. (6th) 337, [2019] 12 W.W.R. 320, 431 C.R.R. (2d) 14, </w:t>
      </w:r>
      <w:r w:rsidR="003F425C" w:rsidRPr="009F23CB">
        <w:t>[2019] A.J. No. </w:t>
      </w:r>
      <w:r w:rsidR="00C40781" w:rsidRPr="009F23CB">
        <w:t>257 (QL), 2019 CarswellAlta 358 (WL).</w:t>
      </w:r>
      <w:r w:rsidR="003F425C" w:rsidRPr="009F23CB">
        <w:t xml:space="preserve"> Appeals </w:t>
      </w:r>
      <w:r w:rsidR="00E12556" w:rsidRPr="009F23CB">
        <w:t>dismissed</w:t>
      </w:r>
      <w:r w:rsidR="00D82EAC" w:rsidRPr="009F23CB">
        <w:t>, Karakatsanis, Côté, Brown and Martin</w:t>
      </w:r>
      <w:r w:rsidR="00D82EAC" w:rsidRPr="009F23CB">
        <w:rPr>
          <w:b/>
        </w:rPr>
        <w:t xml:space="preserve"> </w:t>
      </w:r>
      <w:r w:rsidR="00D82EAC" w:rsidRPr="009F23CB">
        <w:t xml:space="preserve">JJ. </w:t>
      </w:r>
      <w:proofErr w:type="gramStart"/>
      <w:r w:rsidR="00D82EAC" w:rsidRPr="009F23CB">
        <w:t>dissenting</w:t>
      </w:r>
      <w:proofErr w:type="gramEnd"/>
      <w:r w:rsidR="003F425C" w:rsidRPr="009F23CB">
        <w:t>.</w:t>
      </w:r>
    </w:p>
    <w:p w14:paraId="7378F04B" w14:textId="77777777" w:rsidR="00E815BE" w:rsidRPr="009F23CB" w:rsidRDefault="00CA06C9" w:rsidP="00371740">
      <w:pPr>
        <w:pStyle w:val="SCCNormalDoubleSpacing"/>
        <w:spacing w:after="480"/>
        <w:rPr>
          <w:rStyle w:val="SCCCounselPartyRoleChar"/>
        </w:rPr>
      </w:pPr>
      <w:r w:rsidRPr="009F23CB">
        <w:rPr>
          <w:rStyle w:val="SCCCounselNameChar"/>
        </w:rPr>
        <w:tab/>
      </w:r>
      <w:r w:rsidR="00E920B2" w:rsidRPr="009F23CB">
        <w:rPr>
          <w:rStyle w:val="SCCCounselNameChar"/>
        </w:rPr>
        <w:t>Sarah Rankin</w:t>
      </w:r>
      <w:r w:rsidR="00E920B2" w:rsidRPr="009F23CB">
        <w:rPr>
          <w:rStyle w:val="SCCCounselNameChar"/>
          <w:i w:val="0"/>
        </w:rPr>
        <w:t xml:space="preserve"> and </w:t>
      </w:r>
      <w:r w:rsidRPr="009F23CB">
        <w:rPr>
          <w:rStyle w:val="SCCCounselNameChar"/>
        </w:rPr>
        <w:t>Kelsey Sitar</w:t>
      </w:r>
      <w:r w:rsidRPr="009F23CB">
        <w:rPr>
          <w:rStyle w:val="SCCCounselPartyRoleChar"/>
        </w:rPr>
        <w:t>, for the appellant</w:t>
      </w:r>
      <w:r w:rsidR="00071E59" w:rsidRPr="009F23CB">
        <w:rPr>
          <w:rStyle w:val="SCCCounselPartyRoleChar"/>
        </w:rPr>
        <w:t xml:space="preserve"> James Andrew Beaver</w:t>
      </w:r>
      <w:r w:rsidRPr="009F23CB">
        <w:rPr>
          <w:rStyle w:val="SCCCounselPartyRoleChar"/>
        </w:rPr>
        <w:t>.</w:t>
      </w:r>
    </w:p>
    <w:p w14:paraId="0C5006DC" w14:textId="77777777" w:rsidR="00E815BE" w:rsidRPr="009F23CB" w:rsidRDefault="00DB045D" w:rsidP="00371740">
      <w:pPr>
        <w:pStyle w:val="SCCNormalDoubleSpacing"/>
        <w:spacing w:after="480"/>
      </w:pPr>
      <w:r w:rsidRPr="009F23CB">
        <w:rPr>
          <w:i/>
        </w:rPr>
        <w:tab/>
        <w:t>Jennifer Ruttan</w:t>
      </w:r>
      <w:r w:rsidRPr="009F23CB">
        <w:t xml:space="preserve"> and </w:t>
      </w:r>
      <w:r w:rsidRPr="009F23CB">
        <w:rPr>
          <w:i/>
        </w:rPr>
        <w:t>Michael Bates</w:t>
      </w:r>
      <w:r w:rsidRPr="009F23CB">
        <w:t>, for the appellant</w:t>
      </w:r>
      <w:r w:rsidR="00071E59" w:rsidRPr="009F23CB">
        <w:t xml:space="preserve"> Brian John Lambert</w:t>
      </w:r>
      <w:r w:rsidRPr="009F23CB">
        <w:t>.</w:t>
      </w:r>
    </w:p>
    <w:p w14:paraId="7B7D598B" w14:textId="77777777" w:rsidR="00E815BE" w:rsidRPr="009F23CB" w:rsidRDefault="00CA06C9" w:rsidP="00371740">
      <w:pPr>
        <w:pStyle w:val="SCCNormalDoubleSpacing"/>
        <w:spacing w:after="480"/>
      </w:pPr>
      <w:r w:rsidRPr="009F23CB">
        <w:rPr>
          <w:rStyle w:val="SCCCounselNameChar"/>
        </w:rPr>
        <w:tab/>
      </w:r>
      <w:r w:rsidR="0054408D" w:rsidRPr="009F23CB">
        <w:rPr>
          <w:rStyle w:val="SCCCounselNameChar"/>
        </w:rPr>
        <w:t>Rajbir Dhillon</w:t>
      </w:r>
      <w:r w:rsidR="0054408D" w:rsidRPr="009F23CB">
        <w:rPr>
          <w:rStyle w:val="SCCCounselNameChar"/>
          <w:i w:val="0"/>
        </w:rPr>
        <w:t xml:space="preserve"> and </w:t>
      </w:r>
      <w:r w:rsidRPr="009F23CB">
        <w:rPr>
          <w:rStyle w:val="SCCCounselNameChar"/>
        </w:rPr>
        <w:t>Andrew Barg</w:t>
      </w:r>
      <w:r w:rsidRPr="009F23CB">
        <w:rPr>
          <w:rStyle w:val="SCCCounselPartyRoleChar"/>
        </w:rPr>
        <w:t>, for the respondent.</w:t>
      </w:r>
    </w:p>
    <w:p w14:paraId="62E70B53" w14:textId="77777777" w:rsidR="00E815BE" w:rsidRPr="009F23CB" w:rsidRDefault="00CA06C9" w:rsidP="00371740">
      <w:pPr>
        <w:pStyle w:val="SCCNormalDoubleSpacing"/>
        <w:spacing w:after="480"/>
      </w:pPr>
      <w:r w:rsidRPr="009F23CB">
        <w:rPr>
          <w:rStyle w:val="SCCCounselNameChar"/>
        </w:rPr>
        <w:tab/>
        <w:t>Mabel Lai</w:t>
      </w:r>
      <w:r w:rsidRPr="009F23CB">
        <w:rPr>
          <w:rStyle w:val="SCCCounselSeparatorChar"/>
        </w:rPr>
        <w:t xml:space="preserve"> and </w:t>
      </w:r>
      <w:r w:rsidRPr="009F23CB">
        <w:rPr>
          <w:rStyle w:val="SCCCounselNameChar"/>
        </w:rPr>
        <w:t>Nicholas Hay</w:t>
      </w:r>
      <w:r w:rsidRPr="009F23CB">
        <w:rPr>
          <w:rStyle w:val="SCCCounselPartyRoleChar"/>
        </w:rPr>
        <w:t xml:space="preserve">, for the intervener </w:t>
      </w:r>
      <w:r w:rsidR="00E920B2" w:rsidRPr="009F23CB">
        <w:rPr>
          <w:rStyle w:val="SCCCounselPartyRoleChar"/>
        </w:rPr>
        <w:t xml:space="preserve">the </w:t>
      </w:r>
      <w:r w:rsidRPr="009F23CB">
        <w:rPr>
          <w:rStyle w:val="SCCCounselPartyRoleChar"/>
        </w:rPr>
        <w:t>Attorney General of Ontario.</w:t>
      </w:r>
    </w:p>
    <w:p w14:paraId="26628B8E" w14:textId="77777777" w:rsidR="00E815BE" w:rsidRPr="009F23CB" w:rsidRDefault="00CA06C9" w:rsidP="009F23CB">
      <w:pPr>
        <w:pStyle w:val="SCCNormalDoubleSpacing"/>
        <w:spacing w:after="480"/>
      </w:pPr>
      <w:r w:rsidRPr="009F23CB">
        <w:rPr>
          <w:rStyle w:val="SCCCounselNameChar"/>
        </w:rPr>
        <w:tab/>
        <w:t>Samara Secter</w:t>
      </w:r>
      <w:r w:rsidRPr="009F23CB">
        <w:rPr>
          <w:rStyle w:val="SCCCounselSeparatorChar"/>
        </w:rPr>
        <w:t xml:space="preserve"> and </w:t>
      </w:r>
      <w:r w:rsidRPr="009F23CB">
        <w:rPr>
          <w:rStyle w:val="SCCCounselNameChar"/>
        </w:rPr>
        <w:t>Reakash Walters</w:t>
      </w:r>
      <w:r w:rsidRPr="009F23CB">
        <w:rPr>
          <w:rStyle w:val="SCCCounselPartyRoleChar"/>
        </w:rPr>
        <w:t xml:space="preserve">, for the intervener </w:t>
      </w:r>
      <w:r w:rsidR="00E920B2" w:rsidRPr="009F23CB">
        <w:rPr>
          <w:rStyle w:val="SCCCounselPartyRoleChar"/>
        </w:rPr>
        <w:t xml:space="preserve">the </w:t>
      </w:r>
      <w:r w:rsidRPr="009F23CB">
        <w:rPr>
          <w:rStyle w:val="SCCCounselPartyRoleChar"/>
        </w:rPr>
        <w:t>Canadian Civil Liberties Association.</w:t>
      </w:r>
    </w:p>
    <w:p w14:paraId="739CA667" w14:textId="77777777" w:rsidR="009F23CB" w:rsidRPr="009F23CB" w:rsidRDefault="009F23CB" w:rsidP="009F23CB">
      <w:pPr>
        <w:ind w:left="1134"/>
        <w:rPr>
          <w:szCs w:val="24"/>
        </w:rPr>
      </w:pPr>
      <w:r w:rsidRPr="009F23CB">
        <w:rPr>
          <w:szCs w:val="24"/>
        </w:rPr>
        <w:t xml:space="preserve">The judgment of Wagner C.J. and Moldaver, Rowe, Kasirer and Jamal JJ. </w:t>
      </w:r>
      <w:proofErr w:type="gramStart"/>
      <w:r w:rsidRPr="009F23CB">
        <w:rPr>
          <w:szCs w:val="24"/>
        </w:rPr>
        <w:t>was</w:t>
      </w:r>
      <w:proofErr w:type="gramEnd"/>
      <w:r w:rsidRPr="009F23CB">
        <w:rPr>
          <w:szCs w:val="24"/>
        </w:rPr>
        <w:t xml:space="preserve"> delivered by</w:t>
      </w:r>
    </w:p>
    <w:p w14:paraId="7C26E9A5" w14:textId="77777777" w:rsidR="009F23CB" w:rsidRPr="009F23CB" w:rsidRDefault="009F23CB" w:rsidP="009F23CB">
      <w:pPr>
        <w:rPr>
          <w:szCs w:val="24"/>
        </w:rPr>
      </w:pPr>
    </w:p>
    <w:p w14:paraId="11A437AE" w14:textId="77777777" w:rsidR="009F23CB" w:rsidRPr="009F23CB" w:rsidRDefault="009F23CB" w:rsidP="003854A2">
      <w:pPr>
        <w:pStyle w:val="JudgeJuge"/>
        <w:tabs>
          <w:tab w:val="clear" w:pos="1260"/>
          <w:tab w:val="left" w:pos="1134"/>
        </w:tabs>
      </w:pPr>
      <w:r w:rsidRPr="009F23CB">
        <w:tab/>
        <w:t xml:space="preserve">Jamal J. — </w:t>
      </w:r>
    </w:p>
    <w:p w14:paraId="63F8DA43" w14:textId="77777777" w:rsidR="009F23CB" w:rsidRPr="009F23CB" w:rsidRDefault="009F23CB" w:rsidP="009F23CB">
      <w:pPr>
        <w:pStyle w:val="Title1LevelTitre1Niveau-AltL"/>
        <w:jc w:val="both"/>
        <w:rPr>
          <w:rFonts w:cs="Times New Roman"/>
        </w:rPr>
      </w:pPr>
      <w:bookmarkStart w:id="0" w:name="_Toc109915175"/>
      <w:bookmarkStart w:id="1" w:name="_Toc109490365"/>
      <w:bookmarkStart w:id="2" w:name="_Toc110968658"/>
      <w:r w:rsidRPr="009F23CB">
        <w:rPr>
          <w:rFonts w:cs="Times New Roman"/>
        </w:rPr>
        <w:t>Introduction</w:t>
      </w:r>
      <w:bookmarkEnd w:id="0"/>
      <w:bookmarkEnd w:id="1"/>
      <w:bookmarkEnd w:id="2"/>
    </w:p>
    <w:p w14:paraId="5CDA2430" w14:textId="77777777" w:rsidR="009F23CB" w:rsidRPr="009F23CB" w:rsidRDefault="009F23CB" w:rsidP="009F23CB">
      <w:pPr>
        <w:pStyle w:val="ParaNoNdepar-AltN"/>
        <w:rPr>
          <w:rFonts w:cs="Times New Roman"/>
        </w:rPr>
      </w:pPr>
      <w:r w:rsidRPr="009F23CB">
        <w:rPr>
          <w:rFonts w:cs="Times New Roman"/>
        </w:rPr>
        <w:t xml:space="preserve">At the heart of these appeals is the balance between the protection of the rights of the accused in the criminal process and society’s interest in the effective investigation and prosecution of serious crimes. The appeals raise three issues: (1) the voluntariness of one of the appellants’ confessions under the common law confessions rule; (2) whether the police had reasonable and probable grounds to arrest the appellants for murder; and (3) whether the appellants’ confessions were “obtained in a manner” that breached the </w:t>
      </w:r>
      <w:r w:rsidRPr="009F23CB">
        <w:rPr>
          <w:rFonts w:cs="Times New Roman"/>
          <w:i/>
        </w:rPr>
        <w:t>Canadian Charter of Rights and Freedoms</w:t>
      </w:r>
      <w:r w:rsidRPr="009F23CB">
        <w:rPr>
          <w:rFonts w:cs="Times New Roman"/>
        </w:rPr>
        <w:t xml:space="preserve"> because the police failed to make a “fresh start” from earlier </w:t>
      </w:r>
      <w:r w:rsidRPr="009F23CB">
        <w:rPr>
          <w:rFonts w:cs="Times New Roman"/>
          <w:i/>
        </w:rPr>
        <w:t>Charter</w:t>
      </w:r>
      <w:r w:rsidRPr="009F23CB">
        <w:rPr>
          <w:rFonts w:cs="Times New Roman"/>
        </w:rPr>
        <w:t xml:space="preserve"> breaches, and if their confessions were so obtained, whether they must be excluded under s. 24(2).</w:t>
      </w:r>
    </w:p>
    <w:p w14:paraId="37AB3C33" w14:textId="77777777" w:rsidR="009F23CB" w:rsidRPr="009F23CB" w:rsidRDefault="009F23CB" w:rsidP="009F23CB">
      <w:pPr>
        <w:pStyle w:val="ParaNoNdepar-AltN"/>
        <w:rPr>
          <w:rFonts w:cs="Times New Roman"/>
        </w:rPr>
      </w:pPr>
      <w:r w:rsidRPr="009F23CB">
        <w:rPr>
          <w:rFonts w:cs="Times New Roman"/>
        </w:rPr>
        <w:t>The appellants, Brian John Lambert and James Andrew Beaver, shared a townhouse in Calgary with the deceased, Sutton Bowers. One morning, Lambert called 9-1-1 and alleged that he and Beaver had arrived home to find Bowers dead in a puddle of blood. Lambert told the 9-1-1 operator that they did not know how Bowers had died, but he admitted that there had been “altercations all week”, including the night before when Bowers had told both Lambert and Beaver to “get the hell out” (R.R., at pp. 17-18). The operator told Lambert that the townhouse would be treated as a crime scene for now.</w:t>
      </w:r>
    </w:p>
    <w:p w14:paraId="3F31468C" w14:textId="77777777" w:rsidR="009F23CB" w:rsidRPr="009F23CB" w:rsidRDefault="009F23CB" w:rsidP="009F23CB">
      <w:pPr>
        <w:pStyle w:val="ParaNoNdepar-AltN"/>
        <w:rPr>
          <w:rFonts w:cs="Times New Roman"/>
        </w:rPr>
      </w:pPr>
      <w:r w:rsidRPr="009F23CB">
        <w:rPr>
          <w:rFonts w:cs="Times New Roman"/>
        </w:rPr>
        <w:t xml:space="preserve">It is not disputed that the police officers who attended the scene in response to the 9-1-1 call breached the appellants’ </w:t>
      </w:r>
      <w:r w:rsidRPr="009F23CB">
        <w:rPr>
          <w:rFonts w:cs="Times New Roman"/>
          <w:i/>
        </w:rPr>
        <w:t>Charter</w:t>
      </w:r>
      <w:r w:rsidRPr="009F23CB">
        <w:rPr>
          <w:rFonts w:cs="Times New Roman"/>
        </w:rPr>
        <w:t xml:space="preserve"> rights by detaining them and taking them to the police station without lawful authority. It is also not disputed that when homicide detectives realized that their colleagues had unlawfully detained the appellants, they promptly tried to make a “fresh start” by advising them of their </w:t>
      </w:r>
      <w:r w:rsidRPr="009F23CB">
        <w:rPr>
          <w:rFonts w:cs="Times New Roman"/>
          <w:i/>
        </w:rPr>
        <w:t>Charter</w:t>
      </w:r>
      <w:r w:rsidRPr="009F23CB">
        <w:rPr>
          <w:rFonts w:cs="Times New Roman"/>
        </w:rPr>
        <w:t xml:space="preserve"> rights and then arresting them for murder. When questioned separately, the appellants initially denied any knowledge of how Bowers had died. Eventually, however, they both confessed to killing Bowers during a fight, mopping up his blood, and dragging his body to the bottom of the stairs to make his death look like an accident. At issue at trial was the admissibility of these confessions.</w:t>
      </w:r>
    </w:p>
    <w:p w14:paraId="606C306A" w14:textId="77777777" w:rsidR="009F23CB" w:rsidRPr="009F23CB" w:rsidRDefault="009F23CB" w:rsidP="009F23CB">
      <w:pPr>
        <w:pStyle w:val="ParaNoNdepar-AltN"/>
        <w:rPr>
          <w:rFonts w:cs="Times New Roman"/>
        </w:rPr>
      </w:pPr>
      <w:r w:rsidRPr="009F23CB">
        <w:rPr>
          <w:rFonts w:cs="Times New Roman"/>
        </w:rPr>
        <w:t xml:space="preserve">At trial, the appellants argued that their confessions were involuntary and thus inadmissible under the common law confessions rule. The appellants also asserted that the police lacked reasonable and probable grounds to arrest them for murder. In the alternative, the appellants claimed that because the homicide detectives had failed to make a “fresh start” from the </w:t>
      </w:r>
      <w:r w:rsidRPr="009F23CB">
        <w:rPr>
          <w:rFonts w:cs="Times New Roman"/>
          <w:i/>
        </w:rPr>
        <w:t>Charter</w:t>
      </w:r>
      <w:r w:rsidRPr="009F23CB">
        <w:rPr>
          <w:rFonts w:cs="Times New Roman"/>
        </w:rPr>
        <w:t xml:space="preserve"> breaches that stemmed from the appellants’ unlawful detention, their confessions were obtained in a manner that breached the </w:t>
      </w:r>
      <w:r w:rsidRPr="009F23CB">
        <w:rPr>
          <w:rFonts w:cs="Times New Roman"/>
          <w:i/>
        </w:rPr>
        <w:t>Charter</w:t>
      </w:r>
      <w:r w:rsidRPr="009F23CB">
        <w:rPr>
          <w:rFonts w:cs="Times New Roman"/>
        </w:rPr>
        <w:t xml:space="preserve"> and must be excluded under s. 24(2).</w:t>
      </w:r>
    </w:p>
    <w:p w14:paraId="318A3E42" w14:textId="77777777" w:rsidR="009F23CB" w:rsidRPr="009F23CB" w:rsidRDefault="009F23CB" w:rsidP="009F23CB">
      <w:pPr>
        <w:pStyle w:val="ParaNoNdepar-AltN"/>
        <w:rPr>
          <w:rFonts w:cs="Times New Roman"/>
        </w:rPr>
      </w:pPr>
      <w:r w:rsidRPr="009F23CB">
        <w:rPr>
          <w:rFonts w:cs="Times New Roman"/>
        </w:rPr>
        <w:t xml:space="preserve">On </w:t>
      </w:r>
      <w:r w:rsidRPr="009F23CB">
        <w:rPr>
          <w:rFonts w:cs="Times New Roman"/>
          <w:i/>
        </w:rPr>
        <w:t>voir dire</w:t>
      </w:r>
      <w:r w:rsidRPr="009F23CB">
        <w:rPr>
          <w:rFonts w:cs="Times New Roman"/>
        </w:rPr>
        <w:t xml:space="preserve">, the Court of Queen’s Bench of Alberta disagreed with the appellants and admitted their confessions into evidence (2019 ABQB 125, 88 Alta. L.R. (6th) 337). Based on this decision, the appellants entered an agreed statement of facts in which they admitted their role in the killing and invited the trial judge to convict them as co-principals to manslaughter. The trial judge did so and sentenced each to four years’ imprisonment (2019 ABQB 235). The Court of Appeal of Alberta dismissed the appellants’ appeals from conviction (2020 ABCA 203, 4 Alta. L.R. (7th) 301) and sentence (2021 ABCA 227). The appellants now appeal their convictions to this Court with leave. Only Beaver appeals the voluntariness of his confession. Both Beaver and Lambert claim that their confessions should be excluded under s. 24(2) of the </w:t>
      </w:r>
      <w:r w:rsidRPr="009F23CB">
        <w:rPr>
          <w:rFonts w:cs="Times New Roman"/>
          <w:i/>
        </w:rPr>
        <w:t>Charter</w:t>
      </w:r>
      <w:r w:rsidRPr="009F23CB">
        <w:rPr>
          <w:rFonts w:cs="Times New Roman"/>
        </w:rPr>
        <w:t>.</w:t>
      </w:r>
    </w:p>
    <w:p w14:paraId="1F832519" w14:textId="77777777" w:rsidR="009F23CB" w:rsidRPr="009F23CB" w:rsidRDefault="009F23CB" w:rsidP="009F23CB">
      <w:pPr>
        <w:pStyle w:val="ParaNoNdepar-AltN"/>
        <w:rPr>
          <w:rFonts w:cs="Times New Roman"/>
        </w:rPr>
      </w:pPr>
      <w:r w:rsidRPr="009F23CB">
        <w:rPr>
          <w:rFonts w:cs="Times New Roman"/>
        </w:rPr>
        <w:t xml:space="preserve">I would dismiss the appeals, but for somewhat different reasons than the decisions under appeal. As I will explain, I agree with the lower courts that Beaver’s confession was voluntary and thus admissible under the common law confessions rule. I also agree that the police had reasonable and probable grounds to arrest the appellants for murder. However, I find that the homicide detectives made a “fresh start” from the </w:t>
      </w:r>
      <w:r w:rsidRPr="009F23CB">
        <w:rPr>
          <w:rFonts w:cs="Times New Roman"/>
          <w:i/>
        </w:rPr>
        <w:t>Charter</w:t>
      </w:r>
      <w:r w:rsidRPr="009F23CB">
        <w:rPr>
          <w:rFonts w:cs="Times New Roman"/>
        </w:rPr>
        <w:t xml:space="preserve"> breaches arising from the appellants’ unlawful detention for Lambert but not for Beaver. Thus, only Beaver’s confession was obtained in a manner that breached the </w:t>
      </w:r>
      <w:r w:rsidRPr="009F23CB">
        <w:rPr>
          <w:rFonts w:cs="Times New Roman"/>
          <w:i/>
        </w:rPr>
        <w:t>Charter</w:t>
      </w:r>
      <w:r w:rsidRPr="009F23CB">
        <w:rPr>
          <w:rFonts w:cs="Times New Roman"/>
        </w:rPr>
        <w:t xml:space="preserve">. Balancing the lines of inquiry under s. 24(2) of the </w:t>
      </w:r>
      <w:r w:rsidRPr="009F23CB">
        <w:rPr>
          <w:rFonts w:cs="Times New Roman"/>
          <w:i/>
        </w:rPr>
        <w:t>Charter</w:t>
      </w:r>
      <w:r w:rsidRPr="009F23CB">
        <w:rPr>
          <w:rFonts w:cs="Times New Roman"/>
        </w:rPr>
        <w:t>, I conclude that admitting Beaver’s confession into evidence would not bring the administration of justice into disrepute. I would thus confirm the appellants’ convictions for manslaughter.</w:t>
      </w:r>
    </w:p>
    <w:p w14:paraId="0532EFA0" w14:textId="77777777" w:rsidR="009F23CB" w:rsidRPr="009F23CB" w:rsidRDefault="009F23CB" w:rsidP="009F23CB">
      <w:pPr>
        <w:pStyle w:val="Title1LevelTitre1Niveau-AltL"/>
        <w:jc w:val="both"/>
        <w:rPr>
          <w:rFonts w:cs="Times New Roman"/>
        </w:rPr>
      </w:pPr>
      <w:bookmarkStart w:id="3" w:name="_Toc109490366"/>
      <w:bookmarkStart w:id="4" w:name="_Toc109915176"/>
      <w:bookmarkStart w:id="5" w:name="_Toc110968659"/>
      <w:r w:rsidRPr="009F23CB">
        <w:rPr>
          <w:rFonts w:cs="Times New Roman"/>
        </w:rPr>
        <w:t>Background Facts</w:t>
      </w:r>
      <w:bookmarkEnd w:id="3"/>
      <w:bookmarkEnd w:id="4"/>
      <w:bookmarkEnd w:id="5"/>
    </w:p>
    <w:p w14:paraId="0E1F81CE" w14:textId="77777777" w:rsidR="009F23CB" w:rsidRPr="009F23CB" w:rsidRDefault="009F23CB" w:rsidP="009F23CB">
      <w:pPr>
        <w:pStyle w:val="Title2LevelTitre2Niveau"/>
        <w:rPr>
          <w:rFonts w:cs="Times New Roman"/>
        </w:rPr>
      </w:pPr>
      <w:bookmarkStart w:id="6" w:name="_Toc109915177"/>
      <w:r w:rsidRPr="009F23CB">
        <w:rPr>
          <w:rFonts w:cs="Times New Roman"/>
        </w:rPr>
        <w:t>Three Roommates: Bowers, Lambert, and Beaver</w:t>
      </w:r>
      <w:bookmarkEnd w:id="6"/>
    </w:p>
    <w:p w14:paraId="69C3638C" w14:textId="77777777" w:rsidR="009F23CB" w:rsidRPr="009F23CB" w:rsidRDefault="009F23CB" w:rsidP="009F23CB">
      <w:pPr>
        <w:pStyle w:val="ParaNoNdepar-AltN"/>
        <w:rPr>
          <w:rFonts w:cs="Times New Roman"/>
        </w:rPr>
      </w:pPr>
      <w:r w:rsidRPr="009F23CB">
        <w:rPr>
          <w:rFonts w:cs="Times New Roman"/>
        </w:rPr>
        <w:t>The appellants, Lambert and Beaver, and the deceased, Bowers, were roommates in a townhouse in Calgary. Bowers was the landlord of the property, as his father owned the townhouse and allowed him to live there rent-free and earn income by renting out rooms. Beaver and Lambert were tenants.</w:t>
      </w:r>
    </w:p>
    <w:p w14:paraId="07CED60B" w14:textId="77777777" w:rsidR="009F23CB" w:rsidRPr="009F23CB" w:rsidRDefault="009F23CB" w:rsidP="009F23CB">
      <w:pPr>
        <w:pStyle w:val="Title2LevelTitre2Niveau"/>
        <w:rPr>
          <w:rFonts w:cs="Times New Roman"/>
        </w:rPr>
      </w:pPr>
      <w:bookmarkStart w:id="7" w:name="_Toc109915178"/>
      <w:r w:rsidRPr="009F23CB">
        <w:rPr>
          <w:rFonts w:cs="Times New Roman"/>
        </w:rPr>
        <w:t>The Suspicious 9-1-1 Call</w:t>
      </w:r>
      <w:bookmarkEnd w:id="7"/>
    </w:p>
    <w:p w14:paraId="24F611DB" w14:textId="77777777" w:rsidR="009F23CB" w:rsidRPr="009F23CB" w:rsidRDefault="009F23CB" w:rsidP="009F23CB">
      <w:pPr>
        <w:pStyle w:val="ParaNoNdepar-AltN"/>
        <w:rPr>
          <w:rFonts w:cs="Times New Roman"/>
        </w:rPr>
      </w:pPr>
      <w:r w:rsidRPr="009F23CB">
        <w:rPr>
          <w:rFonts w:cs="Times New Roman"/>
        </w:rPr>
        <w:t xml:space="preserve">On October 9, 2016, at 9:59 a.m., Lambert called 9-1-1 to report that “there’s a guy in a puddle of </w:t>
      </w:r>
      <w:proofErr w:type="gramStart"/>
      <w:r w:rsidRPr="009F23CB">
        <w:rPr>
          <w:rFonts w:cs="Times New Roman"/>
        </w:rPr>
        <w:t>blood .</w:t>
      </w:r>
      <w:proofErr w:type="gramEnd"/>
      <w:r w:rsidRPr="009F23CB">
        <w:rPr>
          <w:rFonts w:cs="Times New Roman"/>
        </w:rPr>
        <w:t> . . inside [his] house” (R.R., at p. 16). He told the 9-1-1 and Calgary Police Service operators that there had been “altercations all week”, including when he came home the previous night and Bowers “had people there” (p. 17). Lambert said that Bowers “told [him and Beaver] to get the hell out”, so he left with Beaver because he “wasn’t about to get into a confrontation” (pp. 17-18). He claimed that when he returned the next morning, he found Bowers lying “in a puddle of blood”, “face down front [on] the floor” (p. 21).</w:t>
      </w:r>
    </w:p>
    <w:p w14:paraId="0F17B855" w14:textId="77777777" w:rsidR="009F23CB" w:rsidRPr="009F23CB" w:rsidRDefault="009F23CB" w:rsidP="009F23CB">
      <w:pPr>
        <w:pStyle w:val="ParaNoNdepar-AltN"/>
        <w:rPr>
          <w:rFonts w:cs="Times New Roman"/>
        </w:rPr>
      </w:pPr>
      <w:r w:rsidRPr="009F23CB">
        <w:rPr>
          <w:rFonts w:cs="Times New Roman"/>
        </w:rPr>
        <w:t xml:space="preserve">The Calgary Police Service operator told Lambert that the situation would be treated with “just a little bit of a suspicion because [they] don’t know what’s </w:t>
      </w:r>
      <w:proofErr w:type="spellStart"/>
      <w:r w:rsidRPr="009F23CB">
        <w:rPr>
          <w:rFonts w:cs="Times New Roman"/>
        </w:rPr>
        <w:t>goin</w:t>
      </w:r>
      <w:proofErr w:type="spellEnd"/>
      <w:r w:rsidRPr="009F23CB">
        <w:rPr>
          <w:rFonts w:cs="Times New Roman"/>
        </w:rPr>
        <w:t>’ on at this point” (pp. 24-25). Lambert insisted he did not know what happened to Bowers, repeating “[h]e was pretty angry at us, so we just left” (p. 25). Lambert then confirmed that Bowers was not conscious or breathing, and advised that Beaver said that “he looks like he fell and hit his head” (p. 26). The Calgary Police Service operator said that they would “treat [the townhouse] as a crime scene for now” (p. 27). While awaiting emergency medical services, the 9-1-1 operator told Lambert to perform CPR, but Lambert advised that rigor mortis</w:t>
      </w:r>
      <w:r w:rsidRPr="009F23CB">
        <w:rPr>
          <w:rFonts w:cs="Times New Roman"/>
          <w:i/>
        </w:rPr>
        <w:t xml:space="preserve"> </w:t>
      </w:r>
      <w:r w:rsidRPr="009F23CB">
        <w:rPr>
          <w:rFonts w:cs="Times New Roman"/>
        </w:rPr>
        <w:t>had set in, adding: “He’s dead” (p. 36).</w:t>
      </w:r>
    </w:p>
    <w:p w14:paraId="1C074A15" w14:textId="77777777" w:rsidR="009F23CB" w:rsidRPr="009F23CB" w:rsidRDefault="009F23CB" w:rsidP="009F23CB">
      <w:pPr>
        <w:pStyle w:val="Title2LevelTitre2Niveau"/>
        <w:rPr>
          <w:rFonts w:cs="Times New Roman"/>
        </w:rPr>
      </w:pPr>
      <w:bookmarkStart w:id="8" w:name="_Toc109915179"/>
      <w:r w:rsidRPr="009F23CB">
        <w:rPr>
          <w:rFonts w:cs="Times New Roman"/>
        </w:rPr>
        <w:t>The Police Find Bowers Dead</w:t>
      </w:r>
      <w:bookmarkEnd w:id="8"/>
    </w:p>
    <w:p w14:paraId="5EB1B9C1" w14:textId="77777777" w:rsidR="009F23CB" w:rsidRPr="009F23CB" w:rsidRDefault="009F23CB" w:rsidP="009F23CB">
      <w:pPr>
        <w:pStyle w:val="ParaNoNdepar-AltN"/>
        <w:rPr>
          <w:rFonts w:cs="Times New Roman"/>
        </w:rPr>
      </w:pPr>
      <w:r w:rsidRPr="009F23CB">
        <w:rPr>
          <w:rFonts w:cs="Times New Roman"/>
        </w:rPr>
        <w:t xml:space="preserve">Within minutes, police and emergency medical services arrived and found Bowers at the foot of the staircase, where he lay dead. The senior police officer, Sgt. James Lines, directed that this was a crime scene. He ordered two other officers, Csts. Trent Taylor and Alana Husband, to detain Lambert and Beaver under the </w:t>
      </w:r>
      <w:r w:rsidRPr="009F23CB">
        <w:rPr>
          <w:rFonts w:cs="Times New Roman"/>
          <w:i/>
        </w:rPr>
        <w:t>Medical Examiners Act</w:t>
      </w:r>
      <w:r w:rsidRPr="009F23CB">
        <w:rPr>
          <w:rFonts w:cs="Times New Roman"/>
        </w:rPr>
        <w:t xml:space="preserve">, legislation that he admitted on the </w:t>
      </w:r>
      <w:r w:rsidRPr="009F23CB">
        <w:rPr>
          <w:rFonts w:cs="Times New Roman"/>
          <w:i/>
        </w:rPr>
        <w:t>voir dire</w:t>
      </w:r>
      <w:r w:rsidRPr="009F23CB">
        <w:rPr>
          <w:rFonts w:cs="Times New Roman"/>
        </w:rPr>
        <w:t xml:space="preserve"> does not exist; he had meant to refer to Alberta’s </w:t>
      </w:r>
      <w:r w:rsidRPr="009F23CB">
        <w:rPr>
          <w:rFonts w:cs="Times New Roman"/>
          <w:i/>
        </w:rPr>
        <w:t>Fatality Inquiries Act</w:t>
      </w:r>
      <w:r w:rsidRPr="009F23CB">
        <w:rPr>
          <w:rFonts w:cs="Times New Roman"/>
        </w:rPr>
        <w:t>, R.S.A. 2000, c. F-9, but this Act provides no detention powers.</w:t>
      </w:r>
    </w:p>
    <w:p w14:paraId="63300ECE" w14:textId="77777777" w:rsidR="009F23CB" w:rsidRPr="009F23CB" w:rsidRDefault="009F23CB" w:rsidP="009F23CB">
      <w:pPr>
        <w:pStyle w:val="Title2LevelTitre2Niveau"/>
        <w:rPr>
          <w:rFonts w:cs="Times New Roman"/>
        </w:rPr>
      </w:pPr>
      <w:bookmarkStart w:id="9" w:name="_Toc109915180"/>
      <w:r w:rsidRPr="009F23CB">
        <w:rPr>
          <w:rFonts w:cs="Times New Roman"/>
        </w:rPr>
        <w:t>The Police Detain Lambert</w:t>
      </w:r>
      <w:bookmarkEnd w:id="9"/>
    </w:p>
    <w:p w14:paraId="45B4F20B" w14:textId="77777777" w:rsidR="009F23CB" w:rsidRPr="009F23CB" w:rsidRDefault="009F23CB" w:rsidP="009F23CB">
      <w:pPr>
        <w:pStyle w:val="ParaNoNdepar-AltN"/>
        <w:rPr>
          <w:rFonts w:cs="Times New Roman"/>
        </w:rPr>
      </w:pPr>
      <w:r w:rsidRPr="009F23CB">
        <w:rPr>
          <w:rFonts w:cs="Times New Roman"/>
        </w:rPr>
        <w:t xml:space="preserve">As directed, Cst. Taylor told Lambert that he was being detained under the </w:t>
      </w:r>
      <w:r w:rsidRPr="009F23CB">
        <w:rPr>
          <w:rFonts w:cs="Times New Roman"/>
          <w:i/>
        </w:rPr>
        <w:t>Medical Examiners Act</w:t>
      </w:r>
      <w:r w:rsidRPr="009F23CB">
        <w:rPr>
          <w:rFonts w:cs="Times New Roman"/>
        </w:rPr>
        <w:t>. He advised Lambert that he had the right to retain and instruct a lawyer without delay and cautioned him, saying that he could be charged with an offence and that he did not have to say anything but anything he did say could be used in evidence. Lambert said that he understood the caution and wanted to speak to a lawyer “to cover [his] ass”, even though he was “not guilty of anything” (A.R., vol. I, at p. 95).</w:t>
      </w:r>
    </w:p>
    <w:p w14:paraId="49B6577A" w14:textId="77777777" w:rsidR="009F23CB" w:rsidRPr="009F23CB" w:rsidRDefault="009F23CB" w:rsidP="009F23CB">
      <w:pPr>
        <w:pStyle w:val="ParaNoNdepar-AltN"/>
        <w:rPr>
          <w:rFonts w:cs="Times New Roman"/>
        </w:rPr>
      </w:pPr>
      <w:r w:rsidRPr="009F23CB">
        <w:rPr>
          <w:rFonts w:cs="Times New Roman"/>
        </w:rPr>
        <w:t xml:space="preserve">While Cst. Taylor drove Lambert to police headquarters, he asked him what had happened. Lambert repeated what he had told the 9-1-1 operator. On the </w:t>
      </w:r>
      <w:r w:rsidRPr="009F23CB">
        <w:rPr>
          <w:rFonts w:cs="Times New Roman"/>
          <w:i/>
        </w:rPr>
        <w:t>voir dire</w:t>
      </w:r>
      <w:r w:rsidRPr="009F23CB">
        <w:rPr>
          <w:rFonts w:cs="Times New Roman"/>
        </w:rPr>
        <w:t>, Cst. Taylor conceded that he had “messed up” and that he should not have questioned Lambert during the drive because he had asked to speak to a lawyer (p. 109). At no point did Cst. Taylor place Lambert under arrest.</w:t>
      </w:r>
    </w:p>
    <w:p w14:paraId="7346C819" w14:textId="77777777" w:rsidR="009F23CB" w:rsidRPr="009F23CB" w:rsidRDefault="009F23CB" w:rsidP="009F23CB">
      <w:pPr>
        <w:pStyle w:val="Title2LevelTitre2Niveau"/>
        <w:rPr>
          <w:rFonts w:cs="Times New Roman"/>
        </w:rPr>
      </w:pPr>
      <w:bookmarkStart w:id="10" w:name="_Toc109915181"/>
      <w:r w:rsidRPr="009F23CB">
        <w:rPr>
          <w:rFonts w:cs="Times New Roman"/>
        </w:rPr>
        <w:t>The Police Detain Beaver</w:t>
      </w:r>
      <w:bookmarkEnd w:id="10"/>
    </w:p>
    <w:p w14:paraId="7D774CAE" w14:textId="77777777" w:rsidR="009F23CB" w:rsidRPr="009F23CB" w:rsidRDefault="009F23CB" w:rsidP="009F23CB">
      <w:pPr>
        <w:pStyle w:val="ParaNoNdepar-AltN"/>
        <w:rPr>
          <w:rFonts w:cs="Times New Roman"/>
        </w:rPr>
      </w:pPr>
      <w:r w:rsidRPr="009F23CB">
        <w:rPr>
          <w:rFonts w:cs="Times New Roman"/>
        </w:rPr>
        <w:t>Cst. Husband placed Beaver in her police car. When Beaver was alone in the car, the car video recorded him saying, “[t]</w:t>
      </w:r>
      <w:proofErr w:type="spellStart"/>
      <w:r w:rsidRPr="009F23CB">
        <w:rPr>
          <w:rFonts w:cs="Times New Roman"/>
        </w:rPr>
        <w:t>hey’re</w:t>
      </w:r>
      <w:proofErr w:type="spellEnd"/>
      <w:r w:rsidRPr="009F23CB">
        <w:rPr>
          <w:rFonts w:cs="Times New Roman"/>
        </w:rPr>
        <w:t xml:space="preserve"> gonna take my statement” (A.R., vol. III, at p. 26). Cst. Husband then told him: “I just have to read you the legalities here. . . . I am investigatively, detaining you for, uh, whatever’s going on in there, (laughing)” (p. 28). She advised Beaver of his right to retain and instruct a lawyer without delay and asked him if he wanted to contact a lawyer. He responded, “I don’t need one. . . . No” (p. 30). Cst. Husband repeated that Beaver was being “investigatively detained” and cautioned him, saying that he did not have to say anything but anything he did say could be used in evidence (p. 30). Beaver said he understood.</w:t>
      </w:r>
    </w:p>
    <w:p w14:paraId="64C5BB1A" w14:textId="77777777" w:rsidR="009F23CB" w:rsidRPr="009F23CB" w:rsidRDefault="009F23CB" w:rsidP="009F23CB">
      <w:pPr>
        <w:pStyle w:val="ParaNoNdepar-AltN"/>
        <w:rPr>
          <w:rFonts w:cs="Times New Roman"/>
        </w:rPr>
      </w:pPr>
      <w:r w:rsidRPr="009F23CB">
        <w:rPr>
          <w:rFonts w:cs="Times New Roman"/>
        </w:rPr>
        <w:t>When Cst. Husband asked Beaver what had happened, he responded with a narrative consistent with Lambert’s 9-1-1 call. She then drove him to police headquarters, told him he was still under investigative detention, and asked him again if he wanted to speak to a lawyer. Once again, he declined. At no point did Cst. Husband place Beaver under arrest.</w:t>
      </w:r>
    </w:p>
    <w:p w14:paraId="10A7B315" w14:textId="77777777" w:rsidR="009F23CB" w:rsidRPr="009F23CB" w:rsidRDefault="009F23CB" w:rsidP="009F23CB">
      <w:pPr>
        <w:pStyle w:val="Title2LevelTitre2Niveau"/>
        <w:rPr>
          <w:rFonts w:cs="Times New Roman"/>
        </w:rPr>
      </w:pPr>
      <w:bookmarkStart w:id="11" w:name="_Toc109915182"/>
      <w:r w:rsidRPr="009F23CB">
        <w:rPr>
          <w:rFonts w:cs="Times New Roman"/>
        </w:rPr>
        <w:t>The Arrival of a Seasoned Homicide Detective</w:t>
      </w:r>
      <w:bookmarkEnd w:id="11"/>
    </w:p>
    <w:p w14:paraId="0C8DEFEB" w14:textId="77777777" w:rsidR="009F23CB" w:rsidRPr="009F23CB" w:rsidRDefault="009F23CB" w:rsidP="009F23CB">
      <w:pPr>
        <w:pStyle w:val="ParaNoNdepar-AltN"/>
        <w:rPr>
          <w:rFonts w:cs="Times New Roman"/>
        </w:rPr>
      </w:pPr>
      <w:r w:rsidRPr="009F23CB">
        <w:rPr>
          <w:rFonts w:cs="Times New Roman"/>
        </w:rPr>
        <w:t xml:space="preserve">Soon afterwards, a medical investigator from the Office of the Chief Medical Examiner contacted the Calgary Homicide Unit to communicate that Bowers’ death appeared suspicious. At 10:36 a.m., S/Sgt. Colin Chisholm telephoned Det. Christian Vermette, a seasoned homicide detective, and told him to come to work. On the </w:t>
      </w:r>
      <w:r w:rsidRPr="009F23CB">
        <w:rPr>
          <w:rFonts w:cs="Times New Roman"/>
          <w:i/>
        </w:rPr>
        <w:t>voir dire</w:t>
      </w:r>
      <w:r w:rsidRPr="009F23CB">
        <w:rPr>
          <w:rFonts w:cs="Times New Roman"/>
        </w:rPr>
        <w:t xml:space="preserve">, Det. Vermette testified that he was “basically [being called out to work] on a suspicious death” because it was his “turn to be the primary investigator for the next homicide” (A.R., vol. I, at p. 207). He testified that S/Sgt. Chisholm, who had spoken to the medical investigator, “basically relayed . . . that a male was found </w:t>
      </w:r>
      <w:proofErr w:type="spellStart"/>
      <w:r w:rsidRPr="009F23CB">
        <w:rPr>
          <w:rFonts w:cs="Times New Roman"/>
        </w:rPr>
        <w:t>facedown</w:t>
      </w:r>
      <w:proofErr w:type="spellEnd"/>
      <w:r w:rsidRPr="009F23CB">
        <w:rPr>
          <w:rFonts w:cs="Times New Roman"/>
        </w:rPr>
        <w:t xml:space="preserve"> in a pool of blood near the front entrance of a residence” and “that there was some sort of conflict or dispute that occurred between the victim and roommates” (p. 205). Det. Vermette’s impression at this point was that the two roommates were under arrest and on their way to police headquarters.</w:t>
      </w:r>
    </w:p>
    <w:p w14:paraId="3C39C231" w14:textId="77777777" w:rsidR="009F23CB" w:rsidRPr="009F23CB" w:rsidRDefault="009F23CB" w:rsidP="009F23CB">
      <w:pPr>
        <w:pStyle w:val="ParaNoNdepar-AltN"/>
        <w:rPr>
          <w:rFonts w:cs="Times New Roman"/>
        </w:rPr>
      </w:pPr>
      <w:r w:rsidRPr="009F23CB">
        <w:rPr>
          <w:rFonts w:cs="Times New Roman"/>
        </w:rPr>
        <w:t>At 10:46 a.m., Det. Vermette received an email from S/Sgt. Chisholm with the subject line “Looks like New homicide” and which confirmed what the Staff Sergeant had just told him by phone.</w:t>
      </w:r>
    </w:p>
    <w:p w14:paraId="0EDBB802" w14:textId="77777777" w:rsidR="009F23CB" w:rsidRPr="009F23CB" w:rsidRDefault="009F23CB" w:rsidP="009F23CB">
      <w:pPr>
        <w:pStyle w:val="ParaNoNdepar-AltN"/>
        <w:rPr>
          <w:rFonts w:cs="Times New Roman"/>
        </w:rPr>
      </w:pPr>
      <w:r w:rsidRPr="009F23CB">
        <w:rPr>
          <w:rFonts w:cs="Times New Roman"/>
        </w:rPr>
        <w:t>At 11:22 a.m., Det. Vermette arrived at police headquarters, and at 11:39 a.m., he met with Csts. Taylor and Husband, who told him that Lambert and Beaver had been “</w:t>
      </w:r>
      <w:r w:rsidRPr="009F23CB">
        <w:rPr>
          <w:rFonts w:cs="Times New Roman"/>
          <w:i/>
        </w:rPr>
        <w:t>Charter</w:t>
      </w:r>
      <w:r w:rsidRPr="009F23CB">
        <w:rPr>
          <w:rFonts w:cs="Times New Roman"/>
        </w:rPr>
        <w:t>ed and cautioned” (p. 210). Det. Vermette then “review[</w:t>
      </w:r>
      <w:proofErr w:type="spellStart"/>
      <w:r w:rsidRPr="009F23CB">
        <w:rPr>
          <w:rFonts w:cs="Times New Roman"/>
        </w:rPr>
        <w:t>ed</w:t>
      </w:r>
      <w:proofErr w:type="spellEnd"/>
      <w:r w:rsidRPr="009F23CB">
        <w:rPr>
          <w:rFonts w:cs="Times New Roman"/>
        </w:rPr>
        <w:t>] the file”, which included an Event Information document that summarized the 9-1-1 call and an Event Chronology document that detailed the events after the 9-1-1 call and included contemporaneous police comments (p. 209). He also reviewed a Police Information Management System report, which noted that three days earlier the police had attended at the townhouse because Lambert had reported that Bowers assaulted him but that he did not want charges laid and would not provide a statement. The Police Information Management System report stated that Lambert planned to move out within the next two weeks and that he did not want the police to speak to Bowers.</w:t>
      </w:r>
    </w:p>
    <w:p w14:paraId="1E2ECEEA" w14:textId="77777777" w:rsidR="009F23CB" w:rsidRPr="009F23CB" w:rsidRDefault="009F23CB" w:rsidP="009F23CB">
      <w:pPr>
        <w:pStyle w:val="Title2LevelTitre2Niveau"/>
        <w:rPr>
          <w:rFonts w:cs="Times New Roman"/>
        </w:rPr>
      </w:pPr>
      <w:bookmarkStart w:id="12" w:name="_Toc109915183"/>
      <w:r w:rsidRPr="009F23CB">
        <w:rPr>
          <w:rFonts w:cs="Times New Roman"/>
        </w:rPr>
        <w:t>Lambert and Beaver Arrive at Police Headquarters</w:t>
      </w:r>
      <w:bookmarkEnd w:id="12"/>
    </w:p>
    <w:p w14:paraId="04C4A49A"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At 11:15 a.m., Lambert and Beaver arrived at police headquarters. Lambert spoke to a lawyer by telephone. Beaver declined the opportunity to do so.</w:t>
      </w:r>
    </w:p>
    <w:p w14:paraId="06EB6743" w14:textId="77777777" w:rsidR="009F23CB" w:rsidRPr="009F23CB" w:rsidRDefault="009F23CB" w:rsidP="009F23CB">
      <w:pPr>
        <w:pStyle w:val="ParaNoNdepar-AltN"/>
        <w:rPr>
          <w:rFonts w:cs="Times New Roman"/>
        </w:rPr>
      </w:pPr>
      <w:r w:rsidRPr="009F23CB">
        <w:rPr>
          <w:rFonts w:cs="Times New Roman"/>
        </w:rPr>
        <w:t>Two homicide investigators, Dets. Matthew Demarino and Reagan Hossack, were tasked with interviewing Lambert and Beaver, respectively.</w:t>
      </w:r>
    </w:p>
    <w:p w14:paraId="0FE53B7A"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At 12:09 p.m., Det. Demarino, who believed that Lambert and Beaver were already under arrest, began interviewing Lambert. He confirmed that Lambert had spoken to a lawyer and that he understood his lawyer’s advice. Det. Demarino advised Lambert that, regardless of anything anyone had previously told him, he did not have to say anything unless he wished to do so, but anything he did say could be used in evidence. He then repeated this caution once more and Lambert indicated that he understood. Det. Demarino also informed Lambert that his interview was being recorded.</w:t>
      </w:r>
    </w:p>
    <w:p w14:paraId="68276B65"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Det. Demarino asked Lambert if he knew the deceased. At first, Lambert responded that he “[d</w:t>
      </w:r>
      <w:proofErr w:type="gramStart"/>
      <w:r w:rsidRPr="009F23CB">
        <w:rPr>
          <w:rFonts w:cs="Times New Roman"/>
        </w:rPr>
        <w:t>]</w:t>
      </w:r>
      <w:proofErr w:type="spellStart"/>
      <w:r w:rsidRPr="009F23CB">
        <w:rPr>
          <w:rFonts w:cs="Times New Roman"/>
        </w:rPr>
        <w:t>on’t</w:t>
      </w:r>
      <w:proofErr w:type="spellEnd"/>
      <w:proofErr w:type="gramEnd"/>
      <w:r w:rsidRPr="009F23CB">
        <w:rPr>
          <w:rFonts w:cs="Times New Roman"/>
        </w:rPr>
        <w:t xml:space="preserve"> </w:t>
      </w:r>
      <w:proofErr w:type="spellStart"/>
      <w:r w:rsidRPr="009F23CB">
        <w:rPr>
          <w:rFonts w:cs="Times New Roman"/>
        </w:rPr>
        <w:t>wanna</w:t>
      </w:r>
      <w:proofErr w:type="spellEnd"/>
      <w:r w:rsidRPr="009F23CB">
        <w:rPr>
          <w:rFonts w:cs="Times New Roman"/>
        </w:rPr>
        <w:t xml:space="preserve"> talk about </w:t>
      </w:r>
      <w:proofErr w:type="spellStart"/>
      <w:r w:rsidRPr="009F23CB">
        <w:rPr>
          <w:rFonts w:cs="Times New Roman"/>
        </w:rPr>
        <w:t>nothin</w:t>
      </w:r>
      <w:proofErr w:type="spellEnd"/>
      <w:r w:rsidRPr="009F23CB">
        <w:rPr>
          <w:rFonts w:cs="Times New Roman"/>
        </w:rPr>
        <w:t>’”, saying that the police “have ways to figure out who [the deceased] is without [him] having to talk to [them] about it” (A.R., vol. II, at pp. 7-8). Later, he confirmed that the deceased was his roommate, Bowers.</w:t>
      </w:r>
    </w:p>
    <w:p w14:paraId="4B4FE4BF"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When Det. Demarino left the interview to give this information to the homicide team, he spoke with Cst. Husband. It was only at this time that Det. Demarino learned that neither Lambert nor Beaver had been arrested. At this point, Beaver’s interview had not yet begun.</w:t>
      </w:r>
    </w:p>
    <w:p w14:paraId="5307522C"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At about 12:20 p.m., Det. Vermette was advised that neither Beaver nor Lambert had been arrested. At 12:22 p.m., Det. Vermette directed Dets. Demarino and Hossack to arrest Lambert and Beaver for murder. When making this direction, Det. Vermette believed that he had reasonable and probable grounds to do so.</w:t>
      </w:r>
    </w:p>
    <w:p w14:paraId="5AE83335" w14:textId="77777777" w:rsidR="009F23CB" w:rsidRPr="009F23CB" w:rsidRDefault="009F23CB" w:rsidP="009F23CB">
      <w:pPr>
        <w:pStyle w:val="Title2LevelTitre2Niveau"/>
        <w:rPr>
          <w:rFonts w:cs="Times New Roman"/>
        </w:rPr>
      </w:pPr>
      <w:bookmarkStart w:id="13" w:name="_Toc109915184"/>
      <w:r w:rsidRPr="009F23CB">
        <w:rPr>
          <w:rFonts w:cs="Times New Roman"/>
        </w:rPr>
        <w:t>Lambert Is Arrested for Murder</w:t>
      </w:r>
      <w:bookmarkEnd w:id="13"/>
    </w:p>
    <w:p w14:paraId="19014E33" w14:textId="77777777" w:rsidR="009F23CB" w:rsidRPr="009F23CB" w:rsidRDefault="009F23CB" w:rsidP="009F23CB">
      <w:pPr>
        <w:pStyle w:val="ParaNoNdepar-AltN"/>
        <w:rPr>
          <w:rFonts w:cs="Times New Roman"/>
        </w:rPr>
      </w:pPr>
      <w:r w:rsidRPr="009F23CB">
        <w:rPr>
          <w:rFonts w:cs="Times New Roman"/>
        </w:rPr>
        <w:t>At 12:29 p.m., Det. Demarino arrested Lambert for murder and then continued to interview him, underscoring that “this is a very, very serious matter” (p. 17). Det. Demarino tried to distance his interaction with Lambert from the earlier unlawful conduct by (1) telling him they were going to “start from the very beginning” (p. 17); (2) telling him four times he was under arrest for murder; (3) facilitating Lambert’s second consultation with a lawyer and confirming that he understood his lawyer’s advice; (4) repeating that they “have to start everything all over again” (p. 30) after Lambert consulted a lawyer; and (5) providing him with a primary caution three times during the interview (i.e., that he did not have to say anything unless he wished to do so but whatever he did say could be used in evidence) and a secondary caution (i.e., that his decision on whether to speak to the police should not be influenced by anything he had already told the police or that the police had told him).</w:t>
      </w:r>
    </w:p>
    <w:p w14:paraId="6221BB1D" w14:textId="77777777" w:rsidR="009F23CB" w:rsidRPr="009F23CB" w:rsidRDefault="009F23CB" w:rsidP="009F23CB">
      <w:pPr>
        <w:pStyle w:val="Title2LevelTitre2Niveau"/>
        <w:rPr>
          <w:rFonts w:cs="Times New Roman"/>
        </w:rPr>
      </w:pPr>
      <w:bookmarkStart w:id="14" w:name="_Toc109915185"/>
      <w:r w:rsidRPr="009F23CB">
        <w:rPr>
          <w:rFonts w:cs="Times New Roman"/>
        </w:rPr>
        <w:t>Beaver Is Arrested for Murder</w:t>
      </w:r>
      <w:bookmarkEnd w:id="14"/>
    </w:p>
    <w:p w14:paraId="43143767" w14:textId="77777777" w:rsidR="009F23CB" w:rsidRPr="009F23CB" w:rsidRDefault="009F23CB" w:rsidP="009F23CB">
      <w:pPr>
        <w:pStyle w:val="ParaNoNdepar-AltN"/>
        <w:rPr>
          <w:rFonts w:cs="Times New Roman"/>
        </w:rPr>
      </w:pPr>
      <w:r w:rsidRPr="009F23CB">
        <w:rPr>
          <w:rFonts w:cs="Times New Roman"/>
        </w:rPr>
        <w:t xml:space="preserve">At roughly the same time, Det. Hossack arrested Beaver for murder. Unlike Det. Demarino, however, Det. Hossack did not caution Beaver again. Instead, she referred to Cst. Husband’s earlier caution, saying, “it’s no different than what uh, Constable Husband read to you [a] little while ago” (A.R., vol. III, at p. 51). She said that she was “just reading it ’cause [she’s] a new person that [he’s] gonna be talking to” (pp. 51-52). (At the </w:t>
      </w:r>
      <w:r w:rsidRPr="009F23CB">
        <w:rPr>
          <w:rFonts w:cs="Times New Roman"/>
          <w:i/>
        </w:rPr>
        <w:t>voir dire</w:t>
      </w:r>
      <w:r w:rsidRPr="009F23CB">
        <w:rPr>
          <w:rFonts w:cs="Times New Roman"/>
        </w:rPr>
        <w:t>, Det. Hossack acknowledged that her failure to caution Beaver was “a mistake, an error, on [her] part” (A.R., vol. I, at p. 185).) Det. Hossack advised Beaver of his right to retain and instruct counsel without delay, but Beaver declined to speak to a lawyer, saying he did not think he needed one. He then added that he “probably should” speak with a lawyer and that he was “not understanding the severity of it” (A.R., vol. III, at p. 53). Det. Hossack emphasized to Beaver that it was up to him whether he spoke to a lawyer and reminded him that he was being questioned because “someone was found dead in the apartment” and that he had “been brought [to the police headquarters] because [he was] there” (p. 53). Det. Hossack then repeated, “</w:t>
      </w:r>
      <w:proofErr w:type="gramStart"/>
      <w:r w:rsidRPr="009F23CB">
        <w:rPr>
          <w:rFonts w:cs="Times New Roman"/>
        </w:rPr>
        <w:t>it’s</w:t>
      </w:r>
      <w:proofErr w:type="gramEnd"/>
      <w:r w:rsidRPr="009F23CB">
        <w:rPr>
          <w:rFonts w:cs="Times New Roman"/>
        </w:rPr>
        <w:t xml:space="preserve"> just important that you know that you can call a lawyer right now” (p. 54), and then said, once again, “it’s important that you know that if you </w:t>
      </w:r>
      <w:proofErr w:type="spellStart"/>
      <w:r w:rsidRPr="009F23CB">
        <w:rPr>
          <w:rFonts w:cs="Times New Roman"/>
        </w:rPr>
        <w:t>wanna</w:t>
      </w:r>
      <w:proofErr w:type="spellEnd"/>
      <w:r w:rsidRPr="009F23CB">
        <w:rPr>
          <w:rFonts w:cs="Times New Roman"/>
        </w:rPr>
        <w:t xml:space="preserve"> call a lawyer you can” (p. 55). Beaver insisted that he did not need a lawyer and formally waived his right to counsel.</w:t>
      </w:r>
    </w:p>
    <w:p w14:paraId="799E4B86" w14:textId="77777777" w:rsidR="009F23CB" w:rsidRPr="009F23CB" w:rsidRDefault="009F23CB" w:rsidP="009F23CB">
      <w:pPr>
        <w:pStyle w:val="Title2LevelTitre2Niveau"/>
        <w:rPr>
          <w:rFonts w:cs="Times New Roman"/>
        </w:rPr>
      </w:pPr>
      <w:bookmarkStart w:id="15" w:name="_Toc109915186"/>
      <w:r w:rsidRPr="009F23CB">
        <w:rPr>
          <w:rFonts w:cs="Times New Roman"/>
        </w:rPr>
        <w:t>Det. Vermette Confirms His Earlier Decision to Arrest</w:t>
      </w:r>
      <w:bookmarkEnd w:id="15"/>
      <w:r w:rsidRPr="009F23CB">
        <w:rPr>
          <w:rFonts w:cs="Times New Roman"/>
        </w:rPr>
        <w:t xml:space="preserve"> the Appellants</w:t>
      </w:r>
    </w:p>
    <w:p w14:paraId="48C43D1B" w14:textId="77777777" w:rsidR="009F23CB" w:rsidRPr="009F23CB" w:rsidRDefault="009F23CB" w:rsidP="009F23CB">
      <w:pPr>
        <w:pStyle w:val="ParaNoNdepar-AltN"/>
        <w:rPr>
          <w:rFonts w:cs="Times New Roman"/>
        </w:rPr>
      </w:pPr>
      <w:r w:rsidRPr="009F23CB">
        <w:rPr>
          <w:rFonts w:cs="Times New Roman"/>
        </w:rPr>
        <w:t>At 12:35 p.m., just a few minutes after Det. Vermette had directed that the appellants be arrested for murder, he learned that Bowers had sent Facebook messages to a friend the previous evening highlighting his conflicts with Beaver and Lambert:</w:t>
      </w:r>
    </w:p>
    <w:p w14:paraId="2B68FE2A" w14:textId="77777777" w:rsidR="009F23CB" w:rsidRPr="009F23CB" w:rsidRDefault="009F23CB" w:rsidP="009F23CB">
      <w:pPr>
        <w:pStyle w:val="Citation-AltC"/>
      </w:pPr>
      <w:r w:rsidRPr="009F23CB">
        <w:t>6:36 p.m.</w:t>
      </w:r>
      <w:r w:rsidRPr="009F23CB">
        <w:tab/>
        <w:t xml:space="preserve">im taking </w:t>
      </w:r>
      <w:proofErr w:type="gramStart"/>
      <w:r w:rsidRPr="009F23CB">
        <w:t>brian</w:t>
      </w:r>
      <w:proofErr w:type="gramEnd"/>
      <w:r w:rsidRPr="009F23CB">
        <w:t xml:space="preserve"> and jim down they fucked me</w:t>
      </w:r>
    </w:p>
    <w:p w14:paraId="75EB646D" w14:textId="77777777" w:rsidR="009F23CB" w:rsidRPr="009F23CB" w:rsidRDefault="009F23CB" w:rsidP="009F23CB">
      <w:pPr>
        <w:pStyle w:val="Citation-AltC"/>
      </w:pPr>
    </w:p>
    <w:p w14:paraId="62789B43" w14:textId="77777777" w:rsidR="009F23CB" w:rsidRPr="009F23CB" w:rsidRDefault="009F23CB" w:rsidP="009F23CB">
      <w:pPr>
        <w:pStyle w:val="Citation-AltC"/>
        <w:ind w:left="2174" w:hanging="1008"/>
      </w:pPr>
      <w:r w:rsidRPr="009F23CB">
        <w:t>9:13 p.m.</w:t>
      </w:r>
      <w:r w:rsidRPr="009F23CB">
        <w:tab/>
        <w:t xml:space="preserve">I just destroyed </w:t>
      </w:r>
      <w:proofErr w:type="gramStart"/>
      <w:r w:rsidRPr="009F23CB">
        <w:t>brian</w:t>
      </w:r>
      <w:proofErr w:type="gramEnd"/>
      <w:r w:rsidRPr="009F23CB">
        <w:t xml:space="preserve"> and jim now I can get some worthy roommates any suggestions</w:t>
      </w:r>
    </w:p>
    <w:p w14:paraId="47E9484F" w14:textId="77777777" w:rsidR="009F23CB" w:rsidRPr="009F23CB" w:rsidRDefault="009F23CB" w:rsidP="009F23CB">
      <w:pPr>
        <w:pStyle w:val="Citation-AltC"/>
        <w:ind w:left="2174" w:hanging="1008"/>
      </w:pPr>
    </w:p>
    <w:p w14:paraId="5B87D8E9" w14:textId="77777777" w:rsidR="009F23CB" w:rsidRPr="009F23CB" w:rsidRDefault="009F23CB" w:rsidP="009F23CB">
      <w:pPr>
        <w:pStyle w:val="Citation-AltC"/>
        <w:ind w:left="2174" w:hanging="1008"/>
      </w:pPr>
      <w:r w:rsidRPr="009F23CB">
        <w:t>(R.R., at p. 45)</w:t>
      </w:r>
    </w:p>
    <w:p w14:paraId="05995729" w14:textId="77777777" w:rsidR="009F23CB" w:rsidRPr="009F23CB" w:rsidRDefault="009F23CB" w:rsidP="009F23CB">
      <w:pPr>
        <w:pStyle w:val="ParaNoNdepar-AltN"/>
        <w:rPr>
          <w:rFonts w:cs="Times New Roman"/>
        </w:rPr>
      </w:pPr>
      <w:r w:rsidRPr="009F23CB">
        <w:rPr>
          <w:rFonts w:cs="Times New Roman"/>
        </w:rPr>
        <w:t>These messages confirmed Det. Vermette’s earlier decision to arrest the appellants.</w:t>
      </w:r>
    </w:p>
    <w:p w14:paraId="66B184AD" w14:textId="77777777" w:rsidR="009F23CB" w:rsidRPr="009F23CB" w:rsidRDefault="009F23CB" w:rsidP="009F23CB">
      <w:pPr>
        <w:pStyle w:val="Title2LevelTitre2Niveau"/>
        <w:rPr>
          <w:rFonts w:cs="Times New Roman"/>
        </w:rPr>
      </w:pPr>
      <w:bookmarkStart w:id="16" w:name="_Toc109915187"/>
      <w:r w:rsidRPr="009F23CB">
        <w:rPr>
          <w:rFonts w:cs="Times New Roman"/>
        </w:rPr>
        <w:t>After Police Questioning, Lambert Confesses</w:t>
      </w:r>
      <w:bookmarkEnd w:id="16"/>
    </w:p>
    <w:p w14:paraId="433BD74F" w14:textId="77777777" w:rsidR="009F23CB" w:rsidRPr="009F23CB" w:rsidRDefault="009F23CB" w:rsidP="009F23CB">
      <w:pPr>
        <w:pStyle w:val="ParaNoNdepar-AltN"/>
        <w:rPr>
          <w:rFonts w:cs="Times New Roman"/>
        </w:rPr>
      </w:pPr>
      <w:r w:rsidRPr="009F23CB">
        <w:rPr>
          <w:rFonts w:cs="Times New Roman"/>
        </w:rPr>
        <w:t>Det. Demarino questioned Lambert for over 12 hours. At first, Lambert maintained that he had found Bowers dead in the townhouse and that he had nothing to do with his death. But at the tail end of the interview, Det. Demarino confronted Lambert with inculpatory evidence that led him to confess that Bowers had died during a fight with him and Beaver.</w:t>
      </w:r>
    </w:p>
    <w:p w14:paraId="69BFD234" w14:textId="77777777" w:rsidR="009F23CB" w:rsidRPr="009F23CB" w:rsidRDefault="009F23CB" w:rsidP="009F23CB">
      <w:pPr>
        <w:pStyle w:val="Title2LevelTitre2Niveau"/>
        <w:rPr>
          <w:rFonts w:cs="Times New Roman"/>
        </w:rPr>
      </w:pPr>
      <w:bookmarkStart w:id="17" w:name="_Toc109915188"/>
      <w:r w:rsidRPr="009F23CB">
        <w:rPr>
          <w:rFonts w:cs="Times New Roman"/>
        </w:rPr>
        <w:t>After Seeing a Video of Lambert’s Confession, Beaver Confesses</w:t>
      </w:r>
      <w:bookmarkEnd w:id="17"/>
    </w:p>
    <w:p w14:paraId="7EF0134B" w14:textId="77777777" w:rsidR="009F23CB" w:rsidRPr="009F23CB" w:rsidRDefault="009F23CB" w:rsidP="009F23CB">
      <w:pPr>
        <w:pStyle w:val="ParaNoNdepar-AltN"/>
        <w:rPr>
          <w:rFonts w:cs="Times New Roman"/>
        </w:rPr>
      </w:pPr>
      <w:r w:rsidRPr="009F23CB">
        <w:rPr>
          <w:rFonts w:cs="Times New Roman"/>
        </w:rPr>
        <w:t>During the first 12 hours of his interview, Beaver also maintained that he had nothing to do with Bowers’ death. He insisted that he did not remember details of events that took place before his arrival at the police headquarters because he had been drinking the night before. He continued to cite his poor memory even when he was shown Lambert’s videotaped confession. Det. Hossack’s interviewing style then became more confrontational. She called Beaver’s memory lapse “bullshit” and said “</w:t>
      </w:r>
      <w:proofErr w:type="gramStart"/>
      <w:r w:rsidRPr="009F23CB">
        <w:rPr>
          <w:rFonts w:cs="Times New Roman"/>
        </w:rPr>
        <w:t>people .</w:t>
      </w:r>
      <w:proofErr w:type="gramEnd"/>
      <w:r w:rsidRPr="009F23CB">
        <w:rPr>
          <w:rFonts w:cs="Times New Roman"/>
        </w:rPr>
        <w:t> . . don’t forget stuff like this” (A.R., vol. III, at p. 282). Within another hour of questioning, Beaver confessed, admitting that Bowers had died during a fight with him and Lambert.</w:t>
      </w:r>
    </w:p>
    <w:p w14:paraId="5B210E7E" w14:textId="77777777" w:rsidR="009F23CB" w:rsidRPr="009F23CB" w:rsidRDefault="009F23CB" w:rsidP="009F23CB">
      <w:pPr>
        <w:pStyle w:val="Title2LevelTitre2Niveau"/>
        <w:jc w:val="both"/>
        <w:rPr>
          <w:rFonts w:cs="Times New Roman"/>
        </w:rPr>
      </w:pPr>
      <w:r w:rsidRPr="009F23CB">
        <w:rPr>
          <w:rFonts w:cs="Times New Roman"/>
        </w:rPr>
        <w:t>Beaver and Lambert Are Charged With Manslaughter and Obstruction of Justice</w:t>
      </w:r>
    </w:p>
    <w:p w14:paraId="1E35E77E" w14:textId="77777777" w:rsidR="009F23CB" w:rsidRPr="009F23CB" w:rsidRDefault="009F23CB" w:rsidP="009F23CB">
      <w:pPr>
        <w:pStyle w:val="ParaNoNdepar-AltN"/>
        <w:rPr>
          <w:rFonts w:cs="Times New Roman"/>
        </w:rPr>
      </w:pPr>
      <w:r w:rsidRPr="009F23CB">
        <w:rPr>
          <w:rFonts w:cs="Times New Roman"/>
        </w:rPr>
        <w:t>Beaver and Lambert were charged with manslaughter for their involvement in Bowers’ death and obstruction of justice for misleading the police in the investigation into Bowers’ death.</w:t>
      </w:r>
    </w:p>
    <w:p w14:paraId="14FE9FF2" w14:textId="77777777" w:rsidR="009F23CB" w:rsidRPr="009F23CB" w:rsidRDefault="009F23CB" w:rsidP="009F23CB">
      <w:pPr>
        <w:pStyle w:val="Title1LevelTitre1Niveau-AltL"/>
        <w:jc w:val="both"/>
        <w:rPr>
          <w:rFonts w:cs="Times New Roman"/>
        </w:rPr>
      </w:pPr>
      <w:bookmarkStart w:id="18" w:name="_Toc109915189"/>
      <w:bookmarkStart w:id="19" w:name="_Toc110968660"/>
      <w:r w:rsidRPr="009F23CB">
        <w:rPr>
          <w:rFonts w:cs="Times New Roman"/>
        </w:rPr>
        <w:t>Judgments Below</w:t>
      </w:r>
      <w:bookmarkEnd w:id="18"/>
      <w:bookmarkEnd w:id="19"/>
    </w:p>
    <w:p w14:paraId="074AD239" w14:textId="77777777" w:rsidR="009F23CB" w:rsidRPr="009F23CB" w:rsidRDefault="009F23CB" w:rsidP="009F23CB">
      <w:pPr>
        <w:pStyle w:val="Title2LevelTitre2Niveau"/>
        <w:jc w:val="both"/>
        <w:rPr>
          <w:rFonts w:cs="Times New Roman"/>
        </w:rPr>
      </w:pPr>
      <w:bookmarkStart w:id="20" w:name="_Toc109490368"/>
      <w:bookmarkStart w:id="21" w:name="_Toc109915190"/>
      <w:bookmarkStart w:id="22" w:name="_Toc110968661"/>
      <w:r w:rsidRPr="009F23CB">
        <w:rPr>
          <w:rFonts w:cs="Times New Roman"/>
        </w:rPr>
        <w:t>Court of Queen’s Bench of Alberta (Yamauchi J.)</w:t>
      </w:r>
      <w:bookmarkEnd w:id="20"/>
      <w:bookmarkEnd w:id="21"/>
      <w:bookmarkEnd w:id="22"/>
    </w:p>
    <w:p w14:paraId="5C6F76DF" w14:textId="77777777" w:rsidR="009F23CB" w:rsidRPr="009F23CB" w:rsidRDefault="009F23CB" w:rsidP="009F23CB">
      <w:pPr>
        <w:pStyle w:val="Title3LevelTitre3Niveau"/>
        <w:rPr>
          <w:rFonts w:cs="Times New Roman"/>
        </w:rPr>
      </w:pPr>
      <w:bookmarkStart w:id="23" w:name="_Toc109915191"/>
      <w:r w:rsidRPr="009F23CB">
        <w:rPr>
          <w:rFonts w:cs="Times New Roman"/>
        </w:rPr>
        <w:t xml:space="preserve">The </w:t>
      </w:r>
      <w:r w:rsidRPr="009F23CB">
        <w:rPr>
          <w:rFonts w:cs="Times New Roman"/>
          <w:i/>
        </w:rPr>
        <w:t>Voir Dire</w:t>
      </w:r>
      <w:r w:rsidRPr="009F23CB">
        <w:rPr>
          <w:rFonts w:cs="Times New Roman"/>
        </w:rPr>
        <w:t xml:space="preserve"> Ruling</w:t>
      </w:r>
      <w:bookmarkEnd w:id="23"/>
      <w:r w:rsidRPr="009F23CB">
        <w:rPr>
          <w:rFonts w:cs="Times New Roman"/>
        </w:rPr>
        <w:t>, 2019 ABQB 125, 88 Alta. L.R. (6th) 337</w:t>
      </w:r>
    </w:p>
    <w:p w14:paraId="3B30429F" w14:textId="77777777" w:rsidR="009F23CB" w:rsidRPr="009F23CB" w:rsidRDefault="009F23CB" w:rsidP="009F23CB">
      <w:pPr>
        <w:pStyle w:val="ParaNoNdepar-AltN"/>
        <w:rPr>
          <w:rFonts w:cs="Times New Roman"/>
        </w:rPr>
      </w:pPr>
      <w:r w:rsidRPr="009F23CB">
        <w:rPr>
          <w:rFonts w:cs="Times New Roman"/>
        </w:rPr>
        <w:t xml:space="preserve">On a blended </w:t>
      </w:r>
      <w:r w:rsidRPr="009F23CB">
        <w:rPr>
          <w:rFonts w:cs="Times New Roman"/>
          <w:i/>
        </w:rPr>
        <w:t>voir dire</w:t>
      </w:r>
      <w:r w:rsidRPr="009F23CB">
        <w:rPr>
          <w:rFonts w:cs="Times New Roman"/>
        </w:rPr>
        <w:t xml:space="preserve">, the trial judge held that the Crown had proved the voluntariness of the appellants’ confessions beyond a reasonable doubt and that neither of their confessions should be excluded under s. 24(2) of the </w:t>
      </w:r>
      <w:r w:rsidRPr="009F23CB">
        <w:rPr>
          <w:rFonts w:cs="Times New Roman"/>
          <w:i/>
        </w:rPr>
        <w:t>Charter</w:t>
      </w:r>
      <w:r w:rsidRPr="009F23CB">
        <w:rPr>
          <w:rFonts w:cs="Times New Roman"/>
        </w:rPr>
        <w:t>.</w:t>
      </w:r>
    </w:p>
    <w:p w14:paraId="4578A008" w14:textId="77777777" w:rsidR="009F23CB" w:rsidRPr="009F23CB" w:rsidRDefault="009F23CB" w:rsidP="009F23CB">
      <w:pPr>
        <w:pStyle w:val="ParaNoNdepar-AltN"/>
        <w:rPr>
          <w:rFonts w:cs="Times New Roman"/>
        </w:rPr>
      </w:pPr>
      <w:r w:rsidRPr="009F23CB">
        <w:rPr>
          <w:rFonts w:cs="Times New Roman"/>
        </w:rPr>
        <w:t xml:space="preserve">First, the trial judge held that Beaver’s confession to Det. Hossack was voluntary. Applying </w:t>
      </w:r>
      <w:r w:rsidRPr="009F23CB">
        <w:rPr>
          <w:rFonts w:cs="Times New Roman"/>
          <w:i/>
        </w:rPr>
        <w:t>R. v. Oickle</w:t>
      </w:r>
      <w:r w:rsidRPr="009F23CB">
        <w:rPr>
          <w:rFonts w:cs="Times New Roman"/>
        </w:rPr>
        <w:t>, 2000 SCC 38, [2000] 2 S.C.R. 3, the trial judge concluded that Beaver had an operating mind and that the police did not extract his confession through threats, promises, police trickery, or oppressive tactics (paras. 82 and 94-95). Nothing Det. Hossack did during the interview broke Beaver’s will; “[w]hat did break his will was the version of events that Mr. Lambert had provided to Det. Demarino” (para. 96). Det. Hossack’s failure to repeat the police caution that Cst. Husband previously provided did not deprive Beaver of a meaningful choice as to whether to speak to the police, since “[t]here is no requirement that the police repeat the caution” if the accused “already indicates that he understands his right to refuse to answer questions” (para. 92).</w:t>
      </w:r>
    </w:p>
    <w:p w14:paraId="3FA03DAE" w14:textId="77777777" w:rsidR="009F23CB" w:rsidRPr="009F23CB" w:rsidRDefault="009F23CB" w:rsidP="009F23CB">
      <w:pPr>
        <w:pStyle w:val="ParaNoNdepar-AltN"/>
        <w:rPr>
          <w:rFonts w:cs="Times New Roman"/>
        </w:rPr>
      </w:pPr>
      <w:r w:rsidRPr="009F23CB">
        <w:rPr>
          <w:rFonts w:cs="Times New Roman"/>
        </w:rPr>
        <w:t>Second, the trial judge held that the police had reasonable and probable grounds to arrest both appellants for murder. Det. Vermette subjectively believed he had reasonable and probable grounds to arrest the appellants (at para. 151), and his belief was objectively reasonable “based on the trauma that Mr. Bower[s] suffered, the motive that [the appellants] had, and the opportunity [they had] to carry out their objectives” (para. 159).</w:t>
      </w:r>
    </w:p>
    <w:p w14:paraId="016B0FD6" w14:textId="77777777" w:rsidR="009F23CB" w:rsidRPr="009F23CB" w:rsidRDefault="009F23CB" w:rsidP="009F23CB">
      <w:pPr>
        <w:pStyle w:val="ParaNoNdepar-AltN"/>
        <w:rPr>
          <w:rFonts w:cs="Times New Roman"/>
        </w:rPr>
      </w:pPr>
      <w:r w:rsidRPr="009F23CB">
        <w:rPr>
          <w:rFonts w:cs="Times New Roman"/>
        </w:rPr>
        <w:t xml:space="preserve">Third, the trial judge held that the homicide detectives “cured” the </w:t>
      </w:r>
      <w:r w:rsidRPr="009F23CB">
        <w:rPr>
          <w:rFonts w:cs="Times New Roman"/>
          <w:i/>
        </w:rPr>
        <w:t xml:space="preserve">Charter </w:t>
      </w:r>
      <w:r w:rsidRPr="009F23CB">
        <w:rPr>
          <w:rFonts w:cs="Times New Roman"/>
        </w:rPr>
        <w:t>breaches arising from the appellants’ unlawful detention by making a “fresh start” and arresting the appellants for murder at the police headquarters (paras. 191 and 209). The Crown conceded and the trial judge found that the police breached ss. 9, 10(a), and 10(b)</w:t>
      </w:r>
      <w:r w:rsidRPr="009F23CB">
        <w:rPr>
          <w:rFonts w:cs="Times New Roman"/>
          <w:i/>
        </w:rPr>
        <w:t xml:space="preserve"> </w:t>
      </w:r>
      <w:r w:rsidRPr="009F23CB">
        <w:rPr>
          <w:rFonts w:cs="Times New Roman"/>
        </w:rPr>
        <w:t xml:space="preserve">of the </w:t>
      </w:r>
      <w:r w:rsidRPr="009F23CB">
        <w:rPr>
          <w:rFonts w:cs="Times New Roman"/>
          <w:i/>
        </w:rPr>
        <w:t>Charter</w:t>
      </w:r>
      <w:r w:rsidRPr="009F23CB">
        <w:rPr>
          <w:rFonts w:cs="Times New Roman"/>
        </w:rPr>
        <w:t xml:space="preserve"> in their initial interactions with the appellants. The appellants were unlawfully detained contrary to s. 9 of the </w:t>
      </w:r>
      <w:r w:rsidRPr="009F23CB">
        <w:rPr>
          <w:rFonts w:cs="Times New Roman"/>
          <w:i/>
        </w:rPr>
        <w:t>Charter</w:t>
      </w:r>
      <w:r w:rsidRPr="009F23CB">
        <w:rPr>
          <w:rFonts w:cs="Times New Roman"/>
        </w:rPr>
        <w:t xml:space="preserve"> because there was no statutory basis to detain them or any basis to place them under investigative detention at common law (paras. 149 and 229). Their ss. 10(a) and 10(b) </w:t>
      </w:r>
      <w:r w:rsidRPr="009F23CB">
        <w:rPr>
          <w:rFonts w:cs="Times New Roman"/>
          <w:i/>
        </w:rPr>
        <w:t xml:space="preserve">Charter </w:t>
      </w:r>
      <w:r w:rsidRPr="009F23CB">
        <w:rPr>
          <w:rFonts w:cs="Times New Roman"/>
        </w:rPr>
        <w:t xml:space="preserve">rights were also breached because they did not know the jeopardy they faced after being detained under non-existent legislation (paras. 183 and 188). Finally, Lambert’s s. 10(b) </w:t>
      </w:r>
      <w:r w:rsidRPr="009F23CB">
        <w:rPr>
          <w:rFonts w:cs="Times New Roman"/>
          <w:i/>
        </w:rPr>
        <w:t>Charter</w:t>
      </w:r>
      <w:r w:rsidRPr="009F23CB">
        <w:rPr>
          <w:rFonts w:cs="Times New Roman"/>
        </w:rPr>
        <w:t xml:space="preserve"> right was further infringed when Cst. Taylor asked him what had happened after Lambert said he wanted to speak to a lawyer (para. 185). Nevertheless, the “fresh start” made by the homicide detectives meant that the appellants’ confessions were not “obtained in a manner” that breached the </w:t>
      </w:r>
      <w:r w:rsidRPr="009F23CB">
        <w:rPr>
          <w:rFonts w:cs="Times New Roman"/>
          <w:i/>
        </w:rPr>
        <w:t>Charter</w:t>
      </w:r>
      <w:r w:rsidRPr="009F23CB">
        <w:rPr>
          <w:rFonts w:cs="Times New Roman"/>
        </w:rPr>
        <w:t>. There was thus no need to consider s. 24(2) (paras. 209 and 215).</w:t>
      </w:r>
    </w:p>
    <w:p w14:paraId="034B2D22" w14:textId="77777777" w:rsidR="009F23CB" w:rsidRPr="009F23CB" w:rsidRDefault="009F23CB" w:rsidP="009F23CB">
      <w:pPr>
        <w:pStyle w:val="ParaNoNdepar-AltN"/>
        <w:rPr>
          <w:rFonts w:cs="Times New Roman"/>
        </w:rPr>
      </w:pPr>
      <w:r w:rsidRPr="009F23CB">
        <w:rPr>
          <w:rFonts w:cs="Times New Roman"/>
        </w:rPr>
        <w:t xml:space="preserve">Fourth, in the alternative, the trial judge held that admitting the appellants’ confessions would not bring the administration of justice into disrepute (para. 254). Although the seriousness of the </w:t>
      </w:r>
      <w:r w:rsidRPr="009F23CB">
        <w:rPr>
          <w:rFonts w:cs="Times New Roman"/>
          <w:i/>
        </w:rPr>
        <w:t>Charter</w:t>
      </w:r>
      <w:r w:rsidRPr="009F23CB">
        <w:rPr>
          <w:rFonts w:cs="Times New Roman"/>
        </w:rPr>
        <w:t xml:space="preserve">-infringing state conduct in the initial police interactions favoured excluding the confessions, the minimal impact of the breaches on the appellants’ </w:t>
      </w:r>
      <w:r w:rsidRPr="009F23CB">
        <w:rPr>
          <w:rFonts w:cs="Times New Roman"/>
          <w:i/>
        </w:rPr>
        <w:t>Charter</w:t>
      </w:r>
      <w:r w:rsidRPr="009F23CB">
        <w:rPr>
          <w:rFonts w:cs="Times New Roman"/>
        </w:rPr>
        <w:t>-protected interests and society’s interest in adjudicating the case on the merits “tip[</w:t>
      </w:r>
      <w:proofErr w:type="spellStart"/>
      <w:r w:rsidRPr="009F23CB">
        <w:rPr>
          <w:rFonts w:cs="Times New Roman"/>
        </w:rPr>
        <w:t>ped</w:t>
      </w:r>
      <w:proofErr w:type="spellEnd"/>
      <w:r w:rsidRPr="009F23CB">
        <w:rPr>
          <w:rFonts w:cs="Times New Roman"/>
        </w:rPr>
        <w:t>] the balance in favour of admission” under s. 24(2) (para. 259).</w:t>
      </w:r>
    </w:p>
    <w:p w14:paraId="760F2127" w14:textId="77777777" w:rsidR="009F23CB" w:rsidRPr="009F23CB" w:rsidRDefault="009F23CB" w:rsidP="009F23CB">
      <w:pPr>
        <w:pStyle w:val="Title3LevelTitre3Niveau"/>
        <w:rPr>
          <w:rFonts w:cs="Times New Roman"/>
        </w:rPr>
      </w:pPr>
      <w:bookmarkStart w:id="24" w:name="_Toc109915192"/>
      <w:r w:rsidRPr="009F23CB">
        <w:rPr>
          <w:rFonts w:cs="Times New Roman"/>
        </w:rPr>
        <w:t>The Trial</w:t>
      </w:r>
      <w:bookmarkEnd w:id="24"/>
      <w:r w:rsidRPr="009F23CB">
        <w:rPr>
          <w:rFonts w:cs="Times New Roman"/>
        </w:rPr>
        <w:t xml:space="preserve"> Decision</w:t>
      </w:r>
    </w:p>
    <w:p w14:paraId="3D77DC86" w14:textId="77777777" w:rsidR="009F23CB" w:rsidRPr="009F23CB" w:rsidRDefault="009F23CB" w:rsidP="009F23CB">
      <w:pPr>
        <w:pStyle w:val="ParaNoNdepar-AltN"/>
        <w:rPr>
          <w:rFonts w:cs="Times New Roman"/>
          <w:lang w:val="en-US"/>
        </w:rPr>
      </w:pPr>
      <w:r w:rsidRPr="009F23CB">
        <w:rPr>
          <w:rFonts w:cs="Times New Roman"/>
        </w:rPr>
        <w:t>With the confessions admitted into evidence, the parties submitted an agreed statement of facts inviting the trial judge to convict Lambert and Beaver for manslaughter and to make the following factual findings and inferences: (1) Lambert and Beaver verbally argued with Bowers about the rent for the townhouse; (2) the argument turned into a violent scuffle involving all three men, resulting in Bowers’ death from “blunt force trauma to the neck”; (3) “[t]he force used by Lambert and Beaver caused the death of Bowers”; (4) Lambert and Beaver placed Bowers’ body at the bottom of the stairs and mopped up the blood to mislead the authorities about how he died; and (5) Lambert and Beaver “had an agreement as to what to falsely tell the authorities, and did so starting with Lambert’s 911 call” (R.R., at p. 48</w:t>
      </w:r>
      <w:r w:rsidRPr="009F23CB">
        <w:rPr>
          <w:rFonts w:cs="Times New Roman"/>
          <w:lang w:val="en-US"/>
        </w:rPr>
        <w:t>).</w:t>
      </w:r>
    </w:p>
    <w:p w14:paraId="3A53DBDE" w14:textId="77777777" w:rsidR="009F23CB" w:rsidRPr="009F23CB" w:rsidRDefault="009F23CB" w:rsidP="009F23CB">
      <w:pPr>
        <w:pStyle w:val="ParaNoNdepar-AltN"/>
        <w:rPr>
          <w:rFonts w:cs="Times New Roman"/>
        </w:rPr>
      </w:pPr>
      <w:r w:rsidRPr="009F23CB">
        <w:rPr>
          <w:rFonts w:cs="Times New Roman"/>
        </w:rPr>
        <w:t xml:space="preserve">The trial judge accepted the agreed statement of facts, made the invited factual findings and inferences, and convicted the appellants of manslaughter. </w:t>
      </w:r>
      <w:r w:rsidRPr="009F23CB">
        <w:rPr>
          <w:rFonts w:cs="Times New Roman"/>
          <w:lang w:val="en-US"/>
        </w:rPr>
        <w:t>The Crown then stayed the obstruction of justice charges.</w:t>
      </w:r>
    </w:p>
    <w:p w14:paraId="3E26AFA9" w14:textId="77777777" w:rsidR="009F23CB" w:rsidRPr="009F23CB" w:rsidRDefault="009F23CB" w:rsidP="009F23CB">
      <w:pPr>
        <w:pStyle w:val="ParaNoNdepar-AltN"/>
        <w:rPr>
          <w:rFonts w:cs="Times New Roman"/>
        </w:rPr>
      </w:pPr>
      <w:r w:rsidRPr="009F23CB">
        <w:rPr>
          <w:rFonts w:cs="Times New Roman"/>
          <w:lang w:val="en-US"/>
        </w:rPr>
        <w:t xml:space="preserve">The trial judge </w:t>
      </w:r>
      <w:r w:rsidRPr="009F23CB">
        <w:rPr>
          <w:rFonts w:cs="Times New Roman"/>
        </w:rPr>
        <w:t>sentenced the appellants to four years’ imprisonment, less credit for pretrial custody, and imposed various ancillary orders (2019 ABQB 235, paras. 78-81 (CanLII)). He found that the appellants killed Bowers in a “two on one” attack involving “gratuitous violence” (para. 31) and noted that they made a failed attempt to feign an accident by moving Bowers’ body to the bottom of the stairs. The trial judge concluded that the gravity of the offence and moral culpability of both appellants was “very high” (paras. 31 and 48-49).</w:t>
      </w:r>
    </w:p>
    <w:p w14:paraId="6D2DC254" w14:textId="77777777" w:rsidR="009F23CB" w:rsidRPr="009F23CB" w:rsidRDefault="009F23CB" w:rsidP="009F23CB">
      <w:pPr>
        <w:pStyle w:val="Title2LevelTitre2Niveau"/>
        <w:jc w:val="both"/>
        <w:rPr>
          <w:rFonts w:cs="Times New Roman"/>
        </w:rPr>
      </w:pPr>
      <w:bookmarkStart w:id="25" w:name="_Toc109490369"/>
      <w:bookmarkStart w:id="26" w:name="_Toc109915193"/>
      <w:bookmarkStart w:id="27" w:name="_Toc110968662"/>
      <w:r w:rsidRPr="009F23CB">
        <w:rPr>
          <w:rFonts w:cs="Times New Roman"/>
        </w:rPr>
        <w:t>Court of Appeal of Alberta, 2020 ABCA 203, 4 Alta. L.R. (7th) 301 (O’Ferrall, Wakeling and Feehan JJ.A.)</w:t>
      </w:r>
      <w:bookmarkEnd w:id="25"/>
      <w:bookmarkEnd w:id="26"/>
      <w:bookmarkEnd w:id="27"/>
    </w:p>
    <w:p w14:paraId="0F850BDA" w14:textId="77777777" w:rsidR="009F23CB" w:rsidRPr="009F23CB" w:rsidRDefault="009F23CB" w:rsidP="009F23CB">
      <w:pPr>
        <w:pStyle w:val="ParaNoNdepar-AltN"/>
        <w:rPr>
          <w:rFonts w:cs="Times New Roman"/>
        </w:rPr>
      </w:pPr>
      <w:r w:rsidRPr="009F23CB">
        <w:rPr>
          <w:rFonts w:cs="Times New Roman"/>
        </w:rPr>
        <w:t>The Court of Appeal dismissed the conviction appeals. There was no reviewable error in the trial judge’s assessment of voluntariness (paras. 30-31). The police also had reasonable and probable grounds to arrest the appellants for murder and “made a practical and common-sense decision” to arrest them “based on the information [Det. Vermette] had received by the time of the arrests” (para. 9).</w:t>
      </w:r>
    </w:p>
    <w:p w14:paraId="7E245D11" w14:textId="77777777" w:rsidR="009F23CB" w:rsidRPr="009F23CB" w:rsidRDefault="009F23CB" w:rsidP="009F23CB">
      <w:pPr>
        <w:pStyle w:val="ParaNoNdepar-AltN"/>
        <w:rPr>
          <w:rFonts w:cs="Times New Roman"/>
        </w:rPr>
      </w:pPr>
      <w:r w:rsidRPr="009F23CB">
        <w:rPr>
          <w:rFonts w:cs="Times New Roman"/>
        </w:rPr>
        <w:t xml:space="preserve">The Court of Appeal agreed that the homicide detectives made a “fresh start” in arresting the appellants, such that their confessions were not “obtained in a manner” that breached the </w:t>
      </w:r>
      <w:r w:rsidRPr="009F23CB">
        <w:rPr>
          <w:rFonts w:cs="Times New Roman"/>
          <w:i/>
        </w:rPr>
        <w:t>Charter</w:t>
      </w:r>
      <w:r w:rsidRPr="009F23CB">
        <w:rPr>
          <w:rFonts w:cs="Times New Roman"/>
        </w:rPr>
        <w:t xml:space="preserve"> (paras. 15 and 18). The police gathered little evidence of significance when the appellants were unlawfully detained, and the homicide detectives tried to insulate any subsequent evidence they might gather from the earlier </w:t>
      </w:r>
      <w:r w:rsidRPr="009F23CB">
        <w:rPr>
          <w:rFonts w:cs="Times New Roman"/>
          <w:i/>
        </w:rPr>
        <w:t xml:space="preserve">Charter </w:t>
      </w:r>
      <w:r w:rsidRPr="009F23CB">
        <w:rPr>
          <w:rFonts w:cs="Times New Roman"/>
        </w:rPr>
        <w:t xml:space="preserve">breaches (para. 17). There was “no causal connection” between any </w:t>
      </w:r>
      <w:r w:rsidRPr="009F23CB">
        <w:rPr>
          <w:rFonts w:cs="Times New Roman"/>
          <w:i/>
        </w:rPr>
        <w:t>Charter</w:t>
      </w:r>
      <w:r w:rsidRPr="009F23CB">
        <w:rPr>
          <w:rFonts w:cs="Times New Roman"/>
        </w:rPr>
        <w:t xml:space="preserve"> breach and the confessions, “arguably no temporal connection”, and “the context in which the confessions were given was completely different from the initial detention and early general questions” (para. 26). There was thus no need to consider whether the trial judge erred in his alternative s. 24(2) analysis (para. 27).</w:t>
      </w:r>
    </w:p>
    <w:p w14:paraId="54136231" w14:textId="77777777" w:rsidR="009F23CB" w:rsidRPr="009F23CB" w:rsidRDefault="009F23CB" w:rsidP="009F23CB">
      <w:pPr>
        <w:pStyle w:val="ParaNoNdepar-AltN"/>
        <w:rPr>
          <w:rFonts w:cs="Times New Roman"/>
        </w:rPr>
      </w:pPr>
      <w:r w:rsidRPr="009F23CB">
        <w:rPr>
          <w:rFonts w:cs="Times New Roman"/>
        </w:rPr>
        <w:t>The Court of Appeal later dismissed the sentence appeals (2021 ABCA 227).</w:t>
      </w:r>
    </w:p>
    <w:p w14:paraId="06AAC5F3" w14:textId="77777777" w:rsidR="009F23CB" w:rsidRPr="009F23CB" w:rsidRDefault="009F23CB" w:rsidP="009F23CB">
      <w:pPr>
        <w:pStyle w:val="Title1LevelTitre1Niveau-AltL"/>
        <w:jc w:val="both"/>
        <w:rPr>
          <w:rFonts w:cs="Times New Roman"/>
        </w:rPr>
      </w:pPr>
      <w:bookmarkStart w:id="28" w:name="_Toc109490370"/>
      <w:bookmarkStart w:id="29" w:name="_Toc109915194"/>
      <w:bookmarkStart w:id="30" w:name="_Toc110968663"/>
      <w:r w:rsidRPr="009F23CB">
        <w:rPr>
          <w:rFonts w:cs="Times New Roman"/>
        </w:rPr>
        <w:t>Issues</w:t>
      </w:r>
      <w:bookmarkEnd w:id="28"/>
      <w:bookmarkEnd w:id="29"/>
      <w:bookmarkEnd w:id="30"/>
    </w:p>
    <w:p w14:paraId="6078AE14" w14:textId="77777777" w:rsidR="009F23CB" w:rsidRPr="009F23CB" w:rsidRDefault="009F23CB" w:rsidP="009F23CB">
      <w:pPr>
        <w:pStyle w:val="ParaNoNdepar-AltN"/>
        <w:rPr>
          <w:rFonts w:cs="Times New Roman"/>
        </w:rPr>
      </w:pPr>
      <w:r w:rsidRPr="009F23CB">
        <w:rPr>
          <w:rFonts w:cs="Times New Roman"/>
        </w:rPr>
        <w:t>These appeals raise three issues:</w:t>
      </w:r>
    </w:p>
    <w:p w14:paraId="10BB14F4" w14:textId="77777777" w:rsidR="009F23CB" w:rsidRPr="009F23CB" w:rsidRDefault="009F23CB" w:rsidP="009F23CB">
      <w:pPr>
        <w:pStyle w:val="Title2LevelTitre2Niveau"/>
        <w:spacing w:before="0" w:after="240" w:line="480" w:lineRule="auto"/>
        <w:ind w:left="1742"/>
        <w:rPr>
          <w:rFonts w:cs="Times New Roman"/>
          <w:i w:val="0"/>
        </w:rPr>
      </w:pPr>
      <w:bookmarkStart w:id="31" w:name="_Toc109490371"/>
      <w:bookmarkStart w:id="32" w:name="_Toc109915195"/>
      <w:bookmarkStart w:id="33" w:name="_Toc110968514"/>
      <w:bookmarkStart w:id="34" w:name="_Toc110968664"/>
      <w:r w:rsidRPr="009F23CB">
        <w:rPr>
          <w:rFonts w:cs="Times New Roman"/>
          <w:i w:val="0"/>
        </w:rPr>
        <w:t>Was Beaver’s confession voluntary?</w:t>
      </w:r>
      <w:bookmarkEnd w:id="31"/>
      <w:bookmarkEnd w:id="32"/>
      <w:bookmarkEnd w:id="33"/>
      <w:bookmarkEnd w:id="34"/>
    </w:p>
    <w:p w14:paraId="741F8664" w14:textId="77777777" w:rsidR="009F23CB" w:rsidRPr="009F23CB" w:rsidRDefault="009F23CB" w:rsidP="009F23CB">
      <w:pPr>
        <w:pStyle w:val="Title2LevelTitre2Niveau"/>
        <w:spacing w:before="0" w:after="240" w:line="480" w:lineRule="auto"/>
        <w:ind w:left="1742"/>
        <w:rPr>
          <w:rFonts w:cs="Times New Roman"/>
          <w:i w:val="0"/>
        </w:rPr>
      </w:pPr>
      <w:bookmarkStart w:id="35" w:name="_Toc109490372"/>
      <w:bookmarkStart w:id="36" w:name="_Toc109915196"/>
      <w:bookmarkStart w:id="37" w:name="_Toc110968515"/>
      <w:bookmarkStart w:id="38" w:name="_Toc110968665"/>
      <w:r w:rsidRPr="009F23CB">
        <w:rPr>
          <w:rFonts w:cs="Times New Roman"/>
          <w:i w:val="0"/>
        </w:rPr>
        <w:t>Did the police have reasonable and probable grounds to arrest the appellants for murder?</w:t>
      </w:r>
      <w:bookmarkEnd w:id="35"/>
      <w:bookmarkEnd w:id="36"/>
      <w:bookmarkEnd w:id="37"/>
      <w:bookmarkEnd w:id="38"/>
    </w:p>
    <w:p w14:paraId="78739B8B" w14:textId="77777777" w:rsidR="009F23CB" w:rsidRPr="009F23CB" w:rsidRDefault="009F23CB" w:rsidP="009F23CB">
      <w:pPr>
        <w:pStyle w:val="Title2LevelTitre2Niveau"/>
        <w:spacing w:before="0" w:line="480" w:lineRule="auto"/>
        <w:ind w:left="1742"/>
        <w:rPr>
          <w:rFonts w:cs="Times New Roman"/>
        </w:rPr>
      </w:pPr>
      <w:bookmarkStart w:id="39" w:name="_Toc109490373"/>
      <w:bookmarkStart w:id="40" w:name="_Toc109915197"/>
      <w:bookmarkStart w:id="41" w:name="_Toc110968516"/>
      <w:bookmarkStart w:id="42" w:name="_Toc110968666"/>
      <w:r w:rsidRPr="009F23CB">
        <w:rPr>
          <w:rFonts w:cs="Times New Roman"/>
          <w:i w:val="0"/>
        </w:rPr>
        <w:t xml:space="preserve">Should the appellants’ confessions be excluded under s. 24(2) of the </w:t>
      </w:r>
      <w:r w:rsidRPr="009F23CB">
        <w:rPr>
          <w:rFonts w:cs="Times New Roman"/>
        </w:rPr>
        <w:t>Charter</w:t>
      </w:r>
      <w:r w:rsidRPr="009F23CB">
        <w:rPr>
          <w:rFonts w:cs="Times New Roman"/>
          <w:i w:val="0"/>
        </w:rPr>
        <w:t>?</w:t>
      </w:r>
      <w:bookmarkEnd w:id="39"/>
      <w:bookmarkEnd w:id="40"/>
      <w:bookmarkEnd w:id="41"/>
      <w:bookmarkEnd w:id="42"/>
    </w:p>
    <w:p w14:paraId="06230F06" w14:textId="77777777" w:rsidR="009F23CB" w:rsidRPr="009F23CB" w:rsidRDefault="009F23CB" w:rsidP="009F23CB">
      <w:pPr>
        <w:pStyle w:val="Title1LevelTitre1Niveau-AltL"/>
        <w:jc w:val="both"/>
        <w:rPr>
          <w:rFonts w:cs="Times New Roman"/>
        </w:rPr>
      </w:pPr>
      <w:bookmarkStart w:id="43" w:name="_Toc109490374"/>
      <w:bookmarkStart w:id="44" w:name="_Toc109915198"/>
      <w:bookmarkStart w:id="45" w:name="_Toc110968667"/>
      <w:r w:rsidRPr="009F23CB">
        <w:rPr>
          <w:rFonts w:cs="Times New Roman"/>
        </w:rPr>
        <w:t>Analysis</w:t>
      </w:r>
      <w:bookmarkEnd w:id="43"/>
      <w:bookmarkEnd w:id="44"/>
      <w:bookmarkEnd w:id="45"/>
    </w:p>
    <w:p w14:paraId="0A03FF79" w14:textId="77777777" w:rsidR="009F23CB" w:rsidRPr="009F23CB" w:rsidRDefault="009F23CB" w:rsidP="009F23CB">
      <w:pPr>
        <w:pStyle w:val="Title2LevelTitre2Niveau"/>
        <w:jc w:val="both"/>
        <w:rPr>
          <w:rFonts w:cs="Times New Roman"/>
        </w:rPr>
      </w:pPr>
      <w:bookmarkStart w:id="46" w:name="_Toc109490375"/>
      <w:bookmarkStart w:id="47" w:name="_Toc109915199"/>
      <w:bookmarkStart w:id="48" w:name="_Toc110968668"/>
      <w:r w:rsidRPr="009F23CB">
        <w:rPr>
          <w:rFonts w:cs="Times New Roman"/>
        </w:rPr>
        <w:t>Was Beaver’s Confession Voluntary?</w:t>
      </w:r>
      <w:bookmarkEnd w:id="46"/>
      <w:bookmarkEnd w:id="47"/>
      <w:bookmarkEnd w:id="48"/>
    </w:p>
    <w:p w14:paraId="566C7177" w14:textId="77777777" w:rsidR="009F23CB" w:rsidRPr="009F23CB" w:rsidRDefault="009F23CB" w:rsidP="009F23CB">
      <w:pPr>
        <w:pStyle w:val="ParaNoNdepar-AltN"/>
        <w:rPr>
          <w:rFonts w:cs="Times New Roman"/>
        </w:rPr>
      </w:pPr>
      <w:r w:rsidRPr="009F23CB">
        <w:rPr>
          <w:rFonts w:cs="Times New Roman"/>
        </w:rPr>
        <w:t xml:space="preserve">Before this Court, only Beaver challenges the voluntariness of his confession. He argues that his confession was involuntary and therefore inadmissible under the common law confessions rule. Beaver notes that the trial judge was the same trial judge as in </w:t>
      </w:r>
      <w:r w:rsidRPr="009F23CB">
        <w:rPr>
          <w:rFonts w:cs="Times New Roman"/>
          <w:i/>
        </w:rPr>
        <w:t>R. v. Tessier</w:t>
      </w:r>
      <w:r w:rsidRPr="009F23CB">
        <w:rPr>
          <w:rFonts w:cs="Times New Roman"/>
        </w:rPr>
        <w:t>, 2018 ABQB 387, a decision that the Court of Appeal of Alberta overturned as reflecting “an impoverished understanding of the modern confessions rule” (2020 ABCA 289, 12 Alta. L.R. (7th) 55, at para. 46). Since then, however, a majority of this Court, per Kasirer J., has overturned the Court of Appeal’s decision (2022 SCC 35 (“</w:t>
      </w:r>
      <w:r w:rsidRPr="009F23CB">
        <w:rPr>
          <w:rFonts w:cs="Times New Roman"/>
          <w:i/>
        </w:rPr>
        <w:t>Tessier (SCC)</w:t>
      </w:r>
      <w:r w:rsidRPr="009F23CB">
        <w:rPr>
          <w:rFonts w:cs="Times New Roman"/>
        </w:rPr>
        <w:t>”)).</w:t>
      </w:r>
    </w:p>
    <w:p w14:paraId="1949B807" w14:textId="77777777" w:rsidR="009F23CB" w:rsidRPr="009F23CB" w:rsidRDefault="009F23CB" w:rsidP="009F23CB">
      <w:pPr>
        <w:pStyle w:val="ParaNoNdepar-AltN"/>
        <w:rPr>
          <w:rFonts w:cs="Times New Roman"/>
        </w:rPr>
      </w:pPr>
      <w:r w:rsidRPr="009F23CB">
        <w:rPr>
          <w:rFonts w:cs="Times New Roman"/>
        </w:rPr>
        <w:t>As I will elaborate, I do not accept that Beaver’s confession was involuntary. It therefore need not be excluded under the common law confessions rule.</w:t>
      </w:r>
    </w:p>
    <w:p w14:paraId="3C259732" w14:textId="77777777" w:rsidR="009F23CB" w:rsidRPr="009F23CB" w:rsidRDefault="009F23CB" w:rsidP="009F23CB">
      <w:pPr>
        <w:pStyle w:val="Title3LevelTitre3Niveau"/>
        <w:jc w:val="both"/>
        <w:rPr>
          <w:rFonts w:cs="Times New Roman"/>
        </w:rPr>
      </w:pPr>
      <w:bookmarkStart w:id="49" w:name="_Toc109490377"/>
      <w:bookmarkStart w:id="50" w:name="_Toc109915201"/>
      <w:bookmarkStart w:id="51" w:name="_Toc110968669"/>
      <w:r w:rsidRPr="009F23CB">
        <w:rPr>
          <w:rFonts w:cs="Times New Roman"/>
        </w:rPr>
        <w:t>The Common Law Confessions Rule</w:t>
      </w:r>
      <w:bookmarkEnd w:id="49"/>
      <w:bookmarkEnd w:id="50"/>
      <w:bookmarkEnd w:id="51"/>
    </w:p>
    <w:p w14:paraId="09262AEA" w14:textId="77777777" w:rsidR="009F23CB" w:rsidRPr="009F23CB" w:rsidRDefault="009F23CB" w:rsidP="009F23CB">
      <w:pPr>
        <w:pStyle w:val="Title4LevelTitre4Niveau"/>
        <w:jc w:val="both"/>
        <w:rPr>
          <w:rFonts w:cs="Times New Roman"/>
        </w:rPr>
      </w:pPr>
      <w:bookmarkStart w:id="52" w:name="_Toc109915202"/>
      <w:r w:rsidRPr="009F23CB">
        <w:rPr>
          <w:rFonts w:cs="Times New Roman"/>
        </w:rPr>
        <w:t>General Principles</w:t>
      </w:r>
      <w:bookmarkEnd w:id="52"/>
    </w:p>
    <w:p w14:paraId="18490D01" w14:textId="77777777" w:rsidR="009F23CB" w:rsidRPr="009F23CB" w:rsidRDefault="009F23CB" w:rsidP="009F23CB">
      <w:pPr>
        <w:pStyle w:val="ParaNoNdepar-AltN"/>
        <w:rPr>
          <w:rFonts w:cs="Times New Roman"/>
        </w:rPr>
      </w:pPr>
      <w:r w:rsidRPr="009F23CB">
        <w:rPr>
          <w:rFonts w:cs="Times New Roman"/>
        </w:rPr>
        <w:t>The common law confessions rule provides that a confession to a person in authority is presumptively inadmissible, unless the Crown proves beyond a reasonable doubt that the confession was voluntary (</w:t>
      </w:r>
      <w:r w:rsidRPr="009F23CB">
        <w:rPr>
          <w:rFonts w:cs="Times New Roman"/>
          <w:i/>
        </w:rPr>
        <w:t>Oickle</w:t>
      </w:r>
      <w:r w:rsidRPr="009F23CB">
        <w:rPr>
          <w:rFonts w:cs="Times New Roman"/>
        </w:rPr>
        <w:t xml:space="preserve">, at paras. 30 and 68; </w:t>
      </w:r>
      <w:r w:rsidRPr="009F23CB">
        <w:rPr>
          <w:rFonts w:cs="Times New Roman"/>
          <w:i/>
        </w:rPr>
        <w:t>R. v. Spencer</w:t>
      </w:r>
      <w:r w:rsidRPr="009F23CB">
        <w:rPr>
          <w:rFonts w:cs="Times New Roman"/>
        </w:rPr>
        <w:t xml:space="preserve">, 2007 SCC 11, [2007] 1 S.C.R. 500, at para. 11; </w:t>
      </w:r>
      <w:r w:rsidRPr="009F23CB">
        <w:rPr>
          <w:rFonts w:cs="Times New Roman"/>
          <w:i/>
        </w:rPr>
        <w:t>Tessier (SCC)</w:t>
      </w:r>
      <w:r w:rsidRPr="009F23CB">
        <w:rPr>
          <w:rFonts w:cs="Times New Roman"/>
        </w:rPr>
        <w:t>, at paras. 39, 68 and 89). Under the confessions rule, an involuntary confession “always warrants exclusion” (</w:t>
      </w:r>
      <w:r w:rsidRPr="009F23CB">
        <w:rPr>
          <w:rFonts w:cs="Times New Roman"/>
          <w:i/>
        </w:rPr>
        <w:t>Oickle</w:t>
      </w:r>
      <w:r w:rsidRPr="009F23CB">
        <w:rPr>
          <w:rFonts w:cs="Times New Roman"/>
        </w:rPr>
        <w:t xml:space="preserve">, at para. 30; see also </w:t>
      </w:r>
      <w:r w:rsidRPr="009F23CB">
        <w:rPr>
          <w:rFonts w:cs="Times New Roman"/>
          <w:i/>
        </w:rPr>
        <w:t>R. v. Singh</w:t>
      </w:r>
      <w:r w:rsidRPr="009F23CB">
        <w:rPr>
          <w:rFonts w:cs="Times New Roman"/>
        </w:rPr>
        <w:t xml:space="preserve">, 2007 SCC 48, [2007] 3 S.C.R. 405, at para. 38). But a voluntary confession need not always be admitted into evidence. If a voluntary confession was obtained in a manner that breached the </w:t>
      </w:r>
      <w:r w:rsidRPr="009F23CB">
        <w:rPr>
          <w:rFonts w:cs="Times New Roman"/>
          <w:i/>
        </w:rPr>
        <w:t>Charter</w:t>
      </w:r>
      <w:r w:rsidRPr="009F23CB">
        <w:rPr>
          <w:rFonts w:cs="Times New Roman"/>
        </w:rPr>
        <w:t>, it</w:t>
      </w:r>
      <w:r w:rsidRPr="009F23CB">
        <w:rPr>
          <w:rFonts w:cs="Times New Roman"/>
          <w:i/>
        </w:rPr>
        <w:t xml:space="preserve"> </w:t>
      </w:r>
      <w:r w:rsidRPr="009F23CB">
        <w:rPr>
          <w:rFonts w:cs="Times New Roman"/>
        </w:rPr>
        <w:t>can still potentially be excluded under s. 24(2) (</w:t>
      </w:r>
      <w:r w:rsidRPr="009F23CB">
        <w:rPr>
          <w:rFonts w:cs="Times New Roman"/>
          <w:i/>
        </w:rPr>
        <w:t>Oickle</w:t>
      </w:r>
      <w:r w:rsidRPr="009F23CB">
        <w:rPr>
          <w:rFonts w:cs="Times New Roman"/>
        </w:rPr>
        <w:t xml:space="preserve">, at para. 30; </w:t>
      </w:r>
      <w:r w:rsidRPr="009F23CB">
        <w:rPr>
          <w:rFonts w:cs="Times New Roman"/>
          <w:i/>
        </w:rPr>
        <w:t>Singh</w:t>
      </w:r>
      <w:r w:rsidRPr="009F23CB">
        <w:rPr>
          <w:rFonts w:cs="Times New Roman"/>
        </w:rPr>
        <w:t>, at para. 38).</w:t>
      </w:r>
    </w:p>
    <w:p w14:paraId="4584A978" w14:textId="77777777" w:rsidR="009F23CB" w:rsidRPr="009F23CB" w:rsidRDefault="009F23CB" w:rsidP="009F23CB">
      <w:pPr>
        <w:pStyle w:val="ParaNoNdepar-AltN"/>
        <w:rPr>
          <w:rFonts w:cs="Times New Roman"/>
        </w:rPr>
      </w:pPr>
      <w:r w:rsidRPr="009F23CB">
        <w:rPr>
          <w:rFonts w:cs="Times New Roman"/>
        </w:rPr>
        <w:t>At the heart of the confessions rule is the delicate balance between individual rights and collective interests in the criminal justice system</w:t>
      </w:r>
      <w:r w:rsidRPr="009F23CB" w:rsidDel="0086647D">
        <w:rPr>
          <w:rFonts w:cs="Times New Roman"/>
        </w:rPr>
        <w:t xml:space="preserve"> </w:t>
      </w:r>
      <w:r w:rsidRPr="009F23CB">
        <w:rPr>
          <w:rFonts w:cs="Times New Roman"/>
        </w:rPr>
        <w:t>(</w:t>
      </w:r>
      <w:r w:rsidRPr="009F23CB">
        <w:rPr>
          <w:rFonts w:cs="Times New Roman"/>
          <w:i/>
        </w:rPr>
        <w:t>Singh</w:t>
      </w:r>
      <w:r w:rsidRPr="009F23CB">
        <w:rPr>
          <w:rFonts w:cs="Times New Roman"/>
        </w:rPr>
        <w:t xml:space="preserve">, at paras. 1, 21, 27-28, 31 and 34; </w:t>
      </w:r>
      <w:r w:rsidRPr="009F23CB">
        <w:rPr>
          <w:rFonts w:cs="Times New Roman"/>
          <w:i/>
        </w:rPr>
        <w:t>Tessier (SCC)</w:t>
      </w:r>
      <w:r w:rsidRPr="009F23CB">
        <w:rPr>
          <w:rFonts w:cs="Times New Roman"/>
        </w:rPr>
        <w:t xml:space="preserve">, at paras. 4 and 69; </w:t>
      </w:r>
      <w:r w:rsidRPr="009F23CB">
        <w:rPr>
          <w:rFonts w:cs="Times New Roman"/>
          <w:i/>
        </w:rPr>
        <w:t>Oickle</w:t>
      </w:r>
      <w:r w:rsidRPr="009F23CB">
        <w:rPr>
          <w:rFonts w:cs="Times New Roman"/>
        </w:rPr>
        <w:t>, at para. 33). The “twin goals” of the rule involve “protecting the rights of the accused without unduly limiting society’s need to investigate and solve crimes” (</w:t>
      </w:r>
      <w:r w:rsidRPr="009F23CB">
        <w:rPr>
          <w:rFonts w:cs="Times New Roman"/>
          <w:i/>
        </w:rPr>
        <w:t>Oickle</w:t>
      </w:r>
      <w:r w:rsidRPr="009F23CB">
        <w:rPr>
          <w:rFonts w:cs="Times New Roman"/>
        </w:rPr>
        <w:t>, at para. 33). On the one hand, the common law recognizes an individual’s right against self</w:t>
      </w:r>
      <w:r w:rsidRPr="009F23CB">
        <w:rPr>
          <w:rFonts w:cs="Times New Roman"/>
        </w:rPr>
        <w:noBreakHyphen/>
        <w:t>incrimination and right to remain silent, such that an individual need not give information to the police or answer their questions absent statutory or other legal compulsion; on the other hand, the police often need to speak to people when discharging their important public responsibility to investigate and solve crime.</w:t>
      </w:r>
    </w:p>
    <w:p w14:paraId="0D662CB9" w14:textId="77777777" w:rsidR="009F23CB" w:rsidRPr="009F23CB" w:rsidRDefault="009F23CB" w:rsidP="009F23CB">
      <w:pPr>
        <w:pStyle w:val="ParaNoNdepar-AltN"/>
        <w:rPr>
          <w:rFonts w:cs="Times New Roman"/>
        </w:rPr>
      </w:pPr>
      <w:r w:rsidRPr="009F23CB">
        <w:rPr>
          <w:rFonts w:cs="Times New Roman"/>
        </w:rPr>
        <w:t>Voluntariness, broadly defined, is the “touchstone” of the confessions rule (</w:t>
      </w:r>
      <w:r w:rsidRPr="009F23CB">
        <w:rPr>
          <w:rFonts w:cs="Times New Roman"/>
          <w:i/>
        </w:rPr>
        <w:t>Oickle</w:t>
      </w:r>
      <w:r w:rsidRPr="009F23CB">
        <w:rPr>
          <w:rFonts w:cs="Times New Roman"/>
        </w:rPr>
        <w:t xml:space="preserve">, at paras. 27, 32 and 69; </w:t>
      </w:r>
      <w:r w:rsidRPr="009F23CB">
        <w:rPr>
          <w:rFonts w:cs="Times New Roman"/>
          <w:i/>
        </w:rPr>
        <w:t>Spencer</w:t>
      </w:r>
      <w:r w:rsidRPr="009F23CB">
        <w:rPr>
          <w:rFonts w:cs="Times New Roman"/>
        </w:rPr>
        <w:t xml:space="preserve">, at para. 11; </w:t>
      </w:r>
      <w:r w:rsidRPr="009F23CB">
        <w:rPr>
          <w:rFonts w:cs="Times New Roman"/>
          <w:i/>
        </w:rPr>
        <w:t>Singh</w:t>
      </w:r>
      <w:r w:rsidRPr="009F23CB">
        <w:rPr>
          <w:rFonts w:cs="Times New Roman"/>
        </w:rPr>
        <w:t>, at para. 31). Voluntariness is a shorthand for a complex of values engaging policy concerns related to not only the reliability of confessions, but also to respect for individual free will, the need for the police to obey the law, and the fairness and repute of the criminal justice system. Involuntary confessions can be unreliable, unfair, and harmful to the reputation of the criminal justice system (</w:t>
      </w:r>
      <w:r w:rsidRPr="009F23CB">
        <w:rPr>
          <w:rFonts w:cs="Times New Roman"/>
          <w:i/>
        </w:rPr>
        <w:t>Oickle</w:t>
      </w:r>
      <w:r w:rsidRPr="009F23CB">
        <w:rPr>
          <w:rFonts w:cs="Times New Roman"/>
        </w:rPr>
        <w:t xml:space="preserve">, at paras. 32 and 70; </w:t>
      </w:r>
      <w:r w:rsidRPr="009F23CB">
        <w:rPr>
          <w:rFonts w:cs="Times New Roman"/>
          <w:i/>
        </w:rPr>
        <w:t>Singh</w:t>
      </w:r>
      <w:r w:rsidRPr="009F23CB">
        <w:rPr>
          <w:rFonts w:cs="Times New Roman"/>
        </w:rPr>
        <w:t xml:space="preserve">, at paras. 30 and 34; </w:t>
      </w:r>
      <w:r w:rsidRPr="009F23CB">
        <w:rPr>
          <w:rFonts w:cs="Times New Roman"/>
          <w:i/>
        </w:rPr>
        <w:t>Tessier (SCC)</w:t>
      </w:r>
      <w:r w:rsidRPr="009F23CB">
        <w:rPr>
          <w:rFonts w:cs="Times New Roman"/>
        </w:rPr>
        <w:t>, at paras. 70 and 72). A statement may be involuntary “because it is unreliable and raises the possibility of a false confession, or because it was unfairly obtained and ran afoul of the principle against self-incrimination and the right to silence” (</w:t>
      </w:r>
      <w:r w:rsidRPr="009F23CB">
        <w:rPr>
          <w:rFonts w:cs="Times New Roman"/>
          <w:i/>
        </w:rPr>
        <w:t>Tessier (SCC)</w:t>
      </w:r>
      <w:r w:rsidRPr="009F23CB">
        <w:rPr>
          <w:rFonts w:cs="Times New Roman"/>
        </w:rPr>
        <w:t>,</w:t>
      </w:r>
      <w:r w:rsidRPr="009F23CB">
        <w:rPr>
          <w:rFonts w:cs="Times New Roman"/>
          <w:i/>
        </w:rPr>
        <w:t xml:space="preserve"> </w:t>
      </w:r>
      <w:r w:rsidRPr="009F23CB">
        <w:rPr>
          <w:rFonts w:cs="Times New Roman"/>
        </w:rPr>
        <w:t>at para. 70).</w:t>
      </w:r>
    </w:p>
    <w:p w14:paraId="23CE7DAA" w14:textId="77777777" w:rsidR="009F23CB" w:rsidRPr="009F23CB" w:rsidRDefault="009F23CB" w:rsidP="009F23CB">
      <w:pPr>
        <w:pStyle w:val="ParaNoNdepar-AltN"/>
        <w:rPr>
          <w:rFonts w:cs="Times New Roman"/>
        </w:rPr>
      </w:pPr>
      <w:r w:rsidRPr="009F23CB">
        <w:rPr>
          <w:rFonts w:cs="Times New Roman"/>
        </w:rPr>
        <w:t>The application of the confessions rule is necessarily flexible and contextual. When assessing the voluntariness of a confession, the “trial judge must determine, based on the whole context of the case, whether the statements made by an accused were reliable and whether the conduct of the state served in any way to unfairly deprive the accused of their free choice to speak to a person in authority” (</w:t>
      </w:r>
      <w:r w:rsidRPr="009F23CB">
        <w:rPr>
          <w:rFonts w:cs="Times New Roman"/>
          <w:i/>
        </w:rPr>
        <w:t>Tessier (SCC)</w:t>
      </w:r>
      <w:r w:rsidRPr="009F23CB">
        <w:rPr>
          <w:rFonts w:cs="Times New Roman"/>
        </w:rPr>
        <w:t xml:space="preserve">, at para. 68). The trial judge must consider all relevant factors, including the presence of threats or promises, the existence of oppressive conditions, whether the accused had an operating mind, any police trickery that would “shock the community”, and the presence or absence of a police caution. These factors are not a checklist that supplants a contextual inquiry (see </w:t>
      </w:r>
      <w:r w:rsidRPr="009F23CB">
        <w:rPr>
          <w:rFonts w:cs="Times New Roman"/>
          <w:i/>
        </w:rPr>
        <w:t>Oickle</w:t>
      </w:r>
      <w:r w:rsidRPr="009F23CB">
        <w:rPr>
          <w:rFonts w:cs="Times New Roman"/>
        </w:rPr>
        <w:t xml:space="preserve">, at paras. 47, 66-67 and 71; </w:t>
      </w:r>
      <w:r w:rsidRPr="009F23CB">
        <w:rPr>
          <w:rFonts w:cs="Times New Roman"/>
          <w:i/>
        </w:rPr>
        <w:t>Spencer</w:t>
      </w:r>
      <w:r w:rsidRPr="009F23CB">
        <w:rPr>
          <w:rFonts w:cs="Times New Roman"/>
        </w:rPr>
        <w:t xml:space="preserve">, at paras. 11-12; </w:t>
      </w:r>
      <w:r w:rsidRPr="009F23CB">
        <w:rPr>
          <w:rFonts w:cs="Times New Roman"/>
          <w:i/>
        </w:rPr>
        <w:t>Singh</w:t>
      </w:r>
      <w:r w:rsidRPr="009F23CB">
        <w:rPr>
          <w:rFonts w:cs="Times New Roman"/>
        </w:rPr>
        <w:t xml:space="preserve">, at para. 35; </w:t>
      </w:r>
      <w:r w:rsidRPr="009F23CB">
        <w:rPr>
          <w:rFonts w:cs="Times New Roman"/>
          <w:i/>
        </w:rPr>
        <w:t>Tessier (SCC)</w:t>
      </w:r>
      <w:r w:rsidRPr="009F23CB">
        <w:rPr>
          <w:rFonts w:cs="Times New Roman"/>
        </w:rPr>
        <w:t>,</w:t>
      </w:r>
      <w:r w:rsidRPr="009F23CB">
        <w:rPr>
          <w:rFonts w:cs="Times New Roman"/>
          <w:i/>
        </w:rPr>
        <w:t xml:space="preserve"> </w:t>
      </w:r>
      <w:r w:rsidRPr="009F23CB">
        <w:rPr>
          <w:rFonts w:cs="Times New Roman"/>
        </w:rPr>
        <w:t>at paras. 5, 68, 76 and 87).</w:t>
      </w:r>
    </w:p>
    <w:p w14:paraId="43B7AF09" w14:textId="77777777" w:rsidR="009F23CB" w:rsidRPr="009F23CB" w:rsidRDefault="009F23CB" w:rsidP="009F23CB">
      <w:pPr>
        <w:pStyle w:val="Title4LevelTitre4Niveau"/>
        <w:jc w:val="both"/>
        <w:rPr>
          <w:rFonts w:cs="Times New Roman"/>
        </w:rPr>
      </w:pPr>
      <w:bookmarkStart w:id="53" w:name="_Toc109915203"/>
      <w:r w:rsidRPr="009F23CB">
        <w:rPr>
          <w:rFonts w:cs="Times New Roman"/>
        </w:rPr>
        <w:t>Oppression</w:t>
      </w:r>
      <w:bookmarkEnd w:id="53"/>
    </w:p>
    <w:p w14:paraId="78C2C2A9" w14:textId="77777777" w:rsidR="009F23CB" w:rsidRPr="009F23CB" w:rsidRDefault="009F23CB" w:rsidP="009F23CB">
      <w:pPr>
        <w:pStyle w:val="ParaNoNdepar-AltN"/>
        <w:rPr>
          <w:rFonts w:cs="Times New Roman"/>
        </w:rPr>
      </w:pPr>
      <w:r w:rsidRPr="009F23CB">
        <w:rPr>
          <w:rFonts w:cs="Times New Roman"/>
        </w:rPr>
        <w:t>Oppression focusses on the atmosphere of a police interview. This Court has accepted that “[o]ppression clearly has the potential to produce false confessions” because a suspect may “confes[s] purely out of a desire to escape [inhumane] conditions” (</w:t>
      </w:r>
      <w:r w:rsidRPr="009F23CB">
        <w:rPr>
          <w:rFonts w:cs="Times New Roman"/>
          <w:i/>
        </w:rPr>
        <w:t>Oickle</w:t>
      </w:r>
      <w:r w:rsidRPr="009F23CB">
        <w:rPr>
          <w:rFonts w:cs="Times New Roman"/>
        </w:rPr>
        <w:t>, at paras. 58 and 60). The non-exhaustive factors that can create oppressive conditions include depriving the suspect of food, clothing, water, sleep, or medical attention; denying access to counsel; or excessively aggressive, intimidating police questioning for a long time (</w:t>
      </w:r>
      <w:r w:rsidRPr="009F23CB">
        <w:rPr>
          <w:rFonts w:cs="Times New Roman"/>
          <w:i/>
        </w:rPr>
        <w:t>Oickle</w:t>
      </w:r>
      <w:r w:rsidRPr="009F23CB">
        <w:rPr>
          <w:rFonts w:cs="Times New Roman"/>
        </w:rPr>
        <w:t>,</w:t>
      </w:r>
      <w:r w:rsidRPr="009F23CB">
        <w:rPr>
          <w:rFonts w:cs="Times New Roman"/>
          <w:i/>
        </w:rPr>
        <w:t xml:space="preserve"> </w:t>
      </w:r>
      <w:r w:rsidRPr="009F23CB">
        <w:rPr>
          <w:rFonts w:cs="Times New Roman"/>
        </w:rPr>
        <w:t xml:space="preserve">at paras. 58-60; </w:t>
      </w:r>
      <w:r w:rsidRPr="009F23CB">
        <w:rPr>
          <w:rFonts w:cs="Times New Roman"/>
          <w:i/>
        </w:rPr>
        <w:t>Tessier (SCC)</w:t>
      </w:r>
      <w:r w:rsidRPr="009F23CB">
        <w:rPr>
          <w:rFonts w:cs="Times New Roman"/>
        </w:rPr>
        <w:t>, at para. 99).</w:t>
      </w:r>
    </w:p>
    <w:p w14:paraId="62B2B7CA" w14:textId="77777777" w:rsidR="009F23CB" w:rsidRPr="009F23CB" w:rsidRDefault="009F23CB" w:rsidP="009F23CB">
      <w:pPr>
        <w:pStyle w:val="Title4LevelTitre4Niveau"/>
        <w:jc w:val="both"/>
        <w:rPr>
          <w:rFonts w:cs="Times New Roman"/>
        </w:rPr>
      </w:pPr>
      <w:bookmarkStart w:id="54" w:name="_Toc109915204"/>
      <w:r w:rsidRPr="009F23CB">
        <w:rPr>
          <w:rFonts w:cs="Times New Roman"/>
        </w:rPr>
        <w:t>The Role of a Police Caution</w:t>
      </w:r>
      <w:bookmarkEnd w:id="54"/>
    </w:p>
    <w:p w14:paraId="7D41BDE2" w14:textId="77777777" w:rsidR="009F23CB" w:rsidRPr="009F23CB" w:rsidRDefault="009F23CB" w:rsidP="009F23CB">
      <w:pPr>
        <w:pStyle w:val="ParaNoNdepar-AltN"/>
        <w:rPr>
          <w:rFonts w:cs="Times New Roman"/>
          <w:lang w:bidi="en-US"/>
        </w:rPr>
      </w:pPr>
      <w:r w:rsidRPr="009F23CB">
        <w:rPr>
          <w:rFonts w:cs="Times New Roman"/>
          <w:lang w:bidi="en-US"/>
        </w:rPr>
        <w:t xml:space="preserve">The role of a police caution in the voluntariness analysis was recently clarified in </w:t>
      </w:r>
      <w:r w:rsidRPr="009F23CB">
        <w:rPr>
          <w:rFonts w:cs="Times New Roman"/>
          <w:i/>
          <w:lang w:bidi="en-US"/>
        </w:rPr>
        <w:t>Tessier (SCC)</w:t>
      </w:r>
      <w:r w:rsidRPr="009F23CB">
        <w:rPr>
          <w:rFonts w:cs="Times New Roman"/>
          <w:lang w:bidi="en-US"/>
        </w:rPr>
        <w:t xml:space="preserve">, where Kasirer J. affirmed, at para. </w:t>
      </w:r>
      <w:proofErr w:type="gramStart"/>
      <w:r w:rsidRPr="009F23CB">
        <w:rPr>
          <w:rFonts w:cs="Times New Roman"/>
          <w:lang w:bidi="en-US"/>
        </w:rPr>
        <w:t>5, that “the presence or absence of a police caution is an ‘important’ factor in answering the question of voluntariness”</w:t>
      </w:r>
      <w:proofErr w:type="gramEnd"/>
      <w:r w:rsidRPr="009F23CB">
        <w:rPr>
          <w:rFonts w:cs="Times New Roman"/>
          <w:lang w:bidi="en-US"/>
        </w:rPr>
        <w:t xml:space="preserve">, based on Charron J.’s guidance in </w:t>
      </w:r>
      <w:r w:rsidRPr="009F23CB">
        <w:rPr>
          <w:rFonts w:cs="Times New Roman"/>
          <w:i/>
          <w:lang w:bidi="en-US"/>
        </w:rPr>
        <w:t>Singh</w:t>
      </w:r>
      <w:r w:rsidRPr="009F23CB">
        <w:rPr>
          <w:rFonts w:cs="Times New Roman"/>
          <w:lang w:bidi="en-US"/>
        </w:rPr>
        <w:t xml:space="preserve">, at para. 33 (see also </w:t>
      </w:r>
      <w:r w:rsidRPr="009F23CB">
        <w:rPr>
          <w:rFonts w:cs="Times New Roman"/>
          <w:i/>
          <w:lang w:bidi="en-US"/>
        </w:rPr>
        <w:t>Singh</w:t>
      </w:r>
      <w:r w:rsidRPr="009F23CB">
        <w:rPr>
          <w:rFonts w:cs="Times New Roman"/>
          <w:lang w:bidi="en-US"/>
        </w:rPr>
        <w:t xml:space="preserve">, at para. 31; </w:t>
      </w:r>
      <w:r w:rsidRPr="009F23CB">
        <w:rPr>
          <w:rFonts w:cs="Times New Roman"/>
          <w:i/>
          <w:lang w:bidi="en-US"/>
        </w:rPr>
        <w:t>Boudreau v. The King</w:t>
      </w:r>
      <w:r w:rsidRPr="009F23CB">
        <w:rPr>
          <w:rFonts w:cs="Times New Roman"/>
          <w:lang w:bidi="en-US"/>
        </w:rPr>
        <w:t>, [1949] S.C.R. 262, at p. 267).</w:t>
      </w:r>
    </w:p>
    <w:p w14:paraId="5E1E90D1" w14:textId="77777777" w:rsidR="009F23CB" w:rsidRPr="009F23CB" w:rsidRDefault="009F23CB" w:rsidP="009F23CB">
      <w:pPr>
        <w:pStyle w:val="ParaNoNdepar-AltN"/>
        <w:rPr>
          <w:rFonts w:cs="Times New Roman"/>
        </w:rPr>
      </w:pPr>
      <w:r w:rsidRPr="009F23CB">
        <w:rPr>
          <w:rFonts w:cs="Times New Roman"/>
        </w:rPr>
        <w:t xml:space="preserve">In </w:t>
      </w:r>
      <w:r w:rsidRPr="009F23CB">
        <w:rPr>
          <w:rFonts w:cs="Times New Roman"/>
          <w:i/>
        </w:rPr>
        <w:t>Tessier (SCC)</w:t>
      </w:r>
      <w:r w:rsidRPr="009F23CB">
        <w:rPr>
          <w:rFonts w:cs="Times New Roman"/>
        </w:rPr>
        <w:t xml:space="preserve">, Kasirer J. explained that if the accused was a suspect, the absence of a caution is </w:t>
      </w:r>
      <w:r w:rsidRPr="009F23CB">
        <w:rPr>
          <w:rFonts w:cs="Times New Roman"/>
          <w:i/>
        </w:rPr>
        <w:t>prima facie</w:t>
      </w:r>
      <w:r w:rsidRPr="009F23CB">
        <w:rPr>
          <w:rFonts w:cs="Times New Roman"/>
        </w:rPr>
        <w:t xml:space="preserve"> evidence of — but does not itself establish — involuntariness (paras. 11 and 89). Neither a caution nor proof of actual knowledge of the right to silence is a necessary condition of voluntariness (</w:t>
      </w:r>
      <w:r w:rsidRPr="009F23CB">
        <w:rPr>
          <w:rFonts w:cs="Times New Roman"/>
          <w:i/>
        </w:rPr>
        <w:t>Tessier (SCC)</w:t>
      </w:r>
      <w:r w:rsidRPr="009F23CB">
        <w:rPr>
          <w:rFonts w:cs="Times New Roman"/>
        </w:rPr>
        <w:t xml:space="preserve">, at paras. 12 and 74; see also </w:t>
      </w:r>
      <w:r w:rsidRPr="009F23CB">
        <w:rPr>
          <w:rFonts w:cs="Times New Roman"/>
          <w:i/>
        </w:rPr>
        <w:t>Singh</w:t>
      </w:r>
      <w:r w:rsidRPr="009F23CB">
        <w:rPr>
          <w:rFonts w:cs="Times New Roman"/>
        </w:rPr>
        <w:t xml:space="preserve">, at paras. 31 and 33; </w:t>
      </w:r>
      <w:r w:rsidRPr="009F23CB">
        <w:rPr>
          <w:rFonts w:cs="Times New Roman"/>
          <w:i/>
        </w:rPr>
        <w:t>Boudreau</w:t>
      </w:r>
      <w:r w:rsidRPr="009F23CB">
        <w:rPr>
          <w:rFonts w:cs="Times New Roman"/>
        </w:rPr>
        <w:t>, at p. 267). Nevertheless, the absence of a caution “weighs heavily” in the voluntariness analysis because it is “</w:t>
      </w:r>
      <w:r w:rsidRPr="009F23CB">
        <w:rPr>
          <w:rFonts w:cs="Times New Roman"/>
          <w:i/>
        </w:rPr>
        <w:t>prima facie</w:t>
      </w:r>
      <w:r w:rsidRPr="009F23CB">
        <w:rPr>
          <w:rFonts w:cs="Times New Roman"/>
        </w:rPr>
        <w:t xml:space="preserve"> evidence that the suspect has been unfairly denied their choice to speak to the police and that, as a consequence, the statement cannot be considered voluntary” (</w:t>
      </w:r>
      <w:r w:rsidRPr="009F23CB">
        <w:rPr>
          <w:rFonts w:cs="Times New Roman"/>
          <w:i/>
        </w:rPr>
        <w:t>Tessier (SCC)</w:t>
      </w:r>
      <w:r w:rsidRPr="009F23CB">
        <w:rPr>
          <w:rFonts w:cs="Times New Roman"/>
        </w:rPr>
        <w:t>, at para. 11).</w:t>
      </w:r>
    </w:p>
    <w:p w14:paraId="55A69CBB" w14:textId="77777777" w:rsidR="009F23CB" w:rsidRPr="009F23CB" w:rsidRDefault="009F23CB" w:rsidP="009F23CB">
      <w:pPr>
        <w:pStyle w:val="ParaNoNdepar-AltN"/>
        <w:rPr>
          <w:rFonts w:cs="Times New Roman"/>
        </w:rPr>
      </w:pPr>
      <w:r w:rsidRPr="009F23CB">
        <w:rPr>
          <w:rFonts w:cs="Times New Roman"/>
        </w:rPr>
        <w:t>When the police have not given a caution, the Crown must “show that the absence of a caution did not undermine the suspect’s free choice to speak to the police as part of the contextual examination of voluntariness” (</w:t>
      </w:r>
      <w:r w:rsidRPr="009F23CB">
        <w:rPr>
          <w:rFonts w:cs="Times New Roman"/>
          <w:i/>
        </w:rPr>
        <w:t>Tessier (SCC)</w:t>
      </w:r>
      <w:r w:rsidRPr="009F23CB">
        <w:rPr>
          <w:rFonts w:cs="Times New Roman"/>
        </w:rPr>
        <w:t xml:space="preserve">, at para. 8). The absence of a caution may be afforded less weight when the suspect subjectively understood the right to silence or the consequences of speaking to the police. Kasirer J. provided the following guidance in </w:t>
      </w:r>
      <w:r w:rsidRPr="009F23CB">
        <w:rPr>
          <w:rFonts w:cs="Times New Roman"/>
          <w:i/>
        </w:rPr>
        <w:t>Tessier (SCC)</w:t>
      </w:r>
      <w:r w:rsidRPr="009F23CB">
        <w:rPr>
          <w:rFonts w:cs="Times New Roman"/>
        </w:rPr>
        <w:t>, at para. 88:</w:t>
      </w:r>
    </w:p>
    <w:p w14:paraId="73D7A6F8" w14:textId="77777777" w:rsidR="009F23CB" w:rsidRPr="009F23CB" w:rsidRDefault="009F23CB" w:rsidP="009F23CB">
      <w:pPr>
        <w:pStyle w:val="Citation-AltC"/>
        <w:ind w:firstLine="274"/>
      </w:pPr>
      <w:r w:rsidRPr="009F23CB">
        <w:t>While not necessary for the Crown to demonstrate, proof that the accused was in fact subjectively aware of their right to silence or aware of the consequences of speaking will be powerful evidence that the absence of a caution did not undermine voluntariness. In such an instance, doubts as to fairness that could result from the absence of a caution plainly do not arise because the suspect has the information necessary to choose whether to speak or remain silent.</w:t>
      </w:r>
    </w:p>
    <w:p w14:paraId="332D6DA8" w14:textId="77777777" w:rsidR="009F23CB" w:rsidRPr="009F23CB" w:rsidRDefault="009F23CB" w:rsidP="009F23CB">
      <w:pPr>
        <w:pStyle w:val="ParaNoNdepar-AltN"/>
        <w:rPr>
          <w:rFonts w:cs="Times New Roman"/>
        </w:rPr>
      </w:pPr>
      <w:r w:rsidRPr="009F23CB">
        <w:rPr>
          <w:rFonts w:cs="Times New Roman"/>
        </w:rPr>
        <w:t>Some of the non-exhaustive factors that can help show the suspect was subjectively aware of their right to silence or of the consequences of speaking to the police include (1) the suspect’s awareness of being recorded; (2) indications that the suspect is directing the conversation; (3) the suspect’s awareness of what is being investigated and their alleged role in the investigation; (4) the suspect’s exercise of the right to silence by declining to answer police questions; and (5) the suspect’s eagerness to talk, although this factor can weigh for and against such a finding, depending on the circumstances (</w:t>
      </w:r>
      <w:r w:rsidRPr="009F23CB">
        <w:rPr>
          <w:rFonts w:cs="Times New Roman"/>
          <w:i/>
        </w:rPr>
        <w:t>Tessier (SCC)</w:t>
      </w:r>
      <w:r w:rsidRPr="009F23CB">
        <w:rPr>
          <w:rFonts w:cs="Times New Roman"/>
        </w:rPr>
        <w:t>, at para. 88).</w:t>
      </w:r>
    </w:p>
    <w:p w14:paraId="70D49FB8" w14:textId="77777777" w:rsidR="009F23CB" w:rsidRPr="009F23CB" w:rsidRDefault="009F23CB" w:rsidP="009F23CB">
      <w:pPr>
        <w:pStyle w:val="ParaNoNdepar-AltN"/>
        <w:rPr>
          <w:rFonts w:cs="Times New Roman"/>
        </w:rPr>
      </w:pPr>
      <w:r w:rsidRPr="009F23CB">
        <w:rPr>
          <w:rFonts w:cs="Times New Roman"/>
        </w:rPr>
        <w:t>Absent an error of law in relation to the applicable legal principles, a trial judge’s application of the voluntariness framework is a question of fact or of mixed fact and law attracting appellate deference (</w:t>
      </w:r>
      <w:r w:rsidRPr="009F23CB">
        <w:rPr>
          <w:rFonts w:cs="Times New Roman"/>
          <w:i/>
        </w:rPr>
        <w:t>Oickle</w:t>
      </w:r>
      <w:r w:rsidRPr="009F23CB">
        <w:rPr>
          <w:rFonts w:cs="Times New Roman"/>
        </w:rPr>
        <w:t xml:space="preserve">, at para. 22; </w:t>
      </w:r>
      <w:r w:rsidRPr="009F23CB">
        <w:rPr>
          <w:rFonts w:cs="Times New Roman"/>
          <w:i/>
        </w:rPr>
        <w:t>Spencer</w:t>
      </w:r>
      <w:r w:rsidRPr="009F23CB">
        <w:rPr>
          <w:rFonts w:cs="Times New Roman"/>
        </w:rPr>
        <w:t xml:space="preserve">, at paras. 16-18; </w:t>
      </w:r>
      <w:r w:rsidRPr="009F23CB">
        <w:rPr>
          <w:rFonts w:cs="Times New Roman"/>
          <w:i/>
        </w:rPr>
        <w:t>Tessier (SCC)</w:t>
      </w:r>
      <w:r w:rsidRPr="009F23CB">
        <w:rPr>
          <w:rFonts w:cs="Times New Roman"/>
        </w:rPr>
        <w:t>, at para. 46). Mere disagreement with the weight given to various items of evidence is not a basis to reverse a trial judge’s finding of voluntariness (</w:t>
      </w:r>
      <w:r w:rsidRPr="009F23CB">
        <w:rPr>
          <w:rFonts w:cs="Times New Roman"/>
          <w:i/>
        </w:rPr>
        <w:t>Oickle</w:t>
      </w:r>
      <w:r w:rsidRPr="009F23CB">
        <w:rPr>
          <w:rFonts w:cs="Times New Roman"/>
        </w:rPr>
        <w:t>, at para. 22).</w:t>
      </w:r>
    </w:p>
    <w:p w14:paraId="28003FF2" w14:textId="77777777" w:rsidR="009F23CB" w:rsidRPr="009F23CB" w:rsidRDefault="009F23CB" w:rsidP="009F23CB">
      <w:pPr>
        <w:pStyle w:val="Title3LevelTitre3Niveau"/>
        <w:jc w:val="both"/>
        <w:rPr>
          <w:rFonts w:cs="Times New Roman"/>
        </w:rPr>
      </w:pPr>
      <w:bookmarkStart w:id="55" w:name="_Toc109490378"/>
      <w:bookmarkStart w:id="56" w:name="_Toc109915205"/>
      <w:bookmarkStart w:id="57" w:name="_Toc110968670"/>
      <w:r w:rsidRPr="009F23CB">
        <w:rPr>
          <w:rFonts w:cs="Times New Roman"/>
        </w:rPr>
        <w:t>Application</w:t>
      </w:r>
      <w:bookmarkEnd w:id="55"/>
      <w:bookmarkEnd w:id="56"/>
      <w:bookmarkEnd w:id="57"/>
    </w:p>
    <w:p w14:paraId="2CA1E22F"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Beaver claims that the trial judge and the Court of Appeal erred by taking a narrow approach to voluntariness that merely glossed over whether he had been denied his right to silence or had made a meaningful choice to speak with the police. He claims that the trial judge mechanically reviewed a checklist of voluntariness factors without considering the more fundamental question of whether he could make a meaningful choice to speak to the police when he was not informed of his jeopardy or properly advised that he had a choice about whether to give a statement. He also says that the duration of his interview and Det. Hossack’s “interview strategy” created an oppressive atmosphere. Lastly, he contends that the Court of Appeal improperly deferred to the trial judge’s finding of voluntariness without independent scrutiny.</w:t>
      </w:r>
    </w:p>
    <w:p w14:paraId="596EF28D"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As I will explain, I disagree with Beaver’s submission that his confession was involuntary.</w:t>
      </w:r>
    </w:p>
    <w:p w14:paraId="105BDE06" w14:textId="77777777" w:rsidR="009F23CB" w:rsidRPr="009F23CB" w:rsidRDefault="009F23CB" w:rsidP="009F23CB">
      <w:pPr>
        <w:pStyle w:val="Title4LevelTitre4Niveau"/>
        <w:jc w:val="both"/>
        <w:rPr>
          <w:rFonts w:cs="Times New Roman"/>
        </w:rPr>
      </w:pPr>
      <w:bookmarkStart w:id="58" w:name="_Toc109915207"/>
      <w:r w:rsidRPr="009F23CB">
        <w:rPr>
          <w:rFonts w:cs="Times New Roman"/>
        </w:rPr>
        <w:t>The Trial Judge Correctly Stated the Law and Concluded That Beaver’s Confession Was Voluntary Based on Three Findings of Fact</w:t>
      </w:r>
      <w:bookmarkEnd w:id="58"/>
    </w:p>
    <w:p w14:paraId="2F6134A4"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 xml:space="preserve">As the Court of Appeal held (at paras. 28-29), the trial judge correctly cited the general legal principles of voluntariness from </w:t>
      </w:r>
      <w:r w:rsidRPr="009F23CB">
        <w:rPr>
          <w:rFonts w:cs="Times New Roman"/>
          <w:i/>
        </w:rPr>
        <w:t>Oickle</w:t>
      </w:r>
      <w:r w:rsidRPr="009F23CB">
        <w:rPr>
          <w:rFonts w:cs="Times New Roman"/>
        </w:rPr>
        <w:t xml:space="preserve"> and </w:t>
      </w:r>
      <w:r w:rsidRPr="009F23CB">
        <w:rPr>
          <w:rFonts w:cs="Times New Roman"/>
          <w:i/>
        </w:rPr>
        <w:t>Singh</w:t>
      </w:r>
      <w:r w:rsidRPr="009F23CB">
        <w:rPr>
          <w:rFonts w:cs="Times New Roman"/>
        </w:rPr>
        <w:t xml:space="preserve"> (paras. 43-46). He properly noted that voluntariness is the touchstone of the confessions rule and must be examined contextually (para. 44). He also correctly stated that although an individual has the right to remain silent, this does not mean that they have a right not to be spoken to by the police (para. 45). Absent any identifiable legal error in the trial judge’s statement of the relevant legal principles, Beaver’s real quarrel is with how the trial judge applied these principles when concluding that his confession was voluntary.</w:t>
      </w:r>
    </w:p>
    <w:p w14:paraId="3F2D54B7" w14:textId="77777777" w:rsidR="009F23CB" w:rsidRPr="009F23CB" w:rsidRDefault="009F23CB" w:rsidP="009F23CB">
      <w:pPr>
        <w:pStyle w:val="ParaNoNdepar-AltN"/>
        <w:tabs>
          <w:tab w:val="clear" w:pos="1152"/>
          <w:tab w:val="num" w:pos="1080"/>
          <w:tab w:val="left" w:pos="8010"/>
        </w:tabs>
        <w:spacing w:after="0"/>
        <w:rPr>
          <w:rFonts w:cs="Times New Roman"/>
        </w:rPr>
      </w:pPr>
      <w:r w:rsidRPr="009F23CB">
        <w:rPr>
          <w:rFonts w:cs="Times New Roman"/>
        </w:rPr>
        <w:t>In my view, the trial judge made three findings of fact that justified his conclusion that Beaver’s confession was voluntary: (1) Beaver was given a police caution and understood that he did not have to speak to the police and that anything he said could be used in evidence; (2) Beaver knew exactly why the police were interviewing him after he was arrested for murder, which undermines his argument that he did not know the jeopardy he faced when he was arrested; and (3) Beaver confessed because he was confronted with Lambert’s videotaped confession. I will address each finding in turn.</w:t>
      </w:r>
    </w:p>
    <w:p w14:paraId="4917C1DA" w14:textId="77777777" w:rsidR="009F23CB" w:rsidRPr="009F23CB" w:rsidRDefault="009F23CB" w:rsidP="009F23CB">
      <w:pPr>
        <w:pStyle w:val="Title5LevelTitre5Niveau"/>
        <w:ind w:left="1152"/>
        <w:jc w:val="both"/>
        <w:rPr>
          <w:rFonts w:cs="Times New Roman"/>
        </w:rPr>
      </w:pPr>
      <w:bookmarkStart w:id="59" w:name="_Toc109915208"/>
      <w:r w:rsidRPr="009F23CB">
        <w:rPr>
          <w:rFonts w:cs="Times New Roman"/>
        </w:rPr>
        <w:t>Beaver Was Given a Police Caution and Understood It</w:t>
      </w:r>
      <w:bookmarkEnd w:id="59"/>
    </w:p>
    <w:p w14:paraId="2F74AC13" w14:textId="77777777" w:rsidR="009F23CB" w:rsidRPr="009F23CB" w:rsidRDefault="009F23CB" w:rsidP="009F23CB">
      <w:pPr>
        <w:pStyle w:val="ParaNoNdepar-AltN"/>
        <w:rPr>
          <w:rFonts w:cs="Times New Roman"/>
        </w:rPr>
      </w:pPr>
      <w:r w:rsidRPr="009F23CB">
        <w:rPr>
          <w:rFonts w:cs="Times New Roman"/>
        </w:rPr>
        <w:t xml:space="preserve">First, the trial judge found as fact that Beaver was given a police caution and understood it (paras. 90-91). He was given a police caution at the scene, even if only when he was unlawfully detained. Cst. Husband used standard wording, telling him: “You’re not obliged to say anything unless you wish to do so, but whatever you say may be given in evidence” (A.R., vol. III, at p. 30; see also </w:t>
      </w:r>
      <w:r w:rsidRPr="009F23CB">
        <w:rPr>
          <w:rFonts w:cs="Times New Roman"/>
          <w:i/>
        </w:rPr>
        <w:t>Singh</w:t>
      </w:r>
      <w:r w:rsidRPr="009F23CB">
        <w:rPr>
          <w:rFonts w:cs="Times New Roman"/>
        </w:rPr>
        <w:t xml:space="preserve">, at para. 31; </w:t>
      </w:r>
      <w:r w:rsidRPr="009F23CB">
        <w:rPr>
          <w:rFonts w:cs="Times New Roman"/>
          <w:i/>
        </w:rPr>
        <w:t>R. v. Manninen</w:t>
      </w:r>
      <w:r w:rsidRPr="009F23CB">
        <w:rPr>
          <w:rFonts w:cs="Times New Roman"/>
        </w:rPr>
        <w:t>, [1987] 1 S.C.R. 1233, at p. 1237). This caution informed Beaver of his right to remain silent “in plain language” (</w:t>
      </w:r>
      <w:r w:rsidRPr="009F23CB">
        <w:rPr>
          <w:rFonts w:cs="Times New Roman"/>
          <w:i/>
        </w:rPr>
        <w:t>Singh</w:t>
      </w:r>
      <w:r w:rsidRPr="009F23CB">
        <w:rPr>
          <w:rFonts w:cs="Times New Roman"/>
        </w:rPr>
        <w:t>, at para. 31).</w:t>
      </w:r>
    </w:p>
    <w:p w14:paraId="29FA339D" w14:textId="77777777" w:rsidR="009F23CB" w:rsidRPr="009F23CB" w:rsidRDefault="009F23CB" w:rsidP="009F23CB">
      <w:pPr>
        <w:pStyle w:val="ParaNoNdepar-AltN"/>
        <w:rPr>
          <w:rFonts w:cs="Times New Roman"/>
        </w:rPr>
      </w:pPr>
      <w:r w:rsidRPr="009F23CB">
        <w:rPr>
          <w:rFonts w:cs="Times New Roman"/>
        </w:rPr>
        <w:t>The trial judge appreciated that the question before him was whether Beaver’s confession was voluntary, even though Det. Hossack did not caution Beaver during her interview at the station but referred back to Cst. Husband’s caution at the scene (paras. 90-91). The trial judge stated that “[t]here is no requirement that the police repeat the caution more than once if the accused person already indicates that he understands his right to refuse to answer questions” (para. 92).</w:t>
      </w:r>
    </w:p>
    <w:p w14:paraId="7E9AD849" w14:textId="77777777" w:rsidR="009F23CB" w:rsidRPr="009F23CB" w:rsidRDefault="009F23CB" w:rsidP="009F23CB">
      <w:pPr>
        <w:pStyle w:val="ParaNoNdepar-AltN"/>
        <w:rPr>
          <w:rFonts w:cs="Times New Roman"/>
        </w:rPr>
      </w:pPr>
      <w:r w:rsidRPr="009F23CB">
        <w:rPr>
          <w:rFonts w:cs="Times New Roman"/>
        </w:rPr>
        <w:t>Here, the fact that Det. Hossack did not caution Beaver again upon his arrest is not “</w:t>
      </w:r>
      <w:r w:rsidRPr="009F23CB">
        <w:rPr>
          <w:rFonts w:cs="Times New Roman"/>
          <w:i/>
        </w:rPr>
        <w:t>prima facie</w:t>
      </w:r>
      <w:r w:rsidRPr="009F23CB">
        <w:rPr>
          <w:rFonts w:cs="Times New Roman"/>
        </w:rPr>
        <w:t xml:space="preserve"> evidence that the suspect has been unfairly denied their choice to speak to the police” (</w:t>
      </w:r>
      <w:r w:rsidRPr="009F23CB">
        <w:rPr>
          <w:rFonts w:cs="Times New Roman"/>
          <w:i/>
        </w:rPr>
        <w:t>Tessier (SCC)</w:t>
      </w:r>
      <w:r w:rsidRPr="009F23CB">
        <w:rPr>
          <w:rFonts w:cs="Times New Roman"/>
        </w:rPr>
        <w:t xml:space="preserve">, at para. 11). Unlike the accused in </w:t>
      </w:r>
      <w:r w:rsidRPr="009F23CB">
        <w:rPr>
          <w:rFonts w:cs="Times New Roman"/>
          <w:i/>
        </w:rPr>
        <w:t>Tessier</w:t>
      </w:r>
      <w:r w:rsidRPr="009F23CB">
        <w:rPr>
          <w:rFonts w:cs="Times New Roman"/>
        </w:rPr>
        <w:t>,</w:t>
      </w:r>
      <w:r w:rsidRPr="009F23CB">
        <w:rPr>
          <w:rFonts w:cs="Times New Roman"/>
          <w:i/>
        </w:rPr>
        <w:t xml:space="preserve"> </w:t>
      </w:r>
      <w:r w:rsidRPr="009F23CB">
        <w:rPr>
          <w:rFonts w:cs="Times New Roman"/>
        </w:rPr>
        <w:t>Beaver had been cautioned and understood the caution. Even if it would have been preferable for Det. Hossack to have repeated the caution when Beaver was arrested for murder, a caution is not a condition of voluntariness (</w:t>
      </w:r>
      <w:r w:rsidRPr="009F23CB">
        <w:rPr>
          <w:rFonts w:cs="Times New Roman"/>
          <w:i/>
        </w:rPr>
        <w:t>Tessier (SCC)</w:t>
      </w:r>
      <w:r w:rsidRPr="009F23CB">
        <w:rPr>
          <w:rFonts w:cs="Times New Roman"/>
        </w:rPr>
        <w:t>, at para. 89). Put otherwise, the absence of a caution in itself does not “bind the hands of the Court” by automatically rendering a subsequent confession involuntary (</w:t>
      </w:r>
      <w:r w:rsidRPr="009F23CB">
        <w:rPr>
          <w:rFonts w:cs="Times New Roman"/>
          <w:i/>
        </w:rPr>
        <w:t>Boudreau</w:t>
      </w:r>
      <w:r w:rsidRPr="009F23CB">
        <w:rPr>
          <w:rFonts w:cs="Times New Roman"/>
        </w:rPr>
        <w:t xml:space="preserve">, at p. 267, quoted by Charron J. in </w:t>
      </w:r>
      <w:r w:rsidRPr="009F23CB">
        <w:rPr>
          <w:rFonts w:cs="Times New Roman"/>
          <w:i/>
        </w:rPr>
        <w:t>Singh</w:t>
      </w:r>
      <w:r w:rsidRPr="009F23CB">
        <w:rPr>
          <w:rFonts w:cs="Times New Roman"/>
        </w:rPr>
        <w:t>, at para. 31).</w:t>
      </w:r>
    </w:p>
    <w:p w14:paraId="156868F3" w14:textId="77777777" w:rsidR="009F23CB" w:rsidRPr="009F23CB" w:rsidRDefault="009F23CB" w:rsidP="009F23CB">
      <w:pPr>
        <w:pStyle w:val="Title5LevelTitre5Niveau"/>
        <w:ind w:left="1152"/>
        <w:jc w:val="both"/>
        <w:rPr>
          <w:rFonts w:cs="Times New Roman"/>
        </w:rPr>
      </w:pPr>
      <w:bookmarkStart w:id="60" w:name="_Toc109915209"/>
      <w:r w:rsidRPr="009F23CB">
        <w:rPr>
          <w:rFonts w:cs="Times New Roman"/>
        </w:rPr>
        <w:t xml:space="preserve">Beaver Knew the Police Were Interviewing Him in a Murder Investigation and </w:t>
      </w:r>
      <w:bookmarkEnd w:id="60"/>
      <w:r w:rsidRPr="009F23CB">
        <w:rPr>
          <w:rFonts w:cs="Times New Roman"/>
        </w:rPr>
        <w:t>Subjectively Understood the Consequences of Speaking With the Police</w:t>
      </w:r>
    </w:p>
    <w:p w14:paraId="618EF2A4" w14:textId="77777777" w:rsidR="009F23CB" w:rsidRPr="009F23CB" w:rsidRDefault="009F23CB" w:rsidP="009F23CB">
      <w:pPr>
        <w:pStyle w:val="ParaNoNdepar-AltN"/>
        <w:rPr>
          <w:rFonts w:cs="Times New Roman"/>
        </w:rPr>
      </w:pPr>
      <w:r w:rsidRPr="009F23CB">
        <w:rPr>
          <w:rFonts w:cs="Times New Roman"/>
        </w:rPr>
        <w:t xml:space="preserve">Second, and relatedly, the trial judge found as fact that Beaver knew why Det. Hossack was interviewing him after he had been arrested for murder and what he would be questioned about (paras. 83, 93 and 246). Before proceeding with the interview, Det. Hossack told Beaver “right now you’re under arrest for murder” (A.R., vol. III, at p. 51; ABQB </w:t>
      </w:r>
      <w:r w:rsidRPr="009F23CB">
        <w:rPr>
          <w:rFonts w:cs="Times New Roman"/>
          <w:i/>
        </w:rPr>
        <w:t>voir dire</w:t>
      </w:r>
      <w:r w:rsidRPr="009F23CB">
        <w:rPr>
          <w:rFonts w:cs="Times New Roman"/>
        </w:rPr>
        <w:t xml:space="preserve"> reasons, at para. 93). Thus, even though Beaver did not know his jeopardy when he was unlawfully detained, he did know his jeopardy when he was arrested.</w:t>
      </w:r>
    </w:p>
    <w:p w14:paraId="43FF588B" w14:textId="77777777" w:rsidR="009F23CB" w:rsidRPr="009F23CB" w:rsidRDefault="009F23CB" w:rsidP="009F23CB">
      <w:pPr>
        <w:pStyle w:val="ParaNoNdepar-AltN"/>
        <w:rPr>
          <w:rFonts w:cs="Times New Roman"/>
        </w:rPr>
      </w:pPr>
      <w:r w:rsidRPr="009F23CB">
        <w:rPr>
          <w:rFonts w:cs="Times New Roman"/>
        </w:rPr>
        <w:t>Beaver subjectively knew the consequences of speaking with the police upon his arrest (</w:t>
      </w:r>
      <w:r w:rsidRPr="009F23CB">
        <w:rPr>
          <w:rFonts w:cs="Times New Roman"/>
          <w:i/>
        </w:rPr>
        <w:t>Tessier (SCC)</w:t>
      </w:r>
      <w:r w:rsidRPr="009F23CB">
        <w:rPr>
          <w:rFonts w:cs="Times New Roman"/>
        </w:rPr>
        <w:t>, at para. 88). For example, in formally waiving his right to counsel, Beaver confirmed that he understood that Det. Hossack could only take a statement from him if Det. Hossack was sure that Beaver did not want to exercise his right to contact a lawyer and that any statement he gave could be used in evidence against him. Det. Hossack also told Beaver four times that everything he said was being recorded, which Beaver acknowledged. Beaver then initiated the conversation by asking Det. Hossack, “[o]kay, where should I start? How ‘bout yesterday?” (A.R., vol. III, at p. 58).</w:t>
      </w:r>
    </w:p>
    <w:p w14:paraId="35F4939B" w14:textId="77777777" w:rsidR="009F23CB" w:rsidRPr="009F23CB" w:rsidRDefault="009F23CB" w:rsidP="009F23CB">
      <w:pPr>
        <w:pStyle w:val="ParaNoNdepar-AltN"/>
        <w:rPr>
          <w:rFonts w:cs="Times New Roman"/>
        </w:rPr>
      </w:pPr>
      <w:r w:rsidRPr="009F23CB">
        <w:rPr>
          <w:rFonts w:cs="Times New Roman"/>
        </w:rPr>
        <w:t xml:space="preserve">Because the trial judge found as fact that Beaver “knew exactly why Det. Hossack was interviewing him” (para. 93), this is a case in which “doubts as to </w:t>
      </w:r>
      <w:proofErr w:type="gramStart"/>
      <w:r w:rsidRPr="009F23CB">
        <w:rPr>
          <w:rFonts w:cs="Times New Roman"/>
        </w:rPr>
        <w:t>fairness .</w:t>
      </w:r>
      <w:proofErr w:type="gramEnd"/>
      <w:r w:rsidRPr="009F23CB">
        <w:rPr>
          <w:rFonts w:cs="Times New Roman"/>
        </w:rPr>
        <w:t> . . from the absence of a caution plainly do not arise” (</w:t>
      </w:r>
      <w:r w:rsidRPr="009F23CB">
        <w:rPr>
          <w:rFonts w:cs="Times New Roman"/>
          <w:i/>
        </w:rPr>
        <w:t>Tessier (SCC)</w:t>
      </w:r>
      <w:r w:rsidRPr="009F23CB">
        <w:rPr>
          <w:rFonts w:cs="Times New Roman"/>
        </w:rPr>
        <w:t>, at para. 88).</w:t>
      </w:r>
    </w:p>
    <w:p w14:paraId="02CF6340" w14:textId="77777777" w:rsidR="009F23CB" w:rsidRPr="009F23CB" w:rsidRDefault="009F23CB" w:rsidP="009F23CB">
      <w:pPr>
        <w:pStyle w:val="ParaNoNdepar-AltN"/>
        <w:rPr>
          <w:rFonts w:cs="Times New Roman"/>
        </w:rPr>
      </w:pPr>
      <w:r w:rsidRPr="009F23CB">
        <w:rPr>
          <w:rFonts w:cs="Times New Roman"/>
        </w:rPr>
        <w:t xml:space="preserve">Even so, Beaver argues that Det. Hossack unfairly deprived him of a meaningful choice about whether to speak to the police. He says that Det. Hossack was “deliberately casual” when arresting him for murder, including by telling him the caution was “no different than what uh, Constable Husband read to [him]” and that being arrested “doesn’t mean [he’s] gonna be charged with anything. All that means is right </w:t>
      </w:r>
      <w:proofErr w:type="gramStart"/>
      <w:r w:rsidRPr="009F23CB">
        <w:rPr>
          <w:rFonts w:cs="Times New Roman"/>
        </w:rPr>
        <w:t>now .</w:t>
      </w:r>
      <w:proofErr w:type="gramEnd"/>
      <w:r w:rsidRPr="009F23CB">
        <w:rPr>
          <w:rFonts w:cs="Times New Roman"/>
        </w:rPr>
        <w:t> . . that [he] can’t leave, ‘kay?” (</w:t>
      </w:r>
      <w:r w:rsidRPr="009F23CB">
        <w:rPr>
          <w:rFonts w:cs="Times New Roman"/>
          <w:lang w:bidi="en-US"/>
        </w:rPr>
        <w:t xml:space="preserve">Beaver factum, at para. 37; </w:t>
      </w:r>
      <w:r w:rsidRPr="009F23CB">
        <w:rPr>
          <w:rFonts w:cs="Times New Roman"/>
        </w:rPr>
        <w:t>A.R., vol. III, at p. 51). It is this “pernicious” language that Beaver impugns (</w:t>
      </w:r>
      <w:r w:rsidRPr="009F23CB">
        <w:rPr>
          <w:rFonts w:cs="Times New Roman"/>
          <w:lang w:bidi="en-US"/>
        </w:rPr>
        <w:t>Beaver factum, at para. 37)</w:t>
      </w:r>
      <w:r w:rsidRPr="009F23CB">
        <w:rPr>
          <w:rFonts w:cs="Times New Roman"/>
        </w:rPr>
        <w:t>.</w:t>
      </w:r>
    </w:p>
    <w:p w14:paraId="691F3BBB" w14:textId="77777777" w:rsidR="009F23CB" w:rsidRPr="009F23CB" w:rsidRDefault="009F23CB" w:rsidP="009F23CB">
      <w:pPr>
        <w:pStyle w:val="ParaNoNdepar-AltN"/>
        <w:rPr>
          <w:rFonts w:cs="Times New Roman"/>
        </w:rPr>
      </w:pPr>
      <w:r w:rsidRPr="009F23CB">
        <w:rPr>
          <w:rFonts w:cs="Times New Roman"/>
        </w:rPr>
        <w:t xml:space="preserve">I do not agree. It was legally and factually accurate for Det. Hossack to tell Beaver that being arrested for murder did not necessarily mean he would be charged with murder (see </w:t>
      </w:r>
      <w:r w:rsidRPr="009F23CB">
        <w:rPr>
          <w:rFonts w:cs="Times New Roman"/>
          <w:i/>
        </w:rPr>
        <w:t>R. v. Brown</w:t>
      </w:r>
      <w:r w:rsidRPr="009F23CB">
        <w:rPr>
          <w:rFonts w:cs="Times New Roman"/>
        </w:rPr>
        <w:t>,</w:t>
      </w:r>
      <w:r w:rsidRPr="009F23CB">
        <w:rPr>
          <w:rFonts w:cs="Times New Roman"/>
          <w:i/>
        </w:rPr>
        <w:t xml:space="preserve"> </w:t>
      </w:r>
      <w:r w:rsidRPr="009F23CB">
        <w:rPr>
          <w:rFonts w:cs="Times New Roman"/>
        </w:rPr>
        <w:t>2015 ONSC 3305, at para. 124 (CanLII)). Beaver also says that Det. Hossack sent a mixed signal about the jeopardy he faced after he had been arrested for murder by saying “in a cautionary way [they] have to charter everyone” (Beaver factum, at para. 37; A.R., vol. III, at p. 54). But the trial judge referred to and weighed all these statements in finding that Beaver “knew exactly why Det. Hossack was interviewing him”. This Court must defer to that finding (</w:t>
      </w:r>
      <w:r w:rsidRPr="009F23CB">
        <w:rPr>
          <w:rFonts w:cs="Times New Roman"/>
          <w:i/>
        </w:rPr>
        <w:t>Housen v. Nikolaisen</w:t>
      </w:r>
      <w:r w:rsidRPr="009F23CB">
        <w:rPr>
          <w:rFonts w:cs="Times New Roman"/>
        </w:rPr>
        <w:t>, 2002 SCC 33, [2002] 2 S.C.R. 235, at paras. 15-18). In effect, Beaver is asking this Court to reweigh the evidence to reverse the trial judge’s finding of voluntariness. I would decline to do so.</w:t>
      </w:r>
    </w:p>
    <w:p w14:paraId="6E435897" w14:textId="77777777" w:rsidR="009F23CB" w:rsidRPr="009F23CB" w:rsidRDefault="009F23CB" w:rsidP="009F23CB">
      <w:pPr>
        <w:pStyle w:val="Title5LevelTitre5Niveau"/>
        <w:ind w:left="1152"/>
        <w:jc w:val="both"/>
        <w:rPr>
          <w:rFonts w:cs="Times New Roman"/>
        </w:rPr>
      </w:pPr>
      <w:bookmarkStart w:id="61" w:name="_Toc109915210"/>
      <w:r w:rsidRPr="009F23CB">
        <w:rPr>
          <w:rFonts w:cs="Times New Roman"/>
        </w:rPr>
        <w:t>Beaver’s Interview Was Not Oppressive</w:t>
      </w:r>
      <w:bookmarkEnd w:id="61"/>
    </w:p>
    <w:p w14:paraId="28AA79AA" w14:textId="77777777" w:rsidR="009F23CB" w:rsidRPr="009F23CB" w:rsidRDefault="009F23CB" w:rsidP="009F23CB">
      <w:pPr>
        <w:pStyle w:val="ParaNoNdepar-AltN"/>
        <w:rPr>
          <w:rFonts w:cs="Times New Roman"/>
        </w:rPr>
      </w:pPr>
      <w:r w:rsidRPr="009F23CB">
        <w:rPr>
          <w:rFonts w:cs="Times New Roman"/>
        </w:rPr>
        <w:t xml:space="preserve">Lastly, the trial judge found as fact that the circumstances of Beaver’s interview were not oppressive (paras. 95-96). I disagree with Beaver’s claim that Det. Hossack created an oppressive atmosphere by asking increasingly confrontational questions during an interview that spanned 13 hours. Although Beaver’s interview was long, it was not the type of “excessively aggressive and intimidating” interview contemplated as oppressive in </w:t>
      </w:r>
      <w:r w:rsidRPr="009F23CB">
        <w:rPr>
          <w:rFonts w:cs="Times New Roman"/>
          <w:i/>
        </w:rPr>
        <w:t>Oickle</w:t>
      </w:r>
      <w:r w:rsidRPr="009F23CB">
        <w:rPr>
          <w:rFonts w:cs="Times New Roman"/>
        </w:rPr>
        <w:t xml:space="preserve"> (</w:t>
      </w:r>
      <w:r w:rsidRPr="009F23CB">
        <w:rPr>
          <w:rFonts w:cs="Times New Roman"/>
          <w:i/>
        </w:rPr>
        <w:t>Tessier (SCC)</w:t>
      </w:r>
      <w:r w:rsidRPr="009F23CB">
        <w:rPr>
          <w:rFonts w:cs="Times New Roman"/>
        </w:rPr>
        <w:t>, at para. 99). The trial judge described the interview as “conversation[al]” in nature and highlighted that Det. Hossack was “respectful” when interviewing Beaver, before becoming only “somewhat more confrontational” when presenting him with Lambert’s videotaped confession (para. 95). Although the trial judge accepted that, in principle, “subjecting the accused person to aggressive and prolonged questioning” can be an oppressive tactic affecting voluntariness (at para. 94), he found as fact that the atmosphere of the interview did not “break [Mr. Beaver’s] will” (para. 96). Instead, the trial judge found that what broke Beaver’s will was having to face “the version of events that Mr. Lambert had provided to Det. Demarino” in the videotaped confession (para. 96).</w:t>
      </w:r>
    </w:p>
    <w:p w14:paraId="2F0A3C4F" w14:textId="77777777" w:rsidR="009F23CB" w:rsidRPr="009F23CB" w:rsidRDefault="009F23CB" w:rsidP="009F23CB">
      <w:pPr>
        <w:pStyle w:val="Title4LevelTitre4Niveau"/>
        <w:jc w:val="both"/>
        <w:rPr>
          <w:rFonts w:cs="Times New Roman"/>
        </w:rPr>
      </w:pPr>
      <w:bookmarkStart w:id="62" w:name="_Toc109915211"/>
      <w:r w:rsidRPr="009F23CB">
        <w:rPr>
          <w:rFonts w:cs="Times New Roman"/>
        </w:rPr>
        <w:t>Conclusion: Beaver’s Confession Was Voluntary</w:t>
      </w:r>
      <w:bookmarkEnd w:id="62"/>
    </w:p>
    <w:p w14:paraId="36B87C77" w14:textId="77777777" w:rsidR="009F23CB" w:rsidRPr="009F23CB" w:rsidRDefault="009F23CB" w:rsidP="009F23CB">
      <w:pPr>
        <w:pStyle w:val="ParaNoNdepar-AltN"/>
        <w:rPr>
          <w:rFonts w:cs="Times New Roman"/>
        </w:rPr>
      </w:pPr>
      <w:r w:rsidRPr="009F23CB">
        <w:rPr>
          <w:rFonts w:cs="Times New Roman"/>
        </w:rPr>
        <w:t>The trial judge properly applied the relevant legal principles in deciding that Det. Hossack’s interview of Beaver raised no concern as to the voluntariness of his confession. Because Beaver has not established that any palpable and overriding error infected the trial judge’s findings of fact, I must defer to his conclusion that Beaver’s confession was voluntary.</w:t>
      </w:r>
    </w:p>
    <w:p w14:paraId="5E8BABEF" w14:textId="77777777" w:rsidR="009F23CB" w:rsidRPr="009F23CB" w:rsidRDefault="009F23CB" w:rsidP="009F23CB">
      <w:pPr>
        <w:pStyle w:val="Title2LevelTitre2Niveau"/>
        <w:jc w:val="both"/>
        <w:rPr>
          <w:rFonts w:cs="Times New Roman"/>
        </w:rPr>
      </w:pPr>
      <w:bookmarkStart w:id="63" w:name="_Toc109490379"/>
      <w:bookmarkStart w:id="64" w:name="_Toc109915212"/>
      <w:bookmarkStart w:id="65" w:name="_Toc110968671"/>
      <w:r w:rsidRPr="009F23CB">
        <w:rPr>
          <w:rFonts w:cs="Times New Roman"/>
        </w:rPr>
        <w:t>Did the Police Have Reasonable and Probable Grounds to Arrest the Appellants for Murder?</w:t>
      </w:r>
      <w:bookmarkEnd w:id="63"/>
      <w:bookmarkEnd w:id="64"/>
      <w:bookmarkEnd w:id="65"/>
    </w:p>
    <w:p w14:paraId="2F4FCD56" w14:textId="77777777" w:rsidR="009F23CB" w:rsidRPr="009F23CB" w:rsidRDefault="009F23CB" w:rsidP="009F23CB">
      <w:pPr>
        <w:pStyle w:val="ParaNoNdepar-AltN"/>
        <w:rPr>
          <w:rFonts w:cs="Times New Roman"/>
        </w:rPr>
      </w:pPr>
      <w:r w:rsidRPr="009F23CB">
        <w:rPr>
          <w:rFonts w:cs="Times New Roman"/>
        </w:rPr>
        <w:t xml:space="preserve">The second issue is whether the police had reasonable and probable grounds to arrest the appellants for murder. It is uncontested that Det. Vermette instructed the homicide detectives to arrest the appellants after they had been arbitrarily detained for just over two hours. The appellants claim that courts should be vigilant when considering whether the police had reasonable and probable grounds to make an arrest following an unlawful detention in order to “protect against abuses of power inherent when police are actively violating an arrestee’s </w:t>
      </w:r>
      <w:r w:rsidRPr="009F23CB">
        <w:rPr>
          <w:rFonts w:cs="Times New Roman"/>
          <w:i/>
        </w:rPr>
        <w:t>Charter</w:t>
      </w:r>
      <w:r w:rsidRPr="009F23CB">
        <w:rPr>
          <w:rFonts w:cs="Times New Roman"/>
        </w:rPr>
        <w:t xml:space="preserve"> rights” (Lambert factum, at para. 36).</w:t>
      </w:r>
    </w:p>
    <w:p w14:paraId="23852A18" w14:textId="77777777" w:rsidR="009F23CB" w:rsidRPr="009F23CB" w:rsidRDefault="009F23CB" w:rsidP="009F23CB">
      <w:pPr>
        <w:pStyle w:val="ParaNoNdepar-AltN"/>
        <w:rPr>
          <w:rFonts w:cs="Times New Roman"/>
        </w:rPr>
      </w:pPr>
      <w:r w:rsidRPr="009F23CB">
        <w:rPr>
          <w:rFonts w:cs="Times New Roman"/>
        </w:rPr>
        <w:t>As I will elaborate, even with this vigilance in mind, I do not accept that the appellants’ arrest for murder was unlawful.</w:t>
      </w:r>
    </w:p>
    <w:p w14:paraId="46ACA9FE" w14:textId="77777777" w:rsidR="009F23CB" w:rsidRPr="009F23CB" w:rsidRDefault="009F23CB" w:rsidP="009F23CB">
      <w:pPr>
        <w:pStyle w:val="Title3LevelTitre3Niveau"/>
        <w:jc w:val="both"/>
        <w:rPr>
          <w:rFonts w:cs="Times New Roman"/>
        </w:rPr>
      </w:pPr>
      <w:bookmarkStart w:id="66" w:name="_Toc109490381"/>
      <w:bookmarkStart w:id="67" w:name="_Toc109915214"/>
      <w:bookmarkStart w:id="68" w:name="_Toc110968672"/>
      <w:r w:rsidRPr="009F23CB">
        <w:rPr>
          <w:rFonts w:cs="Times New Roman"/>
        </w:rPr>
        <w:t>Legal Principles Governing a Warrantless Arrest</w:t>
      </w:r>
      <w:bookmarkEnd w:id="66"/>
      <w:bookmarkEnd w:id="67"/>
      <w:bookmarkEnd w:id="68"/>
    </w:p>
    <w:p w14:paraId="690255DB" w14:textId="77777777" w:rsidR="009F23CB" w:rsidRPr="009F23CB" w:rsidRDefault="009F23CB" w:rsidP="009F23CB">
      <w:pPr>
        <w:pStyle w:val="ParaNoNdepar-AltN"/>
        <w:rPr>
          <w:rFonts w:cs="Times New Roman"/>
        </w:rPr>
      </w:pPr>
      <w:r w:rsidRPr="009F23CB">
        <w:rPr>
          <w:rFonts w:cs="Times New Roman"/>
        </w:rPr>
        <w:t xml:space="preserve">The police have statutory authority to arrest a person without a warrant under s. 495 of the </w:t>
      </w:r>
      <w:r w:rsidRPr="009F23CB">
        <w:rPr>
          <w:rFonts w:cs="Times New Roman"/>
          <w:i/>
        </w:rPr>
        <w:t>Criminal Code</w:t>
      </w:r>
      <w:r w:rsidRPr="009F23CB">
        <w:rPr>
          <w:rFonts w:cs="Times New Roman"/>
          <w:lang w:val="en-US"/>
        </w:rPr>
        <w:t xml:space="preserve">, R.S.C. 1985, </w:t>
      </w:r>
      <w:proofErr w:type="gramStart"/>
      <w:r w:rsidRPr="009F23CB">
        <w:rPr>
          <w:rFonts w:cs="Times New Roman"/>
          <w:lang w:val="en-US"/>
        </w:rPr>
        <w:t>c</w:t>
      </w:r>
      <w:proofErr w:type="gramEnd"/>
      <w:r w:rsidRPr="009F23CB">
        <w:rPr>
          <w:rFonts w:cs="Times New Roman"/>
          <w:lang w:val="en-US"/>
        </w:rPr>
        <w:t>. C-46</w:t>
      </w:r>
      <w:r w:rsidRPr="009F23CB">
        <w:rPr>
          <w:rFonts w:cs="Times New Roman"/>
        </w:rPr>
        <w:t>. The applicable part of s. 495 in this appeal, s. 495(1</w:t>
      </w:r>
      <w:proofErr w:type="gramStart"/>
      <w:r w:rsidRPr="009F23CB">
        <w:rPr>
          <w:rFonts w:cs="Times New Roman"/>
        </w:rPr>
        <w:t>)(</w:t>
      </w:r>
      <w:proofErr w:type="gramEnd"/>
      <w:r w:rsidRPr="009F23CB">
        <w:rPr>
          <w:rFonts w:cs="Times New Roman"/>
        </w:rPr>
        <w:t>a), allows a peace officer to arrest a person without a warrant if, on reasonable grounds, they believe the person has committed or is about to commit an indictable offence.</w:t>
      </w:r>
    </w:p>
    <w:p w14:paraId="19A49192" w14:textId="77777777" w:rsidR="009F23CB" w:rsidRPr="009F23CB" w:rsidRDefault="009F23CB" w:rsidP="009F23CB">
      <w:pPr>
        <w:pStyle w:val="ParaNoNdepar-AltN"/>
        <w:rPr>
          <w:rFonts w:cs="Times New Roman"/>
        </w:rPr>
      </w:pPr>
      <w:r w:rsidRPr="009F23CB">
        <w:rPr>
          <w:rFonts w:cs="Times New Roman"/>
        </w:rPr>
        <w:t>The essential legal principles governing a warrantless arrest are settled:</w:t>
      </w:r>
    </w:p>
    <w:p w14:paraId="59714DCD"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A warrantless arrest requires subjective and objective grounds to arrest. The arresting officer must subjectively have reasonable and probable grounds for the arrest, and those grounds must be justifiable from an objective viewpoint (</w:t>
      </w:r>
      <w:r w:rsidRPr="009F23CB">
        <w:rPr>
          <w:rFonts w:cs="Times New Roman"/>
          <w:i/>
        </w:rPr>
        <w:t>R. v. Storrey</w:t>
      </w:r>
      <w:r w:rsidRPr="009F23CB">
        <w:rPr>
          <w:rFonts w:cs="Times New Roman"/>
        </w:rPr>
        <w:t xml:space="preserve">, [1990] 1 S.C.R. 241, at pp. 250-51; </w:t>
      </w:r>
      <w:r w:rsidRPr="009F23CB">
        <w:rPr>
          <w:rFonts w:cs="Times New Roman"/>
          <w:i/>
        </w:rPr>
        <w:t>R. v. Latimer</w:t>
      </w:r>
      <w:r w:rsidRPr="009F23CB">
        <w:rPr>
          <w:rFonts w:cs="Times New Roman"/>
        </w:rPr>
        <w:t xml:space="preserve">, [1997] 1 S.C.R. 217, at para. 26; </w:t>
      </w:r>
      <w:r w:rsidRPr="009F23CB">
        <w:rPr>
          <w:rFonts w:cs="Times New Roman"/>
          <w:i/>
        </w:rPr>
        <w:t>R. v. Tim</w:t>
      </w:r>
      <w:r w:rsidRPr="009F23CB">
        <w:rPr>
          <w:rFonts w:cs="Times New Roman"/>
        </w:rPr>
        <w:t>, 2022 SCC 12, at para. 24).</w:t>
      </w:r>
    </w:p>
    <w:p w14:paraId="6AC2A16A"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In assessing the subjective grounds for arrest, the question is whether the arresting officer honestly believed that the suspect committed the offence (</w:t>
      </w:r>
      <w:r w:rsidRPr="009F23CB">
        <w:rPr>
          <w:rFonts w:cs="Times New Roman"/>
          <w:i/>
        </w:rPr>
        <w:t>R. v. Shepherd</w:t>
      </w:r>
      <w:r w:rsidRPr="009F23CB">
        <w:rPr>
          <w:rFonts w:cs="Times New Roman"/>
        </w:rPr>
        <w:t xml:space="preserve">, 2009 SCC 35, [2009] 2 S.C.R. 527, at para. 17). Subjective grounds for arrest are often established through the police officer’s testimony (see, for example, </w:t>
      </w:r>
      <w:r w:rsidRPr="009F23CB">
        <w:rPr>
          <w:rFonts w:cs="Times New Roman"/>
          <w:i/>
        </w:rPr>
        <w:t>Storrey</w:t>
      </w:r>
      <w:r w:rsidRPr="009F23CB">
        <w:rPr>
          <w:rFonts w:cs="Times New Roman"/>
        </w:rPr>
        <w:t xml:space="preserve">, at p. 251; </w:t>
      </w:r>
      <w:r w:rsidRPr="009F23CB">
        <w:rPr>
          <w:rFonts w:cs="Times New Roman"/>
          <w:i/>
        </w:rPr>
        <w:t>Latimer</w:t>
      </w:r>
      <w:r w:rsidRPr="009F23CB">
        <w:rPr>
          <w:rFonts w:cs="Times New Roman"/>
        </w:rPr>
        <w:t xml:space="preserve">, at para. 27; </w:t>
      </w:r>
      <w:r w:rsidRPr="009F23CB">
        <w:rPr>
          <w:rFonts w:cs="Times New Roman"/>
          <w:i/>
        </w:rPr>
        <w:t>Tim</w:t>
      </w:r>
      <w:r w:rsidRPr="009F23CB">
        <w:rPr>
          <w:rFonts w:cs="Times New Roman"/>
        </w:rPr>
        <w:t>, at para. 38). This requires the trial judge to evaluate the officer’s credibility, a finding that attracts particular deference on appeal (</w:t>
      </w:r>
      <w:r w:rsidRPr="009F23CB">
        <w:rPr>
          <w:rFonts w:cs="Times New Roman"/>
          <w:i/>
        </w:rPr>
        <w:t>R. v. G.F.</w:t>
      </w:r>
      <w:r w:rsidRPr="009F23CB">
        <w:rPr>
          <w:rFonts w:cs="Times New Roman"/>
        </w:rPr>
        <w:t xml:space="preserve">, 2021 SCC 20, at para. 81; </w:t>
      </w:r>
      <w:r w:rsidRPr="009F23CB">
        <w:rPr>
          <w:rFonts w:cs="Times New Roman"/>
          <w:i/>
        </w:rPr>
        <w:t>R. v. Beaudry</w:t>
      </w:r>
      <w:r w:rsidRPr="009F23CB">
        <w:rPr>
          <w:rFonts w:cs="Times New Roman"/>
        </w:rPr>
        <w:t>, 2007 SCC 5, [2007] 1 S.C.R. 190, at para. 4).</w:t>
      </w:r>
    </w:p>
    <w:p w14:paraId="47B74795"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The arresting officer’s subjective grounds for arrest must be justifiable from an objective viewpoint. This objective assessment is based on the totality of the circumstances known to the officer at the time of the arrest, including the dynamics of the situation, as seen from the perspective of a reasonable person with comparable knowledge, training, and experience as the arresting officer (</w:t>
      </w:r>
      <w:r w:rsidRPr="009F23CB">
        <w:rPr>
          <w:rFonts w:cs="Times New Roman"/>
          <w:i/>
        </w:rPr>
        <w:t>Storrey</w:t>
      </w:r>
      <w:r w:rsidRPr="009F23CB">
        <w:rPr>
          <w:rFonts w:cs="Times New Roman"/>
        </w:rPr>
        <w:t xml:space="preserve">, at pp. 250-51; </w:t>
      </w:r>
      <w:r w:rsidRPr="009F23CB">
        <w:rPr>
          <w:rFonts w:cs="Times New Roman"/>
          <w:i/>
        </w:rPr>
        <w:t>Latimer</w:t>
      </w:r>
      <w:r w:rsidRPr="009F23CB">
        <w:rPr>
          <w:rFonts w:cs="Times New Roman"/>
        </w:rPr>
        <w:t xml:space="preserve">, at para. 26; </w:t>
      </w:r>
      <w:r w:rsidRPr="009F23CB">
        <w:rPr>
          <w:rFonts w:cs="Times New Roman"/>
          <w:i/>
        </w:rPr>
        <w:t>Tim</w:t>
      </w:r>
      <w:r w:rsidRPr="009F23CB">
        <w:rPr>
          <w:rFonts w:cs="Times New Roman"/>
        </w:rPr>
        <w:t>, at para. 24).</w:t>
      </w:r>
    </w:p>
    <w:p w14:paraId="5D42046E"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Evidence based on the arresting officer’s training and experience should not be uncritically accepted, but neither should it be approached with “undue scepticism” (</w:t>
      </w:r>
      <w:r w:rsidRPr="009F23CB">
        <w:rPr>
          <w:rFonts w:cs="Times New Roman"/>
          <w:i/>
        </w:rPr>
        <w:t>R. v. MacKenzie</w:t>
      </w:r>
      <w:r w:rsidRPr="009F23CB">
        <w:rPr>
          <w:rFonts w:cs="Times New Roman"/>
        </w:rPr>
        <w:t>, 2013 SCC 50, [2013] 3 S.C.R. 250, at paras. 64-65). Although the analysis is conducted from the perspective of a reasonable person “standing in the shoes of the [arresting] officer”, deference is not necessarily owed to their view of the circumstances because of their training or experience (</w:t>
      </w:r>
      <w:r w:rsidRPr="009F23CB">
        <w:rPr>
          <w:rFonts w:cs="Times New Roman"/>
          <w:i/>
        </w:rPr>
        <w:t>R. v. Chehil</w:t>
      </w:r>
      <w:r w:rsidRPr="009F23CB">
        <w:rPr>
          <w:rFonts w:cs="Times New Roman"/>
        </w:rPr>
        <w:t xml:space="preserve">, 2013 SCC 49, [2013] 3 S.C.R. 220, at paras. 45 and 47; </w:t>
      </w:r>
      <w:r w:rsidRPr="009F23CB">
        <w:rPr>
          <w:rFonts w:cs="Times New Roman"/>
          <w:i/>
        </w:rPr>
        <w:t>MacKenzie</w:t>
      </w:r>
      <w:r w:rsidRPr="009F23CB">
        <w:rPr>
          <w:rFonts w:cs="Times New Roman"/>
        </w:rPr>
        <w:t>, at para. 63). The arresting officer’s grounds for arrest must be more than a “</w:t>
      </w:r>
      <w:proofErr w:type="spellStart"/>
      <w:r w:rsidRPr="009F23CB">
        <w:rPr>
          <w:rFonts w:cs="Times New Roman"/>
        </w:rPr>
        <w:t>hunc</w:t>
      </w:r>
      <w:proofErr w:type="spellEnd"/>
      <w:r w:rsidRPr="009F23CB">
        <w:rPr>
          <w:rFonts w:cs="Times New Roman"/>
        </w:rPr>
        <w:t>[h] or intuition” (</w:t>
      </w:r>
      <w:r w:rsidRPr="009F23CB">
        <w:rPr>
          <w:rFonts w:cs="Times New Roman"/>
          <w:i/>
        </w:rPr>
        <w:t>Chehil</w:t>
      </w:r>
      <w:r w:rsidRPr="009F23CB">
        <w:rPr>
          <w:rFonts w:cs="Times New Roman"/>
        </w:rPr>
        <w:t>, at para. 47).</w:t>
      </w:r>
    </w:p>
    <w:p w14:paraId="48B0DFFB"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In evaluating the objective grounds to arrest, courts must recognize that, “[o]</w:t>
      </w:r>
      <w:proofErr w:type="spellStart"/>
      <w:r w:rsidRPr="009F23CB">
        <w:rPr>
          <w:rFonts w:cs="Times New Roman"/>
        </w:rPr>
        <w:t>ften</w:t>
      </w:r>
      <w:proofErr w:type="spellEnd"/>
      <w:r w:rsidRPr="009F23CB">
        <w:rPr>
          <w:rFonts w:cs="Times New Roman"/>
        </w:rPr>
        <w:t>, the officer’s decision to arrest must be made quickly in volatile and rapidly changing situations. Judicial reflection is not a luxury the officer can afford. The officer must make his or her decision based on available information which is often less than exact or complete” (</w:t>
      </w:r>
      <w:r w:rsidRPr="009F23CB">
        <w:rPr>
          <w:rFonts w:cs="Times New Roman"/>
          <w:i/>
        </w:rPr>
        <w:t>R. v. Golub</w:t>
      </w:r>
      <w:r w:rsidRPr="009F23CB">
        <w:rPr>
          <w:rFonts w:cs="Times New Roman"/>
        </w:rPr>
        <w:t xml:space="preserve"> (1997), 34 O.R. (3d) 743 (C.A.), at p. 750, per Doherty J.A.). Courts must also remember that “[d]</w:t>
      </w:r>
      <w:proofErr w:type="spellStart"/>
      <w:r w:rsidRPr="009F23CB">
        <w:rPr>
          <w:rFonts w:cs="Times New Roman"/>
        </w:rPr>
        <w:t>etermining</w:t>
      </w:r>
      <w:proofErr w:type="spellEnd"/>
      <w:r w:rsidRPr="009F23CB">
        <w:rPr>
          <w:rFonts w:cs="Times New Roman"/>
        </w:rPr>
        <w:t xml:space="preserve"> whether sufficient grounds exist to justify an exercise of police powers is not a ‘scientific or metaphysical exercise’, but one that calls for the application of ‘[c]</w:t>
      </w:r>
      <w:proofErr w:type="spellStart"/>
      <w:r w:rsidRPr="009F23CB">
        <w:rPr>
          <w:rFonts w:cs="Times New Roman"/>
        </w:rPr>
        <w:t>ommon</w:t>
      </w:r>
      <w:proofErr w:type="spellEnd"/>
      <w:r w:rsidRPr="009F23CB">
        <w:rPr>
          <w:rFonts w:cs="Times New Roman"/>
        </w:rPr>
        <w:t xml:space="preserve"> sense, flexibility, and practical everyday experience’” (</w:t>
      </w:r>
      <w:r w:rsidRPr="009F23CB">
        <w:rPr>
          <w:rFonts w:cs="Times New Roman"/>
          <w:i/>
        </w:rPr>
        <w:t>R. v. Canary</w:t>
      </w:r>
      <w:r w:rsidRPr="009F23CB">
        <w:rPr>
          <w:rFonts w:cs="Times New Roman"/>
        </w:rPr>
        <w:t xml:space="preserve">, 2018 ONCA 304, 361 C.C.C. (3d) 63, at para. 22, per Fairburn J.A. (as she then was), citing </w:t>
      </w:r>
      <w:r w:rsidRPr="009F23CB">
        <w:rPr>
          <w:rFonts w:cs="Times New Roman"/>
          <w:i/>
        </w:rPr>
        <w:t>MacKenzie</w:t>
      </w:r>
      <w:r w:rsidRPr="009F23CB">
        <w:rPr>
          <w:rFonts w:cs="Times New Roman"/>
        </w:rPr>
        <w:t>, at para. 73).</w:t>
      </w:r>
    </w:p>
    <w:p w14:paraId="448D68DD"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 xml:space="preserve">“Reasonable and probable grounds” is a higher standard than “reasonable suspicion”. Reasonable suspicion requires a </w:t>
      </w:r>
      <w:r w:rsidRPr="009F23CB">
        <w:rPr>
          <w:rFonts w:cs="Times New Roman"/>
          <w:i/>
        </w:rPr>
        <w:t>reasonable possibility</w:t>
      </w:r>
      <w:r w:rsidRPr="009F23CB">
        <w:rPr>
          <w:rFonts w:cs="Times New Roman"/>
        </w:rPr>
        <w:t xml:space="preserve"> of crime, while reasonable and probable grounds requires a </w:t>
      </w:r>
      <w:r w:rsidRPr="009F23CB">
        <w:rPr>
          <w:rFonts w:cs="Times New Roman"/>
          <w:i/>
        </w:rPr>
        <w:t>reasonable probability</w:t>
      </w:r>
      <w:r w:rsidRPr="009F23CB">
        <w:rPr>
          <w:rFonts w:cs="Times New Roman"/>
        </w:rPr>
        <w:t xml:space="preserve"> of crime (</w:t>
      </w:r>
      <w:r w:rsidRPr="009F23CB">
        <w:rPr>
          <w:rFonts w:cs="Times New Roman"/>
          <w:i/>
        </w:rPr>
        <w:t>Chehil</w:t>
      </w:r>
      <w:r w:rsidRPr="009F23CB">
        <w:rPr>
          <w:rFonts w:cs="Times New Roman"/>
        </w:rPr>
        <w:t xml:space="preserve">, at para. 27; </w:t>
      </w:r>
      <w:r w:rsidRPr="009F23CB">
        <w:rPr>
          <w:rFonts w:cs="Times New Roman"/>
          <w:i/>
        </w:rPr>
        <w:t xml:space="preserve">R. v. </w:t>
      </w:r>
      <w:proofErr w:type="spellStart"/>
      <w:r w:rsidRPr="009F23CB">
        <w:rPr>
          <w:rFonts w:cs="Times New Roman"/>
          <w:i/>
        </w:rPr>
        <w:t>Debot</w:t>
      </w:r>
      <w:proofErr w:type="spellEnd"/>
      <w:r w:rsidRPr="009F23CB">
        <w:rPr>
          <w:rFonts w:cs="Times New Roman"/>
        </w:rPr>
        <w:t xml:space="preserve">, [1989] 2 S.C.R. 1140, at p. 1166). At the same time, police do not require a </w:t>
      </w:r>
      <w:r w:rsidRPr="009F23CB">
        <w:rPr>
          <w:rFonts w:cs="Times New Roman"/>
          <w:i/>
        </w:rPr>
        <w:t>prima facie</w:t>
      </w:r>
      <w:r w:rsidRPr="009F23CB">
        <w:rPr>
          <w:rFonts w:cs="Times New Roman"/>
        </w:rPr>
        <w:t xml:space="preserve"> case for conviction before making an arrest (</w:t>
      </w:r>
      <w:r w:rsidRPr="009F23CB">
        <w:rPr>
          <w:rFonts w:cs="Times New Roman"/>
          <w:i/>
        </w:rPr>
        <w:t>Storrey</w:t>
      </w:r>
      <w:r w:rsidRPr="009F23CB">
        <w:rPr>
          <w:rFonts w:cs="Times New Roman"/>
        </w:rPr>
        <w:t xml:space="preserve">, at p. 251; </w:t>
      </w:r>
      <w:r w:rsidRPr="009F23CB">
        <w:rPr>
          <w:rFonts w:cs="Times New Roman"/>
          <w:i/>
        </w:rPr>
        <w:t>Shepherd</w:t>
      </w:r>
      <w:r w:rsidRPr="009F23CB">
        <w:rPr>
          <w:rFonts w:cs="Times New Roman"/>
        </w:rPr>
        <w:t xml:space="preserve">, at para. 23; </w:t>
      </w:r>
      <w:r w:rsidRPr="009F23CB">
        <w:rPr>
          <w:rFonts w:cs="Times New Roman"/>
          <w:i/>
        </w:rPr>
        <w:t>Tim</w:t>
      </w:r>
      <w:r w:rsidRPr="009F23CB">
        <w:rPr>
          <w:rFonts w:cs="Times New Roman"/>
        </w:rPr>
        <w:t>, at para. 24). Nor do the police need to establish that the offence was committed on a balance of probabilities (</w:t>
      </w:r>
      <w:r w:rsidRPr="009F23CB">
        <w:rPr>
          <w:rFonts w:cs="Times New Roman"/>
          <w:i/>
        </w:rPr>
        <w:t>Mugesera v. Canada (Minister of Citizenship and Immigration)</w:t>
      </w:r>
      <w:r w:rsidRPr="009F23CB">
        <w:rPr>
          <w:rFonts w:cs="Times New Roman"/>
        </w:rPr>
        <w:t xml:space="preserve">, 2005 SCC 40, [2005] 2 S.C.R. 100, at para. 114; see also </w:t>
      </w:r>
      <w:r w:rsidRPr="009F23CB">
        <w:rPr>
          <w:rFonts w:cs="Times New Roman"/>
          <w:i/>
        </w:rPr>
        <w:t xml:space="preserve">R. v. </w:t>
      </w:r>
      <w:proofErr w:type="spellStart"/>
      <w:r w:rsidRPr="009F23CB">
        <w:rPr>
          <w:rFonts w:cs="Times New Roman"/>
          <w:i/>
        </w:rPr>
        <w:t>Henareh</w:t>
      </w:r>
      <w:proofErr w:type="spellEnd"/>
      <w:r w:rsidRPr="009F23CB">
        <w:rPr>
          <w:rFonts w:cs="Times New Roman"/>
        </w:rPr>
        <w:t>,</w:t>
      </w:r>
      <w:r w:rsidRPr="009F23CB">
        <w:rPr>
          <w:rFonts w:cs="Times New Roman"/>
          <w:i/>
        </w:rPr>
        <w:t xml:space="preserve"> </w:t>
      </w:r>
      <w:r w:rsidRPr="009F23CB">
        <w:rPr>
          <w:rFonts w:cs="Times New Roman"/>
        </w:rPr>
        <w:t xml:space="preserve">2017 BCCA 7, at para. 39 (CanLII); </w:t>
      </w:r>
      <w:r w:rsidRPr="009F23CB">
        <w:rPr>
          <w:rFonts w:cs="Times New Roman"/>
          <w:i/>
        </w:rPr>
        <w:t xml:space="preserve">R. v. </w:t>
      </w:r>
      <w:proofErr w:type="spellStart"/>
      <w:r w:rsidRPr="009F23CB">
        <w:rPr>
          <w:rFonts w:cs="Times New Roman"/>
          <w:i/>
        </w:rPr>
        <w:t>Loewen</w:t>
      </w:r>
      <w:proofErr w:type="spellEnd"/>
      <w:r w:rsidRPr="009F23CB">
        <w:rPr>
          <w:rFonts w:cs="Times New Roman"/>
        </w:rPr>
        <w:t>, 2010 ABCA 255, 490 A.R. 72, at para. 18). Instead, the reasonable and probable grounds standard requires “a reasonable belief that an individual is connected to the offence” (</w:t>
      </w:r>
      <w:r w:rsidRPr="009F23CB">
        <w:rPr>
          <w:rStyle w:val="Hyperlink"/>
          <w:rFonts w:cs="Times New Roman"/>
          <w:i/>
        </w:rPr>
        <w:t>MacKenzie</w:t>
      </w:r>
      <w:r w:rsidRPr="009F23CB">
        <w:rPr>
          <w:rStyle w:val="Hyperlink"/>
          <w:rFonts w:cs="Times New Roman"/>
        </w:rPr>
        <w:t xml:space="preserve">, </w:t>
      </w:r>
      <w:r w:rsidRPr="009F23CB">
        <w:rPr>
          <w:rFonts w:cs="Times New Roman"/>
        </w:rPr>
        <w:t xml:space="preserve">at para. 74 (emphasis deleted); </w:t>
      </w:r>
      <w:proofErr w:type="spellStart"/>
      <w:r w:rsidRPr="009F23CB">
        <w:rPr>
          <w:rFonts w:cs="Times New Roman"/>
          <w:i/>
        </w:rPr>
        <w:t>Debot</w:t>
      </w:r>
      <w:proofErr w:type="spellEnd"/>
      <w:r w:rsidRPr="009F23CB">
        <w:rPr>
          <w:rFonts w:cs="Times New Roman"/>
        </w:rPr>
        <w:t>, at p. 1166). A reasonable belief exists when “there is an objective basis for the belief which is based on compelling and credible information” (</w:t>
      </w:r>
      <w:r w:rsidRPr="009F23CB">
        <w:rPr>
          <w:rFonts w:cs="Times New Roman"/>
          <w:i/>
        </w:rPr>
        <w:t>Mugesera</w:t>
      </w:r>
      <w:r w:rsidRPr="009F23CB">
        <w:rPr>
          <w:rFonts w:cs="Times New Roman"/>
        </w:rPr>
        <w:t>,</w:t>
      </w:r>
      <w:r w:rsidRPr="009F23CB">
        <w:rPr>
          <w:rFonts w:cs="Times New Roman"/>
          <w:i/>
        </w:rPr>
        <w:t xml:space="preserve"> </w:t>
      </w:r>
      <w:r w:rsidRPr="009F23CB">
        <w:rPr>
          <w:rFonts w:cs="Times New Roman"/>
        </w:rPr>
        <w:t xml:space="preserve">at para. 114; see also </w:t>
      </w:r>
      <w:r w:rsidRPr="009F23CB">
        <w:rPr>
          <w:rFonts w:cs="Times New Roman"/>
          <w:i/>
        </w:rPr>
        <w:t>R. v. Al </w:t>
      </w:r>
      <w:proofErr w:type="spellStart"/>
      <w:r w:rsidRPr="009F23CB">
        <w:rPr>
          <w:rFonts w:cs="Times New Roman"/>
          <w:i/>
        </w:rPr>
        <w:t>Askari</w:t>
      </w:r>
      <w:proofErr w:type="spellEnd"/>
      <w:r w:rsidRPr="009F23CB">
        <w:rPr>
          <w:rFonts w:cs="Times New Roman"/>
        </w:rPr>
        <w:t>,</w:t>
      </w:r>
      <w:r w:rsidRPr="009F23CB">
        <w:rPr>
          <w:rFonts w:cs="Times New Roman"/>
          <w:i/>
        </w:rPr>
        <w:t xml:space="preserve"> </w:t>
      </w:r>
      <w:r w:rsidRPr="009F23CB">
        <w:rPr>
          <w:rFonts w:cs="Times New Roman"/>
        </w:rPr>
        <w:t xml:space="preserve">2021 ABCA 204, 28 Alta. L.R. (7th) 129, at para. 25; </w:t>
      </w:r>
      <w:r w:rsidRPr="009F23CB">
        <w:rPr>
          <w:rFonts w:cs="Times New Roman"/>
          <w:i/>
        </w:rPr>
        <w:t>R. v. Omeasoo</w:t>
      </w:r>
      <w:r w:rsidRPr="009F23CB">
        <w:rPr>
          <w:rFonts w:cs="Times New Roman"/>
        </w:rPr>
        <w:t xml:space="preserve">, 2019 MBCA 43, [2019] 6 W.W.R. 280, at para. 30; </w:t>
      </w:r>
      <w:r w:rsidRPr="009F23CB">
        <w:rPr>
          <w:rFonts w:cs="Times New Roman"/>
          <w:i/>
        </w:rPr>
        <w:t>R. v. Summers</w:t>
      </w:r>
      <w:r w:rsidRPr="009F23CB">
        <w:rPr>
          <w:rFonts w:cs="Times New Roman"/>
        </w:rPr>
        <w:t>,</w:t>
      </w:r>
      <w:r w:rsidRPr="009F23CB">
        <w:rPr>
          <w:rFonts w:cs="Times New Roman"/>
          <w:i/>
        </w:rPr>
        <w:t xml:space="preserve"> </w:t>
      </w:r>
      <w:r w:rsidRPr="009F23CB">
        <w:rPr>
          <w:rFonts w:cs="Times New Roman"/>
        </w:rPr>
        <w:t>2019 NLCA 11, 4 C.A.N.L.R. 156, at para. 21). The police are also not required to undertake further investigation to seek exculpatory facts or to rule out possible innocent explanations for the events before making an arrest (</w:t>
      </w:r>
      <w:r w:rsidRPr="009F23CB">
        <w:rPr>
          <w:rFonts w:cs="Times New Roman"/>
          <w:i/>
        </w:rPr>
        <w:t>Chehil</w:t>
      </w:r>
      <w:r w:rsidRPr="009F23CB">
        <w:rPr>
          <w:rFonts w:cs="Times New Roman"/>
        </w:rPr>
        <w:t xml:space="preserve">, at para. 34; </w:t>
      </w:r>
      <w:r w:rsidRPr="009F23CB">
        <w:rPr>
          <w:rFonts w:cs="Times New Roman"/>
          <w:i/>
        </w:rPr>
        <w:t>Shepherd</w:t>
      </w:r>
      <w:r w:rsidRPr="009F23CB">
        <w:rPr>
          <w:rFonts w:cs="Times New Roman"/>
        </w:rPr>
        <w:t xml:space="preserve">, at para. 23; </w:t>
      </w:r>
      <w:r w:rsidRPr="009F23CB">
        <w:rPr>
          <w:rFonts w:cs="Times New Roman"/>
          <w:i/>
        </w:rPr>
        <w:t>R. v. Ha</w:t>
      </w:r>
      <w:r w:rsidRPr="009F23CB">
        <w:rPr>
          <w:rFonts w:cs="Times New Roman"/>
        </w:rPr>
        <w:t xml:space="preserve">, 2018 ABCA 233, 71 Alta. L.R. (6th) 46, at para. 34; </w:t>
      </w:r>
      <w:r w:rsidRPr="009F23CB">
        <w:rPr>
          <w:rFonts w:cs="Times New Roman"/>
          <w:i/>
        </w:rPr>
        <w:t xml:space="preserve">R. v. </w:t>
      </w:r>
      <w:proofErr w:type="spellStart"/>
      <w:r w:rsidRPr="009F23CB">
        <w:rPr>
          <w:rFonts w:cs="Times New Roman"/>
          <w:i/>
        </w:rPr>
        <w:t>MacCannell</w:t>
      </w:r>
      <w:proofErr w:type="spellEnd"/>
      <w:r w:rsidRPr="009F23CB">
        <w:rPr>
          <w:rFonts w:cs="Times New Roman"/>
        </w:rPr>
        <w:t xml:space="preserve">, 2014 BCCA 254, 359 B.C.A.C. 1, at paras. 44-45; </w:t>
      </w:r>
      <w:r w:rsidRPr="009F23CB">
        <w:rPr>
          <w:rFonts w:cs="Times New Roman"/>
          <w:i/>
        </w:rPr>
        <w:t>R. v. Rezansoff</w:t>
      </w:r>
      <w:r w:rsidRPr="009F23CB">
        <w:rPr>
          <w:rFonts w:cs="Times New Roman"/>
        </w:rPr>
        <w:t xml:space="preserve">, 2014 SKCA 80, 442 Sask. R. 1, at para. 28; E. G. Ewaschuk, </w:t>
      </w:r>
      <w:r w:rsidRPr="009F23CB">
        <w:rPr>
          <w:rFonts w:cs="Times New Roman"/>
          <w:i/>
        </w:rPr>
        <w:t>Criminal Pleadings &amp; Practice in Canada</w:t>
      </w:r>
      <w:r w:rsidRPr="009F23CB">
        <w:rPr>
          <w:rFonts w:cs="Times New Roman"/>
        </w:rPr>
        <w:t xml:space="preserve"> (3rd ed. (loose-leaf)), at § 5:40).</w:t>
      </w:r>
    </w:p>
    <w:p w14:paraId="7FFCC777"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The police cannot rely on evidence discovered after the arrest to justify the subjective or objective grounds for arrest (</w:t>
      </w:r>
      <w:r w:rsidRPr="009F23CB">
        <w:rPr>
          <w:rFonts w:cs="Times New Roman"/>
          <w:i/>
        </w:rPr>
        <w:t>R. v. Biron</w:t>
      </w:r>
      <w:r w:rsidRPr="009F23CB">
        <w:rPr>
          <w:rFonts w:cs="Times New Roman"/>
        </w:rPr>
        <w:t xml:space="preserve">, [1976] 2 S.C.R. 56, at p. 72; </w:t>
      </w:r>
      <w:r w:rsidRPr="009F23CB">
        <w:rPr>
          <w:rFonts w:cs="Times New Roman"/>
          <w:i/>
        </w:rPr>
        <w:t>R. v. Brayton</w:t>
      </w:r>
      <w:r w:rsidRPr="009F23CB">
        <w:rPr>
          <w:rFonts w:cs="Times New Roman"/>
        </w:rPr>
        <w:t xml:space="preserve">, 2021 ABCA 316, 33 Alta. L.R. (7th) 241, at para. 43; </w:t>
      </w:r>
      <w:r w:rsidRPr="009F23CB">
        <w:rPr>
          <w:rFonts w:cs="Times New Roman"/>
          <w:i/>
        </w:rPr>
        <w:t>Ha</w:t>
      </w:r>
      <w:r w:rsidRPr="009F23CB">
        <w:rPr>
          <w:rFonts w:cs="Times New Roman"/>
        </w:rPr>
        <w:t xml:space="preserve">, at paras. 20-23; </w:t>
      </w:r>
      <w:r w:rsidRPr="009F23CB">
        <w:rPr>
          <w:rFonts w:cs="Times New Roman"/>
          <w:i/>
        </w:rPr>
        <w:t>R. v. Montgomery</w:t>
      </w:r>
      <w:r w:rsidRPr="009F23CB">
        <w:rPr>
          <w:rFonts w:cs="Times New Roman"/>
        </w:rPr>
        <w:t>, 2009 BCCA 41, 265 B.C.A.C. 284, at para. 27; Ewaschuk, at § 5:40).</w:t>
      </w:r>
    </w:p>
    <w:p w14:paraId="1F7D10A0" w14:textId="77777777" w:rsidR="009F23CB" w:rsidRPr="009F23CB" w:rsidRDefault="009F23CB" w:rsidP="009F23CB">
      <w:pPr>
        <w:pStyle w:val="ParaNoNdepar-AltN"/>
        <w:numPr>
          <w:ilvl w:val="0"/>
          <w:numId w:val="3"/>
        </w:numPr>
        <w:ind w:left="1980" w:hanging="810"/>
        <w:rPr>
          <w:rFonts w:cs="Times New Roman"/>
        </w:rPr>
      </w:pPr>
      <w:r w:rsidRPr="009F23CB">
        <w:rPr>
          <w:rFonts w:cs="Times New Roman"/>
        </w:rPr>
        <w:t>When a police officer orders another officer to make an arrest, the police officer who directed the arrest must have had reasonable and probable grounds. It is immaterial whether the officer who makes the arrest personally had reasonable and probable grounds (</w:t>
      </w:r>
      <w:proofErr w:type="spellStart"/>
      <w:r w:rsidRPr="009F23CB">
        <w:rPr>
          <w:rFonts w:cs="Times New Roman"/>
          <w:i/>
        </w:rPr>
        <w:t>Debot</w:t>
      </w:r>
      <w:proofErr w:type="spellEnd"/>
      <w:r w:rsidRPr="009F23CB">
        <w:rPr>
          <w:rFonts w:cs="Times New Roman"/>
        </w:rPr>
        <w:t>, at pp. 1166-67).</w:t>
      </w:r>
    </w:p>
    <w:p w14:paraId="1BF38F49" w14:textId="77777777" w:rsidR="009F23CB" w:rsidRPr="009F23CB" w:rsidRDefault="009F23CB" w:rsidP="009F23CB">
      <w:pPr>
        <w:pStyle w:val="ParaNoNdepar-AltN"/>
        <w:rPr>
          <w:rFonts w:cs="Times New Roman"/>
        </w:rPr>
      </w:pPr>
      <w:r w:rsidRPr="009F23CB">
        <w:rPr>
          <w:rFonts w:cs="Times New Roman"/>
        </w:rPr>
        <w:t>The existence of reasonable and probable grounds for a warrantless arrest is based on the trial judge’s factual findings reviewable only for palpable and overriding error. Whether the facts as found by the trial judge amount to reasonable and probable grounds is a question of law reviewable for correctness (</w:t>
      </w:r>
      <w:r w:rsidRPr="009F23CB">
        <w:rPr>
          <w:rFonts w:cs="Times New Roman"/>
          <w:i/>
        </w:rPr>
        <w:t>Shepherd</w:t>
      </w:r>
      <w:r w:rsidRPr="009F23CB">
        <w:rPr>
          <w:rFonts w:cs="Times New Roman"/>
        </w:rPr>
        <w:t xml:space="preserve">, at para. 20; </w:t>
      </w:r>
      <w:r w:rsidRPr="009F23CB">
        <w:rPr>
          <w:rFonts w:cs="Times New Roman"/>
          <w:i/>
        </w:rPr>
        <w:t>Tim</w:t>
      </w:r>
      <w:r w:rsidRPr="009F23CB">
        <w:rPr>
          <w:rFonts w:cs="Times New Roman"/>
        </w:rPr>
        <w:t>, at para. 25).</w:t>
      </w:r>
    </w:p>
    <w:p w14:paraId="69CCB018" w14:textId="77777777" w:rsidR="009F23CB" w:rsidRPr="009F23CB" w:rsidRDefault="009F23CB" w:rsidP="009F23CB">
      <w:pPr>
        <w:pStyle w:val="Title3LevelTitre3Niveau"/>
        <w:jc w:val="both"/>
        <w:rPr>
          <w:rFonts w:cs="Times New Roman"/>
        </w:rPr>
      </w:pPr>
      <w:bookmarkStart w:id="69" w:name="_Toc109915215"/>
      <w:bookmarkStart w:id="70" w:name="_Toc110968673"/>
      <w:r w:rsidRPr="009F23CB">
        <w:rPr>
          <w:rFonts w:cs="Times New Roman"/>
        </w:rPr>
        <w:t>Contemporaneous Police Notes Are Desirable but Not Mandatory in a Warrantless Arrest</w:t>
      </w:r>
      <w:bookmarkEnd w:id="69"/>
      <w:bookmarkEnd w:id="70"/>
    </w:p>
    <w:p w14:paraId="6C8C7AFB" w14:textId="77777777" w:rsidR="009F23CB" w:rsidRPr="009F23CB" w:rsidRDefault="009F23CB" w:rsidP="009F23CB">
      <w:pPr>
        <w:pStyle w:val="ParaNoNdepar-AltN"/>
        <w:rPr>
          <w:rFonts w:cs="Times New Roman"/>
        </w:rPr>
      </w:pPr>
      <w:r w:rsidRPr="009F23CB">
        <w:rPr>
          <w:rFonts w:cs="Times New Roman"/>
        </w:rPr>
        <w:t>The appellants do not question the legal principles above. Instead, they contend that a warrantless arrest is unlawful where the police fail to take detailed contemporaneous notes of their grounds for arrest and the material relied on in forming those grounds. They claim that the lack of contemporaneous notes frustrates a court’s ability to review the existence of subjective grounds for arrest, the information known to the officer at the time of arrest, and whether this information justifies the subjective grounds from an objective viewpoint.</w:t>
      </w:r>
    </w:p>
    <w:p w14:paraId="6456EF75" w14:textId="77777777" w:rsidR="009F23CB" w:rsidRPr="009F23CB" w:rsidRDefault="009F23CB" w:rsidP="009F23CB">
      <w:pPr>
        <w:pStyle w:val="ParaNoNdepar-AltN"/>
        <w:rPr>
          <w:rFonts w:cs="Times New Roman"/>
        </w:rPr>
      </w:pPr>
      <w:r w:rsidRPr="009F23CB">
        <w:rPr>
          <w:rFonts w:cs="Times New Roman"/>
        </w:rPr>
        <w:t>I agree that contemporaneous notes are generally desirable when determining whether the police had reasonable and probable grounds for a warrantless arrest, but I disagree that such notes should be mandatory in all cases. This Court has insisted on detailed notes to justify the police conducting warrantless cell phone searches (</w:t>
      </w:r>
      <w:r w:rsidRPr="009F23CB">
        <w:rPr>
          <w:rFonts w:cs="Times New Roman"/>
          <w:i/>
        </w:rPr>
        <w:t>R. v. Fearon</w:t>
      </w:r>
      <w:r w:rsidRPr="009F23CB">
        <w:rPr>
          <w:rFonts w:cs="Times New Roman"/>
        </w:rPr>
        <w:t>, 2014 SCC 77, [2014] 3 S.C.R. 621, at para. 82), and has encouraged them in several contexts, including for strip searches (</w:t>
      </w:r>
      <w:r w:rsidRPr="009F23CB">
        <w:rPr>
          <w:rFonts w:cs="Times New Roman"/>
          <w:i/>
        </w:rPr>
        <w:t>R. v. Golden</w:t>
      </w:r>
      <w:r w:rsidRPr="009F23CB">
        <w:rPr>
          <w:rFonts w:cs="Times New Roman"/>
        </w:rPr>
        <w:t>, 2001 SCC 83, [2001] 3 S.C.R. 679, at para. 101), for warranted searches of a computer (</w:t>
      </w:r>
      <w:r w:rsidRPr="009F23CB">
        <w:rPr>
          <w:rFonts w:cs="Times New Roman"/>
          <w:i/>
        </w:rPr>
        <w:t>R. v. Vu</w:t>
      </w:r>
      <w:r w:rsidRPr="009F23CB">
        <w:rPr>
          <w:rFonts w:cs="Times New Roman"/>
        </w:rPr>
        <w:t>,</w:t>
      </w:r>
      <w:r w:rsidRPr="009F23CB">
        <w:rPr>
          <w:rFonts w:cs="Times New Roman"/>
          <w:i/>
        </w:rPr>
        <w:t xml:space="preserve"> </w:t>
      </w:r>
      <w:r w:rsidRPr="009F23CB">
        <w:rPr>
          <w:rFonts w:cs="Times New Roman"/>
        </w:rPr>
        <w:t>2013 SCC 60, [2013] 3 S.C.R. 657, at para. 70), and after searching a home incident to arrest (</w:t>
      </w:r>
      <w:r w:rsidRPr="009F23CB">
        <w:rPr>
          <w:rFonts w:cs="Times New Roman"/>
          <w:i/>
        </w:rPr>
        <w:t>R. v. Stairs</w:t>
      </w:r>
      <w:r w:rsidRPr="009F23CB">
        <w:rPr>
          <w:rFonts w:cs="Times New Roman"/>
        </w:rPr>
        <w:t>,</w:t>
      </w:r>
      <w:r w:rsidRPr="009F23CB">
        <w:rPr>
          <w:rFonts w:cs="Times New Roman"/>
          <w:i/>
        </w:rPr>
        <w:t xml:space="preserve"> </w:t>
      </w:r>
      <w:r w:rsidRPr="009F23CB">
        <w:rPr>
          <w:rFonts w:cs="Times New Roman"/>
        </w:rPr>
        <w:t xml:space="preserve">2022 SCC 11, at para. 81). However, our law has never insisted on contemporaneous notes for all warrantless arrests, nor would I impose such a requirement. Insisting on contemporaneous notes in all cases could undermine the </w:t>
      </w:r>
      <w:r w:rsidRPr="009F23CB">
        <w:rPr>
          <w:rFonts w:cs="Times New Roman"/>
          <w:szCs w:val="24"/>
        </w:rPr>
        <w:t>ability of the police to respond appropriately to the dynamic situations they face each day.</w:t>
      </w:r>
    </w:p>
    <w:p w14:paraId="762D5A81" w14:textId="77777777" w:rsidR="009F23CB" w:rsidRPr="009F23CB" w:rsidRDefault="009F23CB" w:rsidP="009F23CB">
      <w:pPr>
        <w:pStyle w:val="ParaNoNdepar-AltN"/>
        <w:rPr>
          <w:rFonts w:cs="Times New Roman"/>
        </w:rPr>
      </w:pPr>
      <w:r w:rsidRPr="009F23CB">
        <w:rPr>
          <w:rFonts w:cs="Times New Roman"/>
        </w:rPr>
        <w:t xml:space="preserve">The lack of contemporaneous notes does not necessarily frustrate judicial review of warrantless arrests. Courts routinely evaluate the existence of reasonable and probable grounds based on the arresting officer’s testimony and other evidence (see, e.g., </w:t>
      </w:r>
      <w:r w:rsidRPr="009F23CB">
        <w:rPr>
          <w:rFonts w:cs="Times New Roman"/>
          <w:i/>
        </w:rPr>
        <w:t>R. v. Nguyen</w:t>
      </w:r>
      <w:r w:rsidRPr="009F23CB">
        <w:rPr>
          <w:rFonts w:cs="Times New Roman"/>
        </w:rPr>
        <w:t>,</w:t>
      </w:r>
      <w:r w:rsidRPr="009F23CB">
        <w:rPr>
          <w:rFonts w:cs="Times New Roman"/>
          <w:i/>
        </w:rPr>
        <w:t xml:space="preserve"> </w:t>
      </w:r>
      <w:r w:rsidRPr="009F23CB">
        <w:rPr>
          <w:rFonts w:cs="Times New Roman"/>
        </w:rPr>
        <w:t xml:space="preserve">2017 BCPC 131; </w:t>
      </w:r>
      <w:r w:rsidRPr="009F23CB">
        <w:rPr>
          <w:rFonts w:cs="Times New Roman"/>
          <w:i/>
        </w:rPr>
        <w:t>R. v. Kroeker</w:t>
      </w:r>
      <w:r w:rsidRPr="009F23CB">
        <w:rPr>
          <w:rFonts w:cs="Times New Roman"/>
        </w:rPr>
        <w:t>,</w:t>
      </w:r>
      <w:r w:rsidRPr="009F23CB">
        <w:rPr>
          <w:rFonts w:cs="Times New Roman"/>
          <w:i/>
        </w:rPr>
        <w:t xml:space="preserve"> </w:t>
      </w:r>
      <w:r w:rsidRPr="009F23CB">
        <w:rPr>
          <w:rFonts w:cs="Times New Roman"/>
        </w:rPr>
        <w:t xml:space="preserve">2019 BCPC 127; </w:t>
      </w:r>
      <w:r w:rsidRPr="009F23CB">
        <w:rPr>
          <w:rFonts w:cs="Times New Roman"/>
          <w:i/>
        </w:rPr>
        <w:t>R. v. Rauch</w:t>
      </w:r>
      <w:r w:rsidRPr="009F23CB">
        <w:rPr>
          <w:rFonts w:cs="Times New Roman"/>
        </w:rPr>
        <w:t>,</w:t>
      </w:r>
      <w:r w:rsidRPr="009F23CB">
        <w:rPr>
          <w:rFonts w:cs="Times New Roman"/>
          <w:i/>
        </w:rPr>
        <w:t xml:space="preserve"> </w:t>
      </w:r>
      <w:r w:rsidRPr="009F23CB">
        <w:rPr>
          <w:rFonts w:cs="Times New Roman"/>
        </w:rPr>
        <w:t xml:space="preserve">2022 BCPC 117; </w:t>
      </w:r>
      <w:r w:rsidRPr="009F23CB">
        <w:rPr>
          <w:rFonts w:cs="Times New Roman"/>
          <w:i/>
        </w:rPr>
        <w:t>R. v. Daley</w:t>
      </w:r>
      <w:r w:rsidRPr="009F23CB">
        <w:rPr>
          <w:rFonts w:cs="Times New Roman"/>
        </w:rPr>
        <w:t>, 2015 ONSC 7367).</w:t>
      </w:r>
    </w:p>
    <w:p w14:paraId="44F6027F" w14:textId="77777777" w:rsidR="009F23CB" w:rsidRPr="009F23CB" w:rsidRDefault="009F23CB" w:rsidP="009F23CB">
      <w:pPr>
        <w:pStyle w:val="ParaNoNdepar-AltN"/>
        <w:rPr>
          <w:rFonts w:cs="Times New Roman"/>
        </w:rPr>
      </w:pPr>
      <w:r w:rsidRPr="009F23CB">
        <w:rPr>
          <w:rFonts w:cs="Times New Roman"/>
          <w:szCs w:val="24"/>
        </w:rPr>
        <w:t xml:space="preserve">I therefore conclude that contemporaneous notes </w:t>
      </w:r>
      <w:r w:rsidRPr="009F23CB">
        <w:rPr>
          <w:rFonts w:cs="Times New Roman"/>
        </w:rPr>
        <w:t>are not legally required for a warrantless arrest in all cases. Nor, as I will explain, does the absence of such notes frustrate judicial review here.</w:t>
      </w:r>
    </w:p>
    <w:p w14:paraId="2CCA90E3" w14:textId="77777777" w:rsidR="009F23CB" w:rsidRPr="009F23CB" w:rsidRDefault="009F23CB" w:rsidP="009F23CB">
      <w:pPr>
        <w:pStyle w:val="Title3LevelTitre3Niveau"/>
        <w:jc w:val="both"/>
        <w:rPr>
          <w:rFonts w:cs="Times New Roman"/>
        </w:rPr>
      </w:pPr>
      <w:bookmarkStart w:id="71" w:name="_Toc109490382"/>
      <w:bookmarkStart w:id="72" w:name="_Toc109915216"/>
      <w:bookmarkStart w:id="73" w:name="_Toc110968674"/>
      <w:r w:rsidRPr="009F23CB">
        <w:rPr>
          <w:rFonts w:cs="Times New Roman"/>
        </w:rPr>
        <w:t>Application</w:t>
      </w:r>
      <w:bookmarkEnd w:id="71"/>
      <w:bookmarkEnd w:id="72"/>
      <w:bookmarkEnd w:id="73"/>
    </w:p>
    <w:p w14:paraId="72252AA1" w14:textId="77777777" w:rsidR="009F23CB" w:rsidRPr="009F23CB" w:rsidRDefault="009F23CB" w:rsidP="009F23CB">
      <w:pPr>
        <w:pStyle w:val="Title4LevelTitre4Niveau"/>
        <w:jc w:val="both"/>
        <w:rPr>
          <w:rFonts w:cs="Times New Roman"/>
        </w:rPr>
      </w:pPr>
      <w:bookmarkStart w:id="74" w:name="_Toc109915218"/>
      <w:r w:rsidRPr="009F23CB">
        <w:rPr>
          <w:rFonts w:cs="Times New Roman"/>
        </w:rPr>
        <w:t>Det. Vermette Had Reasonable and Probable Grounds to Arrest the Appellants</w:t>
      </w:r>
      <w:bookmarkEnd w:id="74"/>
    </w:p>
    <w:p w14:paraId="16E15E59" w14:textId="77777777" w:rsidR="009F23CB" w:rsidRPr="009F23CB" w:rsidRDefault="009F23CB" w:rsidP="009F23CB">
      <w:pPr>
        <w:pStyle w:val="ParaNoNdepar-AltN"/>
        <w:rPr>
          <w:rFonts w:cs="Times New Roman"/>
        </w:rPr>
      </w:pPr>
      <w:r w:rsidRPr="009F23CB">
        <w:rPr>
          <w:rFonts w:cs="Times New Roman"/>
        </w:rPr>
        <w:t xml:space="preserve">Here, the trial judge accepted Det. Vermette’s testimony that he had subjective reasonable and probable grounds to direct the appellants’ arrests for murder </w:t>
      </w:r>
      <w:r w:rsidRPr="009F23CB">
        <w:rPr>
          <w:rFonts w:cs="Times New Roman"/>
          <w:szCs w:val="24"/>
        </w:rPr>
        <w:t>(paras. 151, 153, 157, 232 and 240)</w:t>
      </w:r>
      <w:r w:rsidRPr="009F23CB">
        <w:rPr>
          <w:rFonts w:cs="Times New Roman"/>
        </w:rPr>
        <w:t>. That finding is uncontested. The contested issue is whether those grounds were objectively reasonable. The appellants say that Det. Vermette had no more than an “impression” that Bowers’ death was suspicious, which fails to meet the threshold of credibly based probability that the appellants murdered Bowers.</w:t>
      </w:r>
    </w:p>
    <w:p w14:paraId="5EED398C" w14:textId="77777777" w:rsidR="009F23CB" w:rsidRPr="009F23CB" w:rsidRDefault="009F23CB" w:rsidP="009F23CB">
      <w:pPr>
        <w:pStyle w:val="ParaNoNdepar-AltN"/>
        <w:rPr>
          <w:rFonts w:cs="Times New Roman"/>
        </w:rPr>
      </w:pPr>
      <w:r w:rsidRPr="009F23CB">
        <w:rPr>
          <w:rFonts w:cs="Times New Roman"/>
        </w:rPr>
        <w:t>I do not agree. I readily accept that some of the evidence Det. Vermette had when he formed his reasonable and probable grounds may have pointed towards Bowers’ death being an accident rather than murder. This includes, for example, Lambert’s statement to the 9-1-1 operator that “[Beaver] says he looks like he fell and hit his head” (R.R., at p. 26). But Det. Vermette did not have to rule out possible innocent explanations of Bowers’ death before arresting the appellants</w:t>
      </w:r>
      <w:r w:rsidRPr="009F23CB">
        <w:rPr>
          <w:rFonts w:cs="Times New Roman"/>
          <w:szCs w:val="24"/>
        </w:rPr>
        <w:t>.</w:t>
      </w:r>
      <w:r w:rsidRPr="009F23CB">
        <w:rPr>
          <w:rFonts w:cs="Times New Roman"/>
        </w:rPr>
        <w:t xml:space="preserve"> Nor did he require a </w:t>
      </w:r>
      <w:r w:rsidRPr="009F23CB">
        <w:rPr>
          <w:rFonts w:cs="Times New Roman"/>
          <w:i/>
        </w:rPr>
        <w:t xml:space="preserve">prima facie </w:t>
      </w:r>
      <w:r w:rsidRPr="009F23CB">
        <w:rPr>
          <w:rFonts w:cs="Times New Roman"/>
        </w:rPr>
        <w:t>case for conviction.</w:t>
      </w:r>
    </w:p>
    <w:p w14:paraId="4DC5990F" w14:textId="77777777" w:rsidR="009F23CB" w:rsidRPr="009F23CB" w:rsidRDefault="009F23CB" w:rsidP="009F23CB">
      <w:pPr>
        <w:pStyle w:val="ParaNoNdepar-AltN"/>
        <w:rPr>
          <w:rFonts w:cs="Times New Roman"/>
        </w:rPr>
      </w:pPr>
      <w:r w:rsidRPr="009F23CB">
        <w:rPr>
          <w:rFonts w:cs="Times New Roman"/>
        </w:rPr>
        <w:t xml:space="preserve">I also readily accept that the police relied on circumstantial evidence to establish reasonable and probable grounds to arrest the appellants, but this is not unusual. When the police learn of a suspicious death and there is no direct evidence of who may be responsible, they routinely look to motive and opportunity to further their investigation. For example, in </w:t>
      </w:r>
      <w:r w:rsidRPr="009F23CB">
        <w:rPr>
          <w:rFonts w:cs="Times New Roman"/>
          <w:i/>
        </w:rPr>
        <w:t>Latimer</w:t>
      </w:r>
      <w:r w:rsidRPr="009F23CB">
        <w:rPr>
          <w:rFonts w:cs="Times New Roman"/>
        </w:rPr>
        <w:t>, at para. 27, this Court held that the police had reasonable and probable grounds to arrest a father for the murder of his severely disabled daughter based on the circumstantial evidence that carbon monoxide was found in the daughter’s blood, strongly suggesting that she had been poisoned; that it was unlikely that her death was accidental; that given her physical condition, her death could not have been suicide; and that the father had both motive and opportunity. This is not to say that motive, opportunity, and a suspicious death will establish reasonable and probable grounds to arrest for murder in every case. Whether circumstantial evidence of this nature establishes grounds to arrest will depend on the facts and the strength of the evidence.</w:t>
      </w:r>
    </w:p>
    <w:p w14:paraId="308DAF30" w14:textId="77777777" w:rsidR="009F23CB" w:rsidRPr="009F23CB" w:rsidRDefault="009F23CB" w:rsidP="009F23CB">
      <w:pPr>
        <w:pStyle w:val="ParaNoNdepar-AltN"/>
        <w:rPr>
          <w:rFonts w:cs="Times New Roman"/>
        </w:rPr>
      </w:pPr>
      <w:r w:rsidRPr="009F23CB">
        <w:rPr>
          <w:rFonts w:cs="Times New Roman"/>
        </w:rPr>
        <w:t>Here, the trial</w:t>
      </w:r>
      <w:r w:rsidRPr="009F23CB">
        <w:rPr>
          <w:rFonts w:cs="Times New Roman"/>
          <w:i/>
        </w:rPr>
        <w:t xml:space="preserve"> </w:t>
      </w:r>
      <w:r w:rsidRPr="009F23CB">
        <w:rPr>
          <w:rFonts w:cs="Times New Roman"/>
        </w:rPr>
        <w:t xml:space="preserve">judge’s factual findings confirm that Det. Vermette’s belief that the appellants were connected to Bowers’ death was objectively reasonable when he directed their arrest. Far from having a mere suspicion, Det. Vermette had compelling and credible information that the appellants had motive to kill Bowers, that they had the opportunity to act on this motive, and that Bowers’ death was suspicious. </w:t>
      </w:r>
    </w:p>
    <w:p w14:paraId="46869D01" w14:textId="77777777" w:rsidR="009F23CB" w:rsidRPr="009F23CB" w:rsidRDefault="009F23CB" w:rsidP="009F23CB">
      <w:pPr>
        <w:pStyle w:val="Title5LevelTitre5Niveau"/>
        <w:ind w:left="1152"/>
        <w:jc w:val="both"/>
        <w:rPr>
          <w:rFonts w:cs="Times New Roman"/>
        </w:rPr>
      </w:pPr>
      <w:bookmarkStart w:id="75" w:name="_Toc109915219"/>
      <w:r w:rsidRPr="009F23CB">
        <w:rPr>
          <w:rFonts w:cs="Times New Roman"/>
        </w:rPr>
        <w:t>The Appellants Had Motive and Opportunity to Kill Bowers</w:t>
      </w:r>
      <w:bookmarkEnd w:id="75"/>
    </w:p>
    <w:p w14:paraId="3541FDAA" w14:textId="77777777" w:rsidR="009F23CB" w:rsidRPr="009F23CB" w:rsidRDefault="009F23CB" w:rsidP="009F23CB">
      <w:pPr>
        <w:pStyle w:val="ParaNoNdepar-AltN"/>
        <w:rPr>
          <w:rFonts w:cs="Times New Roman"/>
        </w:rPr>
      </w:pPr>
      <w:r w:rsidRPr="009F23CB">
        <w:rPr>
          <w:rFonts w:cs="Times New Roman"/>
        </w:rPr>
        <w:t>The trial judge found that both appellants had the motive and opportunity to kill Bowers (para. 159). These factual findings were amply supported by the information before Det. Vermette when he formed his subjective reasonable and probable grounds. The appellants had motive to kill Bowers based on the recent history of conflict and violence in the townhouse that had led to “altercations all week”, including the night before when Bowers had angrily told the appellants to “get the hell out”, and a few days earlier when the police had attended the townhouse after Lambert claimed that Bowers had assaulted him. The appellants also had the opportunity to kill Bowers because they lived with him, they were the last known persons to see him alive, and they claimed to have discovered his body at the townhouse before placing the 9</w:t>
      </w:r>
      <w:r w:rsidRPr="009F23CB">
        <w:rPr>
          <w:rFonts w:cs="Times New Roman"/>
        </w:rPr>
        <w:noBreakHyphen/>
        <w:t>1</w:t>
      </w:r>
      <w:r w:rsidRPr="009F23CB">
        <w:rPr>
          <w:rFonts w:cs="Times New Roman"/>
        </w:rPr>
        <w:noBreakHyphen/>
        <w:t>1 call (para. 143).</w:t>
      </w:r>
    </w:p>
    <w:p w14:paraId="3FAD357B" w14:textId="77777777" w:rsidR="009F23CB" w:rsidRPr="009F23CB" w:rsidRDefault="009F23CB" w:rsidP="009F23CB">
      <w:pPr>
        <w:pStyle w:val="Title5LevelTitre5Niveau"/>
        <w:ind w:left="1152"/>
        <w:jc w:val="both"/>
        <w:rPr>
          <w:rFonts w:cs="Times New Roman"/>
        </w:rPr>
      </w:pPr>
      <w:bookmarkStart w:id="76" w:name="_Toc109915220"/>
      <w:r w:rsidRPr="009F23CB">
        <w:rPr>
          <w:rFonts w:cs="Times New Roman"/>
        </w:rPr>
        <w:t>Bowers’ Death Was Suspicious</w:t>
      </w:r>
      <w:bookmarkEnd w:id="76"/>
    </w:p>
    <w:p w14:paraId="72E97789" w14:textId="77777777" w:rsidR="009F23CB" w:rsidRPr="009F23CB" w:rsidRDefault="009F23CB" w:rsidP="009F23CB">
      <w:pPr>
        <w:pStyle w:val="ParaNoNdepar-AltN"/>
        <w:rPr>
          <w:rFonts w:cs="Times New Roman"/>
          <w:szCs w:val="24"/>
        </w:rPr>
      </w:pPr>
      <w:r w:rsidRPr="009F23CB">
        <w:rPr>
          <w:rFonts w:cs="Times New Roman"/>
        </w:rPr>
        <w:t>The totality of the circumstances also showed that Bowers’ death was suspicious.</w:t>
      </w:r>
    </w:p>
    <w:p w14:paraId="019BCA65" w14:textId="77777777" w:rsidR="009F23CB" w:rsidRPr="009F23CB" w:rsidRDefault="009F23CB" w:rsidP="009F23CB">
      <w:pPr>
        <w:pStyle w:val="ParaNoNdepar-AltN"/>
        <w:rPr>
          <w:rFonts w:cs="Times New Roman"/>
        </w:rPr>
      </w:pPr>
      <w:r w:rsidRPr="009F23CB">
        <w:rPr>
          <w:rFonts w:cs="Times New Roman"/>
        </w:rPr>
        <w:t xml:space="preserve">First, Det. Vermette, a seasoned homicide detective, viewed the death as suspicious. His view was supported by the call he had received from </w:t>
      </w:r>
      <w:r w:rsidRPr="009F23CB">
        <w:rPr>
          <w:rFonts w:cs="Times New Roman"/>
          <w:szCs w:val="24"/>
        </w:rPr>
        <w:t>S/Sgt. </w:t>
      </w:r>
      <w:r w:rsidRPr="009F23CB">
        <w:rPr>
          <w:rFonts w:cs="Times New Roman"/>
        </w:rPr>
        <w:t>Chisholm calling him into work. S/Sgt. Chisholm had advised him that he had spoken with the medical investigator’s office, which had “vast experience” and which had advised that the homicide team needed to be called out to investigate because the “death investigator” had identified “issues” or “problems” (A.R., vol. I, at pp. 238-39). As Det. Vermette put it, the medical investigator’s office effectively said, “[h]</w:t>
      </w:r>
      <w:proofErr w:type="spellStart"/>
      <w:r w:rsidRPr="009F23CB">
        <w:rPr>
          <w:rFonts w:cs="Times New Roman"/>
        </w:rPr>
        <w:t>ey</w:t>
      </w:r>
      <w:proofErr w:type="spellEnd"/>
      <w:r w:rsidRPr="009F23CB">
        <w:rPr>
          <w:rFonts w:cs="Times New Roman"/>
        </w:rPr>
        <w:t>, this is suspicious” (p. 239). Det. Vermette viewed this as “important” because he knew from experience how the medical investigator’s office triaged calls in cases of suspicious deaths (p. 227). S/Sgt. Chisholm’s follow-up email to him also had the subject line “Looks like New homicide”. None of this information had been available to the police when the appellants were unlawfully detained, but all of it was available to them when they arrested the appellants for murder.</w:t>
      </w:r>
    </w:p>
    <w:p w14:paraId="50B02F7A" w14:textId="77777777" w:rsidR="009F23CB" w:rsidRPr="009F23CB" w:rsidRDefault="009F23CB" w:rsidP="009F23CB">
      <w:pPr>
        <w:pStyle w:val="ParaNoNdepar-AltN"/>
        <w:rPr>
          <w:rFonts w:cs="Times New Roman"/>
        </w:rPr>
      </w:pPr>
      <w:r w:rsidRPr="009F23CB">
        <w:rPr>
          <w:rFonts w:cs="Times New Roman"/>
        </w:rPr>
        <w:t>Second, the evidence of the appellants’ motive and opportunity reinforced the suspicious nature of the death. Bowers was found dead in the townhouse he lived in with the appellants, the morning after he had argued with them and had angrily told them to “get the hell out”. This atmosphere of violence was not an isolated incident: Lambert told the 9-1-1 operator that there had been “altercations all week” and alleged that Bowers assaulted him just three days earlier.</w:t>
      </w:r>
    </w:p>
    <w:p w14:paraId="121A2A4D" w14:textId="77777777" w:rsidR="009F23CB" w:rsidRPr="009F23CB" w:rsidRDefault="009F23CB" w:rsidP="009F23CB">
      <w:pPr>
        <w:pStyle w:val="ParaNoNdepar-AltN"/>
        <w:rPr>
          <w:rFonts w:cs="Times New Roman"/>
          <w:szCs w:val="24"/>
        </w:rPr>
      </w:pPr>
      <w:r w:rsidRPr="009F23CB">
        <w:rPr>
          <w:rFonts w:cs="Times New Roman"/>
          <w:szCs w:val="24"/>
        </w:rPr>
        <w:t xml:space="preserve">Finally, police found Bowers lying face down in a pool of blood with apparent trauma to his body, and the townhouse was being treated as a crime scene (ABQB </w:t>
      </w:r>
      <w:r w:rsidRPr="009F23CB">
        <w:rPr>
          <w:rFonts w:cs="Times New Roman"/>
          <w:i/>
          <w:szCs w:val="24"/>
        </w:rPr>
        <w:t>voir dire</w:t>
      </w:r>
      <w:r w:rsidRPr="009F23CB">
        <w:rPr>
          <w:rFonts w:cs="Times New Roman"/>
          <w:szCs w:val="24"/>
        </w:rPr>
        <w:t xml:space="preserve"> reasons, at para. 158).</w:t>
      </w:r>
    </w:p>
    <w:p w14:paraId="10D575C9" w14:textId="77777777" w:rsidR="009F23CB" w:rsidRPr="009F23CB" w:rsidRDefault="009F23CB" w:rsidP="009F23CB">
      <w:pPr>
        <w:pStyle w:val="Title4LevelTitre4Niveau"/>
        <w:jc w:val="both"/>
        <w:rPr>
          <w:rFonts w:cs="Times New Roman"/>
        </w:rPr>
      </w:pPr>
      <w:bookmarkStart w:id="77" w:name="_Toc109915221"/>
      <w:r w:rsidRPr="009F23CB">
        <w:rPr>
          <w:rFonts w:cs="Times New Roman"/>
        </w:rPr>
        <w:t>Det. Vermette Did Not Form His Grounds to Arrest in Two Minutes</w:t>
      </w:r>
      <w:bookmarkEnd w:id="77"/>
    </w:p>
    <w:p w14:paraId="68146121" w14:textId="77777777" w:rsidR="009F23CB" w:rsidRPr="009F23CB" w:rsidRDefault="009F23CB" w:rsidP="009F23CB">
      <w:pPr>
        <w:pStyle w:val="ParaNoNdepar-AltN"/>
        <w:rPr>
          <w:rFonts w:cs="Times New Roman"/>
        </w:rPr>
      </w:pPr>
      <w:r w:rsidRPr="009F23CB">
        <w:rPr>
          <w:rFonts w:cs="Times New Roman"/>
        </w:rPr>
        <w:t>I also do not accept the appellants’ argument that Det. Vermette’s decision to arrest the appellants for murder was a “hurried decision” made “two minutes after being advised the appellants were unlawfully detained” (Lambert factum, at para. 48; Beaver factum, at para. 44). Det. Vermette was confronted with this theory on cross</w:t>
      </w:r>
      <w:r w:rsidRPr="009F23CB">
        <w:rPr>
          <w:rFonts w:cs="Times New Roman"/>
        </w:rPr>
        <w:noBreakHyphen/>
        <w:t>examination and rejected it as “not accurate” (A.R., vol. I, at p. 256). His unchallenged evidence was that when he directed the appellants’ arrests, he was “already satisfied” of the grounds for arrest because he had reviewed all the relevant material over the course of the morning (p. 256).</w:t>
      </w:r>
    </w:p>
    <w:p w14:paraId="70DF2945" w14:textId="77777777" w:rsidR="009F23CB" w:rsidRPr="009F23CB" w:rsidRDefault="009F23CB" w:rsidP="009F23CB">
      <w:pPr>
        <w:pStyle w:val="Title4LevelTitre4Niveau"/>
        <w:jc w:val="both"/>
        <w:rPr>
          <w:rFonts w:cs="Times New Roman"/>
        </w:rPr>
      </w:pPr>
      <w:bookmarkStart w:id="78" w:name="_Toc109915222"/>
      <w:r w:rsidRPr="009F23CB">
        <w:rPr>
          <w:rFonts w:cs="Times New Roman"/>
        </w:rPr>
        <w:t>Conclusion: The Appellants Were Lawfully Arrested</w:t>
      </w:r>
      <w:bookmarkEnd w:id="78"/>
    </w:p>
    <w:p w14:paraId="3C3F26B1" w14:textId="77777777" w:rsidR="009F23CB" w:rsidRPr="009F23CB" w:rsidRDefault="009F23CB" w:rsidP="009F23CB">
      <w:pPr>
        <w:pStyle w:val="ParaNoNdepar-AltN"/>
        <w:rPr>
          <w:rFonts w:cs="Times New Roman"/>
        </w:rPr>
      </w:pPr>
      <w:r w:rsidRPr="009F23CB">
        <w:rPr>
          <w:rFonts w:cs="Times New Roman"/>
        </w:rPr>
        <w:t>Examining all the information before Det. Vermette — including the appellants’ motive to kill Bowers, the opportunity they had to act on this motive, and the evidence that Bowers’ death was suspicious — through the eyes of a reasonable person with the knowledge, training, and experience comparable to such a seasoned homicide detective, I conclude that Det. Vermette had objectively reasonable and probable grounds to arrest the appellants for murder. Det. Vermette’s grounds went well beyond a hunch or intuition and objectively justified his reasonable belief that the appellants were involved in Bowers’ killing.</w:t>
      </w:r>
    </w:p>
    <w:p w14:paraId="5DBC1A0F" w14:textId="77777777" w:rsidR="009F23CB" w:rsidRPr="009F23CB" w:rsidRDefault="009F23CB" w:rsidP="009F23CB">
      <w:pPr>
        <w:pStyle w:val="Title2LevelTitre2Niveau"/>
        <w:jc w:val="both"/>
        <w:rPr>
          <w:rFonts w:cs="Times New Roman"/>
        </w:rPr>
      </w:pPr>
      <w:bookmarkStart w:id="79" w:name="_Toc109490383"/>
      <w:bookmarkStart w:id="80" w:name="_Toc109915223"/>
      <w:bookmarkStart w:id="81" w:name="_Toc110968675"/>
      <w:r w:rsidRPr="009F23CB">
        <w:rPr>
          <w:rFonts w:cs="Times New Roman"/>
        </w:rPr>
        <w:t>Should the Appellants’ Confessions Be Excluded Under Section 24(2) of the Charter?</w:t>
      </w:r>
      <w:bookmarkEnd w:id="79"/>
      <w:bookmarkEnd w:id="80"/>
      <w:bookmarkEnd w:id="81"/>
    </w:p>
    <w:p w14:paraId="14408F6A" w14:textId="77777777" w:rsidR="009F23CB" w:rsidRPr="009F23CB" w:rsidRDefault="009F23CB" w:rsidP="009F23CB">
      <w:pPr>
        <w:pStyle w:val="ParaNoNdepar-AltN"/>
        <w:rPr>
          <w:rFonts w:cs="Times New Roman"/>
        </w:rPr>
      </w:pPr>
      <w:r w:rsidRPr="009F23CB">
        <w:rPr>
          <w:rFonts w:cs="Times New Roman"/>
        </w:rPr>
        <w:t xml:space="preserve">The final issue is whether the appellants’ confessions should be excluded from evidence under s. 24(2) of the </w:t>
      </w:r>
      <w:r w:rsidRPr="009F23CB">
        <w:rPr>
          <w:rFonts w:cs="Times New Roman"/>
          <w:i/>
        </w:rPr>
        <w:t>Charter</w:t>
      </w:r>
      <w:r w:rsidRPr="009F23CB">
        <w:rPr>
          <w:rFonts w:cs="Times New Roman"/>
        </w:rPr>
        <w:t xml:space="preserve">. The appellants say that because the police failed to effect a “fresh start” from the earlier </w:t>
      </w:r>
      <w:r w:rsidRPr="009F23CB">
        <w:rPr>
          <w:rFonts w:cs="Times New Roman"/>
          <w:i/>
        </w:rPr>
        <w:t>Charter</w:t>
      </w:r>
      <w:r w:rsidRPr="009F23CB">
        <w:rPr>
          <w:rFonts w:cs="Times New Roman"/>
        </w:rPr>
        <w:t xml:space="preserve"> violations arising from their unlawful detention, their confessions were “obtained in a manner” that breached the </w:t>
      </w:r>
      <w:r w:rsidRPr="009F23CB">
        <w:rPr>
          <w:rFonts w:cs="Times New Roman"/>
          <w:i/>
        </w:rPr>
        <w:t>Charter</w:t>
      </w:r>
      <w:r w:rsidRPr="009F23CB">
        <w:rPr>
          <w:rFonts w:cs="Times New Roman"/>
        </w:rPr>
        <w:t xml:space="preserve"> and must be excluded under s. 24(2).</w:t>
      </w:r>
    </w:p>
    <w:p w14:paraId="0BCA8072" w14:textId="77777777" w:rsidR="009F23CB" w:rsidRPr="009F23CB" w:rsidRDefault="009F23CB" w:rsidP="009F23CB">
      <w:pPr>
        <w:pStyle w:val="Title3LevelTitre3Niveau"/>
        <w:rPr>
          <w:rFonts w:cs="Times New Roman"/>
        </w:rPr>
      </w:pPr>
      <w:r w:rsidRPr="009F23CB">
        <w:rPr>
          <w:rFonts w:cs="Times New Roman"/>
        </w:rPr>
        <w:t xml:space="preserve">The </w:t>
      </w:r>
      <w:r w:rsidRPr="009F23CB">
        <w:rPr>
          <w:rFonts w:cs="Times New Roman"/>
          <w:i/>
        </w:rPr>
        <w:t xml:space="preserve">Charter </w:t>
      </w:r>
      <w:r w:rsidRPr="009F23CB">
        <w:rPr>
          <w:rFonts w:cs="Times New Roman"/>
        </w:rPr>
        <w:t>Rights Infringed</w:t>
      </w:r>
    </w:p>
    <w:p w14:paraId="72AE4BF6" w14:textId="77777777" w:rsidR="009F23CB" w:rsidRPr="009F23CB" w:rsidRDefault="009F23CB" w:rsidP="009F23CB">
      <w:pPr>
        <w:pStyle w:val="ParaNoNdepar-AltN"/>
        <w:rPr>
          <w:rFonts w:cs="Times New Roman"/>
        </w:rPr>
      </w:pPr>
      <w:r w:rsidRPr="009F23CB">
        <w:rPr>
          <w:rFonts w:cs="Times New Roman"/>
        </w:rPr>
        <w:t xml:space="preserve">The s. 24(2) analysis requires identifying the </w:t>
      </w:r>
      <w:r w:rsidRPr="009F23CB">
        <w:rPr>
          <w:rFonts w:cs="Times New Roman"/>
          <w:i/>
        </w:rPr>
        <w:t>Charter</w:t>
      </w:r>
      <w:r w:rsidRPr="009F23CB">
        <w:rPr>
          <w:rFonts w:cs="Times New Roman"/>
        </w:rPr>
        <w:t xml:space="preserve"> rights infringed. The Crown conceded, and the trial judge found, that the police breached the appellants’ ss. 9, 10(a), and 10(b) </w:t>
      </w:r>
      <w:r w:rsidRPr="009F23CB">
        <w:rPr>
          <w:rFonts w:cs="Times New Roman"/>
          <w:i/>
        </w:rPr>
        <w:t>Charter</w:t>
      </w:r>
      <w:r w:rsidRPr="009F23CB">
        <w:rPr>
          <w:rFonts w:cs="Times New Roman"/>
        </w:rPr>
        <w:t xml:space="preserve"> rights from when they were unlawfully detained until they were arrested for murder about two hours later. The police breached s. 9 by unlawfully detaining the appellants at the scene and by transporting them to the police station while they were being “investigatively detained” under the non-existent </w:t>
      </w:r>
      <w:r w:rsidRPr="009F23CB">
        <w:rPr>
          <w:rFonts w:cs="Times New Roman"/>
          <w:i/>
        </w:rPr>
        <w:t>Medical Examiners Act</w:t>
      </w:r>
      <w:r w:rsidRPr="009F23CB">
        <w:rPr>
          <w:rFonts w:cs="Times New Roman"/>
        </w:rPr>
        <w:t xml:space="preserve">. There was no basis to place the appellants under investigative detention at common law because, at the time of their detention, there was no “clear nexus” between them and Bowers’ death, and it had not been established that Bowers’ death resulted from a recent criminal offence (ABQB </w:t>
      </w:r>
      <w:r w:rsidRPr="009F23CB">
        <w:rPr>
          <w:rFonts w:cs="Times New Roman"/>
          <w:i/>
        </w:rPr>
        <w:t>voir dire</w:t>
      </w:r>
      <w:r w:rsidRPr="009F23CB">
        <w:rPr>
          <w:rFonts w:cs="Times New Roman"/>
        </w:rPr>
        <w:t xml:space="preserve"> reasons, at para. 149). Nor, at the time, was there statutory authority to arrest the appellants under the more onerous reasonable and probable grounds standard in s. 495(1</w:t>
      </w:r>
      <w:proofErr w:type="gramStart"/>
      <w:r w:rsidRPr="009F23CB">
        <w:rPr>
          <w:rFonts w:cs="Times New Roman"/>
        </w:rPr>
        <w:t>)(</w:t>
      </w:r>
      <w:proofErr w:type="gramEnd"/>
      <w:r w:rsidRPr="009F23CB">
        <w:rPr>
          <w:rFonts w:cs="Times New Roman"/>
        </w:rPr>
        <w:t xml:space="preserve">a) of the </w:t>
      </w:r>
      <w:r w:rsidRPr="009F23CB">
        <w:rPr>
          <w:rFonts w:cs="Times New Roman"/>
          <w:i/>
        </w:rPr>
        <w:t>Criminal Code</w:t>
      </w:r>
      <w:r w:rsidRPr="009F23CB">
        <w:rPr>
          <w:rFonts w:cs="Times New Roman"/>
        </w:rPr>
        <w:t xml:space="preserve">. The police also breached s. 10(a) of the </w:t>
      </w:r>
      <w:r w:rsidRPr="009F23CB">
        <w:rPr>
          <w:rFonts w:cs="Times New Roman"/>
          <w:i/>
        </w:rPr>
        <w:t>Charter</w:t>
      </w:r>
      <w:r w:rsidRPr="009F23CB">
        <w:rPr>
          <w:rFonts w:cs="Times New Roman"/>
        </w:rPr>
        <w:t xml:space="preserve"> by failing to give the appellants a legally valid reason for their detention and breached s. 10(b) because the appellants did not know the jeopardy they faced while they were unlawfully detained (paras. 183 and 188). Finally, the police breached Lambert’s s. 10(b) rights by asking him questions in the police car after he had said that he wanted to speak to a lawyer (para. 185).</w:t>
      </w:r>
    </w:p>
    <w:p w14:paraId="23A4FF33" w14:textId="77777777" w:rsidR="009F23CB" w:rsidRPr="009F23CB" w:rsidRDefault="009F23CB" w:rsidP="009F23CB">
      <w:pPr>
        <w:pStyle w:val="ParaNoNdepar-AltN"/>
        <w:rPr>
          <w:rFonts w:cs="Times New Roman"/>
        </w:rPr>
      </w:pPr>
      <w:r w:rsidRPr="009F23CB">
        <w:rPr>
          <w:rFonts w:cs="Times New Roman"/>
        </w:rPr>
        <w:t xml:space="preserve">I do not accept the appellants’ suggestion that the trial judge found that the police breached their s. 8 </w:t>
      </w:r>
      <w:r w:rsidRPr="009F23CB">
        <w:rPr>
          <w:rFonts w:cs="Times New Roman"/>
          <w:i/>
        </w:rPr>
        <w:t>Charter</w:t>
      </w:r>
      <w:r w:rsidRPr="009F23CB">
        <w:rPr>
          <w:rFonts w:cs="Times New Roman"/>
        </w:rPr>
        <w:t xml:space="preserve"> rights. The trial judge considered only Lambert’s s. 8 </w:t>
      </w:r>
      <w:r w:rsidRPr="009F23CB">
        <w:rPr>
          <w:rFonts w:cs="Times New Roman"/>
          <w:i/>
        </w:rPr>
        <w:t>Charter</w:t>
      </w:r>
      <w:r w:rsidRPr="009F23CB">
        <w:rPr>
          <w:rFonts w:cs="Times New Roman"/>
        </w:rPr>
        <w:t xml:space="preserve"> rights and found that both his arrest for murder and the search of his person incident to arrest were lawful (para. 210).</w:t>
      </w:r>
    </w:p>
    <w:p w14:paraId="0BDF117C" w14:textId="77777777" w:rsidR="009F23CB" w:rsidRPr="009F23CB" w:rsidRDefault="009F23CB" w:rsidP="009F23CB">
      <w:pPr>
        <w:pStyle w:val="ParaNoNdepar-AltN"/>
        <w:rPr>
          <w:rFonts w:cs="Times New Roman"/>
        </w:rPr>
      </w:pPr>
      <w:r w:rsidRPr="009F23CB">
        <w:rPr>
          <w:rFonts w:cs="Times New Roman"/>
        </w:rPr>
        <w:t xml:space="preserve">I also reject the appellants’ suggestion that the trial judge found that the police breached their rights to silence under s. 7 of the </w:t>
      </w:r>
      <w:r w:rsidRPr="009F23CB">
        <w:rPr>
          <w:rFonts w:cs="Times New Roman"/>
          <w:i/>
        </w:rPr>
        <w:t>Charter</w:t>
      </w:r>
      <w:r w:rsidRPr="009F23CB">
        <w:rPr>
          <w:rFonts w:cs="Times New Roman"/>
        </w:rPr>
        <w:t xml:space="preserve">. The trial judge noted that because the appellants’ confessions were voluntary, the argument that their confessions were obtained in a manner that breached their s. 7 right to silence could not succeed: it is established that a voluntary confession cannot have been obtained in a manner that breached s. 7 of the </w:t>
      </w:r>
      <w:r w:rsidRPr="009F23CB">
        <w:rPr>
          <w:rFonts w:cs="Times New Roman"/>
          <w:i/>
        </w:rPr>
        <w:t>Charter</w:t>
      </w:r>
      <w:r w:rsidRPr="009F23CB">
        <w:rPr>
          <w:rFonts w:cs="Times New Roman"/>
        </w:rPr>
        <w:t xml:space="preserve"> (paras. 127-30, citing </w:t>
      </w:r>
      <w:r w:rsidRPr="009F23CB">
        <w:rPr>
          <w:rFonts w:cs="Times New Roman"/>
          <w:i/>
        </w:rPr>
        <w:t>Singh</w:t>
      </w:r>
      <w:r w:rsidRPr="009F23CB">
        <w:rPr>
          <w:rFonts w:cs="Times New Roman"/>
        </w:rPr>
        <w:t xml:space="preserve">, at para. 8, and </w:t>
      </w:r>
      <w:r w:rsidRPr="009F23CB">
        <w:rPr>
          <w:rFonts w:cs="Times New Roman"/>
          <w:i/>
        </w:rPr>
        <w:t>R. v. Broyles</w:t>
      </w:r>
      <w:r w:rsidRPr="009F23CB">
        <w:rPr>
          <w:rFonts w:cs="Times New Roman"/>
        </w:rPr>
        <w:t xml:space="preserve">, [1991] 3 S.C.R. 595, at p. 609; see also D. M. Paciocco, P. Paciocco and L. Stuesser, </w:t>
      </w:r>
      <w:r w:rsidRPr="009F23CB">
        <w:rPr>
          <w:rFonts w:cs="Times New Roman"/>
          <w:i/>
        </w:rPr>
        <w:t>The Law of Evidence</w:t>
      </w:r>
      <w:r w:rsidRPr="009F23CB">
        <w:rPr>
          <w:rFonts w:cs="Times New Roman"/>
        </w:rPr>
        <w:t xml:space="preserve"> (8th ed. 2020), at p. 453). I see no error in these conclusions.</w:t>
      </w:r>
    </w:p>
    <w:p w14:paraId="07AE803E" w14:textId="77777777" w:rsidR="009F23CB" w:rsidRPr="009F23CB" w:rsidRDefault="009F23CB" w:rsidP="009F23CB">
      <w:pPr>
        <w:pStyle w:val="ParaNoNdepar-AltN"/>
        <w:rPr>
          <w:rFonts w:cs="Times New Roman"/>
        </w:rPr>
      </w:pPr>
      <w:r w:rsidRPr="009F23CB">
        <w:rPr>
          <w:rFonts w:cs="Times New Roman"/>
        </w:rPr>
        <w:t xml:space="preserve">As a result, I will consider whether the confessions should be excluded under s. 24(2) based solely on the ss. 9, 10(a), and 10(b) </w:t>
      </w:r>
      <w:r w:rsidRPr="009F23CB">
        <w:rPr>
          <w:rFonts w:cs="Times New Roman"/>
          <w:i/>
        </w:rPr>
        <w:t>Charter</w:t>
      </w:r>
      <w:r w:rsidRPr="009F23CB">
        <w:rPr>
          <w:rFonts w:cs="Times New Roman"/>
        </w:rPr>
        <w:t xml:space="preserve"> violations. As I detail below, I have concluded that Lambert’s confession was not “obtained in a manner” that breached the </w:t>
      </w:r>
      <w:r w:rsidRPr="009F23CB">
        <w:rPr>
          <w:rFonts w:cs="Times New Roman"/>
          <w:i/>
        </w:rPr>
        <w:t>Charter</w:t>
      </w:r>
      <w:r w:rsidRPr="009F23CB">
        <w:rPr>
          <w:rFonts w:cs="Times New Roman"/>
        </w:rPr>
        <w:t xml:space="preserve">, but that Beaver’s confession was. The police severed any contextual connection between Lambert’s confession and the earlier </w:t>
      </w:r>
      <w:r w:rsidRPr="009F23CB">
        <w:rPr>
          <w:rFonts w:cs="Times New Roman"/>
          <w:i/>
        </w:rPr>
        <w:t>Charter</w:t>
      </w:r>
      <w:r w:rsidRPr="009F23CB">
        <w:rPr>
          <w:rFonts w:cs="Times New Roman"/>
        </w:rPr>
        <w:t xml:space="preserve"> breaches arising from his unlawful detention and rendered any temporal connection to those breaches remote or tenuous. In doing so, the police made a “fresh start” from the </w:t>
      </w:r>
      <w:r w:rsidRPr="009F23CB">
        <w:rPr>
          <w:rFonts w:cs="Times New Roman"/>
          <w:i/>
        </w:rPr>
        <w:t>Charter</w:t>
      </w:r>
      <w:r w:rsidRPr="009F23CB">
        <w:rPr>
          <w:rFonts w:cs="Times New Roman"/>
        </w:rPr>
        <w:t xml:space="preserve"> breaches for Lambert. However, the police failed to do so for Beaver. This Court must therefore consider whether exclusion of Beaver’s confession is required under s. 24(2). On a proper weighing of the relevant considerations, I conclude that it is not.</w:t>
      </w:r>
    </w:p>
    <w:p w14:paraId="4C7A74DC" w14:textId="77777777" w:rsidR="009F23CB" w:rsidRPr="009F23CB" w:rsidRDefault="009F23CB" w:rsidP="009F23CB">
      <w:pPr>
        <w:pStyle w:val="Title3LevelTitre3Niveau"/>
        <w:jc w:val="both"/>
        <w:rPr>
          <w:rFonts w:cs="Times New Roman"/>
        </w:rPr>
      </w:pPr>
      <w:bookmarkStart w:id="82" w:name="_Toc109915225"/>
      <w:bookmarkStart w:id="83" w:name="_Toc110968676"/>
      <w:r w:rsidRPr="009F23CB">
        <w:rPr>
          <w:rFonts w:cs="Times New Roman"/>
        </w:rPr>
        <w:t>The “Obtained in a Manner” Threshold Requirement</w:t>
      </w:r>
      <w:bookmarkEnd w:id="82"/>
      <w:bookmarkEnd w:id="83"/>
    </w:p>
    <w:p w14:paraId="10E1E774" w14:textId="77777777" w:rsidR="009F23CB" w:rsidRPr="009F23CB" w:rsidRDefault="009F23CB" w:rsidP="009F23CB">
      <w:pPr>
        <w:pStyle w:val="ParaNoNdepar-AltN"/>
        <w:rPr>
          <w:rFonts w:cs="Times New Roman"/>
        </w:rPr>
      </w:pPr>
      <w:r w:rsidRPr="009F23CB">
        <w:rPr>
          <w:rFonts w:cs="Times New Roman"/>
        </w:rPr>
        <w:t xml:space="preserve">There are two components to determining whether evidence must be excluded under s. 24(2). The first component — the </w:t>
      </w:r>
      <w:r w:rsidRPr="009F23CB">
        <w:rPr>
          <w:rFonts w:cs="Times New Roman"/>
          <w:i/>
        </w:rPr>
        <w:t>threshold requirement</w:t>
      </w:r>
      <w:r w:rsidRPr="009F23CB">
        <w:rPr>
          <w:rFonts w:cs="Times New Roman"/>
        </w:rPr>
        <w:t xml:space="preserve"> — asks whether the evidence was “obtained in a manner” that infringed or denied a </w:t>
      </w:r>
      <w:r w:rsidRPr="009F23CB">
        <w:rPr>
          <w:rFonts w:cs="Times New Roman"/>
          <w:i/>
        </w:rPr>
        <w:t>Charter</w:t>
      </w:r>
      <w:r w:rsidRPr="009F23CB">
        <w:rPr>
          <w:rFonts w:cs="Times New Roman"/>
        </w:rPr>
        <w:t xml:space="preserve"> right or freedom. If the threshold requirement is met, the second component — the </w:t>
      </w:r>
      <w:r w:rsidRPr="009F23CB">
        <w:rPr>
          <w:rFonts w:cs="Times New Roman"/>
          <w:i/>
        </w:rPr>
        <w:t>evaluative component</w:t>
      </w:r>
      <w:r w:rsidRPr="009F23CB">
        <w:rPr>
          <w:rFonts w:cs="Times New Roman"/>
        </w:rPr>
        <w:t xml:space="preserve"> — asks whether, having regard to all the circumstances, </w:t>
      </w:r>
      <w:r w:rsidRPr="003854A2">
        <w:rPr>
          <w:rFonts w:cs="Times New Roman"/>
        </w:rPr>
        <w:t xml:space="preserve">admitting the evidence would bring the administration of justice into disrepute (see </w:t>
      </w:r>
      <w:r w:rsidRPr="003854A2">
        <w:rPr>
          <w:rStyle w:val="Hyperlink"/>
          <w:rFonts w:cs="Times New Roman"/>
          <w:i/>
          <w:color w:val="auto"/>
          <w:szCs w:val="24"/>
        </w:rPr>
        <w:t>R. v. Plaha</w:t>
      </w:r>
      <w:r w:rsidRPr="003854A2">
        <w:rPr>
          <w:rStyle w:val="Hyperlink"/>
          <w:rFonts w:cs="Times New Roman"/>
          <w:color w:val="auto"/>
          <w:szCs w:val="24"/>
        </w:rPr>
        <w:t xml:space="preserve"> (2004), 189 O.A.C. 376,</w:t>
      </w:r>
      <w:r w:rsidRPr="003854A2">
        <w:rPr>
          <w:rFonts w:cs="Times New Roman"/>
        </w:rPr>
        <w:t xml:space="preserve"> at para. 44, per Doherty J.A., who coined this terminology; see also </w:t>
      </w:r>
      <w:r w:rsidRPr="003854A2">
        <w:rPr>
          <w:rStyle w:val="Hyperlink"/>
          <w:rFonts w:cs="Times New Roman"/>
          <w:i/>
          <w:color w:val="auto"/>
        </w:rPr>
        <w:t>R. v. Strachan</w:t>
      </w:r>
      <w:r w:rsidRPr="003854A2">
        <w:rPr>
          <w:rStyle w:val="Hyperlink"/>
          <w:rFonts w:cs="Times New Roman"/>
          <w:color w:val="auto"/>
        </w:rPr>
        <w:t>, [1988] 2 S.C.R. 980,</w:t>
      </w:r>
      <w:r w:rsidRPr="003854A2">
        <w:rPr>
          <w:rFonts w:cs="Times New Roman"/>
        </w:rPr>
        <w:t xml:space="preserve"> at p. 1000; </w:t>
      </w:r>
      <w:r w:rsidRPr="003854A2">
        <w:rPr>
          <w:rFonts w:cs="Times New Roman"/>
          <w:i/>
        </w:rPr>
        <w:t>Tim</w:t>
      </w:r>
      <w:r w:rsidRPr="003854A2">
        <w:rPr>
          <w:rFonts w:cs="Times New Roman"/>
        </w:rPr>
        <w:t>, at para</w:t>
      </w:r>
      <w:r w:rsidRPr="009F23CB">
        <w:rPr>
          <w:rFonts w:cs="Times New Roman"/>
        </w:rPr>
        <w:t xml:space="preserve">. 74; </w:t>
      </w:r>
      <w:r w:rsidRPr="009F23CB">
        <w:rPr>
          <w:rFonts w:cs="Times New Roman"/>
          <w:i/>
        </w:rPr>
        <w:t>R. v. McSweeney</w:t>
      </w:r>
      <w:r w:rsidRPr="009F23CB">
        <w:rPr>
          <w:rFonts w:cs="Times New Roman"/>
        </w:rPr>
        <w:t xml:space="preserve">, 2020 ONCA 2, 451 C.R.R. (2d) 357, at para. 57; </w:t>
      </w:r>
      <w:r w:rsidRPr="009F23CB">
        <w:rPr>
          <w:rFonts w:cs="Times New Roman"/>
          <w:i/>
        </w:rPr>
        <w:t>R. v. Lauriente</w:t>
      </w:r>
      <w:r w:rsidRPr="009F23CB">
        <w:rPr>
          <w:rFonts w:cs="Times New Roman"/>
        </w:rPr>
        <w:t xml:space="preserve">, 2010 BCCA 72, 283 B.C.A.C. 215, at para. 35; S. C. Hill, D. M. Tanovich and L. P. Strezos, </w:t>
      </w:r>
      <w:r w:rsidRPr="009F23CB">
        <w:rPr>
          <w:rFonts w:cs="Times New Roman"/>
          <w:i/>
        </w:rPr>
        <w:t>McWilliams’ Canadian Criminal Evidence</w:t>
      </w:r>
      <w:r w:rsidRPr="009F23CB">
        <w:rPr>
          <w:rFonts w:cs="Times New Roman"/>
        </w:rPr>
        <w:t xml:space="preserve"> (5th ed. (loose-leaf)), at </w:t>
      </w:r>
      <w:r w:rsidRPr="009F23CB">
        <w:rPr>
          <w:rFonts w:cs="Times New Roman"/>
          <w:bCs/>
          <w:shd w:val="clear" w:color="auto" w:fill="FFFFFF"/>
        </w:rPr>
        <w:t>§ 19:22).</w:t>
      </w:r>
    </w:p>
    <w:p w14:paraId="45790437" w14:textId="77777777" w:rsidR="009F23CB" w:rsidRPr="009F23CB" w:rsidRDefault="009F23CB" w:rsidP="009F23CB">
      <w:pPr>
        <w:pStyle w:val="Title4LevelTitre4Niveau"/>
        <w:rPr>
          <w:rFonts w:cs="Times New Roman"/>
        </w:rPr>
      </w:pPr>
      <w:r w:rsidRPr="009F23CB">
        <w:rPr>
          <w:rFonts w:cs="Times New Roman"/>
        </w:rPr>
        <w:t>“Fresh Start” and the Threshold Requirement</w:t>
      </w:r>
    </w:p>
    <w:p w14:paraId="4EA378DD" w14:textId="77777777" w:rsidR="009F23CB" w:rsidRPr="009F23CB" w:rsidRDefault="009F23CB" w:rsidP="009F23CB">
      <w:pPr>
        <w:pStyle w:val="ParaNoNdepar-AltN"/>
        <w:rPr>
          <w:rFonts w:cs="Times New Roman"/>
        </w:rPr>
      </w:pPr>
      <w:r w:rsidRPr="009F23CB">
        <w:rPr>
          <w:rFonts w:cs="Times New Roman"/>
        </w:rPr>
        <w:t xml:space="preserve">Section 24(2) of the </w:t>
      </w:r>
      <w:r w:rsidRPr="009F23CB">
        <w:rPr>
          <w:rFonts w:cs="Times New Roman"/>
          <w:i/>
        </w:rPr>
        <w:t>Charter</w:t>
      </w:r>
      <w:r w:rsidRPr="009F23CB">
        <w:rPr>
          <w:rFonts w:cs="Times New Roman"/>
        </w:rPr>
        <w:t xml:space="preserve"> is engaged only when the accused first establishes that evidence was “obtained in a manner” that breached the</w:t>
      </w:r>
      <w:r w:rsidRPr="009F23CB">
        <w:rPr>
          <w:rFonts w:cs="Times New Roman"/>
          <w:i/>
        </w:rPr>
        <w:t xml:space="preserve"> Charter</w:t>
      </w:r>
      <w:r w:rsidRPr="009F23CB">
        <w:rPr>
          <w:rFonts w:cs="Times New Roman"/>
        </w:rPr>
        <w:t xml:space="preserve">. The threshold requirement “insists that there be a nexus” between the </w:t>
      </w:r>
      <w:r w:rsidRPr="009F23CB">
        <w:rPr>
          <w:rFonts w:cs="Times New Roman"/>
          <w:i/>
        </w:rPr>
        <w:t xml:space="preserve">Charter </w:t>
      </w:r>
      <w:r w:rsidRPr="009F23CB">
        <w:rPr>
          <w:rFonts w:cs="Times New Roman"/>
        </w:rPr>
        <w:t>breach and the evidence, absent which “s. 24(2) has no application” (</w:t>
      </w:r>
      <w:r w:rsidRPr="009F23CB">
        <w:rPr>
          <w:rFonts w:cs="Times New Roman"/>
          <w:i/>
        </w:rPr>
        <w:t>R. v. Manchulenko</w:t>
      </w:r>
      <w:r w:rsidRPr="009F23CB">
        <w:rPr>
          <w:rFonts w:cs="Times New Roman"/>
        </w:rPr>
        <w:t xml:space="preserve">, 2013 ONCA 543, 116 O.R. (3d) 721, at para. 71, per Watt J.A.). Determining whether evidence was “obtained in a manner” that infringed the </w:t>
      </w:r>
      <w:r w:rsidRPr="009F23CB">
        <w:rPr>
          <w:rFonts w:cs="Times New Roman"/>
          <w:i/>
        </w:rPr>
        <w:t xml:space="preserve">Charter </w:t>
      </w:r>
      <w:r w:rsidRPr="009F23CB">
        <w:rPr>
          <w:rFonts w:cs="Times New Roman"/>
        </w:rPr>
        <w:t xml:space="preserve">involves a case-specific factual inquiry into the existence and sufficiency of the connection between the </w:t>
      </w:r>
      <w:r w:rsidRPr="009F23CB">
        <w:rPr>
          <w:rFonts w:cs="Times New Roman"/>
          <w:i/>
        </w:rPr>
        <w:t xml:space="preserve">Charter </w:t>
      </w:r>
      <w:r w:rsidRPr="009F23CB">
        <w:rPr>
          <w:rFonts w:cs="Times New Roman"/>
        </w:rPr>
        <w:t>breach and the evidence obtained. There is “no hard and fast rule” (</w:t>
      </w:r>
      <w:r w:rsidRPr="009F23CB">
        <w:rPr>
          <w:rFonts w:cs="Times New Roman"/>
          <w:i/>
        </w:rPr>
        <w:t>Strachan</w:t>
      </w:r>
      <w:r w:rsidRPr="009F23CB">
        <w:rPr>
          <w:rFonts w:cs="Times New Roman"/>
        </w:rPr>
        <w:t xml:space="preserve">, at p. 1006; </w:t>
      </w:r>
      <w:r w:rsidRPr="009F23CB">
        <w:rPr>
          <w:rFonts w:cs="Times New Roman"/>
          <w:i/>
        </w:rPr>
        <w:t>Tim</w:t>
      </w:r>
      <w:r w:rsidRPr="009F23CB">
        <w:rPr>
          <w:rFonts w:cs="Times New Roman"/>
        </w:rPr>
        <w:t>, at para. 78).</w:t>
      </w:r>
    </w:p>
    <w:p w14:paraId="706089AD" w14:textId="77777777" w:rsidR="009F23CB" w:rsidRPr="009F23CB" w:rsidRDefault="009F23CB" w:rsidP="009F23CB">
      <w:pPr>
        <w:pStyle w:val="ParaNoNdepar-AltN"/>
        <w:rPr>
          <w:rFonts w:cs="Times New Roman"/>
        </w:rPr>
      </w:pPr>
      <w:r w:rsidRPr="009F23CB">
        <w:rPr>
          <w:rFonts w:cs="Times New Roman"/>
        </w:rPr>
        <w:t xml:space="preserve">The general principles governing the application of the threshold requirement were helpfully summarized by Moldaver J. in </w:t>
      </w:r>
      <w:r w:rsidRPr="009F23CB">
        <w:rPr>
          <w:rFonts w:cs="Times New Roman"/>
          <w:i/>
        </w:rPr>
        <w:t>R. v. Mack</w:t>
      </w:r>
      <w:r w:rsidRPr="009F23CB">
        <w:rPr>
          <w:rFonts w:cs="Times New Roman"/>
        </w:rPr>
        <w:t>, 2014 SCC 58, [2014] 3 S.C.R. 3, at para. 38:</w:t>
      </w:r>
    </w:p>
    <w:p w14:paraId="428EB86B" w14:textId="77777777" w:rsidR="009F23CB" w:rsidRPr="009F23CB" w:rsidRDefault="009F23CB" w:rsidP="009F23CB">
      <w:pPr>
        <w:pStyle w:val="Citation-AltC"/>
        <w:ind w:firstLine="274"/>
      </w:pPr>
      <w:r w:rsidRPr="009F23CB">
        <w:rPr>
          <w:rFonts w:eastAsiaTheme="minorHAnsi"/>
          <w:szCs w:val="22"/>
          <w:lang w:val="en-US" w:eastAsia="en-US" w:bidi="en-US"/>
        </w:rPr>
        <w:t xml:space="preserve">Whether evidence was “obtained in a manner” that infringed an accused’s rights under the </w:t>
      </w:r>
      <w:r w:rsidRPr="009F23CB">
        <w:rPr>
          <w:rFonts w:eastAsiaTheme="minorHAnsi"/>
          <w:i/>
          <w:iCs/>
          <w:szCs w:val="22"/>
          <w:lang w:val="en-US" w:eastAsia="en-US" w:bidi="en-US"/>
        </w:rPr>
        <w:t xml:space="preserve">Charter </w:t>
      </w:r>
      <w:r w:rsidRPr="009F23CB">
        <w:rPr>
          <w:rFonts w:eastAsiaTheme="minorHAnsi"/>
          <w:szCs w:val="22"/>
          <w:lang w:val="en-US" w:eastAsia="en-US" w:bidi="en-US"/>
        </w:rPr>
        <w:t xml:space="preserve">depends on the nature of the connection between the </w:t>
      </w:r>
      <w:r w:rsidRPr="009F23CB">
        <w:rPr>
          <w:rFonts w:eastAsiaTheme="minorHAnsi"/>
          <w:i/>
          <w:szCs w:val="22"/>
          <w:lang w:val="en-US" w:eastAsia="en-US" w:bidi="en-US"/>
        </w:rPr>
        <w:t>Charter</w:t>
      </w:r>
      <w:r w:rsidRPr="009F23CB">
        <w:rPr>
          <w:rFonts w:eastAsiaTheme="minorHAnsi"/>
          <w:szCs w:val="22"/>
          <w:lang w:val="en-US" w:eastAsia="en-US" w:bidi="en-US"/>
        </w:rPr>
        <w:t xml:space="preserve"> violation and the evidence that was ultimately obtained. The courts have adopted a purposive approach to this inquiry. Establishing a strict causal relationship between the breach and the subsequent discovery of evidence is unnecessary. Evidence will be tainted if the breach and the discovery of the impugned evidence are part of the same transaction or course of conduct. The required connection between the breach and the subsequent statement may be temporal, contextual, causal, or a combination of the three. A “remote” or “tenuous” connection between the breach and the impugned evidence will not suffice (</w:t>
      </w:r>
      <w:r w:rsidRPr="009F23CB">
        <w:rPr>
          <w:rFonts w:eastAsiaTheme="minorHAnsi"/>
          <w:i/>
          <w:iCs/>
          <w:szCs w:val="22"/>
          <w:lang w:val="en-US" w:eastAsia="en-US" w:bidi="en-US"/>
        </w:rPr>
        <w:t>Wittwer</w:t>
      </w:r>
      <w:r w:rsidRPr="009F23CB">
        <w:rPr>
          <w:rFonts w:eastAsiaTheme="minorHAnsi"/>
          <w:szCs w:val="22"/>
          <w:lang w:val="en-US" w:eastAsia="en-US" w:bidi="en-US"/>
        </w:rPr>
        <w:t>, at para. 21).</w:t>
      </w:r>
    </w:p>
    <w:p w14:paraId="7845C366" w14:textId="77777777" w:rsidR="009F23CB" w:rsidRPr="009F23CB" w:rsidRDefault="009F23CB" w:rsidP="009F23CB">
      <w:pPr>
        <w:pStyle w:val="ParaNoNdepar-AltN"/>
        <w:numPr>
          <w:ilvl w:val="0"/>
          <w:numId w:val="0"/>
        </w:numPr>
        <w:rPr>
          <w:rFonts w:cs="Times New Roman"/>
        </w:rPr>
      </w:pPr>
      <w:r w:rsidRPr="009F23CB">
        <w:rPr>
          <w:rFonts w:cs="Times New Roman"/>
        </w:rPr>
        <w:t xml:space="preserve">See also </w:t>
      </w:r>
      <w:r w:rsidRPr="009F23CB">
        <w:rPr>
          <w:rFonts w:cs="Times New Roman"/>
          <w:i/>
        </w:rPr>
        <w:t>R. v. Pino</w:t>
      </w:r>
      <w:r w:rsidRPr="009F23CB">
        <w:rPr>
          <w:rFonts w:cs="Times New Roman"/>
        </w:rPr>
        <w:t xml:space="preserve">, 2016 ONCA 389, 130 O.R. (3d) 561, at para. 72, per Laskin J.A.; </w:t>
      </w:r>
      <w:r w:rsidRPr="009F23CB">
        <w:rPr>
          <w:rFonts w:cs="Times New Roman"/>
          <w:i/>
        </w:rPr>
        <w:t>Tim</w:t>
      </w:r>
      <w:r w:rsidRPr="009F23CB">
        <w:rPr>
          <w:rFonts w:cs="Times New Roman"/>
        </w:rPr>
        <w:t>, at para. 78.</w:t>
      </w:r>
    </w:p>
    <w:p w14:paraId="27661ACA" w14:textId="77777777" w:rsidR="009F23CB" w:rsidRPr="009F23CB" w:rsidRDefault="009F23CB" w:rsidP="009F23CB">
      <w:pPr>
        <w:pStyle w:val="ParaNoNdepar-AltN"/>
        <w:rPr>
          <w:rFonts w:cs="Times New Roman"/>
        </w:rPr>
      </w:pPr>
      <w:r w:rsidRPr="009F23CB">
        <w:rPr>
          <w:rFonts w:cs="Times New Roman"/>
        </w:rPr>
        <w:t xml:space="preserve">A large body of appellate jurisprudence and academic commentary has recognized that evidence will not be “obtained in a manner” that breached the </w:t>
      </w:r>
      <w:r w:rsidRPr="009F23CB">
        <w:rPr>
          <w:rFonts w:cs="Times New Roman"/>
          <w:i/>
        </w:rPr>
        <w:t xml:space="preserve">Charter </w:t>
      </w:r>
      <w:r w:rsidRPr="009F23CB">
        <w:rPr>
          <w:rFonts w:cs="Times New Roman"/>
        </w:rPr>
        <w:t xml:space="preserve">when the police made a “fresh start” from an earlier </w:t>
      </w:r>
      <w:r w:rsidRPr="009F23CB">
        <w:rPr>
          <w:rFonts w:cs="Times New Roman"/>
          <w:i/>
        </w:rPr>
        <w:t xml:space="preserve">Charter </w:t>
      </w:r>
      <w:r w:rsidRPr="009F23CB">
        <w:rPr>
          <w:rFonts w:cs="Times New Roman"/>
        </w:rPr>
        <w:t xml:space="preserve">breach by severing any temporal, contextual, or causal connection between the </w:t>
      </w:r>
      <w:r w:rsidRPr="009F23CB">
        <w:rPr>
          <w:rFonts w:cs="Times New Roman"/>
          <w:i/>
        </w:rPr>
        <w:t>Charter</w:t>
      </w:r>
      <w:r w:rsidRPr="009F23CB">
        <w:rPr>
          <w:rFonts w:cs="Times New Roman"/>
        </w:rPr>
        <w:t xml:space="preserve"> breach and the evidence obtained or by rendering any such connection remote or tenuous. In some cases, the police may make a “fresh start” by later complying with the </w:t>
      </w:r>
      <w:r w:rsidRPr="009F23CB">
        <w:rPr>
          <w:rFonts w:cs="Times New Roman"/>
          <w:i/>
        </w:rPr>
        <w:t>Charter</w:t>
      </w:r>
      <w:r w:rsidRPr="009F23CB">
        <w:rPr>
          <w:rFonts w:cs="Times New Roman"/>
        </w:rPr>
        <w:t xml:space="preserve">, although subsequent compliance does not result in a “fresh start” in every case. The inquiry must be sensitive to the facts of each case (see </w:t>
      </w:r>
      <w:r w:rsidRPr="009F23CB">
        <w:rPr>
          <w:rFonts w:cs="Times New Roman"/>
          <w:i/>
        </w:rPr>
        <w:t>R. v. Wittwer</w:t>
      </w:r>
      <w:r w:rsidRPr="009F23CB">
        <w:rPr>
          <w:rFonts w:cs="Times New Roman"/>
        </w:rPr>
        <w:t xml:space="preserve">, 2008 SCC 33, [2008] 2 S.C.R. 235, at paras. 3 and 21-22; </w:t>
      </w:r>
      <w:r w:rsidRPr="009F23CB">
        <w:rPr>
          <w:rFonts w:cs="Times New Roman"/>
          <w:i/>
        </w:rPr>
        <w:t>Plaha</w:t>
      </w:r>
      <w:r w:rsidRPr="009F23CB">
        <w:rPr>
          <w:rFonts w:cs="Times New Roman"/>
        </w:rPr>
        <w:t xml:space="preserve">, at paras. 47 and 53; </w:t>
      </w:r>
      <w:r w:rsidRPr="009F23CB">
        <w:rPr>
          <w:rFonts w:cs="Times New Roman"/>
          <w:i/>
        </w:rPr>
        <w:t>R. v. Lewis</w:t>
      </w:r>
      <w:r w:rsidRPr="009F23CB">
        <w:rPr>
          <w:rFonts w:cs="Times New Roman"/>
        </w:rPr>
        <w:t xml:space="preserve">, 2007 ONCA 349, 86 O.R. (3d) 46, at para. 31; </w:t>
      </w:r>
      <w:r w:rsidRPr="009F23CB">
        <w:rPr>
          <w:rFonts w:cs="Times New Roman"/>
          <w:i/>
        </w:rPr>
        <w:t>R. v. Simon</w:t>
      </w:r>
      <w:r w:rsidRPr="009F23CB">
        <w:rPr>
          <w:rFonts w:cs="Times New Roman"/>
        </w:rPr>
        <w:t xml:space="preserve">, 2008 ONCA 578, 269 O.A.C. 259, at para. 69; </w:t>
      </w:r>
      <w:r w:rsidRPr="009F23CB">
        <w:rPr>
          <w:rFonts w:cs="Times New Roman"/>
          <w:i/>
        </w:rPr>
        <w:t>R. v. Woods</w:t>
      </w:r>
      <w:r w:rsidRPr="009F23CB">
        <w:rPr>
          <w:rFonts w:cs="Times New Roman"/>
        </w:rPr>
        <w:t xml:space="preserve">, 2008 ONCA 713, at paras. 10-11 (CanLII); </w:t>
      </w:r>
      <w:r w:rsidRPr="009F23CB">
        <w:rPr>
          <w:rFonts w:cs="Times New Roman"/>
          <w:i/>
        </w:rPr>
        <w:t>Manchulenko</w:t>
      </w:r>
      <w:r w:rsidRPr="009F23CB">
        <w:rPr>
          <w:rFonts w:cs="Times New Roman"/>
        </w:rPr>
        <w:t xml:space="preserve">, at paras. 68-70; </w:t>
      </w:r>
      <w:r w:rsidRPr="009F23CB">
        <w:rPr>
          <w:rFonts w:cs="Times New Roman"/>
          <w:i/>
        </w:rPr>
        <w:t>R. v. Hamilton</w:t>
      </w:r>
      <w:r w:rsidRPr="009F23CB">
        <w:rPr>
          <w:rFonts w:cs="Times New Roman"/>
        </w:rPr>
        <w:t xml:space="preserve">, 2017 ONCA 179, 347 C.C.C. (3d) 19, at para. 54; </w:t>
      </w:r>
      <w:r w:rsidRPr="009F23CB">
        <w:rPr>
          <w:rFonts w:cs="Times New Roman"/>
          <w:i/>
        </w:rPr>
        <w:t>McSweeney</w:t>
      </w:r>
      <w:r w:rsidRPr="009F23CB">
        <w:rPr>
          <w:rFonts w:cs="Times New Roman"/>
        </w:rPr>
        <w:t xml:space="preserve">, at para. 59; Paciocco, Paciocco and Stuesser, at p. 485; P. J. Sankoff, </w:t>
      </w:r>
      <w:r w:rsidRPr="009F23CB">
        <w:rPr>
          <w:rFonts w:cs="Times New Roman"/>
          <w:i/>
        </w:rPr>
        <w:t>The Law of Witnesses and Evidence in Canada</w:t>
      </w:r>
      <w:r w:rsidRPr="009F23CB">
        <w:rPr>
          <w:rFonts w:cs="Times New Roman"/>
        </w:rPr>
        <w:t xml:space="preserve"> (loose-leaf), at § 20:10; S. </w:t>
      </w:r>
      <w:r w:rsidRPr="009F23CB">
        <w:rPr>
          <w:rStyle w:val="solexhl"/>
          <w:rFonts w:cs="Times New Roman"/>
        </w:rPr>
        <w:t>Penney</w:t>
      </w:r>
      <w:r w:rsidRPr="009F23CB">
        <w:rPr>
          <w:rFonts w:cs="Times New Roman"/>
        </w:rPr>
        <w:t xml:space="preserve">, V. Rondinelli and J. Stribopoulos, </w:t>
      </w:r>
      <w:r w:rsidRPr="009F23CB">
        <w:rPr>
          <w:rFonts w:cs="Times New Roman"/>
          <w:i/>
          <w:iCs/>
        </w:rPr>
        <w:t>Criminal Procedure in Canada</w:t>
      </w:r>
      <w:r w:rsidRPr="009F23CB">
        <w:rPr>
          <w:rFonts w:cs="Times New Roman"/>
        </w:rPr>
        <w:t xml:space="preserve"> (3rd ed. 2022), at ¶¶10.122-10.124; R. J. Marin, </w:t>
      </w:r>
      <w:r w:rsidRPr="009F23CB">
        <w:rPr>
          <w:rFonts w:cs="Times New Roman"/>
          <w:i/>
        </w:rPr>
        <w:t>Admissibility of Statements</w:t>
      </w:r>
      <w:r w:rsidRPr="009F23CB">
        <w:rPr>
          <w:rFonts w:cs="Times New Roman"/>
        </w:rPr>
        <w:t xml:space="preserve"> (9th ed. (loose-leaf)), at §§ 2:36 and 5:68; D. Watt, </w:t>
      </w:r>
      <w:r w:rsidRPr="009F23CB">
        <w:rPr>
          <w:rFonts w:cs="Times New Roman"/>
          <w:i/>
        </w:rPr>
        <w:t>Watt’s Manual of Criminal Evidence</w:t>
      </w:r>
      <w:r w:rsidRPr="009F23CB">
        <w:rPr>
          <w:rFonts w:cs="Times New Roman"/>
        </w:rPr>
        <w:t xml:space="preserve"> (2021), at §41.01; Ewaschuk, at § 31:1565).</w:t>
      </w:r>
    </w:p>
    <w:p w14:paraId="131E7F3E" w14:textId="77777777" w:rsidR="009F23CB" w:rsidRPr="009F23CB" w:rsidRDefault="009F23CB" w:rsidP="009F23CB">
      <w:pPr>
        <w:pStyle w:val="ParaNoNdepar-AltN"/>
        <w:rPr>
          <w:rFonts w:cs="Times New Roman"/>
        </w:rPr>
      </w:pPr>
      <w:r w:rsidRPr="009F23CB">
        <w:rPr>
          <w:rFonts w:cs="Times New Roman"/>
        </w:rPr>
        <w:t xml:space="preserve">The concept of a “fresh start” under s. 24(2) of the </w:t>
      </w:r>
      <w:r w:rsidRPr="009F23CB">
        <w:rPr>
          <w:rFonts w:cs="Times New Roman"/>
          <w:i/>
        </w:rPr>
        <w:t>Charter</w:t>
      </w:r>
      <w:r w:rsidRPr="009F23CB">
        <w:rPr>
          <w:rFonts w:cs="Times New Roman"/>
        </w:rPr>
        <w:t xml:space="preserve"> was adopted from the common law “derived confessions rule”, under which a court examines whether an otherwise voluntary confession is sufficiently connected to a prior involuntary confession to be tainted (Penney, Rondinelli and Stribopoulos, at ¶¶4.50-4.52 and 10.122-10.123; Paciocco</w:t>
      </w:r>
      <w:r w:rsidRPr="009F23CB">
        <w:rPr>
          <w:rFonts w:cs="Times New Roman"/>
          <w:lang w:bidi="en-US"/>
        </w:rPr>
        <w:t>, Paciocco and Stuesser</w:t>
      </w:r>
      <w:r w:rsidRPr="009F23CB">
        <w:rPr>
          <w:rFonts w:cs="Times New Roman"/>
        </w:rPr>
        <w:t>, at p. 426, fn. 179, and p. 485, fn. 72). Under this rule, courts evaluate whether a voluntary confession is admissible, despite the prior involuntary confession, by making a “factual determination based on factors designed to ascertain the degree of connection between the two statements”, such as “the time span between the statements, advertence to the previous statement during questioning, the discovery of additional incriminating evidence subsequent to the first statement, the presence of the same police officers at both interrogations and other similarities between the two circumstances” (</w:t>
      </w:r>
      <w:r w:rsidRPr="009F23CB">
        <w:rPr>
          <w:rFonts w:cs="Times New Roman"/>
          <w:i/>
        </w:rPr>
        <w:t>R. v. I. (L.R.) and T. (E.)</w:t>
      </w:r>
      <w:r w:rsidRPr="009F23CB">
        <w:rPr>
          <w:rFonts w:cs="Times New Roman"/>
        </w:rPr>
        <w:t xml:space="preserve">, [1993] 4 S.C.R. 504, at p. 526; see also </w:t>
      </w:r>
      <w:r w:rsidRPr="009F23CB">
        <w:rPr>
          <w:rFonts w:cs="Times New Roman"/>
          <w:i/>
        </w:rPr>
        <w:t>R. v. R. (D.)</w:t>
      </w:r>
      <w:r w:rsidRPr="009F23CB">
        <w:rPr>
          <w:rFonts w:cs="Times New Roman"/>
        </w:rPr>
        <w:t xml:space="preserve">, [1994] 1 S.C.R. 881, at p. 882; </w:t>
      </w:r>
      <w:r w:rsidRPr="009F23CB">
        <w:rPr>
          <w:rFonts w:cs="Times New Roman"/>
          <w:i/>
        </w:rPr>
        <w:t>R. v. S.G.T.</w:t>
      </w:r>
      <w:r w:rsidRPr="009F23CB">
        <w:rPr>
          <w:rFonts w:cs="Times New Roman"/>
        </w:rPr>
        <w:t xml:space="preserve">, 2010 SCC 20, [2010] 1 S.C.R. 688, at paras. 28-30; </w:t>
      </w:r>
      <w:r w:rsidRPr="009F23CB">
        <w:rPr>
          <w:rFonts w:cs="Times New Roman"/>
          <w:i/>
        </w:rPr>
        <w:t>Manchulenko</w:t>
      </w:r>
      <w:r w:rsidRPr="009F23CB">
        <w:rPr>
          <w:rFonts w:cs="Times New Roman"/>
        </w:rPr>
        <w:t>, at paras. 67 and 69).</w:t>
      </w:r>
    </w:p>
    <w:p w14:paraId="1404286C" w14:textId="77777777" w:rsidR="009F23CB" w:rsidRPr="009F23CB" w:rsidRDefault="009F23CB" w:rsidP="009F23CB">
      <w:pPr>
        <w:pStyle w:val="ParaNoNdepar-AltN"/>
        <w:rPr>
          <w:rFonts w:cs="Times New Roman"/>
        </w:rPr>
      </w:pPr>
      <w:r w:rsidRPr="009F23CB">
        <w:rPr>
          <w:rFonts w:cs="Times New Roman"/>
        </w:rPr>
        <w:t xml:space="preserve">In some cases, evidence will remain tainted by a </w:t>
      </w:r>
      <w:r w:rsidRPr="009F23CB">
        <w:rPr>
          <w:rFonts w:cs="Times New Roman"/>
          <w:i/>
        </w:rPr>
        <w:t>Charter</w:t>
      </w:r>
      <w:r w:rsidRPr="009F23CB">
        <w:rPr>
          <w:rFonts w:cs="Times New Roman"/>
        </w:rPr>
        <w:t xml:space="preserve"> breach despite subsequent </w:t>
      </w:r>
      <w:r w:rsidRPr="009F23CB">
        <w:rPr>
          <w:rFonts w:cs="Times New Roman"/>
          <w:i/>
        </w:rPr>
        <w:t>Charter</w:t>
      </w:r>
      <w:r w:rsidRPr="009F23CB">
        <w:rPr>
          <w:rFonts w:cs="Times New Roman"/>
        </w:rPr>
        <w:t xml:space="preserve"> compliance. For this reason, “[c]are should be taken in using the ‘fresh start’ label to resolve ‘obtained in a manner’ inquiries” (Paciocco, Paciocco and Stuesser, at p. 485). Whether evidence was “obtained in a manner” is not determined by whether the state eventually complied with its </w:t>
      </w:r>
      <w:r w:rsidRPr="009F23CB">
        <w:rPr>
          <w:rFonts w:cs="Times New Roman"/>
          <w:i/>
        </w:rPr>
        <w:t xml:space="preserve">Charter </w:t>
      </w:r>
      <w:r w:rsidRPr="009F23CB">
        <w:rPr>
          <w:rFonts w:cs="Times New Roman"/>
        </w:rPr>
        <w:t xml:space="preserve">obligations, but instead is based on whether there remains a sufficient causal, temporal, or contextual connection between the </w:t>
      </w:r>
      <w:r w:rsidRPr="009F23CB">
        <w:rPr>
          <w:rFonts w:cs="Times New Roman"/>
          <w:i/>
        </w:rPr>
        <w:t xml:space="preserve">Charter </w:t>
      </w:r>
      <w:r w:rsidRPr="009F23CB">
        <w:rPr>
          <w:rFonts w:cs="Times New Roman"/>
        </w:rPr>
        <w:t xml:space="preserve">breach and the impugned evidence. In this way, the “fresh start” analysis fits comfortably within this Court’s holistic approach to whether evidence was “obtained in a manner” that breached the </w:t>
      </w:r>
      <w:r w:rsidRPr="009F23CB">
        <w:rPr>
          <w:rFonts w:cs="Times New Roman"/>
          <w:i/>
        </w:rPr>
        <w:t>Charter</w:t>
      </w:r>
      <w:r w:rsidRPr="009F23CB">
        <w:rPr>
          <w:rFonts w:cs="Times New Roman"/>
        </w:rPr>
        <w:t>.</w:t>
      </w:r>
    </w:p>
    <w:p w14:paraId="7E8F61DD" w14:textId="77777777" w:rsidR="009F23CB" w:rsidRPr="009F23CB" w:rsidRDefault="009F23CB" w:rsidP="009F23CB">
      <w:pPr>
        <w:pStyle w:val="Title4LevelTitre4Niveau"/>
        <w:rPr>
          <w:rFonts w:cs="Times New Roman"/>
        </w:rPr>
      </w:pPr>
      <w:r w:rsidRPr="009F23CB">
        <w:rPr>
          <w:rFonts w:cs="Times New Roman"/>
        </w:rPr>
        <w:t>Cases Illustrating the “Fresh Start” Concept</w:t>
      </w:r>
    </w:p>
    <w:p w14:paraId="5DAA690C" w14:textId="77777777" w:rsidR="009F23CB" w:rsidRPr="009F23CB" w:rsidRDefault="009F23CB" w:rsidP="009F23CB">
      <w:pPr>
        <w:pStyle w:val="ParaNoNdepar-AltN"/>
        <w:rPr>
          <w:rFonts w:cs="Times New Roman"/>
        </w:rPr>
      </w:pPr>
      <w:r w:rsidRPr="009F23CB">
        <w:rPr>
          <w:rFonts w:cs="Times New Roman"/>
        </w:rPr>
        <w:t xml:space="preserve">In </w:t>
      </w:r>
      <w:r w:rsidRPr="009F23CB">
        <w:rPr>
          <w:rFonts w:cs="Times New Roman"/>
          <w:i/>
        </w:rPr>
        <w:t>Wittwer</w:t>
      </w:r>
      <w:r w:rsidRPr="009F23CB">
        <w:rPr>
          <w:rFonts w:cs="Times New Roman"/>
        </w:rPr>
        <w:t xml:space="preserve">, Fish J. for this Court accepted that, in principle, the police can make a “fresh start” after a </w:t>
      </w:r>
      <w:r w:rsidRPr="009F23CB">
        <w:rPr>
          <w:rFonts w:cs="Times New Roman"/>
          <w:i/>
        </w:rPr>
        <w:t>Charter</w:t>
      </w:r>
      <w:r w:rsidRPr="009F23CB">
        <w:rPr>
          <w:rFonts w:cs="Times New Roman"/>
        </w:rPr>
        <w:t xml:space="preserve"> violation, even though he found no “fresh start” on the facts. The accused had made two incriminating statements to the police that were inadmissible because they were made contrary to the accused’s right to counsel under s. 10(b) of the </w:t>
      </w:r>
      <w:r w:rsidRPr="009F23CB">
        <w:rPr>
          <w:rFonts w:cs="Times New Roman"/>
          <w:i/>
        </w:rPr>
        <w:t>Charter</w:t>
      </w:r>
      <w:r w:rsidRPr="009F23CB">
        <w:rPr>
          <w:rFonts w:cs="Times New Roman"/>
        </w:rPr>
        <w:t xml:space="preserve">. Five months later, while the accused was in custody on another charge, a different officer informed him of his right to counsel and questioned him again, claiming that he did not know the content of the earlier statements. The accused provided no incriminating information until he was confronted with one of his earlier incriminating statements, at which point he made a third incriminating statement. Fish J. ruled that by referring to the earlier incriminating statement, the police “intentionally and explicitly bridged” the gap between the inadmissible statement and the third statement, thus preserving the temporal, causal, and contextual connections between them (para. 22). He explained that “[w]hat began as a </w:t>
      </w:r>
      <w:r w:rsidRPr="009F23CB">
        <w:rPr>
          <w:rFonts w:cs="Times New Roman"/>
          <w:i/>
        </w:rPr>
        <w:t>permissible</w:t>
      </w:r>
      <w:r w:rsidRPr="009F23CB">
        <w:rPr>
          <w:rFonts w:cs="Times New Roman"/>
        </w:rPr>
        <w:t xml:space="preserve"> fresh start thus ended as an </w:t>
      </w:r>
      <w:r w:rsidRPr="009F23CB">
        <w:rPr>
          <w:rFonts w:cs="Times New Roman"/>
          <w:i/>
        </w:rPr>
        <w:t>impermissible</w:t>
      </w:r>
      <w:r w:rsidRPr="009F23CB">
        <w:rPr>
          <w:rFonts w:cs="Times New Roman"/>
        </w:rPr>
        <w:t xml:space="preserve"> interrogation inseparably linked to its tainted past” (para. 3 (emphasis in original)). The third statement was thus “obtained in a manner” that breached the </w:t>
      </w:r>
      <w:r w:rsidRPr="009F23CB">
        <w:rPr>
          <w:rFonts w:cs="Times New Roman"/>
          <w:i/>
        </w:rPr>
        <w:t>Charter</w:t>
      </w:r>
      <w:r w:rsidRPr="009F23CB">
        <w:rPr>
          <w:rFonts w:cs="Times New Roman"/>
        </w:rPr>
        <w:t xml:space="preserve"> and was then excluded under s. 24(2).</w:t>
      </w:r>
    </w:p>
    <w:p w14:paraId="6D8CE4AC" w14:textId="77777777" w:rsidR="009F23CB" w:rsidRPr="009F23CB" w:rsidRDefault="009F23CB" w:rsidP="009F23CB">
      <w:pPr>
        <w:pStyle w:val="ParaNoNdepar-AltN"/>
        <w:rPr>
          <w:rFonts w:cs="Times New Roman"/>
        </w:rPr>
      </w:pPr>
      <w:r w:rsidRPr="009F23CB">
        <w:rPr>
          <w:rFonts w:cs="Times New Roman"/>
        </w:rPr>
        <w:t xml:space="preserve">By contrast, in </w:t>
      </w:r>
      <w:r w:rsidRPr="009F23CB">
        <w:rPr>
          <w:rFonts w:cs="Times New Roman"/>
          <w:i/>
        </w:rPr>
        <w:t>Simon</w:t>
      </w:r>
      <w:r w:rsidRPr="009F23CB">
        <w:rPr>
          <w:rFonts w:cs="Times New Roman"/>
        </w:rPr>
        <w:t xml:space="preserve"> the Ontario Court of Appeal found that the police did make a “fresh start”. In that case, the police had placed the accused under surveillance while investigating sexual assaults and arrested him for being in possession of a stolen van. They advised him of his right to counsel under s. 10(b) of the </w:t>
      </w:r>
      <w:r w:rsidRPr="009F23CB">
        <w:rPr>
          <w:rFonts w:cs="Times New Roman"/>
          <w:i/>
        </w:rPr>
        <w:t>Charter</w:t>
      </w:r>
      <w:r w:rsidRPr="009F23CB">
        <w:rPr>
          <w:rFonts w:cs="Times New Roman"/>
        </w:rPr>
        <w:t xml:space="preserve"> in connection with the stolen van, but they did not advise him of his s. 10(b) right in connection with the sexual assaults before they questioned him about them. During questioning, the accused gave his written consent to provide the police with a saliva sample for DNA analysis for the sexual assault investigation. When giving this consent, the accused acknowledged that he did not have to provide the sample, that it could be used against him in criminal proceedings, and that he had the right to discuss with a lawyer whether to provide it. The DNA analysis of the saliva sample ultimately incriminated the accused in the sexual assaults. In ruling that the saliva sample was admissible, Doherty J.A. acknowledged that the police breached s. 10(b) of the </w:t>
      </w:r>
      <w:r w:rsidRPr="009F23CB">
        <w:rPr>
          <w:rFonts w:cs="Times New Roman"/>
          <w:i/>
        </w:rPr>
        <w:t>Charter</w:t>
      </w:r>
      <w:r w:rsidRPr="009F23CB">
        <w:rPr>
          <w:rFonts w:cs="Times New Roman"/>
        </w:rPr>
        <w:t xml:space="preserve"> by failing to advise the accused of his right to counsel in relation to the sexual assault investigation, but ruled that the police made a “fresh start” by severing this earlier </w:t>
      </w:r>
      <w:r w:rsidRPr="009F23CB">
        <w:rPr>
          <w:rFonts w:cs="Times New Roman"/>
          <w:i/>
        </w:rPr>
        <w:t>Charter</w:t>
      </w:r>
      <w:r w:rsidRPr="009F23CB">
        <w:rPr>
          <w:rFonts w:cs="Times New Roman"/>
        </w:rPr>
        <w:t xml:space="preserve"> breach from their later conduct. In Doherty J.A.’s view, by obtaining the accused’s written consent for the saliva sample, “the officers administered a focussed and powerful antidote to their earlier s. 10(b) breach” (para. 70), and drove “a wedge between the giving of the sample and the earlier breach of s. 10(b)” (para. 74). Doherty J.A. concluded that because the police had “effectively disconnected the decision to give the sample from any potential effect of the prior s. 10(b) breach” (para. 74), the saliva sample was not “obtained in a manner” that breached the </w:t>
      </w:r>
      <w:r w:rsidRPr="009F23CB">
        <w:rPr>
          <w:rFonts w:cs="Times New Roman"/>
          <w:i/>
        </w:rPr>
        <w:t>Charter</w:t>
      </w:r>
      <w:r w:rsidRPr="009F23CB">
        <w:rPr>
          <w:rFonts w:cs="Times New Roman"/>
        </w:rPr>
        <w:t>.</w:t>
      </w:r>
    </w:p>
    <w:p w14:paraId="512D893A" w14:textId="77777777" w:rsidR="009F23CB" w:rsidRPr="009F23CB" w:rsidRDefault="009F23CB" w:rsidP="009F23CB">
      <w:pPr>
        <w:pStyle w:val="ParaNoNdepar-AltN"/>
        <w:rPr>
          <w:rFonts w:cs="Times New Roman"/>
        </w:rPr>
      </w:pPr>
      <w:r w:rsidRPr="009F23CB">
        <w:rPr>
          <w:rFonts w:cs="Times New Roman"/>
        </w:rPr>
        <w:t xml:space="preserve">These principles apply to any form of evidence that the police obtain following a </w:t>
      </w:r>
      <w:r w:rsidRPr="009F23CB">
        <w:rPr>
          <w:rFonts w:cs="Times New Roman"/>
          <w:i/>
        </w:rPr>
        <w:t xml:space="preserve">Charter </w:t>
      </w:r>
      <w:r w:rsidRPr="009F23CB">
        <w:rPr>
          <w:rFonts w:cs="Times New Roman"/>
        </w:rPr>
        <w:t xml:space="preserve">violation; they are not limited either to successive statements or to s. 10(b) </w:t>
      </w:r>
      <w:r w:rsidRPr="009F23CB">
        <w:rPr>
          <w:rFonts w:cs="Times New Roman"/>
          <w:i/>
        </w:rPr>
        <w:t>Charter</w:t>
      </w:r>
      <w:r w:rsidRPr="009F23CB">
        <w:rPr>
          <w:rFonts w:cs="Times New Roman"/>
        </w:rPr>
        <w:t xml:space="preserve"> violations. Although many “fresh start” cases have involved successive statements to persons in authority (see, for example, </w:t>
      </w:r>
      <w:r w:rsidRPr="009F23CB">
        <w:rPr>
          <w:rFonts w:cs="Times New Roman"/>
          <w:i/>
        </w:rPr>
        <w:t>Plaha</w:t>
      </w:r>
      <w:r w:rsidRPr="009F23CB">
        <w:rPr>
          <w:rFonts w:cs="Times New Roman"/>
        </w:rPr>
        <w:t xml:space="preserve">; </w:t>
      </w:r>
      <w:r w:rsidRPr="009F23CB">
        <w:rPr>
          <w:rFonts w:cs="Times New Roman"/>
          <w:i/>
        </w:rPr>
        <w:t>Lewis</w:t>
      </w:r>
      <w:r w:rsidRPr="009F23CB">
        <w:rPr>
          <w:rFonts w:cs="Times New Roman"/>
        </w:rPr>
        <w:t xml:space="preserve">; </w:t>
      </w:r>
      <w:r w:rsidRPr="009F23CB">
        <w:rPr>
          <w:rFonts w:cs="Times New Roman"/>
          <w:i/>
        </w:rPr>
        <w:t>Woods</w:t>
      </w:r>
      <w:r w:rsidRPr="009F23CB">
        <w:rPr>
          <w:rFonts w:cs="Times New Roman"/>
        </w:rPr>
        <w:t xml:space="preserve">; </w:t>
      </w:r>
      <w:r w:rsidRPr="009F23CB">
        <w:rPr>
          <w:rFonts w:cs="Times New Roman"/>
          <w:i/>
        </w:rPr>
        <w:t>Hamilton</w:t>
      </w:r>
      <w:r w:rsidRPr="009F23CB">
        <w:rPr>
          <w:rFonts w:cs="Times New Roman"/>
        </w:rPr>
        <w:t xml:space="preserve">; </w:t>
      </w:r>
      <w:r w:rsidRPr="009F23CB">
        <w:rPr>
          <w:rFonts w:cs="Times New Roman"/>
          <w:i/>
        </w:rPr>
        <w:t>McSweeney</w:t>
      </w:r>
      <w:r w:rsidRPr="009F23CB">
        <w:rPr>
          <w:rFonts w:cs="Times New Roman"/>
        </w:rPr>
        <w:t xml:space="preserve">), I agree with the observation of Watt J.A. in </w:t>
      </w:r>
      <w:r w:rsidRPr="009F23CB">
        <w:rPr>
          <w:rFonts w:cs="Times New Roman"/>
          <w:i/>
        </w:rPr>
        <w:t>Manchulenko</w:t>
      </w:r>
      <w:r w:rsidRPr="009F23CB">
        <w:rPr>
          <w:rFonts w:cs="Times New Roman"/>
        </w:rPr>
        <w:t>, at para. 70, that “[n]o principled reason exists to confine the ‘fresh start’ jurisprudence” to such cases and that “[t]he rationale that underpins the ‘fresh start’ principle is the same irrespective of the specific form the evidence proposed for admission takes”.</w:t>
      </w:r>
    </w:p>
    <w:p w14:paraId="5AF661E4" w14:textId="77777777" w:rsidR="009F23CB" w:rsidRPr="009F23CB" w:rsidRDefault="009F23CB" w:rsidP="009F23CB">
      <w:pPr>
        <w:pStyle w:val="Title4LevelTitre4Niveau"/>
        <w:rPr>
          <w:rFonts w:cs="Times New Roman"/>
        </w:rPr>
      </w:pPr>
      <w:r w:rsidRPr="009F23CB">
        <w:rPr>
          <w:rFonts w:cs="Times New Roman"/>
        </w:rPr>
        <w:t>Potential Indicators of a “Fresh Start”</w:t>
      </w:r>
    </w:p>
    <w:p w14:paraId="39165047" w14:textId="77777777" w:rsidR="009F23CB" w:rsidRPr="009F23CB" w:rsidRDefault="009F23CB" w:rsidP="009F23CB">
      <w:pPr>
        <w:pStyle w:val="ParaNoNdepar-AltN"/>
        <w:rPr>
          <w:rFonts w:cs="Times New Roman"/>
        </w:rPr>
      </w:pPr>
      <w:r w:rsidRPr="009F23CB">
        <w:rPr>
          <w:rFonts w:cs="Times New Roman"/>
        </w:rPr>
        <w:t>When undertaking the case-specific factual inquiry into whether the police effected a “fresh start”, some potentially illustrative indicators include:</w:t>
      </w:r>
    </w:p>
    <w:p w14:paraId="28129594" w14:textId="77777777" w:rsidR="009F23CB" w:rsidRPr="009F23CB" w:rsidRDefault="009F23CB" w:rsidP="009F23CB">
      <w:pPr>
        <w:pStyle w:val="ParaNoNdepar-AltN"/>
        <w:numPr>
          <w:ilvl w:val="0"/>
          <w:numId w:val="7"/>
        </w:numPr>
        <w:tabs>
          <w:tab w:val="clear" w:pos="1440"/>
          <w:tab w:val="num" w:pos="360"/>
          <w:tab w:val="num" w:pos="2340"/>
        </w:tabs>
        <w:ind w:left="1980" w:hanging="810"/>
        <w:rPr>
          <w:rFonts w:cs="Times New Roman"/>
        </w:rPr>
      </w:pPr>
      <w:r w:rsidRPr="009F23CB">
        <w:rPr>
          <w:rFonts w:cs="Times New Roman"/>
        </w:rPr>
        <w:t xml:space="preserve">Whether the police informed the accused of the </w:t>
      </w:r>
      <w:r w:rsidRPr="009F23CB">
        <w:rPr>
          <w:rFonts w:cs="Times New Roman"/>
          <w:i/>
        </w:rPr>
        <w:t>Charter</w:t>
      </w:r>
      <w:r w:rsidRPr="009F23CB">
        <w:rPr>
          <w:rFonts w:cs="Times New Roman"/>
        </w:rPr>
        <w:t xml:space="preserve"> breach and dispelled its effect with appropriate language (</w:t>
      </w:r>
      <w:r w:rsidRPr="009F23CB">
        <w:rPr>
          <w:rFonts w:cs="Times New Roman"/>
          <w:i/>
        </w:rPr>
        <w:t>R. (D.)</w:t>
      </w:r>
      <w:r w:rsidRPr="009F23CB">
        <w:rPr>
          <w:rFonts w:cs="Times New Roman"/>
        </w:rPr>
        <w:t xml:space="preserve">, at p. 882). What constitutes appropriate language will vary with the circumstances of the case. In some cases, it may be sufficient to say, “we’re going to start over”; in other cases, more detailed or specific language may be needed to remove the taint from the earlier </w:t>
      </w:r>
      <w:r w:rsidRPr="009F23CB">
        <w:rPr>
          <w:rFonts w:cs="Times New Roman"/>
          <w:i/>
        </w:rPr>
        <w:t>Charter</w:t>
      </w:r>
      <w:r w:rsidRPr="009F23CB">
        <w:rPr>
          <w:rFonts w:cs="Times New Roman"/>
        </w:rPr>
        <w:t xml:space="preserve"> breach;</w:t>
      </w:r>
    </w:p>
    <w:p w14:paraId="6C0103D0" w14:textId="77777777" w:rsidR="009F23CB" w:rsidRPr="009F23CB" w:rsidRDefault="009F23CB" w:rsidP="009F23CB">
      <w:pPr>
        <w:pStyle w:val="ParaNoNdepar-AltN"/>
        <w:numPr>
          <w:ilvl w:val="0"/>
          <w:numId w:val="7"/>
        </w:numPr>
        <w:tabs>
          <w:tab w:val="clear" w:pos="1440"/>
          <w:tab w:val="num" w:pos="360"/>
          <w:tab w:val="num" w:pos="2340"/>
        </w:tabs>
        <w:ind w:left="1980" w:hanging="810"/>
        <w:rPr>
          <w:rFonts w:cs="Times New Roman"/>
        </w:rPr>
      </w:pPr>
      <w:r w:rsidRPr="009F23CB">
        <w:rPr>
          <w:rFonts w:cs="Times New Roman"/>
        </w:rPr>
        <w:t xml:space="preserve">Whether the police cautioned the accused after the </w:t>
      </w:r>
      <w:r w:rsidRPr="009F23CB">
        <w:rPr>
          <w:rFonts w:cs="Times New Roman"/>
          <w:i/>
        </w:rPr>
        <w:t>Charter</w:t>
      </w:r>
      <w:r w:rsidRPr="009F23CB">
        <w:rPr>
          <w:rFonts w:cs="Times New Roman"/>
        </w:rPr>
        <w:t xml:space="preserve"> breach but before the impugned evidence was obtained (</w:t>
      </w:r>
      <w:r w:rsidRPr="009F23CB">
        <w:rPr>
          <w:rFonts w:cs="Times New Roman"/>
          <w:i/>
        </w:rPr>
        <w:t>Plaha</w:t>
      </w:r>
      <w:r w:rsidRPr="009F23CB">
        <w:rPr>
          <w:rFonts w:cs="Times New Roman"/>
        </w:rPr>
        <w:t xml:space="preserve">, at para. 53; </w:t>
      </w:r>
      <w:r w:rsidRPr="009F23CB">
        <w:rPr>
          <w:rFonts w:cs="Times New Roman"/>
          <w:i/>
        </w:rPr>
        <w:t>Hamilton</w:t>
      </w:r>
      <w:r w:rsidRPr="009F23CB">
        <w:rPr>
          <w:rFonts w:cs="Times New Roman"/>
        </w:rPr>
        <w:t xml:space="preserve">, at paras. 58-59; </w:t>
      </w:r>
      <w:r w:rsidRPr="009F23CB">
        <w:rPr>
          <w:rFonts w:cs="Times New Roman"/>
          <w:i/>
        </w:rPr>
        <w:t>Woods</w:t>
      </w:r>
      <w:r w:rsidRPr="009F23CB">
        <w:rPr>
          <w:rFonts w:cs="Times New Roman"/>
        </w:rPr>
        <w:t>, at para. 9). Ideally, this would involve both a primary caution (“You are not obliged to say anything unless you wish to do so, but whatever you say may be given in evidence” (</w:t>
      </w:r>
      <w:r w:rsidRPr="009F23CB">
        <w:rPr>
          <w:rFonts w:cs="Times New Roman"/>
          <w:i/>
        </w:rPr>
        <w:t>Singh</w:t>
      </w:r>
      <w:r w:rsidRPr="009F23CB">
        <w:rPr>
          <w:rFonts w:cs="Times New Roman"/>
        </w:rPr>
        <w:t xml:space="preserve">, at para. 31; </w:t>
      </w:r>
      <w:r w:rsidRPr="009F23CB">
        <w:rPr>
          <w:rFonts w:cs="Times New Roman"/>
          <w:i/>
        </w:rPr>
        <w:t>Manninen</w:t>
      </w:r>
      <w:r w:rsidRPr="009F23CB">
        <w:rPr>
          <w:rFonts w:cs="Times New Roman"/>
        </w:rPr>
        <w:t>,</w:t>
      </w:r>
      <w:r w:rsidRPr="009F23CB">
        <w:rPr>
          <w:rFonts w:cs="Times New Roman"/>
          <w:i/>
        </w:rPr>
        <w:t xml:space="preserve"> </w:t>
      </w:r>
      <w:r w:rsidRPr="009F23CB">
        <w:rPr>
          <w:rFonts w:cs="Times New Roman"/>
        </w:rPr>
        <w:t>at p. 1237)), and a secondary caution (“Your decision to speak to the police should not be influenced by anything you have already said to the police or the police have already said to you” (</w:t>
      </w:r>
      <w:r w:rsidRPr="009F23CB">
        <w:rPr>
          <w:rFonts w:cs="Times New Roman"/>
          <w:i/>
        </w:rPr>
        <w:t>Manninen</w:t>
      </w:r>
      <w:r w:rsidRPr="009F23CB">
        <w:rPr>
          <w:rFonts w:cs="Times New Roman"/>
        </w:rPr>
        <w:t>, at p. 1238));</w:t>
      </w:r>
    </w:p>
    <w:p w14:paraId="7DFC337A" w14:textId="77777777" w:rsidR="009F23CB" w:rsidRPr="009F23CB" w:rsidRDefault="009F23CB" w:rsidP="009F23CB">
      <w:pPr>
        <w:pStyle w:val="ParaNoNdepar-AltN"/>
        <w:numPr>
          <w:ilvl w:val="0"/>
          <w:numId w:val="7"/>
        </w:numPr>
        <w:tabs>
          <w:tab w:val="clear" w:pos="1440"/>
          <w:tab w:val="num" w:pos="360"/>
          <w:tab w:val="num" w:pos="2340"/>
        </w:tabs>
        <w:ind w:left="1980" w:hanging="810"/>
        <w:rPr>
          <w:rFonts w:cs="Times New Roman"/>
        </w:rPr>
      </w:pPr>
      <w:r w:rsidRPr="009F23CB">
        <w:rPr>
          <w:rFonts w:cs="Times New Roman"/>
        </w:rPr>
        <w:t xml:space="preserve">Whether the accused had the chance to consult counsel after the </w:t>
      </w:r>
      <w:r w:rsidRPr="009F23CB">
        <w:rPr>
          <w:rFonts w:cs="Times New Roman"/>
          <w:i/>
        </w:rPr>
        <w:t>Charter</w:t>
      </w:r>
      <w:r w:rsidRPr="009F23CB">
        <w:rPr>
          <w:rFonts w:cs="Times New Roman"/>
        </w:rPr>
        <w:t xml:space="preserve"> breach but before the impugned evidence was obtained (</w:t>
      </w:r>
      <w:r w:rsidRPr="009F23CB">
        <w:rPr>
          <w:rFonts w:cs="Times New Roman"/>
          <w:i/>
        </w:rPr>
        <w:t>Manchulenko</w:t>
      </w:r>
      <w:r w:rsidRPr="009F23CB">
        <w:rPr>
          <w:rFonts w:cs="Times New Roman"/>
        </w:rPr>
        <w:t>,</w:t>
      </w:r>
      <w:r w:rsidRPr="009F23CB">
        <w:rPr>
          <w:rFonts w:cs="Times New Roman"/>
          <w:i/>
        </w:rPr>
        <w:t xml:space="preserve"> </w:t>
      </w:r>
      <w:r w:rsidRPr="009F23CB">
        <w:rPr>
          <w:rFonts w:cs="Times New Roman"/>
        </w:rPr>
        <w:t xml:space="preserve">at para. 69; </w:t>
      </w:r>
      <w:r w:rsidRPr="009F23CB">
        <w:rPr>
          <w:rFonts w:cs="Times New Roman"/>
          <w:i/>
        </w:rPr>
        <w:t>Woods</w:t>
      </w:r>
      <w:r w:rsidRPr="009F23CB">
        <w:rPr>
          <w:rFonts w:cs="Times New Roman"/>
        </w:rPr>
        <w:t>, at paras. 5 and 9;</w:t>
      </w:r>
      <w:r w:rsidRPr="009F23CB">
        <w:rPr>
          <w:rFonts w:cs="Times New Roman"/>
          <w:i/>
        </w:rPr>
        <w:t xml:space="preserve"> R. v. Dawkins</w:t>
      </w:r>
      <w:r w:rsidRPr="009F23CB">
        <w:rPr>
          <w:rFonts w:cs="Times New Roman"/>
        </w:rPr>
        <w:t>, 2018 ONSC 6394, at para. 62 (CanLII));</w:t>
      </w:r>
    </w:p>
    <w:p w14:paraId="4F4FC555" w14:textId="77777777" w:rsidR="009F23CB" w:rsidRPr="009F23CB" w:rsidRDefault="009F23CB" w:rsidP="009F23CB">
      <w:pPr>
        <w:pStyle w:val="ParaNoNdepar-AltN"/>
        <w:numPr>
          <w:ilvl w:val="0"/>
          <w:numId w:val="7"/>
        </w:numPr>
        <w:tabs>
          <w:tab w:val="clear" w:pos="1440"/>
          <w:tab w:val="num" w:pos="360"/>
          <w:tab w:val="num" w:pos="2340"/>
        </w:tabs>
        <w:ind w:left="1980" w:hanging="810"/>
        <w:rPr>
          <w:rFonts w:cs="Times New Roman"/>
        </w:rPr>
      </w:pPr>
      <w:r w:rsidRPr="009F23CB">
        <w:rPr>
          <w:rFonts w:cs="Times New Roman"/>
        </w:rPr>
        <w:t xml:space="preserve">Whether the accused gave informed consent to the taking of the impugned evidence after the </w:t>
      </w:r>
      <w:r w:rsidRPr="009F23CB">
        <w:rPr>
          <w:rFonts w:cs="Times New Roman"/>
          <w:i/>
        </w:rPr>
        <w:t>Charter</w:t>
      </w:r>
      <w:r w:rsidRPr="009F23CB">
        <w:rPr>
          <w:rFonts w:cs="Times New Roman"/>
        </w:rPr>
        <w:t xml:space="preserve"> breach (</w:t>
      </w:r>
      <w:r w:rsidRPr="009F23CB">
        <w:rPr>
          <w:rFonts w:cs="Times New Roman"/>
          <w:i/>
        </w:rPr>
        <w:t>Simon</w:t>
      </w:r>
      <w:r w:rsidRPr="009F23CB">
        <w:rPr>
          <w:rFonts w:cs="Times New Roman"/>
        </w:rPr>
        <w:t>, at para. 74);</w:t>
      </w:r>
    </w:p>
    <w:p w14:paraId="42522B04" w14:textId="77777777" w:rsidR="009F23CB" w:rsidRPr="009F23CB" w:rsidRDefault="009F23CB" w:rsidP="009F23CB">
      <w:pPr>
        <w:pStyle w:val="ParaNoNdepar-AltN"/>
        <w:numPr>
          <w:ilvl w:val="0"/>
          <w:numId w:val="7"/>
        </w:numPr>
        <w:tabs>
          <w:tab w:val="clear" w:pos="1440"/>
          <w:tab w:val="num" w:pos="360"/>
          <w:tab w:val="num" w:pos="2340"/>
        </w:tabs>
        <w:ind w:left="1980" w:hanging="810"/>
        <w:rPr>
          <w:rFonts w:cs="Times New Roman"/>
        </w:rPr>
      </w:pPr>
      <w:r w:rsidRPr="009F23CB">
        <w:rPr>
          <w:rFonts w:cs="Times New Roman"/>
        </w:rPr>
        <w:t xml:space="preserve">Whether and how different police officers interacted with the accused after the </w:t>
      </w:r>
      <w:r w:rsidRPr="009F23CB">
        <w:rPr>
          <w:rFonts w:cs="Times New Roman"/>
          <w:i/>
        </w:rPr>
        <w:t>Charter</w:t>
      </w:r>
      <w:r w:rsidRPr="009F23CB">
        <w:rPr>
          <w:rFonts w:cs="Times New Roman"/>
        </w:rPr>
        <w:t xml:space="preserve"> breach but before the impugned evidence was obtained (see </w:t>
      </w:r>
      <w:r w:rsidRPr="009F23CB">
        <w:rPr>
          <w:rFonts w:cs="Times New Roman"/>
          <w:i/>
        </w:rPr>
        <w:t>Lewis</w:t>
      </w:r>
      <w:r w:rsidRPr="009F23CB">
        <w:rPr>
          <w:rFonts w:cs="Times New Roman"/>
        </w:rPr>
        <w:t xml:space="preserve">, at para. 32; </w:t>
      </w:r>
      <w:r w:rsidRPr="009F23CB">
        <w:rPr>
          <w:rFonts w:cs="Times New Roman"/>
          <w:i/>
        </w:rPr>
        <w:t>Woods</w:t>
      </w:r>
      <w:r w:rsidRPr="009F23CB">
        <w:rPr>
          <w:rFonts w:cs="Times New Roman"/>
        </w:rPr>
        <w:t xml:space="preserve">, at para. 9; </w:t>
      </w:r>
      <w:r w:rsidRPr="009F23CB">
        <w:rPr>
          <w:rFonts w:cs="Times New Roman"/>
          <w:i/>
        </w:rPr>
        <w:t>McSweeney</w:t>
      </w:r>
      <w:r w:rsidRPr="009F23CB">
        <w:rPr>
          <w:rFonts w:cs="Times New Roman"/>
        </w:rPr>
        <w:t xml:space="preserve">, at para. 62; </w:t>
      </w:r>
      <w:r w:rsidRPr="009F23CB">
        <w:rPr>
          <w:rFonts w:cs="Times New Roman"/>
          <w:i/>
        </w:rPr>
        <w:t>I. (L.R.) and T. (E.)</w:t>
      </w:r>
      <w:r w:rsidRPr="009F23CB">
        <w:rPr>
          <w:rFonts w:cs="Times New Roman"/>
        </w:rPr>
        <w:t xml:space="preserve">, at p. 526; </w:t>
      </w:r>
      <w:r w:rsidRPr="009F23CB">
        <w:rPr>
          <w:rFonts w:cs="Times New Roman"/>
          <w:i/>
        </w:rPr>
        <w:t>Dawkins</w:t>
      </w:r>
      <w:r w:rsidRPr="009F23CB">
        <w:rPr>
          <w:rFonts w:cs="Times New Roman"/>
        </w:rPr>
        <w:t>, at para. 62); and</w:t>
      </w:r>
    </w:p>
    <w:p w14:paraId="654909D3" w14:textId="77777777" w:rsidR="009F23CB" w:rsidRPr="009F23CB" w:rsidRDefault="009F23CB" w:rsidP="009F23CB">
      <w:pPr>
        <w:pStyle w:val="ParaNoNdepar-AltN"/>
        <w:numPr>
          <w:ilvl w:val="0"/>
          <w:numId w:val="7"/>
        </w:numPr>
        <w:tabs>
          <w:tab w:val="clear" w:pos="1440"/>
          <w:tab w:val="num" w:pos="360"/>
          <w:tab w:val="num" w:pos="2340"/>
        </w:tabs>
        <w:ind w:left="1980" w:hanging="810"/>
        <w:rPr>
          <w:rFonts w:cs="Times New Roman"/>
        </w:rPr>
      </w:pPr>
      <w:r w:rsidRPr="009F23CB">
        <w:rPr>
          <w:rFonts w:cs="Times New Roman"/>
        </w:rPr>
        <w:t xml:space="preserve">Whether the accused was released from detention after the </w:t>
      </w:r>
      <w:r w:rsidRPr="009F23CB">
        <w:rPr>
          <w:rFonts w:cs="Times New Roman"/>
          <w:i/>
        </w:rPr>
        <w:t>Charter</w:t>
      </w:r>
      <w:r w:rsidRPr="009F23CB">
        <w:rPr>
          <w:rFonts w:cs="Times New Roman"/>
        </w:rPr>
        <w:t xml:space="preserve"> breach but before the impugned evidence was obtained.</w:t>
      </w:r>
    </w:p>
    <w:p w14:paraId="3E0AC788" w14:textId="77777777" w:rsidR="009F23CB" w:rsidRPr="009F23CB" w:rsidRDefault="009F23CB" w:rsidP="009F23CB">
      <w:pPr>
        <w:pStyle w:val="Title3LevelTitre3Niveau"/>
        <w:jc w:val="both"/>
        <w:rPr>
          <w:rFonts w:cs="Times New Roman"/>
        </w:rPr>
      </w:pPr>
      <w:bookmarkStart w:id="84" w:name="_Toc109490386"/>
      <w:bookmarkStart w:id="85" w:name="_Toc109915230"/>
      <w:bookmarkStart w:id="86" w:name="_Toc110968678"/>
      <w:r w:rsidRPr="009F23CB">
        <w:rPr>
          <w:rFonts w:cs="Times New Roman"/>
        </w:rPr>
        <w:t>Application</w:t>
      </w:r>
      <w:bookmarkEnd w:id="84"/>
      <w:bookmarkEnd w:id="85"/>
      <w:bookmarkEnd w:id="86"/>
    </w:p>
    <w:p w14:paraId="3E958B1E" w14:textId="77777777" w:rsidR="009F23CB" w:rsidRPr="009F23CB" w:rsidRDefault="009F23CB" w:rsidP="009F23CB">
      <w:pPr>
        <w:pStyle w:val="Title4LevelTitre4Niveau"/>
        <w:jc w:val="both"/>
        <w:rPr>
          <w:rFonts w:cs="Times New Roman"/>
        </w:rPr>
      </w:pPr>
      <w:bookmarkStart w:id="87" w:name="_Toc109915231"/>
      <w:r w:rsidRPr="009F23CB">
        <w:rPr>
          <w:rFonts w:cs="Times New Roman"/>
        </w:rPr>
        <w:t>The Trial Judge’s “Fresh Start” Analysis Contained Errors of Law</w:t>
      </w:r>
      <w:bookmarkEnd w:id="87"/>
    </w:p>
    <w:p w14:paraId="0A06C828" w14:textId="77777777" w:rsidR="009F23CB" w:rsidRPr="009F23CB" w:rsidRDefault="009F23CB" w:rsidP="009F23CB">
      <w:pPr>
        <w:pStyle w:val="ParaNoNdepar-AltN"/>
        <w:rPr>
          <w:rFonts w:cs="Times New Roman"/>
        </w:rPr>
      </w:pPr>
      <w:r w:rsidRPr="009F23CB">
        <w:rPr>
          <w:rFonts w:cs="Times New Roman"/>
        </w:rPr>
        <w:t>Although the trial judge reviewed the case law on “fresh start” principles, I have concluded that he erred in law by failing to apply the correct legal test and by applying an incorrect legal principle (</w:t>
      </w:r>
      <w:r w:rsidRPr="009F23CB">
        <w:rPr>
          <w:rFonts w:cs="Times New Roman"/>
          <w:i/>
        </w:rPr>
        <w:t>R. v. Chung</w:t>
      </w:r>
      <w:r w:rsidRPr="009F23CB">
        <w:rPr>
          <w:rFonts w:cs="Times New Roman"/>
        </w:rPr>
        <w:t>, 2020 SCC 8, at paras. 13 and 18).</w:t>
      </w:r>
    </w:p>
    <w:p w14:paraId="41395A3B" w14:textId="77777777" w:rsidR="009F23CB" w:rsidRPr="009F23CB" w:rsidRDefault="009F23CB" w:rsidP="009F23CB">
      <w:pPr>
        <w:pStyle w:val="ParaNoNdepar-AltN"/>
        <w:rPr>
          <w:rFonts w:cs="Times New Roman"/>
        </w:rPr>
      </w:pPr>
      <w:r w:rsidRPr="009F23CB">
        <w:rPr>
          <w:rFonts w:cs="Times New Roman"/>
        </w:rPr>
        <w:t xml:space="preserve">First, the trial judge failed to apply the correct legal test by focussing solely on the conduct of the police that was </w:t>
      </w:r>
      <w:r w:rsidRPr="009F23CB">
        <w:rPr>
          <w:rFonts w:cs="Times New Roman"/>
          <w:i/>
        </w:rPr>
        <w:t>Charter</w:t>
      </w:r>
      <w:r w:rsidRPr="009F23CB">
        <w:rPr>
          <w:rFonts w:cs="Times New Roman"/>
        </w:rPr>
        <w:t xml:space="preserve">-compliant, without expressly analyzing whether or how that conduct severed the temporal, causal, or contextual connection between the earlier </w:t>
      </w:r>
      <w:r w:rsidRPr="009F23CB">
        <w:rPr>
          <w:rFonts w:cs="Times New Roman"/>
          <w:i/>
        </w:rPr>
        <w:t>Charter</w:t>
      </w:r>
      <w:r w:rsidRPr="009F23CB">
        <w:rPr>
          <w:rFonts w:cs="Times New Roman"/>
        </w:rPr>
        <w:t xml:space="preserve"> breaches and the appellants’ confessions or rendered those connections remote or tenuous. The trial judge appeared to proceed on the basis that the appellants’ arrest for murder was sufficient to constitute a “fresh start”. He framed the issue as “whether [the appellants’] arrests following Det. Vermette’s direction [to arrest the appellants for murder] resulted in a ‘fresh start’ such that the </w:t>
      </w:r>
      <w:r w:rsidRPr="009F23CB">
        <w:rPr>
          <w:rFonts w:cs="Times New Roman"/>
          <w:i/>
        </w:rPr>
        <w:t>Charter</w:t>
      </w:r>
      <w:r w:rsidRPr="009F23CB">
        <w:rPr>
          <w:rFonts w:cs="Times New Roman"/>
        </w:rPr>
        <w:t xml:space="preserve"> breaches are ‘cured’” (para. 206). He concluded that the arrests resulted in a “fresh start” and compliance with the </w:t>
      </w:r>
      <w:r w:rsidRPr="009F23CB">
        <w:rPr>
          <w:rFonts w:cs="Times New Roman"/>
          <w:i/>
        </w:rPr>
        <w:t>Charter</w:t>
      </w:r>
      <w:r w:rsidRPr="009F23CB">
        <w:rPr>
          <w:rFonts w:cs="Times New Roman"/>
        </w:rPr>
        <w:t xml:space="preserve">, without considering the connection between the earlier </w:t>
      </w:r>
      <w:r w:rsidRPr="009F23CB">
        <w:rPr>
          <w:rFonts w:cs="Times New Roman"/>
          <w:i/>
        </w:rPr>
        <w:t xml:space="preserve">Charter </w:t>
      </w:r>
      <w:r w:rsidRPr="009F23CB">
        <w:rPr>
          <w:rFonts w:cs="Times New Roman"/>
        </w:rPr>
        <w:t>violations and the confessions (para. 209).</w:t>
      </w:r>
    </w:p>
    <w:p w14:paraId="50477002" w14:textId="77777777" w:rsidR="009F23CB" w:rsidRPr="009F23CB" w:rsidRDefault="009F23CB" w:rsidP="009F23CB">
      <w:pPr>
        <w:pStyle w:val="ParaNoNdepar-AltN"/>
        <w:rPr>
          <w:rFonts w:cs="Times New Roman"/>
        </w:rPr>
      </w:pPr>
      <w:r w:rsidRPr="009F23CB">
        <w:rPr>
          <w:rFonts w:cs="Times New Roman"/>
        </w:rPr>
        <w:t xml:space="preserve">Second, and relatedly, the trial judge applied the wrong legal principle by repeatedly referring to the police as having “cured” the earlier </w:t>
      </w:r>
      <w:r w:rsidRPr="009F23CB">
        <w:rPr>
          <w:rFonts w:cs="Times New Roman"/>
          <w:i/>
        </w:rPr>
        <w:t>Charter</w:t>
      </w:r>
      <w:r w:rsidRPr="009F23CB">
        <w:rPr>
          <w:rFonts w:cs="Times New Roman"/>
        </w:rPr>
        <w:t xml:space="preserve"> breaches (paras. 191, 206, 215, 239 and 253). It is unhelpful and inaccurate to describe the police as having “cured” the earlier </w:t>
      </w:r>
      <w:r w:rsidRPr="009F23CB">
        <w:rPr>
          <w:rFonts w:cs="Times New Roman"/>
          <w:i/>
        </w:rPr>
        <w:t xml:space="preserve">Charter </w:t>
      </w:r>
      <w:r w:rsidRPr="009F23CB">
        <w:rPr>
          <w:rFonts w:cs="Times New Roman"/>
        </w:rPr>
        <w:t xml:space="preserve">breaches. It is unhelpful because it obscures the real issue: whether there is a sufficient connection between the </w:t>
      </w:r>
      <w:r w:rsidRPr="009F23CB">
        <w:rPr>
          <w:rFonts w:cs="Times New Roman"/>
          <w:i/>
        </w:rPr>
        <w:t>Charter</w:t>
      </w:r>
      <w:r w:rsidRPr="009F23CB">
        <w:rPr>
          <w:rFonts w:cs="Times New Roman"/>
        </w:rPr>
        <w:t xml:space="preserve"> breaches and the impugned evidence, and not simply whether there was subsequent </w:t>
      </w:r>
      <w:r w:rsidRPr="009F23CB">
        <w:rPr>
          <w:rFonts w:cs="Times New Roman"/>
          <w:i/>
        </w:rPr>
        <w:t>Charter</w:t>
      </w:r>
      <w:r w:rsidRPr="009F23CB">
        <w:rPr>
          <w:rFonts w:cs="Times New Roman"/>
        </w:rPr>
        <w:t xml:space="preserve"> compliance. It is inaccurate because subsequent </w:t>
      </w:r>
      <w:r w:rsidRPr="009F23CB">
        <w:rPr>
          <w:rFonts w:cs="Times New Roman"/>
          <w:i/>
        </w:rPr>
        <w:t>Charter</w:t>
      </w:r>
      <w:r w:rsidRPr="009F23CB">
        <w:rPr>
          <w:rFonts w:cs="Times New Roman"/>
        </w:rPr>
        <w:t xml:space="preserve">-compliant conduct by the police does not “cure” earlier </w:t>
      </w:r>
      <w:r w:rsidRPr="009F23CB">
        <w:rPr>
          <w:rFonts w:cs="Times New Roman"/>
          <w:i/>
        </w:rPr>
        <w:t xml:space="preserve">Charter </w:t>
      </w:r>
      <w:r w:rsidRPr="009F23CB">
        <w:rPr>
          <w:rFonts w:cs="Times New Roman"/>
        </w:rPr>
        <w:t xml:space="preserve">breaches; the </w:t>
      </w:r>
      <w:r w:rsidRPr="009F23CB">
        <w:rPr>
          <w:rFonts w:cs="Times New Roman"/>
          <w:i/>
        </w:rPr>
        <w:t xml:space="preserve">Charter </w:t>
      </w:r>
      <w:r w:rsidRPr="009F23CB">
        <w:rPr>
          <w:rFonts w:cs="Times New Roman"/>
        </w:rPr>
        <w:t xml:space="preserve">breaches still occurred and merit proper consideration under the threshold requirement. Instead, </w:t>
      </w:r>
      <w:r w:rsidRPr="009F23CB">
        <w:rPr>
          <w:rFonts w:cs="Times New Roman"/>
          <w:i/>
        </w:rPr>
        <w:t>Charter</w:t>
      </w:r>
      <w:r w:rsidRPr="009F23CB">
        <w:rPr>
          <w:rFonts w:cs="Times New Roman"/>
        </w:rPr>
        <w:noBreakHyphen/>
        <w:t xml:space="preserve">compliant conduct may dissociate the </w:t>
      </w:r>
      <w:r w:rsidRPr="009F23CB">
        <w:rPr>
          <w:rFonts w:cs="Times New Roman"/>
          <w:i/>
        </w:rPr>
        <w:t xml:space="preserve">Charter </w:t>
      </w:r>
      <w:r w:rsidRPr="009F23CB">
        <w:rPr>
          <w:rFonts w:cs="Times New Roman"/>
        </w:rPr>
        <w:t xml:space="preserve">breaches from the impugned evidence by severing any connection between them or by rendering any connection remote or tenuous. Only then is the evidence not “obtained in a manner” that breached the </w:t>
      </w:r>
      <w:r w:rsidRPr="009F23CB">
        <w:rPr>
          <w:rFonts w:cs="Times New Roman"/>
          <w:i/>
        </w:rPr>
        <w:t>Charter</w:t>
      </w:r>
      <w:r w:rsidRPr="009F23CB">
        <w:rPr>
          <w:rFonts w:cs="Times New Roman"/>
        </w:rPr>
        <w:t>.</w:t>
      </w:r>
    </w:p>
    <w:p w14:paraId="5FA0F01D" w14:textId="77777777" w:rsidR="009F23CB" w:rsidRPr="009F23CB" w:rsidRDefault="009F23CB" w:rsidP="009F23CB">
      <w:pPr>
        <w:pStyle w:val="ParaNoNdepar-AltN"/>
        <w:rPr>
          <w:rFonts w:cs="Times New Roman"/>
        </w:rPr>
      </w:pPr>
      <w:r w:rsidRPr="009F23CB">
        <w:rPr>
          <w:rFonts w:cs="Times New Roman"/>
        </w:rPr>
        <w:t xml:space="preserve">Because the trial judge erred in law in his analysis of the threshold requirement, no deference is owed to his conclusion that the evidence was not “obtained in a manner” that breached the </w:t>
      </w:r>
      <w:r w:rsidRPr="009F23CB">
        <w:rPr>
          <w:rFonts w:cs="Times New Roman"/>
          <w:i/>
        </w:rPr>
        <w:t>Charter</w:t>
      </w:r>
      <w:r w:rsidRPr="009F23CB">
        <w:rPr>
          <w:rFonts w:cs="Times New Roman"/>
        </w:rPr>
        <w:t xml:space="preserve"> (</w:t>
      </w:r>
      <w:r w:rsidRPr="009F23CB">
        <w:rPr>
          <w:rFonts w:cs="Times New Roman"/>
          <w:i/>
        </w:rPr>
        <w:t>Mack</w:t>
      </w:r>
      <w:r w:rsidRPr="009F23CB">
        <w:rPr>
          <w:rFonts w:cs="Times New Roman"/>
        </w:rPr>
        <w:t xml:space="preserve">, at para. 39; </w:t>
      </w:r>
      <w:r w:rsidRPr="009F23CB">
        <w:rPr>
          <w:rFonts w:cs="Times New Roman"/>
          <w:i/>
        </w:rPr>
        <w:t xml:space="preserve">R. v. </w:t>
      </w:r>
      <w:proofErr w:type="spellStart"/>
      <w:r w:rsidRPr="009F23CB">
        <w:rPr>
          <w:rFonts w:cs="Times New Roman"/>
          <w:i/>
        </w:rPr>
        <w:t>Keror</w:t>
      </w:r>
      <w:proofErr w:type="spellEnd"/>
      <w:r w:rsidRPr="009F23CB">
        <w:rPr>
          <w:rFonts w:cs="Times New Roman"/>
        </w:rPr>
        <w:t>, 2017 ABCA 273, 57 Alta. L.R. (6th) 268, at para. 35). That issue must be analyzed afresh.</w:t>
      </w:r>
    </w:p>
    <w:p w14:paraId="3C287E40" w14:textId="77777777" w:rsidR="009F23CB" w:rsidRPr="009F23CB" w:rsidRDefault="009F23CB" w:rsidP="009F23CB">
      <w:pPr>
        <w:pStyle w:val="Title4LevelTitre4Niveau"/>
        <w:jc w:val="both"/>
        <w:rPr>
          <w:rFonts w:cs="Times New Roman"/>
        </w:rPr>
      </w:pPr>
      <w:bookmarkStart w:id="88" w:name="_Toc109915232"/>
      <w:r w:rsidRPr="009F23CB">
        <w:rPr>
          <w:rFonts w:cs="Times New Roman"/>
        </w:rPr>
        <w:t>Lambert’s Confession Was Not “Obtained in a Manner” That Breached the Charter</w:t>
      </w:r>
      <w:bookmarkEnd w:id="88"/>
    </w:p>
    <w:p w14:paraId="78801E6F" w14:textId="77777777" w:rsidR="009F23CB" w:rsidRPr="009F23CB" w:rsidRDefault="009F23CB" w:rsidP="009F23CB">
      <w:pPr>
        <w:pStyle w:val="ParaNoNdepar-AltN"/>
        <w:rPr>
          <w:rFonts w:cs="Times New Roman"/>
        </w:rPr>
      </w:pPr>
      <w:r w:rsidRPr="009F23CB">
        <w:rPr>
          <w:rFonts w:cs="Times New Roman"/>
        </w:rPr>
        <w:t xml:space="preserve">In my view, the police took several steps that collectively severed any contextual connection between the breach of Lambert’s </w:t>
      </w:r>
      <w:r w:rsidRPr="009F23CB">
        <w:rPr>
          <w:rFonts w:cs="Times New Roman"/>
          <w:i/>
        </w:rPr>
        <w:t>Charter</w:t>
      </w:r>
      <w:r w:rsidRPr="009F23CB">
        <w:rPr>
          <w:rFonts w:cs="Times New Roman"/>
        </w:rPr>
        <w:t xml:space="preserve"> rights arising from his unlawful detention and his confession. These steps also rendered any temporal connection with the </w:t>
      </w:r>
      <w:r w:rsidRPr="009F23CB">
        <w:rPr>
          <w:rFonts w:cs="Times New Roman"/>
          <w:i/>
        </w:rPr>
        <w:t xml:space="preserve">Charter </w:t>
      </w:r>
      <w:r w:rsidRPr="009F23CB">
        <w:rPr>
          <w:rFonts w:cs="Times New Roman"/>
        </w:rPr>
        <w:t xml:space="preserve">breaches remote. Finally, there was also no causal relationship between the </w:t>
      </w:r>
      <w:r w:rsidRPr="009F23CB">
        <w:rPr>
          <w:rFonts w:cs="Times New Roman"/>
          <w:i/>
        </w:rPr>
        <w:t xml:space="preserve">Charter </w:t>
      </w:r>
      <w:r w:rsidRPr="009F23CB">
        <w:rPr>
          <w:rFonts w:cs="Times New Roman"/>
        </w:rPr>
        <w:t xml:space="preserve">breaches and Lambert’s confession. Lambert’s confession was thus not “obtained in a manner” that breached the </w:t>
      </w:r>
      <w:r w:rsidRPr="009F23CB">
        <w:rPr>
          <w:rFonts w:cs="Times New Roman"/>
          <w:i/>
        </w:rPr>
        <w:t>Charter</w:t>
      </w:r>
      <w:r w:rsidRPr="009F23CB">
        <w:rPr>
          <w:rFonts w:cs="Times New Roman"/>
        </w:rPr>
        <w:t>.</w:t>
      </w:r>
    </w:p>
    <w:p w14:paraId="661C8993" w14:textId="77777777" w:rsidR="009F23CB" w:rsidRPr="009F23CB" w:rsidRDefault="009F23CB" w:rsidP="009F23CB">
      <w:pPr>
        <w:pStyle w:val="ParaNoNdepar-AltN"/>
        <w:rPr>
          <w:rFonts w:cs="Times New Roman"/>
        </w:rPr>
      </w:pPr>
      <w:r w:rsidRPr="009F23CB">
        <w:rPr>
          <w:rFonts w:cs="Times New Roman"/>
        </w:rPr>
        <w:t xml:space="preserve">Specifically, Det. Demarino severed any contextual connection with Lambert’s earlier unlawful detention under the supposed </w:t>
      </w:r>
      <w:r w:rsidRPr="009F23CB">
        <w:rPr>
          <w:rFonts w:cs="Times New Roman"/>
          <w:i/>
        </w:rPr>
        <w:t>Medical Examiners Act</w:t>
      </w:r>
      <w:r w:rsidRPr="009F23CB">
        <w:rPr>
          <w:rFonts w:cs="Times New Roman"/>
        </w:rPr>
        <w:t xml:space="preserve">. He did so by telling Lambert that they were going to “start from the very beginning”, by advising him that this is a “very, very serious matter”, and by informing him four times that he was under arrest for murder. By taking these steps, Det. Demarino addressed the previous failure to advise Lambert of the extent of his jeopardy when he had been unlawfully detained. Det. Demarino then facilitated Lambert’s second consultation with counsel, confirmed that he understood the advice he had been given, repeated to him that they “have to start everything all over again”, and provided him with a primary caution three times and a secondary caution once. Collectively, these steps created a new context for the interaction with the police and “dispelled” the effect of the </w:t>
      </w:r>
      <w:r w:rsidRPr="009F23CB">
        <w:rPr>
          <w:rFonts w:cs="Times New Roman"/>
          <w:i/>
        </w:rPr>
        <w:t>Charter</w:t>
      </w:r>
      <w:r w:rsidRPr="009F23CB">
        <w:rPr>
          <w:rFonts w:cs="Times New Roman"/>
        </w:rPr>
        <w:t xml:space="preserve"> breaches on Lambert’s confession (</w:t>
      </w:r>
      <w:r w:rsidRPr="009F23CB">
        <w:rPr>
          <w:rFonts w:cs="Times New Roman"/>
          <w:i/>
        </w:rPr>
        <w:t>R. (D.)</w:t>
      </w:r>
      <w:r w:rsidRPr="009F23CB">
        <w:rPr>
          <w:rFonts w:cs="Times New Roman"/>
        </w:rPr>
        <w:t>, at p. 882).</w:t>
      </w:r>
    </w:p>
    <w:p w14:paraId="6FD6B2FA" w14:textId="77777777" w:rsidR="009F23CB" w:rsidRPr="009F23CB" w:rsidRDefault="009F23CB" w:rsidP="009F23CB">
      <w:pPr>
        <w:pStyle w:val="ParaNoNdepar-AltN"/>
        <w:rPr>
          <w:rFonts w:cs="Times New Roman"/>
          <w:lang w:bidi="en-US"/>
        </w:rPr>
      </w:pPr>
      <w:r w:rsidRPr="009F23CB">
        <w:rPr>
          <w:rFonts w:cs="Times New Roman"/>
        </w:rPr>
        <w:t xml:space="preserve">In addition, any temporal connection between the </w:t>
      </w:r>
      <w:proofErr w:type="gramStart"/>
      <w:r w:rsidRPr="009F23CB">
        <w:rPr>
          <w:rFonts w:cs="Times New Roman"/>
          <w:i/>
        </w:rPr>
        <w:t>Charter</w:t>
      </w:r>
      <w:proofErr w:type="gramEnd"/>
      <w:r w:rsidRPr="009F23CB">
        <w:rPr>
          <w:rFonts w:cs="Times New Roman"/>
        </w:rPr>
        <w:t xml:space="preserve"> breaches arising from Lambert’s unlawful detention and his confession after he had been arrested for murder was at best tenuous. Lambert’s confession was provided about 12 hours after the </w:t>
      </w:r>
      <w:r w:rsidRPr="009F23CB">
        <w:rPr>
          <w:rFonts w:cs="Times New Roman"/>
          <w:i/>
        </w:rPr>
        <w:t>Charter</w:t>
      </w:r>
      <w:r w:rsidRPr="009F23CB">
        <w:rPr>
          <w:rFonts w:cs="Times New Roman"/>
        </w:rPr>
        <w:t xml:space="preserve"> breaches, which the Court of Appeal found left “arguably no temporal connection” (para. 26). In </w:t>
      </w:r>
      <w:r w:rsidRPr="009F23CB">
        <w:rPr>
          <w:rFonts w:cs="Times New Roman"/>
          <w:i/>
        </w:rPr>
        <w:t>Plaha</w:t>
      </w:r>
      <w:r w:rsidRPr="009F23CB">
        <w:rPr>
          <w:rFonts w:cs="Times New Roman"/>
        </w:rPr>
        <w:t xml:space="preserve">, at para. 49, </w:t>
      </w:r>
      <w:r w:rsidRPr="009F23CB">
        <w:rPr>
          <w:rFonts w:cs="Times New Roman"/>
          <w:lang w:bidi="en-US"/>
        </w:rPr>
        <w:t xml:space="preserve">Doherty J.A. cautioned that evaluating whether a temporal connection persists “requires more than simply counting the minutes or hours” between the breach and the subsequent statement. As he explained, “[e]vents that occur during the time interval can colour the significance of the passage of time” </w:t>
      </w:r>
      <w:r w:rsidRPr="009F23CB">
        <w:rPr>
          <w:rFonts w:cs="Times New Roman"/>
        </w:rPr>
        <w:t xml:space="preserve">(para. 49; see also </w:t>
      </w:r>
      <w:r w:rsidRPr="009F23CB">
        <w:rPr>
          <w:rFonts w:cs="Times New Roman"/>
          <w:i/>
        </w:rPr>
        <w:t>Manchulenko</w:t>
      </w:r>
      <w:r w:rsidRPr="009F23CB">
        <w:rPr>
          <w:rFonts w:cs="Times New Roman"/>
        </w:rPr>
        <w:t xml:space="preserve">, at para. 73). Here, the intervening steps taken by Det. Demarino and Lambert’s decision to confess even after he was fully aware of his rights rendered any temporal link between the </w:t>
      </w:r>
      <w:r w:rsidRPr="009F23CB">
        <w:rPr>
          <w:rFonts w:cs="Times New Roman"/>
          <w:i/>
        </w:rPr>
        <w:t xml:space="preserve">Charter </w:t>
      </w:r>
      <w:r w:rsidRPr="009F23CB">
        <w:rPr>
          <w:rFonts w:cs="Times New Roman"/>
        </w:rPr>
        <w:t>breaches and the confession extremely tenuous (</w:t>
      </w:r>
      <w:r w:rsidRPr="009F23CB">
        <w:rPr>
          <w:rFonts w:cs="Times New Roman"/>
          <w:i/>
        </w:rPr>
        <w:t>R. v. Goldhart</w:t>
      </w:r>
      <w:r w:rsidRPr="009F23CB">
        <w:rPr>
          <w:rFonts w:cs="Times New Roman"/>
        </w:rPr>
        <w:t>, [1996] 2 S.C.R. 463, at para. 45). Such “remote or tenuous connections are no connections at all” (</w:t>
      </w:r>
      <w:r w:rsidRPr="009F23CB">
        <w:rPr>
          <w:rFonts w:cs="Times New Roman"/>
          <w:i/>
        </w:rPr>
        <w:t>R. v. Keshavarz</w:t>
      </w:r>
      <w:r w:rsidRPr="009F23CB">
        <w:rPr>
          <w:rFonts w:cs="Times New Roman"/>
        </w:rPr>
        <w:t>, 2022 ONCA 312, 413 C.C.C. (3d) 263, at para. 53, per Fairburn A.C.J.O.).</w:t>
      </w:r>
    </w:p>
    <w:p w14:paraId="1A9D1436" w14:textId="77777777" w:rsidR="009F23CB" w:rsidRPr="009F23CB" w:rsidRDefault="009F23CB" w:rsidP="009F23CB">
      <w:pPr>
        <w:pStyle w:val="ParaNoNdepar-AltN"/>
        <w:rPr>
          <w:rFonts w:cs="Times New Roman"/>
        </w:rPr>
      </w:pPr>
      <w:r w:rsidRPr="009F23CB">
        <w:rPr>
          <w:rFonts w:cs="Times New Roman"/>
        </w:rPr>
        <w:t xml:space="preserve">There was also no causal connection between the </w:t>
      </w:r>
      <w:r w:rsidRPr="009F23CB">
        <w:rPr>
          <w:rFonts w:cs="Times New Roman"/>
          <w:i/>
        </w:rPr>
        <w:t>Charter</w:t>
      </w:r>
      <w:r w:rsidRPr="009F23CB">
        <w:rPr>
          <w:rFonts w:cs="Times New Roman"/>
        </w:rPr>
        <w:t xml:space="preserve"> breaches arising from Lambert’s unlawful detention and his confession after he was arrested for murder. Lambert provided no incriminating information because of the </w:t>
      </w:r>
      <w:r w:rsidRPr="009F23CB">
        <w:rPr>
          <w:rFonts w:cs="Times New Roman"/>
          <w:i/>
        </w:rPr>
        <w:t xml:space="preserve">Charter </w:t>
      </w:r>
      <w:r w:rsidRPr="009F23CB">
        <w:rPr>
          <w:rFonts w:cs="Times New Roman"/>
        </w:rPr>
        <w:t>breaches and he continued to protest his innocence. Lambert confessed only after he consulted counsel, after he understood his rights, and after he appreciated that he had been arrested for murder.</w:t>
      </w:r>
    </w:p>
    <w:p w14:paraId="171D2AF8" w14:textId="77777777" w:rsidR="009F23CB" w:rsidRPr="009F23CB" w:rsidRDefault="009F23CB" w:rsidP="009F23CB">
      <w:pPr>
        <w:pStyle w:val="ParaNoNdepar-AltN"/>
        <w:rPr>
          <w:rFonts w:cs="Times New Roman"/>
        </w:rPr>
      </w:pPr>
      <w:r w:rsidRPr="009F23CB">
        <w:rPr>
          <w:rFonts w:cs="Times New Roman"/>
        </w:rPr>
        <w:t xml:space="preserve">By taking the steps described above, the police ensured that Lambert’s confession was not “obtained in a manner” that breached the </w:t>
      </w:r>
      <w:r w:rsidRPr="009F23CB">
        <w:rPr>
          <w:rFonts w:cs="Times New Roman"/>
          <w:i/>
        </w:rPr>
        <w:t>Charter</w:t>
      </w:r>
      <w:r w:rsidRPr="009F23CB">
        <w:rPr>
          <w:rFonts w:cs="Times New Roman"/>
        </w:rPr>
        <w:t>. It is therefore unnecessary to consider the evaluative component of s. 24(2) for Lambert. Since Lambert’s confession was admissible, I would dismiss his appeal and confirm his conviction for manslaughter.</w:t>
      </w:r>
    </w:p>
    <w:p w14:paraId="55062D48" w14:textId="77777777" w:rsidR="009F23CB" w:rsidRPr="009F23CB" w:rsidRDefault="009F23CB" w:rsidP="009F23CB">
      <w:pPr>
        <w:pStyle w:val="Title4LevelTitre4Niveau"/>
        <w:jc w:val="both"/>
        <w:rPr>
          <w:rFonts w:cs="Times New Roman"/>
        </w:rPr>
      </w:pPr>
      <w:bookmarkStart w:id="89" w:name="_Toc109915233"/>
      <w:r w:rsidRPr="009F23CB">
        <w:rPr>
          <w:rFonts w:cs="Times New Roman"/>
        </w:rPr>
        <w:t>Beaver’s Confession Was “Obtained in a Manner” That Breached the Charter</w:t>
      </w:r>
      <w:bookmarkEnd w:id="89"/>
    </w:p>
    <w:p w14:paraId="6903FE0B" w14:textId="77777777" w:rsidR="009F23CB" w:rsidRPr="009F23CB" w:rsidRDefault="009F23CB" w:rsidP="009F23CB">
      <w:pPr>
        <w:pStyle w:val="ParaNoNdepar-AltN"/>
        <w:rPr>
          <w:rFonts w:cs="Times New Roman"/>
        </w:rPr>
      </w:pPr>
      <w:r w:rsidRPr="009F23CB">
        <w:rPr>
          <w:rFonts w:cs="Times New Roman"/>
        </w:rPr>
        <w:t xml:space="preserve">The same cannot be said of Beaver’s confession. Although, like Lambert, Beaver was at first unlawfully detained and then arrested for </w:t>
      </w:r>
      <w:r w:rsidRPr="009F23CB">
        <w:rPr>
          <w:rFonts w:cs="Times New Roman"/>
          <w:lang w:bidi="en-US"/>
        </w:rPr>
        <w:t xml:space="preserve">murder, unlike Lambert, Beaver declined the several opportunities he was given to consult counsel. As a result, in Beaver’s case it cannot be said that an intervening consultation with counsel severed any connection between the </w:t>
      </w:r>
      <w:r w:rsidRPr="009F23CB">
        <w:rPr>
          <w:rFonts w:cs="Times New Roman"/>
          <w:i/>
          <w:lang w:bidi="en-US"/>
        </w:rPr>
        <w:t>Charter</w:t>
      </w:r>
      <w:r w:rsidRPr="009F23CB">
        <w:rPr>
          <w:rFonts w:cs="Times New Roman"/>
          <w:lang w:bidi="en-US"/>
        </w:rPr>
        <w:t xml:space="preserve"> breaches arising from his unlawful detention and his eventual confession </w:t>
      </w:r>
      <w:r w:rsidRPr="009F23CB">
        <w:rPr>
          <w:rFonts w:cs="Times New Roman"/>
        </w:rPr>
        <w:t xml:space="preserve">(see </w:t>
      </w:r>
      <w:r w:rsidRPr="009F23CB">
        <w:rPr>
          <w:rFonts w:cs="Times New Roman"/>
          <w:i/>
        </w:rPr>
        <w:t>Manchulenko</w:t>
      </w:r>
      <w:r w:rsidRPr="009F23CB">
        <w:rPr>
          <w:rFonts w:cs="Times New Roman"/>
        </w:rPr>
        <w:t>,</w:t>
      </w:r>
      <w:r w:rsidRPr="009F23CB">
        <w:rPr>
          <w:rFonts w:cs="Times New Roman"/>
          <w:i/>
        </w:rPr>
        <w:t xml:space="preserve"> </w:t>
      </w:r>
      <w:r w:rsidRPr="009F23CB">
        <w:rPr>
          <w:rFonts w:cs="Times New Roman"/>
        </w:rPr>
        <w:t>at para. 69).</w:t>
      </w:r>
    </w:p>
    <w:p w14:paraId="5935D27F" w14:textId="77777777" w:rsidR="009F23CB" w:rsidRPr="009F23CB" w:rsidRDefault="009F23CB" w:rsidP="009F23CB">
      <w:pPr>
        <w:pStyle w:val="ParaNoNdepar-AltN"/>
        <w:rPr>
          <w:rFonts w:cs="Times New Roman"/>
        </w:rPr>
      </w:pPr>
      <w:r w:rsidRPr="009F23CB">
        <w:rPr>
          <w:rFonts w:cs="Times New Roman"/>
        </w:rPr>
        <w:t xml:space="preserve">Most importantly, however, Det. Hossack referred back to Cst. Husband’s earlier caution during Beaver’s unlawful detention, when Beaver had been told that he was being “investigatively detained” for “whatever’s going on” in the townhouse where Bowers had been found dead. By telling Beaver that “it’s no different than what uh, Constable Husband read to [him]”, Det. Hossack invoked a caution given when Beaver was unlawfully detained under non-existent legislation and when he had not been advised of the jeopardy he faced for any offence, let alone for murder. By recalling this caution, Det. Hossack failed to dissociate her interaction with Beaver from the earlier </w:t>
      </w:r>
      <w:r w:rsidRPr="009F23CB">
        <w:rPr>
          <w:rFonts w:cs="Times New Roman"/>
          <w:i/>
        </w:rPr>
        <w:t xml:space="preserve">Charter </w:t>
      </w:r>
      <w:r w:rsidRPr="009F23CB">
        <w:rPr>
          <w:rFonts w:cs="Times New Roman"/>
        </w:rPr>
        <w:t xml:space="preserve">breaches and actively maintained a contextual connection between Beaver’s initial unlawful detention and his confession. Thus, even after Beaver had been lawfully arrested and made aware of the jeopardy he faced, his confession was contextually linked to the earlier </w:t>
      </w:r>
      <w:r w:rsidRPr="009F23CB">
        <w:rPr>
          <w:rFonts w:cs="Times New Roman"/>
          <w:i/>
        </w:rPr>
        <w:t xml:space="preserve">Charter </w:t>
      </w:r>
      <w:r w:rsidRPr="009F23CB">
        <w:rPr>
          <w:rFonts w:cs="Times New Roman"/>
        </w:rPr>
        <w:t>breaches.</w:t>
      </w:r>
    </w:p>
    <w:p w14:paraId="00D93E90" w14:textId="77777777" w:rsidR="009F23CB" w:rsidRPr="009F23CB" w:rsidRDefault="009F23CB" w:rsidP="009F23CB">
      <w:pPr>
        <w:pStyle w:val="ParaNoNdepar-AltN"/>
        <w:rPr>
          <w:rFonts w:cs="Times New Roman"/>
        </w:rPr>
      </w:pPr>
      <w:r w:rsidRPr="009F23CB">
        <w:rPr>
          <w:rFonts w:cs="Times New Roman"/>
        </w:rPr>
        <w:t xml:space="preserve">Beaver’s confession was thus “obtained in a manner” that breached the </w:t>
      </w:r>
      <w:r w:rsidRPr="009F23CB">
        <w:rPr>
          <w:rFonts w:cs="Times New Roman"/>
          <w:i/>
        </w:rPr>
        <w:t>Charter</w:t>
      </w:r>
      <w:r w:rsidRPr="009F23CB">
        <w:rPr>
          <w:rFonts w:cs="Times New Roman"/>
        </w:rPr>
        <w:t xml:space="preserve">. It is therefore necessary to consider whether it should be excluded under s. 24(2) of the </w:t>
      </w:r>
      <w:r w:rsidRPr="009F23CB">
        <w:rPr>
          <w:rFonts w:cs="Times New Roman"/>
          <w:i/>
        </w:rPr>
        <w:t>Charter</w:t>
      </w:r>
      <w:r w:rsidRPr="009F23CB">
        <w:rPr>
          <w:rFonts w:cs="Times New Roman"/>
        </w:rPr>
        <w:t>.</w:t>
      </w:r>
    </w:p>
    <w:p w14:paraId="2941C76C" w14:textId="77777777" w:rsidR="009F23CB" w:rsidRPr="009F23CB" w:rsidRDefault="009F23CB" w:rsidP="009F23CB">
      <w:pPr>
        <w:pStyle w:val="Title3LevelTitre3Niveau"/>
        <w:jc w:val="both"/>
        <w:rPr>
          <w:rFonts w:cs="Times New Roman"/>
        </w:rPr>
      </w:pPr>
      <w:bookmarkStart w:id="90" w:name="_Toc109915234"/>
      <w:bookmarkStart w:id="91" w:name="_Toc110968679"/>
      <w:r w:rsidRPr="009F23CB">
        <w:rPr>
          <w:rFonts w:cs="Times New Roman"/>
        </w:rPr>
        <w:t xml:space="preserve">Beaver’s Confession Should Not Be Excluded Under Section 24(2) of the </w:t>
      </w:r>
      <w:r w:rsidRPr="009F23CB">
        <w:rPr>
          <w:rFonts w:cs="Times New Roman"/>
          <w:i/>
        </w:rPr>
        <w:t>Charter</w:t>
      </w:r>
      <w:bookmarkEnd w:id="90"/>
      <w:bookmarkEnd w:id="91"/>
    </w:p>
    <w:p w14:paraId="5B8C3B0C" w14:textId="77777777" w:rsidR="009F23CB" w:rsidRPr="009F23CB" w:rsidRDefault="009F23CB" w:rsidP="009F23CB">
      <w:pPr>
        <w:pStyle w:val="ParaNoNdepar-AltN"/>
        <w:rPr>
          <w:rFonts w:cs="Times New Roman"/>
        </w:rPr>
      </w:pPr>
      <w:r w:rsidRPr="009F23CB">
        <w:rPr>
          <w:rFonts w:cs="Times New Roman"/>
        </w:rPr>
        <w:t xml:space="preserve">Whether the administration of justice would be brought into disrepute by admitting Beaver’s confession involves examining the impact its admission would have on public confidence in the administration of justice over the long term, based on a balancing of the three lines of inquiry described by this Court in </w:t>
      </w:r>
      <w:r w:rsidRPr="009F23CB">
        <w:rPr>
          <w:rFonts w:cs="Times New Roman"/>
          <w:i/>
        </w:rPr>
        <w:t>R. v. Grant</w:t>
      </w:r>
      <w:r w:rsidRPr="009F23CB">
        <w:rPr>
          <w:rFonts w:cs="Times New Roman"/>
        </w:rPr>
        <w:t xml:space="preserve">, 2009 SCC 32, [2009] 2 S.C.R. 353: (1) the seriousness of the </w:t>
      </w:r>
      <w:r w:rsidRPr="009F23CB">
        <w:rPr>
          <w:rFonts w:cs="Times New Roman"/>
          <w:i/>
        </w:rPr>
        <w:t>Charter</w:t>
      </w:r>
      <w:r w:rsidRPr="009F23CB">
        <w:rPr>
          <w:rFonts w:cs="Times New Roman"/>
        </w:rPr>
        <w:t xml:space="preserve">-infringing state conduct; (2) the impact of the breach on the accused’s </w:t>
      </w:r>
      <w:r w:rsidRPr="009F23CB">
        <w:rPr>
          <w:rFonts w:cs="Times New Roman"/>
          <w:i/>
        </w:rPr>
        <w:t>Charter</w:t>
      </w:r>
      <w:r w:rsidRPr="009F23CB">
        <w:rPr>
          <w:rFonts w:cs="Times New Roman"/>
        </w:rPr>
        <w:t xml:space="preserve">-protected interests; and (3) society’s interest in the adjudication of the case on its merits (see </w:t>
      </w:r>
      <w:r w:rsidRPr="009F23CB">
        <w:rPr>
          <w:rFonts w:cs="Times New Roman"/>
          <w:i/>
        </w:rPr>
        <w:t>Grant</w:t>
      </w:r>
      <w:r w:rsidRPr="009F23CB">
        <w:rPr>
          <w:rFonts w:cs="Times New Roman"/>
        </w:rPr>
        <w:t xml:space="preserve">, at para. 71; see also </w:t>
      </w:r>
      <w:r w:rsidRPr="009F23CB">
        <w:rPr>
          <w:rFonts w:cs="Times New Roman"/>
          <w:i/>
        </w:rPr>
        <w:t>R. v. Le</w:t>
      </w:r>
      <w:r w:rsidRPr="009F23CB">
        <w:rPr>
          <w:rFonts w:cs="Times New Roman"/>
        </w:rPr>
        <w:t xml:space="preserve">, 2019 SCC 34, [2019] 2 S.C.R. 692, at paras. 139-42; </w:t>
      </w:r>
      <w:r w:rsidRPr="009F23CB">
        <w:rPr>
          <w:rFonts w:cs="Times New Roman"/>
          <w:i/>
        </w:rPr>
        <w:t>Tim</w:t>
      </w:r>
      <w:r w:rsidRPr="009F23CB">
        <w:rPr>
          <w:rFonts w:cs="Times New Roman"/>
        </w:rPr>
        <w:t xml:space="preserve">, at para. 74; </w:t>
      </w:r>
      <w:r w:rsidRPr="009F23CB">
        <w:rPr>
          <w:rFonts w:cs="Times New Roman"/>
          <w:i/>
        </w:rPr>
        <w:t>R. v. Lafrance</w:t>
      </w:r>
      <w:r w:rsidRPr="009F23CB">
        <w:rPr>
          <w:rFonts w:cs="Times New Roman"/>
        </w:rPr>
        <w:t>, 2022 SCC 32, at para. 90).</w:t>
      </w:r>
    </w:p>
    <w:p w14:paraId="2DC22546" w14:textId="77777777" w:rsidR="009F23CB" w:rsidRPr="009F23CB" w:rsidRDefault="009F23CB" w:rsidP="009F23CB">
      <w:pPr>
        <w:pStyle w:val="ParaNoNdepar-AltN"/>
        <w:rPr>
          <w:rFonts w:cs="Times New Roman"/>
        </w:rPr>
      </w:pPr>
      <w:r w:rsidRPr="009F23CB">
        <w:rPr>
          <w:rFonts w:cs="Times New Roman"/>
        </w:rPr>
        <w:t xml:space="preserve">Section 24(2) of the </w:t>
      </w:r>
      <w:r w:rsidRPr="009F23CB">
        <w:rPr>
          <w:rFonts w:cs="Times New Roman"/>
          <w:i/>
        </w:rPr>
        <w:t>Charter</w:t>
      </w:r>
      <w:r w:rsidRPr="009F23CB">
        <w:rPr>
          <w:rFonts w:cs="Times New Roman"/>
        </w:rPr>
        <w:t xml:space="preserve"> is not an automatic exclusionary rule precluding the admission of all unconstitutionally obtained evidence. Such evidence will only be excluded when the accused establishes that, having regard to all the circumstances, the admission of the evidence would bring the administration of justice into disrepute (see </w:t>
      </w:r>
      <w:r w:rsidRPr="009F23CB">
        <w:rPr>
          <w:rFonts w:cs="Times New Roman"/>
          <w:i/>
        </w:rPr>
        <w:t>R. v. Collins</w:t>
      </w:r>
      <w:r w:rsidRPr="009F23CB">
        <w:rPr>
          <w:rFonts w:cs="Times New Roman"/>
        </w:rPr>
        <w:t xml:space="preserve">, [1987] 1 S.C.R. 265, at p. 280; </w:t>
      </w:r>
      <w:r w:rsidRPr="009F23CB">
        <w:rPr>
          <w:rFonts w:cs="Times New Roman"/>
          <w:i/>
        </w:rPr>
        <w:t>Tim</w:t>
      </w:r>
      <w:r w:rsidRPr="009F23CB">
        <w:rPr>
          <w:rFonts w:cs="Times New Roman"/>
        </w:rPr>
        <w:t>, at para. 75). Balancing the relevant considerations under s. 24(2) is a qualitative determination that is not capable of mathematical precision (</w:t>
      </w:r>
      <w:r w:rsidRPr="009F23CB">
        <w:rPr>
          <w:rFonts w:eastAsiaTheme="minorHAnsi" w:cs="Times New Roman"/>
          <w:i/>
          <w:iCs/>
          <w:lang w:val="en-US" w:bidi="en-US"/>
        </w:rPr>
        <w:t>Grant</w:t>
      </w:r>
      <w:r w:rsidRPr="009F23CB">
        <w:rPr>
          <w:rFonts w:eastAsiaTheme="minorHAnsi" w:cs="Times New Roman"/>
          <w:lang w:val="en-US" w:bidi="en-US"/>
        </w:rPr>
        <w:t xml:space="preserve">, at paras. 86 and 140; </w:t>
      </w:r>
      <w:r w:rsidRPr="009F23CB">
        <w:rPr>
          <w:rFonts w:eastAsiaTheme="minorHAnsi" w:cs="Times New Roman"/>
          <w:i/>
          <w:lang w:val="en-US" w:bidi="en-US"/>
        </w:rPr>
        <w:t xml:space="preserve">R. v. </w:t>
      </w:r>
      <w:r w:rsidRPr="009F23CB">
        <w:rPr>
          <w:rFonts w:eastAsiaTheme="minorHAnsi" w:cs="Times New Roman"/>
          <w:i/>
          <w:iCs/>
          <w:lang w:val="en-US" w:bidi="en-US"/>
        </w:rPr>
        <w:t>Harrison</w:t>
      </w:r>
      <w:r w:rsidRPr="009F23CB">
        <w:rPr>
          <w:rFonts w:eastAsiaTheme="minorHAnsi" w:cs="Times New Roman"/>
          <w:lang w:val="en-US" w:bidi="en-US"/>
        </w:rPr>
        <w:t xml:space="preserve">, 2009 SCC 34, [2009] 2 S.C.R. 494, at para. 36; </w:t>
      </w:r>
      <w:r w:rsidRPr="009F23CB">
        <w:rPr>
          <w:rFonts w:eastAsiaTheme="minorHAnsi" w:cs="Times New Roman"/>
          <w:i/>
          <w:lang w:val="en-US" w:bidi="en-US"/>
        </w:rPr>
        <w:t>Tim</w:t>
      </w:r>
      <w:r w:rsidRPr="009F23CB">
        <w:rPr>
          <w:rFonts w:eastAsiaTheme="minorHAnsi" w:cs="Times New Roman"/>
          <w:lang w:val="en-US" w:bidi="en-US"/>
        </w:rPr>
        <w:t>, at para. 98).</w:t>
      </w:r>
    </w:p>
    <w:p w14:paraId="0C1CAB6D" w14:textId="77777777" w:rsidR="009F23CB" w:rsidRPr="009F23CB" w:rsidRDefault="009F23CB" w:rsidP="009F23CB">
      <w:pPr>
        <w:pStyle w:val="ParaNoNdepar-AltN"/>
        <w:rPr>
          <w:rFonts w:cs="Times New Roman"/>
        </w:rPr>
      </w:pPr>
      <w:r w:rsidRPr="009F23CB">
        <w:rPr>
          <w:rFonts w:cs="Times New Roman"/>
        </w:rPr>
        <w:t>On appeal, a trial judge’s findings of fact in applying s. 24(2) attract deference, but no deference is owed to the application of the law to the facts (</w:t>
      </w:r>
      <w:r w:rsidRPr="009F23CB">
        <w:rPr>
          <w:rFonts w:cs="Times New Roman"/>
          <w:i/>
        </w:rPr>
        <w:t>Grant</w:t>
      </w:r>
      <w:r w:rsidRPr="009F23CB">
        <w:rPr>
          <w:rFonts w:cs="Times New Roman"/>
        </w:rPr>
        <w:t xml:space="preserve">, at paras. 43 and 86; </w:t>
      </w:r>
      <w:r w:rsidRPr="009F23CB">
        <w:rPr>
          <w:rFonts w:cs="Times New Roman"/>
          <w:i/>
        </w:rPr>
        <w:t>Lafrance</w:t>
      </w:r>
      <w:r w:rsidRPr="009F23CB">
        <w:rPr>
          <w:rFonts w:cs="Times New Roman"/>
        </w:rPr>
        <w:t xml:space="preserve">, at para. 91). Deference is also not owed when the appellate court disagrees with the trial judge’s conclusions on the </w:t>
      </w:r>
      <w:r w:rsidRPr="009F23CB">
        <w:rPr>
          <w:rFonts w:cs="Times New Roman"/>
          <w:i/>
        </w:rPr>
        <w:t>Charter</w:t>
      </w:r>
      <w:r w:rsidRPr="009F23CB">
        <w:rPr>
          <w:rFonts w:cs="Times New Roman"/>
        </w:rPr>
        <w:t xml:space="preserve"> breaches (</w:t>
      </w:r>
      <w:r w:rsidRPr="009F23CB">
        <w:rPr>
          <w:rFonts w:cs="Times New Roman"/>
          <w:i/>
        </w:rPr>
        <w:t>Grant</w:t>
      </w:r>
      <w:r w:rsidRPr="009F23CB">
        <w:rPr>
          <w:rFonts w:cs="Times New Roman"/>
        </w:rPr>
        <w:t xml:space="preserve">, at para. 129; </w:t>
      </w:r>
      <w:r w:rsidRPr="009F23CB">
        <w:rPr>
          <w:rFonts w:cs="Times New Roman"/>
          <w:i/>
        </w:rPr>
        <w:t>Lafrance</w:t>
      </w:r>
      <w:r w:rsidRPr="009F23CB">
        <w:rPr>
          <w:rFonts w:cs="Times New Roman"/>
        </w:rPr>
        <w:t xml:space="preserve">, at para. 91). Nor is deference owed to a trial judge’s s. 24(2) analysis conducted in the alternative, because such an analysis involves an artificial evaluation of the seriousness of a </w:t>
      </w:r>
      <w:r w:rsidRPr="009F23CB">
        <w:rPr>
          <w:rFonts w:cs="Times New Roman"/>
          <w:i/>
        </w:rPr>
        <w:t>Charter</w:t>
      </w:r>
      <w:r w:rsidRPr="009F23CB">
        <w:rPr>
          <w:rFonts w:cs="Times New Roman"/>
        </w:rPr>
        <w:t xml:space="preserve"> breach and the impact on </w:t>
      </w:r>
      <w:r w:rsidRPr="009F23CB">
        <w:rPr>
          <w:rFonts w:cs="Times New Roman"/>
          <w:i/>
        </w:rPr>
        <w:t>Charter</w:t>
      </w:r>
      <w:r w:rsidRPr="009F23CB">
        <w:rPr>
          <w:rFonts w:cs="Times New Roman"/>
        </w:rPr>
        <w:t>-protected interests that the trial judge did not find (</w:t>
      </w:r>
      <w:r w:rsidRPr="009F23CB">
        <w:rPr>
          <w:rFonts w:cs="Times New Roman"/>
          <w:i/>
        </w:rPr>
        <w:t>Grant</w:t>
      </w:r>
      <w:r w:rsidRPr="009F23CB">
        <w:rPr>
          <w:rFonts w:cs="Times New Roman"/>
        </w:rPr>
        <w:t>,</w:t>
      </w:r>
      <w:r w:rsidRPr="009F23CB">
        <w:rPr>
          <w:rFonts w:cs="Times New Roman"/>
          <w:i/>
        </w:rPr>
        <w:t xml:space="preserve"> </w:t>
      </w:r>
      <w:r w:rsidRPr="009F23CB">
        <w:rPr>
          <w:rFonts w:cs="Times New Roman"/>
        </w:rPr>
        <w:t xml:space="preserve">at para. 129; </w:t>
      </w:r>
      <w:r w:rsidRPr="009F23CB">
        <w:rPr>
          <w:rFonts w:cs="Times New Roman"/>
          <w:i/>
        </w:rPr>
        <w:t>R. v. Paterson</w:t>
      </w:r>
      <w:r w:rsidRPr="009F23CB">
        <w:rPr>
          <w:rFonts w:cs="Times New Roman"/>
        </w:rPr>
        <w:t xml:space="preserve">, 2017 SCC 15, [2017] 1 S.C.R. 202, at para. 42; </w:t>
      </w:r>
      <w:r w:rsidRPr="009F23CB">
        <w:rPr>
          <w:rFonts w:cs="Times New Roman"/>
          <w:i/>
        </w:rPr>
        <w:t>Le</w:t>
      </w:r>
      <w:r w:rsidRPr="009F23CB">
        <w:rPr>
          <w:rFonts w:cs="Times New Roman"/>
        </w:rPr>
        <w:t xml:space="preserve">, at para. 138; </w:t>
      </w:r>
      <w:r w:rsidRPr="009F23CB">
        <w:rPr>
          <w:rFonts w:cs="Times New Roman"/>
          <w:i/>
        </w:rPr>
        <w:t>Tim</w:t>
      </w:r>
      <w:r w:rsidRPr="009F23CB">
        <w:rPr>
          <w:rFonts w:cs="Times New Roman"/>
        </w:rPr>
        <w:t xml:space="preserve">, at para. 72; </w:t>
      </w:r>
      <w:r w:rsidRPr="009F23CB">
        <w:rPr>
          <w:rFonts w:cs="Times New Roman"/>
          <w:i/>
        </w:rPr>
        <w:t>Lafrance</w:t>
      </w:r>
      <w:r w:rsidRPr="009F23CB">
        <w:rPr>
          <w:rFonts w:cs="Times New Roman"/>
        </w:rPr>
        <w:t>,</w:t>
      </w:r>
      <w:r w:rsidRPr="009F23CB">
        <w:rPr>
          <w:rFonts w:cs="Times New Roman"/>
          <w:i/>
        </w:rPr>
        <w:t xml:space="preserve"> </w:t>
      </w:r>
      <w:r w:rsidRPr="009F23CB">
        <w:rPr>
          <w:rFonts w:cs="Times New Roman"/>
        </w:rPr>
        <w:t xml:space="preserve">at para. 91; </w:t>
      </w:r>
      <w:r w:rsidRPr="009F23CB">
        <w:rPr>
          <w:rFonts w:cs="Times New Roman"/>
          <w:i/>
        </w:rPr>
        <w:t>R. v. G.T.D.</w:t>
      </w:r>
      <w:r w:rsidRPr="009F23CB">
        <w:rPr>
          <w:rFonts w:cs="Times New Roman"/>
        </w:rPr>
        <w:t xml:space="preserve">, 2017 ABCA 274, 57 Alta. L.R. (6th) 213, at para. 51, per Veldhuis J.A., dissenting, appeal allowed substantially for the reasons of Veldhuis J.A., 2018 SCC 7, [2018] 1 S.C.R. 220, at para. 3). Similarly, no deference is owed to a trial judge’s s. 24(2) analysis conducted in the alternative when the trial judge found that the impugned evidence was not “obtained in a manner” that breached the </w:t>
      </w:r>
      <w:r w:rsidRPr="009F23CB">
        <w:rPr>
          <w:rFonts w:cs="Times New Roman"/>
          <w:i/>
        </w:rPr>
        <w:t>Charter</w:t>
      </w:r>
      <w:r w:rsidRPr="009F23CB">
        <w:rPr>
          <w:rFonts w:cs="Times New Roman"/>
        </w:rPr>
        <w:t xml:space="preserve">. Such an alternative analysis likewise involves an artificial evaluation of the seriousness of a </w:t>
      </w:r>
      <w:r w:rsidRPr="009F23CB">
        <w:rPr>
          <w:rFonts w:cs="Times New Roman"/>
          <w:i/>
        </w:rPr>
        <w:t>Charter</w:t>
      </w:r>
      <w:r w:rsidRPr="009F23CB">
        <w:rPr>
          <w:rFonts w:cs="Times New Roman"/>
        </w:rPr>
        <w:t xml:space="preserve"> breach and its impact on </w:t>
      </w:r>
      <w:r w:rsidRPr="009F23CB">
        <w:rPr>
          <w:rFonts w:cs="Times New Roman"/>
          <w:i/>
        </w:rPr>
        <w:t>Charter</w:t>
      </w:r>
      <w:r w:rsidRPr="009F23CB">
        <w:rPr>
          <w:rFonts w:cs="Times New Roman"/>
        </w:rPr>
        <w:t>-protected interests that the trial judge found were unconnected to the impugned evidence.</w:t>
      </w:r>
    </w:p>
    <w:p w14:paraId="42E92287" w14:textId="77777777" w:rsidR="009F23CB" w:rsidRPr="009F23CB" w:rsidRDefault="009F23CB" w:rsidP="009F23CB">
      <w:pPr>
        <w:pStyle w:val="ParaNoNdepar-AltN"/>
        <w:rPr>
          <w:rFonts w:cs="Times New Roman"/>
        </w:rPr>
      </w:pPr>
      <w:r w:rsidRPr="009F23CB">
        <w:rPr>
          <w:rFonts w:cs="Times New Roman"/>
        </w:rPr>
        <w:t>As a result, no deference is owed to the trial judge’s alternative analysis of the threshold requirement under s. 24(2). This Court must conduct the s. 24(2) analysis afresh, while respecting the trial judge’s factual findings.</w:t>
      </w:r>
    </w:p>
    <w:p w14:paraId="04DE7C26" w14:textId="77777777" w:rsidR="009F23CB" w:rsidRPr="009F23CB" w:rsidRDefault="009F23CB" w:rsidP="009F23CB">
      <w:pPr>
        <w:pStyle w:val="Title4LevelTitre4Niveau"/>
        <w:jc w:val="both"/>
        <w:rPr>
          <w:rFonts w:cs="Times New Roman"/>
        </w:rPr>
      </w:pPr>
      <w:bookmarkStart w:id="92" w:name="_Toc109915236"/>
      <w:r w:rsidRPr="009F23CB">
        <w:rPr>
          <w:rFonts w:cs="Times New Roman"/>
        </w:rPr>
        <w:t>The Seriousness of the Charter-Infringing State Conduct</w:t>
      </w:r>
      <w:bookmarkEnd w:id="92"/>
    </w:p>
    <w:p w14:paraId="664D6EE1" w14:textId="77777777" w:rsidR="009F23CB" w:rsidRPr="009F23CB" w:rsidRDefault="009F23CB" w:rsidP="009F23CB">
      <w:pPr>
        <w:pStyle w:val="ParaNoNdepar-AltN"/>
        <w:rPr>
          <w:rFonts w:cs="Times New Roman"/>
        </w:rPr>
      </w:pPr>
      <w:r w:rsidRPr="009F23CB">
        <w:rPr>
          <w:rFonts w:cs="Times New Roman"/>
        </w:rPr>
        <w:t xml:space="preserve">The first line of inquiry under s. 24(2) considers whether the </w:t>
      </w:r>
      <w:r w:rsidRPr="009F23CB">
        <w:rPr>
          <w:rFonts w:cs="Times New Roman"/>
          <w:i/>
        </w:rPr>
        <w:t>Charter</w:t>
      </w:r>
      <w:r w:rsidRPr="009F23CB">
        <w:rPr>
          <w:rFonts w:cs="Times New Roman"/>
        </w:rPr>
        <w:noBreakHyphen/>
        <w:t xml:space="preserve">infringing state conduct is so serious that the court needs to dissociate itself from it. </w:t>
      </w:r>
      <w:r w:rsidRPr="009F23CB">
        <w:rPr>
          <w:rFonts w:cs="Times New Roman"/>
          <w:szCs w:val="24"/>
        </w:rPr>
        <w:t xml:space="preserve">This inquiry requires the court to situate the </w:t>
      </w:r>
      <w:r w:rsidRPr="009F23CB">
        <w:rPr>
          <w:rFonts w:cs="Times New Roman"/>
          <w:i/>
          <w:szCs w:val="24"/>
        </w:rPr>
        <w:t>Charter</w:t>
      </w:r>
      <w:r w:rsidRPr="009F23CB">
        <w:rPr>
          <w:rFonts w:cs="Times New Roman"/>
          <w:szCs w:val="24"/>
        </w:rPr>
        <w:t xml:space="preserve">-infringing conduct on a scale of culpability. At one end of the scale is conduct that constitutes a wilful or reckless disregard of </w:t>
      </w:r>
      <w:r w:rsidRPr="009F23CB">
        <w:rPr>
          <w:rFonts w:cs="Times New Roman"/>
          <w:i/>
          <w:szCs w:val="24"/>
        </w:rPr>
        <w:t>Charter</w:t>
      </w:r>
      <w:r w:rsidRPr="009F23CB">
        <w:rPr>
          <w:rFonts w:cs="Times New Roman"/>
          <w:szCs w:val="24"/>
        </w:rPr>
        <w:t xml:space="preserve"> rights, a systemic pattern of </w:t>
      </w:r>
      <w:r w:rsidRPr="009F23CB">
        <w:rPr>
          <w:rFonts w:cs="Times New Roman"/>
          <w:i/>
          <w:szCs w:val="24"/>
        </w:rPr>
        <w:t>Charter-</w:t>
      </w:r>
      <w:r w:rsidRPr="009F23CB">
        <w:rPr>
          <w:rFonts w:cs="Times New Roman"/>
          <w:szCs w:val="24"/>
        </w:rPr>
        <w:t xml:space="preserve">infringing conduct, or a major departure from </w:t>
      </w:r>
      <w:r w:rsidRPr="009F23CB">
        <w:rPr>
          <w:rFonts w:cs="Times New Roman"/>
          <w:i/>
          <w:szCs w:val="24"/>
        </w:rPr>
        <w:t>Charter</w:t>
      </w:r>
      <w:r w:rsidRPr="009F23CB">
        <w:rPr>
          <w:rFonts w:cs="Times New Roman"/>
          <w:szCs w:val="24"/>
        </w:rPr>
        <w:t xml:space="preserve"> standards. At the other end of the scale are less serious </w:t>
      </w:r>
      <w:r w:rsidRPr="009F23CB">
        <w:rPr>
          <w:rFonts w:cs="Times New Roman"/>
          <w:i/>
          <w:szCs w:val="24"/>
        </w:rPr>
        <w:t>Charter</w:t>
      </w:r>
      <w:r w:rsidRPr="009F23CB">
        <w:rPr>
          <w:rFonts w:cs="Times New Roman"/>
          <w:szCs w:val="24"/>
        </w:rPr>
        <w:t xml:space="preserve"> breaches, including breaches that are inadvertent, technical, or minor or those that reflect an understandable mistake. </w:t>
      </w:r>
      <w:r w:rsidRPr="009F23CB">
        <w:rPr>
          <w:rFonts w:cs="Times New Roman"/>
        </w:rPr>
        <w:t xml:space="preserve">The more severe the state’s </w:t>
      </w:r>
      <w:r w:rsidRPr="009F23CB">
        <w:rPr>
          <w:rFonts w:cs="Times New Roman"/>
          <w:i/>
        </w:rPr>
        <w:t>Charter</w:t>
      </w:r>
      <w:r w:rsidRPr="009F23CB">
        <w:rPr>
          <w:rFonts w:cs="Times New Roman"/>
        </w:rPr>
        <w:noBreakHyphen/>
        <w:t xml:space="preserve">infringing conduct, the greater the need for courts to disassociate themselves from it </w:t>
      </w:r>
      <w:r w:rsidRPr="009F23CB">
        <w:rPr>
          <w:rFonts w:cs="Times New Roman"/>
          <w:szCs w:val="24"/>
        </w:rPr>
        <w:t xml:space="preserve">(see </w:t>
      </w:r>
      <w:r w:rsidRPr="009F23CB">
        <w:rPr>
          <w:rFonts w:cs="Times New Roman"/>
          <w:i/>
          <w:szCs w:val="24"/>
        </w:rPr>
        <w:t>Grant</w:t>
      </w:r>
      <w:r w:rsidRPr="009F23CB">
        <w:rPr>
          <w:rFonts w:cs="Times New Roman"/>
          <w:szCs w:val="24"/>
        </w:rPr>
        <w:t xml:space="preserve">, at paras. 72-74; </w:t>
      </w:r>
      <w:r w:rsidRPr="009F23CB">
        <w:rPr>
          <w:rFonts w:cs="Times New Roman"/>
          <w:i/>
          <w:szCs w:val="24"/>
        </w:rPr>
        <w:t>Le</w:t>
      </w:r>
      <w:r w:rsidRPr="009F23CB">
        <w:rPr>
          <w:rFonts w:cs="Times New Roman"/>
          <w:szCs w:val="24"/>
        </w:rPr>
        <w:t xml:space="preserve">, at para. 143; </w:t>
      </w:r>
      <w:r w:rsidRPr="009F23CB">
        <w:rPr>
          <w:rFonts w:cs="Times New Roman"/>
          <w:i/>
          <w:szCs w:val="24"/>
        </w:rPr>
        <w:t>Harrison</w:t>
      </w:r>
      <w:r w:rsidRPr="009F23CB">
        <w:rPr>
          <w:rFonts w:cs="Times New Roman"/>
          <w:szCs w:val="24"/>
        </w:rPr>
        <w:t xml:space="preserve">, at para. 22; </w:t>
      </w:r>
      <w:r w:rsidRPr="009F23CB">
        <w:rPr>
          <w:rFonts w:cs="Times New Roman"/>
          <w:i/>
          <w:szCs w:val="24"/>
        </w:rPr>
        <w:t xml:space="preserve">R. v. </w:t>
      </w:r>
      <w:r w:rsidRPr="009F23CB">
        <w:rPr>
          <w:rFonts w:cs="Times New Roman"/>
          <w:i/>
        </w:rPr>
        <w:t>Côté</w:t>
      </w:r>
      <w:r w:rsidRPr="009F23CB">
        <w:rPr>
          <w:rFonts w:cs="Times New Roman"/>
        </w:rPr>
        <w:t>, 2011 SCC 46, [2011] 3 S.C.R. 215, at para. 47;</w:t>
      </w:r>
      <w:r w:rsidRPr="009F23CB">
        <w:rPr>
          <w:rFonts w:cs="Times New Roman"/>
          <w:i/>
          <w:szCs w:val="24"/>
        </w:rPr>
        <w:t xml:space="preserve"> Tim</w:t>
      </w:r>
      <w:r w:rsidRPr="009F23CB">
        <w:rPr>
          <w:rFonts w:cs="Times New Roman"/>
          <w:szCs w:val="24"/>
        </w:rPr>
        <w:t xml:space="preserve">, at para. 82; </w:t>
      </w:r>
      <w:r w:rsidRPr="009F23CB">
        <w:rPr>
          <w:rFonts w:cs="Times New Roman"/>
          <w:i/>
          <w:szCs w:val="24"/>
        </w:rPr>
        <w:t>Lafrance</w:t>
      </w:r>
      <w:r w:rsidRPr="009F23CB">
        <w:rPr>
          <w:rFonts w:cs="Times New Roman"/>
          <w:szCs w:val="24"/>
        </w:rPr>
        <w:t>, at para. 93).</w:t>
      </w:r>
    </w:p>
    <w:p w14:paraId="43A3ACF7" w14:textId="77777777" w:rsidR="009F23CB" w:rsidRPr="009F23CB" w:rsidRDefault="009F23CB" w:rsidP="009F23CB">
      <w:pPr>
        <w:pStyle w:val="ParaNoNdepar-AltN"/>
        <w:rPr>
          <w:rFonts w:cs="Times New Roman"/>
        </w:rPr>
      </w:pPr>
      <w:r w:rsidRPr="009F23CB">
        <w:rPr>
          <w:rFonts w:cs="Times New Roman"/>
        </w:rPr>
        <w:t xml:space="preserve">The breaches of Beaver’s ss. 9, 10(a), and 10(b) </w:t>
      </w:r>
      <w:r w:rsidRPr="009F23CB">
        <w:rPr>
          <w:rFonts w:cs="Times New Roman"/>
          <w:i/>
        </w:rPr>
        <w:t>Charter</w:t>
      </w:r>
      <w:r w:rsidRPr="009F23CB">
        <w:rPr>
          <w:rFonts w:cs="Times New Roman"/>
        </w:rPr>
        <w:t xml:space="preserve"> rights arising from his unlawful detention were serious. Sgt. Lines directed Beaver’s detention under non</w:t>
      </w:r>
      <w:r w:rsidRPr="009F23CB">
        <w:rPr>
          <w:rFonts w:cs="Times New Roman"/>
        </w:rPr>
        <w:noBreakHyphen/>
        <w:t xml:space="preserve">existent legislation, the </w:t>
      </w:r>
      <w:r w:rsidRPr="009F23CB">
        <w:rPr>
          <w:rFonts w:cs="Times New Roman"/>
          <w:i/>
        </w:rPr>
        <w:t>Medical Examiners Act</w:t>
      </w:r>
      <w:r w:rsidRPr="009F23CB">
        <w:rPr>
          <w:rFonts w:cs="Times New Roman"/>
        </w:rPr>
        <w:t xml:space="preserve">. This involved a reckless disregard for Beaver’s </w:t>
      </w:r>
      <w:r w:rsidRPr="009F23CB">
        <w:rPr>
          <w:rFonts w:cs="Times New Roman"/>
          <w:i/>
        </w:rPr>
        <w:t>Charter</w:t>
      </w:r>
      <w:r w:rsidRPr="009F23CB">
        <w:rPr>
          <w:rFonts w:cs="Times New Roman"/>
        </w:rPr>
        <w:t xml:space="preserve"> rights and a significant departure from </w:t>
      </w:r>
      <w:r w:rsidRPr="009F23CB">
        <w:rPr>
          <w:rFonts w:cs="Times New Roman"/>
          <w:i/>
        </w:rPr>
        <w:t>Charter</w:t>
      </w:r>
      <w:r w:rsidRPr="009F23CB">
        <w:rPr>
          <w:rFonts w:cs="Times New Roman"/>
        </w:rPr>
        <w:t xml:space="preserve"> standards. As a member of the Calgary Police Service with 17 years’ experience, Sgt. Lines should have known that the </w:t>
      </w:r>
      <w:r w:rsidRPr="009F23CB">
        <w:rPr>
          <w:rFonts w:cs="Times New Roman"/>
          <w:i/>
        </w:rPr>
        <w:t>Medical Examiners Act</w:t>
      </w:r>
      <w:r w:rsidRPr="009F23CB">
        <w:rPr>
          <w:rFonts w:cs="Times New Roman"/>
        </w:rPr>
        <w:t xml:space="preserve"> did not exist and that he did not have the authority to detain Beaver at that point. Sgt. Lines’ direction was not an “understandable mistake”, nor was it a mistake made in “good faith”. Instead, as the trial judge found, Sgt. Lines made the direction because “he was looking for a way to maintain control over Mr. Beaver . . ., but was not sure exactly how to do it” (ABQB </w:t>
      </w:r>
      <w:r w:rsidRPr="009F23CB">
        <w:rPr>
          <w:rFonts w:cs="Times New Roman"/>
          <w:i/>
        </w:rPr>
        <w:t>voir dire</w:t>
      </w:r>
      <w:r w:rsidRPr="009F23CB">
        <w:rPr>
          <w:rFonts w:cs="Times New Roman"/>
        </w:rPr>
        <w:t xml:space="preserve"> reasons, at para. 230). This was a serious </w:t>
      </w:r>
      <w:r w:rsidRPr="009F23CB">
        <w:rPr>
          <w:rFonts w:cs="Times New Roman"/>
          <w:i/>
        </w:rPr>
        <w:t xml:space="preserve">Charter </w:t>
      </w:r>
      <w:r w:rsidRPr="009F23CB">
        <w:rPr>
          <w:rFonts w:cs="Times New Roman"/>
        </w:rPr>
        <w:t>violation involving an inappropriate and unjustified overreach of police powers.</w:t>
      </w:r>
    </w:p>
    <w:p w14:paraId="792F69E7" w14:textId="77777777" w:rsidR="009F23CB" w:rsidRPr="009F23CB" w:rsidRDefault="009F23CB" w:rsidP="009F23CB">
      <w:pPr>
        <w:pStyle w:val="ParaNoNdepar-AltN"/>
        <w:rPr>
          <w:rFonts w:cs="Times New Roman"/>
        </w:rPr>
      </w:pPr>
      <w:r w:rsidRPr="009F23CB">
        <w:rPr>
          <w:rFonts w:cs="Times New Roman"/>
        </w:rPr>
        <w:t>The first line of inquiry strongly favours exclusion of Beaver’s confession.</w:t>
      </w:r>
    </w:p>
    <w:p w14:paraId="2AFEAB85" w14:textId="77777777" w:rsidR="009F23CB" w:rsidRPr="009F23CB" w:rsidRDefault="009F23CB" w:rsidP="009F23CB">
      <w:pPr>
        <w:pStyle w:val="Title4LevelTitre4Niveau"/>
        <w:jc w:val="both"/>
        <w:rPr>
          <w:rFonts w:cs="Times New Roman"/>
        </w:rPr>
      </w:pPr>
      <w:bookmarkStart w:id="93" w:name="_Toc109915237"/>
      <w:r w:rsidRPr="009F23CB">
        <w:rPr>
          <w:rFonts w:cs="Times New Roman"/>
        </w:rPr>
        <w:t>The Impact of the Breach on the Accused’s Charter-Protected Interests</w:t>
      </w:r>
      <w:bookmarkEnd w:id="93"/>
    </w:p>
    <w:p w14:paraId="0706D6AD" w14:textId="77777777" w:rsidR="009F23CB" w:rsidRPr="009F23CB" w:rsidRDefault="009F23CB" w:rsidP="009F23CB">
      <w:pPr>
        <w:pStyle w:val="ParaNoNdepar-AltN"/>
        <w:rPr>
          <w:rFonts w:cs="Times New Roman"/>
        </w:rPr>
      </w:pPr>
      <w:r w:rsidRPr="009F23CB">
        <w:rPr>
          <w:rFonts w:cs="Times New Roman"/>
        </w:rPr>
        <w:t xml:space="preserve">The second line of inquiry under s. 24(2) considers the impact of the </w:t>
      </w:r>
      <w:r w:rsidRPr="009F23CB">
        <w:rPr>
          <w:rFonts w:cs="Times New Roman"/>
          <w:i/>
        </w:rPr>
        <w:t>Charter</w:t>
      </w:r>
      <w:r w:rsidRPr="009F23CB">
        <w:rPr>
          <w:rFonts w:cs="Times New Roman"/>
        </w:rPr>
        <w:t xml:space="preserve"> breach on the accused’s </w:t>
      </w:r>
      <w:r w:rsidRPr="009F23CB">
        <w:rPr>
          <w:rFonts w:cs="Times New Roman"/>
          <w:i/>
        </w:rPr>
        <w:t>Charter</w:t>
      </w:r>
      <w:r w:rsidRPr="009F23CB">
        <w:rPr>
          <w:rFonts w:cs="Times New Roman"/>
        </w:rPr>
        <w:t xml:space="preserve">-protected interests. This inquiry involves identifying the interests protected by the relevant </w:t>
      </w:r>
      <w:r w:rsidRPr="009F23CB">
        <w:rPr>
          <w:rFonts w:cs="Times New Roman"/>
          <w:i/>
        </w:rPr>
        <w:t>Charter</w:t>
      </w:r>
      <w:r w:rsidRPr="009F23CB">
        <w:rPr>
          <w:rFonts w:cs="Times New Roman"/>
        </w:rPr>
        <w:t xml:space="preserve"> right and evaluating the extent to which the </w:t>
      </w:r>
      <w:r w:rsidRPr="009F23CB">
        <w:rPr>
          <w:rFonts w:cs="Times New Roman"/>
          <w:i/>
        </w:rPr>
        <w:t xml:space="preserve">Charter </w:t>
      </w:r>
      <w:r w:rsidRPr="009F23CB">
        <w:rPr>
          <w:rFonts w:cs="Times New Roman"/>
        </w:rPr>
        <w:t>breach “actually undermined the interests protected by the right” (</w:t>
      </w:r>
      <w:r w:rsidRPr="009F23CB">
        <w:rPr>
          <w:rFonts w:cs="Times New Roman"/>
          <w:i/>
        </w:rPr>
        <w:t>Grant</w:t>
      </w:r>
      <w:r w:rsidRPr="009F23CB">
        <w:rPr>
          <w:rFonts w:cs="Times New Roman"/>
        </w:rPr>
        <w:t>, at para. 76).</w:t>
      </w:r>
      <w:r w:rsidRPr="009F23CB">
        <w:rPr>
          <w:rFonts w:cs="Times New Roman"/>
          <w:i/>
        </w:rPr>
        <w:t xml:space="preserve"> </w:t>
      </w:r>
      <w:r w:rsidRPr="009F23CB">
        <w:rPr>
          <w:rFonts w:cs="Times New Roman"/>
        </w:rPr>
        <w:t xml:space="preserve">As with the first line of inquiry, the court must situate this impact on a spectrum. The greater the impact on the accused’s </w:t>
      </w:r>
      <w:r w:rsidRPr="009F23CB">
        <w:rPr>
          <w:rFonts w:cs="Times New Roman"/>
          <w:i/>
        </w:rPr>
        <w:t>Charter</w:t>
      </w:r>
      <w:r w:rsidRPr="009F23CB">
        <w:rPr>
          <w:rFonts w:cs="Times New Roman"/>
        </w:rPr>
        <w:t xml:space="preserve">-protected interests, the greater the risk that admission of the evidence would suggest that </w:t>
      </w:r>
      <w:r w:rsidRPr="009F23CB">
        <w:rPr>
          <w:rFonts w:cs="Times New Roman"/>
          <w:i/>
        </w:rPr>
        <w:t>Charter</w:t>
      </w:r>
      <w:r w:rsidRPr="009F23CB">
        <w:rPr>
          <w:rFonts w:cs="Times New Roman"/>
        </w:rPr>
        <w:t xml:space="preserve"> rights are of little actual avail to citizens, thus breeding public cynicism and bringing the administration of justice into disrepute (see </w:t>
      </w:r>
      <w:r w:rsidRPr="009F23CB">
        <w:rPr>
          <w:rFonts w:cs="Times New Roman"/>
          <w:i/>
        </w:rPr>
        <w:t>Grant</w:t>
      </w:r>
      <w:r w:rsidRPr="009F23CB">
        <w:rPr>
          <w:rFonts w:cs="Times New Roman"/>
        </w:rPr>
        <w:t xml:space="preserve">, at paras. 76-77; </w:t>
      </w:r>
      <w:r w:rsidRPr="009F23CB">
        <w:rPr>
          <w:rFonts w:cs="Times New Roman"/>
          <w:i/>
        </w:rPr>
        <w:t>Le</w:t>
      </w:r>
      <w:r w:rsidRPr="009F23CB">
        <w:rPr>
          <w:rFonts w:cs="Times New Roman"/>
        </w:rPr>
        <w:t xml:space="preserve">, at para. 151; </w:t>
      </w:r>
      <w:r w:rsidRPr="009F23CB">
        <w:rPr>
          <w:rFonts w:cs="Times New Roman"/>
          <w:i/>
        </w:rPr>
        <w:t>Tim</w:t>
      </w:r>
      <w:r w:rsidRPr="009F23CB">
        <w:rPr>
          <w:rFonts w:cs="Times New Roman"/>
        </w:rPr>
        <w:t xml:space="preserve">, at para. 90; </w:t>
      </w:r>
      <w:r w:rsidRPr="009F23CB">
        <w:rPr>
          <w:rFonts w:cs="Times New Roman"/>
          <w:i/>
        </w:rPr>
        <w:t>Lafrance</w:t>
      </w:r>
      <w:r w:rsidRPr="009F23CB">
        <w:rPr>
          <w:rFonts w:cs="Times New Roman"/>
        </w:rPr>
        <w:t>, at para. 96).</w:t>
      </w:r>
    </w:p>
    <w:p w14:paraId="2C6657A8" w14:textId="77777777" w:rsidR="009F23CB" w:rsidRPr="009F23CB" w:rsidRDefault="009F23CB" w:rsidP="009F23CB">
      <w:pPr>
        <w:pStyle w:val="ParaNoNdepar-AltN"/>
        <w:rPr>
          <w:rFonts w:cs="Times New Roman"/>
        </w:rPr>
      </w:pPr>
      <w:r w:rsidRPr="009F23CB">
        <w:rPr>
          <w:rFonts w:cs="Times New Roman"/>
        </w:rPr>
        <w:t xml:space="preserve">Three factors indicate that the </w:t>
      </w:r>
      <w:r w:rsidRPr="009F23CB">
        <w:rPr>
          <w:rFonts w:cs="Times New Roman"/>
          <w:i/>
        </w:rPr>
        <w:t>Charter</w:t>
      </w:r>
      <w:r w:rsidRPr="009F23CB">
        <w:rPr>
          <w:rFonts w:cs="Times New Roman"/>
        </w:rPr>
        <w:t xml:space="preserve"> breaches arising from Beaver’s unlawful detention had only minimal impact on his </w:t>
      </w:r>
      <w:r w:rsidRPr="009F23CB">
        <w:rPr>
          <w:rFonts w:cs="Times New Roman"/>
          <w:i/>
        </w:rPr>
        <w:t>Charter</w:t>
      </w:r>
      <w:r w:rsidRPr="009F23CB">
        <w:rPr>
          <w:rFonts w:cs="Times New Roman"/>
        </w:rPr>
        <w:t>-protected interests.</w:t>
      </w:r>
    </w:p>
    <w:p w14:paraId="6D3D9355" w14:textId="77777777" w:rsidR="009F23CB" w:rsidRPr="009F23CB" w:rsidRDefault="009F23CB" w:rsidP="009F23CB">
      <w:pPr>
        <w:pStyle w:val="ParaNoNdepar-AltN"/>
        <w:rPr>
          <w:rFonts w:cs="Times New Roman"/>
        </w:rPr>
      </w:pPr>
      <w:r w:rsidRPr="009F23CB">
        <w:rPr>
          <w:rFonts w:cs="Times New Roman"/>
        </w:rPr>
        <w:t xml:space="preserve">First, and most importantly, Beaver’s decision to confess was not caused by the </w:t>
      </w:r>
      <w:r w:rsidRPr="009F23CB">
        <w:rPr>
          <w:rFonts w:cs="Times New Roman"/>
          <w:i/>
        </w:rPr>
        <w:t xml:space="preserve">Charter </w:t>
      </w:r>
      <w:r w:rsidRPr="009F23CB">
        <w:rPr>
          <w:rFonts w:cs="Times New Roman"/>
        </w:rPr>
        <w:t xml:space="preserve">breaches arising from his unlawful detention. In appropriate cases, the lack of a causal connection between the breaches and the obtaining of the impugned evidence may mitigate the impact of the breach on the accused’s </w:t>
      </w:r>
      <w:r w:rsidRPr="009F23CB">
        <w:rPr>
          <w:rFonts w:cs="Times New Roman"/>
          <w:i/>
        </w:rPr>
        <w:t>Charter</w:t>
      </w:r>
      <w:r w:rsidRPr="009F23CB">
        <w:rPr>
          <w:rFonts w:cs="Times New Roman"/>
        </w:rPr>
        <w:t>-protected interests (</w:t>
      </w:r>
      <w:r w:rsidRPr="009F23CB">
        <w:rPr>
          <w:rFonts w:cs="Times New Roman"/>
          <w:i/>
        </w:rPr>
        <w:t>Grant</w:t>
      </w:r>
      <w:r w:rsidRPr="009F23CB">
        <w:rPr>
          <w:rFonts w:cs="Times New Roman"/>
        </w:rPr>
        <w:t xml:space="preserve">, at para. 122; </w:t>
      </w:r>
      <w:r w:rsidRPr="009F23CB">
        <w:rPr>
          <w:rFonts w:cs="Times New Roman"/>
          <w:i/>
        </w:rPr>
        <w:t>R. v. Mian</w:t>
      </w:r>
      <w:r w:rsidRPr="009F23CB">
        <w:rPr>
          <w:rFonts w:cs="Times New Roman"/>
        </w:rPr>
        <w:t>,</w:t>
      </w:r>
      <w:r w:rsidRPr="009F23CB">
        <w:rPr>
          <w:rFonts w:cs="Times New Roman"/>
          <w:i/>
        </w:rPr>
        <w:t xml:space="preserve"> </w:t>
      </w:r>
      <w:r w:rsidRPr="009F23CB">
        <w:rPr>
          <w:rFonts w:cs="Times New Roman"/>
        </w:rPr>
        <w:t>2014 SCC 54, [2014] 2 S.C.R. 689,</w:t>
      </w:r>
      <w:r w:rsidRPr="009F23CB">
        <w:rPr>
          <w:rFonts w:cs="Times New Roman"/>
          <w:i/>
        </w:rPr>
        <w:t xml:space="preserve"> </w:t>
      </w:r>
      <w:r w:rsidRPr="009F23CB">
        <w:rPr>
          <w:rFonts w:cs="Times New Roman"/>
        </w:rPr>
        <w:t>at para. 87;</w:t>
      </w:r>
      <w:r w:rsidRPr="009F23CB">
        <w:rPr>
          <w:rFonts w:cs="Times New Roman"/>
          <w:i/>
        </w:rPr>
        <w:t xml:space="preserve"> R. v. Rover</w:t>
      </w:r>
      <w:r w:rsidRPr="009F23CB">
        <w:rPr>
          <w:rFonts w:cs="Times New Roman"/>
        </w:rPr>
        <w:t>,</w:t>
      </w:r>
      <w:r w:rsidRPr="009F23CB">
        <w:rPr>
          <w:rFonts w:cs="Times New Roman"/>
          <w:i/>
        </w:rPr>
        <w:t xml:space="preserve"> </w:t>
      </w:r>
      <w:r w:rsidRPr="009F23CB">
        <w:rPr>
          <w:rFonts w:cs="Times New Roman"/>
        </w:rPr>
        <w:t>2018 ONCA 745, 143 O.R. (3d) 135, at para</w:t>
      </w:r>
      <w:r w:rsidRPr="003854A2">
        <w:rPr>
          <w:rFonts w:cs="Times New Roman"/>
        </w:rPr>
        <w:t xml:space="preserve">. 43; </w:t>
      </w:r>
      <w:r w:rsidRPr="003854A2">
        <w:rPr>
          <w:rStyle w:val="Hyperlink"/>
          <w:rFonts w:cs="Times New Roman"/>
          <w:i/>
          <w:color w:val="auto"/>
        </w:rPr>
        <w:t>R. v. Pileggi</w:t>
      </w:r>
      <w:r w:rsidRPr="003854A2">
        <w:rPr>
          <w:rStyle w:val="Hyperlink"/>
          <w:rFonts w:cs="Times New Roman"/>
          <w:color w:val="auto"/>
        </w:rPr>
        <w:t>,</w:t>
      </w:r>
      <w:r w:rsidRPr="003854A2">
        <w:rPr>
          <w:rStyle w:val="Hyperlink"/>
          <w:rFonts w:cs="Times New Roman"/>
          <w:i/>
          <w:color w:val="auto"/>
        </w:rPr>
        <w:t xml:space="preserve"> </w:t>
      </w:r>
      <w:r w:rsidRPr="003854A2">
        <w:rPr>
          <w:rStyle w:val="Hyperlink"/>
          <w:rFonts w:cs="Times New Roman"/>
          <w:color w:val="auto"/>
        </w:rPr>
        <w:t>2021 ONCA 4,</w:t>
      </w:r>
      <w:r w:rsidRPr="003854A2">
        <w:rPr>
          <w:rFonts w:cs="Times New Roman"/>
        </w:rPr>
        <w:t xml:space="preserve"> 153 O.R. (3d) 561, at para. 120). As this Court expla</w:t>
      </w:r>
      <w:r w:rsidRPr="009F23CB">
        <w:rPr>
          <w:rFonts w:cs="Times New Roman"/>
        </w:rPr>
        <w:t xml:space="preserve">ined in </w:t>
      </w:r>
      <w:r w:rsidRPr="009F23CB">
        <w:rPr>
          <w:rFonts w:cs="Times New Roman"/>
          <w:i/>
        </w:rPr>
        <w:t>Grant</w:t>
      </w:r>
      <w:r w:rsidRPr="009F23CB">
        <w:rPr>
          <w:rFonts w:cs="Times New Roman"/>
        </w:rPr>
        <w:t xml:space="preserve">, the strength of the causal connection between the </w:t>
      </w:r>
      <w:r w:rsidRPr="009F23CB">
        <w:rPr>
          <w:rFonts w:cs="Times New Roman"/>
          <w:i/>
        </w:rPr>
        <w:t>Charter</w:t>
      </w:r>
      <w:r w:rsidRPr="009F23CB">
        <w:rPr>
          <w:rFonts w:cs="Times New Roman"/>
        </w:rPr>
        <w:t xml:space="preserve"> infringement and the impugned evidence plays “a useful </w:t>
      </w:r>
      <w:proofErr w:type="gramStart"/>
      <w:r w:rsidRPr="009F23CB">
        <w:rPr>
          <w:rFonts w:cs="Times New Roman"/>
        </w:rPr>
        <w:t>role .</w:t>
      </w:r>
      <w:proofErr w:type="gramEnd"/>
      <w:r w:rsidRPr="009F23CB">
        <w:rPr>
          <w:rFonts w:cs="Times New Roman"/>
        </w:rPr>
        <w:t xml:space="preserve"> . . in assessing the actual impact of the breach on the protected interests of the accused” (para. 122). Here, no such causal connection exists. The trial judge found that the </w:t>
      </w:r>
      <w:r w:rsidRPr="009F23CB">
        <w:rPr>
          <w:rFonts w:cs="Times New Roman"/>
          <w:i/>
        </w:rPr>
        <w:t>Charter</w:t>
      </w:r>
      <w:r w:rsidRPr="009F23CB">
        <w:rPr>
          <w:rFonts w:cs="Times New Roman"/>
        </w:rPr>
        <w:t xml:space="preserve"> breaches arising from the unlawful detention “had little effect” on either appellant’s decision to confess (para. 247). As the trial judge explained, Beaver’s confession had nothing to do with the </w:t>
      </w:r>
      <w:r w:rsidRPr="009F23CB">
        <w:rPr>
          <w:rFonts w:cs="Times New Roman"/>
          <w:i/>
        </w:rPr>
        <w:t xml:space="preserve">Charter </w:t>
      </w:r>
      <w:r w:rsidRPr="009F23CB">
        <w:rPr>
          <w:rFonts w:cs="Times New Roman"/>
        </w:rPr>
        <w:t xml:space="preserve">breaches arising from the unlawful detention and everything to do with “the evidence that was beginning to unfold”, including, most importantly, Lambert’s videotaped confession (paras. 95 and 247). The lack of a causal connection between the </w:t>
      </w:r>
      <w:r w:rsidRPr="009F23CB">
        <w:rPr>
          <w:rFonts w:cs="Times New Roman"/>
          <w:i/>
        </w:rPr>
        <w:t>Charter</w:t>
      </w:r>
      <w:r w:rsidRPr="009F23CB">
        <w:rPr>
          <w:rFonts w:cs="Times New Roman"/>
        </w:rPr>
        <w:t xml:space="preserve"> breaches and Beaver’s confession mitigates the actual impact of the breaches on his </w:t>
      </w:r>
      <w:r w:rsidRPr="009F23CB">
        <w:rPr>
          <w:rFonts w:cs="Times New Roman"/>
          <w:i/>
        </w:rPr>
        <w:t>Charter</w:t>
      </w:r>
      <w:r w:rsidRPr="009F23CB">
        <w:rPr>
          <w:rFonts w:cs="Times New Roman"/>
        </w:rPr>
        <w:t>-protected interests.</w:t>
      </w:r>
    </w:p>
    <w:p w14:paraId="6E4A12C5" w14:textId="77777777" w:rsidR="009F23CB" w:rsidRPr="009F23CB" w:rsidRDefault="009F23CB" w:rsidP="009F23CB">
      <w:pPr>
        <w:pStyle w:val="ParaNoNdepar-AltN"/>
        <w:rPr>
          <w:rFonts w:cs="Times New Roman"/>
        </w:rPr>
      </w:pPr>
      <w:r w:rsidRPr="009F23CB">
        <w:rPr>
          <w:rFonts w:cs="Times New Roman"/>
        </w:rPr>
        <w:t xml:space="preserve">Second, Beaver understood the basis for his interaction with the police. This diminished the impact the breach had on his s. 10(a) </w:t>
      </w:r>
      <w:r w:rsidRPr="009F23CB">
        <w:rPr>
          <w:rFonts w:cs="Times New Roman"/>
          <w:i/>
        </w:rPr>
        <w:t>Charter</w:t>
      </w:r>
      <w:r w:rsidRPr="009F23CB">
        <w:rPr>
          <w:rFonts w:cs="Times New Roman"/>
        </w:rPr>
        <w:t xml:space="preserve"> right to be informed promptly of the reasons for his detention and his s. 10(b) </w:t>
      </w:r>
      <w:r w:rsidRPr="009F23CB">
        <w:rPr>
          <w:rFonts w:cs="Times New Roman"/>
          <w:i/>
        </w:rPr>
        <w:t>Charter</w:t>
      </w:r>
      <w:r w:rsidRPr="009F23CB">
        <w:rPr>
          <w:rFonts w:cs="Times New Roman"/>
        </w:rPr>
        <w:t xml:space="preserve"> right to counsel. The trial judge found as fact that, during the two hours when Beaver was arbitrarily detained, he “knew why [he was] being detained” (para. 244). Because Beaver and Lambert placed the 9-1-1 call themselves, “[they both] knew, or had to have known, that they were going to be questioned </w:t>
      </w:r>
      <w:proofErr w:type="gramStart"/>
      <w:r w:rsidRPr="009F23CB">
        <w:rPr>
          <w:rFonts w:cs="Times New Roman"/>
        </w:rPr>
        <w:t>concerning .</w:t>
      </w:r>
      <w:proofErr w:type="gramEnd"/>
      <w:r w:rsidRPr="009F23CB">
        <w:rPr>
          <w:rFonts w:cs="Times New Roman"/>
        </w:rPr>
        <w:t> . . Bowers’ death” (para. 246). And before Beaver was even questioned, he was recorded saying to himself “[t]</w:t>
      </w:r>
      <w:proofErr w:type="spellStart"/>
      <w:r w:rsidRPr="009F23CB">
        <w:rPr>
          <w:rFonts w:cs="Times New Roman"/>
        </w:rPr>
        <w:t>hey’re</w:t>
      </w:r>
      <w:proofErr w:type="spellEnd"/>
      <w:r w:rsidRPr="009F23CB">
        <w:rPr>
          <w:rFonts w:cs="Times New Roman"/>
        </w:rPr>
        <w:t xml:space="preserve"> gonna take my statement”. Because Beaver understood the “substance” of the reasons for his detention, this attenuated the impact of the ss. 10(a) and 10(b) breaches on his </w:t>
      </w:r>
      <w:r w:rsidRPr="009F23CB">
        <w:rPr>
          <w:rFonts w:cs="Times New Roman"/>
          <w:i/>
        </w:rPr>
        <w:t>Charter</w:t>
      </w:r>
      <w:r w:rsidRPr="009F23CB">
        <w:rPr>
          <w:rFonts w:cs="Times New Roman"/>
        </w:rPr>
        <w:noBreakHyphen/>
        <w:t>protected interests (para. 246).</w:t>
      </w:r>
    </w:p>
    <w:p w14:paraId="2ABF092D" w14:textId="77777777" w:rsidR="009F23CB" w:rsidRPr="009F23CB" w:rsidRDefault="009F23CB" w:rsidP="009F23CB">
      <w:pPr>
        <w:pStyle w:val="ParaNoNdepar-AltN"/>
        <w:rPr>
          <w:rFonts w:cs="Times New Roman"/>
        </w:rPr>
      </w:pPr>
      <w:r w:rsidRPr="009F23CB">
        <w:rPr>
          <w:rFonts w:cs="Times New Roman"/>
        </w:rPr>
        <w:t xml:space="preserve">Finally, the impact of the breach on Beaver’s “liberty from unjustified state interference” and “right to be left alone” protected under s. 9 of the </w:t>
      </w:r>
      <w:r w:rsidRPr="009F23CB">
        <w:rPr>
          <w:rFonts w:cs="Times New Roman"/>
          <w:i/>
        </w:rPr>
        <w:t xml:space="preserve">Charter </w:t>
      </w:r>
      <w:r w:rsidRPr="009F23CB">
        <w:rPr>
          <w:rFonts w:cs="Times New Roman"/>
        </w:rPr>
        <w:t>(</w:t>
      </w:r>
      <w:r w:rsidRPr="009F23CB">
        <w:rPr>
          <w:rFonts w:cs="Times New Roman"/>
          <w:i/>
        </w:rPr>
        <w:t>Le</w:t>
      </w:r>
      <w:r w:rsidRPr="009F23CB">
        <w:rPr>
          <w:rFonts w:cs="Times New Roman"/>
        </w:rPr>
        <w:t>,</w:t>
      </w:r>
      <w:r w:rsidRPr="009F23CB">
        <w:rPr>
          <w:rFonts w:cs="Times New Roman"/>
          <w:i/>
        </w:rPr>
        <w:t xml:space="preserve"> </w:t>
      </w:r>
      <w:r w:rsidRPr="009F23CB">
        <w:rPr>
          <w:rFonts w:cs="Times New Roman"/>
        </w:rPr>
        <w:t xml:space="preserve">at paras. 152 and 155 (emphasis deleted)) was also attenuated because Beaver could not reasonably have expected to be left alone. This is not a case where there was an “absence of justification to investigate the [accused] </w:t>
      </w:r>
      <w:r w:rsidRPr="009F23CB">
        <w:rPr>
          <w:rFonts w:cs="Times New Roman"/>
          <w:i/>
          <w:iCs/>
        </w:rPr>
        <w:t>at all</w:t>
      </w:r>
      <w:r w:rsidRPr="009F23CB">
        <w:rPr>
          <w:rFonts w:cs="Times New Roman"/>
        </w:rPr>
        <w:t>” (</w:t>
      </w:r>
      <w:r w:rsidRPr="009F23CB">
        <w:rPr>
          <w:rFonts w:cs="Times New Roman"/>
          <w:i/>
          <w:iCs/>
        </w:rPr>
        <w:t>Le</w:t>
      </w:r>
      <w:r w:rsidRPr="009F23CB">
        <w:rPr>
          <w:rFonts w:cs="Times New Roman"/>
        </w:rPr>
        <w:t xml:space="preserve">, at para. 155 (emphasis in original)); Beaver and Lambert invited the police to the scene of Bowers’ death, and the police had a common law duty to respond to their call of </w:t>
      </w:r>
      <w:r w:rsidRPr="003854A2">
        <w:rPr>
          <w:rFonts w:cs="Times New Roman"/>
        </w:rPr>
        <w:t>distress (</w:t>
      </w:r>
      <w:r w:rsidRPr="003854A2">
        <w:rPr>
          <w:rStyle w:val="Hyperlink"/>
          <w:rFonts w:cs="Times New Roman"/>
          <w:i/>
          <w:color w:val="auto"/>
        </w:rPr>
        <w:t>R. v. Godoy</w:t>
      </w:r>
      <w:r w:rsidRPr="003854A2">
        <w:rPr>
          <w:rStyle w:val="Hyperlink"/>
          <w:rFonts w:cs="Times New Roman"/>
          <w:color w:val="auto"/>
        </w:rPr>
        <w:t>, [1999] 1 S.C.R. 311,</w:t>
      </w:r>
      <w:r w:rsidRPr="003854A2">
        <w:rPr>
          <w:rFonts w:cs="Times New Roman"/>
          <w:i/>
        </w:rPr>
        <w:t xml:space="preserve"> </w:t>
      </w:r>
      <w:r w:rsidRPr="003854A2">
        <w:rPr>
          <w:rFonts w:cs="Times New Roman"/>
        </w:rPr>
        <w:t>at paras. 17 and 23). Without diminishin</w:t>
      </w:r>
      <w:r w:rsidRPr="009F23CB">
        <w:rPr>
          <w:rFonts w:cs="Times New Roman"/>
        </w:rPr>
        <w:t xml:space="preserve">g the seriousness of the </w:t>
      </w:r>
      <w:r w:rsidRPr="009F23CB">
        <w:rPr>
          <w:rFonts w:cs="Times New Roman"/>
          <w:i/>
        </w:rPr>
        <w:t>Charter</w:t>
      </w:r>
      <w:r w:rsidRPr="009F23CB">
        <w:rPr>
          <w:rFonts w:cs="Times New Roman"/>
        </w:rPr>
        <w:t xml:space="preserve"> breaches</w:t>
      </w:r>
      <w:r w:rsidRPr="009F23CB">
        <w:rPr>
          <w:rFonts w:cs="Times New Roman"/>
          <w:i/>
        </w:rPr>
        <w:t xml:space="preserve"> </w:t>
      </w:r>
      <w:r w:rsidRPr="009F23CB">
        <w:rPr>
          <w:rFonts w:cs="Times New Roman"/>
        </w:rPr>
        <w:t xml:space="preserve">or </w:t>
      </w:r>
      <w:r w:rsidRPr="009F23CB">
        <w:rPr>
          <w:rFonts w:cs="Times New Roman"/>
          <w:bCs/>
        </w:rPr>
        <w:t xml:space="preserve">disregarding the duty of the police to act in accordance with the law, it must be emphasized that Beaver could not reasonably have expected to be left alone. Indeed, Beaver expected to interact with the police as part of his plan to fabricate a false account of Bowers’ death. </w:t>
      </w:r>
    </w:p>
    <w:p w14:paraId="7DCFD5B1" w14:textId="77777777" w:rsidR="009F23CB" w:rsidRPr="009F23CB" w:rsidRDefault="009F23CB" w:rsidP="009F23CB">
      <w:pPr>
        <w:pStyle w:val="ParaNoNdepar-AltN"/>
        <w:rPr>
          <w:rFonts w:cs="Times New Roman"/>
        </w:rPr>
      </w:pPr>
      <w:r w:rsidRPr="009F23CB">
        <w:rPr>
          <w:rFonts w:cs="Times New Roman"/>
        </w:rPr>
        <w:t xml:space="preserve">In my view, because the </w:t>
      </w:r>
      <w:r w:rsidRPr="009F23CB">
        <w:rPr>
          <w:rFonts w:cs="Times New Roman"/>
          <w:i/>
        </w:rPr>
        <w:t>Charter</w:t>
      </w:r>
      <w:r w:rsidRPr="009F23CB">
        <w:rPr>
          <w:rFonts w:cs="Times New Roman"/>
        </w:rPr>
        <w:t xml:space="preserve"> breaches arising from Beaver’s unlawful detention had only minimal impact on his </w:t>
      </w:r>
      <w:r w:rsidRPr="009F23CB">
        <w:rPr>
          <w:rFonts w:cs="Times New Roman"/>
          <w:i/>
        </w:rPr>
        <w:t>Charter</w:t>
      </w:r>
      <w:r w:rsidRPr="009F23CB">
        <w:rPr>
          <w:rFonts w:cs="Times New Roman"/>
        </w:rPr>
        <w:t>-protected interests, the second line of inquiry favours neither exclusion nor inclusion of Beaver’s confession.</w:t>
      </w:r>
    </w:p>
    <w:p w14:paraId="2945D90B" w14:textId="77777777" w:rsidR="009F23CB" w:rsidRPr="009F23CB" w:rsidRDefault="009F23CB" w:rsidP="009F23CB">
      <w:pPr>
        <w:pStyle w:val="Title4LevelTitre4Niveau"/>
        <w:jc w:val="both"/>
        <w:rPr>
          <w:rFonts w:cs="Times New Roman"/>
        </w:rPr>
      </w:pPr>
      <w:bookmarkStart w:id="94" w:name="_Toc109915238"/>
      <w:r w:rsidRPr="009F23CB">
        <w:rPr>
          <w:rFonts w:cs="Times New Roman"/>
        </w:rPr>
        <w:t>Society’s Interest in an Adjudication of the Case on Its Merits</w:t>
      </w:r>
      <w:bookmarkEnd w:id="94"/>
    </w:p>
    <w:p w14:paraId="77A44AA4" w14:textId="77777777" w:rsidR="009F23CB" w:rsidRPr="009F23CB" w:rsidRDefault="009F23CB" w:rsidP="009F23CB">
      <w:pPr>
        <w:pStyle w:val="ParaNoNdepar-AltN"/>
        <w:rPr>
          <w:rFonts w:cs="Times New Roman"/>
        </w:rPr>
      </w:pPr>
      <w:r w:rsidRPr="009F23CB">
        <w:rPr>
          <w:rFonts w:cs="Times New Roman"/>
        </w:rPr>
        <w:t>The third line of inquiry under s. 24(2) considers societal concerns and asks whether the truth-seeking function of the criminal trial process would be better served by the admission or the exclusion of the evidence (</w:t>
      </w:r>
      <w:r w:rsidRPr="009F23CB">
        <w:rPr>
          <w:rFonts w:cs="Times New Roman"/>
          <w:i/>
        </w:rPr>
        <w:t>Grant</w:t>
      </w:r>
      <w:r w:rsidRPr="009F23CB">
        <w:rPr>
          <w:rFonts w:cs="Times New Roman"/>
        </w:rPr>
        <w:t>,</w:t>
      </w:r>
      <w:r w:rsidRPr="009F23CB">
        <w:rPr>
          <w:rFonts w:cs="Times New Roman"/>
          <w:i/>
        </w:rPr>
        <w:t xml:space="preserve"> </w:t>
      </w:r>
      <w:r w:rsidRPr="009F23CB">
        <w:rPr>
          <w:rFonts w:cs="Times New Roman"/>
        </w:rPr>
        <w:t>at para. 79). Relevant factors under this inquiry include the reliability of the evidence, the importance of the evidence to the prosecution’s case, and the seriousness of the offence at issue (</w:t>
      </w:r>
      <w:r w:rsidRPr="009F23CB">
        <w:rPr>
          <w:rFonts w:cs="Times New Roman"/>
          <w:i/>
        </w:rPr>
        <w:t>Grant</w:t>
      </w:r>
      <w:r w:rsidRPr="009F23CB">
        <w:rPr>
          <w:rFonts w:cs="Times New Roman"/>
        </w:rPr>
        <w:t>,</w:t>
      </w:r>
      <w:r w:rsidRPr="009F23CB">
        <w:rPr>
          <w:rFonts w:cs="Times New Roman"/>
          <w:i/>
        </w:rPr>
        <w:t xml:space="preserve"> </w:t>
      </w:r>
      <w:r w:rsidRPr="009F23CB">
        <w:rPr>
          <w:rFonts w:cs="Times New Roman"/>
        </w:rPr>
        <w:t xml:space="preserve">at paras. 79-84; </w:t>
      </w:r>
      <w:r w:rsidRPr="009F23CB">
        <w:rPr>
          <w:rFonts w:cs="Times New Roman"/>
          <w:i/>
        </w:rPr>
        <w:t>Harrison</w:t>
      </w:r>
      <w:r w:rsidRPr="009F23CB">
        <w:rPr>
          <w:rFonts w:cs="Times New Roman"/>
        </w:rPr>
        <w:t>,</w:t>
      </w:r>
      <w:r w:rsidRPr="009F23CB">
        <w:rPr>
          <w:rFonts w:cs="Times New Roman"/>
          <w:i/>
        </w:rPr>
        <w:t xml:space="preserve"> </w:t>
      </w:r>
      <w:r w:rsidRPr="009F23CB">
        <w:rPr>
          <w:rFonts w:cs="Times New Roman"/>
        </w:rPr>
        <w:t xml:space="preserve">at para. 33; </w:t>
      </w:r>
      <w:r w:rsidRPr="009F23CB">
        <w:rPr>
          <w:rFonts w:cs="Times New Roman"/>
          <w:i/>
        </w:rPr>
        <w:t>Côté</w:t>
      </w:r>
      <w:r w:rsidRPr="009F23CB">
        <w:rPr>
          <w:rFonts w:cs="Times New Roman"/>
        </w:rPr>
        <w:t xml:space="preserve">, at para. 47; </w:t>
      </w:r>
      <w:r w:rsidRPr="009F23CB">
        <w:rPr>
          <w:rFonts w:cs="Times New Roman"/>
          <w:i/>
        </w:rPr>
        <w:t>Paterson</w:t>
      </w:r>
      <w:r w:rsidRPr="009F23CB">
        <w:rPr>
          <w:rFonts w:cs="Times New Roman"/>
        </w:rPr>
        <w:t>, at paras. 51-52).</w:t>
      </w:r>
    </w:p>
    <w:p w14:paraId="74D07900" w14:textId="77777777" w:rsidR="009F23CB" w:rsidRPr="009F23CB" w:rsidRDefault="009F23CB" w:rsidP="009F23CB">
      <w:pPr>
        <w:pStyle w:val="ParaNoNdepar-AltN"/>
        <w:rPr>
          <w:rFonts w:cs="Times New Roman"/>
        </w:rPr>
      </w:pPr>
      <w:r w:rsidRPr="009F23CB">
        <w:rPr>
          <w:rFonts w:cs="Times New Roman"/>
        </w:rPr>
        <w:t xml:space="preserve">Here, the </w:t>
      </w:r>
      <w:r w:rsidRPr="009F23CB">
        <w:rPr>
          <w:rFonts w:cs="Times New Roman"/>
          <w:i/>
        </w:rPr>
        <w:t xml:space="preserve">Charter </w:t>
      </w:r>
      <w:r w:rsidRPr="009F23CB">
        <w:rPr>
          <w:rFonts w:cs="Times New Roman"/>
        </w:rPr>
        <w:t xml:space="preserve">breaches arising from Beaver’s unlawful detention did not undermine the legality of Beaver’s arrest for murder or the reliability of his confession. Nor is this a case where the </w:t>
      </w:r>
      <w:r w:rsidRPr="009F23CB">
        <w:rPr>
          <w:rFonts w:cs="Times New Roman"/>
          <w:i/>
        </w:rPr>
        <w:t>Charter</w:t>
      </w:r>
      <w:r w:rsidRPr="009F23CB">
        <w:rPr>
          <w:rFonts w:cs="Times New Roman"/>
        </w:rPr>
        <w:t xml:space="preserve"> breaches effectively compelled Beaver to talk to the state after he had been arrested for murder (</w:t>
      </w:r>
      <w:r w:rsidRPr="009F23CB">
        <w:rPr>
          <w:rFonts w:cs="Times New Roman"/>
          <w:i/>
        </w:rPr>
        <w:t>Grant</w:t>
      </w:r>
      <w:r w:rsidRPr="009F23CB">
        <w:rPr>
          <w:rFonts w:cs="Times New Roman"/>
        </w:rPr>
        <w:t>, at para. 81). Rather, Beaver spoke voluntarily with Det. Hossack for hours in an effort to deceive her and to obstruct justice. Beaver’s confession was also essential to the Crown’s case against him, as reflected in the agreed statement of facts at trial. And while the seriousness of the offence has the potential to “cut both ways” (</w:t>
      </w:r>
      <w:r w:rsidRPr="009F23CB">
        <w:rPr>
          <w:rFonts w:cs="Times New Roman"/>
          <w:i/>
        </w:rPr>
        <w:t>Grant</w:t>
      </w:r>
      <w:r w:rsidRPr="009F23CB">
        <w:rPr>
          <w:rFonts w:cs="Times New Roman"/>
        </w:rPr>
        <w:t>, at para. 84), the public has a heightened interest in seeing serious offences such as manslaughter and obstruction of justice adjudicated on the merits.</w:t>
      </w:r>
    </w:p>
    <w:p w14:paraId="7CBEE5EA" w14:textId="77777777" w:rsidR="009F23CB" w:rsidRPr="009F23CB" w:rsidRDefault="009F23CB" w:rsidP="009F23CB">
      <w:pPr>
        <w:pStyle w:val="ParaNoNdepar-AltN"/>
        <w:rPr>
          <w:rFonts w:cs="Times New Roman"/>
        </w:rPr>
      </w:pPr>
      <w:r w:rsidRPr="009F23CB">
        <w:rPr>
          <w:rFonts w:cs="Times New Roman"/>
        </w:rPr>
        <w:t xml:space="preserve">Excluding reliable evidence critical to the Crown’s case, such as Beaver’s confession, can also undermine the truth-seeking function of the justice system and render the trial unfair from the public’s perspective, thus bringing the administration of justice into disrepute (see </w:t>
      </w:r>
      <w:r w:rsidRPr="009F23CB">
        <w:rPr>
          <w:rFonts w:cs="Times New Roman"/>
          <w:i/>
        </w:rPr>
        <w:t>Grant</w:t>
      </w:r>
      <w:r w:rsidRPr="009F23CB">
        <w:rPr>
          <w:rFonts w:cs="Times New Roman"/>
        </w:rPr>
        <w:t xml:space="preserve">, at paras. 80-81; </w:t>
      </w:r>
      <w:r w:rsidRPr="009F23CB">
        <w:rPr>
          <w:rFonts w:cs="Times New Roman"/>
          <w:i/>
        </w:rPr>
        <w:t>Harrison</w:t>
      </w:r>
      <w:r w:rsidRPr="009F23CB">
        <w:rPr>
          <w:rFonts w:cs="Times New Roman"/>
        </w:rPr>
        <w:t xml:space="preserve">, at paras. 33-34; </w:t>
      </w:r>
      <w:r w:rsidRPr="009F23CB">
        <w:rPr>
          <w:rFonts w:cs="Times New Roman"/>
          <w:i/>
        </w:rPr>
        <w:t>Tim</w:t>
      </w:r>
      <w:r w:rsidRPr="009F23CB">
        <w:rPr>
          <w:rFonts w:cs="Times New Roman"/>
        </w:rPr>
        <w:t>, at para. 96). These considerations apply forcefully here.</w:t>
      </w:r>
    </w:p>
    <w:p w14:paraId="42873805" w14:textId="77777777" w:rsidR="009F23CB" w:rsidRPr="009F23CB" w:rsidRDefault="009F23CB" w:rsidP="009F23CB">
      <w:pPr>
        <w:pStyle w:val="ParaNoNdepar-AltN"/>
        <w:rPr>
          <w:rFonts w:cs="Times New Roman"/>
        </w:rPr>
      </w:pPr>
      <w:r w:rsidRPr="009F23CB">
        <w:rPr>
          <w:rFonts w:cs="Times New Roman"/>
        </w:rPr>
        <w:t>The third line of inquiry therefore strongly supports admission of Beaver’s confession.</w:t>
      </w:r>
    </w:p>
    <w:p w14:paraId="587CF4F3" w14:textId="77777777" w:rsidR="009F23CB" w:rsidRPr="009F23CB" w:rsidRDefault="009F23CB" w:rsidP="009F23CB">
      <w:pPr>
        <w:pStyle w:val="Title4LevelTitre4Niveau"/>
        <w:jc w:val="both"/>
        <w:rPr>
          <w:rFonts w:cs="Times New Roman"/>
        </w:rPr>
      </w:pPr>
      <w:bookmarkStart w:id="95" w:name="_Toc109915239"/>
      <w:r w:rsidRPr="009F23CB">
        <w:rPr>
          <w:rFonts w:cs="Times New Roman"/>
        </w:rPr>
        <w:t>Final Balancing</w:t>
      </w:r>
      <w:bookmarkEnd w:id="95"/>
    </w:p>
    <w:p w14:paraId="4CCE0603" w14:textId="77777777" w:rsidR="009F23CB" w:rsidRPr="009F23CB" w:rsidRDefault="009F23CB" w:rsidP="009F23CB">
      <w:pPr>
        <w:pStyle w:val="ParaNoNdepar-AltN"/>
        <w:rPr>
          <w:rFonts w:cs="Times New Roman"/>
        </w:rPr>
      </w:pPr>
      <w:r w:rsidRPr="009F23CB">
        <w:rPr>
          <w:rFonts w:cs="Times New Roman"/>
        </w:rPr>
        <w:t xml:space="preserve">The final step in the s. 24(2) analysis involves weighing each line of inquiry to determine whether admitting the evidence would bring the administration of justice into disrepute. This balancing has a prospective function: it aims to ensure that evidence obtained through a </w:t>
      </w:r>
      <w:r w:rsidRPr="009F23CB">
        <w:rPr>
          <w:rFonts w:cs="Times New Roman"/>
          <w:i/>
        </w:rPr>
        <w:t>Charter</w:t>
      </w:r>
      <w:r w:rsidRPr="009F23CB">
        <w:rPr>
          <w:rFonts w:cs="Times New Roman"/>
        </w:rPr>
        <w:t xml:space="preserve"> breach does not cause further damage to the justice system. It is also societal in scope: its goal is not to punish the police but to address systemic concerns involving the broad impact of admitting the evidence on the long</w:t>
      </w:r>
      <w:r w:rsidRPr="009F23CB">
        <w:rPr>
          <w:rFonts w:cs="Times New Roman"/>
        </w:rPr>
        <w:noBreakHyphen/>
        <w:t xml:space="preserve">term repute of the justice system (see </w:t>
      </w:r>
      <w:r w:rsidRPr="009F23CB">
        <w:rPr>
          <w:rFonts w:cs="Times New Roman"/>
          <w:i/>
        </w:rPr>
        <w:t>Grant</w:t>
      </w:r>
      <w:r w:rsidRPr="009F23CB">
        <w:rPr>
          <w:rFonts w:cs="Times New Roman"/>
        </w:rPr>
        <w:t xml:space="preserve">, at paras. 69-70 and 85-86; </w:t>
      </w:r>
      <w:r w:rsidRPr="009F23CB">
        <w:rPr>
          <w:rFonts w:cs="Times New Roman"/>
          <w:i/>
        </w:rPr>
        <w:t>Le</w:t>
      </w:r>
      <w:r w:rsidRPr="009F23CB">
        <w:rPr>
          <w:rFonts w:cs="Times New Roman"/>
        </w:rPr>
        <w:t xml:space="preserve">, at para. 139; </w:t>
      </w:r>
      <w:r w:rsidRPr="009F23CB">
        <w:rPr>
          <w:rFonts w:cs="Times New Roman"/>
          <w:i/>
        </w:rPr>
        <w:t>Tim</w:t>
      </w:r>
      <w:r w:rsidRPr="009F23CB">
        <w:rPr>
          <w:rFonts w:cs="Times New Roman"/>
        </w:rPr>
        <w:t>, at para. 98).</w:t>
      </w:r>
    </w:p>
    <w:p w14:paraId="16C984F9" w14:textId="77777777" w:rsidR="009F23CB" w:rsidRPr="009F23CB" w:rsidRDefault="009F23CB" w:rsidP="009F23CB">
      <w:pPr>
        <w:pStyle w:val="ParaNoNdepar-AltN"/>
        <w:rPr>
          <w:rFonts w:cs="Times New Roman"/>
        </w:rPr>
      </w:pPr>
      <w:r w:rsidRPr="009F23CB">
        <w:rPr>
          <w:rFonts w:cs="Times New Roman"/>
        </w:rPr>
        <w:t xml:space="preserve">When undertaking this weighing exercise, “it is the </w:t>
      </w:r>
      <w:r w:rsidRPr="009F23CB">
        <w:rPr>
          <w:rFonts w:cs="Times New Roman"/>
          <w:i/>
        </w:rPr>
        <w:t xml:space="preserve">cumulative </w:t>
      </w:r>
      <w:r w:rsidRPr="009F23CB">
        <w:rPr>
          <w:rFonts w:cs="Times New Roman"/>
        </w:rPr>
        <w:t>weight of the first two lines of inquiry that trial judges must consider and balance against the third line of inquiry” (</w:t>
      </w:r>
      <w:r w:rsidRPr="009F23CB">
        <w:rPr>
          <w:rFonts w:cs="Times New Roman"/>
          <w:i/>
        </w:rPr>
        <w:t>Lafrance</w:t>
      </w:r>
      <w:r w:rsidRPr="009F23CB">
        <w:rPr>
          <w:rFonts w:cs="Times New Roman"/>
        </w:rPr>
        <w:t>, at para. 90 (emphasis in original)). “[W]hen the two first lines, taken together, make a strong case for exclusion”, the third line of inquiry “will seldom tip the scale in favour of admissibility” (</w:t>
      </w:r>
      <w:r w:rsidRPr="009F23CB">
        <w:rPr>
          <w:rFonts w:cs="Times New Roman"/>
          <w:i/>
        </w:rPr>
        <w:t>Lafrance</w:t>
      </w:r>
      <w:r w:rsidRPr="009F23CB">
        <w:rPr>
          <w:rFonts w:cs="Times New Roman"/>
        </w:rPr>
        <w:t>, at para. 90). The third line of inquiry “becomes important when one, but not both, of the first two inquiries pushes strongly toward the exclusion of the evid</w:t>
      </w:r>
      <w:r w:rsidRPr="003854A2">
        <w:rPr>
          <w:rFonts w:cs="Times New Roman"/>
        </w:rPr>
        <w:t>ence” (</w:t>
      </w:r>
      <w:r w:rsidRPr="003854A2">
        <w:rPr>
          <w:rStyle w:val="Hyperlink"/>
          <w:rFonts w:cs="Times New Roman"/>
          <w:i/>
          <w:color w:val="auto"/>
        </w:rPr>
        <w:t>R. v. McGuffie</w:t>
      </w:r>
      <w:r w:rsidRPr="003854A2">
        <w:rPr>
          <w:rStyle w:val="Hyperlink"/>
          <w:rFonts w:cs="Times New Roman"/>
          <w:color w:val="auto"/>
        </w:rPr>
        <w:t>,</w:t>
      </w:r>
      <w:r w:rsidRPr="003854A2">
        <w:rPr>
          <w:rStyle w:val="Hyperlink"/>
          <w:rFonts w:cs="Times New Roman"/>
          <w:i/>
          <w:color w:val="auto"/>
        </w:rPr>
        <w:t xml:space="preserve"> </w:t>
      </w:r>
      <w:r w:rsidRPr="003854A2">
        <w:rPr>
          <w:rStyle w:val="Hyperlink"/>
          <w:rFonts w:cs="Times New Roman"/>
          <w:color w:val="auto"/>
        </w:rPr>
        <w:t>2016 ONCA 365,</w:t>
      </w:r>
      <w:r w:rsidRPr="003854A2">
        <w:rPr>
          <w:rFonts w:cs="Times New Roman"/>
        </w:rPr>
        <w:t xml:space="preserve"> 131 O.R. (3d) 643, at para. 63, per Doh</w:t>
      </w:r>
      <w:r w:rsidRPr="009F23CB">
        <w:rPr>
          <w:rFonts w:cs="Times New Roman"/>
        </w:rPr>
        <w:t xml:space="preserve">erty J.A.; see also </w:t>
      </w:r>
      <w:r w:rsidRPr="009F23CB">
        <w:rPr>
          <w:rFonts w:cs="Times New Roman"/>
          <w:i/>
        </w:rPr>
        <w:t>R. v. Chapman</w:t>
      </w:r>
      <w:r w:rsidRPr="009F23CB">
        <w:rPr>
          <w:rFonts w:cs="Times New Roman"/>
        </w:rPr>
        <w:t xml:space="preserve">, 2020 SKCA 11, 386 C.C.C. (3d) 24, at paras. 125-26 and 130). It is possible that admitting evidence obtained by particularly serious </w:t>
      </w:r>
      <w:r w:rsidRPr="009F23CB">
        <w:rPr>
          <w:rFonts w:cs="Times New Roman"/>
          <w:i/>
          <w:iCs/>
        </w:rPr>
        <w:t>Charter</w:t>
      </w:r>
      <w:r w:rsidRPr="009F23CB">
        <w:rPr>
          <w:rFonts w:cs="Times New Roman"/>
        </w:rPr>
        <w:t xml:space="preserve">-infringing conduct will bring the administration of justice into disrepute, even if the conduct did not have a serious impact on the accused’s </w:t>
      </w:r>
      <w:r w:rsidRPr="009F23CB">
        <w:rPr>
          <w:rFonts w:cs="Times New Roman"/>
          <w:i/>
          <w:iCs/>
        </w:rPr>
        <w:t>Charter</w:t>
      </w:r>
      <w:r w:rsidRPr="009F23CB">
        <w:rPr>
          <w:rFonts w:cs="Times New Roman"/>
        </w:rPr>
        <w:t>-protected interests (</w:t>
      </w:r>
      <w:r w:rsidRPr="009F23CB">
        <w:rPr>
          <w:rFonts w:cs="Times New Roman"/>
          <w:i/>
        </w:rPr>
        <w:t>Le</w:t>
      </w:r>
      <w:r w:rsidRPr="009F23CB">
        <w:rPr>
          <w:rFonts w:cs="Times New Roman"/>
        </w:rPr>
        <w:t>, at para. 141). But where the cumulative weight of the first two lines of inquiry is overwhelmed by a compelling public interest in admitting the evidence, the administration of justice will not be brought into disrepute by its admission.</w:t>
      </w:r>
    </w:p>
    <w:p w14:paraId="4BFEFCCD" w14:textId="77777777" w:rsidR="009F23CB" w:rsidRPr="009F23CB" w:rsidRDefault="009F23CB" w:rsidP="009F23CB">
      <w:pPr>
        <w:pStyle w:val="ParaNoNdepar-AltN"/>
        <w:rPr>
          <w:rFonts w:cs="Times New Roman"/>
        </w:rPr>
      </w:pPr>
      <w:r w:rsidRPr="009F23CB">
        <w:rPr>
          <w:rFonts w:cs="Times New Roman"/>
        </w:rPr>
        <w:t xml:space="preserve">In my view, the third line of inquiry is central to the s. 24(2) weighing exercise in this case. The first two lines of inquiry, taken together, do not make a strong case for excluding Beaver’s confession. Only the seriousness of the </w:t>
      </w:r>
      <w:r w:rsidRPr="009F23CB">
        <w:rPr>
          <w:rFonts w:cs="Times New Roman"/>
          <w:i/>
        </w:rPr>
        <w:t>Charter</w:t>
      </w:r>
      <w:r w:rsidRPr="009F23CB">
        <w:rPr>
          <w:rFonts w:cs="Times New Roman"/>
        </w:rPr>
        <w:t xml:space="preserve"> breaches strongly favours exclusion. The second line of inquiry pulls neither towards nor against exclusion because the breaches had minimal impact on Beaver’s </w:t>
      </w:r>
      <w:r w:rsidRPr="009F23CB">
        <w:rPr>
          <w:rFonts w:cs="Times New Roman"/>
          <w:i/>
        </w:rPr>
        <w:t>Charter</w:t>
      </w:r>
      <w:r w:rsidRPr="009F23CB">
        <w:rPr>
          <w:rFonts w:cs="Times New Roman"/>
        </w:rPr>
        <w:t>-protected interests. The cumulative weight of the first two lines of inquiry is overwhelmed by a compelling public interest in admitting Beaver’s confession. This evidence is crucial to the prosecution’s case against an offender who allegedly killed another person and then tried to obstruct the police investigation. On a proper balancing of the lines of inquiry under s. 24(2), I conclude that admitting Beaver’s confession would not bring the administration of justice into disrepute.</w:t>
      </w:r>
    </w:p>
    <w:p w14:paraId="10353518" w14:textId="77777777" w:rsidR="009F23CB" w:rsidRPr="009F23CB" w:rsidRDefault="009F23CB" w:rsidP="009F23CB">
      <w:pPr>
        <w:pStyle w:val="ParaNoNdepar-AltN"/>
        <w:rPr>
          <w:rFonts w:cs="Times New Roman"/>
        </w:rPr>
      </w:pPr>
      <w:r w:rsidRPr="009F23CB">
        <w:rPr>
          <w:rFonts w:cs="Times New Roman"/>
        </w:rPr>
        <w:t>I would therefore admit Beaver’s confession and confirm his conviction for manslaughter.</w:t>
      </w:r>
    </w:p>
    <w:p w14:paraId="64428D6B" w14:textId="77777777" w:rsidR="009F23CB" w:rsidRPr="009F23CB" w:rsidRDefault="009F23CB" w:rsidP="009F23CB">
      <w:pPr>
        <w:pStyle w:val="Title1LevelTitre1Niveau-AltL"/>
        <w:jc w:val="both"/>
        <w:rPr>
          <w:rFonts w:cs="Times New Roman"/>
        </w:rPr>
      </w:pPr>
      <w:bookmarkStart w:id="96" w:name="_Toc109490387"/>
      <w:bookmarkStart w:id="97" w:name="_Toc109915241"/>
      <w:bookmarkStart w:id="98" w:name="_Toc110968680"/>
      <w:r w:rsidRPr="009F23CB">
        <w:rPr>
          <w:rFonts w:cs="Times New Roman"/>
        </w:rPr>
        <w:t>Disposition</w:t>
      </w:r>
      <w:bookmarkEnd w:id="96"/>
      <w:bookmarkEnd w:id="97"/>
      <w:bookmarkEnd w:id="98"/>
    </w:p>
    <w:p w14:paraId="68382872" w14:textId="77777777" w:rsidR="009F23CB" w:rsidRPr="009F23CB" w:rsidRDefault="009F23CB" w:rsidP="009F23CB">
      <w:pPr>
        <w:pStyle w:val="ParaNoNdepar-AltN"/>
        <w:rPr>
          <w:rFonts w:cs="Times New Roman"/>
        </w:rPr>
      </w:pPr>
      <w:r w:rsidRPr="009F23CB">
        <w:rPr>
          <w:rFonts w:cs="Times New Roman"/>
        </w:rPr>
        <w:t>I would dismiss both appeals.</w:t>
      </w:r>
    </w:p>
    <w:p w14:paraId="76D62072" w14:textId="77777777" w:rsidR="009F23CB" w:rsidRPr="009F23CB" w:rsidRDefault="009F23CB" w:rsidP="009F23CB">
      <w:pPr>
        <w:ind w:left="1134"/>
        <w:rPr>
          <w:szCs w:val="24"/>
        </w:rPr>
      </w:pPr>
      <w:r w:rsidRPr="009F23CB">
        <w:rPr>
          <w:szCs w:val="24"/>
        </w:rPr>
        <w:t xml:space="preserve">The reasons of Karakatsanis, Côté, Brown and Martin JJ. </w:t>
      </w:r>
      <w:proofErr w:type="gramStart"/>
      <w:r w:rsidRPr="009F23CB">
        <w:rPr>
          <w:szCs w:val="24"/>
        </w:rPr>
        <w:t>were</w:t>
      </w:r>
      <w:proofErr w:type="gramEnd"/>
      <w:r w:rsidRPr="009F23CB">
        <w:rPr>
          <w:szCs w:val="24"/>
        </w:rPr>
        <w:t xml:space="preserve"> delivered by</w:t>
      </w:r>
    </w:p>
    <w:p w14:paraId="78D0CA46" w14:textId="77777777" w:rsidR="009F23CB" w:rsidRPr="009F23CB" w:rsidRDefault="009F23CB" w:rsidP="009F23CB">
      <w:pPr>
        <w:rPr>
          <w:szCs w:val="24"/>
        </w:rPr>
      </w:pPr>
    </w:p>
    <w:p w14:paraId="1BB4598C" w14:textId="77777777" w:rsidR="009F23CB" w:rsidRPr="009F23CB" w:rsidRDefault="009F23CB" w:rsidP="003854A2">
      <w:pPr>
        <w:pStyle w:val="JudgeJuge"/>
        <w:tabs>
          <w:tab w:val="clear" w:pos="1260"/>
          <w:tab w:val="left" w:pos="1134"/>
        </w:tabs>
      </w:pPr>
      <w:r w:rsidRPr="009F23CB">
        <w:tab/>
        <w:t xml:space="preserve">Martin J. — </w:t>
      </w:r>
    </w:p>
    <w:p w14:paraId="70DC1FF4" w14:textId="77777777" w:rsidR="009F23CB" w:rsidRPr="003854A2" w:rsidRDefault="009F23CB" w:rsidP="003854A2">
      <w:pPr>
        <w:pStyle w:val="Title1LevelTitre1Niveau-AltL"/>
        <w:numPr>
          <w:ilvl w:val="0"/>
          <w:numId w:val="35"/>
        </w:numPr>
        <w:rPr>
          <w:rFonts w:cs="Times New Roman"/>
          <w:lang w:val="en-US"/>
        </w:rPr>
      </w:pPr>
      <w:r w:rsidRPr="003854A2">
        <w:rPr>
          <w:rFonts w:cs="Times New Roman"/>
          <w:lang w:val="en-US"/>
        </w:rPr>
        <w:t>Overview</w:t>
      </w:r>
    </w:p>
    <w:p w14:paraId="47C2DA83" w14:textId="77777777" w:rsidR="009F23CB" w:rsidRPr="009F23CB" w:rsidRDefault="009F23CB" w:rsidP="009F23CB">
      <w:pPr>
        <w:pStyle w:val="ParaNoNdepar-AltN"/>
      </w:pPr>
      <w:r w:rsidRPr="009F23CB">
        <w:rPr>
          <w:lang w:val="en-US"/>
        </w:rPr>
        <w:t>On the morning of October 9, 2016, t</w:t>
      </w:r>
      <w:r w:rsidRPr="009F23CB">
        <w:t xml:space="preserve">he appellants, Brian John Lambert and James Andrew Beaver, called 9-1-1 and reported arriving home from a night away </w:t>
      </w:r>
      <w:proofErr w:type="gramStart"/>
      <w:r w:rsidRPr="009F23CB">
        <w:t>to</w:t>
      </w:r>
      <w:proofErr w:type="gramEnd"/>
      <w:r w:rsidRPr="009F23CB">
        <w:t xml:space="preserve"> find their roommate’s dead body. Shortly after arriving at the scene, police unlawfully detained the appellants pursuant to non-existent legislation, transported them to police headquarters for questioning, and searched them upon arrival. During Mr. Lambert’s transport, police questioned him before facilitating his request to exercise his right to counsel. This conduct resulted in multiple serious breaches of the appellants’ rights under the </w:t>
      </w:r>
      <w:r w:rsidRPr="009F23CB">
        <w:rPr>
          <w:i/>
        </w:rPr>
        <w:t>Canadian Charter of Rights and Freedoms</w:t>
      </w:r>
      <w:r w:rsidRPr="009F23CB">
        <w:t>.</w:t>
      </w:r>
    </w:p>
    <w:p w14:paraId="1945ABA2" w14:textId="77777777" w:rsidR="009F23CB" w:rsidRPr="009F23CB" w:rsidRDefault="009F23CB" w:rsidP="009F23CB">
      <w:pPr>
        <w:pStyle w:val="ParaNoNdepar-AltN"/>
        <w:rPr>
          <w:rFonts w:cs="Times New Roman"/>
        </w:rPr>
      </w:pPr>
      <w:r w:rsidRPr="009F23CB">
        <w:rPr>
          <w:rFonts w:cs="Times New Roman"/>
        </w:rPr>
        <w:t>I part ways with the majority on two points. First, on whether it was lawful for the lead investigator, after learning of the circumstances of the appellants’ unlawful detention, to immediately arrest them for murder and direct their continued questioning. I conclude that the information relied on to direct the appellants’ arrests does not come close to the particularized probability required to meet the reasonable grounds standard.</w:t>
      </w:r>
      <w:r w:rsidRPr="009F23CB">
        <w:rPr>
          <w:rFonts w:cs="Times New Roman"/>
          <w:lang w:val="en-US"/>
        </w:rPr>
        <w:t xml:space="preserve"> </w:t>
      </w:r>
      <w:r w:rsidRPr="009F23CB">
        <w:rPr>
          <w:rFonts w:cs="Times New Roman"/>
        </w:rPr>
        <w:t xml:space="preserve">The arrests were a blatant attempt to salvage the investigation in the face of what officers knew were multiple serious violations of the appellants’ </w:t>
      </w:r>
      <w:r w:rsidRPr="009F23CB">
        <w:rPr>
          <w:rFonts w:cs="Times New Roman"/>
          <w:i/>
        </w:rPr>
        <w:t xml:space="preserve">Charter </w:t>
      </w:r>
      <w:r w:rsidRPr="009F23CB">
        <w:rPr>
          <w:rFonts w:cs="Times New Roman"/>
        </w:rPr>
        <w:t xml:space="preserve">rights. The accumulation of breaches of well-established </w:t>
      </w:r>
      <w:r w:rsidRPr="009F23CB">
        <w:rPr>
          <w:rFonts w:cs="Times New Roman"/>
          <w:i/>
        </w:rPr>
        <w:t xml:space="preserve">Charter </w:t>
      </w:r>
      <w:r w:rsidRPr="009F23CB">
        <w:rPr>
          <w:rFonts w:cs="Times New Roman"/>
        </w:rPr>
        <w:t xml:space="preserve">standards in this case requires that the evidence be excluded as a remedy under s. 24(2) of the </w:t>
      </w:r>
      <w:r w:rsidRPr="009F23CB">
        <w:rPr>
          <w:rFonts w:cs="Times New Roman"/>
          <w:i/>
        </w:rPr>
        <w:t xml:space="preserve">Charter </w:t>
      </w:r>
      <w:r w:rsidRPr="009F23CB">
        <w:rPr>
          <w:rFonts w:cs="Times New Roman"/>
        </w:rPr>
        <w:t xml:space="preserve">to avoid bringing further disrepute to the administration of justice. </w:t>
      </w:r>
    </w:p>
    <w:p w14:paraId="20D629BD" w14:textId="77777777" w:rsidR="009F23CB" w:rsidRPr="009F23CB" w:rsidRDefault="009F23CB" w:rsidP="009F23CB">
      <w:pPr>
        <w:pStyle w:val="ParaNoNdepar-AltN"/>
        <w:rPr>
          <w:rFonts w:cs="Times New Roman"/>
        </w:rPr>
      </w:pPr>
      <w:r w:rsidRPr="009F23CB">
        <w:rPr>
          <w:rFonts w:cs="Times New Roman"/>
          <w:lang w:val="en-US"/>
        </w:rPr>
        <w:t xml:space="preserve">Second, the test for inclusion under s. 24(2) is long established and well known. </w:t>
      </w:r>
      <w:r w:rsidRPr="009F23CB">
        <w:rPr>
          <w:rFonts w:cs="Times New Roman"/>
        </w:rPr>
        <w:t>The focus is on the connection between the breach and the evidence obtained, with reference to temporal, contextual, and causal elements (</w:t>
      </w:r>
      <w:r w:rsidRPr="009F23CB">
        <w:rPr>
          <w:rFonts w:cs="Times New Roman"/>
          <w:i/>
        </w:rPr>
        <w:t>R. v. Strachan</w:t>
      </w:r>
      <w:r w:rsidRPr="009F23CB">
        <w:rPr>
          <w:rFonts w:cs="Times New Roman"/>
        </w:rPr>
        <w:t xml:space="preserve">, [1988] 2 S.C.R. 980; </w:t>
      </w:r>
      <w:r w:rsidRPr="009F23CB">
        <w:rPr>
          <w:rFonts w:cs="Times New Roman"/>
          <w:i/>
        </w:rPr>
        <w:t>R. v. Goldhart</w:t>
      </w:r>
      <w:r w:rsidRPr="009F23CB">
        <w:rPr>
          <w:rFonts w:cs="Times New Roman"/>
        </w:rPr>
        <w:t xml:space="preserve">, [1996] 2 S.C.R. 463; </w:t>
      </w:r>
      <w:r w:rsidRPr="009F23CB">
        <w:rPr>
          <w:rFonts w:cs="Times New Roman"/>
          <w:i/>
        </w:rPr>
        <w:t>R. v. Wittwer</w:t>
      </w:r>
      <w:r w:rsidRPr="009F23CB">
        <w:rPr>
          <w:rFonts w:cs="Times New Roman"/>
        </w:rPr>
        <w:t xml:space="preserve">, 2008 SCC 33, [2008] 2 S.C.R. 235). </w:t>
      </w:r>
      <w:r w:rsidRPr="009F23CB">
        <w:rPr>
          <w:rFonts w:cs="Times New Roman"/>
          <w:lang w:val="en-US"/>
        </w:rPr>
        <w:t xml:space="preserve">There is simply no need to speak in terms of whether or not there was somehow </w:t>
      </w:r>
      <w:r w:rsidRPr="009F23CB">
        <w:rPr>
          <w:rFonts w:cs="Times New Roman"/>
        </w:rPr>
        <w:t xml:space="preserve">a “fresh start” for those who have breached </w:t>
      </w:r>
      <w:r w:rsidRPr="009F23CB">
        <w:rPr>
          <w:rFonts w:cs="Times New Roman"/>
          <w:i/>
        </w:rPr>
        <w:t>Charter</w:t>
      </w:r>
      <w:r w:rsidRPr="009F23CB">
        <w:rPr>
          <w:rFonts w:cs="Times New Roman"/>
        </w:rPr>
        <w:t xml:space="preserve"> rights. Indeed, the notion of a “fresh start” is an unhelpful and potentially misleading concept that has no place in the s. 24(2) analysis. It divides what is to be a holistic analysis into before and after segments and operates to cure and/or remove </w:t>
      </w:r>
      <w:r w:rsidRPr="009F23CB">
        <w:rPr>
          <w:rFonts w:cs="Times New Roman"/>
          <w:i/>
        </w:rPr>
        <w:t>Charter</w:t>
      </w:r>
      <w:r w:rsidRPr="009F23CB">
        <w:rPr>
          <w:rFonts w:cs="Times New Roman"/>
        </w:rPr>
        <w:t xml:space="preserve"> breaches from the analysis, thus placing a heavy finger on the scale of s. 24(2). </w:t>
      </w:r>
      <w:r w:rsidRPr="009F23CB" w:rsidDel="00AF79E9">
        <w:rPr>
          <w:rFonts w:cs="Times New Roman"/>
        </w:rPr>
        <w:t xml:space="preserve"> </w:t>
      </w:r>
    </w:p>
    <w:p w14:paraId="530C00DD" w14:textId="77777777" w:rsidR="009F23CB" w:rsidRPr="009F23CB" w:rsidRDefault="009F23CB" w:rsidP="009F23CB">
      <w:pPr>
        <w:pStyle w:val="ParaNoNdepar-AltN"/>
        <w:rPr>
          <w:rFonts w:cs="Times New Roman"/>
        </w:rPr>
      </w:pPr>
      <w:r w:rsidRPr="009F23CB">
        <w:rPr>
          <w:rFonts w:cs="Times New Roman"/>
        </w:rPr>
        <w:t xml:space="preserve">The combination of these two conclusions is more than enough to allow the appeals, exclude all the evidence obtained in a manner that infringed the appellants’ </w:t>
      </w:r>
      <w:r w:rsidRPr="009F23CB">
        <w:rPr>
          <w:rFonts w:cs="Times New Roman"/>
          <w:i/>
        </w:rPr>
        <w:t>Charter</w:t>
      </w:r>
      <w:r w:rsidRPr="009F23CB">
        <w:rPr>
          <w:rFonts w:cs="Times New Roman"/>
        </w:rPr>
        <w:t xml:space="preserve"> rights, set aside the convictions, and order new trials. Thus, while I should not be taken as accepting the majority’s voluntariness analysis, I find it unnecessary to address the voluntariness issue raised by Mr. Beaver.</w:t>
      </w:r>
    </w:p>
    <w:p w14:paraId="0E8A09E3" w14:textId="77777777" w:rsidR="009F23CB" w:rsidRPr="009F23CB" w:rsidRDefault="009F23CB" w:rsidP="009F23CB">
      <w:pPr>
        <w:pStyle w:val="Title1LevelTitre1Niveau-AltL"/>
        <w:keepNext/>
        <w:numPr>
          <w:ilvl w:val="0"/>
          <w:numId w:val="18"/>
        </w:numPr>
        <w:rPr>
          <w:rFonts w:cs="Times New Roman"/>
          <w:lang w:val="en-US"/>
        </w:rPr>
      </w:pPr>
      <w:r w:rsidRPr="009F23CB">
        <w:rPr>
          <w:rFonts w:cs="Times New Roman"/>
          <w:lang w:val="en-US"/>
        </w:rPr>
        <w:t>Background</w:t>
      </w:r>
    </w:p>
    <w:p w14:paraId="60A9F6A5" w14:textId="77777777" w:rsidR="009F23CB" w:rsidRPr="009F23CB" w:rsidRDefault="009F23CB" w:rsidP="009F23CB">
      <w:pPr>
        <w:pStyle w:val="Title2LevelTitre2Niveau"/>
        <w:numPr>
          <w:ilvl w:val="1"/>
          <w:numId w:val="18"/>
        </w:numPr>
        <w:rPr>
          <w:rFonts w:cs="Times New Roman"/>
          <w:lang w:val="en-US"/>
        </w:rPr>
      </w:pPr>
      <w:r w:rsidRPr="009F23CB">
        <w:rPr>
          <w:rFonts w:cs="Times New Roman"/>
          <w:lang w:val="en-US"/>
        </w:rPr>
        <w:t>Facts</w:t>
      </w:r>
    </w:p>
    <w:p w14:paraId="73680615" w14:textId="77777777" w:rsidR="009F23CB" w:rsidRPr="009F23CB" w:rsidRDefault="009F23CB" w:rsidP="009F23CB">
      <w:pPr>
        <w:pStyle w:val="ParaNoNdepar-AltN"/>
        <w:rPr>
          <w:rFonts w:cs="Times New Roman"/>
        </w:rPr>
      </w:pPr>
      <w:r w:rsidRPr="009F23CB">
        <w:rPr>
          <w:rFonts w:cs="Times New Roman"/>
        </w:rPr>
        <w:t>Shortly before 10:00 a.m. on October 9, 2016, Mr. Lambert called 9</w:t>
      </w:r>
      <w:r w:rsidRPr="009F23CB">
        <w:rPr>
          <w:rFonts w:cs="Times New Roman"/>
        </w:rPr>
        <w:noBreakHyphen/>
        <w:t>1</w:t>
      </w:r>
      <w:r w:rsidRPr="009F23CB">
        <w:rPr>
          <w:rFonts w:cs="Times New Roman"/>
        </w:rPr>
        <w:noBreakHyphen/>
        <w:t>1 and reported finding his roommate and landlord, Sutton Raymond Bowers, lying face down in a puddle of blood inside their home. He told the 9</w:t>
      </w:r>
      <w:r w:rsidRPr="009F23CB">
        <w:rPr>
          <w:rFonts w:cs="Times New Roman"/>
        </w:rPr>
        <w:noBreakHyphen/>
        <w:t>1</w:t>
      </w:r>
      <w:r w:rsidRPr="009F23CB">
        <w:rPr>
          <w:rFonts w:cs="Times New Roman"/>
        </w:rPr>
        <w:noBreakHyphen/>
        <w:t xml:space="preserve">1 operator that he and Mr. Bowers had been having “altercations” all week. When he came home the previous evening, Mr. Bowers told him and his other roommate, Mr. Beaver, to “get the hell out” (R.R., at p. 18). They left Mr. Bowers at home with guests and returned that morning to find his body in the townhouse. </w:t>
      </w:r>
    </w:p>
    <w:p w14:paraId="78BE5447" w14:textId="77777777" w:rsidR="009F23CB" w:rsidRPr="009F23CB" w:rsidRDefault="009F23CB" w:rsidP="009F23CB">
      <w:pPr>
        <w:pStyle w:val="ParaNoNdepar-AltN"/>
        <w:rPr>
          <w:rFonts w:cs="Times New Roman"/>
        </w:rPr>
      </w:pPr>
      <w:r w:rsidRPr="009F23CB">
        <w:rPr>
          <w:rFonts w:cs="Times New Roman"/>
        </w:rPr>
        <w:t xml:space="preserve">Police officers arrived at the scene within minutes. They observed the deceased lying at the base of “a fairly steep set of polished hardwood stairs” (2019 ABQB 125, 88 Alta. L.R. (6th) 337, at para. 7). An empty bottle of rum was left out on a table (para. 10). Mr. Lambert informed one of the officers, Cst. Taylor, that it was not unusual for the deceased to be passed out from intoxication. None of the officers observed either of the appellants acting suspiciously. There were no signs of a struggle at the scene. </w:t>
      </w:r>
    </w:p>
    <w:p w14:paraId="38B4235A" w14:textId="77777777" w:rsidR="009F23CB" w:rsidRPr="009F23CB" w:rsidRDefault="009F23CB" w:rsidP="009F23CB">
      <w:pPr>
        <w:pStyle w:val="ParaNoNdepar-AltN"/>
        <w:rPr>
          <w:rFonts w:cs="Times New Roman"/>
        </w:rPr>
      </w:pPr>
      <w:r w:rsidRPr="009F23CB">
        <w:rPr>
          <w:rFonts w:cs="Times New Roman"/>
        </w:rPr>
        <w:t xml:space="preserve">None of the officers at the scene believed they had grounds to arrest the appellants. </w:t>
      </w:r>
    </w:p>
    <w:p w14:paraId="71BCFB66" w14:textId="77777777" w:rsidR="009F23CB" w:rsidRPr="009F23CB" w:rsidRDefault="009F23CB" w:rsidP="009F23CB">
      <w:pPr>
        <w:pStyle w:val="ParaNoNdepar-AltN"/>
        <w:rPr>
          <w:rFonts w:cs="Times New Roman"/>
        </w:rPr>
      </w:pPr>
      <w:r w:rsidRPr="009F23CB">
        <w:rPr>
          <w:rFonts w:cs="Times New Roman"/>
        </w:rPr>
        <w:t xml:space="preserve">Sgt. Lines was in charge at the scene. He directed two officers, Cst. Husband and Cst. Taylor, to detain the appellants under the </w:t>
      </w:r>
      <w:r w:rsidRPr="009F23CB">
        <w:rPr>
          <w:rFonts w:cs="Times New Roman"/>
          <w:i/>
        </w:rPr>
        <w:t>Medical Examiners Act</w:t>
      </w:r>
      <w:r w:rsidRPr="009F23CB">
        <w:rPr>
          <w:rFonts w:cs="Times New Roman"/>
        </w:rPr>
        <w:t xml:space="preserve">. He testified that he meant to refer to the </w:t>
      </w:r>
      <w:r w:rsidRPr="009F23CB">
        <w:rPr>
          <w:rFonts w:cs="Times New Roman"/>
          <w:i/>
        </w:rPr>
        <w:t>Fatality Inquiries Act</w:t>
      </w:r>
      <w:r w:rsidRPr="009F23CB">
        <w:rPr>
          <w:rFonts w:cs="Times New Roman"/>
        </w:rPr>
        <w:t>, R.S.A. 2000, c. F</w:t>
      </w:r>
      <w:r w:rsidRPr="009F23CB">
        <w:rPr>
          <w:rFonts w:cs="Times New Roman"/>
        </w:rPr>
        <w:noBreakHyphen/>
        <w:t xml:space="preserve">9, as he believed this legislation authorized police to detain people at the scene of a potential homicide. He acknowledged that he erred in two respects: there is no such legislation as the </w:t>
      </w:r>
      <w:r w:rsidRPr="009F23CB">
        <w:rPr>
          <w:rFonts w:cs="Times New Roman"/>
          <w:i/>
        </w:rPr>
        <w:t>Medical Examiners Act</w:t>
      </w:r>
      <w:r w:rsidRPr="009F23CB">
        <w:rPr>
          <w:rFonts w:cs="Times New Roman"/>
        </w:rPr>
        <w:t xml:space="preserve"> in Alberta, and the </w:t>
      </w:r>
      <w:r w:rsidRPr="009F23CB">
        <w:rPr>
          <w:rFonts w:cs="Times New Roman"/>
          <w:i/>
        </w:rPr>
        <w:t>Fatality Inquiries Act</w:t>
      </w:r>
      <w:r w:rsidRPr="009F23CB">
        <w:rPr>
          <w:rFonts w:cs="Times New Roman"/>
        </w:rPr>
        <w:t xml:space="preserve"> provides no detention power to police. </w:t>
      </w:r>
    </w:p>
    <w:p w14:paraId="7A0571BC" w14:textId="77777777" w:rsidR="009F23CB" w:rsidRPr="009F23CB" w:rsidRDefault="009F23CB" w:rsidP="009F23CB">
      <w:pPr>
        <w:pStyle w:val="ParaNoNdepar-AltN"/>
        <w:rPr>
          <w:rFonts w:cs="Times New Roman"/>
        </w:rPr>
      </w:pPr>
      <w:r w:rsidRPr="009F23CB">
        <w:rPr>
          <w:rFonts w:cs="Times New Roman"/>
        </w:rPr>
        <w:t xml:space="preserve">Cst. Husband took Mr. Beaver into custody. She told him that she had to “read [him] the legalities” and that she was “investigatively detaining [him] for, uh, whatever’s going on in there, (laughing)” (A.R., vol. III, at p. 28). She testified that she did not know what Mr. Beaver was under investigative detention for; he was taken into custody because police did not know whether he was a witness or an offender and they needed to find out his involvement. </w:t>
      </w:r>
    </w:p>
    <w:p w14:paraId="3DE938E6" w14:textId="77777777" w:rsidR="009F23CB" w:rsidRPr="009F23CB" w:rsidRDefault="009F23CB" w:rsidP="009F23CB">
      <w:pPr>
        <w:pStyle w:val="ParaNoNdepar-AltN"/>
        <w:rPr>
          <w:rFonts w:cs="Times New Roman"/>
        </w:rPr>
      </w:pPr>
      <w:r w:rsidRPr="009F23CB">
        <w:rPr>
          <w:rFonts w:cs="Times New Roman"/>
        </w:rPr>
        <w:t xml:space="preserve">Cst. Taylor was in charge of Mr. Lambert’s detention. He read Mr. Lambert his </w:t>
      </w:r>
      <w:r w:rsidRPr="009F23CB">
        <w:rPr>
          <w:rFonts w:cs="Times New Roman"/>
          <w:i/>
        </w:rPr>
        <w:t>Charter</w:t>
      </w:r>
      <w:r w:rsidRPr="009F23CB">
        <w:rPr>
          <w:rFonts w:cs="Times New Roman"/>
        </w:rPr>
        <w:t xml:space="preserve"> warning and caution, informing him that he was detained under the </w:t>
      </w:r>
      <w:r w:rsidRPr="009F23CB">
        <w:rPr>
          <w:rFonts w:cs="Times New Roman"/>
          <w:i/>
        </w:rPr>
        <w:t>Medical Examiners Act</w:t>
      </w:r>
      <w:r w:rsidRPr="009F23CB">
        <w:rPr>
          <w:rFonts w:cs="Times New Roman"/>
        </w:rPr>
        <w:t xml:space="preserve">. Mr. Lambert replied that he understood and wished to speak to a lawyer. </w:t>
      </w:r>
    </w:p>
    <w:p w14:paraId="3738B648" w14:textId="77777777" w:rsidR="009F23CB" w:rsidRPr="009F23CB" w:rsidRDefault="009F23CB" w:rsidP="009F23CB">
      <w:pPr>
        <w:pStyle w:val="ParaNoNdepar-AltN"/>
        <w:rPr>
          <w:rFonts w:cs="Times New Roman"/>
        </w:rPr>
      </w:pPr>
      <w:r w:rsidRPr="009F23CB">
        <w:rPr>
          <w:rFonts w:cs="Times New Roman"/>
        </w:rPr>
        <w:t>Cst. Taylor then transported Mr. Lambert to the station in his police vehicle. During the car ride, he asked Mr. Lambert about what had happened. Mr. Lambert described his version of what had occurred the previous night between himself, Mr. Beaver, and the deceased. He noted that a male he did not recognize had been at the residence with Mr. Bowers the previous evening.</w:t>
      </w:r>
    </w:p>
    <w:p w14:paraId="15B5C31F" w14:textId="77777777" w:rsidR="009F23CB" w:rsidRPr="009F23CB" w:rsidRDefault="009F23CB" w:rsidP="009F23CB">
      <w:pPr>
        <w:pStyle w:val="ParaNoNdepar-AltN"/>
        <w:rPr>
          <w:rFonts w:cs="Times New Roman"/>
        </w:rPr>
      </w:pPr>
      <w:r w:rsidRPr="009F23CB">
        <w:rPr>
          <w:rFonts w:cs="Times New Roman"/>
        </w:rPr>
        <w:t>Det. Vermette was assigned as the primary investigator on the file. At 10:36 a.m., he received a phone call from S/Sgt. Chisholm calling out the homicide unit to investigate a death. During this call, S/Sgt. Chisholm indicated that he had spoken to the medical investigator and a man had been found face down in a pool of blood at the bottom of the stairs near the front entrance of a residence. He informed Det. Vermette that there had been some conflict or dispute between the victim and his roommates, who were being transported to the police detachment. S/Sgt. Chisholm also sent Det. Vermette an email relating this information.</w:t>
      </w:r>
    </w:p>
    <w:p w14:paraId="790B435E" w14:textId="77777777" w:rsidR="009F23CB" w:rsidRPr="009F23CB" w:rsidRDefault="009F23CB" w:rsidP="009F23CB">
      <w:pPr>
        <w:pStyle w:val="ParaNoNdepar-AltN"/>
        <w:rPr>
          <w:rFonts w:cs="Times New Roman"/>
        </w:rPr>
      </w:pPr>
      <w:r w:rsidRPr="009F23CB">
        <w:rPr>
          <w:rFonts w:cs="Times New Roman"/>
        </w:rPr>
        <w:t>Csts. Husband and Taylor and the appellants arrived at police headquarters at about 11:15 a.m. The appellants were both searched and Mr. Lambert was given an opportunity to speak with a lawyer. They were placed in separate holding rooms. </w:t>
      </w:r>
    </w:p>
    <w:p w14:paraId="40245573" w14:textId="77777777" w:rsidR="009F23CB" w:rsidRPr="009F23CB" w:rsidRDefault="009F23CB" w:rsidP="009F23CB">
      <w:pPr>
        <w:pStyle w:val="ParaNoNdepar-AltN"/>
        <w:rPr>
          <w:rFonts w:cs="Times New Roman"/>
        </w:rPr>
      </w:pPr>
      <w:r w:rsidRPr="009F23CB">
        <w:rPr>
          <w:rFonts w:cs="Times New Roman"/>
        </w:rPr>
        <w:t>At 11:39 a.m., Det. Vermette spoke with Csts. Husband and Taylor. They informed him that the appellants had been “</w:t>
      </w:r>
      <w:r w:rsidRPr="009F23CB">
        <w:rPr>
          <w:rFonts w:cs="Times New Roman"/>
          <w:i/>
        </w:rPr>
        <w:t>Charter</w:t>
      </w:r>
      <w:r w:rsidRPr="009F23CB">
        <w:rPr>
          <w:rFonts w:cs="Times New Roman"/>
        </w:rPr>
        <w:t xml:space="preserve">ed and cautioned” and provided with an opportunity to speak with legal counsel (A.R., vol. I, at p. 210). Det. Vermette was “assuming” that they had been arrested for murder (p. 251). He assigned Det. Hossack and Det. Demarino to interview Mr. Lambert and Mr. Beaver, respectively. </w:t>
      </w:r>
    </w:p>
    <w:p w14:paraId="4CEEF09F" w14:textId="77777777" w:rsidR="009F23CB" w:rsidRPr="009F23CB" w:rsidRDefault="009F23CB" w:rsidP="009F23CB">
      <w:pPr>
        <w:pStyle w:val="ParaNoNdepar-AltN"/>
        <w:rPr>
          <w:rFonts w:cs="Times New Roman"/>
        </w:rPr>
      </w:pPr>
      <w:r w:rsidRPr="009F23CB">
        <w:rPr>
          <w:rFonts w:cs="Times New Roman"/>
        </w:rPr>
        <w:t>Det. Vermette testified that when he met with Csts. Husband and Taylor, he did not have reasonable grounds to arrest the appellants.</w:t>
      </w:r>
    </w:p>
    <w:p w14:paraId="0591E76C" w14:textId="77777777" w:rsidR="009F23CB" w:rsidRPr="009F23CB" w:rsidRDefault="009F23CB" w:rsidP="009F23CB">
      <w:pPr>
        <w:pStyle w:val="ParaNoNdepar-AltN"/>
        <w:rPr>
          <w:rFonts w:cs="Times New Roman"/>
        </w:rPr>
      </w:pPr>
      <w:r w:rsidRPr="009F23CB">
        <w:rPr>
          <w:rFonts w:cs="Times New Roman"/>
        </w:rPr>
        <w:t>Det. Vermette then reviewed the material in the police file. The material included an “Event Information”, which provided a summary of the case based on the 9</w:t>
      </w:r>
      <w:r w:rsidRPr="009F23CB">
        <w:rPr>
          <w:rFonts w:cs="Times New Roman"/>
        </w:rPr>
        <w:noBreakHyphen/>
        <w:t>1</w:t>
      </w:r>
      <w:r w:rsidRPr="009F23CB">
        <w:rPr>
          <w:rFonts w:cs="Times New Roman"/>
        </w:rPr>
        <w:noBreakHyphen/>
        <w:t xml:space="preserve">1 call and some remarks inputted from officers, and an “Event Chronology”, which essentially repeated the content of the Event Information. </w:t>
      </w:r>
    </w:p>
    <w:p w14:paraId="4967BDAD" w14:textId="77777777" w:rsidR="009F23CB" w:rsidRPr="009F23CB" w:rsidRDefault="009F23CB" w:rsidP="009F23CB">
      <w:pPr>
        <w:pStyle w:val="ParaNoNdepar-AltN"/>
        <w:rPr>
          <w:rFonts w:cs="Times New Roman"/>
        </w:rPr>
      </w:pPr>
      <w:r w:rsidRPr="009F23CB">
        <w:rPr>
          <w:rFonts w:cs="Times New Roman"/>
        </w:rPr>
        <w:t>The Event Information indicated that the 9-1-1 call was categorized as “medical – sudden death” (A.R., vol. III, at p. 321). It identified the townhouse as a location of interest, or “LOI”, because Mr. Lambert had previously made a complaint about his landlord, Mr. Bowers. It also indicated that police and emergency medical services had been called to the townhouse in August of that year, about three months prior to the 9</w:t>
      </w:r>
      <w:r w:rsidRPr="009F23CB">
        <w:rPr>
          <w:rFonts w:cs="Times New Roman"/>
        </w:rPr>
        <w:noBreakHyphen/>
        <w:t>1</w:t>
      </w:r>
      <w:r w:rsidRPr="009F23CB">
        <w:rPr>
          <w:rFonts w:cs="Times New Roman"/>
        </w:rPr>
        <w:noBreakHyphen/>
        <w:t>1 call, to perform a mental health check on Mr. Bowers after he had drank floor cleaner in what Det. Vermette described as an “attempted suicide kind of situation” (A.R., vol. I, at p. 217). The Event Information showed that Mr. Bowers had a criminal history for violence, but showed no criminal history for either of the appellants. Det. Vermette testified he believed the Event Information was important because it showed there was an “environment of violence” at the townhouse (</w:t>
      </w:r>
      <w:r w:rsidRPr="009F23CB">
        <w:rPr>
          <w:rFonts w:cs="Times New Roman"/>
          <w:lang w:val="en-US"/>
        </w:rPr>
        <w:t>p. 219).</w:t>
      </w:r>
    </w:p>
    <w:p w14:paraId="2BE46C77" w14:textId="77777777" w:rsidR="009F23CB" w:rsidRPr="009F23CB" w:rsidRDefault="009F23CB" w:rsidP="009F23CB">
      <w:pPr>
        <w:pStyle w:val="ParaNoNdepar-AltN"/>
        <w:rPr>
          <w:rFonts w:cs="Times New Roman"/>
        </w:rPr>
      </w:pPr>
      <w:r w:rsidRPr="009F23CB">
        <w:rPr>
          <w:rFonts w:cs="Times New Roman"/>
        </w:rPr>
        <w:t>Mr. Lambert’s complaint about Mr. Bowers was further detailed in a Police Information Management System (“PIMS”) report, which also formed part of the file. The PIMS report indicated that three days before the 9-1-1 call, Mr. Lambert had reported to police that Mr. Bowers had been drinking and punched him in the groin. Mr. Lambert called police to inquire about the process if charges were pursued, but the report noted that he did not wish to lay charges, provide a statement, or further involve police. He planned to move out within the next two weeks. Det. Vermette explained that he viewed the PIMS report as important because it corroborated the “environment of violence” from the Event Information</w:t>
      </w:r>
      <w:r w:rsidRPr="009F23CB">
        <w:rPr>
          <w:rFonts w:cs="Times New Roman"/>
          <w:lang w:val="en-US"/>
        </w:rPr>
        <w:t>.</w:t>
      </w:r>
    </w:p>
    <w:p w14:paraId="7521EA2B" w14:textId="77777777" w:rsidR="009F23CB" w:rsidRPr="009F23CB" w:rsidRDefault="009F23CB" w:rsidP="009F23CB">
      <w:pPr>
        <w:pStyle w:val="ParaNoNdepar-AltN"/>
        <w:rPr>
          <w:rFonts w:cs="Times New Roman"/>
        </w:rPr>
      </w:pPr>
      <w:r w:rsidRPr="009F23CB">
        <w:rPr>
          <w:rFonts w:cs="Times New Roman"/>
        </w:rPr>
        <w:t>Shortly after beginning Mr. Lambert’s interview, Det. Demarino learned of the circumstances of the appellants’ detention from Cst. Husband. Recognizing the serious legal issues engaged, he brought his concerns to Det. Vermette. Det. Vermette then instructed the interviewing detectives to arrest the appellants for murder, re-do their cautions, and proceed with the interviews. He testified that he took at most two minutes to make the decision to arrest the appellants after he learned of the circumstances of their detention. He said he needed to act quickly because he knew the appellants were at the police headquarters “illegally” (A.R., vol. I, at p. 256).</w:t>
      </w:r>
    </w:p>
    <w:p w14:paraId="312164C4" w14:textId="77777777" w:rsidR="009F23CB" w:rsidRPr="009F23CB" w:rsidRDefault="009F23CB" w:rsidP="009F23CB">
      <w:pPr>
        <w:pStyle w:val="ParaNoNdepar-AltN"/>
        <w:rPr>
          <w:rFonts w:cs="Times New Roman"/>
        </w:rPr>
      </w:pPr>
      <w:r w:rsidRPr="009F23CB">
        <w:rPr>
          <w:rFonts w:cs="Times New Roman"/>
        </w:rPr>
        <w:t xml:space="preserve">Det. Vermette took no notes of this interaction with Det. Demarino, or others, and did not record the grounds on which he based his decision to direct the appellants’ arrests. </w:t>
      </w:r>
    </w:p>
    <w:p w14:paraId="69237177" w14:textId="77777777" w:rsidR="009F23CB" w:rsidRPr="009F23CB" w:rsidRDefault="009F23CB" w:rsidP="009F23CB">
      <w:pPr>
        <w:pStyle w:val="ParaNoNdepar-AltN"/>
        <w:rPr>
          <w:rFonts w:cs="Times New Roman"/>
        </w:rPr>
      </w:pPr>
      <w:r w:rsidRPr="009F23CB">
        <w:rPr>
          <w:rFonts w:cs="Times New Roman"/>
        </w:rPr>
        <w:t>Det. Demarino returned to Mr. Lambert’s interview room and arrested him for murder. He provided Mr. Lambert with another opportunity to consult counsel and cautioned him on his right to silence. Cst. Arns photographed and swabbed Mr. Lambert. She told him, “right now it’s just you’re one of our witnesses and it’s a normal procedure that we usually do” (A.R., vol. II, at pp. 132-33; see also ABQB</w:t>
      </w:r>
      <w:r w:rsidRPr="009F23CB">
        <w:rPr>
          <w:rFonts w:cs="Times New Roman"/>
          <w:i/>
        </w:rPr>
        <w:t xml:space="preserve"> </w:t>
      </w:r>
      <w:r w:rsidRPr="009F23CB">
        <w:rPr>
          <w:rFonts w:cs="Times New Roman"/>
        </w:rPr>
        <w:t>reasons, at para. 37). Mr. Lambert maintained for several hours that he wished to exercise his right to silence, but eventually began to speak.</w:t>
      </w:r>
    </w:p>
    <w:p w14:paraId="0FC4E043" w14:textId="77777777" w:rsidR="009F23CB" w:rsidRPr="009F23CB" w:rsidRDefault="009F23CB" w:rsidP="009F23CB">
      <w:pPr>
        <w:pStyle w:val="ParaNoNdepar-AltN"/>
        <w:rPr>
          <w:rFonts w:cs="Times New Roman"/>
        </w:rPr>
      </w:pPr>
      <w:r w:rsidRPr="009F23CB">
        <w:rPr>
          <w:rFonts w:cs="Times New Roman"/>
        </w:rPr>
        <w:t>In a separate room, Det. Hossack arrested Mr. Beaver for murder and informed him of his right to counsel. She emphasized that nothing had changed from when he was previously cautioned — she was simply reading the caution to “start off fresh” (A.R., vol. III, at p. 50). When Mr. Beaver expressed surprise that he was under arrest, Det. Hossack reassured him all this meant was that he could not leave. Det. Hossack told Mr. Beaver she was only reading the caution again because she was a new person he was speaking to. Mr. Beaver told Det. Hossack that he did not think he needed counsel, but he was “not understanding the severity of it” (A.R., vol. III, at p. 53). In response, Det. Hossack explained to Mr. Beaver that he was brought to police headquarters because he was at the scene where the body was found and told him, “we need to figure out what’s going on and because . . . you were there um, just kind of in a, in a cautionary way we have to charter everyone” (p. 54).</w:t>
      </w:r>
    </w:p>
    <w:p w14:paraId="0EDC31C0" w14:textId="77777777" w:rsidR="009F23CB" w:rsidRPr="009F23CB" w:rsidRDefault="009F23CB" w:rsidP="009F23CB">
      <w:pPr>
        <w:pStyle w:val="ParaNoNdepar-AltN"/>
        <w:rPr>
          <w:rFonts w:cs="Times New Roman"/>
        </w:rPr>
      </w:pPr>
      <w:r w:rsidRPr="009F23CB">
        <w:rPr>
          <w:rFonts w:cs="Times New Roman"/>
        </w:rPr>
        <w:t xml:space="preserve">Mr. Beaver waived his right to counsel. For the first 12 hours of the interview, he maintained that he could not remember what had happened as he had been drinking the previous night. At around 1:00 a.m., after Det. Hossack started taking a more aggressive approach, he began adopting the inculpatory statements she put to him. </w:t>
      </w:r>
      <w:r w:rsidRPr="009F23CB">
        <w:rPr>
          <w:rFonts w:cs="Times New Roman"/>
          <w:lang w:val="en-US"/>
        </w:rPr>
        <w:t xml:space="preserve"> </w:t>
      </w:r>
    </w:p>
    <w:p w14:paraId="306D4A33" w14:textId="77777777" w:rsidR="009F23CB" w:rsidRPr="009F23CB" w:rsidRDefault="009F23CB" w:rsidP="009F23CB">
      <w:pPr>
        <w:pStyle w:val="Title2LevelTitre2Niveau"/>
        <w:keepNext/>
        <w:numPr>
          <w:ilvl w:val="1"/>
          <w:numId w:val="18"/>
        </w:numPr>
        <w:rPr>
          <w:rFonts w:cs="Times New Roman"/>
        </w:rPr>
      </w:pPr>
      <w:r w:rsidRPr="009F23CB">
        <w:rPr>
          <w:rFonts w:cs="Times New Roman"/>
        </w:rPr>
        <w:t>Lower Court Decisions</w:t>
      </w:r>
    </w:p>
    <w:p w14:paraId="6BC449E3" w14:textId="77777777" w:rsidR="009F23CB" w:rsidRPr="009F23CB" w:rsidRDefault="009F23CB" w:rsidP="009F23CB">
      <w:pPr>
        <w:pStyle w:val="ParaNoNdepar-AltN"/>
        <w:rPr>
          <w:rFonts w:cs="Times New Roman"/>
        </w:rPr>
      </w:pPr>
      <w:r w:rsidRPr="009F23CB">
        <w:rPr>
          <w:rFonts w:cs="Times New Roman"/>
        </w:rPr>
        <w:t xml:space="preserve">The trial judge denied the appellants’ application to exclude the evidence as a remedy for the </w:t>
      </w:r>
      <w:r w:rsidRPr="009F23CB">
        <w:rPr>
          <w:rFonts w:cs="Times New Roman"/>
          <w:i/>
        </w:rPr>
        <w:t xml:space="preserve">Charter </w:t>
      </w:r>
      <w:r w:rsidRPr="009F23CB">
        <w:rPr>
          <w:rFonts w:cs="Times New Roman"/>
        </w:rPr>
        <w:t xml:space="preserve">breaches. He concluded that the appellants’ detention at the scene was unlawful because there was no “clear nexus” between the appellants and Mr. Bowers’ death; nor was it clear that Mr. Bowers had died as a result of a criminal offence (para. 149). Nevertheless, he found that Det. Vermette had subjective and objectively reasonable grounds to arrest the appellants for murder based on the trauma Mr. Bowers suffered and the appellants’ motive and opportunity to commit the offence (para. 159). Unlike the officers at the scene who did not form reasonable grounds, Det. Vermette had access to the PIMS report, which demonstrated animosity between Mr. Bowers and Mr. Lambert (para. 158). </w:t>
      </w:r>
    </w:p>
    <w:p w14:paraId="64536E9E" w14:textId="77777777" w:rsidR="009F23CB" w:rsidRPr="009F23CB" w:rsidRDefault="009F23CB" w:rsidP="009F23CB">
      <w:pPr>
        <w:pStyle w:val="ParaNoNdepar-AltN"/>
        <w:rPr>
          <w:rFonts w:cs="Times New Roman"/>
        </w:rPr>
      </w:pPr>
      <w:r w:rsidRPr="009F23CB">
        <w:rPr>
          <w:rFonts w:cs="Times New Roman"/>
        </w:rPr>
        <w:t xml:space="preserve">Although he found it unnecessary to analyze whether to exclude the evidence under s. 24(2) of the </w:t>
      </w:r>
      <w:r w:rsidRPr="009F23CB">
        <w:rPr>
          <w:rFonts w:cs="Times New Roman"/>
          <w:i/>
        </w:rPr>
        <w:t>Charter</w:t>
      </w:r>
      <w:r w:rsidRPr="009F23CB">
        <w:rPr>
          <w:rFonts w:cs="Times New Roman"/>
        </w:rPr>
        <w:t xml:space="preserve"> because the arrests constituted a “fresh start” that “cured” the breaches (at para. 215), the judge conducted an alternative analysis of the factors as outlined in </w:t>
      </w:r>
      <w:r w:rsidRPr="009F23CB">
        <w:rPr>
          <w:rFonts w:cs="Times New Roman"/>
          <w:i/>
        </w:rPr>
        <w:t>R. v. Grant</w:t>
      </w:r>
      <w:r w:rsidRPr="009F23CB">
        <w:rPr>
          <w:rFonts w:cs="Times New Roman"/>
        </w:rPr>
        <w:t xml:space="preserve">, 2009 SCC 32, [2009] 2 S.C.R. 353. He concluded the breaches would not have warranted exclusion because the state conduct was not deliberate, severe, or a blatant disregard for </w:t>
      </w:r>
      <w:r w:rsidRPr="009F23CB">
        <w:rPr>
          <w:rFonts w:cs="Times New Roman"/>
          <w:i/>
        </w:rPr>
        <w:t xml:space="preserve">Charter </w:t>
      </w:r>
      <w:r w:rsidRPr="009F23CB">
        <w:rPr>
          <w:rFonts w:cs="Times New Roman"/>
        </w:rPr>
        <w:t xml:space="preserve">rights; the breaches had little impact on the appellants; and there were no reliability concerns with the evidence, despite their importance to the Crown’s case being unclear. </w:t>
      </w:r>
    </w:p>
    <w:p w14:paraId="6FC785A0" w14:textId="77777777" w:rsidR="009F23CB" w:rsidRPr="009F23CB" w:rsidRDefault="009F23CB" w:rsidP="009F23CB">
      <w:pPr>
        <w:pStyle w:val="ParaNoNdepar-AltN"/>
        <w:rPr>
          <w:rFonts w:cs="Times New Roman"/>
        </w:rPr>
      </w:pPr>
      <w:r w:rsidRPr="009F23CB">
        <w:rPr>
          <w:rFonts w:cs="Times New Roman"/>
        </w:rPr>
        <w:t>The Court of Appeal of Alberta unanimously dismissed the appeal (2020 ABCA 203, 4 Alta. L.R. (7th) 301). The court agreed that there were reasonable grounds for the arrests, opining that Det. Vermette “made a practical and common-sense decision to arrest the appellants based on the information he had received by the time of the arrests” (para. 9). It found no error in the trial judge’s “fresh start” analysis, and did not consider his alternative analysis under s. 24(2).</w:t>
      </w:r>
    </w:p>
    <w:p w14:paraId="545E5059" w14:textId="77777777" w:rsidR="009F23CB" w:rsidRPr="009F23CB" w:rsidRDefault="009F23CB" w:rsidP="009F23CB">
      <w:pPr>
        <w:pStyle w:val="Title1LevelTitre1Niveau-AltL"/>
        <w:numPr>
          <w:ilvl w:val="0"/>
          <w:numId w:val="18"/>
        </w:numPr>
        <w:rPr>
          <w:rFonts w:cs="Times New Roman"/>
          <w:lang w:val="en-US"/>
        </w:rPr>
      </w:pPr>
      <w:r w:rsidRPr="009F23CB">
        <w:rPr>
          <w:rFonts w:cs="Times New Roman"/>
          <w:lang w:val="en-US"/>
        </w:rPr>
        <w:t>Analysis</w:t>
      </w:r>
    </w:p>
    <w:p w14:paraId="413D3EAC" w14:textId="77777777" w:rsidR="009F23CB" w:rsidRPr="009F23CB" w:rsidRDefault="009F23CB" w:rsidP="009F23CB">
      <w:pPr>
        <w:pStyle w:val="ParaNoNdepar-AltN"/>
        <w:rPr>
          <w:rFonts w:cs="Times New Roman"/>
          <w:lang w:val="en-US"/>
        </w:rPr>
      </w:pPr>
      <w:r w:rsidRPr="009F23CB">
        <w:rPr>
          <w:rFonts w:cs="Times New Roman"/>
          <w:lang w:val="en-US"/>
        </w:rPr>
        <w:t xml:space="preserve">My analysis will address three issues. First, were the appellants’ arrests unlawful? Second, was the evidence provided in their statements “obtained in a manner” that infringed their </w:t>
      </w:r>
      <w:r w:rsidRPr="009F23CB">
        <w:rPr>
          <w:rFonts w:cs="Times New Roman"/>
          <w:i/>
          <w:lang w:val="en-US"/>
        </w:rPr>
        <w:t>Charter</w:t>
      </w:r>
      <w:r w:rsidRPr="009F23CB">
        <w:rPr>
          <w:rFonts w:cs="Times New Roman"/>
          <w:lang w:val="en-US"/>
        </w:rPr>
        <w:t xml:space="preserve"> rights? Finally, would admission of the evidence bring the administration of justice into disrepute?</w:t>
      </w:r>
    </w:p>
    <w:p w14:paraId="659A2C3E" w14:textId="77777777" w:rsidR="009F23CB" w:rsidRPr="009F23CB" w:rsidRDefault="009F23CB" w:rsidP="009F23CB">
      <w:pPr>
        <w:pStyle w:val="ParaNoNdepar-AltN"/>
        <w:rPr>
          <w:rFonts w:cs="Times New Roman"/>
          <w:lang w:val="en-US"/>
        </w:rPr>
      </w:pPr>
      <w:r w:rsidRPr="009F23CB">
        <w:rPr>
          <w:rFonts w:cs="Times New Roman"/>
          <w:lang w:val="en-US"/>
        </w:rPr>
        <w:t>I have no hesitation in answering each of these questions in the affirmative.</w:t>
      </w:r>
    </w:p>
    <w:p w14:paraId="66A0259B" w14:textId="77777777" w:rsidR="009F23CB" w:rsidRPr="009F23CB" w:rsidRDefault="009F23CB" w:rsidP="009F23CB">
      <w:pPr>
        <w:pStyle w:val="Title2LevelTitre2Niveau"/>
        <w:numPr>
          <w:ilvl w:val="1"/>
          <w:numId w:val="18"/>
        </w:numPr>
        <w:rPr>
          <w:rFonts w:cs="Times New Roman"/>
          <w:lang w:val="en-US"/>
        </w:rPr>
      </w:pPr>
      <w:r w:rsidRPr="009F23CB">
        <w:rPr>
          <w:rFonts w:cs="Times New Roman"/>
          <w:lang w:val="en-US"/>
        </w:rPr>
        <w:t>The Appellants’ Arrests Were Unlawful</w:t>
      </w:r>
    </w:p>
    <w:p w14:paraId="28CF9868" w14:textId="77777777" w:rsidR="009F23CB" w:rsidRPr="009F23CB" w:rsidRDefault="009F23CB" w:rsidP="009F23CB">
      <w:pPr>
        <w:pStyle w:val="ParaNoNdepar-AltN"/>
        <w:rPr>
          <w:rFonts w:cs="Times New Roman"/>
        </w:rPr>
      </w:pPr>
      <w:r w:rsidRPr="009F23CB">
        <w:rPr>
          <w:rFonts w:cs="Times New Roman"/>
          <w:lang w:val="en-US"/>
        </w:rPr>
        <w:t>It is well established that police must have reasonable grounds to believe an individual committed or was about to commit an indictable offence in order to lawfully arrest them without prior judicial authorization (</w:t>
      </w:r>
      <w:r w:rsidRPr="009F23CB">
        <w:rPr>
          <w:rFonts w:cs="Times New Roman"/>
          <w:i/>
          <w:lang w:val="en-US"/>
        </w:rPr>
        <w:t>Criminal Code</w:t>
      </w:r>
      <w:r w:rsidRPr="009F23CB">
        <w:rPr>
          <w:rFonts w:cs="Times New Roman"/>
          <w:lang w:val="en-US"/>
        </w:rPr>
        <w:t>, R.S.C. 1985, c. C-46, s. 495(1</w:t>
      </w:r>
      <w:proofErr w:type="gramStart"/>
      <w:r w:rsidRPr="009F23CB">
        <w:rPr>
          <w:rFonts w:cs="Times New Roman"/>
          <w:lang w:val="en-US"/>
        </w:rPr>
        <w:t>)(</w:t>
      </w:r>
      <w:proofErr w:type="gramEnd"/>
      <w:r w:rsidRPr="009F23CB">
        <w:rPr>
          <w:rFonts w:cs="Times New Roman"/>
          <w:lang w:val="en-US"/>
        </w:rPr>
        <w:t>a)). T</w:t>
      </w:r>
      <w:r w:rsidRPr="009F23CB">
        <w:rPr>
          <w:rFonts w:cs="Times New Roman"/>
        </w:rPr>
        <w:t>he reasonable belief must relate to two elements: whether an offence has been committed, and whether the person under arrest committed the offence. The test must be met on both a subjective and an objective basis. This means that it is necessary, but not sufficient, for the police to have a personal, honestly held belief in the presence of reasonable grounds. The Crown must also establish that the asserted grounds were objectively reasonable from the perspective of a reasonable person standing in the position of the officer (</w:t>
      </w:r>
      <w:r w:rsidRPr="009F23CB">
        <w:rPr>
          <w:rFonts w:cs="Times New Roman"/>
          <w:i/>
        </w:rPr>
        <w:t>R. v. Storrey</w:t>
      </w:r>
      <w:r w:rsidRPr="009F23CB">
        <w:rPr>
          <w:rFonts w:cs="Times New Roman"/>
        </w:rPr>
        <w:t xml:space="preserve">, [1990] 1 S.C.R. 241, at pp. 250-51). </w:t>
      </w:r>
    </w:p>
    <w:p w14:paraId="3F16933D" w14:textId="77777777" w:rsidR="009F23CB" w:rsidRPr="009F23CB" w:rsidRDefault="009F23CB" w:rsidP="009F23CB">
      <w:pPr>
        <w:pStyle w:val="ParaNoNdepar-AltN"/>
        <w:rPr>
          <w:rFonts w:cs="Times New Roman"/>
        </w:rPr>
      </w:pPr>
      <w:r w:rsidRPr="009F23CB">
        <w:rPr>
          <w:rFonts w:cs="Times New Roman"/>
        </w:rPr>
        <w:t>Reasonable grounds is a high threshold that is met at the point where a credibly based probability replaces suspicion (</w:t>
      </w:r>
      <w:r w:rsidRPr="009F23CB">
        <w:rPr>
          <w:rFonts w:cs="Times New Roman"/>
          <w:i/>
        </w:rPr>
        <w:t>Hunter v. Southam Inc.</w:t>
      </w:r>
      <w:r w:rsidRPr="009F23CB">
        <w:rPr>
          <w:rFonts w:cs="Times New Roman"/>
        </w:rPr>
        <w:t xml:space="preserve">, [1984] 2 S.C.R. 145, at pp. 166-67; </w:t>
      </w:r>
      <w:r w:rsidRPr="009F23CB">
        <w:rPr>
          <w:rFonts w:cs="Times New Roman"/>
          <w:i/>
        </w:rPr>
        <w:t>Baron v. Canada</w:t>
      </w:r>
      <w:r w:rsidRPr="009F23CB">
        <w:rPr>
          <w:rFonts w:cs="Times New Roman"/>
        </w:rPr>
        <w:t>, [1993] 1 S.C.R. 416, pp. 446-47). It requires the police to point to particularized evidence to support “an objective basis for the belief which is based on compelling and credible information” (</w:t>
      </w:r>
      <w:r w:rsidRPr="009F23CB">
        <w:rPr>
          <w:rFonts w:cs="Times New Roman"/>
          <w:i/>
        </w:rPr>
        <w:t>Mugesera</w:t>
      </w:r>
      <w:bookmarkStart w:id="99" w:name="_GoBack"/>
      <w:bookmarkEnd w:id="99"/>
      <w:r w:rsidRPr="009F23CB">
        <w:rPr>
          <w:rFonts w:cs="Times New Roman"/>
          <w:i/>
        </w:rPr>
        <w:t xml:space="preserve"> v. Canada (Minister of Citizenship and Immigration)</w:t>
      </w:r>
      <w:r w:rsidRPr="009F23CB">
        <w:rPr>
          <w:rFonts w:cs="Times New Roman"/>
        </w:rPr>
        <w:t>, 2005 SCC 40, [2005] 2 S.C.R. 100, at para. 114). Whether the legal standard of reasonable grounds was met on the particular facts of a given case is a question of law to be assessed on a correctness standard (</w:t>
      </w:r>
      <w:r w:rsidRPr="009F23CB">
        <w:rPr>
          <w:rFonts w:cs="Times New Roman"/>
          <w:i/>
        </w:rPr>
        <w:t>R. v. Shepherd</w:t>
      </w:r>
      <w:r w:rsidRPr="009F23CB">
        <w:rPr>
          <w:rFonts w:cs="Times New Roman"/>
        </w:rPr>
        <w:t xml:space="preserve">, 2009 SCC 35, [2009] 2 S.C.R. 527, at para. 20; </w:t>
      </w:r>
      <w:r w:rsidRPr="009F23CB">
        <w:rPr>
          <w:rFonts w:cs="Times New Roman"/>
          <w:i/>
        </w:rPr>
        <w:t>R. v. MacKenzie</w:t>
      </w:r>
      <w:r w:rsidRPr="009F23CB">
        <w:rPr>
          <w:rFonts w:cs="Times New Roman"/>
        </w:rPr>
        <w:t xml:space="preserve">, 2013 SCC 50, [2013] 3 S.C.R. 250, at para. 54). </w:t>
      </w:r>
    </w:p>
    <w:p w14:paraId="601B739C" w14:textId="77777777" w:rsidR="009F23CB" w:rsidRPr="009F23CB" w:rsidRDefault="009F23CB" w:rsidP="009F23CB">
      <w:pPr>
        <w:pStyle w:val="ParaNoNdepar-AltN"/>
        <w:rPr>
          <w:rFonts w:cs="Times New Roman"/>
          <w:lang w:val="en-US"/>
        </w:rPr>
      </w:pPr>
      <w:r w:rsidRPr="009F23CB">
        <w:rPr>
          <w:rFonts w:cs="Times New Roman"/>
          <w:lang w:val="en-US"/>
        </w:rPr>
        <w:t xml:space="preserve">The need to establish reasonable grounds before effecting an arrest is not a mere procedural requirement — it is a constitutional imperative. An arrest is a key investigative step on which much hinges, both for the police and for the arrestee. It triggers intrusive police powers relating to detention, interrogation, search, and the use of force. </w:t>
      </w:r>
      <w:r w:rsidRPr="009F23CB">
        <w:rPr>
          <w:rFonts w:cs="Times New Roman"/>
        </w:rPr>
        <w:t>An arrest empowers police to search the individual and their immediate surroundings without requiring them to obtain a warrant or show independent reasonable and probable grounds. Police can detain arrested individuals without any review for up to 24 hours — potentially longer if a justice is unavailable (</w:t>
      </w:r>
      <w:r w:rsidRPr="009F23CB">
        <w:rPr>
          <w:rFonts w:cs="Times New Roman"/>
          <w:i/>
        </w:rPr>
        <w:t>Criminal Code</w:t>
      </w:r>
      <w:r w:rsidRPr="009F23CB">
        <w:rPr>
          <w:rFonts w:cs="Times New Roman"/>
        </w:rPr>
        <w:t xml:space="preserve">, s. 503(1)). During this prolonged detention, the police may subject the arrestee to hours on end of questioning involving forms of manipulation, including lying to the arrestee in order to extract information. This is why, in the foundational decision of </w:t>
      </w:r>
      <w:r w:rsidRPr="009F23CB">
        <w:rPr>
          <w:rFonts w:cs="Times New Roman"/>
          <w:i/>
        </w:rPr>
        <w:t>Storrey</w:t>
      </w:r>
      <w:r w:rsidRPr="009F23CB">
        <w:rPr>
          <w:rFonts w:cs="Times New Roman"/>
        </w:rPr>
        <w:t xml:space="preserve">, Cory J. described the reasonable grounds requirement as a vital protection necessary to safeguard citizens’ liberty and without which “even the most democratic society could all too easily fall prey to the abuses and excesses of a police state” (p. 249). The powers an arrest affords to the police is only justifiable on the basis of demonstrating reasonable grounds to believe an offence has been committed. Absent this information, the intrusion on liberty interests tolerated in the name of the investigation of crime cannot be justified. The reasonable grounds standard is a key constitutional safeguard and it must not be watered down because of mere investigative expediency or to salvage an investigation in the face of </w:t>
      </w:r>
      <w:r w:rsidRPr="009F23CB">
        <w:rPr>
          <w:rFonts w:cs="Times New Roman"/>
          <w:i/>
        </w:rPr>
        <w:t>Charter</w:t>
      </w:r>
      <w:r w:rsidRPr="009F23CB">
        <w:rPr>
          <w:rFonts w:cs="Times New Roman"/>
        </w:rPr>
        <w:t xml:space="preserve">-infringing conduct. </w:t>
      </w:r>
    </w:p>
    <w:p w14:paraId="182F0975" w14:textId="77777777" w:rsidR="009F23CB" w:rsidRPr="009F23CB" w:rsidRDefault="009F23CB" w:rsidP="009F23CB">
      <w:pPr>
        <w:pStyle w:val="ParaNoNdepar-AltN"/>
        <w:rPr>
          <w:rFonts w:cs="Times New Roman"/>
          <w:lang w:val="en-US"/>
        </w:rPr>
      </w:pPr>
      <w:r w:rsidRPr="009F23CB">
        <w:rPr>
          <w:rFonts w:cs="Times New Roman"/>
          <w:lang w:val="en-US"/>
        </w:rPr>
        <w:t>It is worth setting out at some length Det. Vermette’s testimony describing the basis on which he asserted that there were reasonable grounds to direct the appellants’ arrests. He explained his grounds for arrest in this way:</w:t>
      </w:r>
    </w:p>
    <w:p w14:paraId="5F8A828D" w14:textId="77777777" w:rsidR="009F23CB" w:rsidRPr="009F23CB" w:rsidRDefault="009F23CB" w:rsidP="009F23CB">
      <w:pPr>
        <w:pStyle w:val="Citation-AltC"/>
        <w:rPr>
          <w:lang w:val="en-US"/>
        </w:rPr>
      </w:pPr>
      <w:r w:rsidRPr="009F23CB">
        <w:rPr>
          <w:lang w:val="en-US"/>
        </w:rPr>
        <w:t xml:space="preserve">. . . </w:t>
      </w:r>
      <w:proofErr w:type="gramStart"/>
      <w:r w:rsidRPr="009F23CB">
        <w:rPr>
          <w:lang w:val="en-US"/>
        </w:rPr>
        <w:t>when</w:t>
      </w:r>
      <w:proofErr w:type="gramEnd"/>
      <w:r w:rsidRPr="009F23CB">
        <w:rPr>
          <w:lang w:val="en-US"/>
        </w:rPr>
        <w:t xml:space="preserve"> I get called out, it’s called out on a suspicious death. The -- the -- there is -- it is clear that there’s a conversation between Staff Sergeant Chisholm and the medical examiner. That is important to me. I know the process that we go through and how the medical examiner or the Medical Examiner’s Office triage those type of calls. So that call coming in as suspicious is important to me. </w:t>
      </w:r>
    </w:p>
    <w:p w14:paraId="5FBF4C23" w14:textId="77777777" w:rsidR="009F23CB" w:rsidRPr="009F23CB" w:rsidRDefault="009F23CB" w:rsidP="009F23CB">
      <w:pPr>
        <w:pStyle w:val="Citation-AltC"/>
        <w:rPr>
          <w:lang w:val="en-US"/>
        </w:rPr>
      </w:pPr>
    </w:p>
    <w:p w14:paraId="48D8D0A7" w14:textId="77777777" w:rsidR="009F23CB" w:rsidRPr="009F23CB" w:rsidRDefault="009F23CB" w:rsidP="009F23CB">
      <w:pPr>
        <w:pStyle w:val="Citation-AltC"/>
        <w:ind w:firstLine="274"/>
        <w:rPr>
          <w:lang w:val="en-US"/>
        </w:rPr>
      </w:pPr>
      <w:r w:rsidRPr="009F23CB">
        <w:rPr>
          <w:lang w:val="en-US"/>
        </w:rPr>
        <w:t>I know that someone is deceased at the scene, and I start getting relationships based on that. I can tell you that Brian Lambert is the caller. He identifies himself as the roommate. And without getting into too much detail, I believed that Jim Beaver is the other roommate that is present as well. . . .</w:t>
      </w:r>
    </w:p>
    <w:p w14:paraId="40C96CC3" w14:textId="77777777" w:rsidR="009F23CB" w:rsidRPr="009F23CB" w:rsidRDefault="009F23CB" w:rsidP="009F23CB">
      <w:pPr>
        <w:pStyle w:val="Citation-AltC"/>
        <w:rPr>
          <w:lang w:val="en-US"/>
        </w:rPr>
      </w:pPr>
    </w:p>
    <w:p w14:paraId="0A5E435E" w14:textId="77777777" w:rsidR="009F23CB" w:rsidRPr="009F23CB" w:rsidRDefault="009F23CB" w:rsidP="009F23CB">
      <w:pPr>
        <w:pStyle w:val="Citation-AltC"/>
        <w:jc w:val="center"/>
        <w:rPr>
          <w:lang w:val="en-US"/>
        </w:rPr>
      </w:pPr>
      <w:r w:rsidRPr="009F23CB">
        <w:rPr>
          <w:lang w:val="en-US"/>
        </w:rPr>
        <w:t>. . .</w:t>
      </w:r>
    </w:p>
    <w:p w14:paraId="5D4B2E69" w14:textId="77777777" w:rsidR="009F23CB" w:rsidRPr="009F23CB" w:rsidRDefault="009F23CB" w:rsidP="009F23CB">
      <w:pPr>
        <w:pStyle w:val="Citation-AltC"/>
        <w:jc w:val="center"/>
        <w:rPr>
          <w:lang w:val="en-US"/>
        </w:rPr>
      </w:pPr>
    </w:p>
    <w:p w14:paraId="28405401" w14:textId="77777777" w:rsidR="009F23CB" w:rsidRPr="009F23CB" w:rsidRDefault="009F23CB" w:rsidP="009F23CB">
      <w:pPr>
        <w:pStyle w:val="Citation-AltC"/>
        <w:ind w:firstLine="274"/>
        <w:rPr>
          <w:lang w:val="en-US"/>
        </w:rPr>
      </w:pPr>
      <w:r w:rsidRPr="009F23CB">
        <w:rPr>
          <w:lang w:val="en-US"/>
        </w:rPr>
        <w:t xml:space="preserve">. . . </w:t>
      </w:r>
      <w:proofErr w:type="gramStart"/>
      <w:r w:rsidRPr="009F23CB">
        <w:rPr>
          <w:lang w:val="en-US"/>
        </w:rPr>
        <w:t>we</w:t>
      </w:r>
      <w:proofErr w:type="gramEnd"/>
      <w:r w:rsidRPr="009F23CB">
        <w:rPr>
          <w:lang w:val="en-US"/>
        </w:rPr>
        <w:t xml:space="preserve"> talk about a prior altercation with roommates. So what I am looking at here, if I look at the totality, I look at the environment, I look at the violence, I look at the anger, I look at some of the vernacular that was used, I can see that both roommates were there at the time of this 911 call. I look -- I start looking at opportunity. Is there possible opportunity that Mr. Beaver or Mr. Lambert could have committed this offence? Why do I say “this offence”? I believe it to be suspicious in nature. There’s red flags all over the document.</w:t>
      </w:r>
    </w:p>
    <w:p w14:paraId="46E36661" w14:textId="77777777" w:rsidR="009F23CB" w:rsidRPr="009F23CB" w:rsidRDefault="009F23CB" w:rsidP="009F23CB">
      <w:pPr>
        <w:pStyle w:val="Citation-AltC"/>
        <w:rPr>
          <w:lang w:val="en-US"/>
        </w:rPr>
      </w:pPr>
    </w:p>
    <w:p w14:paraId="1CDB8409" w14:textId="77777777" w:rsidR="009F23CB" w:rsidRPr="009F23CB" w:rsidRDefault="009F23CB" w:rsidP="009F23CB">
      <w:pPr>
        <w:pStyle w:val="Citation-AltC"/>
        <w:ind w:firstLine="274"/>
        <w:rPr>
          <w:lang w:val="en-US"/>
        </w:rPr>
      </w:pPr>
      <w:r w:rsidRPr="009F23CB">
        <w:rPr>
          <w:lang w:val="en-US"/>
        </w:rPr>
        <w:t xml:space="preserve">Now, when I look at the PIMS report and then I look at that as corroborating some of the information that I saw, I start looking at motive. I start looking at motivation. And, again, in culmination with all of the information that I am getting -- and to review, phone call from Staff Sergeant Chisholm, email from Staff Sergeant Chisholm, review of the I/Net Event Information, review of the I/Net Event Chronology, review of the PIMS report, the belief that investigatively that the victim is going to be Sutton Bowers, I believe there are subjective and objective grounds to arrest both Mr. Lambert and Mr. Beaver for murder. </w:t>
      </w:r>
    </w:p>
    <w:p w14:paraId="2C651D38" w14:textId="77777777" w:rsidR="009F23CB" w:rsidRPr="009F23CB" w:rsidRDefault="009F23CB" w:rsidP="009F23CB">
      <w:pPr>
        <w:pStyle w:val="Citation-AltC"/>
        <w:rPr>
          <w:lang w:val="en-US"/>
        </w:rPr>
      </w:pPr>
    </w:p>
    <w:p w14:paraId="3E1EBFEA" w14:textId="77777777" w:rsidR="009F23CB" w:rsidRPr="009F23CB" w:rsidRDefault="009F23CB" w:rsidP="009F23CB">
      <w:pPr>
        <w:pStyle w:val="Citation-AltC"/>
        <w:rPr>
          <w:lang w:val="en-US"/>
        </w:rPr>
      </w:pPr>
      <w:r w:rsidRPr="009F23CB">
        <w:rPr>
          <w:lang w:val="en-US"/>
        </w:rPr>
        <w:t>(A.R., vol. I, at pp. 226-27)</w:t>
      </w:r>
    </w:p>
    <w:p w14:paraId="3CB5544B" w14:textId="77777777" w:rsidR="009F23CB" w:rsidRPr="009F23CB" w:rsidRDefault="009F23CB" w:rsidP="009F23CB">
      <w:pPr>
        <w:pStyle w:val="ParaNoNdepar-AltN"/>
        <w:rPr>
          <w:rFonts w:cs="Times New Roman"/>
          <w:lang w:val="en-US"/>
        </w:rPr>
      </w:pPr>
      <w:r w:rsidRPr="009F23CB">
        <w:rPr>
          <w:rFonts w:cs="Times New Roman"/>
        </w:rPr>
        <w:t xml:space="preserve">The grounds relied on by Det. Vermette to direct the appellants’ arrests do not come close to providing the particularized evidence required to ground a reasonable belief based on credible and compelling information that the reasonable grounds standard demands. I explain this conclusion in the following manner. I begin by briefly commenting on the relevance of the absence of notes taken by Det. Vermette to the assessment of reasonable grounds. Then, I explain why the above information fails to meet the objective reasonable grounds standard. First, all of the information, in its totality, is not sufficient to meet the particularized probability required to form reasonable grounds. Second, the timeline of events in Det. Vermette’s testimony undermines the reasonableness of his stated belief that there was reason to believe the appellants killed Mr. Bowers at the time of their arrest. Third, the individual pillars of evidence relied on for the asserted grounds do not support the officer’s reasoning. </w:t>
      </w:r>
    </w:p>
    <w:p w14:paraId="136F8463" w14:textId="77777777" w:rsidR="009F23CB" w:rsidRPr="009F23CB" w:rsidRDefault="009F23CB" w:rsidP="009F23CB">
      <w:pPr>
        <w:pStyle w:val="Title3LevelTitre3Niveau"/>
        <w:numPr>
          <w:ilvl w:val="2"/>
          <w:numId w:val="18"/>
        </w:numPr>
        <w:rPr>
          <w:rFonts w:cs="Times New Roman"/>
          <w:lang w:val="en-US"/>
        </w:rPr>
      </w:pPr>
      <w:r w:rsidRPr="009F23CB">
        <w:rPr>
          <w:rFonts w:cs="Times New Roman"/>
          <w:lang w:val="en-US"/>
        </w:rPr>
        <w:t>There Were No Notes to Review on the Claimed Grounds for Arrest</w:t>
      </w:r>
    </w:p>
    <w:p w14:paraId="383673DA" w14:textId="77777777" w:rsidR="009F23CB" w:rsidRPr="009F23CB" w:rsidRDefault="009F23CB" w:rsidP="009F23CB">
      <w:pPr>
        <w:pStyle w:val="ParaNoNdepar-AltN"/>
        <w:rPr>
          <w:rFonts w:cs="Times New Roman"/>
        </w:rPr>
      </w:pPr>
      <w:r w:rsidRPr="009F23CB">
        <w:rPr>
          <w:rFonts w:cs="Times New Roman"/>
          <w:lang w:val="en-US"/>
        </w:rPr>
        <w:t xml:space="preserve">Det. Vermette did not take notes </w:t>
      </w:r>
      <w:r w:rsidRPr="009F23CB">
        <w:rPr>
          <w:rFonts w:cs="Times New Roman"/>
        </w:rPr>
        <w:t xml:space="preserve">detailing the actual and individual information he claimed to rely on to support his decision-making at the time of the arrest. There is therefore no contemporaneous record of the particular grounds asserted to justify why the arrest power was believed to be a legally available option for each accused at the relevant point in time. </w:t>
      </w:r>
    </w:p>
    <w:p w14:paraId="1C073A47" w14:textId="77777777" w:rsidR="009F23CB" w:rsidRPr="009F23CB" w:rsidRDefault="009F23CB" w:rsidP="009F23CB">
      <w:pPr>
        <w:pStyle w:val="ParaNoNdepar-AltN"/>
        <w:rPr>
          <w:rFonts w:cs="Times New Roman"/>
        </w:rPr>
      </w:pPr>
      <w:r w:rsidRPr="009F23CB">
        <w:rPr>
          <w:rFonts w:cs="Times New Roman"/>
        </w:rPr>
        <w:t>It is well recognized that police notes are crucial to the court’s ability to meaningfully review the exercise of police power without prior judicial authorization, including the arrest power (</w:t>
      </w:r>
      <w:r w:rsidRPr="009F23CB">
        <w:rPr>
          <w:rFonts w:cs="Times New Roman"/>
          <w:i/>
        </w:rPr>
        <w:t>R. v. Fearon</w:t>
      </w:r>
      <w:r w:rsidRPr="009F23CB">
        <w:rPr>
          <w:rFonts w:cs="Times New Roman"/>
        </w:rPr>
        <w:t xml:space="preserve">, 2014 SCC 77, [2014] 3 S.C.R. 621, at para. 82; </w:t>
      </w:r>
      <w:r w:rsidRPr="009F23CB">
        <w:rPr>
          <w:rFonts w:cs="Times New Roman"/>
          <w:i/>
        </w:rPr>
        <w:t>R. v. Vu</w:t>
      </w:r>
      <w:r w:rsidRPr="009F23CB">
        <w:rPr>
          <w:rFonts w:cs="Times New Roman"/>
        </w:rPr>
        <w:t xml:space="preserve">, 2013 SCC 60, [2013] 3 S.C.R. 657, at para. 70; see also </w:t>
      </w:r>
      <w:r w:rsidRPr="009F23CB">
        <w:rPr>
          <w:rFonts w:cs="Times New Roman"/>
          <w:i/>
        </w:rPr>
        <w:t>Wood v. Schaeffer</w:t>
      </w:r>
      <w:r w:rsidRPr="009F23CB">
        <w:rPr>
          <w:rFonts w:cs="Times New Roman"/>
        </w:rPr>
        <w:t xml:space="preserve">, 2013 SCC 71, [2013] 3 S.C.R. 1053, at paras. 63-66). </w:t>
      </w:r>
    </w:p>
    <w:p w14:paraId="5C538597" w14:textId="77777777" w:rsidR="009F23CB" w:rsidRPr="009F23CB" w:rsidRDefault="009F23CB" w:rsidP="009F23CB">
      <w:pPr>
        <w:pStyle w:val="ParaNoNdepar-AltN"/>
        <w:rPr>
          <w:rFonts w:cs="Times New Roman"/>
          <w:lang w:val="fr-CA"/>
        </w:rPr>
      </w:pPr>
      <w:r w:rsidRPr="009F23CB">
        <w:rPr>
          <w:rFonts w:cs="Times New Roman"/>
        </w:rPr>
        <w:t>The absence of notes is a factor to be considered in deciding whether to accept the witness’s testimony (</w:t>
      </w:r>
      <w:r w:rsidRPr="009F23CB">
        <w:rPr>
          <w:rFonts w:cs="Times New Roman"/>
          <w:i/>
        </w:rPr>
        <w:t xml:space="preserve">R. v. </w:t>
      </w:r>
      <w:proofErr w:type="spellStart"/>
      <w:r w:rsidRPr="009F23CB">
        <w:rPr>
          <w:rFonts w:cs="Times New Roman"/>
          <w:i/>
        </w:rPr>
        <w:t>Lotfy</w:t>
      </w:r>
      <w:proofErr w:type="spellEnd"/>
      <w:r w:rsidRPr="009F23CB">
        <w:rPr>
          <w:rFonts w:cs="Times New Roman"/>
        </w:rPr>
        <w:t xml:space="preserve">, 2017 BCCA 418, 357 C.C.C. (3d) 516, at para. 54; see </w:t>
      </w:r>
      <w:r w:rsidRPr="009F23CB">
        <w:rPr>
          <w:rFonts w:cs="Times New Roman"/>
          <w:i/>
        </w:rPr>
        <w:t>R. v. Faulkner</w:t>
      </w:r>
      <w:r w:rsidRPr="009F23CB">
        <w:rPr>
          <w:rFonts w:cs="Times New Roman"/>
        </w:rPr>
        <w:t xml:space="preserve">, 2020 ABQB 231, at para. 37 (CanLII); </w:t>
      </w:r>
      <w:r w:rsidRPr="009F23CB">
        <w:rPr>
          <w:rFonts w:cs="Times New Roman"/>
          <w:i/>
        </w:rPr>
        <w:t xml:space="preserve">R. v. </w:t>
      </w:r>
      <w:proofErr w:type="spellStart"/>
      <w:r w:rsidRPr="009F23CB">
        <w:rPr>
          <w:rFonts w:cs="Times New Roman"/>
          <w:i/>
        </w:rPr>
        <w:t>Abdulatif</w:t>
      </w:r>
      <w:proofErr w:type="spellEnd"/>
      <w:r w:rsidRPr="009F23CB">
        <w:rPr>
          <w:rFonts w:cs="Times New Roman"/>
        </w:rPr>
        <w:t>, 2017 ONSC 2089, at paras. </w:t>
      </w:r>
      <w:r w:rsidRPr="009F23CB">
        <w:rPr>
          <w:rFonts w:cs="Times New Roman"/>
          <w:lang w:val="fr-CA"/>
        </w:rPr>
        <w:t xml:space="preserve">39-42 (CanLII); </w:t>
      </w:r>
      <w:r w:rsidRPr="009F23CB">
        <w:rPr>
          <w:rFonts w:cs="Times New Roman"/>
          <w:i/>
          <w:lang w:val="fr-CA"/>
        </w:rPr>
        <w:t xml:space="preserve">R. v. </w:t>
      </w:r>
      <w:proofErr w:type="spellStart"/>
      <w:r w:rsidRPr="009F23CB">
        <w:rPr>
          <w:rFonts w:cs="Times New Roman"/>
          <w:i/>
          <w:lang w:val="fr-CA"/>
        </w:rPr>
        <w:t>Mascoe</w:t>
      </w:r>
      <w:proofErr w:type="spellEnd"/>
      <w:r w:rsidRPr="009F23CB">
        <w:rPr>
          <w:rFonts w:cs="Times New Roman"/>
          <w:lang w:val="fr-CA"/>
        </w:rPr>
        <w:t>, 2017 ONSC 4208, 350 C.C.C. (3d) 208, at paras. </w:t>
      </w:r>
      <w:r w:rsidRPr="009F23CB">
        <w:rPr>
          <w:rFonts w:cs="Times New Roman"/>
        </w:rPr>
        <w:t xml:space="preserve">114-15; </w:t>
      </w:r>
      <w:r w:rsidRPr="009F23CB">
        <w:rPr>
          <w:rFonts w:cs="Times New Roman"/>
          <w:i/>
        </w:rPr>
        <w:t>United States of America v. Sheppard</w:t>
      </w:r>
      <w:r w:rsidRPr="009F23CB">
        <w:rPr>
          <w:rFonts w:cs="Times New Roman"/>
        </w:rPr>
        <w:t xml:space="preserve">, 2013 QCCS 5260, 295 C.R.R. (2d) 113, at para. 20; </w:t>
      </w:r>
      <w:r w:rsidRPr="009F23CB">
        <w:rPr>
          <w:rFonts w:cs="Times New Roman"/>
          <w:i/>
        </w:rPr>
        <w:t>R. v. Davidoff</w:t>
      </w:r>
      <w:r w:rsidRPr="009F23CB">
        <w:rPr>
          <w:rFonts w:cs="Times New Roman"/>
        </w:rPr>
        <w:t xml:space="preserve">, 2013 ABQB 244, 560 A.R. 252, at para. 25; </w:t>
      </w:r>
      <w:r w:rsidRPr="009F23CB">
        <w:rPr>
          <w:rFonts w:cs="Times New Roman"/>
          <w:i/>
        </w:rPr>
        <w:t>R. v. Odgers</w:t>
      </w:r>
      <w:r w:rsidRPr="009F23CB">
        <w:rPr>
          <w:rFonts w:cs="Times New Roman"/>
        </w:rPr>
        <w:t>, 2009 ONCJ 287, at para. </w:t>
      </w:r>
      <w:r w:rsidRPr="009F23CB">
        <w:rPr>
          <w:rFonts w:cs="Times New Roman"/>
          <w:lang w:val="fr-CA"/>
        </w:rPr>
        <w:t xml:space="preserve">16 (CanLII); </w:t>
      </w:r>
      <w:r w:rsidRPr="009F23CB">
        <w:rPr>
          <w:rFonts w:cs="Times New Roman"/>
          <w:i/>
          <w:lang w:val="fr-CA"/>
        </w:rPr>
        <w:t>R. v. Fisher</w:t>
      </w:r>
      <w:r w:rsidRPr="009F23CB">
        <w:rPr>
          <w:rFonts w:cs="Times New Roman"/>
          <w:lang w:val="fr-CA"/>
        </w:rPr>
        <w:t xml:space="preserve">, 2005 CanLII 16070 (Ont. C.A.), at para. 1). </w:t>
      </w:r>
    </w:p>
    <w:p w14:paraId="0B38DCDB" w14:textId="77777777" w:rsidR="009F23CB" w:rsidRPr="009F23CB" w:rsidRDefault="009F23CB" w:rsidP="009F23CB">
      <w:pPr>
        <w:pStyle w:val="ParaNoNdepar-AltN"/>
        <w:rPr>
          <w:rFonts w:cs="Times New Roman"/>
        </w:rPr>
      </w:pPr>
      <w:r w:rsidRPr="009F23CB">
        <w:rPr>
          <w:rFonts w:cs="Times New Roman"/>
        </w:rPr>
        <w:t>In reviewing reasonable grounds, the absence of notes may inform the court’s assessment of the officer’s credibility, which is relevant to both the subjective and the objective elements of the test. Without notes, it is difficult to cross</w:t>
      </w:r>
      <w:r w:rsidRPr="009F23CB">
        <w:rPr>
          <w:rFonts w:cs="Times New Roman"/>
        </w:rPr>
        <w:noBreakHyphen/>
        <w:t xml:space="preserve">examine or question </w:t>
      </w:r>
      <w:proofErr w:type="gramStart"/>
      <w:r w:rsidRPr="009F23CB">
        <w:rPr>
          <w:rFonts w:cs="Times New Roman"/>
        </w:rPr>
        <w:t>what is often a bare assertion by the officers that they had grounds to arrest the individual</w:t>
      </w:r>
      <w:proofErr w:type="gramEnd"/>
      <w:r w:rsidRPr="009F23CB">
        <w:rPr>
          <w:rFonts w:cs="Times New Roman"/>
        </w:rPr>
        <w:t xml:space="preserve">. Notes are therefore critical to checking the exercise of police power by ensuring that statements of personal belief do not go routinely or effectively unchallenged. With respect to the objective element of the test, notes provide contemporaneous documentary evidence of what information the officer actually considered at the time the decision to arrest was made. The question at this stage is whether there were objectively reasonable grounds based on the information the police </w:t>
      </w:r>
      <w:r w:rsidRPr="009F23CB">
        <w:rPr>
          <w:rFonts w:cs="Times New Roman"/>
          <w:i/>
        </w:rPr>
        <w:t xml:space="preserve">did </w:t>
      </w:r>
      <w:r w:rsidRPr="009F23CB">
        <w:rPr>
          <w:rFonts w:cs="Times New Roman"/>
        </w:rPr>
        <w:t xml:space="preserve">rely on, not what they </w:t>
      </w:r>
      <w:r w:rsidRPr="009F23CB">
        <w:rPr>
          <w:rFonts w:cs="Times New Roman"/>
          <w:i/>
        </w:rPr>
        <w:t xml:space="preserve">could have </w:t>
      </w:r>
      <w:r w:rsidRPr="009F23CB">
        <w:rPr>
          <w:rFonts w:cs="Times New Roman"/>
        </w:rPr>
        <w:t xml:space="preserve">relied on. This is to prevent </w:t>
      </w:r>
      <w:r w:rsidRPr="009F23CB">
        <w:rPr>
          <w:rFonts w:cs="Times New Roman"/>
          <w:i/>
        </w:rPr>
        <w:t>Charter</w:t>
      </w:r>
      <w:r w:rsidRPr="009F23CB">
        <w:rPr>
          <w:rFonts w:cs="Times New Roman"/>
        </w:rPr>
        <w:t xml:space="preserve"> breaches to the extent possible by ensuring a thorough assessment is conducted before the decision to arrest is made. To do otherwise would incentivize police to make snap decisions and piece together information in an attempt to justify those decisions after-the-fact. The absence of notes detailing the information used to form the decision at the time it was made may therefore hinder the arrestee’s ability to challenge the decision to arrest, and the court’s ability to get to the truth of the basis for that decision. </w:t>
      </w:r>
    </w:p>
    <w:p w14:paraId="1F7D7FB9" w14:textId="77777777" w:rsidR="009F23CB" w:rsidRPr="009F23CB" w:rsidRDefault="009F23CB" w:rsidP="009F23CB">
      <w:pPr>
        <w:pStyle w:val="ParaNoNdepar-AltN"/>
        <w:rPr>
          <w:rFonts w:cs="Times New Roman"/>
          <w:lang w:val="en-US"/>
        </w:rPr>
      </w:pPr>
      <w:r w:rsidRPr="009F23CB">
        <w:rPr>
          <w:rFonts w:cs="Times New Roman"/>
        </w:rPr>
        <w:t xml:space="preserve">It is unnecessary to decide whether </w:t>
      </w:r>
      <w:r w:rsidRPr="009F23CB">
        <w:rPr>
          <w:rFonts w:cs="Times New Roman"/>
          <w:lang w:val="en-US"/>
        </w:rPr>
        <w:t xml:space="preserve">the judge’s acceptance of the officer’s subjective belief was tainted by palpable and overriding error </w:t>
      </w:r>
      <w:r w:rsidRPr="009F23CB">
        <w:rPr>
          <w:rFonts w:cs="Times New Roman"/>
        </w:rPr>
        <w:t>because it is clear that the asserted grounds, even if believed, do not come close to meeting the test on an objective standard.</w:t>
      </w:r>
      <w:r w:rsidRPr="009F23CB">
        <w:rPr>
          <w:rFonts w:cs="Times New Roman"/>
          <w:lang w:val="en-US"/>
        </w:rPr>
        <w:t xml:space="preserve"> </w:t>
      </w:r>
    </w:p>
    <w:p w14:paraId="2C999E98" w14:textId="77777777" w:rsidR="009F23CB" w:rsidRPr="009F23CB" w:rsidRDefault="009F23CB" w:rsidP="009F23CB">
      <w:pPr>
        <w:pStyle w:val="Title3LevelTitre3Niveau"/>
        <w:keepNext/>
        <w:numPr>
          <w:ilvl w:val="2"/>
          <w:numId w:val="18"/>
        </w:numPr>
        <w:jc w:val="both"/>
        <w:rPr>
          <w:rFonts w:cs="Times New Roman"/>
        </w:rPr>
      </w:pPr>
      <w:r w:rsidRPr="009F23CB">
        <w:rPr>
          <w:rFonts w:cs="Times New Roman"/>
        </w:rPr>
        <w:t>The Totality of the Information Relied on Is Insufficient to Meet the Reasonable Grounds Standard</w:t>
      </w:r>
    </w:p>
    <w:p w14:paraId="1C660483" w14:textId="77777777" w:rsidR="009F23CB" w:rsidRPr="009F23CB" w:rsidRDefault="009F23CB" w:rsidP="009F23CB">
      <w:pPr>
        <w:pStyle w:val="ParaNoNdepar-AltN"/>
        <w:rPr>
          <w:rFonts w:cs="Times New Roman"/>
          <w:lang w:val="en-US"/>
        </w:rPr>
      </w:pPr>
      <w:r w:rsidRPr="009F23CB">
        <w:rPr>
          <w:rFonts w:cs="Times New Roman"/>
        </w:rPr>
        <w:t xml:space="preserve">The grounds forming the basis on which Det. Vermette directed the appellants’ arrests in their totality do not rise to the level of a credibly based probability required to meet the reasonable grounds standard. Det. Vermette’s testimony continuously restated the same information in various verbal formulations. The reasons proffered were embellished, long-winded, abstract and repetitive. They exaggerated the extent and utility of the information relied upon and obscured the lack of particularized evidence grounding the stated belief. When the inflated explanations are stripped back, the reasoning is essentially that the police were called on the scene to investigate a suspicious death and the individuals who found the body had an acrimonious relationship with the deceased, in which the deceased appeared to be the aggressor. I cannot accept that the police, whenever they are called upon to investigate a traumatic death, are entitled to arrest the individuals who reported the body for murder simply because they had a tumultuous history with the deceased. </w:t>
      </w:r>
    </w:p>
    <w:p w14:paraId="10C7E085" w14:textId="77777777" w:rsidR="009F23CB" w:rsidRPr="009F23CB" w:rsidRDefault="009F23CB" w:rsidP="009F23CB">
      <w:pPr>
        <w:pStyle w:val="ParaNoNdepar-AltN"/>
        <w:rPr>
          <w:rFonts w:cs="Times New Roman"/>
        </w:rPr>
      </w:pPr>
      <w:r w:rsidRPr="009F23CB">
        <w:rPr>
          <w:rFonts w:cs="Times New Roman"/>
        </w:rPr>
        <w:t xml:space="preserve">Det. Vermette admitted that when he spoke to Csts. Taylor and Husband at 11:39 a.m. — after his conversation with S/Sgt. Chisholm but before reviewing the materials in the police file — he did not have grounds to arrest the appellants. The implication from his testimony was, however, that the material he subsequently reviewed in the file provided the additional information necessary to meet the threshold of reasonable grounds. </w:t>
      </w:r>
    </w:p>
    <w:p w14:paraId="5EFD1A5E" w14:textId="77777777" w:rsidR="009F23CB" w:rsidRPr="009F23CB" w:rsidRDefault="009F23CB" w:rsidP="009F23CB">
      <w:pPr>
        <w:pStyle w:val="ParaNoNdepar-AltN"/>
        <w:rPr>
          <w:rFonts w:cs="Times New Roman"/>
        </w:rPr>
      </w:pPr>
      <w:r w:rsidRPr="009F23CB">
        <w:rPr>
          <w:rFonts w:cs="Times New Roman"/>
        </w:rPr>
        <w:t xml:space="preserve">All of the information taken together does not amount to reasonable grounds. In addition, the information in the police reports could not have made up the difference needed to ground a credibly based probability. Det. Vermette’s testimony indicates that most of the circumstances he relied on to form reasonable grounds were known to him before he reviewed these documents. In particular, he already knew: the homicide unit had been called out to investigate a death; the body was found face down in a pool of blood near the bottom of the stairs at the front entrance of a residence; there was a prior conflict or dispute between the deceased and his roommates; and the roommates had been brought into custody by the officers who attended at the scene. While slightly more detailed, the additional information in the police file did not significantly alter the factual matrix. Corroborating the undisputed information that the appellants and the deceased were roommates and that they had been arguing that week could not raise the level of suspicion to that of reasonable grounds to believe that the appellants had killed Mr. Bowers. </w:t>
      </w:r>
    </w:p>
    <w:p w14:paraId="2EE97000" w14:textId="77777777" w:rsidR="009F23CB" w:rsidRPr="009F23CB" w:rsidRDefault="009F23CB" w:rsidP="009F23CB">
      <w:pPr>
        <w:pStyle w:val="ParaNoNdepar-AltN"/>
        <w:rPr>
          <w:rFonts w:cs="Times New Roman"/>
        </w:rPr>
      </w:pPr>
      <w:r w:rsidRPr="009F23CB">
        <w:rPr>
          <w:rFonts w:cs="Times New Roman"/>
        </w:rPr>
        <w:t>Further, the grounds asserted by Det. Vermette and accepted by the lower courts fail to engage with the exculpatory evidence pointing away from Mr. Bowers’ death being a homicide, and from the appellants being involved. In assessing whether the reasonable grounds standard is met, the police must take into account the totality of the circumstances. This means that they are not entitled to disregard exculpatory, neutral, or equivocal information unless they have good reason to believe it is unreliable (</w:t>
      </w:r>
      <w:r w:rsidRPr="009F23CB">
        <w:rPr>
          <w:rFonts w:cs="Times New Roman"/>
          <w:i/>
        </w:rPr>
        <w:t>R. v. Chehil</w:t>
      </w:r>
      <w:r w:rsidRPr="009F23CB">
        <w:rPr>
          <w:rFonts w:cs="Times New Roman"/>
        </w:rPr>
        <w:t>, 2013 SCC 49, [2013] 3 S.C.R. 220,</w:t>
      </w:r>
      <w:r w:rsidRPr="009F23CB">
        <w:rPr>
          <w:rFonts w:cs="Times New Roman"/>
          <w:i/>
        </w:rPr>
        <w:t xml:space="preserve"> </w:t>
      </w:r>
      <w:r w:rsidRPr="009F23CB">
        <w:rPr>
          <w:rFonts w:cs="Times New Roman"/>
        </w:rPr>
        <w:t xml:space="preserve">at paras. 26, 29 and 33). Here, there were serious questions relating to both the offence and the individuals. </w:t>
      </w:r>
    </w:p>
    <w:p w14:paraId="4C7A8066" w14:textId="77777777" w:rsidR="009F23CB" w:rsidRPr="009F23CB" w:rsidRDefault="009F23CB" w:rsidP="009F23CB">
      <w:pPr>
        <w:pStyle w:val="ParaNoNdepar-AltN"/>
        <w:rPr>
          <w:rFonts w:cs="Times New Roman"/>
        </w:rPr>
      </w:pPr>
      <w:r w:rsidRPr="009F23CB">
        <w:rPr>
          <w:rFonts w:cs="Times New Roman"/>
        </w:rPr>
        <w:t xml:space="preserve">With respect to the offence, information at the scene suggested that Mr. Bowers may have died in an intoxicated fall. This is reflected in the trial judge’s finding that, at the time of the appellants’ detention, it was unclear whether the death was the result of a criminal offence. No further information suggesting the death was the result of a homicide was uncovered between the initial detention and the appellants’ arrests. Det. Vermette’s assertion that the death was “suspicious” because there were “red flags all over the document” is not the type of credible, compelling, particularized information that police can rely upon to support a reasonable belief that an offence has been committed for the purpose of justifying an arrest for murder. </w:t>
      </w:r>
    </w:p>
    <w:p w14:paraId="129C9F13" w14:textId="77777777" w:rsidR="009F23CB" w:rsidRPr="009F23CB" w:rsidRDefault="009F23CB" w:rsidP="009F23CB">
      <w:pPr>
        <w:pStyle w:val="ParaNoNdepar-AltN"/>
        <w:rPr>
          <w:rFonts w:cs="Times New Roman"/>
        </w:rPr>
      </w:pPr>
      <w:r w:rsidRPr="009F23CB">
        <w:rPr>
          <w:rFonts w:cs="Times New Roman"/>
        </w:rPr>
        <w:t>With respect to the individuals, the appellants’ connection to the death was tenuous. There was no information about the time of death suggesting that it had occurred when the appellants would have had the “opportunity” to commit the offence. It will be true in every case that a particular individual or individuals report finding the body. This fact alone does not provide evidence of an “opportunity” to commit the offence. The information known to police at the time of the arrests was that the deceased was last seen alive with an unknown man.</w:t>
      </w:r>
    </w:p>
    <w:p w14:paraId="1D8F6376" w14:textId="77777777" w:rsidR="009F23CB" w:rsidRPr="009F23CB" w:rsidRDefault="009F23CB" w:rsidP="009F23CB">
      <w:pPr>
        <w:pStyle w:val="ParaNoNdepar-AltN"/>
        <w:rPr>
          <w:rFonts w:cs="Times New Roman"/>
        </w:rPr>
      </w:pPr>
      <w:r w:rsidRPr="009F23CB">
        <w:rPr>
          <w:rFonts w:cs="Times New Roman"/>
        </w:rPr>
        <w:t xml:space="preserve">Further, in all of the history in the police file, the deceased was the aggressor in the altercations. He was the only one with a history of violence. Neither of the accused had a criminal record. The information in the PIMS report relied on to support the “motive” suggested that Mr. Lambert didn’t think much of the assault and did not want to involve the police, have charges laid or provide a statement. Any indication that the assault provided Mr. Lambert with a motive to kill was minimal. </w:t>
      </w:r>
    </w:p>
    <w:p w14:paraId="20E76B41" w14:textId="77777777" w:rsidR="009F23CB" w:rsidRPr="009F23CB" w:rsidRDefault="009F23CB" w:rsidP="009F23CB">
      <w:pPr>
        <w:pStyle w:val="ParaNoNdepar-AltN"/>
        <w:rPr>
          <w:rFonts w:cs="Times New Roman"/>
        </w:rPr>
      </w:pPr>
      <w:r w:rsidRPr="009F23CB">
        <w:rPr>
          <w:rFonts w:cs="Times New Roman"/>
        </w:rPr>
        <w:t xml:space="preserve">Moreover, there was nothing at all to suggest Mr. Beaver was involved in any of the prior incidents other than the argument the evening before the 9-1-1 call, which was already known to officers at the scene. It is untenable to conclude, as the trial judge did, that the information in the PIMS report could make up the difference between the absence of reasonable suspicion to detain the appellants at the scene, and the presence of reasonable grounds to arrest them at police headquarters. </w:t>
      </w:r>
    </w:p>
    <w:p w14:paraId="690A57BB" w14:textId="77777777" w:rsidR="009F23CB" w:rsidRPr="009F23CB" w:rsidRDefault="009F23CB" w:rsidP="009F23CB">
      <w:pPr>
        <w:pStyle w:val="Title3LevelTitre3Niveau"/>
        <w:numPr>
          <w:ilvl w:val="2"/>
          <w:numId w:val="18"/>
        </w:numPr>
        <w:jc w:val="both"/>
        <w:rPr>
          <w:rFonts w:cs="Times New Roman"/>
          <w:lang w:val="en-US"/>
        </w:rPr>
      </w:pPr>
      <w:r w:rsidRPr="009F23CB">
        <w:rPr>
          <w:rFonts w:cs="Times New Roman"/>
          <w:lang w:val="en-US"/>
        </w:rPr>
        <w:t>The Timing of the Arrests Suggests the Decision Was Made for Expediency</w:t>
      </w:r>
    </w:p>
    <w:p w14:paraId="4CD486D6" w14:textId="77777777" w:rsidR="009F23CB" w:rsidRPr="009F23CB" w:rsidRDefault="009F23CB" w:rsidP="009F23CB">
      <w:pPr>
        <w:pStyle w:val="ParaNoNdepar-AltN"/>
        <w:rPr>
          <w:rFonts w:cs="Times New Roman"/>
        </w:rPr>
      </w:pPr>
      <w:r w:rsidRPr="009F23CB">
        <w:rPr>
          <w:rFonts w:cs="Times New Roman"/>
        </w:rPr>
        <w:t>The timing of Det. Vermette’s direction to arrest the appellants also calls into question the reasonableness of the decision. On Det. Vermette’s own evidence, he made the decision to arrest the appellants within two minutes of learning that the appellants had been illegally detained and transported to the station. Up to this point, he had been under the mistaken impression that officers at the scene had already arrested the appellants for murder.</w:t>
      </w:r>
      <w:r w:rsidRPr="009F23CB">
        <w:rPr>
          <w:rFonts w:cs="Times New Roman"/>
          <w:lang w:val="en-US"/>
        </w:rPr>
        <w:t xml:space="preserve"> Det. Vermette testified that he made the decision to arrest quickly in order to “rectify” the situation </w:t>
      </w:r>
      <w:r w:rsidRPr="009F23CB">
        <w:rPr>
          <w:rFonts w:cs="Times New Roman"/>
        </w:rPr>
        <w:t xml:space="preserve">(A.R., vol. I, at p. 225). </w:t>
      </w:r>
    </w:p>
    <w:p w14:paraId="10459AC9" w14:textId="77777777" w:rsidR="009F23CB" w:rsidRPr="009F23CB" w:rsidRDefault="009F23CB" w:rsidP="009F23CB">
      <w:pPr>
        <w:pStyle w:val="ParaNoNdepar-AltN"/>
        <w:rPr>
          <w:rFonts w:cs="Times New Roman"/>
        </w:rPr>
      </w:pPr>
      <w:r w:rsidRPr="009F23CB">
        <w:rPr>
          <w:rFonts w:cs="Times New Roman"/>
        </w:rPr>
        <w:t xml:space="preserve">The circumstances of the appellants’ unlawful detention and transport should have been a cause for concern not only because of the </w:t>
      </w:r>
      <w:r w:rsidRPr="009F23CB">
        <w:rPr>
          <w:rFonts w:cs="Times New Roman"/>
          <w:i/>
        </w:rPr>
        <w:t xml:space="preserve">Charter </w:t>
      </w:r>
      <w:r w:rsidRPr="009F23CB">
        <w:rPr>
          <w:rFonts w:cs="Times New Roman"/>
        </w:rPr>
        <w:t xml:space="preserve">breaches that resulted, but to prompt questioning into why the other officers did not believe they had grounds to arrest the appellants under their authority in s. 495 of the </w:t>
      </w:r>
      <w:r w:rsidRPr="009F23CB">
        <w:rPr>
          <w:rFonts w:cs="Times New Roman"/>
          <w:i/>
        </w:rPr>
        <w:t>Criminal Code</w:t>
      </w:r>
      <w:r w:rsidRPr="009F23CB">
        <w:rPr>
          <w:rFonts w:cs="Times New Roman"/>
        </w:rPr>
        <w:t xml:space="preserve">. Det. Vermette’s failure to make any such inquiries in this case is indicative of the arrests being a means to salvage the investigation, rather than the result of asking himself whether he in fact had lawful grounds to keep the appellants in custody, even if not done in bad faith. </w:t>
      </w:r>
    </w:p>
    <w:p w14:paraId="594FB8BB" w14:textId="77777777" w:rsidR="009F23CB" w:rsidRPr="009F23CB" w:rsidRDefault="009F23CB" w:rsidP="009F23CB">
      <w:pPr>
        <w:pStyle w:val="Title3LevelTitre3Niveau"/>
        <w:numPr>
          <w:ilvl w:val="2"/>
          <w:numId w:val="18"/>
        </w:numPr>
        <w:jc w:val="both"/>
        <w:rPr>
          <w:rFonts w:cs="Times New Roman"/>
          <w:lang w:val="en-US"/>
        </w:rPr>
      </w:pPr>
      <w:r w:rsidRPr="009F23CB">
        <w:rPr>
          <w:rFonts w:cs="Times New Roman"/>
          <w:lang w:val="en-US"/>
        </w:rPr>
        <w:t>The Evidence Relied on for the Asserted Grounds Did Not Support a Reasonable Belief</w:t>
      </w:r>
    </w:p>
    <w:p w14:paraId="626EC21C" w14:textId="77777777" w:rsidR="009F23CB" w:rsidRPr="009F23CB" w:rsidRDefault="009F23CB" w:rsidP="009F23CB">
      <w:pPr>
        <w:pStyle w:val="ParaNoNdepar-AltN"/>
        <w:rPr>
          <w:rFonts w:cs="Times New Roman"/>
          <w:lang w:val="en-US"/>
        </w:rPr>
      </w:pPr>
      <w:r w:rsidRPr="009F23CB">
        <w:rPr>
          <w:rFonts w:cs="Times New Roman"/>
        </w:rPr>
        <w:t xml:space="preserve">Finally, the individual pillars of evidence relied on for the asserted grounds do not support the officer’s reasoning, either standing alone or in combination. </w:t>
      </w:r>
    </w:p>
    <w:p w14:paraId="4E19A6C1" w14:textId="77777777" w:rsidR="009F23CB" w:rsidRPr="009F23CB" w:rsidRDefault="009F23CB" w:rsidP="009F23CB">
      <w:pPr>
        <w:pStyle w:val="ParaNoNdepar-AltN"/>
        <w:rPr>
          <w:rFonts w:cs="Times New Roman"/>
        </w:rPr>
      </w:pPr>
      <w:r w:rsidRPr="009F23CB">
        <w:rPr>
          <w:rFonts w:cs="Times New Roman"/>
          <w:lang w:val="en-US"/>
        </w:rPr>
        <w:t xml:space="preserve">I have already explained why the information relied on to support the appellants’ “motive” and “opportunity” is not compelling. In addition, </w:t>
      </w:r>
      <w:r w:rsidRPr="009F23CB">
        <w:rPr>
          <w:rFonts w:cs="Times New Roman"/>
        </w:rPr>
        <w:t xml:space="preserve">much was made in Det. Vermette’s testimony of the fact that the medical examiner had called the homicide unit to investigate the death, which in his view meant that the death was suspicious. The word “suspicious” was Det. Vermette’s own — the police reports described the death as a “sudden death”, not a suspicious one. </w:t>
      </w:r>
    </w:p>
    <w:p w14:paraId="491F1A3F" w14:textId="77777777" w:rsidR="009F23CB" w:rsidRPr="009F23CB" w:rsidRDefault="009F23CB" w:rsidP="009F23CB">
      <w:pPr>
        <w:pStyle w:val="ParaNoNdepar-AltN"/>
        <w:rPr>
          <w:rFonts w:cs="Times New Roman"/>
        </w:rPr>
      </w:pPr>
      <w:r w:rsidRPr="009F23CB">
        <w:rPr>
          <w:rFonts w:cs="Times New Roman"/>
        </w:rPr>
        <w:t xml:space="preserve">For an investigator to rely on the “suspicious” nature of a death in support of reasonable grounds, this label must hold up to scrutiny on the basis of particularized, objectively verifiable information. The police, not the medical examiner, are legally trained on what the constitutional standard of reasonable grounds entails. The possibility of foul play will be true any time the homicide unit is called in to investigate a death. It is not the fact of the medical investigator calling for further investigation, but the basis on which she made that decision, that could reasonably support the belief that an offence had been committed. The medical examiner can explain to the police the information on which they believe foul play may or may not have been involved, and the police can and should use that information to inform their view of whether or not there are reasonable grounds. This appears to have happened in a phone call between the medical examiner and Det. Vermette at 12:35 p.m. in which she provided the details of her scene assessment. However, this occurred approximately 20 minutes </w:t>
      </w:r>
      <w:r w:rsidRPr="009F23CB">
        <w:rPr>
          <w:rFonts w:cs="Times New Roman"/>
          <w:i/>
        </w:rPr>
        <w:t>after</w:t>
      </w:r>
      <w:r w:rsidRPr="009F23CB">
        <w:rPr>
          <w:rFonts w:cs="Times New Roman"/>
        </w:rPr>
        <w:t xml:space="preserve"> he had directed Dets. Hossack and Demarino to arrest the appellants for murder. At the time of the arrests, there was no information about why the medical examiner had engaged the homicide unit and what facts or factors grounded her assessment. It could be that the medical examiner calls out the police to every</w:t>
      </w:r>
      <w:r w:rsidRPr="009F23CB">
        <w:rPr>
          <w:rFonts w:cs="Times New Roman"/>
          <w:i/>
        </w:rPr>
        <w:t xml:space="preserve"> </w:t>
      </w:r>
      <w:r w:rsidRPr="009F23CB">
        <w:rPr>
          <w:rFonts w:cs="Times New Roman"/>
        </w:rPr>
        <w:t xml:space="preserve">“sudden death”, or it could be that there were particular facts about the scene that supported a belief that the death was not the result of an accident. We simply do not know. </w:t>
      </w:r>
    </w:p>
    <w:p w14:paraId="493EBE73" w14:textId="77777777" w:rsidR="009F23CB" w:rsidRPr="009F23CB" w:rsidRDefault="009F23CB" w:rsidP="009F23CB">
      <w:pPr>
        <w:pStyle w:val="ParaNoNdepar-AltN"/>
        <w:rPr>
          <w:rFonts w:cs="Times New Roman"/>
        </w:rPr>
      </w:pPr>
      <w:r w:rsidRPr="009F23CB">
        <w:rPr>
          <w:rFonts w:cs="Times New Roman"/>
        </w:rPr>
        <w:t xml:space="preserve">The information that Det. Vermette explained formed the basis of his decision to arrest the appellants may have given rise to a reasonable suspicion, but to accept that it formed the basis of reasonable grounds to believe that the appellants killed Mr. Bowers would erode the reasonable grounds standard to a level inconsistent with what is required to provide a meaningful check on the state’s investigatory powers in accordance with the </w:t>
      </w:r>
      <w:r w:rsidRPr="009F23CB">
        <w:rPr>
          <w:rFonts w:cs="Times New Roman"/>
          <w:i/>
        </w:rPr>
        <w:t>Charter</w:t>
      </w:r>
      <w:r w:rsidRPr="009F23CB">
        <w:rPr>
          <w:rFonts w:cs="Times New Roman"/>
        </w:rPr>
        <w:t xml:space="preserve">’s requirements. While the assessment is global and does not require an isolated parsing of each particular component or a </w:t>
      </w:r>
      <w:r w:rsidRPr="009F23CB">
        <w:rPr>
          <w:rFonts w:cs="Times New Roman"/>
          <w:i/>
        </w:rPr>
        <w:t>prima facie</w:t>
      </w:r>
      <w:r w:rsidRPr="009F23CB">
        <w:rPr>
          <w:rFonts w:cs="Times New Roman"/>
        </w:rPr>
        <w:t xml:space="preserve"> case to answer on each element of the offence, there must be something of substance proffered in order to meet the objective reasonable grounds standard. The police have failed to offer a substantively reasonable basis to support the asserted belief that at the time of the appellants’ arrests, there were reasonable grounds to believe they had killed Mr. Bowers. </w:t>
      </w:r>
    </w:p>
    <w:p w14:paraId="071D1A45" w14:textId="77777777" w:rsidR="009F23CB" w:rsidRPr="009F23CB" w:rsidRDefault="009F23CB" w:rsidP="009F23CB">
      <w:pPr>
        <w:pStyle w:val="Title2LevelTitre2Niveau"/>
        <w:numPr>
          <w:ilvl w:val="1"/>
          <w:numId w:val="18"/>
        </w:numPr>
        <w:jc w:val="both"/>
        <w:rPr>
          <w:rFonts w:cs="Times New Roman"/>
        </w:rPr>
      </w:pPr>
      <w:r w:rsidRPr="009F23CB">
        <w:rPr>
          <w:rFonts w:cs="Times New Roman"/>
        </w:rPr>
        <w:t>The Evidence Was “Obtained in a Manner” That Infringed the Appellants’ Charter Rights</w:t>
      </w:r>
    </w:p>
    <w:p w14:paraId="02859067" w14:textId="77777777" w:rsidR="009F23CB" w:rsidRPr="009F23CB" w:rsidRDefault="009F23CB" w:rsidP="009F23CB">
      <w:pPr>
        <w:pStyle w:val="ParaNoNdepar-AltN"/>
        <w:rPr>
          <w:rFonts w:cs="Times New Roman"/>
          <w:b/>
        </w:rPr>
      </w:pPr>
      <w:r w:rsidRPr="009F23CB">
        <w:rPr>
          <w:rFonts w:cs="Times New Roman"/>
        </w:rPr>
        <w:t xml:space="preserve">The Crown conceded, and the trial judge found, that the police breached the appellants’ ss. 9, 10(a) and 10(b) </w:t>
      </w:r>
      <w:r w:rsidRPr="009F23CB">
        <w:rPr>
          <w:rFonts w:cs="Times New Roman"/>
          <w:i/>
        </w:rPr>
        <w:t xml:space="preserve">Charter </w:t>
      </w:r>
      <w:r w:rsidRPr="009F23CB">
        <w:rPr>
          <w:rFonts w:cs="Times New Roman"/>
        </w:rPr>
        <w:t xml:space="preserve">rights. The trial judge also held that the arrests and the searches subsequent to those arrests were lawful and that the right to silence was not breached because the statements were voluntary. I conclude that the arrests were not supported by reasonable and probable grounds and that as a result, the searches conducted pursuant to those arrests were also constitutionally infirm under s. 8 of the </w:t>
      </w:r>
      <w:r w:rsidRPr="009F23CB">
        <w:rPr>
          <w:rFonts w:cs="Times New Roman"/>
          <w:i/>
        </w:rPr>
        <w:t>Charter</w:t>
      </w:r>
      <w:r w:rsidRPr="009F23CB">
        <w:rPr>
          <w:rFonts w:cs="Times New Roman"/>
        </w:rPr>
        <w:t xml:space="preserve"> (</w:t>
      </w:r>
      <w:r w:rsidRPr="009F23CB">
        <w:rPr>
          <w:rFonts w:cs="Times New Roman"/>
          <w:i/>
        </w:rPr>
        <w:t>R. v. Feeney</w:t>
      </w:r>
      <w:r w:rsidRPr="009F23CB">
        <w:rPr>
          <w:rFonts w:cs="Times New Roman"/>
        </w:rPr>
        <w:t xml:space="preserve">, [1997] 2 S.C.R. 13, at para. 60; </w:t>
      </w:r>
      <w:r w:rsidRPr="009F23CB">
        <w:rPr>
          <w:rFonts w:cs="Times New Roman"/>
          <w:i/>
        </w:rPr>
        <w:t>R. v. Tim</w:t>
      </w:r>
      <w:r w:rsidRPr="009F23CB">
        <w:rPr>
          <w:rFonts w:cs="Times New Roman"/>
        </w:rPr>
        <w:t xml:space="preserve">, 2022 SCC 12, at para. 48). Further, the s. 9 guarantee against arbitrary detention is a manifestation of a person’s s. 7 </w:t>
      </w:r>
      <w:r w:rsidRPr="009F23CB">
        <w:rPr>
          <w:rFonts w:cs="Times New Roman"/>
          <w:i/>
        </w:rPr>
        <w:t>Charter</w:t>
      </w:r>
      <w:r w:rsidRPr="009F23CB">
        <w:rPr>
          <w:rFonts w:cs="Times New Roman"/>
        </w:rPr>
        <w:t xml:space="preserve"> right to liberty (</w:t>
      </w:r>
      <w:r w:rsidRPr="009F23CB">
        <w:rPr>
          <w:rFonts w:cs="Times New Roman"/>
          <w:i/>
        </w:rPr>
        <w:t>Grant</w:t>
      </w:r>
      <w:r w:rsidRPr="009F23CB">
        <w:rPr>
          <w:rFonts w:cs="Times New Roman"/>
        </w:rPr>
        <w:t xml:space="preserve">, at para. 54; </w:t>
      </w:r>
      <w:r w:rsidRPr="009F23CB">
        <w:rPr>
          <w:rFonts w:cs="Times New Roman"/>
          <w:i/>
        </w:rPr>
        <w:t>Re B.C. Motor Vehicle Act</w:t>
      </w:r>
      <w:r w:rsidRPr="009F23CB">
        <w:rPr>
          <w:rFonts w:cs="Times New Roman"/>
        </w:rPr>
        <w:t>,</w:t>
      </w:r>
      <w:r w:rsidRPr="009F23CB">
        <w:rPr>
          <w:rFonts w:cs="Times New Roman"/>
          <w:i/>
        </w:rPr>
        <w:t xml:space="preserve"> </w:t>
      </w:r>
      <w:r w:rsidRPr="009F23CB">
        <w:rPr>
          <w:rFonts w:cs="Times New Roman"/>
        </w:rPr>
        <w:t>[1985] 2 S.C.R. 486, at pp. 502</w:t>
      </w:r>
      <w:r w:rsidRPr="009F23CB">
        <w:rPr>
          <w:rFonts w:cs="Times New Roman"/>
        </w:rPr>
        <w:noBreakHyphen/>
        <w:t>3). As I explain, these additional breaches of a person’s ss. 7 and 8 rights combine to be sufficient to exclude the impugned evidence and I need not address the majority’s views on the voluntariness of the statements given.</w:t>
      </w:r>
    </w:p>
    <w:p w14:paraId="59016FE5" w14:textId="77777777" w:rsidR="009F23CB" w:rsidRPr="009F23CB" w:rsidRDefault="009F23CB" w:rsidP="009F23CB">
      <w:pPr>
        <w:pStyle w:val="ParaNoNdepar-AltN"/>
        <w:rPr>
          <w:rFonts w:cs="Times New Roman"/>
        </w:rPr>
      </w:pPr>
      <w:r w:rsidRPr="009F23CB">
        <w:rPr>
          <w:rFonts w:cs="Times New Roman"/>
        </w:rPr>
        <w:t xml:space="preserve">In determining whether evidence was “obtained in a manner” that breaches the </w:t>
      </w:r>
      <w:r w:rsidRPr="009F23CB">
        <w:rPr>
          <w:rFonts w:cs="Times New Roman"/>
          <w:i/>
        </w:rPr>
        <w:t>Charter</w:t>
      </w:r>
      <w:r w:rsidRPr="009F23CB">
        <w:rPr>
          <w:rFonts w:cs="Times New Roman"/>
        </w:rPr>
        <w:t>,</w:t>
      </w:r>
      <w:r w:rsidRPr="009F23CB">
        <w:rPr>
          <w:rFonts w:cs="Times New Roman"/>
          <w:i/>
        </w:rPr>
        <w:t xml:space="preserve"> </w:t>
      </w:r>
      <w:r w:rsidRPr="009F23CB">
        <w:rPr>
          <w:rFonts w:cs="Times New Roman"/>
        </w:rPr>
        <w:t>I agree with my colleague that courts should examine the entire relationship between the evidence and the breach to determine the strength of the connection and assess whether the breach and the evidence are part of the same transaction or course of conduct. The connection may be temporal, contextual, causal, or a combination of the three (</w:t>
      </w:r>
      <w:r w:rsidRPr="009F23CB">
        <w:rPr>
          <w:rFonts w:cs="Times New Roman"/>
          <w:i/>
        </w:rPr>
        <w:t>Strachan</w:t>
      </w:r>
      <w:r w:rsidRPr="009F23CB">
        <w:rPr>
          <w:rFonts w:cs="Times New Roman"/>
        </w:rPr>
        <w:t xml:space="preserve">; </w:t>
      </w:r>
      <w:r w:rsidRPr="009F23CB">
        <w:rPr>
          <w:rFonts w:cs="Times New Roman"/>
          <w:i/>
        </w:rPr>
        <w:t>Goldhart</w:t>
      </w:r>
      <w:r w:rsidRPr="009F23CB">
        <w:rPr>
          <w:rFonts w:cs="Times New Roman"/>
        </w:rPr>
        <w:t xml:space="preserve">; </w:t>
      </w:r>
      <w:r w:rsidRPr="009F23CB">
        <w:rPr>
          <w:rFonts w:cs="Times New Roman"/>
          <w:i/>
        </w:rPr>
        <w:t>Wittwer</w:t>
      </w:r>
      <w:r w:rsidRPr="009F23CB">
        <w:rPr>
          <w:rFonts w:cs="Times New Roman"/>
        </w:rPr>
        <w:t>). A strict causal connection is not required (</w:t>
      </w:r>
      <w:r w:rsidRPr="009F23CB">
        <w:rPr>
          <w:rFonts w:cs="Times New Roman"/>
          <w:i/>
        </w:rPr>
        <w:t xml:space="preserve">R. v. </w:t>
      </w:r>
      <w:proofErr w:type="spellStart"/>
      <w:r w:rsidRPr="009F23CB">
        <w:rPr>
          <w:rFonts w:cs="Times New Roman"/>
          <w:i/>
        </w:rPr>
        <w:t>Therens</w:t>
      </w:r>
      <w:proofErr w:type="spellEnd"/>
      <w:r w:rsidRPr="009F23CB">
        <w:rPr>
          <w:rFonts w:cs="Times New Roman"/>
        </w:rPr>
        <w:t xml:space="preserve">, [1985] 1 S.C.R. 613, at p. 649; </w:t>
      </w:r>
      <w:r w:rsidRPr="009F23CB">
        <w:rPr>
          <w:rFonts w:cs="Times New Roman"/>
          <w:i/>
        </w:rPr>
        <w:t>Strachan</w:t>
      </w:r>
      <w:r w:rsidRPr="009F23CB">
        <w:rPr>
          <w:rFonts w:cs="Times New Roman"/>
        </w:rPr>
        <w:t xml:space="preserve">, at pp. 1005-6). Instead, a global assessment is necessary “to determine whether a </w:t>
      </w:r>
      <w:r w:rsidRPr="009F23CB">
        <w:rPr>
          <w:rFonts w:cs="Times New Roman"/>
          <w:i/>
        </w:rPr>
        <w:t xml:space="preserve">Charter </w:t>
      </w:r>
      <w:r w:rsidRPr="009F23CB">
        <w:rPr>
          <w:rFonts w:cs="Times New Roman"/>
        </w:rPr>
        <w:t>violation occurred in the course of obtaining the evidence” (</w:t>
      </w:r>
      <w:r w:rsidRPr="009F23CB">
        <w:rPr>
          <w:rFonts w:cs="Times New Roman"/>
          <w:i/>
        </w:rPr>
        <w:t>Strachan</w:t>
      </w:r>
      <w:r w:rsidRPr="009F23CB">
        <w:rPr>
          <w:rFonts w:cs="Times New Roman"/>
        </w:rPr>
        <w:t xml:space="preserve">, at p. 1005). Indeed, a </w:t>
      </w:r>
      <w:r w:rsidRPr="009F23CB">
        <w:rPr>
          <w:rFonts w:cs="Times New Roman"/>
          <w:i/>
        </w:rPr>
        <w:t>Charter</w:t>
      </w:r>
      <w:r w:rsidRPr="009F23CB">
        <w:rPr>
          <w:rFonts w:cs="Times New Roman"/>
        </w:rPr>
        <w:t xml:space="preserve"> breach following the discovery of evidence may still meet the “obtained in a manner” requirement of s. 24(2) (</w:t>
      </w:r>
      <w:r w:rsidRPr="009F23CB">
        <w:rPr>
          <w:rFonts w:cs="Times New Roman"/>
          <w:i/>
        </w:rPr>
        <w:t>R. v. Pino</w:t>
      </w:r>
      <w:r w:rsidRPr="009F23CB">
        <w:rPr>
          <w:rFonts w:cs="Times New Roman"/>
        </w:rPr>
        <w:t xml:space="preserve">, 2016 ONCA 389, 130 O.R. (3d) 561). The “obtained in a manner” analysis necessitates the full contextual analysis each time it is performed, regardless of whether subsequent </w:t>
      </w:r>
      <w:r w:rsidRPr="009F23CB">
        <w:rPr>
          <w:rFonts w:cs="Times New Roman"/>
          <w:i/>
        </w:rPr>
        <w:t>Charter</w:t>
      </w:r>
      <w:r w:rsidRPr="009F23CB">
        <w:rPr>
          <w:rFonts w:cs="Times New Roman"/>
        </w:rPr>
        <w:t xml:space="preserve">-compliant actions exist. </w:t>
      </w:r>
    </w:p>
    <w:p w14:paraId="272E920A" w14:textId="77777777" w:rsidR="009F23CB" w:rsidRPr="009F23CB" w:rsidRDefault="009F23CB" w:rsidP="009F23CB">
      <w:pPr>
        <w:pStyle w:val="ParaNoNdepar-AltN"/>
        <w:rPr>
          <w:rFonts w:cs="Times New Roman"/>
        </w:rPr>
      </w:pPr>
      <w:r w:rsidRPr="009F23CB">
        <w:rPr>
          <w:rFonts w:cs="Times New Roman"/>
        </w:rPr>
        <w:t xml:space="preserve">The trial judge and Court of Appeal departed from this holistic assessment. They defined a “fresh start” as an attempt by police to “cure” an earlier breach so that any subsequently discovered evidence would not be “obtained in a manner” that infringed a person’s </w:t>
      </w:r>
      <w:r w:rsidRPr="009F23CB">
        <w:rPr>
          <w:rFonts w:cs="Times New Roman"/>
          <w:i/>
        </w:rPr>
        <w:t xml:space="preserve">Charter </w:t>
      </w:r>
      <w:r w:rsidRPr="009F23CB">
        <w:rPr>
          <w:rFonts w:cs="Times New Roman"/>
        </w:rPr>
        <w:t xml:space="preserve">rights (C.A. reasons, at para. 12; see also I.F., Canadian Civil Liberties Association (“CCLA Factum”), at para. 13). Instead of examining the connection between the breach and the evidence holistically, the “fresh start” principle focuses on whether the police, after the breach, corrected their behaviour. This definition of “fresh start” reduces the broad “obtained in a manner” analysis and asks only two questions: (1) whether there was subsequent </w:t>
      </w:r>
      <w:r w:rsidRPr="009F23CB">
        <w:rPr>
          <w:rFonts w:cs="Times New Roman"/>
          <w:i/>
        </w:rPr>
        <w:t>Charter</w:t>
      </w:r>
      <w:r w:rsidRPr="009F23CB">
        <w:rPr>
          <w:rFonts w:cs="Times New Roman"/>
        </w:rPr>
        <w:t xml:space="preserve">-compliant state conduct following the breach but before the discovery of the evidence; and (2) whether that subsequent </w:t>
      </w:r>
      <w:r w:rsidRPr="009F23CB">
        <w:rPr>
          <w:rFonts w:cs="Times New Roman"/>
          <w:i/>
        </w:rPr>
        <w:t>Charter</w:t>
      </w:r>
      <w:r w:rsidRPr="009F23CB">
        <w:rPr>
          <w:rFonts w:cs="Times New Roman"/>
        </w:rPr>
        <w:t>-compliant conduct severed the relationship between the breach and the discovery of the evidence (CCLA Factum, at para. 13).</w:t>
      </w:r>
    </w:p>
    <w:p w14:paraId="40A55F0D" w14:textId="77777777" w:rsidR="009F23CB" w:rsidRPr="009F23CB" w:rsidRDefault="009F23CB" w:rsidP="009F23CB">
      <w:pPr>
        <w:pStyle w:val="ParaNoNdepar-AltN"/>
        <w:rPr>
          <w:rFonts w:cs="Times New Roman"/>
        </w:rPr>
      </w:pPr>
      <w:r w:rsidRPr="009F23CB">
        <w:rPr>
          <w:rFonts w:cs="Times New Roman"/>
        </w:rPr>
        <w:t xml:space="preserve">The arrests, even if they were lawful, do not constitute a “fresh start” that shields subsequent actions by the police from </w:t>
      </w:r>
      <w:r w:rsidRPr="009F23CB">
        <w:rPr>
          <w:rFonts w:cs="Times New Roman"/>
          <w:i/>
        </w:rPr>
        <w:t>Charter</w:t>
      </w:r>
      <w:r w:rsidRPr="009F23CB">
        <w:rPr>
          <w:rFonts w:cs="Times New Roman"/>
        </w:rPr>
        <w:t xml:space="preserve"> scrutiny.</w:t>
      </w:r>
    </w:p>
    <w:p w14:paraId="233C5243" w14:textId="77777777" w:rsidR="009F23CB" w:rsidRPr="009F23CB" w:rsidRDefault="009F23CB" w:rsidP="009F23CB">
      <w:pPr>
        <w:pStyle w:val="ParaNoNdepar-AltN"/>
        <w:rPr>
          <w:rFonts w:cs="Times New Roman"/>
        </w:rPr>
      </w:pPr>
      <w:r w:rsidRPr="009F23CB">
        <w:rPr>
          <w:rFonts w:cs="Times New Roman"/>
        </w:rPr>
        <w:t>I do not think this vague notion of a “fresh start” is already part of our law and I am convinced it should not be so recognized. The idea of a “fresh start” is unnecessary because the established holistic approach is more than adequate to the task and this new flourish creates many deep pitfalls with no countervailing purpose.</w:t>
      </w:r>
    </w:p>
    <w:p w14:paraId="5C2C9454" w14:textId="77777777" w:rsidR="009F23CB" w:rsidRPr="009F23CB" w:rsidRDefault="009F23CB" w:rsidP="009F23CB">
      <w:pPr>
        <w:pStyle w:val="ParaNoNdepar-AltN"/>
        <w:rPr>
          <w:rFonts w:cs="Times New Roman"/>
        </w:rPr>
      </w:pPr>
      <w:r w:rsidRPr="009F23CB">
        <w:rPr>
          <w:rFonts w:cs="Times New Roman"/>
        </w:rPr>
        <w:t xml:space="preserve">I disagree with my colleague’s contention that this Court has accepted that, in principle, the police can make a “fresh start” after a </w:t>
      </w:r>
      <w:r w:rsidRPr="009F23CB">
        <w:rPr>
          <w:rFonts w:cs="Times New Roman"/>
          <w:i/>
        </w:rPr>
        <w:t xml:space="preserve">Charter </w:t>
      </w:r>
      <w:r w:rsidRPr="009F23CB">
        <w:rPr>
          <w:rFonts w:cs="Times New Roman"/>
        </w:rPr>
        <w:t xml:space="preserve">violation (para. 100). I would not read </w:t>
      </w:r>
      <w:r w:rsidRPr="009F23CB">
        <w:rPr>
          <w:rFonts w:cs="Times New Roman"/>
          <w:i/>
        </w:rPr>
        <w:t>Wittwer</w:t>
      </w:r>
      <w:r w:rsidRPr="009F23CB">
        <w:rPr>
          <w:rFonts w:cs="Times New Roman"/>
        </w:rPr>
        <w:t xml:space="preserve"> as endorsing the “fresh start” concept as one that can shield evidence from the application of s. 24(2) of the </w:t>
      </w:r>
      <w:r w:rsidRPr="009F23CB">
        <w:rPr>
          <w:rFonts w:cs="Times New Roman"/>
          <w:i/>
        </w:rPr>
        <w:t>Charter</w:t>
      </w:r>
      <w:r w:rsidRPr="009F23CB">
        <w:rPr>
          <w:rFonts w:cs="Times New Roman"/>
        </w:rPr>
        <w:t xml:space="preserve">. No such conclusion was ever made in that case. </w:t>
      </w:r>
    </w:p>
    <w:p w14:paraId="35433900" w14:textId="77777777" w:rsidR="009F23CB" w:rsidRPr="009F23CB" w:rsidRDefault="009F23CB" w:rsidP="009F23CB">
      <w:pPr>
        <w:pStyle w:val="ParaNoNdepar-AltN"/>
        <w:rPr>
          <w:rFonts w:cs="Times New Roman"/>
        </w:rPr>
      </w:pPr>
      <w:r w:rsidRPr="009F23CB">
        <w:rPr>
          <w:rFonts w:cs="Times New Roman"/>
          <w:i/>
        </w:rPr>
        <w:t xml:space="preserve">Wittwer </w:t>
      </w:r>
      <w:r w:rsidRPr="009F23CB">
        <w:rPr>
          <w:rFonts w:cs="Times New Roman"/>
        </w:rPr>
        <w:t xml:space="preserve">concerned the admissibility of an incriminating statement that the police obtained from the accused in a manner that violated his right to counsel. Another officer made a new attempt to get a statement from the accused without referring to the information gathered from the unconstitutionally obtained statement, but eventually referred to it after the officer determined there was no other way to convince the accused to talk. Fish J. concluded that the evidence was obtained in a manner that violated the </w:t>
      </w:r>
      <w:r w:rsidRPr="009F23CB">
        <w:rPr>
          <w:rFonts w:cs="Times New Roman"/>
          <w:i/>
        </w:rPr>
        <w:t xml:space="preserve">Charter </w:t>
      </w:r>
      <w:r w:rsidRPr="009F23CB">
        <w:rPr>
          <w:rFonts w:cs="Times New Roman"/>
        </w:rPr>
        <w:t xml:space="preserve">because “[w]hat began as a </w:t>
      </w:r>
      <w:r w:rsidRPr="009F23CB">
        <w:rPr>
          <w:rFonts w:cs="Times New Roman"/>
          <w:u w:val="single"/>
        </w:rPr>
        <w:t>permissible fresh start</w:t>
      </w:r>
      <w:r w:rsidRPr="009F23CB">
        <w:rPr>
          <w:rFonts w:cs="Times New Roman"/>
        </w:rPr>
        <w:t xml:space="preserve"> thus ended as an impermissible interrogation inseparably linked to its tainted past” (para. 3 (emphasis added; emphasis in original deleted)). </w:t>
      </w:r>
    </w:p>
    <w:p w14:paraId="6EEE90B6" w14:textId="77777777" w:rsidR="009F23CB" w:rsidRPr="009F23CB" w:rsidRDefault="009F23CB" w:rsidP="009F23CB">
      <w:pPr>
        <w:pStyle w:val="ParaNoNdepar-AltN"/>
        <w:rPr>
          <w:rFonts w:cs="Times New Roman"/>
        </w:rPr>
      </w:pPr>
      <w:r w:rsidRPr="009F23CB">
        <w:rPr>
          <w:rFonts w:cs="Times New Roman"/>
        </w:rPr>
        <w:t xml:space="preserve">Some have sought to elevate this ambiguous wording as endorsing the view that “fresh starts” may be permissible in appropriate cases, even if the one in </w:t>
      </w:r>
      <w:r w:rsidRPr="009F23CB">
        <w:rPr>
          <w:rFonts w:cs="Times New Roman"/>
          <w:i/>
        </w:rPr>
        <w:t>Wittwer</w:t>
      </w:r>
      <w:r w:rsidRPr="009F23CB">
        <w:rPr>
          <w:rFonts w:cs="Times New Roman"/>
        </w:rPr>
        <w:t xml:space="preserve"> was found not to be (see </w:t>
      </w:r>
      <w:r w:rsidRPr="009F23CB">
        <w:rPr>
          <w:rFonts w:cs="Times New Roman"/>
          <w:i/>
        </w:rPr>
        <w:t>R. v. Simon</w:t>
      </w:r>
      <w:r w:rsidRPr="009F23CB">
        <w:rPr>
          <w:rFonts w:cs="Times New Roman"/>
        </w:rPr>
        <w:t xml:space="preserve">, 2008 ONCA 578, 269 O.A.C. 259; </w:t>
      </w:r>
      <w:r w:rsidRPr="009F23CB">
        <w:rPr>
          <w:rFonts w:cs="Times New Roman"/>
          <w:i/>
        </w:rPr>
        <w:t>R. v. Manchulenko</w:t>
      </w:r>
      <w:r w:rsidRPr="009F23CB">
        <w:rPr>
          <w:rFonts w:cs="Times New Roman"/>
        </w:rPr>
        <w:t xml:space="preserve">, 2013 ONCA 543, 116 O.R. (3d) 721; </w:t>
      </w:r>
      <w:r w:rsidRPr="009F23CB">
        <w:rPr>
          <w:rFonts w:cs="Times New Roman"/>
          <w:i/>
        </w:rPr>
        <w:t>R. v. Hamilton</w:t>
      </w:r>
      <w:r w:rsidRPr="009F23CB">
        <w:rPr>
          <w:rFonts w:cs="Times New Roman"/>
        </w:rPr>
        <w:t xml:space="preserve">, 2017 ONCA 179, 347 C.C.C. (3d) 19; </w:t>
      </w:r>
      <w:r w:rsidRPr="009F23CB">
        <w:rPr>
          <w:rFonts w:cs="Times New Roman"/>
          <w:i/>
        </w:rPr>
        <w:t>R. v. McSweeney</w:t>
      </w:r>
      <w:r w:rsidRPr="009F23CB">
        <w:rPr>
          <w:rFonts w:cs="Times New Roman"/>
        </w:rPr>
        <w:t xml:space="preserve">, 2020 ONCA 2, 451 C.R.R. (2d) 357). In my view, the above statement does not establish the notion of a “fresh start” as an accepted doctrine or binding principle of our law. The Court in </w:t>
      </w:r>
      <w:r w:rsidRPr="009F23CB">
        <w:rPr>
          <w:rFonts w:cs="Times New Roman"/>
          <w:i/>
        </w:rPr>
        <w:t>Wittwer</w:t>
      </w:r>
      <w:r w:rsidRPr="009F23CB">
        <w:rPr>
          <w:rFonts w:cs="Times New Roman"/>
        </w:rPr>
        <w:t xml:space="preserve"> found that there was no break between the </w:t>
      </w:r>
      <w:proofErr w:type="gramStart"/>
      <w:r w:rsidRPr="009F23CB">
        <w:rPr>
          <w:rFonts w:cs="Times New Roman"/>
        </w:rPr>
        <w:t>manner</w:t>
      </w:r>
      <w:proofErr w:type="gramEnd"/>
      <w:r w:rsidRPr="009F23CB">
        <w:rPr>
          <w:rFonts w:cs="Times New Roman"/>
        </w:rPr>
        <w:t xml:space="preserve"> in which the </w:t>
      </w:r>
      <w:r w:rsidRPr="009F23CB">
        <w:rPr>
          <w:rFonts w:cs="Times New Roman"/>
          <w:i/>
        </w:rPr>
        <w:t>Charter</w:t>
      </w:r>
      <w:r w:rsidRPr="009F23CB">
        <w:rPr>
          <w:rFonts w:cs="Times New Roman"/>
        </w:rPr>
        <w:t xml:space="preserve"> was breached in these two offending interrogations. Fish J. used a colloquial description of what police were trying to do by their conduct and by doing so he did not create a new doctrine which operates outside of the holistic analysis done under s. 24. The “fresh start” described related to the police’s conduct, and not the admissibility of the second statement under s. 24. Indeed, on the contrary, Fish J. determined that the taking of the second statement was tainted by reference to the “inadmissible statement” taken some five months prior (para. 22).</w:t>
      </w:r>
    </w:p>
    <w:p w14:paraId="51327C8B" w14:textId="77777777" w:rsidR="009F23CB" w:rsidRPr="009F23CB" w:rsidRDefault="009F23CB" w:rsidP="009F23CB">
      <w:pPr>
        <w:pStyle w:val="ParaNoNdepar-AltN"/>
        <w:rPr>
          <w:rFonts w:cs="Times New Roman"/>
        </w:rPr>
      </w:pPr>
      <w:r w:rsidRPr="009F23CB">
        <w:rPr>
          <w:rFonts w:cs="Times New Roman"/>
        </w:rPr>
        <w:t xml:space="preserve">The concept of a “permissible fresh start” detracts from the broad and generous approach that this Court has adopted for the “obtained in a manner” requirement of s. 24 of the </w:t>
      </w:r>
      <w:r w:rsidRPr="009F23CB">
        <w:rPr>
          <w:rFonts w:cs="Times New Roman"/>
          <w:i/>
        </w:rPr>
        <w:t>Charter</w:t>
      </w:r>
      <w:r w:rsidRPr="009F23CB">
        <w:rPr>
          <w:rFonts w:cs="Times New Roman"/>
        </w:rPr>
        <w:t xml:space="preserve">. Regardless of the presence of </w:t>
      </w:r>
      <w:r w:rsidRPr="009F23CB">
        <w:rPr>
          <w:rFonts w:cs="Times New Roman"/>
          <w:i/>
        </w:rPr>
        <w:t>Charter</w:t>
      </w:r>
      <w:r w:rsidRPr="009F23CB">
        <w:rPr>
          <w:rFonts w:cs="Times New Roman"/>
        </w:rPr>
        <w:t xml:space="preserve">-compliant conduct following a breach, the test must remain the same in every case: the evidence is “obtained in a manner” that infringes a </w:t>
      </w:r>
      <w:r w:rsidRPr="009F23CB">
        <w:rPr>
          <w:rFonts w:cs="Times New Roman"/>
          <w:i/>
        </w:rPr>
        <w:t>Charter</w:t>
      </w:r>
      <w:r w:rsidRPr="009F23CB">
        <w:rPr>
          <w:rFonts w:cs="Times New Roman"/>
        </w:rPr>
        <w:t xml:space="preserve"> right if upon review of the entire course of events, the breach and the obtaining of the evidence can be said to be part of the same transaction or course of conduct. The connection between the breach and the obtaining of the evidence may be temporal, contextual, causal or a combination of the three, and the connection must be more than tenuous (</w:t>
      </w:r>
      <w:r w:rsidRPr="009F23CB">
        <w:rPr>
          <w:rFonts w:cs="Times New Roman"/>
          <w:i/>
        </w:rPr>
        <w:t>R. v. Plaha</w:t>
      </w:r>
      <w:r w:rsidRPr="009F23CB">
        <w:rPr>
          <w:rFonts w:cs="Times New Roman"/>
        </w:rPr>
        <w:t xml:space="preserve"> (2004), </w:t>
      </w:r>
      <w:r w:rsidRPr="009F23CB">
        <w:rPr>
          <w:rFonts w:cs="Times New Roman"/>
          <w:lang w:val="en-US"/>
        </w:rPr>
        <w:t>189 O.A.C. 376</w:t>
      </w:r>
      <w:r w:rsidRPr="009F23CB">
        <w:rPr>
          <w:rFonts w:cs="Times New Roman"/>
        </w:rPr>
        <w:t xml:space="preserve">, at para. 45, citing </w:t>
      </w:r>
      <w:r w:rsidRPr="009F23CB">
        <w:rPr>
          <w:rFonts w:cs="Times New Roman"/>
          <w:i/>
        </w:rPr>
        <w:t>Goldhart</w:t>
      </w:r>
      <w:r w:rsidRPr="009F23CB">
        <w:rPr>
          <w:rFonts w:cs="Times New Roman"/>
        </w:rPr>
        <w:t>,</w:t>
      </w:r>
      <w:r w:rsidRPr="009F23CB">
        <w:rPr>
          <w:rFonts w:cs="Times New Roman"/>
          <w:i/>
        </w:rPr>
        <w:t xml:space="preserve"> </w:t>
      </w:r>
      <w:r w:rsidRPr="009F23CB">
        <w:rPr>
          <w:rFonts w:cs="Times New Roman"/>
        </w:rPr>
        <w:t>at paras. 32</w:t>
      </w:r>
      <w:r w:rsidRPr="009F23CB">
        <w:rPr>
          <w:rFonts w:cs="Times New Roman"/>
        </w:rPr>
        <w:noBreakHyphen/>
        <w:t>49). I see no reason why this test should not govern in all cases even if, or maybe especially when, police have recognized a breach and have taken steps to stop it.</w:t>
      </w:r>
    </w:p>
    <w:p w14:paraId="18E0C607" w14:textId="77777777" w:rsidR="009F23CB" w:rsidRPr="009F23CB" w:rsidRDefault="009F23CB" w:rsidP="009F23CB">
      <w:pPr>
        <w:pStyle w:val="ParaNoNdepar-AltN"/>
        <w:rPr>
          <w:rFonts w:cs="Times New Roman"/>
        </w:rPr>
      </w:pPr>
      <w:r w:rsidRPr="009F23CB">
        <w:rPr>
          <w:rFonts w:cs="Times New Roman"/>
        </w:rPr>
        <w:t xml:space="preserve">This is precisely the approach adopted by Fish J. in </w:t>
      </w:r>
      <w:r w:rsidRPr="009F23CB">
        <w:rPr>
          <w:rFonts w:cs="Times New Roman"/>
          <w:i/>
        </w:rPr>
        <w:t>Wittwer</w:t>
      </w:r>
      <w:r w:rsidRPr="009F23CB">
        <w:rPr>
          <w:rFonts w:cs="Times New Roman"/>
        </w:rPr>
        <w:t xml:space="preserve"> (at para. 21) and is the only legal test endorsed by this Court. Although arguably, Fish J. refers to a “fresh start”, he then unequivocally applies the generous and broad approach to the “obtained in a manner” requirement developed in </w:t>
      </w:r>
      <w:r w:rsidRPr="009F23CB">
        <w:rPr>
          <w:rFonts w:cs="Times New Roman"/>
          <w:i/>
        </w:rPr>
        <w:t xml:space="preserve">Strachan </w:t>
      </w:r>
      <w:r w:rsidRPr="009F23CB">
        <w:rPr>
          <w:rFonts w:cs="Times New Roman"/>
        </w:rPr>
        <w:t xml:space="preserve">and </w:t>
      </w:r>
      <w:r w:rsidRPr="009F23CB">
        <w:rPr>
          <w:rFonts w:cs="Times New Roman"/>
          <w:i/>
        </w:rPr>
        <w:t xml:space="preserve">Goldhart </w:t>
      </w:r>
      <w:r w:rsidRPr="009F23CB">
        <w:rPr>
          <w:rFonts w:cs="Times New Roman"/>
        </w:rPr>
        <w:t xml:space="preserve">to conduct his analysis. The text of s. 24(2) is not worded so narrowly as to preclude evidence from consideration even when the police take steps to cease an ongoing </w:t>
      </w:r>
      <w:r w:rsidRPr="009F23CB">
        <w:rPr>
          <w:rFonts w:cs="Times New Roman"/>
          <w:i/>
        </w:rPr>
        <w:t xml:space="preserve">Charter </w:t>
      </w:r>
      <w:r w:rsidRPr="009F23CB">
        <w:rPr>
          <w:rFonts w:cs="Times New Roman"/>
        </w:rPr>
        <w:t xml:space="preserve">violation. Substituting a “fresh start” analysis for a complete and contextual “obtained in a manner” analysis creates an inflexible test that makes </w:t>
      </w:r>
      <w:r w:rsidRPr="009F23CB">
        <w:rPr>
          <w:rFonts w:cs="Times New Roman"/>
          <w:i/>
        </w:rPr>
        <w:t xml:space="preserve">Charter </w:t>
      </w:r>
      <w:r w:rsidRPr="009F23CB">
        <w:rPr>
          <w:rFonts w:cs="Times New Roman"/>
        </w:rPr>
        <w:t>remedies less accessible to those whose rights were violated. No single rule should disrupt the courts’ remedial inquiry (CCLA Factum, at para. 22).</w:t>
      </w:r>
    </w:p>
    <w:p w14:paraId="0219B2BE" w14:textId="77777777" w:rsidR="009F23CB" w:rsidRPr="009F23CB" w:rsidRDefault="009F23CB" w:rsidP="009F23CB">
      <w:pPr>
        <w:pStyle w:val="ParaNoNdepar-AltN"/>
        <w:rPr>
          <w:rFonts w:cs="Times New Roman"/>
        </w:rPr>
      </w:pPr>
      <w:r w:rsidRPr="009F23CB">
        <w:rPr>
          <w:rFonts w:cs="Times New Roman"/>
        </w:rPr>
        <w:t xml:space="preserve">As with all remedial provisions, s. 24 of the </w:t>
      </w:r>
      <w:r w:rsidRPr="009F23CB">
        <w:rPr>
          <w:rFonts w:cs="Times New Roman"/>
          <w:i/>
        </w:rPr>
        <w:t xml:space="preserve">Charter </w:t>
      </w:r>
      <w:r w:rsidRPr="009F23CB">
        <w:rPr>
          <w:rFonts w:cs="Times New Roman"/>
        </w:rPr>
        <w:t>must be given a large and liberal interpretation consistent with its purpose. Taking a broad and generous approach to the “obtained in a manner” threshold requirement is important, as it is the gateway to the focus of s. 24(2): whether the admission would bring the administration of justice into disrepute (</w:t>
      </w:r>
      <w:r w:rsidRPr="009F23CB">
        <w:rPr>
          <w:rFonts w:cs="Times New Roman"/>
          <w:i/>
        </w:rPr>
        <w:t>Pino</w:t>
      </w:r>
      <w:r w:rsidRPr="009F23CB">
        <w:rPr>
          <w:rFonts w:cs="Times New Roman"/>
        </w:rPr>
        <w:t xml:space="preserve">, at para. 56). An overly narrow interpretation of s. 24(2) would prevent courts from even considering the seriousness of the </w:t>
      </w:r>
      <w:r w:rsidRPr="009F23CB">
        <w:rPr>
          <w:rFonts w:cs="Times New Roman"/>
          <w:i/>
        </w:rPr>
        <w:t>Charter</w:t>
      </w:r>
      <w:r w:rsidRPr="009F23CB">
        <w:rPr>
          <w:rFonts w:cs="Times New Roman"/>
        </w:rPr>
        <w:t xml:space="preserve">-infringing conduct, an unwelcome result which would automatically immunize prior </w:t>
      </w:r>
      <w:r w:rsidRPr="009F23CB">
        <w:rPr>
          <w:rFonts w:cs="Times New Roman"/>
          <w:i/>
        </w:rPr>
        <w:t xml:space="preserve">Charter </w:t>
      </w:r>
      <w:r w:rsidRPr="009F23CB">
        <w:rPr>
          <w:rFonts w:cs="Times New Roman"/>
        </w:rPr>
        <w:t>breaches. There is simply no need or utility in speaking about a “fresh start” because the current s. 24 jurisprudence contemplates that there may be circumstances in which the requisite connection is not established and the evidence was outside its “obtained in a manner” requirement. In my view, it is an unhelpful label that creates and supports an improper path of reasoning, serving to divide a holistic analysis into two parts. The trial decision in this case demonstrates the dangers that accompany the “fresh start” doctrine.</w:t>
      </w:r>
      <w:r w:rsidRPr="009F23CB">
        <w:rPr>
          <w:rFonts w:cs="Times New Roman"/>
          <w:b/>
        </w:rPr>
        <w:t xml:space="preserve"> </w:t>
      </w:r>
      <w:r w:rsidRPr="009F23CB">
        <w:rPr>
          <w:rFonts w:cs="Times New Roman"/>
        </w:rPr>
        <w:t xml:space="preserve">In finding that there was a “fresh start” such that the </w:t>
      </w:r>
      <w:r w:rsidRPr="009F23CB">
        <w:rPr>
          <w:rFonts w:cs="Times New Roman"/>
          <w:i/>
        </w:rPr>
        <w:t>Charter</w:t>
      </w:r>
      <w:r w:rsidRPr="009F23CB">
        <w:rPr>
          <w:rFonts w:cs="Times New Roman"/>
        </w:rPr>
        <w:t xml:space="preserve"> breaches were “cured”, the trial judge characterized the police conduct following the arrest as a second transaction, unrelated to the prior events (paras. 207</w:t>
      </w:r>
      <w:r w:rsidRPr="009F23CB">
        <w:rPr>
          <w:rFonts w:cs="Times New Roman"/>
        </w:rPr>
        <w:noBreakHyphen/>
        <w:t xml:space="preserve">11). This allowed him to ignore the unlawful conduct that preceded the arrests while relying only on the </w:t>
      </w:r>
      <w:r w:rsidRPr="009F23CB">
        <w:rPr>
          <w:rFonts w:cs="Times New Roman"/>
          <w:i/>
        </w:rPr>
        <w:t>Charter</w:t>
      </w:r>
      <w:r w:rsidRPr="009F23CB">
        <w:rPr>
          <w:rFonts w:cs="Times New Roman"/>
        </w:rPr>
        <w:t xml:space="preserve">-compliant conduct following the arrests to justify a lack of connection between the </w:t>
      </w:r>
      <w:r w:rsidRPr="009F23CB">
        <w:rPr>
          <w:rFonts w:cs="Times New Roman"/>
          <w:i/>
        </w:rPr>
        <w:t xml:space="preserve">Charter </w:t>
      </w:r>
      <w:r w:rsidRPr="009F23CB">
        <w:rPr>
          <w:rFonts w:cs="Times New Roman"/>
        </w:rPr>
        <w:t xml:space="preserve">violations and the statements. </w:t>
      </w:r>
    </w:p>
    <w:p w14:paraId="2EEADF58" w14:textId="77777777" w:rsidR="009F23CB" w:rsidRPr="009F23CB" w:rsidRDefault="009F23CB" w:rsidP="009F23CB">
      <w:pPr>
        <w:pStyle w:val="ParaNoNdepar-AltN"/>
        <w:rPr>
          <w:rFonts w:cs="Times New Roman"/>
        </w:rPr>
      </w:pPr>
      <w:r w:rsidRPr="009F23CB">
        <w:rPr>
          <w:rFonts w:cs="Times New Roman"/>
        </w:rPr>
        <w:t xml:space="preserve">Respectfully, the approach my colleague has taken to the “fresh start” doctrine leads to a replication of the trial judge’s error. Though he rejects the trial judge’s conclusion that police can “cure” an earlier </w:t>
      </w:r>
      <w:r w:rsidRPr="009F23CB">
        <w:rPr>
          <w:rFonts w:cs="Times New Roman"/>
          <w:i/>
        </w:rPr>
        <w:t xml:space="preserve">Charter </w:t>
      </w:r>
      <w:r w:rsidRPr="009F23CB">
        <w:rPr>
          <w:rFonts w:cs="Times New Roman"/>
        </w:rPr>
        <w:t xml:space="preserve">breach with </w:t>
      </w:r>
      <w:r w:rsidRPr="009F23CB">
        <w:rPr>
          <w:rFonts w:cs="Times New Roman"/>
          <w:i/>
        </w:rPr>
        <w:t>Charter</w:t>
      </w:r>
      <w:r w:rsidRPr="009F23CB">
        <w:rPr>
          <w:rFonts w:cs="Times New Roman"/>
        </w:rPr>
        <w:t xml:space="preserve">-compliant conduct (para. 106, citing ABQB reasons, at paras. 191, 206, 215, 239 and 253), he similarly enumerates police conduct that would allow just that; indicators that the police have rectified their breaches with new, </w:t>
      </w:r>
      <w:r w:rsidRPr="009F23CB">
        <w:rPr>
          <w:rFonts w:cs="Times New Roman"/>
          <w:i/>
        </w:rPr>
        <w:t>Charter</w:t>
      </w:r>
      <w:r w:rsidRPr="009F23CB">
        <w:rPr>
          <w:rFonts w:cs="Times New Roman"/>
        </w:rPr>
        <w:t xml:space="preserve">-compliant conduct (factors enumerated at para. 103). There is no “focussed and powerful antidote” that can erase conduct violating the </w:t>
      </w:r>
      <w:r w:rsidRPr="009F23CB">
        <w:rPr>
          <w:rFonts w:cs="Times New Roman"/>
          <w:i/>
        </w:rPr>
        <w:t>Charter</w:t>
      </w:r>
      <w:r w:rsidRPr="009F23CB">
        <w:rPr>
          <w:rFonts w:cs="Times New Roman"/>
        </w:rPr>
        <w:t xml:space="preserve"> (para. 101, citing </w:t>
      </w:r>
      <w:r w:rsidRPr="009F23CB">
        <w:rPr>
          <w:rFonts w:cs="Times New Roman"/>
          <w:i/>
        </w:rPr>
        <w:t>Simon</w:t>
      </w:r>
      <w:r w:rsidRPr="009F23CB">
        <w:rPr>
          <w:rFonts w:cs="Times New Roman"/>
        </w:rPr>
        <w:t>, at para. 70); this conduct must always form part of the “obtained in a manner” analysis.</w:t>
      </w:r>
    </w:p>
    <w:p w14:paraId="0386EEEB" w14:textId="77777777" w:rsidR="009F23CB" w:rsidRPr="009F23CB" w:rsidRDefault="009F23CB" w:rsidP="009F23CB">
      <w:pPr>
        <w:pStyle w:val="ParaNoNdepar-AltN"/>
        <w:rPr>
          <w:rFonts w:cs="Times New Roman"/>
        </w:rPr>
      </w:pPr>
      <w:r w:rsidRPr="009F23CB">
        <w:rPr>
          <w:rFonts w:cs="Times New Roman"/>
        </w:rPr>
        <w:t xml:space="preserve">By shifting the focus to the eventual </w:t>
      </w:r>
      <w:r w:rsidRPr="009F23CB">
        <w:rPr>
          <w:rFonts w:cs="Times New Roman"/>
          <w:i/>
        </w:rPr>
        <w:t>Charter</w:t>
      </w:r>
      <w:r w:rsidRPr="009F23CB">
        <w:rPr>
          <w:rFonts w:cs="Times New Roman"/>
        </w:rPr>
        <w:t>-compliant conduct,</w:t>
      </w:r>
      <w:r w:rsidRPr="009F23CB">
        <w:rPr>
          <w:rFonts w:cs="Times New Roman"/>
          <w:i/>
        </w:rPr>
        <w:t xml:space="preserve"> </w:t>
      </w:r>
      <w:r w:rsidRPr="009F23CB">
        <w:rPr>
          <w:rFonts w:cs="Times New Roman"/>
        </w:rPr>
        <w:t xml:space="preserve">the “fresh start” doctrine distracts from the remedial nature of s. 24(2) and allows police to insulate their conduct from review, regardless of the severity of that conduct. This approach clashes with the principle under the </w:t>
      </w:r>
      <w:r w:rsidRPr="009F23CB">
        <w:rPr>
          <w:rFonts w:cs="Times New Roman"/>
          <w:i/>
        </w:rPr>
        <w:t xml:space="preserve">Grant </w:t>
      </w:r>
      <w:r w:rsidRPr="009F23CB">
        <w:rPr>
          <w:rFonts w:cs="Times New Roman"/>
        </w:rPr>
        <w:t xml:space="preserve">inquiry that </w:t>
      </w:r>
      <w:r w:rsidRPr="009F23CB">
        <w:rPr>
          <w:rFonts w:cs="Times New Roman"/>
          <w:i/>
        </w:rPr>
        <w:t>Charter</w:t>
      </w:r>
      <w:r w:rsidRPr="009F23CB">
        <w:rPr>
          <w:rFonts w:cs="Times New Roman"/>
        </w:rPr>
        <w:t xml:space="preserve">-compliant conduct by </w:t>
      </w:r>
      <w:r w:rsidRPr="009F23CB">
        <w:rPr>
          <w:rFonts w:cs="Times New Roman"/>
          <w:i/>
        </w:rPr>
        <w:t>some</w:t>
      </w:r>
      <w:r w:rsidRPr="009F23CB">
        <w:rPr>
          <w:rFonts w:cs="Times New Roman"/>
        </w:rPr>
        <w:t xml:space="preserve"> police officers does not negate or reduce the severity of the </w:t>
      </w:r>
      <w:r w:rsidRPr="009F23CB">
        <w:rPr>
          <w:rFonts w:cs="Times New Roman"/>
          <w:i/>
        </w:rPr>
        <w:t>Charter</w:t>
      </w:r>
      <w:r w:rsidRPr="009F23CB">
        <w:rPr>
          <w:rFonts w:cs="Times New Roman"/>
        </w:rPr>
        <w:t xml:space="preserve">-infringing conduct of </w:t>
      </w:r>
      <w:r w:rsidRPr="009F23CB">
        <w:rPr>
          <w:rFonts w:cs="Times New Roman"/>
          <w:i/>
        </w:rPr>
        <w:t>other</w:t>
      </w:r>
      <w:r w:rsidRPr="009F23CB">
        <w:rPr>
          <w:rFonts w:cs="Times New Roman"/>
        </w:rPr>
        <w:t xml:space="preserve"> police officers (</w:t>
      </w:r>
      <w:r w:rsidRPr="009F23CB">
        <w:rPr>
          <w:rFonts w:cs="Times New Roman"/>
          <w:i/>
        </w:rPr>
        <w:t>R. v. Reilly</w:t>
      </w:r>
      <w:r w:rsidRPr="009F23CB">
        <w:rPr>
          <w:rFonts w:cs="Times New Roman"/>
        </w:rPr>
        <w:t>, 2020 BCCA 369, 397 C.C.C. (3d) 219, at paras. 93-102, aff’d 2021 SCC 38; see also CCLA Factum, at para. 20).</w:t>
      </w:r>
    </w:p>
    <w:p w14:paraId="6A885D79" w14:textId="77777777" w:rsidR="009F23CB" w:rsidRPr="009F23CB" w:rsidRDefault="009F23CB" w:rsidP="009F23CB">
      <w:pPr>
        <w:pStyle w:val="ParaNoNdepar-AltN"/>
        <w:rPr>
          <w:rFonts w:cs="Times New Roman"/>
        </w:rPr>
      </w:pPr>
      <w:r w:rsidRPr="009F23CB">
        <w:rPr>
          <w:rFonts w:cs="Times New Roman"/>
        </w:rPr>
        <w:t xml:space="preserve">After reviewing the entire course of events, I conclude that the evidence was “obtained in a manner” that infringed the appellants’ </w:t>
      </w:r>
      <w:r w:rsidRPr="009F23CB">
        <w:rPr>
          <w:rFonts w:cs="Times New Roman"/>
          <w:i/>
        </w:rPr>
        <w:t xml:space="preserve">Charter </w:t>
      </w:r>
      <w:r w:rsidRPr="009F23CB">
        <w:rPr>
          <w:rFonts w:cs="Times New Roman"/>
        </w:rPr>
        <w:t xml:space="preserve">rights. Because the trial judge erred in (1) concluding that there were reasonable grounds to arrest the appellants and in (2) relying on the concept of a “fresh start” to sever the connection between the initial </w:t>
      </w:r>
      <w:r w:rsidRPr="009F23CB">
        <w:rPr>
          <w:rFonts w:cs="Times New Roman"/>
          <w:i/>
        </w:rPr>
        <w:t>Charter</w:t>
      </w:r>
      <w:r w:rsidRPr="009F23CB">
        <w:rPr>
          <w:rFonts w:cs="Times New Roman"/>
        </w:rPr>
        <w:t xml:space="preserve"> breaches and subsequent statements provided, his conclusion that the evidence was not “obtained in a manner” within the meaning of s. 24(2) of the </w:t>
      </w:r>
      <w:r w:rsidRPr="009F23CB">
        <w:rPr>
          <w:rFonts w:cs="Times New Roman"/>
          <w:i/>
        </w:rPr>
        <w:t>Charter</w:t>
      </w:r>
      <w:r w:rsidRPr="009F23CB">
        <w:rPr>
          <w:rFonts w:cs="Times New Roman"/>
        </w:rPr>
        <w:t xml:space="preserve"> is not owed deference. Here, there is a strong temporal, contextual, and causal connection between the breaches of the appellants’ </w:t>
      </w:r>
      <w:r w:rsidRPr="009F23CB">
        <w:rPr>
          <w:rFonts w:cs="Times New Roman"/>
          <w:i/>
        </w:rPr>
        <w:t xml:space="preserve">Charter </w:t>
      </w:r>
      <w:r w:rsidRPr="009F23CB">
        <w:rPr>
          <w:rFonts w:cs="Times New Roman"/>
        </w:rPr>
        <w:t xml:space="preserve">rights and the collection of their statements. The appellants were under the continuous control and supervision of the police from the time of their unlawful detention and transportation from the scene, to the time Det. Vermette unlawfully directed their arrests, to the time they ultimately admitted their involvement some 12 hours later. The police facilitating a second consultation with counsel for Mr. Lambert and advising him that they are “start[ing] everything all over again” does nothing to relinquish the firm grasp they continued to hold on him (A.R., vol. II, at p. 30). Although a causal connection is not required, the fact that the police would not have obtained the evidence but for the detention, transport, and arrests that were conducted in a manner that violated their </w:t>
      </w:r>
      <w:r w:rsidRPr="009F23CB">
        <w:rPr>
          <w:rFonts w:cs="Times New Roman"/>
          <w:i/>
        </w:rPr>
        <w:t xml:space="preserve">Charter </w:t>
      </w:r>
      <w:r w:rsidRPr="009F23CB">
        <w:rPr>
          <w:rFonts w:cs="Times New Roman"/>
        </w:rPr>
        <w:t xml:space="preserve">rights supports the conclusion that the </w:t>
      </w:r>
      <w:r w:rsidRPr="009F23CB">
        <w:rPr>
          <w:rFonts w:cs="Times New Roman"/>
          <w:i/>
        </w:rPr>
        <w:t xml:space="preserve">Charter </w:t>
      </w:r>
      <w:r w:rsidRPr="009F23CB">
        <w:rPr>
          <w:rFonts w:cs="Times New Roman"/>
        </w:rPr>
        <w:t>breaches and the evidence the appellants provided in their statements were “inextricably linked” (</w:t>
      </w:r>
      <w:r w:rsidRPr="009F23CB">
        <w:rPr>
          <w:rFonts w:cs="Times New Roman"/>
          <w:i/>
        </w:rPr>
        <w:t>R. v. Black</w:t>
      </w:r>
      <w:r w:rsidRPr="009F23CB">
        <w:rPr>
          <w:rFonts w:cs="Times New Roman"/>
        </w:rPr>
        <w:t xml:space="preserve">, [1989] 2 S.C.R. 138, at p. 163). </w:t>
      </w:r>
    </w:p>
    <w:p w14:paraId="0C76DC54" w14:textId="77777777" w:rsidR="009F23CB" w:rsidRPr="009F23CB" w:rsidRDefault="009F23CB" w:rsidP="009F23CB">
      <w:pPr>
        <w:pStyle w:val="Title2LevelTitre2Niveau"/>
        <w:keepNext/>
        <w:numPr>
          <w:ilvl w:val="1"/>
          <w:numId w:val="18"/>
        </w:numPr>
        <w:jc w:val="both"/>
        <w:rPr>
          <w:rFonts w:cs="Times New Roman"/>
        </w:rPr>
      </w:pPr>
      <w:r w:rsidRPr="009F23CB">
        <w:rPr>
          <w:rFonts w:cs="Times New Roman"/>
        </w:rPr>
        <w:t>Admission of the Evidence Would Bring the Administration of Justice Into Disrepute</w:t>
      </w:r>
    </w:p>
    <w:p w14:paraId="46EF2F2C" w14:textId="77777777" w:rsidR="009F23CB" w:rsidRPr="009F23CB" w:rsidRDefault="009F23CB" w:rsidP="009F23CB">
      <w:pPr>
        <w:pStyle w:val="ParaNoNdepar-AltN"/>
        <w:rPr>
          <w:rFonts w:cs="Times New Roman"/>
        </w:rPr>
      </w:pPr>
      <w:r w:rsidRPr="009F23CB">
        <w:rPr>
          <w:rFonts w:cs="Times New Roman"/>
        </w:rPr>
        <w:t>The final question to be addressed is whether, having regard to all the circumstances, the admission of that evidence would bring the administration of justice into disrepute. I have no doubt that it would.</w:t>
      </w:r>
    </w:p>
    <w:p w14:paraId="60F18EB6" w14:textId="77777777" w:rsidR="009F23CB" w:rsidRPr="009F23CB" w:rsidRDefault="009F23CB" w:rsidP="009F23CB">
      <w:pPr>
        <w:pStyle w:val="ParaNoNdepar-AltN"/>
        <w:rPr>
          <w:rFonts w:cs="Times New Roman"/>
        </w:rPr>
      </w:pPr>
      <w:r w:rsidRPr="009F23CB">
        <w:rPr>
          <w:rFonts w:cs="Times New Roman"/>
        </w:rPr>
        <w:t>Given my conclusion that the trial judge erred in his analysis on whether there were reasonable grounds for arrest, his alternative analysis under s. 24(2) is not owed deference (</w:t>
      </w:r>
      <w:r w:rsidRPr="009F23CB">
        <w:rPr>
          <w:rFonts w:cs="Times New Roman"/>
          <w:i/>
        </w:rPr>
        <w:t>R. v. Le</w:t>
      </w:r>
      <w:r w:rsidRPr="009F23CB">
        <w:rPr>
          <w:rFonts w:cs="Times New Roman"/>
        </w:rPr>
        <w:t xml:space="preserve">, 2019 SCC 34, [2019] 2 S.C.R. 692, at para. 138; </w:t>
      </w:r>
      <w:r w:rsidRPr="009F23CB">
        <w:rPr>
          <w:rFonts w:cs="Times New Roman"/>
          <w:i/>
          <w:lang w:val="en-US"/>
        </w:rPr>
        <w:t>R. v. Paterson</w:t>
      </w:r>
      <w:r w:rsidRPr="009F23CB">
        <w:rPr>
          <w:rFonts w:cs="Times New Roman"/>
          <w:lang w:val="en-US"/>
        </w:rPr>
        <w:t xml:space="preserve">, 2017 SCC 15, [2017] 1 S.C.R. 202, at para. 42; </w:t>
      </w:r>
      <w:r w:rsidRPr="009F23CB">
        <w:rPr>
          <w:rFonts w:cs="Times New Roman"/>
          <w:i/>
        </w:rPr>
        <w:t>Grant</w:t>
      </w:r>
      <w:r w:rsidRPr="009F23CB">
        <w:rPr>
          <w:rFonts w:cs="Times New Roman"/>
        </w:rPr>
        <w:t>,</w:t>
      </w:r>
      <w:r w:rsidRPr="009F23CB">
        <w:rPr>
          <w:rFonts w:cs="Times New Roman"/>
          <w:i/>
        </w:rPr>
        <w:t xml:space="preserve"> </w:t>
      </w:r>
      <w:r w:rsidRPr="009F23CB">
        <w:rPr>
          <w:rFonts w:cs="Times New Roman"/>
        </w:rPr>
        <w:t xml:space="preserve">at para. 129). Even if this were not the case, there are legal errors in the trial judge’s alternative analysis, which I discuss below, that would justify revisiting his conclusions. Further, the judge’s finding that the arrests “cured” the previous </w:t>
      </w:r>
      <w:r w:rsidRPr="009F23CB">
        <w:rPr>
          <w:rFonts w:cs="Times New Roman"/>
          <w:i/>
        </w:rPr>
        <w:t xml:space="preserve">Charter </w:t>
      </w:r>
      <w:r w:rsidRPr="009F23CB">
        <w:rPr>
          <w:rFonts w:cs="Times New Roman"/>
        </w:rPr>
        <w:t xml:space="preserve">breaches undermined his ability to appreciate the impact of those breaches on the appellants. I will therefore conduct my own analysis of the </w:t>
      </w:r>
      <w:r w:rsidRPr="009F23CB">
        <w:rPr>
          <w:rFonts w:cs="Times New Roman"/>
          <w:i/>
        </w:rPr>
        <w:t xml:space="preserve">Grant </w:t>
      </w:r>
      <w:r w:rsidRPr="009F23CB">
        <w:rPr>
          <w:rFonts w:cs="Times New Roman"/>
        </w:rPr>
        <w:t>factors.</w:t>
      </w:r>
    </w:p>
    <w:p w14:paraId="2DFCD341" w14:textId="77777777" w:rsidR="009F23CB" w:rsidRPr="009F23CB" w:rsidRDefault="009F23CB" w:rsidP="009F23CB">
      <w:pPr>
        <w:pStyle w:val="Title3LevelTitre3Niveau"/>
        <w:keepNext/>
        <w:numPr>
          <w:ilvl w:val="2"/>
          <w:numId w:val="18"/>
        </w:numPr>
        <w:rPr>
          <w:rFonts w:cs="Times New Roman"/>
        </w:rPr>
      </w:pPr>
      <w:r w:rsidRPr="009F23CB">
        <w:rPr>
          <w:rFonts w:cs="Times New Roman"/>
        </w:rPr>
        <w:t xml:space="preserve">Seriousness of the </w:t>
      </w:r>
      <w:r w:rsidRPr="009F23CB">
        <w:rPr>
          <w:rFonts w:cs="Times New Roman"/>
          <w:i/>
        </w:rPr>
        <w:t>Charter</w:t>
      </w:r>
      <w:r w:rsidRPr="009F23CB">
        <w:rPr>
          <w:rFonts w:cs="Times New Roman"/>
        </w:rPr>
        <w:t>-Infringing State Conduct</w:t>
      </w:r>
    </w:p>
    <w:p w14:paraId="5741371C" w14:textId="77777777" w:rsidR="009F23CB" w:rsidRPr="009F23CB" w:rsidRDefault="009F23CB" w:rsidP="009F23CB">
      <w:pPr>
        <w:pStyle w:val="ParaNoNdepar-AltN"/>
        <w:rPr>
          <w:rFonts w:cs="Times New Roman"/>
        </w:rPr>
      </w:pPr>
      <w:r w:rsidRPr="009F23CB">
        <w:rPr>
          <w:rFonts w:cs="Times New Roman"/>
        </w:rPr>
        <w:t xml:space="preserve">The </w:t>
      </w:r>
      <w:r w:rsidRPr="009F23CB">
        <w:rPr>
          <w:rFonts w:cs="Times New Roman"/>
          <w:i/>
        </w:rPr>
        <w:t>Charter</w:t>
      </w:r>
      <w:r w:rsidRPr="009F23CB">
        <w:rPr>
          <w:rFonts w:cs="Times New Roman"/>
        </w:rPr>
        <w:t xml:space="preserve">-infringing state conduct for which the appellants seek a remedy includes: </w:t>
      </w:r>
    </w:p>
    <w:p w14:paraId="7BEC067C" w14:textId="77777777" w:rsidR="009F23CB" w:rsidRPr="009F23CB" w:rsidRDefault="009F23CB" w:rsidP="009F23CB">
      <w:pPr>
        <w:pStyle w:val="Citation-AltC"/>
        <w:numPr>
          <w:ilvl w:val="5"/>
          <w:numId w:val="1"/>
        </w:numPr>
        <w:spacing w:after="240" w:line="480" w:lineRule="auto"/>
        <w:ind w:left="1418" w:hanging="357"/>
        <w:contextualSpacing w:val="0"/>
      </w:pPr>
      <w:r w:rsidRPr="009F23CB">
        <w:t xml:space="preserve">their </w:t>
      </w:r>
      <w:r w:rsidRPr="009F23CB">
        <w:rPr>
          <w:lang w:val="en-US"/>
        </w:rPr>
        <w:t>unlawful</w:t>
      </w:r>
      <w:r w:rsidRPr="009F23CB">
        <w:t xml:space="preserve"> detention, transport, and search pursuant to a non-existent police power in non-existent legislation, resulting in breaches of ss. 7, 8, 9, 10(a) and 10(b); </w:t>
      </w:r>
    </w:p>
    <w:p w14:paraId="28C1B0AB" w14:textId="77777777" w:rsidR="009F23CB" w:rsidRPr="009F23CB" w:rsidRDefault="009F23CB" w:rsidP="009F23CB">
      <w:pPr>
        <w:pStyle w:val="Citation-AltC"/>
        <w:numPr>
          <w:ilvl w:val="5"/>
          <w:numId w:val="1"/>
        </w:numPr>
        <w:spacing w:after="240" w:line="480" w:lineRule="auto"/>
        <w:ind w:left="1418" w:hanging="357"/>
        <w:contextualSpacing w:val="0"/>
      </w:pPr>
      <w:r w:rsidRPr="009F23CB">
        <w:t>Cst. Taylor’s failure to hold off on questioning Mr. Lambert, violating his rights under ss. 7 and 10(b); and</w:t>
      </w:r>
    </w:p>
    <w:p w14:paraId="29A36012" w14:textId="77777777" w:rsidR="009F23CB" w:rsidRPr="009F23CB" w:rsidRDefault="009F23CB" w:rsidP="009F23CB">
      <w:pPr>
        <w:pStyle w:val="Citation-AltC"/>
        <w:numPr>
          <w:ilvl w:val="5"/>
          <w:numId w:val="1"/>
        </w:numPr>
        <w:spacing w:after="240" w:line="480" w:lineRule="auto"/>
        <w:ind w:left="1418" w:hanging="357"/>
        <w:contextualSpacing w:val="0"/>
      </w:pPr>
      <w:proofErr w:type="gramStart"/>
      <w:r w:rsidRPr="009F23CB">
        <w:t>their</w:t>
      </w:r>
      <w:proofErr w:type="gramEnd"/>
      <w:r w:rsidRPr="009F23CB">
        <w:t xml:space="preserve"> arrest </w:t>
      </w:r>
      <w:r w:rsidRPr="009F23CB">
        <w:rPr>
          <w:lang w:val="en-US"/>
        </w:rPr>
        <w:t>for</w:t>
      </w:r>
      <w:r w:rsidRPr="009F23CB">
        <w:t xml:space="preserve"> murder absent reasonable grounds, resulting in further arbitrary detention contrary to s. 9. </w:t>
      </w:r>
    </w:p>
    <w:p w14:paraId="7BA9651B" w14:textId="77777777" w:rsidR="009F23CB" w:rsidRPr="009F23CB" w:rsidRDefault="009F23CB" w:rsidP="009F23CB">
      <w:pPr>
        <w:pStyle w:val="ParaNoNdepar-AltN"/>
        <w:rPr>
          <w:rFonts w:cs="Times New Roman"/>
        </w:rPr>
      </w:pPr>
      <w:r w:rsidRPr="009F23CB">
        <w:rPr>
          <w:rFonts w:cs="Times New Roman"/>
        </w:rPr>
        <w:t xml:space="preserve">The police conduct in this case can only be described as a string of extremely serious violations of well-established </w:t>
      </w:r>
      <w:r w:rsidRPr="009F23CB">
        <w:rPr>
          <w:rFonts w:cs="Times New Roman"/>
          <w:i/>
        </w:rPr>
        <w:t>Charter</w:t>
      </w:r>
      <w:r w:rsidRPr="009F23CB">
        <w:rPr>
          <w:rFonts w:cs="Times New Roman"/>
        </w:rPr>
        <w:t xml:space="preserve"> principles. In no circumstances were the officers acting in areas of urgency or legal uncertainty. Each of the principles that were breached in this case have been foundational legal requirements since the early years of the </w:t>
      </w:r>
      <w:r w:rsidRPr="009F23CB">
        <w:rPr>
          <w:rFonts w:cs="Times New Roman"/>
          <w:i/>
        </w:rPr>
        <w:t>Charter</w:t>
      </w:r>
      <w:r w:rsidRPr="009F23CB">
        <w:rPr>
          <w:rFonts w:cs="Times New Roman"/>
        </w:rPr>
        <w:t xml:space="preserve">. That these </w:t>
      </w:r>
      <w:r w:rsidRPr="009F23CB">
        <w:rPr>
          <w:rFonts w:cs="Times New Roman"/>
          <w:i/>
        </w:rPr>
        <w:t>Charter</w:t>
      </w:r>
      <w:r w:rsidRPr="009F23CB">
        <w:rPr>
          <w:rFonts w:cs="Times New Roman"/>
        </w:rPr>
        <w:t xml:space="preserve"> requirements took a back seat to investigative convenience and expediency is unacceptable and brings the administration of justice into disrepute. The trial judge’s conclusion that the breaches were not serious, and even the product of “good faith” errors, is untenable when applying the correct legal principles to the facts as he found them. </w:t>
      </w:r>
    </w:p>
    <w:p w14:paraId="2C98C375" w14:textId="77777777" w:rsidR="009F23CB" w:rsidRPr="009F23CB" w:rsidRDefault="009F23CB" w:rsidP="009F23CB">
      <w:pPr>
        <w:pStyle w:val="ParaNoNdepar-AltN"/>
        <w:rPr>
          <w:rFonts w:cs="Times New Roman"/>
        </w:rPr>
      </w:pPr>
      <w:r w:rsidRPr="009F23CB">
        <w:rPr>
          <w:rFonts w:cs="Times New Roman"/>
        </w:rPr>
        <w:t xml:space="preserve">The absence of bad faith conduct in breaching </w:t>
      </w:r>
      <w:r w:rsidRPr="009F23CB">
        <w:rPr>
          <w:rFonts w:cs="Times New Roman"/>
          <w:i/>
        </w:rPr>
        <w:t xml:space="preserve">Charter </w:t>
      </w:r>
      <w:r w:rsidRPr="009F23CB">
        <w:rPr>
          <w:rFonts w:cs="Times New Roman"/>
        </w:rPr>
        <w:t xml:space="preserve">rights does not mean that the breaches are not “severe” or at the serious end of the spectrum in the analysis under s. 24(2). Circumstances where police are found to have deliberately breached the </w:t>
      </w:r>
      <w:r w:rsidRPr="009F23CB">
        <w:rPr>
          <w:rFonts w:cs="Times New Roman"/>
          <w:i/>
        </w:rPr>
        <w:t>Charter</w:t>
      </w:r>
      <w:r w:rsidRPr="009F23CB">
        <w:rPr>
          <w:rFonts w:cs="Times New Roman"/>
        </w:rPr>
        <w:t xml:space="preserve"> are exceedingly rare. However, we expect a great deal more of police than simply refraining from purposely abusing their powers. As state actors who are empowered with extraordinary authority to detain, interrogate, and use force against members of the public in the execution of their duties, it is imperative that police conduct remains scrupulously in line with the boundaries circumscribed by constitutional standards. For this reason, a failure to abide by established principles governing police conduct is considered extremely serious conduct that would tend to bring the administration of justice into disrepute (</w:t>
      </w:r>
      <w:r w:rsidRPr="009F23CB">
        <w:rPr>
          <w:rFonts w:cs="Times New Roman"/>
          <w:i/>
          <w:lang w:val="en-US"/>
        </w:rPr>
        <w:t xml:space="preserve">R. v. </w:t>
      </w:r>
      <w:proofErr w:type="spellStart"/>
      <w:r w:rsidRPr="009F23CB">
        <w:rPr>
          <w:rFonts w:cs="Times New Roman"/>
          <w:i/>
          <w:lang w:val="en-US"/>
        </w:rPr>
        <w:t>Kokesch</w:t>
      </w:r>
      <w:proofErr w:type="spellEnd"/>
      <w:r w:rsidRPr="009F23CB">
        <w:rPr>
          <w:rFonts w:cs="Times New Roman"/>
          <w:lang w:val="en-US"/>
        </w:rPr>
        <w:t xml:space="preserve">, [1990] 3 S.C.R. 3, at pp. 32-33; </w:t>
      </w:r>
      <w:r w:rsidRPr="009F23CB">
        <w:rPr>
          <w:rFonts w:cs="Times New Roman"/>
          <w:i/>
          <w:lang w:val="en-US"/>
        </w:rPr>
        <w:t xml:space="preserve">R. v. </w:t>
      </w:r>
      <w:proofErr w:type="spellStart"/>
      <w:r w:rsidRPr="009F23CB">
        <w:rPr>
          <w:rFonts w:cs="Times New Roman"/>
          <w:i/>
          <w:lang w:val="en-US"/>
        </w:rPr>
        <w:t>Genest</w:t>
      </w:r>
      <w:proofErr w:type="spellEnd"/>
      <w:r w:rsidRPr="009F23CB">
        <w:rPr>
          <w:rFonts w:cs="Times New Roman"/>
          <w:lang w:val="en-US"/>
        </w:rPr>
        <w:t>, [1989] 1 S.C.R. 59, at p. 87)</w:t>
      </w:r>
      <w:r w:rsidRPr="009F23CB">
        <w:rPr>
          <w:rFonts w:cs="Times New Roman"/>
        </w:rPr>
        <w:t>. Indeed, c</w:t>
      </w:r>
      <w:proofErr w:type="spellStart"/>
      <w:r w:rsidRPr="009F23CB">
        <w:rPr>
          <w:rFonts w:cs="Times New Roman"/>
          <w:lang w:val="en-US"/>
        </w:rPr>
        <w:t>onduct</w:t>
      </w:r>
      <w:proofErr w:type="spellEnd"/>
      <w:r w:rsidRPr="009F23CB">
        <w:rPr>
          <w:rFonts w:cs="Times New Roman"/>
          <w:lang w:val="en-US"/>
        </w:rPr>
        <w:t xml:space="preserve"> that is “reckless”, “negligent”, or “ignorant” should support exclusion of the evidence (</w:t>
      </w:r>
      <w:r w:rsidRPr="009F23CB">
        <w:rPr>
          <w:rFonts w:cs="Times New Roman"/>
          <w:i/>
          <w:lang w:val="en-US"/>
        </w:rPr>
        <w:t>Grant</w:t>
      </w:r>
      <w:r w:rsidRPr="009F23CB">
        <w:rPr>
          <w:rFonts w:cs="Times New Roman"/>
          <w:lang w:val="en-US"/>
        </w:rPr>
        <w:t>, at paras. 74-75). Conduct does not need to be deliberate, motivated by an ulterior purpose, or involve systemic or institutional abuse in order to favour a remedy (</w:t>
      </w:r>
      <w:r w:rsidRPr="009F23CB">
        <w:rPr>
          <w:rFonts w:cs="Times New Roman"/>
          <w:i/>
          <w:lang w:val="en-US"/>
        </w:rPr>
        <w:t>Grant</w:t>
      </w:r>
      <w:r w:rsidRPr="009F23CB">
        <w:rPr>
          <w:rFonts w:cs="Times New Roman"/>
          <w:lang w:val="en-US"/>
        </w:rPr>
        <w:t>,</w:t>
      </w:r>
      <w:r w:rsidRPr="009F23CB">
        <w:rPr>
          <w:rFonts w:cs="Times New Roman"/>
          <w:i/>
          <w:lang w:val="en-US"/>
        </w:rPr>
        <w:t xml:space="preserve"> </w:t>
      </w:r>
      <w:r w:rsidRPr="009F23CB">
        <w:rPr>
          <w:rFonts w:cs="Times New Roman"/>
          <w:lang w:val="en-US"/>
        </w:rPr>
        <w:t xml:space="preserve">at para. 75; </w:t>
      </w:r>
      <w:r w:rsidRPr="009F23CB">
        <w:rPr>
          <w:rFonts w:cs="Times New Roman"/>
          <w:i/>
          <w:lang w:val="en-US"/>
        </w:rPr>
        <w:t>R. v. Harrison</w:t>
      </w:r>
      <w:r w:rsidRPr="009F23CB">
        <w:rPr>
          <w:rFonts w:cs="Times New Roman"/>
          <w:lang w:val="en-US"/>
        </w:rPr>
        <w:t xml:space="preserve">, 2009 SCC 34, [2009] 2 S.C.R. 494, at paras. 24-25; </w:t>
      </w:r>
      <w:r w:rsidRPr="009F23CB">
        <w:rPr>
          <w:rFonts w:cs="Times New Roman"/>
          <w:i/>
          <w:lang w:val="en-US"/>
        </w:rPr>
        <w:t>Paterson</w:t>
      </w:r>
      <w:r w:rsidRPr="009F23CB">
        <w:rPr>
          <w:rFonts w:cs="Times New Roman"/>
          <w:lang w:val="en-US"/>
        </w:rPr>
        <w:t xml:space="preserve">, at para. 47; </w:t>
      </w:r>
      <w:r w:rsidRPr="009F23CB">
        <w:rPr>
          <w:rFonts w:cs="Times New Roman"/>
          <w:i/>
          <w:lang w:val="en-US"/>
        </w:rPr>
        <w:t>Le</w:t>
      </w:r>
      <w:r w:rsidRPr="009F23CB">
        <w:rPr>
          <w:rFonts w:cs="Times New Roman"/>
          <w:lang w:val="en-US"/>
        </w:rPr>
        <w:t>,</w:t>
      </w:r>
      <w:r w:rsidRPr="009F23CB">
        <w:rPr>
          <w:rFonts w:cs="Times New Roman"/>
          <w:i/>
          <w:lang w:val="en-US"/>
        </w:rPr>
        <w:t xml:space="preserve"> </w:t>
      </w:r>
      <w:r w:rsidRPr="009F23CB">
        <w:rPr>
          <w:rFonts w:cs="Times New Roman"/>
          <w:lang w:val="en-US"/>
        </w:rPr>
        <w:t>at para. 143).</w:t>
      </w:r>
    </w:p>
    <w:p w14:paraId="7B8F22B6" w14:textId="77777777" w:rsidR="009F23CB" w:rsidRPr="009F23CB" w:rsidRDefault="009F23CB" w:rsidP="009F23CB">
      <w:pPr>
        <w:pStyle w:val="ParaNoNdepar-AltN"/>
        <w:rPr>
          <w:rFonts w:cs="Times New Roman"/>
        </w:rPr>
      </w:pPr>
      <w:r w:rsidRPr="009F23CB">
        <w:rPr>
          <w:rFonts w:cs="Times New Roman"/>
        </w:rPr>
        <w:t xml:space="preserve">The concept of “good faith” has a particular legal meaning in the context of the s. 24(2) analysis. </w:t>
      </w:r>
      <w:r w:rsidRPr="009F23CB">
        <w:rPr>
          <w:rFonts w:cs="Times New Roman"/>
          <w:lang w:val="en-US"/>
        </w:rPr>
        <w:t>For conduct to be described as “good faith”, the police must have conducted themselves in a manner consistent with what they “</w:t>
      </w:r>
      <w:r w:rsidRPr="009F23CB">
        <w:rPr>
          <w:rFonts w:cs="Times New Roman"/>
          <w:u w:val="single"/>
          <w:lang w:val="en-US"/>
        </w:rPr>
        <w:t>subjectively</w:t>
      </w:r>
      <w:r w:rsidRPr="009F23CB">
        <w:rPr>
          <w:rFonts w:cs="Times New Roman"/>
          <w:lang w:val="en-US"/>
        </w:rPr>
        <w:t xml:space="preserve">, </w:t>
      </w:r>
      <w:r w:rsidRPr="009F23CB">
        <w:rPr>
          <w:rFonts w:cs="Times New Roman"/>
          <w:u w:val="single"/>
          <w:lang w:val="en-US"/>
        </w:rPr>
        <w:t>reasonably</w:t>
      </w:r>
      <w:r w:rsidRPr="009F23CB">
        <w:rPr>
          <w:rFonts w:cs="Times New Roman"/>
          <w:lang w:val="en-US"/>
        </w:rPr>
        <w:t xml:space="preserve">, and </w:t>
      </w:r>
      <w:r w:rsidRPr="009F23CB">
        <w:rPr>
          <w:rFonts w:cs="Times New Roman"/>
          <w:u w:val="single"/>
          <w:lang w:val="en-US"/>
        </w:rPr>
        <w:t>non-negligently</w:t>
      </w:r>
      <w:r w:rsidRPr="009F23CB">
        <w:rPr>
          <w:rFonts w:cs="Times New Roman"/>
          <w:lang w:val="en-US"/>
        </w:rPr>
        <w:t xml:space="preserve"> believe[d] to be the law” (</w:t>
      </w:r>
      <w:r w:rsidRPr="009F23CB">
        <w:rPr>
          <w:rFonts w:cs="Times New Roman"/>
          <w:i/>
          <w:lang w:val="en-US"/>
        </w:rPr>
        <w:t>Le</w:t>
      </w:r>
      <w:r w:rsidRPr="009F23CB">
        <w:rPr>
          <w:rFonts w:cs="Times New Roman"/>
          <w:lang w:val="en-US"/>
        </w:rPr>
        <w:t xml:space="preserve">, at para. 147, quoting </w:t>
      </w:r>
      <w:r w:rsidRPr="009F23CB">
        <w:rPr>
          <w:rFonts w:cs="Times New Roman"/>
          <w:i/>
          <w:lang w:val="en-US"/>
        </w:rPr>
        <w:t>R. v. Washington</w:t>
      </w:r>
      <w:r w:rsidRPr="009F23CB">
        <w:rPr>
          <w:rFonts w:cs="Times New Roman"/>
          <w:lang w:val="en-US"/>
        </w:rPr>
        <w:t xml:space="preserve">, 2007 BCCA 540, 248 B.C.A.C. 65, at para. 78 (emphasis added); see also </w:t>
      </w:r>
      <w:r w:rsidRPr="009F23CB">
        <w:rPr>
          <w:rFonts w:cs="Times New Roman"/>
          <w:i/>
          <w:lang w:val="en-US"/>
        </w:rPr>
        <w:t>Paterson</w:t>
      </w:r>
      <w:r w:rsidRPr="009F23CB">
        <w:rPr>
          <w:rFonts w:cs="Times New Roman"/>
          <w:lang w:val="en-US"/>
        </w:rPr>
        <w:t>, at para. 44). The conduct cannot be considered “good faith” if it was based on an unreasonable error or ignorance as to the scope of police authority (</w:t>
      </w:r>
      <w:r w:rsidRPr="009F23CB">
        <w:rPr>
          <w:rFonts w:cs="Times New Roman"/>
          <w:i/>
          <w:lang w:val="en-US"/>
        </w:rPr>
        <w:t xml:space="preserve">R. v. </w:t>
      </w:r>
      <w:proofErr w:type="spellStart"/>
      <w:r w:rsidRPr="009F23CB">
        <w:rPr>
          <w:rFonts w:cs="Times New Roman"/>
          <w:i/>
          <w:lang w:val="en-US"/>
        </w:rPr>
        <w:t>Buhay</w:t>
      </w:r>
      <w:proofErr w:type="spellEnd"/>
      <w:r w:rsidRPr="009F23CB">
        <w:rPr>
          <w:rFonts w:cs="Times New Roman"/>
          <w:lang w:val="en-US"/>
        </w:rPr>
        <w:t xml:space="preserve">, 2003 SCC 30, [2003] 1 S.C.R. 631, at para. 59; </w:t>
      </w:r>
      <w:r w:rsidRPr="009F23CB">
        <w:rPr>
          <w:rFonts w:cs="Times New Roman"/>
          <w:i/>
          <w:lang w:val="en-US"/>
        </w:rPr>
        <w:t>Tim</w:t>
      </w:r>
      <w:r w:rsidRPr="009F23CB">
        <w:rPr>
          <w:rFonts w:cs="Times New Roman"/>
          <w:lang w:val="en-US"/>
        </w:rPr>
        <w:t xml:space="preserve">, at para. 85). Failing to act in bad faith — for example, by knowingly or deliberately breaching the accused’s </w:t>
      </w:r>
      <w:r w:rsidRPr="009F23CB">
        <w:rPr>
          <w:rFonts w:cs="Times New Roman"/>
          <w:i/>
          <w:lang w:val="en-US"/>
        </w:rPr>
        <w:t xml:space="preserve">Charter </w:t>
      </w:r>
      <w:r w:rsidRPr="009F23CB">
        <w:rPr>
          <w:rFonts w:cs="Times New Roman"/>
          <w:lang w:val="en-US"/>
        </w:rPr>
        <w:t xml:space="preserve">rights — does not mean that there was good faith police conduct, unless the conduct was also reasonable and showed a genuine attempt to respect and even promote the rights guaranteed under the </w:t>
      </w:r>
      <w:r w:rsidRPr="009F23CB">
        <w:rPr>
          <w:rFonts w:cs="Times New Roman"/>
          <w:i/>
          <w:lang w:val="en-US"/>
        </w:rPr>
        <w:t>Charter</w:t>
      </w:r>
      <w:r w:rsidRPr="009F23CB">
        <w:rPr>
          <w:rFonts w:cs="Times New Roman"/>
          <w:lang w:val="en-US"/>
        </w:rPr>
        <w:t xml:space="preserve"> (</w:t>
      </w:r>
      <w:r w:rsidRPr="009F23CB">
        <w:rPr>
          <w:rFonts w:cs="Times New Roman"/>
          <w:i/>
          <w:lang w:val="en-US"/>
        </w:rPr>
        <w:t>Le</w:t>
      </w:r>
      <w:r w:rsidRPr="009F23CB">
        <w:rPr>
          <w:rFonts w:cs="Times New Roman"/>
          <w:lang w:val="en-US"/>
        </w:rPr>
        <w:t>, at para. 147).</w:t>
      </w:r>
    </w:p>
    <w:p w14:paraId="3D339DB3" w14:textId="77777777" w:rsidR="009F23CB" w:rsidRPr="009F23CB" w:rsidRDefault="009F23CB" w:rsidP="009F23CB">
      <w:pPr>
        <w:pStyle w:val="ParaNoNdepar-AltN"/>
        <w:rPr>
          <w:rFonts w:cs="Times New Roman"/>
        </w:rPr>
      </w:pPr>
      <w:r w:rsidRPr="009F23CB">
        <w:rPr>
          <w:rFonts w:cs="Times New Roman"/>
        </w:rPr>
        <w:t xml:space="preserve">The trial judge erred in failing to apply these principles to the actions of the officers in this case in the alternative analysis he conducted under s. 24(2). </w:t>
      </w:r>
    </w:p>
    <w:p w14:paraId="00359FFE" w14:textId="77777777" w:rsidR="009F23CB" w:rsidRPr="009F23CB" w:rsidRDefault="009F23CB" w:rsidP="009F23CB">
      <w:pPr>
        <w:pStyle w:val="ParaNoNdepar-AltN"/>
        <w:rPr>
          <w:rFonts w:cs="Times New Roman"/>
        </w:rPr>
      </w:pPr>
      <w:r w:rsidRPr="009F23CB">
        <w:rPr>
          <w:rFonts w:cs="Times New Roman"/>
        </w:rPr>
        <w:t xml:space="preserve">The trial judge found that in directing the appellants’ arrests under the </w:t>
      </w:r>
      <w:r w:rsidRPr="009F23CB">
        <w:rPr>
          <w:rFonts w:cs="Times New Roman"/>
          <w:i/>
        </w:rPr>
        <w:t>Medical Examiners Act</w:t>
      </w:r>
      <w:r w:rsidRPr="009F23CB">
        <w:rPr>
          <w:rFonts w:cs="Times New Roman"/>
        </w:rPr>
        <w:t xml:space="preserve">, Sgt. Lines “was looking for a way to maintain control over Mr. Beaver and Mr. Lambert, but was not sure exactly how to do it” (para. 230). He characterized this conduct as “reckless”, but not “deliberate”, “severe”, or indicative of a “blatant disregard” for the appellants’ </w:t>
      </w:r>
      <w:r w:rsidRPr="009F23CB">
        <w:rPr>
          <w:rFonts w:cs="Times New Roman"/>
          <w:i/>
        </w:rPr>
        <w:t xml:space="preserve">Charter </w:t>
      </w:r>
      <w:r w:rsidRPr="009F23CB">
        <w:rPr>
          <w:rFonts w:cs="Times New Roman"/>
        </w:rPr>
        <w:t xml:space="preserve">rights (para. 230). While the judge correctly found that this conduct could not be characterized as good faith and favoured exclusion, I cannot accept his conclusion that the conduct was not severe and did not show a disregard for the appellants’ </w:t>
      </w:r>
      <w:r w:rsidRPr="009F23CB">
        <w:rPr>
          <w:rFonts w:cs="Times New Roman"/>
          <w:i/>
        </w:rPr>
        <w:t xml:space="preserve">Charter </w:t>
      </w:r>
      <w:r w:rsidRPr="009F23CB">
        <w:rPr>
          <w:rFonts w:cs="Times New Roman"/>
        </w:rPr>
        <w:t>rights. Detaining the appellants under a non-existent police power simply because the officer was searching for a way to maintain control over them does exactly that. The import of his finding was that the officer was operating with an end goal other than ensuring that the necessary legal standards governing police conduct were met. This shows a disregard for the bounds of police authority to limit individual liberty through arrest and detention. It is decidedly very serious conduct.</w:t>
      </w:r>
    </w:p>
    <w:p w14:paraId="24477D16" w14:textId="77777777" w:rsidR="009F23CB" w:rsidRPr="009F23CB" w:rsidRDefault="009F23CB" w:rsidP="009F23CB">
      <w:pPr>
        <w:pStyle w:val="ParaNoNdepar-AltN"/>
        <w:rPr>
          <w:rFonts w:cs="Times New Roman"/>
        </w:rPr>
      </w:pPr>
      <w:r w:rsidRPr="009F23CB">
        <w:rPr>
          <w:rFonts w:cs="Times New Roman"/>
        </w:rPr>
        <w:t>As for Cst. Taylor’s decision to start questioning Mr. Lambert in the car before having provided him with an opportunity to speak to counsel, the judge found that the questioning was not serious or a blatant disregard for Mr. Lambert’s</w:t>
      </w:r>
      <w:r w:rsidRPr="009F23CB">
        <w:rPr>
          <w:rFonts w:cs="Times New Roman"/>
          <w:i/>
        </w:rPr>
        <w:t xml:space="preserve"> Charter </w:t>
      </w:r>
      <w:r w:rsidRPr="009F23CB">
        <w:rPr>
          <w:rFonts w:cs="Times New Roman"/>
        </w:rPr>
        <w:t>rights. He noted that it was not an interrogation or a deliberate attempt to elicit incriminating information; Cst. Taylor simply asked what had happened. He described the seriousness of this conduct in the following terms (at para. 234):</w:t>
      </w:r>
    </w:p>
    <w:p w14:paraId="6596761B" w14:textId="77777777" w:rsidR="009F23CB" w:rsidRPr="009F23CB" w:rsidRDefault="009F23CB" w:rsidP="009F23CB">
      <w:pPr>
        <w:pStyle w:val="Citation-AltC"/>
        <w:ind w:firstLine="454"/>
      </w:pPr>
      <w:r w:rsidRPr="009F23CB">
        <w:t xml:space="preserve">This Court cannot find Cst. Taylor’s question completely blameless. Although innocent on its face, and likely intended not to illicit incriminating information, Cst. Taylor took the risk that Mr. Lambert would provide incriminating evidence. In posing this question, therefore, he was negligent. But does this negligent behaviour move the breach to the more serious side of the breach spectrum? In </w:t>
      </w:r>
      <w:r w:rsidRPr="009F23CB">
        <w:rPr>
          <w:i/>
        </w:rPr>
        <w:t>Grant</w:t>
      </w:r>
      <w:r w:rsidRPr="009F23CB">
        <w:t>, McLachlin CJC and Charron J said, “‘[g]</w:t>
      </w:r>
      <w:proofErr w:type="spellStart"/>
      <w:r w:rsidRPr="009F23CB">
        <w:t>ood</w:t>
      </w:r>
      <w:proofErr w:type="spellEnd"/>
      <w:r w:rsidRPr="009F23CB">
        <w:t xml:space="preserve"> faith’ on the part of the police will also reduce the need for the court to disassociate itself from the police conduct”: </w:t>
      </w:r>
      <w:r w:rsidRPr="009F23CB">
        <w:rPr>
          <w:i/>
        </w:rPr>
        <w:t>Grant</w:t>
      </w:r>
      <w:r w:rsidRPr="009F23CB">
        <w:t xml:space="preserve"> at para 75. This Court finds that Cst. Taylor was posing the question in good faith. He was not attempting to elicit evidence from Mr. Lambert. Rather, he was simply posing a question that might further the investigation as to how Mr. Bowers died. In so doing, he was negligent, but not grossly so. His behaviour would fall more to the less serious side of the spectrum.</w:t>
      </w:r>
    </w:p>
    <w:p w14:paraId="583DCC1D" w14:textId="77777777" w:rsidR="009F23CB" w:rsidRPr="009F23CB" w:rsidRDefault="009F23CB" w:rsidP="009F23CB">
      <w:pPr>
        <w:pStyle w:val="ParaNoNdepar-AltN"/>
        <w:rPr>
          <w:rFonts w:cs="Times New Roman"/>
        </w:rPr>
      </w:pPr>
      <w:r w:rsidRPr="009F23CB">
        <w:rPr>
          <w:rFonts w:cs="Times New Roman"/>
        </w:rPr>
        <w:t xml:space="preserve">Respectfully, it is not possible to conclude that the failure to hold off on questioning Mr. Lambert was a “good faith” or non-serious error. In citing para. 75 of </w:t>
      </w:r>
      <w:r w:rsidRPr="009F23CB">
        <w:rPr>
          <w:rFonts w:cs="Times New Roman"/>
          <w:i/>
        </w:rPr>
        <w:t>Grant</w:t>
      </w:r>
      <w:r w:rsidRPr="009F23CB">
        <w:rPr>
          <w:rFonts w:cs="Times New Roman"/>
        </w:rPr>
        <w:t xml:space="preserve"> for authority that good faith on the part of police will reduce the need to dissociate from police conduct, the judge unfortunately overlooked the very next sentence of that paragraph, which affirms that “negligence or wilful blindness cannot be equated with good faith”. The judge made the express finding, which is well grounded in the facts, that Cst. Taylor’s failure to hold off questioning demonstrated negligence in meeting the conduct required of police officers. </w:t>
      </w:r>
    </w:p>
    <w:p w14:paraId="55CC5A5D" w14:textId="77777777" w:rsidR="009F23CB" w:rsidRPr="009F23CB" w:rsidRDefault="009F23CB" w:rsidP="009F23CB">
      <w:pPr>
        <w:pStyle w:val="ParaNoNdepar-AltN"/>
        <w:rPr>
          <w:rFonts w:cs="Times New Roman"/>
        </w:rPr>
      </w:pPr>
      <w:r w:rsidRPr="009F23CB">
        <w:rPr>
          <w:rFonts w:cs="Times New Roman"/>
        </w:rPr>
        <w:t xml:space="preserve">The legal implication of the trial judge’s factual findings is that the s. 10(b) breach during the transportation of Mr. Lambert was serious and favoured exclusion of the evidence. Section 10(b) of the </w:t>
      </w:r>
      <w:r w:rsidRPr="009F23CB">
        <w:rPr>
          <w:rFonts w:cs="Times New Roman"/>
          <w:i/>
        </w:rPr>
        <w:t>Charter</w:t>
      </w:r>
      <w:r w:rsidRPr="009F23CB">
        <w:rPr>
          <w:rFonts w:cs="Times New Roman"/>
        </w:rPr>
        <w:t xml:space="preserve"> is concerned with self-incrimination and these concerns are present at the outset of detention (</w:t>
      </w:r>
      <w:r w:rsidRPr="009F23CB">
        <w:rPr>
          <w:rFonts w:cs="Times New Roman"/>
          <w:i/>
          <w:lang w:val="en-US"/>
        </w:rPr>
        <w:t xml:space="preserve">R. v. </w:t>
      </w:r>
      <w:proofErr w:type="spellStart"/>
      <w:r w:rsidRPr="009F23CB">
        <w:rPr>
          <w:rFonts w:cs="Times New Roman"/>
          <w:i/>
          <w:lang w:val="en-US"/>
        </w:rPr>
        <w:t>Suberu</w:t>
      </w:r>
      <w:proofErr w:type="spellEnd"/>
      <w:r w:rsidRPr="009F23CB">
        <w:rPr>
          <w:rFonts w:cs="Times New Roman"/>
          <w:lang w:val="en-US"/>
        </w:rPr>
        <w:t>,</w:t>
      </w:r>
      <w:r w:rsidRPr="009F23CB">
        <w:rPr>
          <w:rFonts w:cs="Times New Roman"/>
          <w:i/>
          <w:lang w:val="en-US"/>
        </w:rPr>
        <w:t xml:space="preserve"> </w:t>
      </w:r>
      <w:r w:rsidRPr="009F23CB">
        <w:rPr>
          <w:rFonts w:cs="Times New Roman"/>
          <w:lang w:val="en-US"/>
        </w:rPr>
        <w:t xml:space="preserve">2009 SCC 33, [2009] 2 S.C.R. 460, at para. 2). </w:t>
      </w:r>
      <w:r w:rsidRPr="009F23CB">
        <w:rPr>
          <w:rFonts w:cs="Times New Roman"/>
        </w:rPr>
        <w:t>The duty to hold off has long been a crucial aspect of the implementational duties required of police; once a detainee asserts their right to counsel, the police cannot compel them to partake in a process which could adversely affect the conduct of an eventual trial until that right has been exercised (</w:t>
      </w:r>
      <w:r w:rsidRPr="009F23CB">
        <w:rPr>
          <w:rFonts w:cs="Times New Roman"/>
          <w:i/>
        </w:rPr>
        <w:t>R. v. Prosper</w:t>
      </w:r>
      <w:r w:rsidRPr="009F23CB">
        <w:rPr>
          <w:rFonts w:cs="Times New Roman"/>
        </w:rPr>
        <w:t xml:space="preserve">, [1994] 3 S.C.R. 236, at p. 269, citing </w:t>
      </w:r>
      <w:r w:rsidRPr="009F23CB">
        <w:rPr>
          <w:rFonts w:cs="Times New Roman"/>
          <w:i/>
        </w:rPr>
        <w:t>R. v. Ross</w:t>
      </w:r>
      <w:r w:rsidRPr="009F23CB">
        <w:rPr>
          <w:rFonts w:cs="Times New Roman"/>
        </w:rPr>
        <w:t xml:space="preserve">, [1989] 1 S.C.R. 3, at p. 12). </w:t>
      </w:r>
    </w:p>
    <w:p w14:paraId="1BB375DB" w14:textId="77777777" w:rsidR="009F23CB" w:rsidRPr="009F23CB" w:rsidRDefault="009F23CB" w:rsidP="009F23CB">
      <w:pPr>
        <w:pStyle w:val="ParaNoNdepar-AltN"/>
        <w:rPr>
          <w:rFonts w:cs="Times New Roman"/>
        </w:rPr>
      </w:pPr>
      <w:r w:rsidRPr="009F23CB">
        <w:rPr>
          <w:rFonts w:cs="Times New Roman"/>
        </w:rPr>
        <w:t xml:space="preserve">There was no uncertainty in the law, nor was there any sense of urgency that might have required the police to begin questioning Mr. Lambert before they could facilitate a call with counsel. The fact that the questioning was done in a casual manner rather than an interrogation-style in no way diminishes the seriousness of this conduct, which by the trial judge’s finding was designed to “further the investigation as to how Mr. Bowers died”. The question asked was designed to get a response about what happened. Whether the officer said he did not expect to receive incriminating evidence does not negate the seriousness of failing to ensure that Mr. Lambert obtained the legal advice he requested and had a right to receive before he was subject to police questioning. Mr. Lambert could have made incriminating statements in the police cruiser, and the seriousness of the police’s </w:t>
      </w:r>
      <w:r w:rsidRPr="009F23CB">
        <w:rPr>
          <w:rFonts w:cs="Times New Roman"/>
          <w:i/>
        </w:rPr>
        <w:t>Charter</w:t>
      </w:r>
      <w:r w:rsidRPr="009F23CB">
        <w:rPr>
          <w:rFonts w:cs="Times New Roman"/>
        </w:rPr>
        <w:t>-infringing conduct is not mitigated by the fact that he did not.</w:t>
      </w:r>
    </w:p>
    <w:p w14:paraId="4EBD24C1" w14:textId="77777777" w:rsidR="009F23CB" w:rsidRPr="009F23CB" w:rsidRDefault="009F23CB" w:rsidP="009F23CB">
      <w:pPr>
        <w:pStyle w:val="ParaNoNdepar-AltN"/>
        <w:rPr>
          <w:rFonts w:cs="Times New Roman"/>
        </w:rPr>
      </w:pPr>
      <w:r w:rsidRPr="009F23CB">
        <w:rPr>
          <w:rFonts w:cs="Times New Roman"/>
        </w:rPr>
        <w:t xml:space="preserve">Finally, the judge concluded that if he was wrong in finding there were reasonable grounds to arrest the appellants, Det. Vermette’s conduct would not be serious. He relied on the fact that Det. Vermette was acting in a “fluid situation”, did not “have the luxury of time and thorough consideration”, and could not be expected to undertake a complete analysis of the bases supporting his grounds like a court could do in hindsight (paras. 232 and 240). I disagree in principle with these conclusions. </w:t>
      </w:r>
    </w:p>
    <w:p w14:paraId="4937E3EB" w14:textId="77777777" w:rsidR="009F23CB" w:rsidRPr="009F23CB" w:rsidRDefault="009F23CB" w:rsidP="009F23CB">
      <w:pPr>
        <w:pStyle w:val="ParaNoNdepar-AltN"/>
        <w:rPr>
          <w:rFonts w:cs="Times New Roman"/>
        </w:rPr>
      </w:pPr>
      <w:r w:rsidRPr="009F23CB">
        <w:rPr>
          <w:rFonts w:cs="Times New Roman"/>
        </w:rPr>
        <w:t xml:space="preserve">The decision to arrest the appellants constituted a serious violation of their </w:t>
      </w:r>
      <w:r w:rsidRPr="009F23CB">
        <w:rPr>
          <w:rFonts w:cs="Times New Roman"/>
          <w:i/>
        </w:rPr>
        <w:t>Charter</w:t>
      </w:r>
      <w:r w:rsidRPr="009F23CB">
        <w:rPr>
          <w:rFonts w:cs="Times New Roman"/>
        </w:rPr>
        <w:t xml:space="preserve"> rights. A subjective belief in reasonable grounds does not excuse the decision to arrest in order to justify continued detention in the absence of objective reasonable grounds. Undertaking a thorough analysis of whether the information known to officers at the time was enough to support a credibly based probability that the appellants had killed Mr. Bowers was thus required.</w:t>
      </w:r>
    </w:p>
    <w:p w14:paraId="002F861E" w14:textId="77777777" w:rsidR="009F23CB" w:rsidRPr="009F23CB" w:rsidRDefault="009F23CB" w:rsidP="009F23CB">
      <w:pPr>
        <w:pStyle w:val="ParaNoNdepar-AltN"/>
        <w:rPr>
          <w:rFonts w:cs="Times New Roman"/>
        </w:rPr>
      </w:pPr>
      <w:r w:rsidRPr="009F23CB">
        <w:rPr>
          <w:rFonts w:cs="Times New Roman"/>
        </w:rPr>
        <w:t xml:space="preserve">Contrary to the trial judge’s conclusion, the officers were not acting in the type of “fluid situation” that might support a finding that there was insufficient time to undertake a complete analysis of the bases supporting, and pointing away from, the grounds for arrest. There was no need to act quickly to preserve officer safety, take control of a dynamic situation, or prevent the destruction of evidence. An investigation is always “fluid” in the sense that officers continuously gather information and make decisions on the basis of that information. This does not licence them to breach the </w:t>
      </w:r>
      <w:r w:rsidRPr="009F23CB">
        <w:rPr>
          <w:rFonts w:cs="Times New Roman"/>
          <w:i/>
        </w:rPr>
        <w:t>Charter</w:t>
      </w:r>
      <w:r w:rsidRPr="009F23CB">
        <w:rPr>
          <w:rFonts w:cs="Times New Roman"/>
        </w:rPr>
        <w:t xml:space="preserve">, nor does it make any breaches less serious or excusable. Fluidity is not a reason to fail to approach the applicable legal standard with rigour. There is no reason that the police did not have the luxury of time and consideration before making a determination about whether there were reasonable grounds to arrest the appellants. </w:t>
      </w:r>
    </w:p>
    <w:p w14:paraId="3A38D4E9" w14:textId="77777777" w:rsidR="009F23CB" w:rsidRPr="009F23CB" w:rsidRDefault="009F23CB" w:rsidP="009F23CB">
      <w:pPr>
        <w:pStyle w:val="ParaNoNdepar-AltN"/>
        <w:rPr>
          <w:rFonts w:cs="Times New Roman"/>
        </w:rPr>
      </w:pPr>
      <w:r w:rsidRPr="009F23CB">
        <w:rPr>
          <w:rFonts w:cs="Times New Roman"/>
        </w:rPr>
        <w:t xml:space="preserve">While the officer was right to be concerned with protecting the appellants’ </w:t>
      </w:r>
      <w:r w:rsidRPr="009F23CB">
        <w:rPr>
          <w:rFonts w:cs="Times New Roman"/>
          <w:i/>
        </w:rPr>
        <w:t>Charter</w:t>
      </w:r>
      <w:r w:rsidRPr="009F23CB">
        <w:rPr>
          <w:rFonts w:cs="Times New Roman"/>
        </w:rPr>
        <w:t xml:space="preserve"> rights when he was presented with the circumstances of their unlawful detention, there was an equally viable alternative that would better achieve that objective in this case: releasing the appellants from custody and arresting them once there were reasonable grounds to do so. No attempts were made to inquire into the reasons why the appellants were not arrested and were instead detained under a statute that Det. Vermette knew did not exist and did not grant the police any detention powers. Any perceived urgency by the officers at this time was of their own making. It is not a basis for lowering the standards we expect them to uphold under the </w:t>
      </w:r>
      <w:r w:rsidRPr="009F23CB">
        <w:rPr>
          <w:rFonts w:cs="Times New Roman"/>
          <w:i/>
        </w:rPr>
        <w:t>Charter</w:t>
      </w:r>
      <w:r w:rsidRPr="009F23CB">
        <w:rPr>
          <w:rFonts w:cs="Times New Roman"/>
        </w:rPr>
        <w:t>.</w:t>
      </w:r>
    </w:p>
    <w:p w14:paraId="314CC856" w14:textId="77777777" w:rsidR="009F23CB" w:rsidRPr="009F23CB" w:rsidRDefault="009F23CB" w:rsidP="009F23CB">
      <w:pPr>
        <w:pStyle w:val="ParaNoNdepar-AltN"/>
        <w:rPr>
          <w:rFonts w:cs="Times New Roman"/>
        </w:rPr>
      </w:pPr>
      <w:r w:rsidRPr="009F23CB">
        <w:rPr>
          <w:rFonts w:cs="Times New Roman"/>
        </w:rPr>
        <w:t xml:space="preserve">While I find it unnecessary to determine whether it impacted the voluntariness of the statements, the post-arrest conduct of the police also indicates a lack of attention to ensuring the appellants understood the seriousness of the circumstances they faced. At best, informing the appellants that they were arrested simply because they were witnesses and the police needed to determine what happened showed a lack of care towards ensuring the appellants understood the extent of the jeopardy that accompanies being arrested for murder. </w:t>
      </w:r>
    </w:p>
    <w:p w14:paraId="69AE5D5D" w14:textId="77777777" w:rsidR="009F23CB" w:rsidRPr="009F23CB" w:rsidRDefault="009F23CB" w:rsidP="009F23CB">
      <w:pPr>
        <w:pStyle w:val="ParaNoNdepar-AltN"/>
        <w:rPr>
          <w:rFonts w:cs="Times New Roman"/>
        </w:rPr>
      </w:pPr>
      <w:r w:rsidRPr="009F23CB">
        <w:rPr>
          <w:rFonts w:cs="Times New Roman"/>
        </w:rPr>
        <w:t xml:space="preserve">In sum, the state conduct in this case involved decisions by three separate officers to undertake actions in violation of well-established </w:t>
      </w:r>
      <w:r w:rsidRPr="009F23CB">
        <w:rPr>
          <w:rFonts w:cs="Times New Roman"/>
          <w:i/>
        </w:rPr>
        <w:t xml:space="preserve">Charter </w:t>
      </w:r>
      <w:r w:rsidRPr="009F23CB">
        <w:rPr>
          <w:rFonts w:cs="Times New Roman"/>
        </w:rPr>
        <w:t>standards, placing investigative expediency above the rights of the appellants in the face of no urgency and no legal uncertainty. Not only were these breaches serious on their own, but the pattern of disregard shown by these officers over the course of the investigation further supports the conclusion that admission of the evidence would bring the administration of justice into disrepute (</w:t>
      </w:r>
      <w:r w:rsidRPr="009F23CB">
        <w:rPr>
          <w:rFonts w:cs="Times New Roman"/>
          <w:i/>
        </w:rPr>
        <w:t>Grant</w:t>
      </w:r>
      <w:r w:rsidRPr="009F23CB">
        <w:rPr>
          <w:rFonts w:cs="Times New Roman"/>
        </w:rPr>
        <w:t>, at para. 75). This factor weighs heavily in favour of exclusion.</w:t>
      </w:r>
    </w:p>
    <w:p w14:paraId="6140959F" w14:textId="77777777" w:rsidR="009F23CB" w:rsidRPr="009F23CB" w:rsidRDefault="009F23CB" w:rsidP="009F23CB">
      <w:pPr>
        <w:pStyle w:val="Title3LevelTitre3Niveau"/>
        <w:numPr>
          <w:ilvl w:val="2"/>
          <w:numId w:val="18"/>
        </w:numPr>
        <w:rPr>
          <w:rFonts w:cs="Times New Roman"/>
        </w:rPr>
      </w:pPr>
      <w:r w:rsidRPr="009F23CB">
        <w:rPr>
          <w:rFonts w:cs="Times New Roman"/>
        </w:rPr>
        <w:t xml:space="preserve">Impact on the Appellants’ </w:t>
      </w:r>
      <w:r w:rsidRPr="009F23CB">
        <w:rPr>
          <w:rFonts w:cs="Times New Roman"/>
          <w:i/>
        </w:rPr>
        <w:t>Charter</w:t>
      </w:r>
      <w:r w:rsidRPr="009F23CB">
        <w:rPr>
          <w:rFonts w:cs="Times New Roman"/>
        </w:rPr>
        <w:t>-Protected Interests</w:t>
      </w:r>
    </w:p>
    <w:p w14:paraId="05B8D0A1" w14:textId="77777777" w:rsidR="009F23CB" w:rsidRPr="009F23CB" w:rsidRDefault="009F23CB" w:rsidP="009F23CB">
      <w:pPr>
        <w:pStyle w:val="ParaNoNdepar-AltN"/>
        <w:rPr>
          <w:rFonts w:cs="Times New Roman"/>
        </w:rPr>
      </w:pPr>
      <w:r w:rsidRPr="009F23CB">
        <w:rPr>
          <w:rFonts w:cs="Times New Roman"/>
        </w:rPr>
        <w:t xml:space="preserve">Because of the </w:t>
      </w:r>
      <w:r w:rsidRPr="009F23CB">
        <w:rPr>
          <w:rFonts w:cs="Times New Roman"/>
          <w:i/>
        </w:rPr>
        <w:t xml:space="preserve">Charter </w:t>
      </w:r>
      <w:r w:rsidRPr="009F23CB">
        <w:rPr>
          <w:rFonts w:cs="Times New Roman"/>
        </w:rPr>
        <w:t xml:space="preserve">breaches, the appellants were deprived of their liberty for several hours without a lawful basis and without being informed of the reason, preventing them from being able to make an informed decision about whether to cooperate with police. During this time, the police kept the appellants in custody, searched them, and continued their investigation to the point where they purportedly obtained sufficient grounds to arrest them for murder. They then continued to detain and interrogate them on the basis of those purported grounds until they admitted their involvement in Mr. Bowers’ death. There is no doubt that the intrusion on their </w:t>
      </w:r>
      <w:r w:rsidRPr="009F23CB">
        <w:rPr>
          <w:rFonts w:cs="Times New Roman"/>
          <w:i/>
        </w:rPr>
        <w:t>Charter</w:t>
      </w:r>
      <w:r w:rsidRPr="009F23CB">
        <w:rPr>
          <w:rFonts w:cs="Times New Roman"/>
        </w:rPr>
        <w:t xml:space="preserve">-protected interests was serious. </w:t>
      </w:r>
    </w:p>
    <w:p w14:paraId="1E285821" w14:textId="77777777" w:rsidR="009F23CB" w:rsidRPr="009F23CB" w:rsidRDefault="009F23CB" w:rsidP="009F23CB">
      <w:pPr>
        <w:pStyle w:val="ParaNoNdepar-AltN"/>
        <w:rPr>
          <w:rFonts w:cs="Times New Roman"/>
        </w:rPr>
      </w:pPr>
      <w:r w:rsidRPr="009F23CB">
        <w:rPr>
          <w:rFonts w:cs="Times New Roman"/>
        </w:rPr>
        <w:t xml:space="preserve">In the alternative analysis the trial judge conducted under s. 24(2), he failed to consider the impact of the appellants’ inability to receive legal advice based on an informed understanding of their jeopardy during their unlawful detention and transport — a time at which they were highly vulnerable to the exercise of state power. He instead focused on his findings that the appellants knew they had staged the scene of the death, from which he surmised that they knew the reasons for their detention. He also gave significant weight to his findings that the appellants would have spoken to the police no matter what because they were intent on providing their exculpatory narrative. For these reasons, he concluded that the breaches “had little effect” on the appellants (para. 247). </w:t>
      </w:r>
    </w:p>
    <w:p w14:paraId="0CC9A0D7" w14:textId="77777777" w:rsidR="009F23CB" w:rsidRPr="009F23CB" w:rsidRDefault="009F23CB" w:rsidP="009F23CB">
      <w:pPr>
        <w:pStyle w:val="ParaNoNdepar-AltN"/>
        <w:rPr>
          <w:rFonts w:cs="Times New Roman"/>
        </w:rPr>
      </w:pPr>
      <w:r w:rsidRPr="009F23CB">
        <w:rPr>
          <w:rFonts w:cs="Times New Roman"/>
        </w:rPr>
        <w:t>I have significant concerns with these aspects of the trial judge’s analysis. It does not follow from knowledge that the police are investigating a death that the appellants should have understood the extent of their legal jeopardy. Even the officers at the scene testified that they did not understand the basis for the appellants’ detention. In the case of Mr. Beaver, the officer laughed while detaining him and providing his caution, signaling that she was not taking the situation seriously and that he need not either.</w:t>
      </w:r>
    </w:p>
    <w:p w14:paraId="2E2C0A16" w14:textId="77777777" w:rsidR="009F23CB" w:rsidRPr="009F23CB" w:rsidRDefault="009F23CB" w:rsidP="009F23CB">
      <w:pPr>
        <w:pStyle w:val="ParaNoNdepar-AltN"/>
        <w:rPr>
          <w:rFonts w:cs="Times New Roman"/>
        </w:rPr>
      </w:pPr>
      <w:r w:rsidRPr="009F23CB">
        <w:rPr>
          <w:rFonts w:cs="Times New Roman"/>
        </w:rPr>
        <w:t xml:space="preserve">It is speculative to conclude that the appellants would have chosen to speak to police and provide the exculpatory narrative had they been properly notified of the circumstances of their jeopardy and given the right to speak to counsel on the basis of that information. It could equally have been the case that the appellants gave their exculpatory narrative because they did not appreciate the seriousness of the jeopardy they faced or the implications of providing that information, or felt they had to continue with the narrative they had committed themselves to without being properly informed (see, e.g., </w:t>
      </w:r>
      <w:r w:rsidRPr="009F23CB">
        <w:rPr>
          <w:rFonts w:cs="Times New Roman"/>
          <w:i/>
        </w:rPr>
        <w:t>Plaha</w:t>
      </w:r>
      <w:r w:rsidRPr="009F23CB">
        <w:rPr>
          <w:rFonts w:cs="Times New Roman"/>
        </w:rPr>
        <w:t xml:space="preserve">, at paras. 59-61; </w:t>
      </w:r>
      <w:r w:rsidRPr="009F23CB">
        <w:rPr>
          <w:rFonts w:cs="Times New Roman"/>
          <w:i/>
        </w:rPr>
        <w:t>R. v. Noel</w:t>
      </w:r>
      <w:r w:rsidRPr="009F23CB">
        <w:rPr>
          <w:rFonts w:cs="Times New Roman"/>
        </w:rPr>
        <w:t xml:space="preserve">, 2019 ONCA 860, at para. 27 (CanLII)). </w:t>
      </w:r>
    </w:p>
    <w:p w14:paraId="6A8BA763" w14:textId="77777777" w:rsidR="009F23CB" w:rsidRPr="009F23CB" w:rsidRDefault="009F23CB" w:rsidP="009F23CB">
      <w:pPr>
        <w:pStyle w:val="ParaNoNdepar-AltN"/>
        <w:rPr>
          <w:rFonts w:cs="Times New Roman"/>
        </w:rPr>
      </w:pPr>
      <w:r w:rsidRPr="009F23CB">
        <w:rPr>
          <w:rFonts w:cs="Times New Roman"/>
        </w:rPr>
        <w:t xml:space="preserve">The trial judge also commented on the impact of Cst. Taylor’s breach of the duty to hold off on Mr. Lambert, determining that he “provided his explanation to Cst. Taylor spontaneously following Cst. Taylor’s </w:t>
      </w:r>
      <w:r w:rsidRPr="009F23CB">
        <w:rPr>
          <w:rFonts w:cs="Times New Roman"/>
          <w:i/>
        </w:rPr>
        <w:t>Charter</w:t>
      </w:r>
      <w:r w:rsidRPr="009F23CB">
        <w:rPr>
          <w:rFonts w:cs="Times New Roman"/>
        </w:rPr>
        <w:t xml:space="preserve"> breach” and would have done so in any event because he wanted to profess his innocence (para. 238). It is unclear what was spontaneous about this explanation given that it was provided in direct response to Cst. Taylor’s questioning. The basis on which the judge concluded that Mr. Lambert would have provided his explanation to Cst. Taylor without prompting is also unclear. Again, the fact that the explanation provided was exculpatory does not lessen the impact of his uninformed choice to speak to police.  </w:t>
      </w:r>
    </w:p>
    <w:p w14:paraId="0AA1600D" w14:textId="77777777" w:rsidR="009F23CB" w:rsidRPr="009F23CB" w:rsidRDefault="009F23CB" w:rsidP="009F23CB">
      <w:pPr>
        <w:pStyle w:val="ParaNoNdepar-AltN"/>
        <w:rPr>
          <w:rFonts w:cs="Times New Roman"/>
        </w:rPr>
      </w:pPr>
      <w:r w:rsidRPr="009F23CB">
        <w:rPr>
          <w:rFonts w:cs="Times New Roman"/>
        </w:rPr>
        <w:t xml:space="preserve">The Crown argues that the impact of the unlawful arrests is lessened by the fact that the police found out shortly after the arrests, at about 12:35 p.m., that Mr. Bowers had sent incriminating messages on his computer to a friend on the evening of October 8, 2016. The messages stated that Mr. Bowers was “taking brian and jim down” because “they fucked [him]” (R.R., at p. 45). Another message was sent some three hours later, stating: “I just destroyed brian and jim now I can get some worthy roommates any suggestions” (p. 45). In the Crown’s submission, these messages further confirmed the animus between the deceased and the appellants and would have resolved any doubt about the grounds for the arrests shortly after they were originally carried out. </w:t>
      </w:r>
    </w:p>
    <w:p w14:paraId="6BEE9974" w14:textId="77777777" w:rsidR="009F23CB" w:rsidRPr="009F23CB" w:rsidRDefault="009F23CB" w:rsidP="009F23CB">
      <w:pPr>
        <w:pStyle w:val="ParaNoNdepar-AltN"/>
        <w:rPr>
          <w:rFonts w:cs="Times New Roman"/>
        </w:rPr>
      </w:pPr>
      <w:r w:rsidRPr="009F23CB">
        <w:rPr>
          <w:rFonts w:cs="Times New Roman"/>
        </w:rPr>
        <w:t xml:space="preserve">I am doubtful that this information, which again corroborated an uncontroversial point and which pointed to the deceased — not the appellants — as the aggressor, would have made up the difference needed to reach the reasonable grounds threshold. Further, the additional information from the PIMS report establishes Mr. Bowers as having assaulted Mr. Lambert, and the report makes no mention at all of Mr. Beaver. In any event, even if this information were sufficient to provide objectively reasonable grounds, it would not significantly lessen the cumulative impact of the breaches on the appellants’ </w:t>
      </w:r>
      <w:r w:rsidRPr="009F23CB">
        <w:rPr>
          <w:rFonts w:cs="Times New Roman"/>
          <w:i/>
        </w:rPr>
        <w:t>Charter</w:t>
      </w:r>
      <w:r w:rsidRPr="009F23CB">
        <w:rPr>
          <w:rFonts w:cs="Times New Roman"/>
        </w:rPr>
        <w:t xml:space="preserve">-protected interests that led to that point. </w:t>
      </w:r>
    </w:p>
    <w:p w14:paraId="3B81E2F7" w14:textId="77777777" w:rsidR="009F23CB" w:rsidRPr="009F23CB" w:rsidRDefault="009F23CB" w:rsidP="009F23CB">
      <w:pPr>
        <w:pStyle w:val="ParaNoNdepar-AltN"/>
        <w:rPr>
          <w:rFonts w:cs="Times New Roman"/>
        </w:rPr>
      </w:pPr>
      <w:r w:rsidRPr="009F23CB">
        <w:rPr>
          <w:rFonts w:cs="Times New Roman"/>
        </w:rPr>
        <w:t xml:space="preserve">The comments by police after the appellants’ arrests telling them that they were mere witnesses and the arrests were merely procedural further exacerbated the impact of the breaches on the appellants by downplaying the extent of their jeopardy. For Mr. Beaver, Det. Hossack’s reassurance that his arrest changed nothing about his circumstances — which was clearly false — heightened the impact on his </w:t>
      </w:r>
      <w:r w:rsidRPr="009F23CB">
        <w:rPr>
          <w:rFonts w:cs="Times New Roman"/>
          <w:i/>
        </w:rPr>
        <w:t>Charter</w:t>
      </w:r>
      <w:r w:rsidRPr="009F23CB">
        <w:rPr>
          <w:rFonts w:cs="Times New Roman"/>
        </w:rPr>
        <w:t>-protected interests.</w:t>
      </w:r>
    </w:p>
    <w:p w14:paraId="00ECDFE5" w14:textId="77777777" w:rsidR="009F23CB" w:rsidRPr="009F23CB" w:rsidRDefault="009F23CB" w:rsidP="009F23CB">
      <w:pPr>
        <w:pStyle w:val="ParaNoNdepar-AltN"/>
        <w:rPr>
          <w:rFonts w:cs="Times New Roman"/>
        </w:rPr>
      </w:pPr>
      <w:r w:rsidRPr="009F23CB">
        <w:rPr>
          <w:rFonts w:cs="Times New Roman"/>
        </w:rPr>
        <w:t>This factor also weighs in favour of exclusion.</w:t>
      </w:r>
    </w:p>
    <w:p w14:paraId="1A561695" w14:textId="77777777" w:rsidR="009F23CB" w:rsidRPr="009F23CB" w:rsidRDefault="009F23CB" w:rsidP="009F23CB">
      <w:pPr>
        <w:pStyle w:val="Title3LevelTitre3Niveau"/>
        <w:numPr>
          <w:ilvl w:val="2"/>
          <w:numId w:val="18"/>
        </w:numPr>
        <w:rPr>
          <w:rFonts w:cs="Times New Roman"/>
        </w:rPr>
      </w:pPr>
      <w:r w:rsidRPr="009F23CB">
        <w:rPr>
          <w:rFonts w:cs="Times New Roman"/>
        </w:rPr>
        <w:t>Society’s Interest in the Adjudication of the Case on Its Merits</w:t>
      </w:r>
    </w:p>
    <w:p w14:paraId="73AD030E" w14:textId="77777777" w:rsidR="009F23CB" w:rsidRPr="009F23CB" w:rsidRDefault="009F23CB" w:rsidP="009F23CB">
      <w:pPr>
        <w:pStyle w:val="ParaNoNdepar-AltN"/>
        <w:rPr>
          <w:rFonts w:cs="Times New Roman"/>
        </w:rPr>
      </w:pPr>
      <w:r w:rsidRPr="009F23CB">
        <w:rPr>
          <w:rFonts w:cs="Times New Roman"/>
        </w:rPr>
        <w:t>Society’s interests in the adjudication of the case on its merits favours admission of the evidence, but not overwhelmingly so. It is not clear that the Crown’s case would be “gutted” if the statements were excluded (</w:t>
      </w:r>
      <w:r w:rsidRPr="009F23CB">
        <w:rPr>
          <w:rFonts w:cs="Times New Roman"/>
          <w:i/>
        </w:rPr>
        <w:t>Grant</w:t>
      </w:r>
      <w:r w:rsidRPr="009F23CB">
        <w:rPr>
          <w:rFonts w:cs="Times New Roman"/>
        </w:rPr>
        <w:t>, at para. 83). And while the offence is undoubtedly serious, this factor “cut[s] both ways” as the public has a heightened interest in ensuring the justice system is above reproach when the penal stakes for the accused are high (</w:t>
      </w:r>
      <w:r w:rsidRPr="009F23CB">
        <w:rPr>
          <w:rFonts w:cs="Times New Roman"/>
          <w:i/>
        </w:rPr>
        <w:t>Grant</w:t>
      </w:r>
      <w:r w:rsidRPr="009F23CB">
        <w:rPr>
          <w:rFonts w:cs="Times New Roman"/>
        </w:rPr>
        <w:t xml:space="preserve">, at para. 84). On this point, Iacobucci J.’s comments in </w:t>
      </w:r>
      <w:r w:rsidRPr="009F23CB">
        <w:rPr>
          <w:rFonts w:cs="Times New Roman"/>
          <w:i/>
        </w:rPr>
        <w:t>R. v. Burlingham</w:t>
      </w:r>
      <w:r w:rsidRPr="009F23CB">
        <w:rPr>
          <w:rFonts w:cs="Times New Roman"/>
        </w:rPr>
        <w:t>, [1995] 2 S.C.R. 206, at para. 50,</w:t>
      </w:r>
      <w:r w:rsidRPr="009F23CB">
        <w:rPr>
          <w:rFonts w:cs="Times New Roman"/>
          <w:i/>
        </w:rPr>
        <w:t xml:space="preserve"> </w:t>
      </w:r>
      <w:r w:rsidRPr="009F23CB">
        <w:rPr>
          <w:rFonts w:cs="Times New Roman"/>
        </w:rPr>
        <w:t>are apposite:</w:t>
      </w:r>
    </w:p>
    <w:p w14:paraId="4F5B2CE1" w14:textId="77777777" w:rsidR="009F23CB" w:rsidRPr="009F23CB" w:rsidRDefault="009F23CB" w:rsidP="009F23CB">
      <w:pPr>
        <w:pStyle w:val="Citation-AltC"/>
        <w:ind w:firstLine="274"/>
      </w:pPr>
      <w:r w:rsidRPr="009F23CB">
        <w:t>. . . I underscore that we should never lose sight of the fact that even a person accused of the most heinous crimes, and no matter the likelihood that he or she actually committed those crimes, is entitled to the full protection of the </w:t>
      </w:r>
      <w:r w:rsidRPr="009F23CB">
        <w:rPr>
          <w:i/>
          <w:iCs/>
        </w:rPr>
        <w:t>Charter</w:t>
      </w:r>
      <w:r w:rsidRPr="009F23CB">
        <w:t>. Short-cutting or short-circuiting those rights affects not only the accused, but also the entire reputation of the criminal justice system. It must be emphasized that the goals of preserving the integrity of the criminal justice system as well as promoting the decency of investigatory techniques are of fundamental importance in applying </w:t>
      </w:r>
      <w:r w:rsidRPr="009F23CB">
        <w:rPr>
          <w:rStyle w:val="reflex2-link"/>
        </w:rPr>
        <w:t>s. 24(2).</w:t>
      </w:r>
    </w:p>
    <w:p w14:paraId="77D58E79" w14:textId="77777777" w:rsidR="009F23CB" w:rsidRPr="009F23CB" w:rsidRDefault="009F23CB" w:rsidP="009F23CB">
      <w:pPr>
        <w:pStyle w:val="Title3LevelTitre3Niveau"/>
        <w:keepNext/>
        <w:numPr>
          <w:ilvl w:val="2"/>
          <w:numId w:val="18"/>
        </w:numPr>
        <w:rPr>
          <w:rFonts w:cs="Times New Roman"/>
        </w:rPr>
      </w:pPr>
      <w:r w:rsidRPr="009F23CB">
        <w:rPr>
          <w:rFonts w:cs="Times New Roman"/>
        </w:rPr>
        <w:t>Balancing</w:t>
      </w:r>
    </w:p>
    <w:p w14:paraId="56C7B6E2" w14:textId="77777777" w:rsidR="009F23CB" w:rsidRPr="009F23CB" w:rsidRDefault="009F23CB" w:rsidP="009F23CB">
      <w:pPr>
        <w:pStyle w:val="ParaNoNdepar-AltN"/>
        <w:rPr>
          <w:rFonts w:cs="Times New Roman"/>
        </w:rPr>
      </w:pPr>
      <w:r w:rsidRPr="009F23CB">
        <w:rPr>
          <w:rFonts w:cs="Times New Roman"/>
        </w:rPr>
        <w:t xml:space="preserve">On balance, I conclude that admission of the evidence in the proceedings would bring the administration of justice into disrepute and therefore the evidence must be excluded under s. 24(2) of the </w:t>
      </w:r>
      <w:r w:rsidRPr="009F23CB">
        <w:rPr>
          <w:rFonts w:cs="Times New Roman"/>
          <w:i/>
        </w:rPr>
        <w:t>Charter</w:t>
      </w:r>
      <w:r w:rsidRPr="009F23CB">
        <w:rPr>
          <w:rFonts w:cs="Times New Roman"/>
        </w:rPr>
        <w:t xml:space="preserve">. The circumstances of the appellants’ detention and questioning led to multiple officers breaching multiple </w:t>
      </w:r>
      <w:r w:rsidRPr="009F23CB">
        <w:rPr>
          <w:rFonts w:cs="Times New Roman"/>
          <w:i/>
        </w:rPr>
        <w:t xml:space="preserve">Charter </w:t>
      </w:r>
      <w:r w:rsidRPr="009F23CB">
        <w:rPr>
          <w:rFonts w:cs="Times New Roman"/>
        </w:rPr>
        <w:t xml:space="preserve">rights. The police conduct was extremely serious, violating foundational </w:t>
      </w:r>
      <w:r w:rsidRPr="009F23CB">
        <w:rPr>
          <w:rFonts w:cs="Times New Roman"/>
          <w:i/>
        </w:rPr>
        <w:t xml:space="preserve">Charter </w:t>
      </w:r>
      <w:r w:rsidRPr="009F23CB">
        <w:rPr>
          <w:rFonts w:cs="Times New Roman"/>
        </w:rPr>
        <w:t xml:space="preserve">principles that officers have been bound for decades to follow during the course of an investigation. There were no circumstances of uncertainty in the law or urgency in handling a dynamic situation that might explain these basic errors, which fundamentally undermined the appellants’ </w:t>
      </w:r>
      <w:r w:rsidRPr="009F23CB">
        <w:rPr>
          <w:rFonts w:cs="Times New Roman"/>
          <w:i/>
        </w:rPr>
        <w:t>Charter</w:t>
      </w:r>
      <w:r w:rsidRPr="009F23CB">
        <w:rPr>
          <w:rFonts w:cs="Times New Roman"/>
        </w:rPr>
        <w:t xml:space="preserve">-protected interests. Given the strength of the first two </w:t>
      </w:r>
      <w:r w:rsidRPr="009F23CB">
        <w:rPr>
          <w:rFonts w:cs="Times New Roman"/>
          <w:i/>
        </w:rPr>
        <w:t xml:space="preserve">Grant </w:t>
      </w:r>
      <w:r w:rsidRPr="009F23CB">
        <w:rPr>
          <w:rFonts w:cs="Times New Roman"/>
        </w:rPr>
        <w:t>factors, society’s interest in the adjudication of the case on its merits is insufficient to tip the balance in favour of admission (</w:t>
      </w:r>
      <w:r w:rsidRPr="009F23CB">
        <w:rPr>
          <w:rFonts w:cs="Times New Roman"/>
          <w:i/>
        </w:rPr>
        <w:t>Le</w:t>
      </w:r>
      <w:r w:rsidRPr="009F23CB">
        <w:rPr>
          <w:rFonts w:cs="Times New Roman"/>
        </w:rPr>
        <w:t>,</w:t>
      </w:r>
      <w:r w:rsidRPr="009F23CB">
        <w:rPr>
          <w:rFonts w:cs="Times New Roman"/>
          <w:i/>
        </w:rPr>
        <w:t xml:space="preserve"> </w:t>
      </w:r>
      <w:r w:rsidRPr="009F23CB">
        <w:rPr>
          <w:rFonts w:cs="Times New Roman"/>
        </w:rPr>
        <w:t xml:space="preserve">at para. 142; </w:t>
      </w:r>
      <w:r w:rsidRPr="009F23CB">
        <w:rPr>
          <w:rFonts w:cs="Times New Roman"/>
          <w:i/>
        </w:rPr>
        <w:t>Paterson</w:t>
      </w:r>
      <w:r w:rsidRPr="009F23CB">
        <w:rPr>
          <w:rFonts w:cs="Times New Roman"/>
        </w:rPr>
        <w:t>, at para. 56).</w:t>
      </w:r>
    </w:p>
    <w:p w14:paraId="46BFF0EA" w14:textId="77777777" w:rsidR="009F23CB" w:rsidRPr="009F23CB" w:rsidRDefault="009F23CB" w:rsidP="009F23CB">
      <w:pPr>
        <w:pStyle w:val="Title1LevelTitre1Niveau-AltL"/>
        <w:keepNext/>
        <w:numPr>
          <w:ilvl w:val="0"/>
          <w:numId w:val="18"/>
        </w:numPr>
        <w:rPr>
          <w:rFonts w:cs="Times New Roman"/>
        </w:rPr>
      </w:pPr>
      <w:r w:rsidRPr="009F23CB">
        <w:rPr>
          <w:rFonts w:cs="Times New Roman"/>
        </w:rPr>
        <w:t>Conclusion</w:t>
      </w:r>
    </w:p>
    <w:p w14:paraId="4C8A21AA" w14:textId="77777777" w:rsidR="009F23CB" w:rsidRPr="009F23CB" w:rsidRDefault="009F23CB" w:rsidP="009F23CB">
      <w:pPr>
        <w:pStyle w:val="ParaNoNdepar-AltN"/>
        <w:rPr>
          <w:rFonts w:cs="Times New Roman"/>
        </w:rPr>
      </w:pPr>
      <w:r w:rsidRPr="009F23CB">
        <w:rPr>
          <w:rFonts w:cs="Times New Roman"/>
        </w:rPr>
        <w:t xml:space="preserve">I would therefore allow the appeals, exclude all the evidence obtained in a manner that infringed the appellants’ </w:t>
      </w:r>
      <w:r w:rsidRPr="009F23CB">
        <w:rPr>
          <w:rFonts w:cs="Times New Roman"/>
          <w:i/>
        </w:rPr>
        <w:t>Charter</w:t>
      </w:r>
      <w:r w:rsidRPr="009F23CB">
        <w:rPr>
          <w:rFonts w:cs="Times New Roman"/>
        </w:rPr>
        <w:t xml:space="preserve"> rights, set aside the appellants’ convictions, and order new trials. While the appellants sought an order substituting acquittals, the trial judge’s reasons indicated that the Crown may have evidence to make a case even having excluded this evidence (see ABQB</w:t>
      </w:r>
      <w:r w:rsidRPr="009F23CB">
        <w:rPr>
          <w:rFonts w:cs="Times New Roman"/>
          <w:i/>
        </w:rPr>
        <w:t xml:space="preserve"> </w:t>
      </w:r>
      <w:r w:rsidRPr="009F23CB">
        <w:rPr>
          <w:rFonts w:cs="Times New Roman"/>
        </w:rPr>
        <w:t>reasons, at paras. 251-52), and there is insufficient information in the record available at this Court to determine otherwise.</w:t>
      </w:r>
    </w:p>
    <w:p w14:paraId="5D1F7B2A" w14:textId="7D7E6B5B" w:rsidR="009B57B3" w:rsidRPr="009F23CB" w:rsidRDefault="00E920B2" w:rsidP="00371740">
      <w:pPr>
        <w:pStyle w:val="SCCNormalDoubleSpacing"/>
        <w:spacing w:after="480"/>
      </w:pPr>
      <w:r w:rsidRPr="009F23CB">
        <w:tab/>
      </w:r>
      <w:r w:rsidR="00656313" w:rsidRPr="009F23CB">
        <w:rPr>
          <w:i/>
        </w:rPr>
        <w:t>Appeal</w:t>
      </w:r>
      <w:r w:rsidR="00F6236F" w:rsidRPr="009F23CB">
        <w:rPr>
          <w:i/>
        </w:rPr>
        <w:t>s</w:t>
      </w:r>
      <w:r w:rsidRPr="009F23CB">
        <w:rPr>
          <w:i/>
        </w:rPr>
        <w:t xml:space="preserve"> </w:t>
      </w:r>
      <w:r w:rsidR="00D82EAC" w:rsidRPr="009F23CB">
        <w:rPr>
          <w:i/>
        </w:rPr>
        <w:t>dismissed</w:t>
      </w:r>
      <w:r w:rsidR="00C24A4E" w:rsidRPr="009F23CB">
        <w:rPr>
          <w:i/>
        </w:rPr>
        <w:t xml:space="preserve">, </w:t>
      </w:r>
      <w:r w:rsidR="00C24A4E" w:rsidRPr="009F23CB">
        <w:rPr>
          <w:smallCaps/>
        </w:rPr>
        <w:t>Karakatsanis</w:t>
      </w:r>
      <w:r w:rsidR="00C24A4E" w:rsidRPr="009F23CB">
        <w:rPr>
          <w:i/>
        </w:rPr>
        <w:t xml:space="preserve">, </w:t>
      </w:r>
      <w:r w:rsidR="00C24A4E" w:rsidRPr="009F23CB">
        <w:rPr>
          <w:smallCaps/>
        </w:rPr>
        <w:t>C</w:t>
      </w:r>
      <w:r w:rsidR="00C24A4E" w:rsidRPr="009F23CB">
        <w:rPr>
          <w:smallCaps/>
          <w:lang w:val="en-US"/>
        </w:rPr>
        <w:t>ôté</w:t>
      </w:r>
      <w:r w:rsidR="00C24A4E" w:rsidRPr="009F23CB">
        <w:rPr>
          <w:i/>
          <w:lang w:val="en-US"/>
        </w:rPr>
        <w:t xml:space="preserve">, </w:t>
      </w:r>
      <w:r w:rsidR="002466FC" w:rsidRPr="009F23CB">
        <w:rPr>
          <w:smallCaps/>
        </w:rPr>
        <w:t>Brown</w:t>
      </w:r>
      <w:r w:rsidR="002466FC" w:rsidRPr="009F23CB">
        <w:rPr>
          <w:i/>
        </w:rPr>
        <w:t xml:space="preserve"> and </w:t>
      </w:r>
      <w:r w:rsidR="002466FC" w:rsidRPr="009F23CB">
        <w:rPr>
          <w:smallCaps/>
        </w:rPr>
        <w:t>Martin </w:t>
      </w:r>
      <w:r w:rsidR="00C24A4E" w:rsidRPr="009F23CB">
        <w:rPr>
          <w:smallCaps/>
        </w:rPr>
        <w:t>JJ.</w:t>
      </w:r>
      <w:r w:rsidR="00C24A4E" w:rsidRPr="009F23CB">
        <w:rPr>
          <w:i/>
        </w:rPr>
        <w:t xml:space="preserve"> </w:t>
      </w:r>
      <w:proofErr w:type="gramStart"/>
      <w:r w:rsidR="00C24A4E" w:rsidRPr="009F23CB">
        <w:rPr>
          <w:i/>
        </w:rPr>
        <w:t>dissenting</w:t>
      </w:r>
      <w:proofErr w:type="gramEnd"/>
      <w:r w:rsidRPr="009F23CB">
        <w:t>.</w:t>
      </w:r>
    </w:p>
    <w:p w14:paraId="6CD2492B" w14:textId="5CBAA9DA" w:rsidR="00E815BE" w:rsidRPr="009F23CB" w:rsidRDefault="00E920B2" w:rsidP="00371740">
      <w:pPr>
        <w:pStyle w:val="SCCLawFirm"/>
        <w:spacing w:after="480"/>
      </w:pPr>
      <w:r w:rsidRPr="009F23CB">
        <w:tab/>
        <w:t>Solicitors</w:t>
      </w:r>
      <w:r w:rsidR="00CA06C9" w:rsidRPr="009F23CB">
        <w:t xml:space="preserve"> for the appellant</w:t>
      </w:r>
      <w:r w:rsidR="00071E59" w:rsidRPr="009F23CB">
        <w:t xml:space="preserve"> James Andrew Beaver</w:t>
      </w:r>
      <w:r w:rsidR="00371740" w:rsidRPr="009F23CB">
        <w:t>: </w:t>
      </w:r>
      <w:r w:rsidR="0054408D" w:rsidRPr="009F23CB">
        <w:t xml:space="preserve">McKay </w:t>
      </w:r>
      <w:proofErr w:type="spellStart"/>
      <w:r w:rsidR="0054408D" w:rsidRPr="009F23CB">
        <w:t>Ferg</w:t>
      </w:r>
      <w:proofErr w:type="spellEnd"/>
      <w:r w:rsidR="0054408D" w:rsidRPr="009F23CB">
        <w:t xml:space="preserve">, </w:t>
      </w:r>
      <w:r w:rsidR="00AD7E93" w:rsidRPr="009F23CB">
        <w:t>Calgary</w:t>
      </w:r>
      <w:r w:rsidR="0054408D" w:rsidRPr="009F23CB">
        <w:t xml:space="preserve">; </w:t>
      </w:r>
      <w:r w:rsidR="00CA06C9" w:rsidRPr="009F23CB">
        <w:t>Sitar &amp; Milczarek, Calgary.</w:t>
      </w:r>
    </w:p>
    <w:p w14:paraId="7AC97C91" w14:textId="748BC031" w:rsidR="00DB045D" w:rsidRPr="009F23CB" w:rsidRDefault="00DB045D" w:rsidP="00371740">
      <w:pPr>
        <w:pStyle w:val="SCCNormalDoubleSpacing"/>
        <w:spacing w:after="480"/>
      </w:pPr>
      <w:r w:rsidRPr="009F23CB">
        <w:tab/>
      </w:r>
      <w:r w:rsidR="003471A9" w:rsidRPr="009F23CB">
        <w:rPr>
          <w:i/>
        </w:rPr>
        <w:t>Solicitors</w:t>
      </w:r>
      <w:r w:rsidRPr="009F23CB">
        <w:rPr>
          <w:i/>
        </w:rPr>
        <w:t xml:space="preserve"> for the appellant</w:t>
      </w:r>
      <w:r w:rsidR="00071E59" w:rsidRPr="009F23CB">
        <w:t xml:space="preserve"> </w:t>
      </w:r>
      <w:r w:rsidR="00071E59" w:rsidRPr="009F23CB">
        <w:rPr>
          <w:i/>
        </w:rPr>
        <w:t>Brian John Lambert</w:t>
      </w:r>
      <w:r w:rsidR="00371740" w:rsidRPr="009F23CB">
        <w:rPr>
          <w:i/>
        </w:rPr>
        <w:t>: </w:t>
      </w:r>
      <w:r w:rsidRPr="009F23CB">
        <w:rPr>
          <w:i/>
        </w:rPr>
        <w:t>Ruttan Bates, Calgary.</w:t>
      </w:r>
    </w:p>
    <w:p w14:paraId="4B7F938D" w14:textId="63F249A5" w:rsidR="00E815BE" w:rsidRPr="009F23CB" w:rsidRDefault="003471A9" w:rsidP="00371740">
      <w:pPr>
        <w:pStyle w:val="SCCLawFirm"/>
        <w:spacing w:after="480"/>
      </w:pPr>
      <w:r w:rsidRPr="009F23CB">
        <w:tab/>
        <w:t>Solicitor</w:t>
      </w:r>
      <w:r w:rsidR="00CA06C9" w:rsidRPr="009F23CB">
        <w:t xml:space="preserve"> for the respondent</w:t>
      </w:r>
      <w:r w:rsidR="00371740" w:rsidRPr="009F23CB">
        <w:t>: </w:t>
      </w:r>
      <w:r w:rsidR="007E7FCA" w:rsidRPr="009F23CB">
        <w:t>Alberta Crown Prosecution Service — Appeals and Specialized Prosecutions Office</w:t>
      </w:r>
      <w:r w:rsidR="00CA06C9" w:rsidRPr="009F23CB">
        <w:t>, Calgary.</w:t>
      </w:r>
    </w:p>
    <w:p w14:paraId="257A7010" w14:textId="5C675AF5" w:rsidR="00E815BE" w:rsidRPr="009F23CB" w:rsidRDefault="00CA06C9" w:rsidP="00371740">
      <w:pPr>
        <w:pStyle w:val="SCCLawFirm"/>
        <w:spacing w:after="480"/>
      </w:pPr>
      <w:r w:rsidRPr="009F23CB">
        <w:tab/>
      </w:r>
      <w:r w:rsidR="003471A9" w:rsidRPr="009F23CB">
        <w:t>Solicitor</w:t>
      </w:r>
      <w:r w:rsidRPr="009F23CB">
        <w:t xml:space="preserve"> for the intervener </w:t>
      </w:r>
      <w:r w:rsidR="003471A9" w:rsidRPr="009F23CB">
        <w:t xml:space="preserve">the </w:t>
      </w:r>
      <w:r w:rsidRPr="009F23CB">
        <w:t>Attorney General of Ontario</w:t>
      </w:r>
      <w:r w:rsidR="00371740" w:rsidRPr="009F23CB">
        <w:t>: </w:t>
      </w:r>
      <w:r w:rsidR="00DB045D" w:rsidRPr="009F23CB">
        <w:t>Attorney General of Ontario</w:t>
      </w:r>
      <w:r w:rsidR="007E7FCA" w:rsidRPr="009F23CB">
        <w:t>, Crown Law Office — Criminal</w:t>
      </w:r>
      <w:r w:rsidR="00DB045D" w:rsidRPr="009F23CB">
        <w:t>, Toronto</w:t>
      </w:r>
      <w:r w:rsidRPr="009F23CB">
        <w:t>.</w:t>
      </w:r>
    </w:p>
    <w:p w14:paraId="13C1F804" w14:textId="575FD310" w:rsidR="00E815BE" w:rsidRDefault="003471A9" w:rsidP="00DB045D">
      <w:pPr>
        <w:pStyle w:val="SCCLawFirm"/>
      </w:pPr>
      <w:r w:rsidRPr="009F23CB">
        <w:tab/>
        <w:t>Solicitors</w:t>
      </w:r>
      <w:r w:rsidR="00CA06C9" w:rsidRPr="009F23CB">
        <w:t xml:space="preserve"> for the intervener </w:t>
      </w:r>
      <w:r w:rsidR="00AD7E93" w:rsidRPr="009F23CB">
        <w:t xml:space="preserve">the </w:t>
      </w:r>
      <w:r w:rsidR="00CA06C9" w:rsidRPr="009F23CB">
        <w:t>Canadian Civil Liberties Association</w:t>
      </w:r>
      <w:r w:rsidR="00371740" w:rsidRPr="009F23CB">
        <w:t>: </w:t>
      </w:r>
      <w:r w:rsidRPr="009F23CB">
        <w:t>Addario Law Group</w:t>
      </w:r>
      <w:r w:rsidR="00CA06C9" w:rsidRPr="009F23CB">
        <w:t>, Toronto.</w:t>
      </w:r>
    </w:p>
    <w:sectPr w:rsidR="00E815BE"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81833" w14:textId="77777777" w:rsidR="003854A2" w:rsidRDefault="003854A2">
      <w:r>
        <w:separator/>
      </w:r>
    </w:p>
  </w:endnote>
  <w:endnote w:type="continuationSeparator" w:id="0">
    <w:p w14:paraId="50BA235D" w14:textId="77777777" w:rsidR="003854A2" w:rsidRDefault="00385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442F8" w14:textId="77777777" w:rsidR="003854A2" w:rsidRDefault="003854A2">
      <w:r>
        <w:separator/>
      </w:r>
    </w:p>
  </w:footnote>
  <w:footnote w:type="continuationSeparator" w:id="0">
    <w:p w14:paraId="77EB93A8" w14:textId="77777777" w:rsidR="003854A2" w:rsidRDefault="00385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2128B" w14:textId="77777777" w:rsidR="003854A2" w:rsidRPr="00450352" w:rsidRDefault="003854A2" w:rsidP="00450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FE73C5A"/>
    <w:multiLevelType w:val="hybridMultilevel"/>
    <w:tmpl w:val="F8A8F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663B6D"/>
    <w:multiLevelType w:val="multilevel"/>
    <w:tmpl w:val="1B9CA39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C60AF7"/>
    <w:multiLevelType w:val="hybridMultilevel"/>
    <w:tmpl w:val="C508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C311E"/>
    <w:multiLevelType w:val="hybridMultilevel"/>
    <w:tmpl w:val="98B4C214"/>
    <w:lvl w:ilvl="0" w:tplc="A9ACC588">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270FF"/>
    <w:multiLevelType w:val="multilevel"/>
    <w:tmpl w:val="48B2630E"/>
    <w:lvl w:ilvl="0">
      <w:start w:val="1"/>
      <w:numFmt w:val="decimal"/>
      <w:lvlText w:val="[%1]"/>
      <w:lvlJc w:val="left"/>
      <w:pPr>
        <w:tabs>
          <w:tab w:val="num" w:pos="1152"/>
        </w:tabs>
        <w:ind w:left="0" w:firstLine="0"/>
      </w:pPr>
      <w:rPr>
        <w:rFonts w:ascii="Times New Roman" w:hAnsi="Times New Roman" w:hint="default"/>
        <w:b w:val="0"/>
        <w:i w:val="0"/>
        <w:strike w:val="0"/>
        <w:color w:val="auto"/>
        <w:sz w:val="24"/>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i w:val="0"/>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BE0DFC"/>
    <w:multiLevelType w:val="hybridMultilevel"/>
    <w:tmpl w:val="5C827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5010733"/>
    <w:multiLevelType w:val="hybridMultilevel"/>
    <w:tmpl w:val="CF0C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3130A"/>
    <w:multiLevelType w:val="multilevel"/>
    <w:tmpl w:val="6E6825A0"/>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2"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4283EE8"/>
    <w:multiLevelType w:val="multilevel"/>
    <w:tmpl w:val="CAD019A0"/>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320CFE"/>
    <w:multiLevelType w:val="hybridMultilevel"/>
    <w:tmpl w:val="5E926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A2E04AD"/>
    <w:multiLevelType w:val="hybridMultilevel"/>
    <w:tmpl w:val="5E926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7707C0"/>
    <w:multiLevelType w:val="hybridMultilevel"/>
    <w:tmpl w:val="827C6310"/>
    <w:lvl w:ilvl="0" w:tplc="A270267A">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2"/>
  </w:num>
  <w:num w:numId="4">
    <w:abstractNumId w:val="15"/>
  </w:num>
  <w:num w:numId="5">
    <w:abstractNumId w:val="20"/>
  </w:num>
  <w:num w:numId="6">
    <w:abstractNumId w:val="28"/>
  </w:num>
  <w:num w:numId="7">
    <w:abstractNumId w:val="13"/>
  </w:num>
  <w:num w:numId="8">
    <w:abstractNumId w:val="26"/>
  </w:num>
  <w:num w:numId="9">
    <w:abstractNumId w:val="10"/>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1"/>
    <w:lvlOverride w:ilvl="0">
      <w:startOverride w:val="5"/>
    </w:lvlOverride>
    <w:lvlOverride w:ilvl="1">
      <w:startOverride w:val="3"/>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4"/>
  </w:num>
  <w:num w:numId="15">
    <w:abstractNumId w:val="11"/>
  </w:num>
  <w:num w:numId="16">
    <w:abstractNumId w:val="23"/>
  </w:num>
  <w:num w:numId="17">
    <w:abstractNumId w:val="24"/>
  </w:num>
  <w:num w:numId="18">
    <w:abstractNumId w:val="2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6"/>
  </w:num>
  <w:num w:numId="34">
    <w:abstractNumId w:val="29"/>
  </w:num>
  <w:num w:numId="35">
    <w:abstractNumId w:val="21"/>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78A3"/>
    <w:rsid w:val="000648CC"/>
    <w:rsid w:val="00071B04"/>
    <w:rsid w:val="00071E59"/>
    <w:rsid w:val="000C59B8"/>
    <w:rsid w:val="000C6AF0"/>
    <w:rsid w:val="000D6401"/>
    <w:rsid w:val="00104F33"/>
    <w:rsid w:val="00111DE2"/>
    <w:rsid w:val="00116B38"/>
    <w:rsid w:val="00135406"/>
    <w:rsid w:val="00135972"/>
    <w:rsid w:val="001426A9"/>
    <w:rsid w:val="00153F84"/>
    <w:rsid w:val="00154D7C"/>
    <w:rsid w:val="001570B0"/>
    <w:rsid w:val="0015752C"/>
    <w:rsid w:val="00157737"/>
    <w:rsid w:val="00165277"/>
    <w:rsid w:val="00170592"/>
    <w:rsid w:val="00186351"/>
    <w:rsid w:val="00195D83"/>
    <w:rsid w:val="001A00C1"/>
    <w:rsid w:val="001B33E0"/>
    <w:rsid w:val="001B4573"/>
    <w:rsid w:val="001C779F"/>
    <w:rsid w:val="001D0422"/>
    <w:rsid w:val="001D2AC1"/>
    <w:rsid w:val="001D4E88"/>
    <w:rsid w:val="00220FC2"/>
    <w:rsid w:val="002222F4"/>
    <w:rsid w:val="00224FC0"/>
    <w:rsid w:val="00225EA4"/>
    <w:rsid w:val="00226EAF"/>
    <w:rsid w:val="00231F3A"/>
    <w:rsid w:val="00234199"/>
    <w:rsid w:val="002406EE"/>
    <w:rsid w:val="00243EC8"/>
    <w:rsid w:val="002466FC"/>
    <w:rsid w:val="00270D93"/>
    <w:rsid w:val="002745CC"/>
    <w:rsid w:val="002B7924"/>
    <w:rsid w:val="002D28C3"/>
    <w:rsid w:val="002D39A4"/>
    <w:rsid w:val="002E6705"/>
    <w:rsid w:val="00301D08"/>
    <w:rsid w:val="0030329A"/>
    <w:rsid w:val="0031086F"/>
    <w:rsid w:val="00312786"/>
    <w:rsid w:val="0031414C"/>
    <w:rsid w:val="00314E01"/>
    <w:rsid w:val="0032089D"/>
    <w:rsid w:val="003310DE"/>
    <w:rsid w:val="003323B0"/>
    <w:rsid w:val="003471A9"/>
    <w:rsid w:val="00350A39"/>
    <w:rsid w:val="0035169A"/>
    <w:rsid w:val="0035259D"/>
    <w:rsid w:val="00361D94"/>
    <w:rsid w:val="00364B18"/>
    <w:rsid w:val="00371740"/>
    <w:rsid w:val="003854A2"/>
    <w:rsid w:val="003A125D"/>
    <w:rsid w:val="003A4C70"/>
    <w:rsid w:val="003B215F"/>
    <w:rsid w:val="003C799C"/>
    <w:rsid w:val="003D0399"/>
    <w:rsid w:val="003E1C71"/>
    <w:rsid w:val="003F327B"/>
    <w:rsid w:val="003F425C"/>
    <w:rsid w:val="00406166"/>
    <w:rsid w:val="004068CC"/>
    <w:rsid w:val="0040704B"/>
    <w:rsid w:val="00410A55"/>
    <w:rsid w:val="00411300"/>
    <w:rsid w:val="00415417"/>
    <w:rsid w:val="0042056A"/>
    <w:rsid w:val="00426659"/>
    <w:rsid w:val="00450352"/>
    <w:rsid w:val="00454BDB"/>
    <w:rsid w:val="00456554"/>
    <w:rsid w:val="00464800"/>
    <w:rsid w:val="00465132"/>
    <w:rsid w:val="00480C90"/>
    <w:rsid w:val="0048396F"/>
    <w:rsid w:val="00493C18"/>
    <w:rsid w:val="004A600C"/>
    <w:rsid w:val="004A6118"/>
    <w:rsid w:val="004C478D"/>
    <w:rsid w:val="004E2C26"/>
    <w:rsid w:val="004F36FF"/>
    <w:rsid w:val="005125A8"/>
    <w:rsid w:val="00521AE8"/>
    <w:rsid w:val="00527180"/>
    <w:rsid w:val="00531C52"/>
    <w:rsid w:val="00534D56"/>
    <w:rsid w:val="0054201E"/>
    <w:rsid w:val="0054408D"/>
    <w:rsid w:val="00555291"/>
    <w:rsid w:val="00566AD1"/>
    <w:rsid w:val="00583EDE"/>
    <w:rsid w:val="005A6079"/>
    <w:rsid w:val="005E4698"/>
    <w:rsid w:val="005F32BF"/>
    <w:rsid w:val="00610539"/>
    <w:rsid w:val="00613969"/>
    <w:rsid w:val="00625C35"/>
    <w:rsid w:val="00650978"/>
    <w:rsid w:val="00656313"/>
    <w:rsid w:val="006565F4"/>
    <w:rsid w:val="00684EEA"/>
    <w:rsid w:val="0069689B"/>
    <w:rsid w:val="006A1551"/>
    <w:rsid w:val="006B5FF5"/>
    <w:rsid w:val="006F30AF"/>
    <w:rsid w:val="00700ECD"/>
    <w:rsid w:val="00701759"/>
    <w:rsid w:val="00705C15"/>
    <w:rsid w:val="0071600E"/>
    <w:rsid w:val="007208D1"/>
    <w:rsid w:val="00734609"/>
    <w:rsid w:val="00747288"/>
    <w:rsid w:val="00747DD3"/>
    <w:rsid w:val="007549C8"/>
    <w:rsid w:val="00754A0B"/>
    <w:rsid w:val="00766D14"/>
    <w:rsid w:val="00767A0F"/>
    <w:rsid w:val="007A05F6"/>
    <w:rsid w:val="007B6F4A"/>
    <w:rsid w:val="007C7292"/>
    <w:rsid w:val="007E1C47"/>
    <w:rsid w:val="007E337A"/>
    <w:rsid w:val="007E43F9"/>
    <w:rsid w:val="007E5C70"/>
    <w:rsid w:val="007E7FCA"/>
    <w:rsid w:val="007F2FF5"/>
    <w:rsid w:val="007F3F08"/>
    <w:rsid w:val="007F6454"/>
    <w:rsid w:val="00804CC6"/>
    <w:rsid w:val="008120AA"/>
    <w:rsid w:val="00817190"/>
    <w:rsid w:val="00820EE5"/>
    <w:rsid w:val="008260E2"/>
    <w:rsid w:val="008322BD"/>
    <w:rsid w:val="00833E0A"/>
    <w:rsid w:val="00834F73"/>
    <w:rsid w:val="00864CF8"/>
    <w:rsid w:val="00872819"/>
    <w:rsid w:val="00874914"/>
    <w:rsid w:val="00891422"/>
    <w:rsid w:val="00892E1A"/>
    <w:rsid w:val="008A3F29"/>
    <w:rsid w:val="008A6A96"/>
    <w:rsid w:val="008B660A"/>
    <w:rsid w:val="008C01DA"/>
    <w:rsid w:val="008F78E9"/>
    <w:rsid w:val="00911989"/>
    <w:rsid w:val="009179F9"/>
    <w:rsid w:val="00933E5E"/>
    <w:rsid w:val="00935218"/>
    <w:rsid w:val="009403F3"/>
    <w:rsid w:val="009555B7"/>
    <w:rsid w:val="009567AA"/>
    <w:rsid w:val="00957DDF"/>
    <w:rsid w:val="00964C23"/>
    <w:rsid w:val="00967374"/>
    <w:rsid w:val="009A343A"/>
    <w:rsid w:val="009B2F23"/>
    <w:rsid w:val="009B57B3"/>
    <w:rsid w:val="009C5B92"/>
    <w:rsid w:val="009D2920"/>
    <w:rsid w:val="009D5AEB"/>
    <w:rsid w:val="009E380D"/>
    <w:rsid w:val="009F0E33"/>
    <w:rsid w:val="009F23CB"/>
    <w:rsid w:val="00A030CE"/>
    <w:rsid w:val="00A149DF"/>
    <w:rsid w:val="00A1755C"/>
    <w:rsid w:val="00A21B90"/>
    <w:rsid w:val="00A34D64"/>
    <w:rsid w:val="00A41805"/>
    <w:rsid w:val="00A42DCD"/>
    <w:rsid w:val="00A52AFB"/>
    <w:rsid w:val="00A548CB"/>
    <w:rsid w:val="00A5521C"/>
    <w:rsid w:val="00A643E7"/>
    <w:rsid w:val="00A64B5A"/>
    <w:rsid w:val="00A73C38"/>
    <w:rsid w:val="00A92ABF"/>
    <w:rsid w:val="00AB207A"/>
    <w:rsid w:val="00AB670D"/>
    <w:rsid w:val="00AB71F2"/>
    <w:rsid w:val="00AD7E93"/>
    <w:rsid w:val="00AE4535"/>
    <w:rsid w:val="00AF03C5"/>
    <w:rsid w:val="00B000D8"/>
    <w:rsid w:val="00B00F75"/>
    <w:rsid w:val="00B03446"/>
    <w:rsid w:val="00B10EF2"/>
    <w:rsid w:val="00B145B6"/>
    <w:rsid w:val="00B2746B"/>
    <w:rsid w:val="00B279EB"/>
    <w:rsid w:val="00B44EE6"/>
    <w:rsid w:val="00B50C81"/>
    <w:rsid w:val="00B557F8"/>
    <w:rsid w:val="00B71472"/>
    <w:rsid w:val="00B815FC"/>
    <w:rsid w:val="00B93FBC"/>
    <w:rsid w:val="00BA7DA0"/>
    <w:rsid w:val="00BB2EE4"/>
    <w:rsid w:val="00BB37F7"/>
    <w:rsid w:val="00BC2108"/>
    <w:rsid w:val="00BD0E9E"/>
    <w:rsid w:val="00BD1BEC"/>
    <w:rsid w:val="00BD32FF"/>
    <w:rsid w:val="00BF1AC2"/>
    <w:rsid w:val="00C02092"/>
    <w:rsid w:val="00C24A4E"/>
    <w:rsid w:val="00C24D91"/>
    <w:rsid w:val="00C40781"/>
    <w:rsid w:val="00C53F14"/>
    <w:rsid w:val="00C600CF"/>
    <w:rsid w:val="00C6084F"/>
    <w:rsid w:val="00C62A66"/>
    <w:rsid w:val="00C71458"/>
    <w:rsid w:val="00C71940"/>
    <w:rsid w:val="00C76B2B"/>
    <w:rsid w:val="00C77613"/>
    <w:rsid w:val="00C828E7"/>
    <w:rsid w:val="00C86719"/>
    <w:rsid w:val="00C921DD"/>
    <w:rsid w:val="00CA06C9"/>
    <w:rsid w:val="00CA6391"/>
    <w:rsid w:val="00CB79B7"/>
    <w:rsid w:val="00CC34BD"/>
    <w:rsid w:val="00CE161A"/>
    <w:rsid w:val="00CE3171"/>
    <w:rsid w:val="00CF1601"/>
    <w:rsid w:val="00D0172F"/>
    <w:rsid w:val="00D068A7"/>
    <w:rsid w:val="00D17476"/>
    <w:rsid w:val="00D2009A"/>
    <w:rsid w:val="00D32086"/>
    <w:rsid w:val="00D37A3F"/>
    <w:rsid w:val="00D4431D"/>
    <w:rsid w:val="00D4667A"/>
    <w:rsid w:val="00D63A1C"/>
    <w:rsid w:val="00D7516F"/>
    <w:rsid w:val="00D82EAC"/>
    <w:rsid w:val="00D8579F"/>
    <w:rsid w:val="00D95F8E"/>
    <w:rsid w:val="00DA0590"/>
    <w:rsid w:val="00DB045D"/>
    <w:rsid w:val="00DB7BEA"/>
    <w:rsid w:val="00DC1739"/>
    <w:rsid w:val="00DC1788"/>
    <w:rsid w:val="00DE319C"/>
    <w:rsid w:val="00DF0CA8"/>
    <w:rsid w:val="00DF2B48"/>
    <w:rsid w:val="00DF49A7"/>
    <w:rsid w:val="00E07EE2"/>
    <w:rsid w:val="00E07FD1"/>
    <w:rsid w:val="00E12556"/>
    <w:rsid w:val="00E13F47"/>
    <w:rsid w:val="00E176D8"/>
    <w:rsid w:val="00E24573"/>
    <w:rsid w:val="00E25E1E"/>
    <w:rsid w:val="00E27EE7"/>
    <w:rsid w:val="00E35404"/>
    <w:rsid w:val="00E45109"/>
    <w:rsid w:val="00E469F5"/>
    <w:rsid w:val="00E47B7A"/>
    <w:rsid w:val="00E56A44"/>
    <w:rsid w:val="00E60269"/>
    <w:rsid w:val="00E77932"/>
    <w:rsid w:val="00E815BE"/>
    <w:rsid w:val="00E920B2"/>
    <w:rsid w:val="00E97830"/>
    <w:rsid w:val="00EA0E38"/>
    <w:rsid w:val="00EE0407"/>
    <w:rsid w:val="00EE643C"/>
    <w:rsid w:val="00EF0683"/>
    <w:rsid w:val="00EF35E3"/>
    <w:rsid w:val="00EF69D2"/>
    <w:rsid w:val="00EF766E"/>
    <w:rsid w:val="00F0070C"/>
    <w:rsid w:val="00F00EB7"/>
    <w:rsid w:val="00F0761A"/>
    <w:rsid w:val="00F3671D"/>
    <w:rsid w:val="00F36AB6"/>
    <w:rsid w:val="00F37A09"/>
    <w:rsid w:val="00F409CE"/>
    <w:rsid w:val="00F4379D"/>
    <w:rsid w:val="00F50D2D"/>
    <w:rsid w:val="00F56C8B"/>
    <w:rsid w:val="00F6236F"/>
    <w:rsid w:val="00F66810"/>
    <w:rsid w:val="00F846D9"/>
    <w:rsid w:val="00F84DF4"/>
    <w:rsid w:val="00F85C97"/>
    <w:rsid w:val="00F86DC1"/>
    <w:rsid w:val="00FA1CFC"/>
    <w:rsid w:val="00FB37D2"/>
    <w:rsid w:val="00FC0971"/>
    <w:rsid w:val="00FC4EFB"/>
    <w:rsid w:val="00FD068D"/>
    <w:rsid w:val="00FD44B6"/>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368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3CB"/>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9F23CB"/>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unhideWhenUsed/>
    <w:qFormat/>
    <w:rsid w:val="009F23CB"/>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9F23CB"/>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9F23CB"/>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9F23CB"/>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9F23CB"/>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AD7E93"/>
    <w:rPr>
      <w:sz w:val="16"/>
      <w:szCs w:val="16"/>
    </w:rPr>
  </w:style>
  <w:style w:type="paragraph" w:styleId="CommentText">
    <w:name w:val="annotation text"/>
    <w:basedOn w:val="Normal"/>
    <w:link w:val="CommentTextChar"/>
    <w:uiPriority w:val="99"/>
    <w:unhideWhenUsed/>
    <w:rsid w:val="00AD7E93"/>
    <w:rPr>
      <w:sz w:val="20"/>
    </w:rPr>
  </w:style>
  <w:style w:type="character" w:customStyle="1" w:styleId="CommentTextChar">
    <w:name w:val="Comment Text Char"/>
    <w:basedOn w:val="DefaultParagraphFont"/>
    <w:link w:val="CommentText"/>
    <w:uiPriority w:val="99"/>
    <w:rsid w:val="00AD7E93"/>
  </w:style>
  <w:style w:type="paragraph" w:styleId="CommentSubject">
    <w:name w:val="annotation subject"/>
    <w:basedOn w:val="CommentText"/>
    <w:next w:val="CommentText"/>
    <w:link w:val="CommentSubjectChar"/>
    <w:uiPriority w:val="99"/>
    <w:semiHidden/>
    <w:unhideWhenUsed/>
    <w:rsid w:val="00AD7E93"/>
    <w:rPr>
      <w:b/>
      <w:bCs/>
    </w:rPr>
  </w:style>
  <w:style w:type="character" w:customStyle="1" w:styleId="CommentSubjectChar">
    <w:name w:val="Comment Subject Char"/>
    <w:basedOn w:val="CommentTextChar"/>
    <w:link w:val="CommentSubject"/>
    <w:uiPriority w:val="99"/>
    <w:semiHidden/>
    <w:rsid w:val="00AD7E93"/>
    <w:rPr>
      <w:b/>
      <w:bCs/>
    </w:rPr>
  </w:style>
  <w:style w:type="character" w:styleId="Hyperlink">
    <w:name w:val="Hyperlink"/>
    <w:basedOn w:val="DefaultParagraphFont"/>
    <w:uiPriority w:val="99"/>
    <w:unhideWhenUsed/>
    <w:rsid w:val="00A92ABF"/>
    <w:rPr>
      <w:color w:val="660000"/>
      <w:u w:val="none"/>
    </w:rPr>
  </w:style>
  <w:style w:type="table" w:styleId="TableGrid">
    <w:name w:val="Table Grid"/>
    <w:basedOn w:val="TableNormal"/>
    <w:uiPriority w:val="59"/>
    <w:rsid w:val="007E7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oNdepar-AltN">
    <w:name w:val="Para. No. / Nº de par. - Alt N"/>
    <w:link w:val="ParaNoNdepar-AltNChar"/>
    <w:qFormat/>
    <w:rsid w:val="00CB79B7"/>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CB79B7"/>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E12556"/>
    <w:rPr>
      <w:color w:val="800080" w:themeColor="followedHyperlink"/>
      <w:u w:val="single"/>
    </w:rPr>
  </w:style>
  <w:style w:type="character" w:customStyle="1" w:styleId="Heading3Char">
    <w:name w:val="Heading 3 Char"/>
    <w:basedOn w:val="DefaultParagraphFont"/>
    <w:link w:val="Heading3"/>
    <w:uiPriority w:val="9"/>
    <w:rsid w:val="009F23CB"/>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9F23CB"/>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rsid w:val="009F23CB"/>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9F23CB"/>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9F23CB"/>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9F23CB"/>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9F23CB"/>
    <w:rPr>
      <w:rFonts w:asciiTheme="majorHAnsi" w:eastAsiaTheme="majorEastAsia" w:hAnsiTheme="majorHAnsi" w:cstheme="majorBidi"/>
      <w:i/>
      <w:iCs/>
      <w:color w:val="404040" w:themeColor="text1" w:themeTint="BF"/>
      <w:lang w:val="en-US" w:eastAsia="en-US" w:bidi="en-US"/>
    </w:rPr>
  </w:style>
  <w:style w:type="numbering" w:customStyle="1" w:styleId="MemoTOCList">
    <w:name w:val="Memo TOC List"/>
    <w:basedOn w:val="NoList"/>
    <w:uiPriority w:val="99"/>
    <w:rsid w:val="009F23CB"/>
  </w:style>
  <w:style w:type="paragraph" w:styleId="TOC1">
    <w:name w:val="toc 1"/>
    <w:basedOn w:val="Normal"/>
    <w:next w:val="Normal"/>
    <w:autoRedefine/>
    <w:uiPriority w:val="39"/>
    <w:unhideWhenUsed/>
    <w:rsid w:val="009F23CB"/>
    <w:pPr>
      <w:tabs>
        <w:tab w:val="left" w:pos="720"/>
        <w:tab w:val="right" w:leader="dot" w:pos="9350"/>
      </w:tabs>
      <w:spacing w:after="100"/>
      <w:ind w:left="720" w:hanging="720"/>
    </w:pPr>
    <w:rPr>
      <w:rFonts w:asciiTheme="minorHAnsi" w:eastAsiaTheme="minorEastAsia" w:hAnsiTheme="minorHAnsi" w:cstheme="minorBidi"/>
      <w:noProof/>
      <w:szCs w:val="22"/>
      <w:lang w:val="en-US" w:eastAsia="en-US" w:bidi="en-US"/>
    </w:rPr>
  </w:style>
  <w:style w:type="paragraph" w:styleId="TOC2">
    <w:name w:val="toc 2"/>
    <w:basedOn w:val="Normal"/>
    <w:next w:val="Normal"/>
    <w:autoRedefine/>
    <w:uiPriority w:val="39"/>
    <w:unhideWhenUsed/>
    <w:rsid w:val="009F23CB"/>
    <w:pPr>
      <w:tabs>
        <w:tab w:val="left" w:pos="720"/>
        <w:tab w:val="right" w:leader="dot" w:pos="9350"/>
      </w:tabs>
      <w:spacing w:after="100"/>
      <w:ind w:left="1152" w:hanging="432"/>
    </w:pPr>
    <w:rPr>
      <w:rFonts w:eastAsiaTheme="minorHAnsi" w:cstheme="minorBidi"/>
      <w:szCs w:val="22"/>
      <w:lang w:val="en-US" w:eastAsia="en-US" w:bidi="en-US"/>
    </w:rPr>
  </w:style>
  <w:style w:type="paragraph" w:styleId="Title">
    <w:name w:val="Title"/>
    <w:basedOn w:val="Normal"/>
    <w:next w:val="Normal"/>
    <w:link w:val="TitleChar"/>
    <w:uiPriority w:val="10"/>
    <w:rsid w:val="009F23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9F23CB"/>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9F23CB"/>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9F23CB"/>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9F23CB"/>
    <w:rPr>
      <w:i/>
      <w:iCs/>
    </w:rPr>
  </w:style>
  <w:style w:type="paragraph" w:styleId="NoSpacing">
    <w:name w:val="No Spacing"/>
    <w:uiPriority w:val="1"/>
    <w:rsid w:val="009F23CB"/>
    <w:rPr>
      <w:rFonts w:eastAsiaTheme="minorHAnsi" w:cstheme="minorBidi"/>
      <w:sz w:val="24"/>
      <w:szCs w:val="22"/>
      <w:lang w:val="en-US" w:eastAsia="en-US" w:bidi="en-US"/>
    </w:rPr>
  </w:style>
  <w:style w:type="paragraph" w:styleId="ListParagraph">
    <w:name w:val="List Paragraph"/>
    <w:basedOn w:val="Normal"/>
    <w:uiPriority w:val="34"/>
    <w:qFormat/>
    <w:rsid w:val="009F23CB"/>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9F23CB"/>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9F23CB"/>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9F23CB"/>
    <w:rPr>
      <w:i/>
      <w:iCs/>
      <w:color w:val="808080" w:themeColor="text1" w:themeTint="7F"/>
    </w:rPr>
  </w:style>
  <w:style w:type="character" w:styleId="IntenseEmphasis">
    <w:name w:val="Intense Emphasis"/>
    <w:basedOn w:val="DefaultParagraphFont"/>
    <w:uiPriority w:val="21"/>
    <w:rsid w:val="009F23CB"/>
    <w:rPr>
      <w:b/>
      <w:bCs/>
      <w:i/>
      <w:iCs/>
      <w:color w:val="4F81BD" w:themeColor="accent1"/>
    </w:rPr>
  </w:style>
  <w:style w:type="character" w:styleId="SubtleReference">
    <w:name w:val="Subtle Reference"/>
    <w:basedOn w:val="DefaultParagraphFont"/>
    <w:uiPriority w:val="31"/>
    <w:rsid w:val="009F23CB"/>
    <w:rPr>
      <w:smallCaps/>
      <w:color w:val="C0504D" w:themeColor="accent2"/>
      <w:u w:val="single"/>
    </w:rPr>
  </w:style>
  <w:style w:type="character" w:styleId="IntenseReference">
    <w:name w:val="Intense Reference"/>
    <w:basedOn w:val="DefaultParagraphFont"/>
    <w:uiPriority w:val="32"/>
    <w:rsid w:val="009F23CB"/>
    <w:rPr>
      <w:b/>
      <w:bCs/>
      <w:smallCaps/>
      <w:color w:val="C0504D" w:themeColor="accent2"/>
      <w:spacing w:val="5"/>
      <w:u w:val="single"/>
    </w:rPr>
  </w:style>
  <w:style w:type="character" w:styleId="BookTitle">
    <w:name w:val="Book Title"/>
    <w:basedOn w:val="DefaultParagraphFont"/>
    <w:uiPriority w:val="33"/>
    <w:rsid w:val="009F23CB"/>
    <w:rPr>
      <w:b/>
      <w:bCs/>
      <w:smallCaps/>
      <w:spacing w:val="5"/>
    </w:rPr>
  </w:style>
  <w:style w:type="paragraph" w:styleId="TOCHeading">
    <w:name w:val="TOC Heading"/>
    <w:basedOn w:val="Heading1"/>
    <w:next w:val="Normal"/>
    <w:uiPriority w:val="39"/>
    <w:unhideWhenUsed/>
    <w:qFormat/>
    <w:rsid w:val="009F23CB"/>
    <w:pPr>
      <w:spacing w:before="480" w:after="0"/>
      <w:ind w:left="0" w:firstLine="0"/>
      <w:outlineLvl w:val="9"/>
    </w:pPr>
    <w:rPr>
      <w:lang w:val="en-US" w:eastAsia="en-US" w:bidi="en-US"/>
    </w:rPr>
  </w:style>
  <w:style w:type="paragraph" w:customStyle="1" w:styleId="SCCLsocOtherPartyRoleSeparator">
    <w:name w:val="SCC.Lsoc.OtherPartyRoleSeparator"/>
    <w:basedOn w:val="Normal"/>
    <w:next w:val="Normal"/>
    <w:link w:val="SCCLsocOtherPartyRoleSeparatorChar"/>
    <w:rsid w:val="009F23CB"/>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9F23CB"/>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9F23CB"/>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9F23CB"/>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9F23CB"/>
    <w:rPr>
      <w:b/>
      <w:sz w:val="24"/>
    </w:rPr>
  </w:style>
  <w:style w:type="paragraph" w:customStyle="1" w:styleId="Citation-AltC">
    <w:name w:val="Citation - Alt C"/>
    <w:uiPriority w:val="2"/>
    <w:qFormat/>
    <w:rsid w:val="009F23CB"/>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9F23CB"/>
    <w:pPr>
      <w:spacing w:before="480" w:after="480" w:line="480" w:lineRule="auto"/>
      <w:jc w:val="both"/>
    </w:pPr>
    <w:rPr>
      <w:rFonts w:eastAsiaTheme="minorHAnsi" w:cstheme="minorBidi"/>
      <w:sz w:val="24"/>
      <w:szCs w:val="22"/>
      <w:lang w:eastAsia="en-US"/>
    </w:rPr>
  </w:style>
  <w:style w:type="paragraph" w:customStyle="1" w:styleId="Title1LevelTitre1Niveau-AltL">
    <w:name w:val="Title 1 Level / Titre 1 Niveau - Alt L"/>
    <w:next w:val="ParaNoNdepar-AltN"/>
    <w:uiPriority w:val="4"/>
    <w:qFormat/>
    <w:rsid w:val="009F23CB"/>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F23CB"/>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F23CB"/>
    <w:pPr>
      <w:numPr>
        <w:ilvl w:val="2"/>
      </w:numPr>
      <w:outlineLvl w:val="2"/>
    </w:pPr>
  </w:style>
  <w:style w:type="paragraph" w:customStyle="1" w:styleId="Title4LevelTitre4Niveau">
    <w:name w:val="Title 4 Level / Titre 4 Niveau"/>
    <w:basedOn w:val="Title3LevelTitre3Niveau"/>
    <w:next w:val="ParaNoNdepar-AltN"/>
    <w:uiPriority w:val="4"/>
    <w:qFormat/>
    <w:rsid w:val="009F23CB"/>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9F23CB"/>
    <w:pPr>
      <w:numPr>
        <w:ilvl w:val="4"/>
      </w:numPr>
      <w:outlineLvl w:val="4"/>
    </w:pPr>
  </w:style>
  <w:style w:type="table" w:customStyle="1" w:styleId="TableGrid1">
    <w:name w:val="Table Grid1"/>
    <w:basedOn w:val="TableNormal"/>
    <w:next w:val="TableGrid"/>
    <w:uiPriority w:val="59"/>
    <w:rsid w:val="009F23CB"/>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F23CB"/>
    <w:pPr>
      <w:tabs>
        <w:tab w:val="left" w:pos="1800"/>
        <w:tab w:val="right" w:leader="dot" w:pos="9350"/>
      </w:tabs>
      <w:spacing w:after="100"/>
      <w:ind w:left="1800" w:hanging="630"/>
    </w:pPr>
    <w:rPr>
      <w:rFonts w:eastAsiaTheme="minorHAnsi" w:cstheme="minorBidi"/>
      <w:noProof/>
      <w:szCs w:val="22"/>
      <w:lang w:val="en-US" w:eastAsia="en-US" w:bidi="en-US"/>
    </w:rPr>
  </w:style>
  <w:style w:type="paragraph" w:styleId="TOC4">
    <w:name w:val="toc 4"/>
    <w:basedOn w:val="Normal"/>
    <w:next w:val="Normal"/>
    <w:autoRedefine/>
    <w:uiPriority w:val="39"/>
    <w:unhideWhenUsed/>
    <w:rsid w:val="009F23CB"/>
    <w:pPr>
      <w:tabs>
        <w:tab w:val="left" w:pos="2250"/>
        <w:tab w:val="right" w:leader="dot" w:pos="9350"/>
      </w:tabs>
      <w:spacing w:after="100"/>
      <w:ind w:left="2250" w:hanging="450"/>
    </w:pPr>
    <w:rPr>
      <w:rFonts w:eastAsiaTheme="minorHAnsi" w:cstheme="minorBidi"/>
      <w:noProof/>
      <w:szCs w:val="22"/>
      <w:lang w:val="en-US" w:eastAsia="en-US" w:bidi="en-US"/>
    </w:rPr>
  </w:style>
  <w:style w:type="paragraph" w:styleId="TOC5">
    <w:name w:val="toc 5"/>
    <w:basedOn w:val="Normal"/>
    <w:next w:val="Normal"/>
    <w:autoRedefine/>
    <w:uiPriority w:val="39"/>
    <w:unhideWhenUsed/>
    <w:rsid w:val="009F23CB"/>
    <w:pPr>
      <w:tabs>
        <w:tab w:val="left" w:pos="2790"/>
        <w:tab w:val="right" w:leader="dot" w:pos="9350"/>
      </w:tabs>
      <w:spacing w:after="100"/>
      <w:ind w:left="2790" w:hanging="540"/>
    </w:pPr>
    <w:rPr>
      <w:rFonts w:eastAsiaTheme="minorHAnsi" w:cstheme="minorBidi"/>
      <w:noProof/>
      <w:szCs w:val="22"/>
      <w:lang w:val="en-US" w:eastAsia="en-US" w:bidi="en-US"/>
    </w:rPr>
  </w:style>
  <w:style w:type="paragraph" w:styleId="Caption">
    <w:name w:val="caption"/>
    <w:basedOn w:val="Normal"/>
    <w:next w:val="Normal"/>
    <w:uiPriority w:val="35"/>
    <w:semiHidden/>
    <w:unhideWhenUsed/>
    <w:qFormat/>
    <w:rsid w:val="009F23CB"/>
    <w:rPr>
      <w:rFonts w:eastAsiaTheme="minorHAnsi" w:cstheme="minorBidi"/>
      <w:b/>
      <w:bCs/>
      <w:color w:val="4F81BD" w:themeColor="accent1"/>
      <w:sz w:val="18"/>
      <w:szCs w:val="18"/>
      <w:lang w:val="en-US" w:eastAsia="en-US" w:bidi="en-US"/>
    </w:rPr>
  </w:style>
  <w:style w:type="paragraph" w:styleId="FootnoteText">
    <w:name w:val="footnote text"/>
    <w:basedOn w:val="Normal"/>
    <w:link w:val="FootnoteTextChar"/>
    <w:uiPriority w:val="99"/>
    <w:unhideWhenUsed/>
    <w:rsid w:val="009F23CB"/>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F23CB"/>
  </w:style>
  <w:style w:type="paragraph" w:customStyle="1" w:styleId="JudgeJuge">
    <w:name w:val="Judge / Juge"/>
    <w:link w:val="JudgeJugeChar"/>
    <w:uiPriority w:val="3"/>
    <w:rsid w:val="009F23CB"/>
    <w:pPr>
      <w:tabs>
        <w:tab w:val="left" w:pos="1260"/>
      </w:tabs>
      <w:spacing w:after="480" w:line="480" w:lineRule="auto"/>
    </w:pPr>
    <w:rPr>
      <w:smallCaps/>
      <w:sz w:val="24"/>
    </w:rPr>
  </w:style>
  <w:style w:type="character" w:customStyle="1" w:styleId="JudgeJugeChar">
    <w:name w:val="Judge / Juge Char"/>
    <w:basedOn w:val="DefaultParagraphFont"/>
    <w:link w:val="JudgeJuge"/>
    <w:uiPriority w:val="3"/>
    <w:rsid w:val="009F23CB"/>
    <w:rPr>
      <w:smallCaps/>
      <w:sz w:val="24"/>
    </w:rPr>
  </w:style>
  <w:style w:type="paragraph" w:customStyle="1" w:styleId="TitleTitre-AltT">
    <w:name w:val="Title / Titre - Alt T"/>
    <w:next w:val="ParaNoNdepar-AltN"/>
    <w:uiPriority w:val="3"/>
    <w:qFormat/>
    <w:rsid w:val="009F23CB"/>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F23CB"/>
    <w:pPr>
      <w:numPr>
        <w:ilvl w:val="5"/>
      </w:numPr>
      <w:jc w:val="both"/>
      <w:outlineLvl w:val="5"/>
    </w:pPr>
    <w:rPr>
      <w:i/>
      <w:u w:val="none"/>
    </w:rPr>
  </w:style>
  <w:style w:type="character" w:customStyle="1" w:styleId="lawlabel">
    <w:name w:val="lawlabel"/>
    <w:basedOn w:val="DefaultParagraphFont"/>
    <w:rsid w:val="009F23CB"/>
  </w:style>
  <w:style w:type="paragraph" w:styleId="TOC6">
    <w:name w:val="toc 6"/>
    <w:basedOn w:val="Normal"/>
    <w:next w:val="Normal"/>
    <w:autoRedefine/>
    <w:uiPriority w:val="39"/>
    <w:unhideWhenUsed/>
    <w:rsid w:val="009F23CB"/>
    <w:pPr>
      <w:tabs>
        <w:tab w:val="left" w:pos="3267"/>
        <w:tab w:val="right" w:leader="dot" w:pos="9350"/>
      </w:tabs>
      <w:spacing w:after="100"/>
      <w:ind w:left="2880"/>
    </w:pPr>
    <w:rPr>
      <w:rFonts w:eastAsiaTheme="minorHAnsi" w:cstheme="minorBidi"/>
      <w:szCs w:val="22"/>
      <w:lang w:val="en-US" w:eastAsia="en-US" w:bidi="en-US"/>
    </w:rPr>
  </w:style>
  <w:style w:type="paragraph" w:styleId="TOC7">
    <w:name w:val="toc 7"/>
    <w:basedOn w:val="Normal"/>
    <w:next w:val="Normal"/>
    <w:autoRedefine/>
    <w:uiPriority w:val="39"/>
    <w:semiHidden/>
    <w:unhideWhenUsed/>
    <w:rsid w:val="009F23CB"/>
    <w:pPr>
      <w:spacing w:after="100"/>
      <w:ind w:left="3600"/>
    </w:pPr>
    <w:rPr>
      <w:rFonts w:eastAsiaTheme="minorHAnsi" w:cstheme="minorBidi"/>
      <w:szCs w:val="22"/>
      <w:lang w:val="en-US" w:eastAsia="en-US" w:bidi="en-US"/>
    </w:rPr>
  </w:style>
  <w:style w:type="paragraph" w:styleId="TOC8">
    <w:name w:val="toc 8"/>
    <w:basedOn w:val="Normal"/>
    <w:next w:val="Normal"/>
    <w:autoRedefine/>
    <w:uiPriority w:val="39"/>
    <w:semiHidden/>
    <w:unhideWhenUsed/>
    <w:rsid w:val="009F23CB"/>
    <w:pPr>
      <w:spacing w:after="100"/>
      <w:ind w:left="1680"/>
    </w:pPr>
    <w:rPr>
      <w:rFonts w:eastAsiaTheme="minorHAnsi" w:cstheme="minorBidi"/>
      <w:szCs w:val="22"/>
      <w:lang w:val="en-US" w:eastAsia="en-US" w:bidi="en-US"/>
    </w:rPr>
  </w:style>
  <w:style w:type="paragraph" w:customStyle="1" w:styleId="marginalnote">
    <w:name w:val="marginalnote"/>
    <w:basedOn w:val="Normal"/>
    <w:rsid w:val="009F23CB"/>
    <w:pPr>
      <w:spacing w:before="100" w:beforeAutospacing="1" w:after="100" w:afterAutospacing="1"/>
    </w:pPr>
    <w:rPr>
      <w:szCs w:val="24"/>
      <w:lang w:val="en-US" w:eastAsia="en-US"/>
    </w:rPr>
  </w:style>
  <w:style w:type="paragraph" w:customStyle="1" w:styleId="subsection">
    <w:name w:val="subsection"/>
    <w:basedOn w:val="Normal"/>
    <w:rsid w:val="009F23CB"/>
    <w:pPr>
      <w:spacing w:before="100" w:beforeAutospacing="1" w:after="100" w:afterAutospacing="1"/>
    </w:pPr>
    <w:rPr>
      <w:szCs w:val="24"/>
      <w:lang w:val="en-US" w:eastAsia="en-US"/>
    </w:rPr>
  </w:style>
  <w:style w:type="character" w:customStyle="1" w:styleId="sectionlabel">
    <w:name w:val="sectionlabel"/>
    <w:basedOn w:val="DefaultParagraphFont"/>
    <w:rsid w:val="009F23CB"/>
  </w:style>
  <w:style w:type="character" w:customStyle="1" w:styleId="wb-invisible">
    <w:name w:val="wb-invisible"/>
    <w:basedOn w:val="DefaultParagraphFont"/>
    <w:rsid w:val="009F23CB"/>
  </w:style>
  <w:style w:type="paragraph" w:customStyle="1" w:styleId="paragraph">
    <w:name w:val="paragraph"/>
    <w:basedOn w:val="Normal"/>
    <w:rsid w:val="009F23CB"/>
    <w:pPr>
      <w:spacing w:before="100" w:beforeAutospacing="1" w:after="100" w:afterAutospacing="1"/>
    </w:pPr>
    <w:rPr>
      <w:szCs w:val="24"/>
      <w:lang w:val="en-US" w:eastAsia="en-US"/>
    </w:rPr>
  </w:style>
  <w:style w:type="character" w:customStyle="1" w:styleId="solexhl">
    <w:name w:val="solexhl"/>
    <w:basedOn w:val="DefaultParagraphFont"/>
    <w:rsid w:val="009F23CB"/>
  </w:style>
  <w:style w:type="character" w:styleId="FootnoteReference">
    <w:name w:val="footnote reference"/>
    <w:basedOn w:val="DefaultParagraphFont"/>
    <w:uiPriority w:val="99"/>
    <w:semiHidden/>
    <w:unhideWhenUsed/>
    <w:rsid w:val="009F23CB"/>
    <w:rPr>
      <w:vertAlign w:val="superscript"/>
    </w:rPr>
  </w:style>
  <w:style w:type="paragraph" w:customStyle="1" w:styleId="felskynumbering12">
    <w:name w:val="felskynumbering12"/>
    <w:basedOn w:val="Normal"/>
    <w:rsid w:val="009F23CB"/>
    <w:pPr>
      <w:spacing w:before="100" w:beforeAutospacing="1" w:after="100" w:afterAutospacing="1"/>
    </w:pPr>
    <w:rPr>
      <w:szCs w:val="24"/>
      <w:lang w:val="en-US" w:eastAsia="en-US"/>
    </w:rPr>
  </w:style>
  <w:style w:type="paragraph" w:styleId="Revision">
    <w:name w:val="Revision"/>
    <w:hidden/>
    <w:uiPriority w:val="99"/>
    <w:semiHidden/>
    <w:rsid w:val="009F23CB"/>
    <w:rPr>
      <w:rFonts w:eastAsiaTheme="minorHAnsi" w:cstheme="minorBidi"/>
      <w:sz w:val="24"/>
      <w:szCs w:val="22"/>
      <w:lang w:val="en-US" w:eastAsia="en-US" w:bidi="en-US"/>
    </w:rPr>
  </w:style>
  <w:style w:type="character" w:customStyle="1" w:styleId="reflex2-link">
    <w:name w:val="reflex2-link"/>
    <w:basedOn w:val="DefaultParagraphFont"/>
    <w:rsid w:val="009F23CB"/>
  </w:style>
  <w:style w:type="character" w:customStyle="1" w:styleId="reflex">
    <w:name w:val="reflex"/>
    <w:basedOn w:val="DefaultParagraphFont"/>
    <w:rsid w:val="009F23CB"/>
  </w:style>
  <w:style w:type="character" w:customStyle="1" w:styleId="reflex3-block">
    <w:name w:val="reflex3-block"/>
    <w:basedOn w:val="DefaultParagraphFont"/>
    <w:rsid w:val="009F23CB"/>
  </w:style>
  <w:style w:type="table" w:customStyle="1" w:styleId="TableGrid2">
    <w:name w:val="Table Grid2"/>
    <w:basedOn w:val="TableNormal"/>
    <w:next w:val="TableGrid"/>
    <w:uiPriority w:val="59"/>
    <w:rsid w:val="009F23CB"/>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7s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32460</Words>
  <Characters>164407</Characters>
  <Application>Microsoft Office Word</Application>
  <DocSecurity>0</DocSecurity>
  <Lines>1370</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2022-12-09T12:47:00Z</dcterms:created>
  <dcterms:modified xsi:type="dcterms:W3CDTF">2022-12-09T13:07:00Z</dcterms:modified>
</cp:coreProperties>
</file>