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492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2007"/>
        <w:gridCol w:w="1381"/>
        <w:gridCol w:w="1433"/>
        <w:gridCol w:w="3330"/>
      </w:tblGrid>
      <w:tr w:rsidR="00467E26" w:rsidRPr="00467E26" w14:paraId="1D28871E" w14:textId="77777777" w:rsidTr="00B74204">
        <w:trPr>
          <w:trHeight w:val="2103"/>
        </w:trPr>
        <w:tc>
          <w:tcPr>
            <w:tcW w:w="5000" w:type="pct"/>
            <w:gridSpan w:val="4"/>
          </w:tcPr>
          <w:p w14:paraId="313CC087" w14:textId="77777777" w:rsidR="00467E26" w:rsidRPr="00467E26" w:rsidRDefault="00467E26" w:rsidP="00467E26">
            <w:pPr>
              <w:jc w:val="center"/>
              <w:rPr>
                <w:b/>
              </w:rPr>
            </w:pPr>
            <w:r w:rsidRPr="00467E26">
              <w:rPr>
                <w:b/>
                <w:noProof/>
              </w:rPr>
              <w:drawing>
                <wp:inline distT="0" distB="0" distL="0" distR="0" wp14:anchorId="25EB230C" wp14:editId="48AC5255">
                  <wp:extent cx="1191895" cy="1638300"/>
                  <wp:effectExtent l="0" t="0" r="8255" b="0"/>
                  <wp:docPr id="2" name="Picture 2" descr="cid:image001.jpg@01D72252.19B69D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72252.19B69DE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191895" cy="1638300"/>
                          </a:xfrm>
                          <a:prstGeom prst="rect">
                            <a:avLst/>
                          </a:prstGeom>
                          <a:noFill/>
                          <a:ln>
                            <a:noFill/>
                          </a:ln>
                        </pic:spPr>
                      </pic:pic>
                    </a:graphicData>
                  </a:graphic>
                </wp:inline>
              </w:drawing>
            </w:r>
          </w:p>
          <w:p w14:paraId="02B2B724" w14:textId="77777777" w:rsidR="00467E26" w:rsidRPr="00467E26" w:rsidRDefault="00467E26" w:rsidP="00467E26">
            <w:pPr>
              <w:spacing w:before="120" w:after="100" w:afterAutospacing="1"/>
              <w:jc w:val="center"/>
            </w:pPr>
            <w:r w:rsidRPr="00467E26">
              <w:rPr>
                <w:b/>
              </w:rPr>
              <w:t>SUPREME COURT OF CANADA</w:t>
            </w:r>
          </w:p>
        </w:tc>
      </w:tr>
      <w:tr w:rsidR="00467E26" w:rsidRPr="00467E26" w14:paraId="4D12E4B6" w14:textId="77777777" w:rsidTr="00462B7E">
        <w:tblPrEx>
          <w:tblCellMar>
            <w:top w:w="58" w:type="dxa"/>
            <w:left w:w="58" w:type="dxa"/>
            <w:bottom w:w="58" w:type="dxa"/>
            <w:right w:w="58" w:type="dxa"/>
          </w:tblCellMar>
        </w:tblPrEx>
        <w:trPr>
          <w:cantSplit/>
        </w:trPr>
        <w:tc>
          <w:tcPr>
            <w:tcW w:w="2078" w:type="pct"/>
            <w:gridSpan w:val="2"/>
          </w:tcPr>
          <w:p w14:paraId="36D455BB" w14:textId="77777777" w:rsidR="00467E26" w:rsidRPr="00467E26" w:rsidRDefault="00467E26" w:rsidP="00467E26">
            <w:pPr>
              <w:rPr>
                <w:b/>
                <w:smallCaps/>
              </w:rPr>
            </w:pPr>
          </w:p>
          <w:p w14:paraId="0AE9AA86" w14:textId="77777777" w:rsidR="00467E26" w:rsidRPr="00467E26" w:rsidRDefault="00467E26" w:rsidP="00467E26">
            <w:pPr>
              <w:rPr>
                <w:b/>
                <w:smallCaps/>
              </w:rPr>
            </w:pPr>
            <w:r w:rsidRPr="00467E26">
              <w:rPr>
                <w:b/>
                <w:smallCaps/>
              </w:rPr>
              <w:t>Citation:</w:t>
            </w:r>
            <w:r w:rsidRPr="00467E26">
              <w:t xml:space="preserve"> R. </w:t>
            </w:r>
            <w:r w:rsidRPr="00467E26">
              <w:rPr>
                <w:i/>
              </w:rPr>
              <w:t>v.</w:t>
            </w:r>
            <w:r w:rsidRPr="00467E26">
              <w:t xml:space="preserve"> Hanan, 2023 SCC 12</w:t>
            </w:r>
          </w:p>
        </w:tc>
        <w:tc>
          <w:tcPr>
            <w:tcW w:w="879" w:type="pct"/>
          </w:tcPr>
          <w:p w14:paraId="413F8403" w14:textId="77777777" w:rsidR="00467E26" w:rsidRPr="00467E26" w:rsidRDefault="00467E26" w:rsidP="00467E26"/>
        </w:tc>
        <w:tc>
          <w:tcPr>
            <w:tcW w:w="2043" w:type="pct"/>
          </w:tcPr>
          <w:p w14:paraId="3CB83CCF" w14:textId="77777777" w:rsidR="00467E26" w:rsidRPr="00467E26" w:rsidRDefault="00467E26" w:rsidP="00467E26">
            <w:pPr>
              <w:rPr>
                <w:b/>
                <w:smallCaps/>
              </w:rPr>
            </w:pPr>
          </w:p>
          <w:p w14:paraId="0301A340" w14:textId="77777777" w:rsidR="00467E26" w:rsidRPr="00467E26" w:rsidRDefault="00467E26" w:rsidP="00467E26">
            <w:pPr>
              <w:jc w:val="both"/>
            </w:pPr>
            <w:r w:rsidRPr="00467E26">
              <w:rPr>
                <w:b/>
                <w:smallCaps/>
              </w:rPr>
              <w:t>Appeal Heard and Judgment Rendered:</w:t>
            </w:r>
            <w:r w:rsidRPr="00467E26">
              <w:t xml:space="preserve"> April 17, 2023</w:t>
            </w:r>
          </w:p>
          <w:p w14:paraId="70E07DC0" w14:textId="77777777" w:rsidR="00467E26" w:rsidRPr="00467E26" w:rsidRDefault="00467E26" w:rsidP="00467E26">
            <w:r w:rsidRPr="00467E26">
              <w:rPr>
                <w:b/>
                <w:smallCaps/>
              </w:rPr>
              <w:t>Reasons for Judgment:</w:t>
            </w:r>
            <w:r w:rsidRPr="00467E26">
              <w:t xml:space="preserve"> May 5, 2023</w:t>
            </w:r>
          </w:p>
          <w:p w14:paraId="6F453519" w14:textId="77777777" w:rsidR="00467E26" w:rsidRPr="00467E26" w:rsidRDefault="00467E26" w:rsidP="00467E26">
            <w:r w:rsidRPr="00467E26">
              <w:rPr>
                <w:b/>
                <w:smallCaps/>
              </w:rPr>
              <w:t>Docket:</w:t>
            </w:r>
            <w:r w:rsidRPr="00467E26">
              <w:t xml:space="preserve"> 40097</w:t>
            </w:r>
          </w:p>
        </w:tc>
      </w:tr>
      <w:tr w:rsidR="00467E26" w:rsidRPr="00467E26" w14:paraId="247A2A54" w14:textId="77777777" w:rsidTr="00B74204">
        <w:tblPrEx>
          <w:tblCellMar>
            <w:top w:w="58" w:type="dxa"/>
            <w:left w:w="58" w:type="dxa"/>
            <w:bottom w:w="58" w:type="dxa"/>
            <w:right w:w="58" w:type="dxa"/>
          </w:tblCellMar>
        </w:tblPrEx>
        <w:trPr>
          <w:cantSplit/>
        </w:trPr>
        <w:tc>
          <w:tcPr>
            <w:tcW w:w="5000" w:type="pct"/>
            <w:gridSpan w:val="4"/>
          </w:tcPr>
          <w:p w14:paraId="68DCF1DB" w14:textId="77777777" w:rsidR="00467E26" w:rsidRPr="00467E26" w:rsidRDefault="00467E26" w:rsidP="00467E26"/>
          <w:p w14:paraId="7F37534B" w14:textId="77777777" w:rsidR="00467E26" w:rsidRPr="00467E26" w:rsidRDefault="00467E26" w:rsidP="00467E26">
            <w:pPr>
              <w:rPr>
                <w:b/>
                <w:smallCaps/>
              </w:rPr>
            </w:pPr>
            <w:r w:rsidRPr="00467E26">
              <w:rPr>
                <w:b/>
                <w:smallCaps/>
              </w:rPr>
              <w:t>Between:</w:t>
            </w:r>
          </w:p>
          <w:p w14:paraId="0883644D" w14:textId="77777777" w:rsidR="00467E26" w:rsidRPr="00467E26" w:rsidRDefault="00467E26" w:rsidP="00467E26"/>
          <w:p w14:paraId="33ABA1C9" w14:textId="77777777" w:rsidR="00467E26" w:rsidRPr="00467E26" w:rsidRDefault="00467E26" w:rsidP="00467E26">
            <w:pPr>
              <w:jc w:val="center"/>
              <w:rPr>
                <w:b/>
              </w:rPr>
            </w:pPr>
            <w:r w:rsidRPr="00467E26">
              <w:rPr>
                <w:b/>
              </w:rPr>
              <w:t xml:space="preserve">Dia </w:t>
            </w:r>
            <w:r w:rsidRPr="00467E26">
              <w:rPr>
                <w:b/>
                <w:bCs/>
                <w:color w:val="000000"/>
              </w:rPr>
              <w:t>‘</w:t>
            </w:r>
            <w:r w:rsidRPr="00467E26">
              <w:rPr>
                <w:b/>
              </w:rPr>
              <w:t>Eddin Hanan</w:t>
            </w:r>
          </w:p>
          <w:p w14:paraId="5A6A5E41" w14:textId="77777777" w:rsidR="00467E26" w:rsidRPr="00467E26" w:rsidRDefault="00467E26" w:rsidP="00467E26">
            <w:pPr>
              <w:jc w:val="center"/>
            </w:pPr>
            <w:r w:rsidRPr="00467E26">
              <w:t>Appellant</w:t>
            </w:r>
          </w:p>
          <w:p w14:paraId="3DAED355" w14:textId="77777777" w:rsidR="00467E26" w:rsidRPr="00467E26" w:rsidRDefault="00467E26" w:rsidP="00467E26"/>
          <w:p w14:paraId="76EE370C" w14:textId="77777777" w:rsidR="00467E26" w:rsidRPr="00467E26" w:rsidRDefault="00467E26" w:rsidP="00467E26">
            <w:pPr>
              <w:jc w:val="center"/>
            </w:pPr>
            <w:r w:rsidRPr="00467E26">
              <w:t>and</w:t>
            </w:r>
          </w:p>
          <w:p w14:paraId="2BC2B907" w14:textId="77777777" w:rsidR="00467E26" w:rsidRPr="00467E26" w:rsidRDefault="00467E26" w:rsidP="00467E26"/>
          <w:p w14:paraId="68410A25" w14:textId="77777777" w:rsidR="00467E26" w:rsidRPr="00467E26" w:rsidRDefault="00467E26" w:rsidP="00467E26">
            <w:pPr>
              <w:jc w:val="center"/>
              <w:rPr>
                <w:b/>
              </w:rPr>
            </w:pPr>
            <w:r w:rsidRPr="00467E26">
              <w:rPr>
                <w:b/>
              </w:rPr>
              <w:t>His Majesty The King</w:t>
            </w:r>
          </w:p>
          <w:p w14:paraId="222F2E05" w14:textId="77777777" w:rsidR="00467E26" w:rsidRPr="00467E26" w:rsidRDefault="00467E26" w:rsidP="00467E26">
            <w:pPr>
              <w:jc w:val="center"/>
            </w:pPr>
            <w:r w:rsidRPr="00467E26">
              <w:t>Respondent</w:t>
            </w:r>
          </w:p>
          <w:p w14:paraId="070543F8" w14:textId="77777777" w:rsidR="00467E26" w:rsidRPr="00467E26" w:rsidRDefault="00467E26" w:rsidP="00467E26"/>
          <w:p w14:paraId="700D45E0" w14:textId="77777777" w:rsidR="00467E26" w:rsidRPr="00467E26" w:rsidRDefault="00467E26" w:rsidP="00467E26">
            <w:pPr>
              <w:jc w:val="center"/>
              <w:rPr>
                <w:b/>
                <w:smallCaps/>
              </w:rPr>
            </w:pPr>
          </w:p>
          <w:p w14:paraId="483E98D6" w14:textId="77777777" w:rsidR="00467E26" w:rsidRPr="00467E26" w:rsidRDefault="00467E26" w:rsidP="00467E26">
            <w:pPr>
              <w:rPr>
                <w:b/>
                <w:smallCaps/>
              </w:rPr>
            </w:pPr>
          </w:p>
        </w:tc>
      </w:tr>
      <w:tr w:rsidR="00467E26" w:rsidRPr="00467E26" w14:paraId="5FEBB805" w14:textId="77777777" w:rsidTr="00B74204">
        <w:tblPrEx>
          <w:tblCellMar>
            <w:top w:w="58" w:type="dxa"/>
            <w:left w:w="58" w:type="dxa"/>
            <w:bottom w:w="58" w:type="dxa"/>
            <w:right w:w="58" w:type="dxa"/>
          </w:tblCellMar>
        </w:tblPrEx>
        <w:trPr>
          <w:cantSplit/>
          <w:trHeight w:val="504"/>
        </w:trPr>
        <w:tc>
          <w:tcPr>
            <w:tcW w:w="5000" w:type="pct"/>
            <w:gridSpan w:val="4"/>
          </w:tcPr>
          <w:p w14:paraId="7DB69128" w14:textId="77777777" w:rsidR="00467E26" w:rsidRPr="00467E26" w:rsidRDefault="00467E26" w:rsidP="00467E26">
            <w:pPr>
              <w:spacing w:before="120"/>
            </w:pPr>
            <w:r w:rsidRPr="00467E26">
              <w:rPr>
                <w:b/>
                <w:smallCaps/>
              </w:rPr>
              <w:t>Coram</w:t>
            </w:r>
            <w:r w:rsidRPr="00467E26">
              <w:rPr>
                <w:b/>
              </w:rPr>
              <w:t>:</w:t>
            </w:r>
            <w:r w:rsidRPr="00467E26">
              <w:t xml:space="preserve"> Côté, Rowe, Martin, Kasirer and Jamal JJ.</w:t>
            </w:r>
          </w:p>
        </w:tc>
      </w:tr>
      <w:tr w:rsidR="00467E26" w:rsidRPr="00467E26" w14:paraId="79B02FA3" w14:textId="77777777" w:rsidTr="00B74204">
        <w:tblPrEx>
          <w:tblCellMar>
            <w:top w:w="58" w:type="dxa"/>
            <w:left w:w="58" w:type="dxa"/>
            <w:bottom w:w="58" w:type="dxa"/>
            <w:right w:w="58" w:type="dxa"/>
          </w:tblCellMar>
        </w:tblPrEx>
        <w:trPr>
          <w:cantSplit/>
          <w:trHeight w:val="504"/>
        </w:trPr>
        <w:tc>
          <w:tcPr>
            <w:tcW w:w="1231" w:type="pct"/>
          </w:tcPr>
          <w:p w14:paraId="7668F1A5" w14:textId="77777777" w:rsidR="00462B7E" w:rsidRPr="00462B7E" w:rsidRDefault="00467E26" w:rsidP="00467E26">
            <w:pPr>
              <w:rPr>
                <w:bCs/>
                <w:smallCaps/>
                <w:color w:val="000000"/>
              </w:rPr>
            </w:pPr>
            <w:r w:rsidRPr="00467E26">
              <w:rPr>
                <w:b/>
                <w:bCs/>
                <w:color w:val="000000"/>
              </w:rPr>
              <w:t>J</w:t>
            </w:r>
            <w:r w:rsidRPr="00467E26">
              <w:rPr>
                <w:b/>
                <w:bCs/>
                <w:smallCaps/>
                <w:color w:val="000000"/>
              </w:rPr>
              <w:t>oint</w:t>
            </w:r>
            <w:r w:rsidRPr="00467E26">
              <w:rPr>
                <w:b/>
                <w:bCs/>
                <w:color w:val="000000"/>
              </w:rPr>
              <w:t> R</w:t>
            </w:r>
            <w:r w:rsidRPr="00467E26">
              <w:rPr>
                <w:b/>
                <w:bCs/>
                <w:smallCaps/>
                <w:color w:val="000000"/>
              </w:rPr>
              <w:t>easons </w:t>
            </w:r>
            <w:bookmarkStart w:id="0" w:name="_GoBack"/>
            <w:bookmarkEnd w:id="0"/>
          </w:p>
          <w:p w14:paraId="70FF87D5" w14:textId="330B4AD1" w:rsidR="00467E26" w:rsidRPr="00467E26" w:rsidRDefault="00462B7E" w:rsidP="00467E26">
            <w:r>
              <w:rPr>
                <w:b/>
                <w:bCs/>
                <w:smallCaps/>
                <w:color w:val="000000"/>
              </w:rPr>
              <w:t>F</w:t>
            </w:r>
            <w:r w:rsidR="00467E26" w:rsidRPr="00467E26">
              <w:rPr>
                <w:b/>
                <w:bCs/>
                <w:smallCaps/>
                <w:color w:val="000000"/>
              </w:rPr>
              <w:t>or</w:t>
            </w:r>
            <w:r w:rsidR="00467E26" w:rsidRPr="00467E26">
              <w:rPr>
                <w:b/>
                <w:bCs/>
                <w:color w:val="000000"/>
              </w:rPr>
              <w:t> J</w:t>
            </w:r>
            <w:r w:rsidR="00467E26" w:rsidRPr="00467E26">
              <w:rPr>
                <w:b/>
                <w:bCs/>
                <w:smallCaps/>
                <w:color w:val="000000"/>
              </w:rPr>
              <w:t>udgment</w:t>
            </w:r>
            <w:r w:rsidR="00467E26" w:rsidRPr="00467E26">
              <w:rPr>
                <w:b/>
                <w:bCs/>
                <w:color w:val="000000"/>
              </w:rPr>
              <w:t>:</w:t>
            </w:r>
            <w:r w:rsidR="00467E26" w:rsidRPr="00467E26">
              <w:t xml:space="preserve"> </w:t>
            </w:r>
          </w:p>
          <w:p w14:paraId="160AE56D" w14:textId="77777777" w:rsidR="00467E26" w:rsidRPr="00467E26" w:rsidRDefault="00467E26" w:rsidP="00467E26">
            <w:r w:rsidRPr="00467E26">
              <w:t>(paras. 1 to 10)</w:t>
            </w:r>
          </w:p>
        </w:tc>
        <w:tc>
          <w:tcPr>
            <w:tcW w:w="3769" w:type="pct"/>
            <w:gridSpan w:val="3"/>
          </w:tcPr>
          <w:p w14:paraId="3B104191" w14:textId="77777777" w:rsidR="00467E26" w:rsidRPr="00467E26" w:rsidRDefault="00467E26" w:rsidP="00467E26">
            <w:pPr>
              <w:spacing w:before="120"/>
            </w:pPr>
            <w:r w:rsidRPr="00467E26">
              <w:t>Côté and Rowe JJ. (Martin, Kasirer and Jamal JJ. concurring)</w:t>
            </w:r>
          </w:p>
        </w:tc>
      </w:tr>
    </w:tbl>
    <w:p w14:paraId="772089DB" w14:textId="77777777" w:rsidR="00467E26" w:rsidRPr="00467E26" w:rsidRDefault="00467E26" w:rsidP="00467E26">
      <w:pPr>
        <w:rPr>
          <w:rFonts w:eastAsiaTheme="minorHAnsi" w:cstheme="minorBidi"/>
          <w:szCs w:val="24"/>
          <w:lang w:eastAsia="en-US"/>
        </w:rPr>
      </w:pPr>
    </w:p>
    <w:p w14:paraId="36558A53" w14:textId="77777777" w:rsidR="00467E26" w:rsidRPr="00467E26" w:rsidRDefault="00467E26" w:rsidP="00467E26">
      <w:pPr>
        <w:rPr>
          <w:rFonts w:eastAsiaTheme="minorHAnsi" w:cstheme="minorBidi"/>
          <w:szCs w:val="24"/>
          <w:lang w:eastAsia="en-US"/>
        </w:rPr>
      </w:pPr>
    </w:p>
    <w:p w14:paraId="0AA85E0F" w14:textId="77777777" w:rsidR="00467E26" w:rsidRPr="00467E26" w:rsidRDefault="00467E26" w:rsidP="00467E26">
      <w:pPr>
        <w:rPr>
          <w:rFonts w:eastAsiaTheme="minorHAnsi" w:cstheme="minorBidi"/>
          <w:szCs w:val="24"/>
          <w:lang w:eastAsia="en-US"/>
        </w:rPr>
      </w:pPr>
      <w:r w:rsidRPr="00467E26">
        <w:rPr>
          <w:rFonts w:eastAsiaTheme="minorHAnsi" w:cstheme="minorBidi"/>
          <w:b/>
          <w:smallCaps/>
          <w:szCs w:val="24"/>
          <w:lang w:eastAsia="en-US"/>
        </w:rPr>
        <w:t>Note:</w:t>
      </w:r>
      <w:r w:rsidRPr="00467E26">
        <w:rPr>
          <w:rFonts w:eastAsiaTheme="minorHAnsi" w:cstheme="minorBidi"/>
          <w:b/>
          <w:szCs w:val="24"/>
          <w:lang w:eastAsia="en-US"/>
        </w:rPr>
        <w:t xml:space="preserve"> </w:t>
      </w:r>
      <w:r w:rsidRPr="00467E26">
        <w:rPr>
          <w:rFonts w:eastAsiaTheme="minorHAnsi" w:cstheme="minorBidi"/>
          <w:szCs w:val="24"/>
          <w:lang w:eastAsia="en-US"/>
        </w:rPr>
        <w:t xml:space="preserve">This document is subject to editorial revision before its reproduction in final form in the </w:t>
      </w:r>
      <w:r w:rsidRPr="00467E26">
        <w:rPr>
          <w:rFonts w:eastAsiaTheme="minorHAnsi" w:cstheme="minorBidi"/>
          <w:i/>
          <w:szCs w:val="24"/>
          <w:lang w:eastAsia="en-US"/>
        </w:rPr>
        <w:t>Canada Supreme Court Reports</w:t>
      </w:r>
      <w:r w:rsidRPr="00467E26">
        <w:rPr>
          <w:rFonts w:eastAsiaTheme="minorHAnsi" w:cstheme="minorBidi"/>
          <w:szCs w:val="24"/>
          <w:lang w:eastAsia="en-US"/>
        </w:rPr>
        <w:t>.</w:t>
      </w:r>
    </w:p>
    <w:p w14:paraId="782D18FF" w14:textId="77777777" w:rsidR="00467E26" w:rsidRPr="00467E26" w:rsidRDefault="00467E26" w:rsidP="00467E26">
      <w:pPr>
        <w:rPr>
          <w:rFonts w:eastAsiaTheme="minorHAnsi" w:cstheme="minorBidi"/>
          <w:szCs w:val="24"/>
          <w:lang w:eastAsia="en-US"/>
        </w:rPr>
      </w:pPr>
    </w:p>
    <w:p w14:paraId="7524EDA3" w14:textId="77777777" w:rsidR="00467E26" w:rsidRPr="00467E26" w:rsidRDefault="00467E26" w:rsidP="00467E26">
      <w:pPr>
        <w:rPr>
          <w:rFonts w:eastAsiaTheme="minorHAnsi" w:cstheme="minorBidi"/>
          <w:szCs w:val="24"/>
          <w:lang w:eastAsia="en-US"/>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4"/>
        <w:gridCol w:w="3312"/>
        <w:gridCol w:w="2484"/>
      </w:tblGrid>
      <w:tr w:rsidR="00467E26" w:rsidRPr="00467E26" w14:paraId="1579116B" w14:textId="77777777" w:rsidTr="00B74204">
        <w:tc>
          <w:tcPr>
            <w:tcW w:w="1500" w:type="pct"/>
            <w:tcMar>
              <w:top w:w="284" w:type="dxa"/>
            </w:tcMar>
          </w:tcPr>
          <w:p w14:paraId="24BD81EC" w14:textId="77777777" w:rsidR="00467E26" w:rsidRPr="00467E26" w:rsidRDefault="00467E26" w:rsidP="00467E26"/>
        </w:tc>
        <w:tc>
          <w:tcPr>
            <w:tcW w:w="2000" w:type="pct"/>
            <w:tcBorders>
              <w:bottom w:val="single" w:sz="4" w:space="0" w:color="auto"/>
            </w:tcBorders>
            <w:tcMar>
              <w:top w:w="284" w:type="dxa"/>
            </w:tcMar>
          </w:tcPr>
          <w:p w14:paraId="152E1061" w14:textId="77777777" w:rsidR="00467E26" w:rsidRPr="00467E26" w:rsidRDefault="00467E26" w:rsidP="00467E26"/>
        </w:tc>
        <w:tc>
          <w:tcPr>
            <w:tcW w:w="1500" w:type="pct"/>
            <w:tcMar>
              <w:top w:w="284" w:type="dxa"/>
            </w:tcMar>
          </w:tcPr>
          <w:p w14:paraId="23372452" w14:textId="77777777" w:rsidR="00467E26" w:rsidRPr="00467E26" w:rsidRDefault="00467E26" w:rsidP="00467E26"/>
        </w:tc>
      </w:tr>
    </w:tbl>
    <w:p w14:paraId="30118E43" w14:textId="77777777" w:rsidR="00467E26" w:rsidRPr="00467E26" w:rsidRDefault="00467E26">
      <w:pPr>
        <w:rPr>
          <w:b/>
        </w:rPr>
      </w:pPr>
      <w:r w:rsidRPr="00467E26">
        <w:lastRenderedPageBreak/>
        <w:br w:type="page"/>
      </w:r>
    </w:p>
    <w:p w14:paraId="6E712FB0" w14:textId="50ED0625" w:rsidR="00EA3470" w:rsidRPr="00467E26" w:rsidRDefault="00525875">
      <w:pPr>
        <w:pStyle w:val="SCCLsocLastPartyInRole"/>
      </w:pPr>
      <w:r w:rsidRPr="00467E26">
        <w:lastRenderedPageBreak/>
        <w:t>Dia ‘Eddin Hanan</w:t>
      </w:r>
      <w:r w:rsidRPr="00467E26">
        <w:rPr>
          <w:rStyle w:val="SCCLsocPartyRole"/>
        </w:rPr>
        <w:tab/>
        <w:t>Appellant</w:t>
      </w:r>
    </w:p>
    <w:p w14:paraId="073F59E5" w14:textId="77777777" w:rsidR="00EA3470" w:rsidRPr="00467E26" w:rsidRDefault="00525875">
      <w:pPr>
        <w:pStyle w:val="SCCLsocVersus"/>
      </w:pPr>
      <w:proofErr w:type="gramStart"/>
      <w:r w:rsidRPr="00467E26">
        <w:t>v</w:t>
      </w:r>
      <w:proofErr w:type="gramEnd"/>
      <w:r w:rsidRPr="00467E26">
        <w:t>.</w:t>
      </w:r>
    </w:p>
    <w:p w14:paraId="2468497C" w14:textId="77777777" w:rsidR="00EA3470" w:rsidRPr="00467E26" w:rsidRDefault="00F71FE6" w:rsidP="008679D5">
      <w:pPr>
        <w:pStyle w:val="SCCLsocLastPartyInRole"/>
      </w:pPr>
      <w:r w:rsidRPr="00467E26">
        <w:t xml:space="preserve">His Majesty </w:t>
      </w:r>
      <w:proofErr w:type="gramStart"/>
      <w:r w:rsidRPr="00467E26">
        <w:t>T</w:t>
      </w:r>
      <w:r w:rsidR="00525875" w:rsidRPr="00467E26">
        <w:t>he</w:t>
      </w:r>
      <w:proofErr w:type="gramEnd"/>
      <w:r w:rsidR="00525875" w:rsidRPr="00467E26">
        <w:t xml:space="preserve"> King</w:t>
      </w:r>
      <w:r w:rsidR="00525875" w:rsidRPr="00467E26">
        <w:rPr>
          <w:rStyle w:val="SCCLsocPartyRole"/>
        </w:rPr>
        <w:tab/>
        <w:t>Respondent</w:t>
      </w:r>
    </w:p>
    <w:p w14:paraId="50C39899" w14:textId="77777777" w:rsidR="00426659" w:rsidRPr="00467E26" w:rsidRDefault="00426659" w:rsidP="008679D5">
      <w:pPr>
        <w:spacing w:after="720"/>
        <w:jc w:val="both"/>
        <w:rPr>
          <w:b/>
        </w:rPr>
      </w:pPr>
      <w:r w:rsidRPr="00467E26">
        <w:rPr>
          <w:b/>
        </w:rPr>
        <w:t xml:space="preserve">Indexed as: </w:t>
      </w:r>
      <w:r w:rsidR="00F71FE6" w:rsidRPr="00467E26">
        <w:rPr>
          <w:b/>
        </w:rPr>
        <w:t xml:space="preserve">R. </w:t>
      </w:r>
      <w:r w:rsidR="00F71FE6" w:rsidRPr="00467E26">
        <w:rPr>
          <w:b/>
          <w:i/>
        </w:rPr>
        <w:t>v.</w:t>
      </w:r>
      <w:r w:rsidR="00F71FE6" w:rsidRPr="00467E26">
        <w:rPr>
          <w:b/>
        </w:rPr>
        <w:t xml:space="preserve"> </w:t>
      </w:r>
      <w:r w:rsidRPr="00467E26">
        <w:rPr>
          <w:rStyle w:val="SCCAppellantForIndexChar"/>
        </w:rPr>
        <w:t>Hanan</w:t>
      </w:r>
    </w:p>
    <w:p w14:paraId="32676C83" w14:textId="256737B5" w:rsidR="00426659" w:rsidRPr="00467E26" w:rsidRDefault="00AE4535" w:rsidP="008679D5">
      <w:pPr>
        <w:pStyle w:val="SCCSystemYear"/>
        <w:spacing w:after="720"/>
        <w:jc w:val="both"/>
      </w:pPr>
      <w:r w:rsidRPr="00467E26">
        <w:t>2023</w:t>
      </w:r>
      <w:r w:rsidR="003D0399" w:rsidRPr="00467E26">
        <w:t xml:space="preserve"> </w:t>
      </w:r>
      <w:r w:rsidR="008679D5" w:rsidRPr="00467E26">
        <w:t xml:space="preserve">SCC </w:t>
      </w:r>
      <w:r w:rsidR="00384A8B" w:rsidRPr="00467E26">
        <w:t>12</w:t>
      </w:r>
    </w:p>
    <w:p w14:paraId="45667FDD" w14:textId="77777777" w:rsidR="008322BD" w:rsidRPr="00467E26" w:rsidRDefault="00F71FE6" w:rsidP="008679D5">
      <w:pPr>
        <w:spacing w:after="720"/>
        <w:jc w:val="both"/>
      </w:pPr>
      <w:r w:rsidRPr="00467E26">
        <w:t xml:space="preserve">File No.: </w:t>
      </w:r>
      <w:r w:rsidR="009B57B3" w:rsidRPr="00467E26">
        <w:t>40097.</w:t>
      </w:r>
    </w:p>
    <w:p w14:paraId="293D40A1" w14:textId="14B25126" w:rsidR="00381071" w:rsidRPr="00467E26" w:rsidRDefault="00381071" w:rsidP="008D3771">
      <w:pPr>
        <w:jc w:val="both"/>
      </w:pPr>
      <w:r w:rsidRPr="00467E26">
        <w:t>Hearing and judgment: April 17, 2023</w:t>
      </w:r>
      <w:r w:rsidR="00094C9B" w:rsidRPr="00467E26">
        <w:t>.</w:t>
      </w:r>
    </w:p>
    <w:p w14:paraId="1D44040A" w14:textId="7A3841C5" w:rsidR="008322BD" w:rsidRPr="00467E26" w:rsidRDefault="00381071" w:rsidP="008679D5">
      <w:pPr>
        <w:spacing w:after="720"/>
        <w:jc w:val="both"/>
      </w:pPr>
      <w:r w:rsidRPr="00467E26">
        <w:t xml:space="preserve">Reasons delivered: </w:t>
      </w:r>
      <w:r w:rsidR="009C2EAC" w:rsidRPr="00467E26">
        <w:t>May 5</w:t>
      </w:r>
      <w:r w:rsidRPr="00467E26">
        <w:t xml:space="preserve">, </w:t>
      </w:r>
      <w:r w:rsidR="00AE4535" w:rsidRPr="00467E26">
        <w:t>2023</w:t>
      </w:r>
      <w:r w:rsidR="009B57B3" w:rsidRPr="00467E26">
        <w:t>.</w:t>
      </w:r>
    </w:p>
    <w:p w14:paraId="6823FAB9" w14:textId="77777777" w:rsidR="008322BD" w:rsidRPr="00467E26" w:rsidRDefault="00F71FE6" w:rsidP="008679D5">
      <w:pPr>
        <w:spacing w:after="720"/>
        <w:jc w:val="both"/>
      </w:pPr>
      <w:r w:rsidRPr="00467E26">
        <w:t xml:space="preserve">Present: </w:t>
      </w:r>
      <w:r w:rsidR="009B57B3" w:rsidRPr="00467E26">
        <w:t>Côté, Rowe, Martin, Kasirer and Jamal JJ.</w:t>
      </w:r>
    </w:p>
    <w:p w14:paraId="17DC818D" w14:textId="77777777" w:rsidR="008322BD" w:rsidRPr="00467E26" w:rsidRDefault="00656313" w:rsidP="008679D5">
      <w:pPr>
        <w:pStyle w:val="SCCLowerCourtNameLowercase"/>
        <w:spacing w:after="720" w:line="240" w:lineRule="auto"/>
      </w:pPr>
      <w:r w:rsidRPr="00467E26">
        <w:t>o</w:t>
      </w:r>
      <w:r w:rsidR="00170592" w:rsidRPr="00467E26">
        <w:t>n</w:t>
      </w:r>
      <w:r w:rsidR="00224FC0" w:rsidRPr="00467E26">
        <w:t xml:space="preserve"> </w:t>
      </w:r>
      <w:r w:rsidRPr="00467E26">
        <w:t>a</w:t>
      </w:r>
      <w:r w:rsidR="00170592" w:rsidRPr="00467E26">
        <w:t>ppeal</w:t>
      </w:r>
      <w:r w:rsidR="00224FC0" w:rsidRPr="00467E26">
        <w:t xml:space="preserve"> </w:t>
      </w:r>
      <w:r w:rsidR="00170592" w:rsidRPr="00467E26">
        <w:t>from</w:t>
      </w:r>
      <w:r w:rsidR="009567AA" w:rsidRPr="00467E26">
        <w:t xml:space="preserve"> the</w:t>
      </w:r>
      <w:r w:rsidR="00224FC0" w:rsidRPr="00467E26">
        <w:t xml:space="preserve"> </w:t>
      </w:r>
      <w:r w:rsidR="009B57B3" w:rsidRPr="00467E26">
        <w:t>court of appeal for ontario</w:t>
      </w:r>
    </w:p>
    <w:p w14:paraId="1630970B" w14:textId="59967D4E" w:rsidR="0065794B" w:rsidRPr="00467E26" w:rsidRDefault="0065794B" w:rsidP="004E0ABF">
      <w:pPr>
        <w:pStyle w:val="SCCNormalDoubleSpacing"/>
        <w:spacing w:after="480"/>
      </w:pPr>
      <w:r w:rsidRPr="00467E26">
        <w:tab/>
      </w:r>
      <w:r w:rsidRPr="00467E26">
        <w:rPr>
          <w:i/>
        </w:rPr>
        <w:t>Constitutional law — Charter of Rights — Right to be tried within reasonable time — Transitional exceptional circumstance — Accused applying for stay of proceedings based on violation of right to be tried within reasonable time —</w:t>
      </w:r>
      <w:r w:rsidRPr="00467E26">
        <w:t xml:space="preserve"> </w:t>
      </w:r>
      <w:r w:rsidRPr="00467E26">
        <w:rPr>
          <w:i/>
        </w:rPr>
        <w:t>Trial judge holding that net delay exceeded Jordan ceiling but denying stay based on application of transitional exceptional circumstance — Court of Appeal upholding trial judge’s decision —</w:t>
      </w:r>
      <w:r w:rsidRPr="00467E26">
        <w:t xml:space="preserve"> </w:t>
      </w:r>
      <w:r w:rsidRPr="00467E26">
        <w:rPr>
          <w:i/>
        </w:rPr>
        <w:t xml:space="preserve">Whether courts below erred in applying transitional exceptional </w:t>
      </w:r>
      <w:r w:rsidRPr="00467E26">
        <w:rPr>
          <w:i/>
        </w:rPr>
        <w:lastRenderedPageBreak/>
        <w:t>circumstance — Whether</w:t>
      </w:r>
      <w:r w:rsidRPr="00467E26">
        <w:t xml:space="preserve"> </w:t>
      </w:r>
      <w:r w:rsidRPr="00467E26">
        <w:rPr>
          <w:i/>
        </w:rPr>
        <w:t>accused’s right to be tried within reasonable time infringed — Canadian Cha</w:t>
      </w:r>
      <w:r w:rsidR="004E0ABF" w:rsidRPr="00467E26">
        <w:rPr>
          <w:i/>
        </w:rPr>
        <w:t>rter of Rights and Freedoms, s. </w:t>
      </w:r>
      <w:r w:rsidRPr="00467E26">
        <w:rPr>
          <w:i/>
        </w:rPr>
        <w:t>11(b)</w:t>
      </w:r>
      <w:r w:rsidRPr="00467E26">
        <w:t>.</w:t>
      </w:r>
    </w:p>
    <w:p w14:paraId="04AE5D53" w14:textId="54C13568" w:rsidR="0065794B" w:rsidRPr="00467E26" w:rsidRDefault="0065794B" w:rsidP="004E0ABF">
      <w:pPr>
        <w:pStyle w:val="SCCNormalDoubleSpacing"/>
        <w:spacing w:after="480"/>
        <w:rPr>
          <w:szCs w:val="24"/>
        </w:rPr>
      </w:pPr>
      <w:r w:rsidRPr="00467E26">
        <w:tab/>
        <w:t xml:space="preserve">The accused was charged with various offences in December 2015. </w:t>
      </w:r>
      <w:r w:rsidRPr="00467E26">
        <w:rPr>
          <w:szCs w:val="24"/>
        </w:rPr>
        <w:t>A trial by jury was scheduled for</w:t>
      </w:r>
      <w:r w:rsidR="004E0ABF" w:rsidRPr="00467E26">
        <w:rPr>
          <w:szCs w:val="24"/>
        </w:rPr>
        <w:t xml:space="preserve"> November </w:t>
      </w:r>
      <w:r w:rsidRPr="00467E26">
        <w:rPr>
          <w:szCs w:val="24"/>
        </w:rPr>
        <w:t xml:space="preserve">2018, within the </w:t>
      </w:r>
      <w:r w:rsidRPr="00467E26">
        <w:rPr>
          <w:i/>
          <w:szCs w:val="24"/>
        </w:rPr>
        <w:t xml:space="preserve">Jordan </w:t>
      </w:r>
      <w:r w:rsidRPr="00467E26">
        <w:rPr>
          <w:szCs w:val="24"/>
        </w:rPr>
        <w:t>ceiling. However, changes to the Crown’s case threatened to adjourn the proceedings. The defence offered to proceed by judge alone</w:t>
      </w:r>
      <w:r w:rsidR="004A2520" w:rsidRPr="00467E26">
        <w:rPr>
          <w:szCs w:val="24"/>
        </w:rPr>
        <w:t xml:space="preserve"> </w:t>
      </w:r>
      <w:r w:rsidRPr="00467E26">
        <w:rPr>
          <w:szCs w:val="24"/>
        </w:rPr>
        <w:t xml:space="preserve">so that the trial could conclude within the </w:t>
      </w:r>
      <w:r w:rsidRPr="00467E26">
        <w:rPr>
          <w:i/>
          <w:szCs w:val="24"/>
        </w:rPr>
        <w:t>Jordan</w:t>
      </w:r>
      <w:r w:rsidRPr="00467E26">
        <w:rPr>
          <w:szCs w:val="24"/>
        </w:rPr>
        <w:t xml:space="preserve"> ceiling, but the Crown refused. The trial judge th</w:t>
      </w:r>
      <w:r w:rsidR="004E0ABF" w:rsidRPr="00467E26">
        <w:rPr>
          <w:szCs w:val="24"/>
        </w:rPr>
        <w:t xml:space="preserve">en offered a trial date in June </w:t>
      </w:r>
      <w:r w:rsidRPr="00467E26">
        <w:rPr>
          <w:szCs w:val="24"/>
        </w:rPr>
        <w:t>2019, but defence counsel was unavailable.</w:t>
      </w:r>
      <w:r w:rsidR="004A2520" w:rsidRPr="00467E26">
        <w:rPr>
          <w:szCs w:val="24"/>
        </w:rPr>
        <w:t xml:space="preserve"> </w:t>
      </w:r>
      <w:r w:rsidRPr="00467E26">
        <w:rPr>
          <w:szCs w:val="24"/>
        </w:rPr>
        <w:t>The trial was therefore set to begin on October 28 and it ultimately ended on No</w:t>
      </w:r>
      <w:r w:rsidR="004E0ABF" w:rsidRPr="00467E26">
        <w:rPr>
          <w:szCs w:val="24"/>
        </w:rPr>
        <w:t xml:space="preserve">vember </w:t>
      </w:r>
      <w:r w:rsidRPr="00467E26">
        <w:rPr>
          <w:szCs w:val="24"/>
        </w:rPr>
        <w:t xml:space="preserve">28, 2019. The accused applied for a stay of proceedings based on a violation of his right to be tried within a reasonable time under s. 11(b) of the </w:t>
      </w:r>
      <w:r w:rsidRPr="00467E26">
        <w:rPr>
          <w:i/>
          <w:szCs w:val="24"/>
        </w:rPr>
        <w:t>Charter</w:t>
      </w:r>
      <w:r w:rsidRPr="00467E26">
        <w:rPr>
          <w:szCs w:val="24"/>
        </w:rPr>
        <w:t xml:space="preserve">. The trial judge denied the stay, even though the net delay of about 35 months exceeded the </w:t>
      </w:r>
      <w:r w:rsidRPr="00467E26">
        <w:rPr>
          <w:i/>
          <w:szCs w:val="24"/>
        </w:rPr>
        <w:t xml:space="preserve">Jordan </w:t>
      </w:r>
      <w:r w:rsidRPr="00467E26">
        <w:rPr>
          <w:szCs w:val="24"/>
        </w:rPr>
        <w:t xml:space="preserve">ceiling. Applying a transitional exceptional circumstance, he found that the parties had reasonably relied upon the law as it had been before </w:t>
      </w:r>
      <w:r w:rsidRPr="00467E26">
        <w:rPr>
          <w:i/>
          <w:szCs w:val="24"/>
        </w:rPr>
        <w:t xml:space="preserve">Jordan </w:t>
      </w:r>
      <w:r w:rsidRPr="00467E26">
        <w:rPr>
          <w:szCs w:val="24"/>
        </w:rPr>
        <w:t>was decided. The accused was convicted of several offences and a majority of the Court of Appeal upheld the convicti</w:t>
      </w:r>
      <w:r w:rsidR="004E0ABF" w:rsidRPr="00467E26">
        <w:rPr>
          <w:szCs w:val="24"/>
        </w:rPr>
        <w:t>ons, finding no violation of s. </w:t>
      </w:r>
      <w:r w:rsidRPr="00467E26">
        <w:rPr>
          <w:szCs w:val="24"/>
        </w:rPr>
        <w:t>11(b).</w:t>
      </w:r>
    </w:p>
    <w:p w14:paraId="7765010A" w14:textId="700CB880" w:rsidR="0065794B" w:rsidRPr="00467E26" w:rsidRDefault="0065794B" w:rsidP="004E0ABF">
      <w:pPr>
        <w:pStyle w:val="SCCNormalDoubleSpacing"/>
        <w:spacing w:after="480"/>
      </w:pPr>
      <w:r w:rsidRPr="00467E26">
        <w:tab/>
      </w:r>
      <w:r w:rsidRPr="00467E26">
        <w:rPr>
          <w:rStyle w:val="QuoteChar"/>
          <w:color w:val="auto"/>
          <w:lang w:val="en-CA"/>
        </w:rPr>
        <w:t>Held</w:t>
      </w:r>
      <w:r w:rsidRPr="00467E26">
        <w:rPr>
          <w:rStyle w:val="QuoteChar"/>
          <w:i w:val="0"/>
          <w:color w:val="auto"/>
          <w:lang w:val="en-CA"/>
        </w:rPr>
        <w:t>:</w:t>
      </w:r>
      <w:r w:rsidRPr="00467E26">
        <w:t xml:space="preserve"> The appeal should be allowed, the convictions set aside and a stay of proceedings entered.</w:t>
      </w:r>
    </w:p>
    <w:p w14:paraId="0E9BCE6A" w14:textId="7DFDC656" w:rsidR="0065794B" w:rsidRPr="00467E26" w:rsidRDefault="0065794B" w:rsidP="004E0ABF">
      <w:pPr>
        <w:pStyle w:val="SCCNormalDoubleSpacing"/>
        <w:spacing w:after="480"/>
      </w:pPr>
      <w:r w:rsidRPr="00467E26">
        <w:tab/>
        <w:t>N</w:t>
      </w:r>
      <w:r w:rsidRPr="00467E26">
        <w:rPr>
          <w:szCs w:val="24"/>
        </w:rPr>
        <w:t>o transitional exceptional circumstance applies in the instant case. The net delay of about</w:t>
      </w:r>
      <w:r w:rsidR="004E0ABF" w:rsidRPr="00467E26">
        <w:rPr>
          <w:szCs w:val="24"/>
        </w:rPr>
        <w:t xml:space="preserve"> 35 </w:t>
      </w:r>
      <w:r w:rsidRPr="00467E26">
        <w:rPr>
          <w:szCs w:val="24"/>
        </w:rPr>
        <w:t xml:space="preserve">months is an unreasonable delay contrary to s. 11(b) of the </w:t>
      </w:r>
      <w:r w:rsidRPr="00467E26">
        <w:rPr>
          <w:i/>
          <w:szCs w:val="24"/>
        </w:rPr>
        <w:t>Charter</w:t>
      </w:r>
      <w:r w:rsidRPr="00467E26">
        <w:rPr>
          <w:szCs w:val="24"/>
        </w:rPr>
        <w:t>. First, the</w:t>
      </w:r>
      <w:r w:rsidRPr="00467E26">
        <w:t xml:space="preserve"> trial judge erred in concluding that the delay was justified based on the parties’ reasonable reliance on the law as it previously existed. The parties could not have reaso</w:t>
      </w:r>
      <w:r w:rsidR="004E0ABF" w:rsidRPr="00467E26">
        <w:t>nably relied upon the pre</w:t>
      </w:r>
      <w:r w:rsidR="004E0ABF" w:rsidRPr="00467E26">
        <w:noBreakHyphen/>
      </w:r>
      <w:r w:rsidRPr="00467E26">
        <w:rPr>
          <w:i/>
        </w:rPr>
        <w:t>Jordan</w:t>
      </w:r>
      <w:r w:rsidRPr="00467E26">
        <w:t xml:space="preserve"> state of the law after </w:t>
      </w:r>
      <w:r w:rsidRPr="00467E26">
        <w:rPr>
          <w:i/>
        </w:rPr>
        <w:t xml:space="preserve">Jordan </w:t>
      </w:r>
      <w:r w:rsidRPr="00467E26">
        <w:t xml:space="preserve">had been decided in July 2016, nor did they, as they consciously scheduled a trial within the </w:t>
      </w:r>
      <w:r w:rsidRPr="00467E26">
        <w:rPr>
          <w:i/>
        </w:rPr>
        <w:t xml:space="preserve">Jordan </w:t>
      </w:r>
      <w:r w:rsidRPr="00467E26">
        <w:t xml:space="preserve">ceiling. The focus for the delay that accrues after </w:t>
      </w:r>
      <w:r w:rsidRPr="00467E26">
        <w:rPr>
          <w:i/>
        </w:rPr>
        <w:t xml:space="preserve">Jordan </w:t>
      </w:r>
      <w:r w:rsidRPr="00467E26">
        <w:t xml:space="preserve">was decided should instead </w:t>
      </w:r>
      <w:r w:rsidR="004A2520" w:rsidRPr="00467E26">
        <w:t>have been</w:t>
      </w:r>
      <w:r w:rsidRPr="00467E26">
        <w:t xml:space="preserve"> on the extent to which the parties and the courts had sufficient time to adapt. Second, the </w:t>
      </w:r>
      <w:r w:rsidRPr="00467E26">
        <w:rPr>
          <w:szCs w:val="24"/>
        </w:rPr>
        <w:t xml:space="preserve">delay beyond the ceiling was due not to a lack of time for the parties and system to adapt, but to the Crown’s refusal to agree to a trial by judge alone, despite being warned of the possible consequences of delay and despite </w:t>
      </w:r>
      <w:r w:rsidRPr="00467E26">
        <w:rPr>
          <w:i/>
          <w:szCs w:val="24"/>
        </w:rPr>
        <w:t>Jordan</w:t>
      </w:r>
      <w:r w:rsidRPr="00467E26">
        <w:rPr>
          <w:szCs w:val="24"/>
        </w:rPr>
        <w:t xml:space="preserve"> having been decided almost two and a half years earlier. Finally, it is unfair and unreasonable to characterize the entire period between June and October 2019 as defence delay. Ther</w:t>
      </w:r>
      <w:r w:rsidR="004E0ABF" w:rsidRPr="00467E26">
        <w:rPr>
          <w:szCs w:val="24"/>
        </w:rPr>
        <w:t>e is no bright</w:t>
      </w:r>
      <w:r w:rsidR="004E0ABF" w:rsidRPr="00467E26">
        <w:rPr>
          <w:szCs w:val="24"/>
        </w:rPr>
        <w:noBreakHyphen/>
      </w:r>
      <w:r w:rsidRPr="00467E26">
        <w:rPr>
          <w:szCs w:val="24"/>
        </w:rPr>
        <w:t>line rule according to</w:t>
      </w:r>
      <w:r w:rsidRPr="00467E26">
        <w:t xml:space="preserve"> which all of the delay until the next available date following defence counsel’s rejection of a date offered by the court must be characterized as defence delay. All relevant circumstances should be considered to determine how delay should be apportioned among participants.</w:t>
      </w:r>
    </w:p>
    <w:p w14:paraId="276F00D5" w14:textId="7F08BB49" w:rsidR="007E1C47" w:rsidRPr="00467E26" w:rsidRDefault="002E6705" w:rsidP="004E0ABF">
      <w:pPr>
        <w:pStyle w:val="SCCNormalDoubleSpacing"/>
        <w:spacing w:after="720" w:line="240" w:lineRule="auto"/>
        <w:rPr>
          <w:b/>
        </w:rPr>
      </w:pPr>
      <w:r w:rsidRPr="00467E26">
        <w:rPr>
          <w:b/>
        </w:rPr>
        <w:t>Cases Cited</w:t>
      </w:r>
    </w:p>
    <w:p w14:paraId="056AED4D" w14:textId="2BEF671A" w:rsidR="004E2C26" w:rsidRPr="00467E26" w:rsidRDefault="002E6705" w:rsidP="008679D5">
      <w:pPr>
        <w:pStyle w:val="SCCNormalDoubleSpacing"/>
        <w:widowControl w:val="0"/>
        <w:spacing w:after="480"/>
      </w:pPr>
      <w:r w:rsidRPr="00467E26">
        <w:tab/>
      </w:r>
      <w:r w:rsidRPr="00467E26">
        <w:rPr>
          <w:b/>
        </w:rPr>
        <w:t>Referred to:</w:t>
      </w:r>
      <w:r w:rsidR="00BD0E9E" w:rsidRPr="00467E26">
        <w:t xml:space="preserve"> </w:t>
      </w:r>
      <w:r w:rsidR="00E923FE" w:rsidRPr="00467E26">
        <w:rPr>
          <w:i/>
        </w:rPr>
        <w:t>R. v. Jordan</w:t>
      </w:r>
      <w:r w:rsidR="00E923FE" w:rsidRPr="00467E26">
        <w:t xml:space="preserve">, 2016 SCC 27, [2016] 1 </w:t>
      </w:r>
      <w:r w:rsidR="00E923FE" w:rsidRPr="00467E26">
        <w:rPr>
          <w:szCs w:val="24"/>
        </w:rPr>
        <w:t>S.C.R.</w:t>
      </w:r>
      <w:r w:rsidR="00E923FE" w:rsidRPr="00467E26">
        <w:t xml:space="preserve"> 631; </w:t>
      </w:r>
      <w:r w:rsidR="001E2B93" w:rsidRPr="00467E26">
        <w:rPr>
          <w:i/>
        </w:rPr>
        <w:t>R. v. Cody</w:t>
      </w:r>
      <w:r w:rsidR="001E2B93" w:rsidRPr="00467E26">
        <w:t xml:space="preserve">, 2017 SCC 31, [2017] 1 S.C.R. 659; </w:t>
      </w:r>
      <w:r w:rsidR="005F03F0" w:rsidRPr="00467E26">
        <w:rPr>
          <w:i/>
        </w:rPr>
        <w:t>R. v. Boulanger</w:t>
      </w:r>
      <w:r w:rsidR="005F03F0" w:rsidRPr="00467E26">
        <w:t>, 2022 SCC 2</w:t>
      </w:r>
      <w:r w:rsidR="00396B82" w:rsidRPr="00467E26">
        <w:t>.</w:t>
      </w:r>
    </w:p>
    <w:p w14:paraId="0FAB19AE" w14:textId="77777777" w:rsidR="003B215F" w:rsidRPr="00467E26" w:rsidRDefault="002E6705" w:rsidP="008679D5">
      <w:pPr>
        <w:pStyle w:val="SCCNormalDoubleSpacing"/>
        <w:spacing w:after="720" w:line="240" w:lineRule="auto"/>
      </w:pPr>
      <w:r w:rsidRPr="00467E26">
        <w:rPr>
          <w:b/>
        </w:rPr>
        <w:t>Statutes and Regulations Cite</w:t>
      </w:r>
      <w:r w:rsidR="00A41805" w:rsidRPr="00467E26">
        <w:rPr>
          <w:b/>
        </w:rPr>
        <w:t>d</w:t>
      </w:r>
    </w:p>
    <w:p w14:paraId="7E4D4D8A" w14:textId="6D30156E" w:rsidR="00A149DF" w:rsidRPr="00467E26" w:rsidRDefault="00317311" w:rsidP="008679D5">
      <w:pPr>
        <w:pStyle w:val="SCCNormalDoubleSpacing"/>
        <w:spacing w:after="720" w:line="240" w:lineRule="auto"/>
        <w:ind w:left="547" w:hanging="547"/>
      </w:pPr>
      <w:r w:rsidRPr="00467E26">
        <w:rPr>
          <w:i/>
          <w:iCs/>
        </w:rPr>
        <w:t>Canadian Charter of Rights and Freedoms</w:t>
      </w:r>
      <w:r w:rsidRPr="00467E26">
        <w:rPr>
          <w:iCs/>
        </w:rPr>
        <w:t>, s. 11(b).</w:t>
      </w:r>
    </w:p>
    <w:p w14:paraId="33EF1E1B" w14:textId="023BEEEF" w:rsidR="00656313" w:rsidRPr="00467E26" w:rsidRDefault="000C0292" w:rsidP="008679D5">
      <w:pPr>
        <w:pStyle w:val="SCCNormalDoubleSpacing"/>
        <w:spacing w:after="480"/>
      </w:pPr>
      <w:r w:rsidRPr="00467E26">
        <w:tab/>
      </w:r>
      <w:r w:rsidR="009B57B3" w:rsidRPr="00467E26">
        <w:t xml:space="preserve">APPEAL from a judgment of the </w:t>
      </w:r>
      <w:r w:rsidRPr="00467E26">
        <w:t xml:space="preserve">Ontario </w:t>
      </w:r>
      <w:r w:rsidR="009B57B3" w:rsidRPr="00467E26">
        <w:t xml:space="preserve">Court of Appeal </w:t>
      </w:r>
      <w:r w:rsidRPr="00467E26">
        <w:t xml:space="preserve">(Tulloch, van Rensburg and Nordheimer JJ.A.), </w:t>
      </w:r>
      <w:hyperlink r:id="rId10" w:history="1">
        <w:r w:rsidRPr="00467E26">
          <w:rPr>
            <w:rStyle w:val="Hyperlink"/>
          </w:rPr>
          <w:t>2022 ONCA 229</w:t>
        </w:r>
      </w:hyperlink>
      <w:r w:rsidRPr="00467E26">
        <w:t xml:space="preserve">, 161 O.R. (3d) 161, 412 C.C.C. (3d) 233, </w:t>
      </w:r>
      <w:r w:rsidR="00350273" w:rsidRPr="00467E26">
        <w:t xml:space="preserve">[2022] O.J. No. 1320 (QL), 2022 CarswellOnt 3450 (WL), </w:t>
      </w:r>
      <w:r w:rsidR="0034504B" w:rsidRPr="00467E26">
        <w:t xml:space="preserve">affirming </w:t>
      </w:r>
      <w:r w:rsidR="0033791E" w:rsidRPr="00467E26">
        <w:t>the convictions of the accused</w:t>
      </w:r>
      <w:r w:rsidR="00552980" w:rsidRPr="00467E26">
        <w:t xml:space="preserve">. Appeal </w:t>
      </w:r>
      <w:r w:rsidR="0055695A" w:rsidRPr="00467E26">
        <w:rPr>
          <w:szCs w:val="24"/>
        </w:rPr>
        <w:t>allowed</w:t>
      </w:r>
      <w:r w:rsidR="00552980" w:rsidRPr="00467E26">
        <w:t>.</w:t>
      </w:r>
    </w:p>
    <w:p w14:paraId="231D3D23" w14:textId="77777777" w:rsidR="00EA3470" w:rsidRPr="00467E26" w:rsidRDefault="00525875" w:rsidP="008679D5">
      <w:pPr>
        <w:pStyle w:val="SCCNormalDoubleSpacing"/>
        <w:spacing w:after="480"/>
      </w:pPr>
      <w:r w:rsidRPr="00467E26">
        <w:rPr>
          <w:rStyle w:val="SCCCounselNameChar"/>
        </w:rPr>
        <w:tab/>
        <w:t>Saman Wickramasinghe</w:t>
      </w:r>
      <w:r w:rsidRPr="00467E26">
        <w:rPr>
          <w:rStyle w:val="SCCCounselSeparatorChar"/>
        </w:rPr>
        <w:t xml:space="preserve"> and </w:t>
      </w:r>
      <w:r w:rsidRPr="00467E26">
        <w:rPr>
          <w:rStyle w:val="SCCCounselNameChar"/>
        </w:rPr>
        <w:t>Parmbir Gill</w:t>
      </w:r>
      <w:r w:rsidRPr="00467E26">
        <w:rPr>
          <w:rStyle w:val="SCCCounselPartyRoleChar"/>
        </w:rPr>
        <w:t>, for the appellant.</w:t>
      </w:r>
    </w:p>
    <w:p w14:paraId="460172C8" w14:textId="77777777" w:rsidR="00EA3470" w:rsidRPr="00467E26" w:rsidRDefault="00525875" w:rsidP="008679D5">
      <w:pPr>
        <w:pStyle w:val="SCCNormalDoubleSpacing"/>
        <w:spacing w:after="480"/>
      </w:pPr>
      <w:r w:rsidRPr="00467E26">
        <w:rPr>
          <w:rStyle w:val="SCCCounselNameChar"/>
        </w:rPr>
        <w:tab/>
      </w:r>
      <w:r w:rsidR="00F71FE6" w:rsidRPr="00467E26">
        <w:rPr>
          <w:rStyle w:val="SCCCounselNameChar"/>
        </w:rPr>
        <w:t>Tracy Kozlowski</w:t>
      </w:r>
      <w:r w:rsidR="00F71FE6" w:rsidRPr="00467E26">
        <w:rPr>
          <w:rStyle w:val="SCCCounselNameChar"/>
          <w:i w:val="0"/>
        </w:rPr>
        <w:t xml:space="preserve"> and </w:t>
      </w:r>
      <w:r w:rsidRPr="00467E26">
        <w:rPr>
          <w:rStyle w:val="SCCCounselNameChar"/>
        </w:rPr>
        <w:t>Andrew Hotke</w:t>
      </w:r>
      <w:r w:rsidRPr="00467E26">
        <w:rPr>
          <w:rStyle w:val="SCCCounselPartyRoleChar"/>
        </w:rPr>
        <w:t>, for the respondent.</w:t>
      </w:r>
    </w:p>
    <w:p w14:paraId="25C1B4E5" w14:textId="0A7C4B71" w:rsidR="00467E26" w:rsidRPr="00467E26" w:rsidRDefault="00467E26" w:rsidP="0063543F">
      <w:pPr>
        <w:tabs>
          <w:tab w:val="left" w:pos="1134"/>
        </w:tabs>
        <w:jc w:val="both"/>
      </w:pPr>
      <w:r w:rsidRPr="0063543F">
        <w:rPr>
          <w:lang w:val="en-US"/>
        </w:rPr>
        <w:tab/>
      </w:r>
      <w:r w:rsidRPr="00467E26">
        <w:t>The reasons for judgment of the Court were delivered by</w:t>
      </w:r>
    </w:p>
    <w:p w14:paraId="13457FC0" w14:textId="77777777" w:rsidR="00467E26" w:rsidRPr="00467E26" w:rsidRDefault="00467E26" w:rsidP="00467E26">
      <w:pPr>
        <w:jc w:val="both"/>
      </w:pPr>
    </w:p>
    <w:p w14:paraId="38F62D64" w14:textId="77777777" w:rsidR="00467E26" w:rsidRPr="00467E26" w:rsidRDefault="00467E26" w:rsidP="0063543F">
      <w:pPr>
        <w:pStyle w:val="JudgeJuge"/>
        <w:tabs>
          <w:tab w:val="clear" w:pos="1166"/>
          <w:tab w:val="left" w:pos="1134"/>
        </w:tabs>
      </w:pPr>
      <w:r w:rsidRPr="00467E26">
        <w:tab/>
        <w:t xml:space="preserve">Côté and Rowe JJ. — </w:t>
      </w:r>
    </w:p>
    <w:p w14:paraId="57382DD1" w14:textId="77777777" w:rsidR="00467E26" w:rsidRPr="00467E26" w:rsidRDefault="00467E26" w:rsidP="00467E26">
      <w:pPr>
        <w:pStyle w:val="ParaNoNdepar-AltN"/>
        <w:tabs>
          <w:tab w:val="clear" w:pos="1166"/>
          <w:tab w:val="num" w:pos="1152"/>
        </w:tabs>
        <w:rPr>
          <w:rFonts w:cs="Times New Roman"/>
          <w:szCs w:val="24"/>
        </w:rPr>
      </w:pPr>
      <w:r w:rsidRPr="00467E26">
        <w:rPr>
          <w:rFonts w:cs="Times New Roman"/>
        </w:rPr>
        <w:t xml:space="preserve">This is an appeal as of right from a judgment of the Court of Appeal for Ontario which affirmed the appellant’s convictions by a jury for manslaughter, </w:t>
      </w:r>
      <w:r w:rsidRPr="00467E26">
        <w:rPr>
          <w:rFonts w:cs="Times New Roman"/>
          <w:szCs w:val="24"/>
        </w:rPr>
        <w:t>discharging a firearm with intent to wound, and possession of a loaded restricted firearm without a licence</w:t>
      </w:r>
      <w:r w:rsidRPr="00467E26">
        <w:rPr>
          <w:rFonts w:cs="Times New Roman"/>
        </w:rPr>
        <w:t xml:space="preserve">. Two grounds of appeal are raised: first, a violation of the appellant’s right to be tried within a reasonable time under s. 11(b) of the </w:t>
      </w:r>
      <w:r w:rsidRPr="00467E26">
        <w:rPr>
          <w:rFonts w:cs="Times New Roman"/>
          <w:i/>
        </w:rPr>
        <w:t>Canadian</w:t>
      </w:r>
      <w:r w:rsidRPr="00467E26">
        <w:rPr>
          <w:rFonts w:cs="Times New Roman"/>
        </w:rPr>
        <w:t xml:space="preserve"> </w:t>
      </w:r>
      <w:r w:rsidRPr="00467E26">
        <w:rPr>
          <w:rFonts w:cs="Times New Roman"/>
          <w:i/>
        </w:rPr>
        <w:t xml:space="preserve">Charter of Rights and Freedoms </w:t>
      </w:r>
      <w:r w:rsidRPr="00467E26">
        <w:rPr>
          <w:rFonts w:cs="Times New Roman"/>
        </w:rPr>
        <w:t>that would justify a stay of proceedings and, second, an error in the charge to the jury that would require a new trial. We are of the view that the first ground is dispositive, so we decline to address the second.</w:t>
      </w:r>
    </w:p>
    <w:p w14:paraId="2142989F" w14:textId="77777777" w:rsidR="00467E26" w:rsidRPr="00467E26" w:rsidRDefault="00467E26" w:rsidP="00467E26">
      <w:pPr>
        <w:pStyle w:val="ParaNoNdepar-AltN"/>
        <w:tabs>
          <w:tab w:val="clear" w:pos="1166"/>
          <w:tab w:val="num" w:pos="1152"/>
        </w:tabs>
        <w:rPr>
          <w:rFonts w:cs="Times New Roman"/>
          <w:szCs w:val="24"/>
        </w:rPr>
      </w:pPr>
      <w:r w:rsidRPr="00467E26">
        <w:rPr>
          <w:rFonts w:cs="Times New Roman"/>
          <w:szCs w:val="24"/>
        </w:rPr>
        <w:t xml:space="preserve">The events giving rise to the charges occurred on December 23, 2015. The appellant was charged the next day with various offences. The case was eventually scheduled for trial by jury in November 2018, which both parties agreed would be within the ceiling set by </w:t>
      </w:r>
      <w:r w:rsidRPr="00467E26">
        <w:rPr>
          <w:rFonts w:cs="Times New Roman"/>
          <w:i/>
          <w:szCs w:val="24"/>
        </w:rPr>
        <w:t>R. v. Jordan</w:t>
      </w:r>
      <w:r w:rsidRPr="00467E26">
        <w:rPr>
          <w:rFonts w:cs="Times New Roman"/>
          <w:szCs w:val="24"/>
        </w:rPr>
        <w:t xml:space="preserve">, 2016 SCC 27, [2016] 1 S.C.R. 631. However, on the eve of trial, changes to the Crown’s case threatened to adjourn the proceedings. The defence offered to agree to a trial by judge alone, but the Crown refused. It is not disputed that had the Crown agreed to proceed by judge alone as proposed, the trial would have concluded within the </w:t>
      </w:r>
      <w:r w:rsidRPr="00467E26">
        <w:rPr>
          <w:rFonts w:cs="Times New Roman"/>
          <w:i/>
          <w:szCs w:val="24"/>
        </w:rPr>
        <w:t>Jordan</w:t>
      </w:r>
      <w:r w:rsidRPr="00467E26">
        <w:rPr>
          <w:rFonts w:cs="Times New Roman"/>
          <w:szCs w:val="24"/>
        </w:rPr>
        <w:t xml:space="preserve"> ceiling. Because the Crown did not agree, the trial judge offered a trial date in June 2019, but defence counsel was unavailable. The trial was therefore rescheduled to the autumn of 2019, beginning on October 28, and it ultimately ended on November 28.</w:t>
      </w:r>
    </w:p>
    <w:p w14:paraId="12E5E29B" w14:textId="77777777" w:rsidR="00467E26" w:rsidRPr="00467E26" w:rsidRDefault="00467E26" w:rsidP="00467E26">
      <w:pPr>
        <w:pStyle w:val="ParaNoNdepar-AltN"/>
        <w:tabs>
          <w:tab w:val="clear" w:pos="1166"/>
          <w:tab w:val="num" w:pos="1152"/>
        </w:tabs>
        <w:rPr>
          <w:rFonts w:cs="Times New Roman"/>
          <w:szCs w:val="24"/>
        </w:rPr>
      </w:pPr>
      <w:r w:rsidRPr="00467E26">
        <w:rPr>
          <w:rFonts w:cs="Times New Roman"/>
          <w:szCs w:val="24"/>
        </w:rPr>
        <w:t>The appellant applied for a stay of proceedings. The trial judge calculated total delay as about 47.5 months. He deducted about 10 months for defence delay before committal for trial, and another 1.5 months as a discrete exceptional circumstance relating to issues with the Crown’s evidence. After finding that the complexity of the case did not warrant further delay, the trial judge concluded that the net delay was about 35 months.</w:t>
      </w:r>
    </w:p>
    <w:p w14:paraId="18331BCB" w14:textId="77777777" w:rsidR="00467E26" w:rsidRPr="00467E26" w:rsidRDefault="00467E26" w:rsidP="00467E26">
      <w:pPr>
        <w:pStyle w:val="ParaNoNdepar-AltN"/>
        <w:tabs>
          <w:tab w:val="clear" w:pos="1166"/>
          <w:tab w:val="num" w:pos="1152"/>
        </w:tabs>
        <w:rPr>
          <w:rFonts w:cs="Times New Roman"/>
          <w:szCs w:val="24"/>
        </w:rPr>
      </w:pPr>
      <w:r w:rsidRPr="00467E26">
        <w:rPr>
          <w:rFonts w:cs="Times New Roman"/>
          <w:szCs w:val="24"/>
        </w:rPr>
        <w:t xml:space="preserve">Even though the net delay exceeded the </w:t>
      </w:r>
      <w:r w:rsidRPr="00467E26">
        <w:rPr>
          <w:rFonts w:cs="Times New Roman"/>
          <w:i/>
          <w:szCs w:val="24"/>
        </w:rPr>
        <w:t xml:space="preserve">Jordan </w:t>
      </w:r>
      <w:r w:rsidRPr="00467E26">
        <w:rPr>
          <w:rFonts w:cs="Times New Roman"/>
          <w:szCs w:val="24"/>
        </w:rPr>
        <w:t xml:space="preserve">ceiling, the trial judge denied the stay. Applying a transitional exceptional circumstance, he found that the parties had reasonably relied upon the law as it had been before </w:t>
      </w:r>
      <w:r w:rsidRPr="00467E26">
        <w:rPr>
          <w:rFonts w:cs="Times New Roman"/>
          <w:i/>
          <w:szCs w:val="24"/>
        </w:rPr>
        <w:t xml:space="preserve">Jordan </w:t>
      </w:r>
      <w:r w:rsidRPr="00467E26">
        <w:rPr>
          <w:rFonts w:cs="Times New Roman"/>
          <w:szCs w:val="24"/>
        </w:rPr>
        <w:t xml:space="preserve">was decided. He also suggested that while the parties were aware of </w:t>
      </w:r>
      <w:r w:rsidRPr="00467E26">
        <w:rPr>
          <w:rFonts w:cs="Times New Roman"/>
          <w:i/>
          <w:szCs w:val="24"/>
        </w:rPr>
        <w:t>Jordan</w:t>
      </w:r>
      <w:r w:rsidRPr="00467E26">
        <w:rPr>
          <w:rFonts w:cs="Times New Roman"/>
          <w:szCs w:val="24"/>
        </w:rPr>
        <w:t xml:space="preserve">, they had not yet developed a “full understanding of the lessons of </w:t>
      </w:r>
      <w:r w:rsidRPr="00467E26">
        <w:rPr>
          <w:rFonts w:cs="Times New Roman"/>
          <w:i/>
          <w:szCs w:val="24"/>
        </w:rPr>
        <w:t>Jordan</w:t>
      </w:r>
      <w:r w:rsidRPr="00467E26">
        <w:rPr>
          <w:rFonts w:cs="Times New Roman"/>
          <w:szCs w:val="24"/>
        </w:rPr>
        <w:t>” (2019 ONSC 320, at para. 277 (CanLII)).</w:t>
      </w:r>
    </w:p>
    <w:p w14:paraId="7BBDF928" w14:textId="77777777" w:rsidR="00467E26" w:rsidRPr="00467E26" w:rsidRDefault="00467E26" w:rsidP="00467E26">
      <w:pPr>
        <w:pStyle w:val="ParaNoNdepar-AltN"/>
        <w:tabs>
          <w:tab w:val="clear" w:pos="1166"/>
          <w:tab w:val="num" w:pos="1152"/>
        </w:tabs>
        <w:rPr>
          <w:rFonts w:cs="Times New Roman"/>
          <w:szCs w:val="24"/>
        </w:rPr>
      </w:pPr>
      <w:r w:rsidRPr="00467E26">
        <w:rPr>
          <w:rFonts w:cs="Times New Roman"/>
          <w:szCs w:val="24"/>
        </w:rPr>
        <w:t>In our respectful view, the trial judge erred in holding that a transitional exceptional circumstance applied, and the majority of the Court of Appeal erred in upholding his decision.</w:t>
      </w:r>
    </w:p>
    <w:p w14:paraId="420C7F7F" w14:textId="77777777" w:rsidR="00467E26" w:rsidRPr="00467E26" w:rsidRDefault="00467E26" w:rsidP="00467E26">
      <w:pPr>
        <w:pStyle w:val="ParaNoNdepar-AltN"/>
        <w:rPr>
          <w:rFonts w:cs="Times New Roman"/>
        </w:rPr>
      </w:pPr>
      <w:r w:rsidRPr="00467E26">
        <w:rPr>
          <w:rFonts w:cs="Times New Roman"/>
        </w:rPr>
        <w:t>First, the parties could not have reasonably relied upon the pre-</w:t>
      </w:r>
      <w:r w:rsidRPr="00467E26">
        <w:rPr>
          <w:rFonts w:cs="Times New Roman"/>
          <w:i/>
        </w:rPr>
        <w:t xml:space="preserve">Jordan </w:t>
      </w:r>
      <w:r w:rsidRPr="00467E26">
        <w:rPr>
          <w:rFonts w:cs="Times New Roman"/>
        </w:rPr>
        <w:t xml:space="preserve">state of the law after </w:t>
      </w:r>
      <w:r w:rsidRPr="00467E26">
        <w:rPr>
          <w:rFonts w:cs="Times New Roman"/>
          <w:i/>
        </w:rPr>
        <w:t xml:space="preserve">Jordan </w:t>
      </w:r>
      <w:r w:rsidRPr="00467E26">
        <w:rPr>
          <w:rFonts w:cs="Times New Roman"/>
        </w:rPr>
        <w:t>had been decided in July 2016. Nor did the parties actually rely upon the pre</w:t>
      </w:r>
      <w:r w:rsidRPr="00467E26">
        <w:rPr>
          <w:rFonts w:cs="Times New Roman"/>
        </w:rPr>
        <w:noBreakHyphen/>
      </w:r>
      <w:r w:rsidRPr="00467E26">
        <w:rPr>
          <w:rFonts w:cs="Times New Roman"/>
          <w:i/>
        </w:rPr>
        <w:t xml:space="preserve">Jordan </w:t>
      </w:r>
      <w:r w:rsidRPr="00467E26">
        <w:rPr>
          <w:rFonts w:cs="Times New Roman"/>
        </w:rPr>
        <w:t xml:space="preserve">state of the law, as they consciously scheduled a trial within the </w:t>
      </w:r>
      <w:r w:rsidRPr="00467E26">
        <w:rPr>
          <w:rFonts w:cs="Times New Roman"/>
          <w:i/>
        </w:rPr>
        <w:t xml:space="preserve">Jordan </w:t>
      </w:r>
      <w:r w:rsidRPr="00467E26">
        <w:rPr>
          <w:rFonts w:cs="Times New Roman"/>
        </w:rPr>
        <w:t xml:space="preserve">ceiling. Rather, as this Court held in </w:t>
      </w:r>
      <w:r w:rsidRPr="00467E26">
        <w:rPr>
          <w:rFonts w:cs="Times New Roman"/>
          <w:i/>
        </w:rPr>
        <w:t>R. v. Cody</w:t>
      </w:r>
      <w:r w:rsidRPr="00467E26">
        <w:rPr>
          <w:rFonts w:cs="Times New Roman"/>
        </w:rPr>
        <w:t xml:space="preserve">, 2017 SCC 31, [2017] 1 S.C.R. 659, the focus for delay that accrues after </w:t>
      </w:r>
      <w:r w:rsidRPr="00467E26">
        <w:rPr>
          <w:rFonts w:cs="Times New Roman"/>
          <w:i/>
        </w:rPr>
        <w:t xml:space="preserve">Jordan </w:t>
      </w:r>
      <w:r w:rsidRPr="00467E26">
        <w:rPr>
          <w:rFonts w:cs="Times New Roman"/>
        </w:rPr>
        <w:t xml:space="preserve">was decided “should instead be on the extent to which the parties and the courts had sufficient time to adapt” (para. 71). As noted by Nordheimer J.A. in dissent, “only a very small portion of the delay in this case preceded the decision in </w:t>
      </w:r>
      <w:r w:rsidRPr="00467E26">
        <w:rPr>
          <w:rFonts w:cs="Times New Roman"/>
          <w:i/>
        </w:rPr>
        <w:t>Jordan</w:t>
      </w:r>
      <w:r w:rsidRPr="00467E26">
        <w:rPr>
          <w:rFonts w:cs="Times New Roman"/>
        </w:rPr>
        <w:t xml:space="preserve"> and most, if not all, of that delay has been laid at the feet of the defence” (2022 ONCA 229, 161 O.R. (3d) 161, at para. 143). Therefore, the trial judge erred in concluding that the delay in this case was “justified based on the parties’ reasonable reliance on the law as it previously existed” (para. 278).</w:t>
      </w:r>
    </w:p>
    <w:p w14:paraId="748410A9" w14:textId="77777777" w:rsidR="00467E26" w:rsidRPr="00467E26" w:rsidRDefault="00467E26" w:rsidP="00467E26">
      <w:pPr>
        <w:pStyle w:val="ParaNoNdepar-AltN"/>
        <w:tabs>
          <w:tab w:val="clear" w:pos="1166"/>
          <w:tab w:val="num" w:pos="1152"/>
        </w:tabs>
        <w:rPr>
          <w:rFonts w:cs="Times New Roman"/>
          <w:szCs w:val="24"/>
        </w:rPr>
      </w:pPr>
      <w:r w:rsidRPr="00467E26">
        <w:rPr>
          <w:rFonts w:cs="Times New Roman"/>
          <w:szCs w:val="24"/>
        </w:rPr>
        <w:t xml:space="preserve">Second, as Nordheimer J.A. correctly observed, the Crown had “ample time” to adapt to </w:t>
      </w:r>
      <w:r w:rsidRPr="00467E26">
        <w:rPr>
          <w:rFonts w:cs="Times New Roman"/>
          <w:i/>
          <w:szCs w:val="24"/>
        </w:rPr>
        <w:t xml:space="preserve">Jordan </w:t>
      </w:r>
      <w:r w:rsidRPr="00467E26">
        <w:rPr>
          <w:rFonts w:cs="Times New Roman"/>
          <w:szCs w:val="24"/>
        </w:rPr>
        <w:t xml:space="preserve">(para. 148). The delay beyond the ceiling was due not to a lack of time for the system to ameliorate ingrained institutional delays, but to the Crown’s refusal to agree to a trial by judge alone, despite being warned of the possible consequences of delay, and despite </w:t>
      </w:r>
      <w:r w:rsidRPr="00467E26">
        <w:rPr>
          <w:rFonts w:cs="Times New Roman"/>
          <w:i/>
          <w:szCs w:val="24"/>
        </w:rPr>
        <w:t xml:space="preserve">Jordan </w:t>
      </w:r>
      <w:r w:rsidRPr="00467E26">
        <w:rPr>
          <w:rFonts w:cs="Times New Roman"/>
          <w:szCs w:val="24"/>
        </w:rPr>
        <w:t>having been decided almost two and a half years earlier. Were it not for the Crown’s decision, the trial would have occurred within the ceiling. This clearly demonstrates that there was enough time for the parties and system to adapt.</w:t>
      </w:r>
    </w:p>
    <w:p w14:paraId="09802852" w14:textId="77777777" w:rsidR="00467E26" w:rsidRPr="00467E26" w:rsidRDefault="00467E26" w:rsidP="00467E26">
      <w:pPr>
        <w:pStyle w:val="ParaNoNdepar-AltN"/>
        <w:tabs>
          <w:tab w:val="clear" w:pos="1166"/>
          <w:tab w:val="num" w:pos="1152"/>
        </w:tabs>
        <w:rPr>
          <w:rFonts w:cs="Times New Roman"/>
          <w:szCs w:val="24"/>
        </w:rPr>
      </w:pPr>
      <w:r w:rsidRPr="00467E26">
        <w:rPr>
          <w:rFonts w:cs="Times New Roman"/>
          <w:szCs w:val="24"/>
        </w:rPr>
        <w:t xml:space="preserve">We conclude that no transitional exceptional circumstance applies in this case. The result is that the net delay of about 35 months is an unreasonable delay contrary to s. 11(b) of the </w:t>
      </w:r>
      <w:r w:rsidRPr="00467E26">
        <w:rPr>
          <w:rFonts w:cs="Times New Roman"/>
          <w:i/>
          <w:szCs w:val="24"/>
        </w:rPr>
        <w:t>Charter</w:t>
      </w:r>
      <w:r w:rsidRPr="00467E26">
        <w:rPr>
          <w:rFonts w:cs="Times New Roman"/>
          <w:szCs w:val="24"/>
        </w:rPr>
        <w:t>.</w:t>
      </w:r>
    </w:p>
    <w:p w14:paraId="14978E42" w14:textId="77777777" w:rsidR="00467E26" w:rsidRPr="00467E26" w:rsidRDefault="00467E26" w:rsidP="00467E26">
      <w:pPr>
        <w:pStyle w:val="ParaNoNdepar-AltN"/>
        <w:tabs>
          <w:tab w:val="clear" w:pos="1166"/>
          <w:tab w:val="num" w:pos="1152"/>
        </w:tabs>
        <w:rPr>
          <w:rFonts w:eastAsiaTheme="minorHAnsi" w:cs="Times New Roman"/>
          <w:sz w:val="22"/>
        </w:rPr>
      </w:pPr>
      <w:r w:rsidRPr="00467E26">
        <w:rPr>
          <w:rFonts w:cs="Times New Roman"/>
        </w:rPr>
        <w:t>Like the majority and the dissent below, we reject the Crown’s proposed “bright</w:t>
      </w:r>
      <w:r w:rsidRPr="00467E26">
        <w:rPr>
          <w:rFonts w:cs="Times New Roman"/>
        </w:rPr>
        <w:noBreakHyphen/>
        <w:t>line” rule according to which all of the delay until the next available date following defence counsel’s rejection of a date offered by the court must be characterized as defence delay. We agree with van Rensburg J.A. and Tulloch J.A., as he then was, at para. 56, that this approach is inconsistent with this Court’s understanding of defence delay. Defence delay comprises “delays caused solely or directly by the defence’s conduct” or “delays waived by the defence” (</w:t>
      </w:r>
      <w:r w:rsidRPr="00467E26">
        <w:rPr>
          <w:rFonts w:cs="Times New Roman"/>
          <w:i/>
        </w:rPr>
        <w:t>Jordan</w:t>
      </w:r>
      <w:r w:rsidRPr="00467E26">
        <w:rPr>
          <w:rFonts w:cs="Times New Roman"/>
        </w:rPr>
        <w:t>,</w:t>
      </w:r>
      <w:r w:rsidRPr="00467E26">
        <w:rPr>
          <w:rFonts w:cs="Times New Roman"/>
          <w:i/>
        </w:rPr>
        <w:t xml:space="preserve"> </w:t>
      </w:r>
      <w:r w:rsidRPr="00467E26">
        <w:rPr>
          <w:rFonts w:cs="Times New Roman"/>
        </w:rPr>
        <w:t>at para. 66). Furthermore, “periods of time during which the court and the Crown are unavailable will not constitute defence delay, even if defence counsel is also unavailable” (para. 64). All relevant circumstances should be considered to determine how delay should be apportioned among the participants (</w:t>
      </w:r>
      <w:r w:rsidRPr="00467E26">
        <w:rPr>
          <w:rFonts w:cs="Times New Roman"/>
          <w:i/>
        </w:rPr>
        <w:t>R. v. Boulanger</w:t>
      </w:r>
      <w:r w:rsidRPr="00467E26">
        <w:rPr>
          <w:rFonts w:cs="Times New Roman"/>
        </w:rPr>
        <w:t>, 2022 SCC 2, at para. 8). We share the view of the majority and dissenting judges in the Court of Appeal that, in the circumstances of this case, it is unfair and unreasonable to characterize the entire period between June and October 2019 as defence delay (paras. 59 and 136).</w:t>
      </w:r>
    </w:p>
    <w:p w14:paraId="153943DC" w14:textId="77777777" w:rsidR="00467E26" w:rsidRPr="00467E26" w:rsidRDefault="00467E26" w:rsidP="00467E26">
      <w:pPr>
        <w:pStyle w:val="ParaNoNdepar-AltN"/>
        <w:tabs>
          <w:tab w:val="clear" w:pos="1166"/>
          <w:tab w:val="num" w:pos="1152"/>
        </w:tabs>
        <w:rPr>
          <w:rFonts w:cs="Times New Roman"/>
          <w:szCs w:val="24"/>
        </w:rPr>
      </w:pPr>
      <w:r w:rsidRPr="00467E26">
        <w:rPr>
          <w:rFonts w:cs="Times New Roman"/>
          <w:szCs w:val="24"/>
        </w:rPr>
        <w:t>We would therefore allow the appeal, set aside the convictions, and order a stay of proceedings.</w:t>
      </w:r>
    </w:p>
    <w:p w14:paraId="7D8F3CEF" w14:textId="1BE2FA19" w:rsidR="009B57B3" w:rsidRPr="00467E26" w:rsidRDefault="00F71FE6" w:rsidP="008679D5">
      <w:pPr>
        <w:pStyle w:val="SCCNormalDoubleSpacing"/>
        <w:spacing w:after="480"/>
        <w:rPr>
          <w:i/>
        </w:rPr>
      </w:pPr>
      <w:r w:rsidRPr="00467E26">
        <w:tab/>
      </w:r>
      <w:r w:rsidR="00656313" w:rsidRPr="00467E26">
        <w:rPr>
          <w:i/>
        </w:rPr>
        <w:t>Appeal</w:t>
      </w:r>
      <w:r w:rsidRPr="00467E26">
        <w:rPr>
          <w:i/>
        </w:rPr>
        <w:t xml:space="preserve"> </w:t>
      </w:r>
      <w:r w:rsidR="0055695A" w:rsidRPr="00467E26">
        <w:rPr>
          <w:i/>
        </w:rPr>
        <w:t>allowed</w:t>
      </w:r>
      <w:r w:rsidRPr="00467E26">
        <w:rPr>
          <w:i/>
        </w:rPr>
        <w:t>.</w:t>
      </w:r>
    </w:p>
    <w:p w14:paraId="539D66C6" w14:textId="77777777" w:rsidR="00EA3470" w:rsidRPr="00467E26" w:rsidRDefault="000C0292" w:rsidP="008679D5">
      <w:pPr>
        <w:pStyle w:val="SCCLawFirm"/>
        <w:spacing w:after="480"/>
      </w:pPr>
      <w:r w:rsidRPr="00467E26">
        <w:tab/>
        <w:t>Solicitors</w:t>
      </w:r>
      <w:r w:rsidR="00525875" w:rsidRPr="00467E26">
        <w:t xml:space="preserve"> for the appellant: Urse</w:t>
      </w:r>
      <w:r w:rsidRPr="00467E26">
        <w:t>l Phillips Fellows Hopkinson</w:t>
      </w:r>
      <w:r w:rsidR="00525875" w:rsidRPr="00467E26">
        <w:t>, Toronto.</w:t>
      </w:r>
    </w:p>
    <w:p w14:paraId="3CC24F4F" w14:textId="77777777" w:rsidR="000C0292" w:rsidRPr="00467E26" w:rsidRDefault="000C0292" w:rsidP="005432EC">
      <w:pPr>
        <w:pStyle w:val="SCCLawFirm"/>
        <w:rPr>
          <w:lang w:val="en-US"/>
        </w:rPr>
      </w:pPr>
      <w:r w:rsidRPr="00467E26">
        <w:tab/>
        <w:t>Solicitor</w:t>
      </w:r>
      <w:r w:rsidR="00525875" w:rsidRPr="00467E26">
        <w:t xml:space="preserve"> for the respondent: </w:t>
      </w:r>
      <w:r w:rsidRPr="00467E26">
        <w:rPr>
          <w:lang w:val="en-US"/>
        </w:rPr>
        <w:t>Ministry of the Attorney General for Ontario,</w:t>
      </w:r>
    </w:p>
    <w:p w14:paraId="056969FC" w14:textId="77777777" w:rsidR="009B57B3" w:rsidRPr="00E923FE" w:rsidRDefault="000C0292" w:rsidP="005432EC">
      <w:pPr>
        <w:pStyle w:val="SCCLawFirm"/>
        <w:rPr>
          <w:lang w:val="en-US"/>
        </w:rPr>
      </w:pPr>
      <w:r w:rsidRPr="00467E26">
        <w:rPr>
          <w:lang w:val="en-US"/>
        </w:rPr>
        <w:t>Crown Law Office — Criminal</w:t>
      </w:r>
      <w:r w:rsidR="00525875" w:rsidRPr="00467E26">
        <w:t>, Toronto.</w:t>
      </w:r>
    </w:p>
    <w:sectPr w:rsidR="009B57B3" w:rsidRPr="00E923FE" w:rsidSect="000648CC">
      <w:headerReference w:type="even" r:id="rId11"/>
      <w:headerReference w:type="default" r:id="rId12"/>
      <w:footerReference w:type="even" r:id="rId13"/>
      <w:footerReference w:type="default" r:id="rId14"/>
      <w:headerReference w:type="first" r:id="rId15"/>
      <w:footerReference w:type="first" r:id="rId16"/>
      <w:pgSz w:w="12240" w:h="15840"/>
      <w:pgMar w:top="1267" w:right="2160" w:bottom="720" w:left="1800" w:header="1802"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E59ADF" w14:textId="77777777" w:rsidR="002E24DA" w:rsidRDefault="002E24DA">
      <w:r>
        <w:separator/>
      </w:r>
    </w:p>
  </w:endnote>
  <w:endnote w:type="continuationSeparator" w:id="0">
    <w:p w14:paraId="1ED57D54" w14:textId="77777777" w:rsidR="002E24DA" w:rsidRDefault="002E24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DB4507" w14:textId="77777777" w:rsidR="00586932" w:rsidRDefault="0058693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2CEA5E" w14:textId="77777777" w:rsidR="00586932" w:rsidRDefault="00586932">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F855CC" w14:textId="77777777" w:rsidR="00586932" w:rsidRDefault="005869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C193BE" w14:textId="77777777" w:rsidR="002E24DA" w:rsidRDefault="002E24DA">
      <w:r>
        <w:separator/>
      </w:r>
    </w:p>
  </w:footnote>
  <w:footnote w:type="continuationSeparator" w:id="0">
    <w:p w14:paraId="06BFD858" w14:textId="77777777" w:rsidR="002E24DA" w:rsidRDefault="002E24D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F79EA" w14:textId="77777777" w:rsidR="00586932" w:rsidRDefault="0058693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42A500" w14:textId="77777777" w:rsidR="00450352" w:rsidRPr="00450352" w:rsidRDefault="00450352" w:rsidP="00450352">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7D7A6A" w14:textId="77777777" w:rsidR="00586932" w:rsidRDefault="0058693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4283EE8"/>
    <w:multiLevelType w:val="multilevel"/>
    <w:tmpl w:val="461CEFC6"/>
    <w:lvl w:ilvl="0">
      <w:start w:val="1"/>
      <w:numFmt w:val="decimal"/>
      <w:pStyle w:val="ParaNoNdepar-AltN"/>
      <w:lvlText w:val="[%1]"/>
      <w:lvlJc w:val="left"/>
      <w:pPr>
        <w:tabs>
          <w:tab w:val="num" w:pos="1152"/>
        </w:tabs>
        <w:ind w:left="0" w:firstLine="0"/>
      </w:pPr>
      <w:rPr>
        <w:rFonts w:ascii="Times New Roman" w:hAnsi="Times New Roman" w:hint="default"/>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removePersonalInformation/>
  <w:removeDateAndTime/>
  <w:bordersDoNotSurroundHeader/>
  <w:bordersDoNotSurroundFooter/>
  <w:proofState w:spelling="clean" w:grammar="clean"/>
  <w:defaultTabStop w:val="720"/>
  <w:hyphenationZone w:val="425"/>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14C"/>
    <w:rsid w:val="00000ED4"/>
    <w:rsid w:val="00025198"/>
    <w:rsid w:val="00032BCB"/>
    <w:rsid w:val="000578A3"/>
    <w:rsid w:val="000648CC"/>
    <w:rsid w:val="00094C9B"/>
    <w:rsid w:val="000C0292"/>
    <w:rsid w:val="000C59B8"/>
    <w:rsid w:val="000C6AF0"/>
    <w:rsid w:val="00104F33"/>
    <w:rsid w:val="00111DE2"/>
    <w:rsid w:val="001157FA"/>
    <w:rsid w:val="00116B38"/>
    <w:rsid w:val="00135406"/>
    <w:rsid w:val="00135972"/>
    <w:rsid w:val="001426A9"/>
    <w:rsid w:val="00154D7C"/>
    <w:rsid w:val="001570B0"/>
    <w:rsid w:val="0015752C"/>
    <w:rsid w:val="00157737"/>
    <w:rsid w:val="00165277"/>
    <w:rsid w:val="00170592"/>
    <w:rsid w:val="00186351"/>
    <w:rsid w:val="00195D83"/>
    <w:rsid w:val="001A00C1"/>
    <w:rsid w:val="001B33E0"/>
    <w:rsid w:val="001B4573"/>
    <w:rsid w:val="001C779F"/>
    <w:rsid w:val="001D2AC1"/>
    <w:rsid w:val="001D4E88"/>
    <w:rsid w:val="001E2B93"/>
    <w:rsid w:val="00220FC2"/>
    <w:rsid w:val="002222F4"/>
    <w:rsid w:val="00224FC0"/>
    <w:rsid w:val="00225EA4"/>
    <w:rsid w:val="00226EAF"/>
    <w:rsid w:val="00231F3A"/>
    <w:rsid w:val="00234199"/>
    <w:rsid w:val="002406EE"/>
    <w:rsid w:val="00243EC8"/>
    <w:rsid w:val="00270D93"/>
    <w:rsid w:val="002745CC"/>
    <w:rsid w:val="002B7924"/>
    <w:rsid w:val="002D28C3"/>
    <w:rsid w:val="002D39A4"/>
    <w:rsid w:val="002E24DA"/>
    <w:rsid w:val="002E6705"/>
    <w:rsid w:val="00301D08"/>
    <w:rsid w:val="0030329A"/>
    <w:rsid w:val="0031086F"/>
    <w:rsid w:val="0031414C"/>
    <w:rsid w:val="00314E01"/>
    <w:rsid w:val="00317311"/>
    <w:rsid w:val="0032089D"/>
    <w:rsid w:val="003310DE"/>
    <w:rsid w:val="003323B0"/>
    <w:rsid w:val="0033791E"/>
    <w:rsid w:val="0034504B"/>
    <w:rsid w:val="00350273"/>
    <w:rsid w:val="0035169A"/>
    <w:rsid w:val="0035259D"/>
    <w:rsid w:val="00364B18"/>
    <w:rsid w:val="00381071"/>
    <w:rsid w:val="00384A8B"/>
    <w:rsid w:val="00396B82"/>
    <w:rsid w:val="00396F90"/>
    <w:rsid w:val="003A125D"/>
    <w:rsid w:val="003A4C70"/>
    <w:rsid w:val="003B215F"/>
    <w:rsid w:val="003C799C"/>
    <w:rsid w:val="003D0399"/>
    <w:rsid w:val="003E1C71"/>
    <w:rsid w:val="003F327B"/>
    <w:rsid w:val="00406166"/>
    <w:rsid w:val="0040704B"/>
    <w:rsid w:val="00410A55"/>
    <w:rsid w:val="00411300"/>
    <w:rsid w:val="00414963"/>
    <w:rsid w:val="00415417"/>
    <w:rsid w:val="00426659"/>
    <w:rsid w:val="00450352"/>
    <w:rsid w:val="00454BDB"/>
    <w:rsid w:val="00462B7E"/>
    <w:rsid w:val="00464800"/>
    <w:rsid w:val="00465132"/>
    <w:rsid w:val="00467E26"/>
    <w:rsid w:val="00480C90"/>
    <w:rsid w:val="0048396F"/>
    <w:rsid w:val="00493C18"/>
    <w:rsid w:val="004A2520"/>
    <w:rsid w:val="004A600C"/>
    <w:rsid w:val="004A6118"/>
    <w:rsid w:val="004C478D"/>
    <w:rsid w:val="004D3ACE"/>
    <w:rsid w:val="004E0ABF"/>
    <w:rsid w:val="004E2C26"/>
    <w:rsid w:val="004F36FF"/>
    <w:rsid w:val="005125A8"/>
    <w:rsid w:val="00521AE8"/>
    <w:rsid w:val="00525875"/>
    <w:rsid w:val="00527180"/>
    <w:rsid w:val="0054201E"/>
    <w:rsid w:val="005432EC"/>
    <w:rsid w:val="00552980"/>
    <w:rsid w:val="00555291"/>
    <w:rsid w:val="0055695A"/>
    <w:rsid w:val="00566AD1"/>
    <w:rsid w:val="00583EDE"/>
    <w:rsid w:val="00586932"/>
    <w:rsid w:val="005A6079"/>
    <w:rsid w:val="005E4698"/>
    <w:rsid w:val="005F03F0"/>
    <w:rsid w:val="00610539"/>
    <w:rsid w:val="00613969"/>
    <w:rsid w:val="00625C35"/>
    <w:rsid w:val="0063543F"/>
    <w:rsid w:val="00656313"/>
    <w:rsid w:val="006565F4"/>
    <w:rsid w:val="0065794B"/>
    <w:rsid w:val="00684EEA"/>
    <w:rsid w:val="0069689B"/>
    <w:rsid w:val="006A1551"/>
    <w:rsid w:val="006B5FF5"/>
    <w:rsid w:val="006D4364"/>
    <w:rsid w:val="006F30AF"/>
    <w:rsid w:val="00701759"/>
    <w:rsid w:val="00705C15"/>
    <w:rsid w:val="0071600E"/>
    <w:rsid w:val="007208D1"/>
    <w:rsid w:val="00747288"/>
    <w:rsid w:val="00747DD3"/>
    <w:rsid w:val="007549C8"/>
    <w:rsid w:val="00754A0B"/>
    <w:rsid w:val="00766D14"/>
    <w:rsid w:val="00767A0F"/>
    <w:rsid w:val="007A05F6"/>
    <w:rsid w:val="007B6F4A"/>
    <w:rsid w:val="007E1C47"/>
    <w:rsid w:val="007E337A"/>
    <w:rsid w:val="007E5C70"/>
    <w:rsid w:val="007F2FF5"/>
    <w:rsid w:val="007F3F08"/>
    <w:rsid w:val="00804CC6"/>
    <w:rsid w:val="00817190"/>
    <w:rsid w:val="00820EE5"/>
    <w:rsid w:val="008260E2"/>
    <w:rsid w:val="008322BD"/>
    <w:rsid w:val="00833E0A"/>
    <w:rsid w:val="00834F73"/>
    <w:rsid w:val="00864CF8"/>
    <w:rsid w:val="008679D5"/>
    <w:rsid w:val="00872819"/>
    <w:rsid w:val="00874914"/>
    <w:rsid w:val="00891422"/>
    <w:rsid w:val="00892E1A"/>
    <w:rsid w:val="00897D59"/>
    <w:rsid w:val="008A3F29"/>
    <w:rsid w:val="008B660A"/>
    <w:rsid w:val="008C01DA"/>
    <w:rsid w:val="008D3771"/>
    <w:rsid w:val="008F78E9"/>
    <w:rsid w:val="00911989"/>
    <w:rsid w:val="009179F9"/>
    <w:rsid w:val="00931CB0"/>
    <w:rsid w:val="00933E5E"/>
    <w:rsid w:val="00935218"/>
    <w:rsid w:val="009403F3"/>
    <w:rsid w:val="009555B7"/>
    <w:rsid w:val="009567AA"/>
    <w:rsid w:val="00967374"/>
    <w:rsid w:val="009A343A"/>
    <w:rsid w:val="009B2F23"/>
    <w:rsid w:val="009B57B3"/>
    <w:rsid w:val="009C2EAC"/>
    <w:rsid w:val="009C5B92"/>
    <w:rsid w:val="009D2920"/>
    <w:rsid w:val="009D5AEB"/>
    <w:rsid w:val="009F0E33"/>
    <w:rsid w:val="00A030CE"/>
    <w:rsid w:val="00A149DF"/>
    <w:rsid w:val="00A1755C"/>
    <w:rsid w:val="00A21B90"/>
    <w:rsid w:val="00A41805"/>
    <w:rsid w:val="00A42DCD"/>
    <w:rsid w:val="00A52AFB"/>
    <w:rsid w:val="00A548CB"/>
    <w:rsid w:val="00A5521C"/>
    <w:rsid w:val="00A643E7"/>
    <w:rsid w:val="00A73C38"/>
    <w:rsid w:val="00AB670D"/>
    <w:rsid w:val="00AE4535"/>
    <w:rsid w:val="00AF03C5"/>
    <w:rsid w:val="00B000D8"/>
    <w:rsid w:val="00B00F75"/>
    <w:rsid w:val="00B145B6"/>
    <w:rsid w:val="00B279EB"/>
    <w:rsid w:val="00B50C81"/>
    <w:rsid w:val="00B557F8"/>
    <w:rsid w:val="00B815FC"/>
    <w:rsid w:val="00B87BDE"/>
    <w:rsid w:val="00B92D63"/>
    <w:rsid w:val="00B93FBC"/>
    <w:rsid w:val="00BA7DA0"/>
    <w:rsid w:val="00BB2EE4"/>
    <w:rsid w:val="00BC2108"/>
    <w:rsid w:val="00BD0E9E"/>
    <w:rsid w:val="00BD1BEC"/>
    <w:rsid w:val="00BD32FF"/>
    <w:rsid w:val="00C02092"/>
    <w:rsid w:val="00C24D91"/>
    <w:rsid w:val="00C53F14"/>
    <w:rsid w:val="00C600CF"/>
    <w:rsid w:val="00C6084F"/>
    <w:rsid w:val="00C62A66"/>
    <w:rsid w:val="00C71458"/>
    <w:rsid w:val="00C77613"/>
    <w:rsid w:val="00C828E7"/>
    <w:rsid w:val="00C86719"/>
    <w:rsid w:val="00C921DD"/>
    <w:rsid w:val="00CA6391"/>
    <w:rsid w:val="00CC34BD"/>
    <w:rsid w:val="00CE161A"/>
    <w:rsid w:val="00CE3171"/>
    <w:rsid w:val="00CF1601"/>
    <w:rsid w:val="00D0172F"/>
    <w:rsid w:val="00D068A7"/>
    <w:rsid w:val="00D17476"/>
    <w:rsid w:val="00D32086"/>
    <w:rsid w:val="00D37A3F"/>
    <w:rsid w:val="00D42DB8"/>
    <w:rsid w:val="00D4431D"/>
    <w:rsid w:val="00D4667A"/>
    <w:rsid w:val="00D63A1C"/>
    <w:rsid w:val="00D7516F"/>
    <w:rsid w:val="00D8579F"/>
    <w:rsid w:val="00D95F8E"/>
    <w:rsid w:val="00DA0590"/>
    <w:rsid w:val="00DB7BEA"/>
    <w:rsid w:val="00DC1739"/>
    <w:rsid w:val="00DC1788"/>
    <w:rsid w:val="00DE319C"/>
    <w:rsid w:val="00DF0CA8"/>
    <w:rsid w:val="00DF2B48"/>
    <w:rsid w:val="00DF49A7"/>
    <w:rsid w:val="00E07EE2"/>
    <w:rsid w:val="00E07FD1"/>
    <w:rsid w:val="00E176D8"/>
    <w:rsid w:val="00E24573"/>
    <w:rsid w:val="00E25E1E"/>
    <w:rsid w:val="00E27EE7"/>
    <w:rsid w:val="00E33393"/>
    <w:rsid w:val="00E338B9"/>
    <w:rsid w:val="00E35404"/>
    <w:rsid w:val="00E45109"/>
    <w:rsid w:val="00E47B7A"/>
    <w:rsid w:val="00E56A44"/>
    <w:rsid w:val="00E60269"/>
    <w:rsid w:val="00E60333"/>
    <w:rsid w:val="00E77932"/>
    <w:rsid w:val="00E923FE"/>
    <w:rsid w:val="00E97830"/>
    <w:rsid w:val="00EA3470"/>
    <w:rsid w:val="00EE643C"/>
    <w:rsid w:val="00EF0683"/>
    <w:rsid w:val="00EF69D2"/>
    <w:rsid w:val="00EF766E"/>
    <w:rsid w:val="00F0070C"/>
    <w:rsid w:val="00F00EB7"/>
    <w:rsid w:val="00F36AB6"/>
    <w:rsid w:val="00F37A09"/>
    <w:rsid w:val="00F409CE"/>
    <w:rsid w:val="00F4379D"/>
    <w:rsid w:val="00F50D2D"/>
    <w:rsid w:val="00F56C8B"/>
    <w:rsid w:val="00F66810"/>
    <w:rsid w:val="00F71FE6"/>
    <w:rsid w:val="00F846D9"/>
    <w:rsid w:val="00F84DF4"/>
    <w:rsid w:val="00F85C97"/>
    <w:rsid w:val="00FB37D2"/>
    <w:rsid w:val="00FC4EFB"/>
    <w:rsid w:val="00FD068D"/>
    <w:rsid w:val="00FD4F28"/>
    <w:rsid w:val="00FE6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4337"/>
    <o:shapelayout v:ext="edit">
      <o:idmap v:ext="edit" data="1"/>
    </o:shapelayout>
  </w:shapeDefaults>
  <w:decimalSymbol w:val="."/>
  <w:listSeparator w:val=","/>
  <w14:docId w14:val="24E866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5F8E"/>
    <w:rPr>
      <w:sz w:val="24"/>
    </w:rPr>
  </w:style>
  <w:style w:type="paragraph" w:styleId="Heading1">
    <w:name w:val="heading 1"/>
    <w:basedOn w:val="Normal"/>
    <w:next w:val="Normal"/>
    <w:link w:val="Heading1Char"/>
    <w:uiPriority w:val="9"/>
    <w:qFormat/>
    <w:rsid w:val="003A125D"/>
    <w:pPr>
      <w:keepNext/>
      <w:keepLines/>
      <w:spacing w:after="720"/>
      <w:ind w:left="720" w:hanging="7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rsid w:val="00F85C97"/>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85C97"/>
    <w:rPr>
      <w:rFonts w:asciiTheme="majorHAnsi" w:eastAsiaTheme="majorEastAsia" w:hAnsiTheme="majorHAnsi" w:cstheme="majorBidi"/>
      <w:b/>
      <w:bCs/>
      <w:color w:val="4F81BD" w:themeColor="accent1"/>
      <w:sz w:val="26"/>
      <w:szCs w:val="26"/>
    </w:rPr>
  </w:style>
  <w:style w:type="paragraph" w:customStyle="1" w:styleId="1">
    <w:name w:val="1"/>
    <w:aliases w:val=" 2, 3, A"/>
    <w:basedOn w:val="Normal"/>
    <w:uiPriority w:val="1"/>
    <w:rsid w:val="00493C18"/>
    <w:pPr>
      <w:widowControl w:val="0"/>
    </w:pPr>
  </w:style>
  <w:style w:type="paragraph" w:customStyle="1" w:styleId="SCCNormalDoubleSpacing">
    <w:name w:val="SCC.Normal.DoubleSpacing"/>
    <w:basedOn w:val="Normal"/>
    <w:link w:val="SCCNormalDoubleSpacingChar"/>
    <w:rsid w:val="00104F33"/>
    <w:pPr>
      <w:tabs>
        <w:tab w:val="left" w:pos="1168"/>
      </w:tabs>
      <w:spacing w:line="480" w:lineRule="auto"/>
      <w:jc w:val="both"/>
    </w:pPr>
  </w:style>
  <w:style w:type="character" w:customStyle="1" w:styleId="SCCNormalDoubleSpacingChar">
    <w:name w:val="SCC.Normal.DoubleSpacing Char"/>
    <w:basedOn w:val="DefaultParagraphFont"/>
    <w:link w:val="SCCNormalDoubleSpacing"/>
    <w:rsid w:val="00104F33"/>
    <w:rPr>
      <w:sz w:val="24"/>
    </w:rPr>
  </w:style>
  <w:style w:type="character" w:styleId="Strong">
    <w:name w:val="Strong"/>
    <w:basedOn w:val="DefaultParagraphFont"/>
    <w:uiPriority w:val="22"/>
    <w:qFormat/>
    <w:rsid w:val="00C53F14"/>
    <w:rPr>
      <w:b/>
      <w:bCs/>
    </w:rPr>
  </w:style>
  <w:style w:type="paragraph" w:styleId="Quote">
    <w:name w:val="Quote"/>
    <w:basedOn w:val="Normal"/>
    <w:next w:val="Normal"/>
    <w:link w:val="QuoteChar"/>
    <w:uiPriority w:val="29"/>
    <w:qFormat/>
    <w:rsid w:val="00A548CB"/>
    <w:rPr>
      <w:i/>
      <w:iCs/>
      <w:color w:val="000000" w:themeColor="text1"/>
    </w:rPr>
  </w:style>
  <w:style w:type="character" w:customStyle="1" w:styleId="QuoteChar">
    <w:name w:val="Quote Char"/>
    <w:basedOn w:val="DefaultParagraphFont"/>
    <w:link w:val="Quote"/>
    <w:uiPriority w:val="29"/>
    <w:rsid w:val="00A548CB"/>
    <w:rPr>
      <w:i/>
      <w:iCs/>
      <w:color w:val="000000" w:themeColor="text1"/>
      <w:sz w:val="24"/>
      <w:lang w:val="en-US"/>
    </w:rPr>
  </w:style>
  <w:style w:type="character" w:styleId="PlaceholderText">
    <w:name w:val="Placeholder Text"/>
    <w:basedOn w:val="DefaultParagraphFont"/>
    <w:uiPriority w:val="99"/>
    <w:semiHidden/>
    <w:rsid w:val="00CE3171"/>
    <w:rPr>
      <w:color w:val="808080"/>
    </w:rPr>
  </w:style>
  <w:style w:type="paragraph" w:styleId="BalloonText">
    <w:name w:val="Balloon Text"/>
    <w:basedOn w:val="Normal"/>
    <w:link w:val="BalloonTextChar"/>
    <w:uiPriority w:val="99"/>
    <w:semiHidden/>
    <w:unhideWhenUsed/>
    <w:rsid w:val="00CE3171"/>
    <w:rPr>
      <w:rFonts w:ascii="Tahoma" w:hAnsi="Tahoma" w:cs="Tahoma"/>
      <w:sz w:val="16"/>
      <w:szCs w:val="16"/>
    </w:rPr>
  </w:style>
  <w:style w:type="character" w:customStyle="1" w:styleId="BalloonTextChar">
    <w:name w:val="Balloon Text Char"/>
    <w:basedOn w:val="DefaultParagraphFont"/>
    <w:link w:val="BalloonText"/>
    <w:uiPriority w:val="99"/>
    <w:semiHidden/>
    <w:rsid w:val="00CE3171"/>
    <w:rPr>
      <w:rFonts w:ascii="Tahoma" w:hAnsi="Tahoma" w:cs="Tahoma"/>
      <w:sz w:val="16"/>
      <w:szCs w:val="16"/>
      <w:lang w:val="en-US"/>
    </w:rPr>
  </w:style>
  <w:style w:type="paragraph" w:styleId="Header">
    <w:name w:val="header"/>
    <w:basedOn w:val="Normal"/>
    <w:link w:val="HeaderChar"/>
    <w:uiPriority w:val="99"/>
    <w:unhideWhenUsed/>
    <w:rsid w:val="000C59B8"/>
    <w:pPr>
      <w:tabs>
        <w:tab w:val="center" w:pos="4680"/>
        <w:tab w:val="right" w:pos="9360"/>
      </w:tabs>
    </w:pPr>
  </w:style>
  <w:style w:type="character" w:customStyle="1" w:styleId="HeaderChar">
    <w:name w:val="Header Char"/>
    <w:basedOn w:val="DefaultParagraphFont"/>
    <w:link w:val="Header"/>
    <w:uiPriority w:val="99"/>
    <w:rsid w:val="000C59B8"/>
    <w:rPr>
      <w:sz w:val="24"/>
      <w:lang w:val="en-US"/>
    </w:rPr>
  </w:style>
  <w:style w:type="paragraph" w:styleId="Footer">
    <w:name w:val="footer"/>
    <w:basedOn w:val="Normal"/>
    <w:link w:val="FooterChar"/>
    <w:uiPriority w:val="99"/>
    <w:unhideWhenUsed/>
    <w:rsid w:val="000C59B8"/>
    <w:pPr>
      <w:tabs>
        <w:tab w:val="center" w:pos="4680"/>
        <w:tab w:val="right" w:pos="9360"/>
      </w:tabs>
    </w:pPr>
  </w:style>
  <w:style w:type="character" w:customStyle="1" w:styleId="FooterChar">
    <w:name w:val="Footer Char"/>
    <w:basedOn w:val="DefaultParagraphFont"/>
    <w:link w:val="Footer"/>
    <w:uiPriority w:val="99"/>
    <w:rsid w:val="000C59B8"/>
    <w:rPr>
      <w:sz w:val="24"/>
      <w:lang w:val="en-US"/>
    </w:rPr>
  </w:style>
  <w:style w:type="paragraph" w:customStyle="1" w:styleId="SCCLsocParty">
    <w:name w:val="SCC.Lsoc.Party"/>
    <w:basedOn w:val="Normal"/>
    <w:next w:val="Normal"/>
    <w:link w:val="SCCLsocPartyChar"/>
    <w:rsid w:val="005A6079"/>
    <w:pPr>
      <w:tabs>
        <w:tab w:val="right" w:pos="8222"/>
      </w:tabs>
      <w:jc w:val="both"/>
    </w:pPr>
    <w:rPr>
      <w:b/>
    </w:rPr>
  </w:style>
  <w:style w:type="character" w:customStyle="1" w:styleId="SCCLsocPartyChar">
    <w:name w:val="SCC.Lsoc.Party Char"/>
    <w:basedOn w:val="DefaultParagraphFont"/>
    <w:link w:val="SCCLsocParty"/>
    <w:rsid w:val="005A6079"/>
    <w:rPr>
      <w:b/>
      <w:sz w:val="24"/>
    </w:rPr>
  </w:style>
  <w:style w:type="paragraph" w:customStyle="1" w:styleId="SCCLsocVersus">
    <w:name w:val="SCC.Lsoc.Versus"/>
    <w:basedOn w:val="Normal"/>
    <w:next w:val="Normal"/>
    <w:link w:val="SCCLsocVersusChar"/>
    <w:rsid w:val="001A00C1"/>
    <w:pPr>
      <w:spacing w:after="720"/>
    </w:pPr>
    <w:rPr>
      <w:i/>
    </w:rPr>
  </w:style>
  <w:style w:type="character" w:customStyle="1" w:styleId="SCCLsocVersusChar">
    <w:name w:val="SCC.Lsoc.Versus Char"/>
    <w:basedOn w:val="DefaultParagraphFont"/>
    <w:link w:val="SCCLsocVersus"/>
    <w:rsid w:val="001A00C1"/>
    <w:rPr>
      <w:i/>
      <w:sz w:val="24"/>
    </w:rPr>
  </w:style>
  <w:style w:type="character" w:customStyle="1" w:styleId="SCCLsocPartyRole">
    <w:name w:val="SCC.Lsoc.PartyRole"/>
    <w:basedOn w:val="SCCLsocLastPartyInRoleChar"/>
    <w:uiPriority w:val="1"/>
    <w:rsid w:val="00B279EB"/>
    <w:rPr>
      <w:b/>
      <w:i/>
      <w:sz w:val="24"/>
    </w:rPr>
  </w:style>
  <w:style w:type="paragraph" w:customStyle="1" w:styleId="SCCLsocSubfileSeparator">
    <w:name w:val="SCC.Lsoc.SubfileSeparator"/>
    <w:basedOn w:val="Normal"/>
    <w:next w:val="Normal"/>
    <w:link w:val="SCCLsocSubfileSeparatorChar"/>
    <w:rsid w:val="001A00C1"/>
    <w:pPr>
      <w:spacing w:after="720"/>
    </w:pPr>
  </w:style>
  <w:style w:type="character" w:customStyle="1" w:styleId="SCCLsocSubfileSeparatorChar">
    <w:name w:val="SCC.Lsoc.SubfileSeparator Char"/>
    <w:basedOn w:val="DefaultParagraphFont"/>
    <w:link w:val="SCCLsocSubfileSeparator"/>
    <w:rsid w:val="001A00C1"/>
    <w:rPr>
      <w:sz w:val="24"/>
    </w:rPr>
  </w:style>
  <w:style w:type="paragraph" w:customStyle="1" w:styleId="SCCLsocOtherPartySeparator">
    <w:name w:val="SCC.Lsoc.OtherPartySeparator"/>
    <w:basedOn w:val="Normal"/>
    <w:next w:val="Normal"/>
    <w:link w:val="SCCLsocOtherPartySeparatorChar"/>
    <w:rsid w:val="003323B0"/>
    <w:pPr>
      <w:spacing w:after="720"/>
    </w:pPr>
  </w:style>
  <w:style w:type="character" w:customStyle="1" w:styleId="SCCLsocOtherPartySeparatorChar">
    <w:name w:val="SCC.Lsoc.OtherPartySeparator Char"/>
    <w:basedOn w:val="DefaultParagraphFont"/>
    <w:link w:val="SCCLsocOtherPartySeparator"/>
    <w:rsid w:val="003323B0"/>
    <w:rPr>
      <w:sz w:val="24"/>
    </w:rPr>
  </w:style>
  <w:style w:type="character" w:customStyle="1" w:styleId="Heading1Char">
    <w:name w:val="Heading 1 Char"/>
    <w:basedOn w:val="DefaultParagraphFont"/>
    <w:link w:val="Heading1"/>
    <w:uiPriority w:val="9"/>
    <w:rsid w:val="003A125D"/>
    <w:rPr>
      <w:rFonts w:asciiTheme="majorHAnsi" w:eastAsiaTheme="majorEastAsia" w:hAnsiTheme="majorHAnsi" w:cstheme="majorBidi"/>
      <w:b/>
      <w:bCs/>
      <w:color w:val="365F91" w:themeColor="accent1" w:themeShade="BF"/>
      <w:sz w:val="28"/>
      <w:szCs w:val="28"/>
    </w:rPr>
  </w:style>
  <w:style w:type="paragraph" w:customStyle="1" w:styleId="SCCBanSummary">
    <w:name w:val="SCC.BanSummary"/>
    <w:basedOn w:val="Normal"/>
    <w:next w:val="Normal"/>
    <w:rsid w:val="00111DE2"/>
    <w:pPr>
      <w:jc w:val="right"/>
    </w:pPr>
    <w:rPr>
      <w:b/>
    </w:rPr>
  </w:style>
  <w:style w:type="paragraph" w:customStyle="1" w:styleId="SCCAppellantForRunningHead">
    <w:name w:val="SCC.AppellantForRunningHead"/>
    <w:basedOn w:val="Normal"/>
    <w:next w:val="Normal"/>
    <w:link w:val="SCCAppellantForRunningHeadChar"/>
    <w:rsid w:val="00701759"/>
    <w:rPr>
      <w:smallCaps/>
    </w:rPr>
  </w:style>
  <w:style w:type="character" w:customStyle="1" w:styleId="SCCAppellantForRunningHeadChar">
    <w:name w:val="SCC.AppellantForRunningHead Char"/>
    <w:basedOn w:val="DefaultParagraphFont"/>
    <w:link w:val="SCCAppellantForRunningHead"/>
    <w:rsid w:val="00701759"/>
    <w:rPr>
      <w:smallCaps/>
      <w:sz w:val="24"/>
    </w:rPr>
  </w:style>
  <w:style w:type="paragraph" w:customStyle="1" w:styleId="SCCRespondentForRunningHead">
    <w:name w:val="SCC.RespondentForRunningHead"/>
    <w:basedOn w:val="Normal"/>
    <w:next w:val="Normal"/>
    <w:link w:val="SCCRespondentForRunningHeadChar"/>
    <w:rsid w:val="00701759"/>
    <w:rPr>
      <w:smallCaps/>
    </w:rPr>
  </w:style>
  <w:style w:type="character" w:customStyle="1" w:styleId="SCCRespondentForRunningHeadChar">
    <w:name w:val="SCC.RespondentForRunningHead Char"/>
    <w:basedOn w:val="DefaultParagraphFont"/>
    <w:link w:val="SCCRespondentForRunningHead"/>
    <w:rsid w:val="00701759"/>
    <w:rPr>
      <w:smallCaps/>
      <w:sz w:val="24"/>
    </w:rPr>
  </w:style>
  <w:style w:type="paragraph" w:customStyle="1" w:styleId="SCCAppellantForIndex">
    <w:name w:val="SCC.AppellantForIndex"/>
    <w:basedOn w:val="Normal"/>
    <w:next w:val="Normal"/>
    <w:link w:val="SCCAppellantForIndexChar"/>
    <w:rsid w:val="00C02092"/>
    <w:rPr>
      <w:b/>
    </w:rPr>
  </w:style>
  <w:style w:type="character" w:customStyle="1" w:styleId="SCCAppellantForIndexChar">
    <w:name w:val="SCC.AppellantForIndex Char"/>
    <w:basedOn w:val="DefaultParagraphFont"/>
    <w:link w:val="SCCAppellantForIndex"/>
    <w:rsid w:val="00C02092"/>
    <w:rPr>
      <w:b/>
      <w:sz w:val="24"/>
    </w:rPr>
  </w:style>
  <w:style w:type="paragraph" w:customStyle="1" w:styleId="SCCRespondentForIndex">
    <w:name w:val="SCC.RespondentForIndex"/>
    <w:basedOn w:val="Normal"/>
    <w:next w:val="Normal"/>
    <w:link w:val="SCCRespondentForIndexChar"/>
    <w:rsid w:val="00C02092"/>
    <w:rPr>
      <w:b/>
    </w:rPr>
  </w:style>
  <w:style w:type="character" w:customStyle="1" w:styleId="SCCRespondentForIndexChar">
    <w:name w:val="SCC.RespondentForIndex Char"/>
    <w:basedOn w:val="DefaultParagraphFont"/>
    <w:link w:val="SCCRespondentForIndex"/>
    <w:rsid w:val="00C02092"/>
    <w:rPr>
      <w:b/>
      <w:sz w:val="24"/>
    </w:rPr>
  </w:style>
  <w:style w:type="paragraph" w:customStyle="1" w:styleId="SCCSystemYear">
    <w:name w:val="SCC.SystemYear"/>
    <w:basedOn w:val="Normal"/>
    <w:next w:val="Normal"/>
    <w:link w:val="SCCSystemYearChar"/>
    <w:rsid w:val="00111DE2"/>
    <w:rPr>
      <w:b/>
    </w:rPr>
  </w:style>
  <w:style w:type="character" w:customStyle="1" w:styleId="SCCSystemYearChar">
    <w:name w:val="SCC.SystemYear Char"/>
    <w:basedOn w:val="DefaultParagraphFont"/>
    <w:link w:val="SCCSystemYear"/>
    <w:rsid w:val="00111DE2"/>
    <w:rPr>
      <w:b/>
      <w:sz w:val="24"/>
    </w:rPr>
  </w:style>
  <w:style w:type="paragraph" w:customStyle="1" w:styleId="SCCLowerCourtNameLowercase">
    <w:name w:val="SCC.LowerCourtNameLowercase"/>
    <w:basedOn w:val="SCCNormalDoubleSpacing"/>
    <w:next w:val="SCCNormalDoubleSpacing"/>
    <w:rsid w:val="00111DE2"/>
    <w:rPr>
      <w:smallCaps/>
    </w:rPr>
  </w:style>
  <w:style w:type="paragraph" w:customStyle="1" w:styleId="SCCCounselName">
    <w:name w:val="SCC.CounselName"/>
    <w:basedOn w:val="SCCNormalDoubleSpacing"/>
    <w:next w:val="SCCNormalDoubleSpacing"/>
    <w:link w:val="SCCCounselNameChar"/>
    <w:rsid w:val="003F327B"/>
    <w:rPr>
      <w:i/>
    </w:rPr>
  </w:style>
  <w:style w:type="character" w:customStyle="1" w:styleId="SCCCounselNameChar">
    <w:name w:val="SCC.CounselName Char"/>
    <w:basedOn w:val="SCCNormalDoubleSpacingChar"/>
    <w:link w:val="SCCCounselName"/>
    <w:rsid w:val="003F327B"/>
    <w:rPr>
      <w:i/>
      <w:sz w:val="24"/>
    </w:rPr>
  </w:style>
  <w:style w:type="paragraph" w:customStyle="1" w:styleId="SCCItalic">
    <w:name w:val="SCC.Italic"/>
    <w:basedOn w:val="SCCNormalDoubleSpacing"/>
    <w:next w:val="SCCNormalDoubleSpacing"/>
    <w:rsid w:val="00DF0CA8"/>
    <w:rPr>
      <w:i/>
    </w:rPr>
  </w:style>
  <w:style w:type="paragraph" w:customStyle="1" w:styleId="SCCAppellantForCitation">
    <w:name w:val="SCC.AppellantForCitation"/>
    <w:basedOn w:val="Normal"/>
    <w:next w:val="Normal"/>
    <w:link w:val="SCCAppellantForCitationChar"/>
    <w:rsid w:val="00E45109"/>
    <w:rPr>
      <w:i/>
    </w:rPr>
  </w:style>
  <w:style w:type="character" w:customStyle="1" w:styleId="SCCAppellantForCitationChar">
    <w:name w:val="SCC.AppellantForCitation Char"/>
    <w:basedOn w:val="DefaultParagraphFont"/>
    <w:link w:val="SCCAppellantForCitation"/>
    <w:rsid w:val="00E45109"/>
    <w:rPr>
      <w:i/>
      <w:sz w:val="24"/>
    </w:rPr>
  </w:style>
  <w:style w:type="paragraph" w:customStyle="1" w:styleId="SCCRespondentForCitation">
    <w:name w:val="SCC.RespondentForCitation"/>
    <w:basedOn w:val="Normal"/>
    <w:next w:val="Normal"/>
    <w:link w:val="SCCRespondentForCitationChar"/>
    <w:rsid w:val="00E45109"/>
    <w:rPr>
      <w:i/>
    </w:rPr>
  </w:style>
  <w:style w:type="character" w:customStyle="1" w:styleId="SCCRespondentForCitationChar">
    <w:name w:val="SCC.RespondentForCitation Char"/>
    <w:basedOn w:val="DefaultParagraphFont"/>
    <w:link w:val="SCCRespondentForCitation"/>
    <w:rsid w:val="00E45109"/>
    <w:rPr>
      <w:i/>
      <w:sz w:val="24"/>
    </w:rPr>
  </w:style>
  <w:style w:type="paragraph" w:customStyle="1" w:styleId="SCCCounselSeparator">
    <w:name w:val="SCC.CounselSeparator"/>
    <w:basedOn w:val="SCCNormalDoubleSpacing"/>
    <w:next w:val="SCCNormalDoubleSpacing"/>
    <w:link w:val="SCCCounselSeparatorChar"/>
    <w:rsid w:val="00874914"/>
  </w:style>
  <w:style w:type="character" w:customStyle="1" w:styleId="SCCCounselSeparatorChar">
    <w:name w:val="SCC.CounselSeparator Char"/>
    <w:basedOn w:val="SCCNormalDoubleSpacingChar"/>
    <w:link w:val="SCCCounselSeparator"/>
    <w:rsid w:val="00874914"/>
    <w:rPr>
      <w:sz w:val="24"/>
    </w:rPr>
  </w:style>
  <w:style w:type="paragraph" w:customStyle="1" w:styleId="SCCPartyRole">
    <w:name w:val="SCC.PartyRole"/>
    <w:basedOn w:val="SCCNormalDoubleSpacing"/>
    <w:next w:val="SCCNormalDoubleSpacing"/>
    <w:link w:val="SCCPartyRoleChar"/>
    <w:rsid w:val="00874914"/>
  </w:style>
  <w:style w:type="character" w:customStyle="1" w:styleId="SCCPartyRoleChar">
    <w:name w:val="SCC.PartyRole Char"/>
    <w:basedOn w:val="SCCNormalDoubleSpacingChar"/>
    <w:link w:val="SCCPartyRole"/>
    <w:rsid w:val="00874914"/>
    <w:rPr>
      <w:sz w:val="24"/>
    </w:rPr>
  </w:style>
  <w:style w:type="paragraph" w:customStyle="1" w:styleId="SCCLawFirm">
    <w:name w:val="SCC.LawFirm"/>
    <w:basedOn w:val="SCCNormalDoubleSpacing"/>
    <w:next w:val="SCCNormalDoubleSpacing"/>
    <w:link w:val="SCCLawFirmChar"/>
    <w:rsid w:val="00364B18"/>
    <w:rPr>
      <w:i/>
    </w:rPr>
  </w:style>
  <w:style w:type="character" w:customStyle="1" w:styleId="SCCLawFirmChar">
    <w:name w:val="SCC.LawFirm Char"/>
    <w:basedOn w:val="SCCNormalDoubleSpacingChar"/>
    <w:link w:val="SCCLawFirm"/>
    <w:rsid w:val="00364B18"/>
    <w:rPr>
      <w:i/>
      <w:sz w:val="24"/>
    </w:rPr>
  </w:style>
  <w:style w:type="paragraph" w:customStyle="1" w:styleId="SCCCounselPartyRole">
    <w:name w:val="SCC.CounselPartyRole"/>
    <w:basedOn w:val="SCCNormalDoubleSpacing"/>
    <w:next w:val="SCCNormalDoubleSpacing"/>
    <w:link w:val="SCCCounselPartyRoleChar"/>
    <w:rsid w:val="00D4431D"/>
  </w:style>
  <w:style w:type="character" w:customStyle="1" w:styleId="SCCCounselPartyRoleChar">
    <w:name w:val="SCC.CounselPartyRole Char"/>
    <w:basedOn w:val="SCCNormalDoubleSpacingChar"/>
    <w:link w:val="SCCCounselPartyRole"/>
    <w:rsid w:val="00D4431D"/>
    <w:rPr>
      <w:sz w:val="24"/>
    </w:rPr>
  </w:style>
  <w:style w:type="paragraph" w:customStyle="1" w:styleId="SCCLsocLastPartyInRole">
    <w:name w:val="SCC.Lsoc.LastPartyInRole"/>
    <w:basedOn w:val="Normal"/>
    <w:next w:val="Normal"/>
    <w:link w:val="SCCLsocLastPartyInRoleChar"/>
    <w:qFormat/>
    <w:rsid w:val="00301D08"/>
    <w:pPr>
      <w:tabs>
        <w:tab w:val="right" w:pos="8222"/>
      </w:tabs>
      <w:spacing w:after="720"/>
    </w:pPr>
    <w:rPr>
      <w:b/>
    </w:rPr>
  </w:style>
  <w:style w:type="character" w:customStyle="1" w:styleId="SCCLsocLastPartyInRoleChar">
    <w:name w:val="SCC.Lsoc.LastPartyInRole Char"/>
    <w:basedOn w:val="SCCLsocPartyChar"/>
    <w:link w:val="SCCLsocLastPartyInRole"/>
    <w:rsid w:val="00301D08"/>
    <w:rPr>
      <w:b/>
      <w:sz w:val="24"/>
    </w:rPr>
  </w:style>
  <w:style w:type="character" w:styleId="CommentReference">
    <w:name w:val="annotation reference"/>
    <w:basedOn w:val="DefaultParagraphFont"/>
    <w:uiPriority w:val="99"/>
    <w:semiHidden/>
    <w:unhideWhenUsed/>
    <w:rsid w:val="00552980"/>
    <w:rPr>
      <w:sz w:val="16"/>
      <w:szCs w:val="16"/>
    </w:rPr>
  </w:style>
  <w:style w:type="paragraph" w:styleId="CommentText">
    <w:name w:val="annotation text"/>
    <w:basedOn w:val="Normal"/>
    <w:link w:val="CommentTextChar"/>
    <w:uiPriority w:val="99"/>
    <w:unhideWhenUsed/>
    <w:rsid w:val="00552980"/>
    <w:rPr>
      <w:sz w:val="20"/>
    </w:rPr>
  </w:style>
  <w:style w:type="character" w:customStyle="1" w:styleId="CommentTextChar">
    <w:name w:val="Comment Text Char"/>
    <w:basedOn w:val="DefaultParagraphFont"/>
    <w:link w:val="CommentText"/>
    <w:uiPriority w:val="99"/>
    <w:rsid w:val="00552980"/>
  </w:style>
  <w:style w:type="paragraph" w:styleId="CommentSubject">
    <w:name w:val="annotation subject"/>
    <w:basedOn w:val="CommentText"/>
    <w:next w:val="CommentText"/>
    <w:link w:val="CommentSubjectChar"/>
    <w:uiPriority w:val="99"/>
    <w:semiHidden/>
    <w:unhideWhenUsed/>
    <w:rsid w:val="00552980"/>
    <w:rPr>
      <w:b/>
      <w:bCs/>
    </w:rPr>
  </w:style>
  <w:style w:type="character" w:customStyle="1" w:styleId="CommentSubjectChar">
    <w:name w:val="Comment Subject Char"/>
    <w:basedOn w:val="CommentTextChar"/>
    <w:link w:val="CommentSubject"/>
    <w:uiPriority w:val="99"/>
    <w:semiHidden/>
    <w:rsid w:val="00552980"/>
    <w:rPr>
      <w:b/>
      <w:bCs/>
    </w:rPr>
  </w:style>
  <w:style w:type="character" w:styleId="Hyperlink">
    <w:name w:val="Hyperlink"/>
    <w:basedOn w:val="DefaultParagraphFont"/>
    <w:uiPriority w:val="99"/>
    <w:unhideWhenUsed/>
    <w:rsid w:val="00931CB0"/>
    <w:rPr>
      <w:color w:val="660000"/>
      <w:u w:val="none"/>
    </w:rPr>
  </w:style>
  <w:style w:type="paragraph" w:customStyle="1" w:styleId="JudgeJuge">
    <w:name w:val="Judge / Juge"/>
    <w:uiPriority w:val="3"/>
    <w:rsid w:val="00467E26"/>
    <w:pPr>
      <w:tabs>
        <w:tab w:val="left" w:pos="1166"/>
      </w:tabs>
      <w:spacing w:after="480" w:line="480" w:lineRule="auto"/>
    </w:pPr>
    <w:rPr>
      <w:smallCaps/>
      <w:sz w:val="24"/>
      <w:szCs w:val="24"/>
    </w:rPr>
  </w:style>
  <w:style w:type="paragraph" w:customStyle="1" w:styleId="ParaNoNdepar-AltN">
    <w:name w:val="Para. No. / Nº de par. - Alt N"/>
    <w:link w:val="ParaNoNdepar-AltNChar"/>
    <w:qFormat/>
    <w:rsid w:val="00467E26"/>
    <w:pPr>
      <w:numPr>
        <w:numId w:val="1"/>
      </w:numPr>
      <w:tabs>
        <w:tab w:val="clear" w:pos="1152"/>
        <w:tab w:val="left" w:pos="1166"/>
      </w:tabs>
      <w:spacing w:before="480" w:after="480" w:line="480" w:lineRule="auto"/>
      <w:jc w:val="both"/>
    </w:pPr>
    <w:rPr>
      <w:rFonts w:eastAsiaTheme="minorEastAsia" w:cstheme="minorBidi"/>
      <w:sz w:val="24"/>
      <w:szCs w:val="22"/>
      <w:lang w:eastAsia="en-US"/>
    </w:rPr>
  </w:style>
  <w:style w:type="character" w:customStyle="1" w:styleId="ParaNoNdepar-AltNChar">
    <w:name w:val="Para. No. / Nº de par. - Alt N Char"/>
    <w:basedOn w:val="DefaultParagraphFont"/>
    <w:link w:val="ParaNoNdepar-AltN"/>
    <w:rsid w:val="00467E26"/>
    <w:rPr>
      <w:rFonts w:eastAsiaTheme="minorEastAsia" w:cstheme="minorBidi"/>
      <w:sz w:val="24"/>
      <w:szCs w:val="22"/>
      <w:lang w:eastAsia="en-US"/>
    </w:rPr>
  </w:style>
  <w:style w:type="table" w:styleId="TableGrid">
    <w:name w:val="Table Grid"/>
    <w:basedOn w:val="TableNormal"/>
    <w:uiPriority w:val="59"/>
    <w:rsid w:val="00467E26"/>
    <w:rPr>
      <w:rFonts w:eastAsiaTheme="minorHAnsi" w:cstheme="minorBidi"/>
      <w:sz w:val="24"/>
      <w:szCs w:val="24"/>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coadecisions.ontariocourts.ca/coa/coa/en/item/20429/index.do" TargetMode="External"/><Relationship Id="rId4" Type="http://schemas.openxmlformats.org/officeDocument/2006/relationships/settings" Target="settings.xml"/><Relationship Id="rId9" Type="http://schemas.openxmlformats.org/officeDocument/2006/relationships/image" Target="cid:image001.jpg@01D72252.19B69DE0"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8AF56B-1B2E-44F3-8DD9-2A7570FA1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1765</Words>
  <Characters>8846</Characters>
  <Application>Microsoft Office Word</Application>
  <DocSecurity>0</DocSecurity>
  <Lines>73</Lines>
  <Paragraphs>21</Paragraphs>
  <ScaleCrop>false</ScaleCrop>
  <Company/>
  <LinksUpToDate>false</LinksUpToDate>
  <CharactersWithSpaces>10590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2023-05-04T21:21:00Z</dcterms:created>
  <dcterms:modified xsi:type="dcterms:W3CDTF">2023-05-05T10:49:00Z</dcterms:modified>
</cp:coreProperties>
</file>