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14116C" w:rsidRPr="0014116C" w14:paraId="7F2297B6" w14:textId="77777777" w:rsidTr="008D1E49">
        <w:trPr>
          <w:trHeight w:val="2103"/>
        </w:trPr>
        <w:tc>
          <w:tcPr>
            <w:tcW w:w="5000" w:type="pct"/>
            <w:gridSpan w:val="4"/>
          </w:tcPr>
          <w:p w14:paraId="63D3A3F1" w14:textId="77777777" w:rsidR="0014116C" w:rsidRPr="0014116C" w:rsidRDefault="0014116C" w:rsidP="0014116C">
            <w:pPr>
              <w:jc w:val="center"/>
              <w:rPr>
                <w:b/>
              </w:rPr>
            </w:pPr>
            <w:r w:rsidRPr="0014116C">
              <w:rPr>
                <w:b/>
                <w:noProof/>
                <w:lang w:val="fr-CA" w:eastAsia="fr-CA"/>
              </w:rPr>
              <w:drawing>
                <wp:inline distT="0" distB="0" distL="0" distR="0" wp14:anchorId="67C8F46F" wp14:editId="235623B0">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9453582" w14:textId="77777777" w:rsidR="0014116C" w:rsidRPr="0014116C" w:rsidRDefault="0014116C" w:rsidP="0014116C">
            <w:pPr>
              <w:spacing w:before="120" w:after="100" w:afterAutospacing="1"/>
              <w:jc w:val="center"/>
            </w:pPr>
            <w:r w:rsidRPr="0014116C">
              <w:rPr>
                <w:b/>
              </w:rPr>
              <w:t>SUPREME COURT OF CANADA</w:t>
            </w:r>
          </w:p>
        </w:tc>
      </w:tr>
      <w:tr w:rsidR="0014116C" w:rsidRPr="0014116C" w14:paraId="335836D1" w14:textId="77777777" w:rsidTr="008D1E49">
        <w:tblPrEx>
          <w:tblCellMar>
            <w:top w:w="58" w:type="dxa"/>
            <w:left w:w="58" w:type="dxa"/>
            <w:bottom w:w="58" w:type="dxa"/>
            <w:right w:w="58" w:type="dxa"/>
          </w:tblCellMar>
        </w:tblPrEx>
        <w:trPr>
          <w:cantSplit/>
        </w:trPr>
        <w:tc>
          <w:tcPr>
            <w:tcW w:w="2078" w:type="pct"/>
            <w:gridSpan w:val="2"/>
          </w:tcPr>
          <w:p w14:paraId="6D231900" w14:textId="77777777" w:rsidR="0014116C" w:rsidRPr="0014116C" w:rsidRDefault="0014116C" w:rsidP="0014116C">
            <w:pPr>
              <w:rPr>
                <w:b/>
                <w:smallCaps/>
              </w:rPr>
            </w:pPr>
          </w:p>
          <w:p w14:paraId="768306D0" w14:textId="77777777" w:rsidR="0014116C" w:rsidRPr="0014116C" w:rsidRDefault="0014116C" w:rsidP="0014116C">
            <w:pPr>
              <w:rPr>
                <w:b/>
                <w:smallCaps/>
              </w:rPr>
            </w:pPr>
            <w:r w:rsidRPr="0014116C">
              <w:rPr>
                <w:b/>
                <w:smallCaps/>
              </w:rPr>
              <w:t>Citation:</w:t>
            </w:r>
            <w:r w:rsidRPr="0014116C">
              <w:t xml:space="preserve"> Canadian Council for Refugees </w:t>
            </w:r>
            <w:r w:rsidRPr="0014116C">
              <w:rPr>
                <w:i/>
              </w:rPr>
              <w:t>v.</w:t>
            </w:r>
            <w:r w:rsidRPr="0014116C">
              <w:t xml:space="preserve"> Canada (Citizenship and Immigration), 2023 SCC 17</w:t>
            </w:r>
          </w:p>
        </w:tc>
        <w:tc>
          <w:tcPr>
            <w:tcW w:w="781" w:type="pct"/>
          </w:tcPr>
          <w:p w14:paraId="1BA95678" w14:textId="77777777" w:rsidR="0014116C" w:rsidRPr="0014116C" w:rsidRDefault="0014116C" w:rsidP="0014116C"/>
        </w:tc>
        <w:tc>
          <w:tcPr>
            <w:tcW w:w="2141" w:type="pct"/>
          </w:tcPr>
          <w:p w14:paraId="4A670BA4" w14:textId="77777777" w:rsidR="0014116C" w:rsidRPr="0014116C" w:rsidRDefault="0014116C" w:rsidP="0014116C">
            <w:pPr>
              <w:rPr>
                <w:b/>
                <w:smallCaps/>
              </w:rPr>
            </w:pPr>
          </w:p>
          <w:p w14:paraId="6E366872" w14:textId="77777777" w:rsidR="0014116C" w:rsidRPr="0014116C" w:rsidRDefault="0014116C" w:rsidP="0014116C">
            <w:pPr>
              <w:jc w:val="both"/>
            </w:pPr>
            <w:r w:rsidRPr="0014116C">
              <w:rPr>
                <w:b/>
                <w:smallCaps/>
              </w:rPr>
              <w:t>Appeal Heard:</w:t>
            </w:r>
            <w:r w:rsidRPr="0014116C">
              <w:t xml:space="preserve"> October 6, 2022</w:t>
            </w:r>
          </w:p>
          <w:p w14:paraId="3851BD66" w14:textId="77777777" w:rsidR="0014116C" w:rsidRPr="0014116C" w:rsidRDefault="0014116C" w:rsidP="0014116C">
            <w:r w:rsidRPr="0014116C">
              <w:rPr>
                <w:b/>
                <w:smallCaps/>
              </w:rPr>
              <w:t>Judgment Rendered:</w:t>
            </w:r>
            <w:r w:rsidRPr="0014116C">
              <w:t xml:space="preserve"> June 16, 2023</w:t>
            </w:r>
          </w:p>
          <w:p w14:paraId="32DBBFC2" w14:textId="77777777" w:rsidR="0014116C" w:rsidRPr="0014116C" w:rsidRDefault="0014116C" w:rsidP="0014116C">
            <w:r w:rsidRPr="0014116C">
              <w:rPr>
                <w:b/>
                <w:smallCaps/>
              </w:rPr>
              <w:t>Docket:</w:t>
            </w:r>
            <w:r w:rsidRPr="0014116C">
              <w:t xml:space="preserve"> 39749</w:t>
            </w:r>
          </w:p>
        </w:tc>
      </w:tr>
      <w:tr w:rsidR="0014116C" w:rsidRPr="0014116C" w14:paraId="289E8C1A" w14:textId="77777777" w:rsidTr="008D1E49">
        <w:tblPrEx>
          <w:tblCellMar>
            <w:top w:w="58" w:type="dxa"/>
            <w:left w:w="58" w:type="dxa"/>
            <w:bottom w:w="58" w:type="dxa"/>
            <w:right w:w="58" w:type="dxa"/>
          </w:tblCellMar>
        </w:tblPrEx>
        <w:tc>
          <w:tcPr>
            <w:tcW w:w="5000" w:type="pct"/>
            <w:gridSpan w:val="4"/>
          </w:tcPr>
          <w:p w14:paraId="5A3BB263" w14:textId="77777777" w:rsidR="0014116C" w:rsidRPr="0014116C" w:rsidRDefault="0014116C" w:rsidP="0014116C"/>
          <w:p w14:paraId="3F375E3A" w14:textId="77777777" w:rsidR="0014116C" w:rsidRPr="0014116C" w:rsidRDefault="0014116C" w:rsidP="0014116C">
            <w:pPr>
              <w:rPr>
                <w:b/>
                <w:smallCaps/>
              </w:rPr>
            </w:pPr>
            <w:r w:rsidRPr="0014116C">
              <w:rPr>
                <w:b/>
                <w:smallCaps/>
              </w:rPr>
              <w:t>Between:</w:t>
            </w:r>
          </w:p>
          <w:p w14:paraId="4A269DE1" w14:textId="77777777" w:rsidR="0014116C" w:rsidRPr="0014116C" w:rsidRDefault="0014116C" w:rsidP="0014116C"/>
          <w:p w14:paraId="46838D2A" w14:textId="77777777" w:rsidR="0014116C" w:rsidRPr="0014116C" w:rsidRDefault="0014116C" w:rsidP="0014116C">
            <w:pPr>
              <w:jc w:val="center"/>
              <w:rPr>
                <w:b/>
              </w:rPr>
            </w:pPr>
            <w:r w:rsidRPr="0014116C">
              <w:rPr>
                <w:b/>
              </w:rPr>
              <w:t>Canadian Council for Refugees, Amnesty International, Canadian Council of Churches, ABC, DE by her litigation guardian ABC, FG by her litigation guardian ABC, Mohammad Majd Maher Homsi, Hala Maher Homsi, Karam Maher Homsi, Reda Yassin Al Nahass and Nedira Jemal Mustefa</w:t>
            </w:r>
          </w:p>
          <w:p w14:paraId="3FCB6896" w14:textId="77777777" w:rsidR="0014116C" w:rsidRPr="0014116C" w:rsidRDefault="0014116C" w:rsidP="0014116C">
            <w:pPr>
              <w:jc w:val="center"/>
            </w:pPr>
            <w:r w:rsidRPr="0014116C">
              <w:t>Appellants</w:t>
            </w:r>
          </w:p>
          <w:p w14:paraId="797824A5" w14:textId="77777777" w:rsidR="0014116C" w:rsidRPr="0014116C" w:rsidRDefault="0014116C" w:rsidP="0014116C"/>
          <w:p w14:paraId="1122CC33" w14:textId="77777777" w:rsidR="0014116C" w:rsidRPr="0014116C" w:rsidRDefault="0014116C" w:rsidP="0014116C">
            <w:pPr>
              <w:jc w:val="center"/>
            </w:pPr>
            <w:r w:rsidRPr="0014116C">
              <w:t>and</w:t>
            </w:r>
          </w:p>
          <w:p w14:paraId="7F00768C" w14:textId="77777777" w:rsidR="0014116C" w:rsidRPr="0014116C" w:rsidRDefault="0014116C" w:rsidP="0014116C"/>
          <w:p w14:paraId="4FD0D7A3" w14:textId="77777777" w:rsidR="0014116C" w:rsidRPr="0014116C" w:rsidRDefault="0014116C" w:rsidP="0014116C">
            <w:pPr>
              <w:jc w:val="center"/>
              <w:rPr>
                <w:b/>
              </w:rPr>
            </w:pPr>
            <w:r w:rsidRPr="0014116C">
              <w:rPr>
                <w:b/>
              </w:rPr>
              <w:t>Minister of Citizenship and Immigration and Minister of Public Safety and Emergency Preparedness</w:t>
            </w:r>
          </w:p>
          <w:p w14:paraId="19ED6EF2" w14:textId="77777777" w:rsidR="0014116C" w:rsidRPr="0014116C" w:rsidRDefault="0014116C" w:rsidP="0014116C">
            <w:pPr>
              <w:jc w:val="center"/>
            </w:pPr>
            <w:r w:rsidRPr="0014116C">
              <w:t>Respondents</w:t>
            </w:r>
          </w:p>
          <w:p w14:paraId="44C5EE84" w14:textId="77777777" w:rsidR="0014116C" w:rsidRPr="0014116C" w:rsidRDefault="0014116C" w:rsidP="0014116C"/>
          <w:p w14:paraId="785C050F" w14:textId="77777777" w:rsidR="0014116C" w:rsidRPr="0014116C" w:rsidRDefault="0014116C" w:rsidP="0014116C">
            <w:pPr>
              <w:jc w:val="center"/>
            </w:pPr>
            <w:r w:rsidRPr="0014116C">
              <w:t>- and -</w:t>
            </w:r>
          </w:p>
          <w:p w14:paraId="7D3AF8BF" w14:textId="77777777" w:rsidR="0014116C" w:rsidRPr="0014116C" w:rsidRDefault="0014116C" w:rsidP="0014116C"/>
          <w:p w14:paraId="5A65B198" w14:textId="77777777" w:rsidR="0014116C" w:rsidRPr="0014116C" w:rsidRDefault="0014116C" w:rsidP="0014116C">
            <w:pPr>
              <w:jc w:val="center"/>
              <w:rPr>
                <w:b/>
              </w:rPr>
            </w:pPr>
            <w:r w:rsidRPr="0014116C">
              <w:rPr>
                <w:b/>
              </w:rPr>
              <w:t>Association québécoise des avocats et avocates en droit de l’immigration, Canadian Civil Liberties Association, Canadian Association of Refugee Lawyers, National Council of Canadian Muslims, Canadian Muslim Lawyers Association, Canadian Lawyers for International Human Rights, Canadian Centre for Victims of Torture, Queen’s Prison Law Clinic, Rainbow Refugee Society, British Columbia Civil Liberties Association, Advocates for the Rule of Law, David Asper Centre for Constitutional Rights, West Coast Legal Education and Action Fund Association, Women’s Legal Education and Action Fund Inc., HIV &amp; AIDS Legal Clinic Ontario and Rainbow Railroad</w:t>
            </w:r>
          </w:p>
          <w:p w14:paraId="0A5AF7F4" w14:textId="77777777" w:rsidR="0014116C" w:rsidRPr="0014116C" w:rsidRDefault="0014116C" w:rsidP="0014116C">
            <w:pPr>
              <w:jc w:val="center"/>
            </w:pPr>
            <w:r w:rsidRPr="0014116C">
              <w:t>Interveners</w:t>
            </w:r>
          </w:p>
          <w:p w14:paraId="5EE6F60C" w14:textId="77777777" w:rsidR="0014116C" w:rsidRPr="0014116C" w:rsidRDefault="0014116C" w:rsidP="0014116C"/>
          <w:p w14:paraId="5D7A2338" w14:textId="77777777" w:rsidR="0014116C" w:rsidRPr="0014116C" w:rsidRDefault="0014116C" w:rsidP="0014116C">
            <w:pPr>
              <w:jc w:val="center"/>
              <w:rPr>
                <w:b/>
                <w:smallCaps/>
              </w:rPr>
            </w:pPr>
          </w:p>
          <w:p w14:paraId="31A5F4A9" w14:textId="77777777" w:rsidR="0014116C" w:rsidRPr="0014116C" w:rsidRDefault="0014116C" w:rsidP="0014116C"/>
          <w:p w14:paraId="46A7BEA7" w14:textId="77777777" w:rsidR="0014116C" w:rsidRPr="0014116C" w:rsidRDefault="0014116C" w:rsidP="0014116C">
            <w:r w:rsidRPr="0014116C">
              <w:rPr>
                <w:b/>
                <w:smallCaps/>
              </w:rPr>
              <w:t>Coram:</w:t>
            </w:r>
            <w:r w:rsidRPr="0014116C">
              <w:t xml:space="preserve"> Wagner C.J. and Karakatsanis, Côté, Brown,</w:t>
            </w:r>
            <w:r w:rsidRPr="0014116C">
              <w:rPr>
                <w:vertAlign w:val="superscript"/>
              </w:rPr>
              <w:t>*</w:t>
            </w:r>
            <w:r w:rsidRPr="0014116C">
              <w:t xml:space="preserve"> Rowe, Martin, Kasirer, Jamal and O’Bonsawin JJ.</w:t>
            </w:r>
          </w:p>
          <w:p w14:paraId="2C49DC8B" w14:textId="77777777" w:rsidR="0014116C" w:rsidRPr="0014116C" w:rsidRDefault="0014116C" w:rsidP="0014116C">
            <w:pPr>
              <w:rPr>
                <w:b/>
                <w:smallCaps/>
              </w:rPr>
            </w:pPr>
          </w:p>
        </w:tc>
      </w:tr>
      <w:tr w:rsidR="0014116C" w:rsidRPr="0014116C" w14:paraId="344910CD" w14:textId="77777777" w:rsidTr="008D1E49">
        <w:tblPrEx>
          <w:tblCellMar>
            <w:top w:w="58" w:type="dxa"/>
            <w:left w:w="58" w:type="dxa"/>
            <w:bottom w:w="58" w:type="dxa"/>
            <w:right w:w="58" w:type="dxa"/>
          </w:tblCellMar>
        </w:tblPrEx>
        <w:trPr>
          <w:cantSplit/>
        </w:trPr>
        <w:tc>
          <w:tcPr>
            <w:tcW w:w="1231" w:type="pct"/>
          </w:tcPr>
          <w:p w14:paraId="65717F7C" w14:textId="77777777" w:rsidR="0014116C" w:rsidRPr="0014116C" w:rsidRDefault="0014116C" w:rsidP="0014116C">
            <w:pPr>
              <w:rPr>
                <w:smallCaps/>
              </w:rPr>
            </w:pPr>
            <w:r w:rsidRPr="0014116C">
              <w:rPr>
                <w:b/>
                <w:smallCaps/>
              </w:rPr>
              <w:lastRenderedPageBreak/>
              <w:t>Reasons for Judgment:</w:t>
            </w:r>
            <w:r w:rsidRPr="0014116C">
              <w:rPr>
                <w:smallCaps/>
              </w:rPr>
              <w:t xml:space="preserve"> </w:t>
            </w:r>
          </w:p>
          <w:p w14:paraId="4E34A12C" w14:textId="77777777" w:rsidR="0014116C" w:rsidRPr="0014116C" w:rsidRDefault="0014116C" w:rsidP="0014116C">
            <w:pPr>
              <w:rPr>
                <w:smallCaps/>
              </w:rPr>
            </w:pPr>
            <w:r w:rsidRPr="0014116C">
              <w:t>(paras. 1 to 184)</w:t>
            </w:r>
          </w:p>
        </w:tc>
        <w:tc>
          <w:tcPr>
            <w:tcW w:w="3769" w:type="pct"/>
            <w:gridSpan w:val="3"/>
          </w:tcPr>
          <w:p w14:paraId="5417E8C1" w14:textId="77777777" w:rsidR="0014116C" w:rsidRPr="0014116C" w:rsidRDefault="0014116C" w:rsidP="0014116C">
            <w:r w:rsidRPr="0014116C">
              <w:t>Kasirer J. (Wagner C.J. and Karakatsanis, Côté, Rowe, Martin, Jamal and O’Bonsawin JJ. concurring)</w:t>
            </w:r>
          </w:p>
        </w:tc>
      </w:tr>
    </w:tbl>
    <w:p w14:paraId="72165665" w14:textId="77777777" w:rsidR="0014116C" w:rsidRPr="0014116C" w:rsidRDefault="0014116C" w:rsidP="0014116C">
      <w:pPr>
        <w:rPr>
          <w:rFonts w:eastAsiaTheme="minorHAnsi" w:cstheme="minorBidi"/>
          <w:szCs w:val="24"/>
          <w:lang w:eastAsia="en-US"/>
        </w:rPr>
      </w:pPr>
    </w:p>
    <w:p w14:paraId="5DFD5D4C" w14:textId="77777777" w:rsidR="0014116C" w:rsidRPr="0014116C" w:rsidRDefault="0014116C" w:rsidP="0014116C">
      <w:pPr>
        <w:rPr>
          <w:rFonts w:eastAsiaTheme="minorHAnsi" w:cstheme="minorBidi"/>
          <w:szCs w:val="24"/>
          <w:lang w:eastAsia="en-US"/>
        </w:rPr>
      </w:pPr>
    </w:p>
    <w:p w14:paraId="5BF10925" w14:textId="77777777" w:rsidR="0014116C" w:rsidRPr="0014116C" w:rsidRDefault="0014116C" w:rsidP="0014116C">
      <w:pPr>
        <w:rPr>
          <w:rFonts w:eastAsiaTheme="minorHAnsi" w:cstheme="minorBidi"/>
          <w:szCs w:val="24"/>
          <w:lang w:eastAsia="en-US"/>
        </w:rPr>
      </w:pPr>
      <w:r w:rsidRPr="0014116C">
        <w:rPr>
          <w:rFonts w:eastAsiaTheme="minorHAnsi" w:cstheme="minorBidi"/>
          <w:b/>
          <w:smallCaps/>
          <w:szCs w:val="24"/>
          <w:lang w:eastAsia="en-US"/>
        </w:rPr>
        <w:t>Note:</w:t>
      </w:r>
      <w:r w:rsidRPr="0014116C">
        <w:rPr>
          <w:rFonts w:eastAsiaTheme="minorHAnsi" w:cstheme="minorBidi"/>
          <w:b/>
          <w:szCs w:val="24"/>
          <w:lang w:eastAsia="en-US"/>
        </w:rPr>
        <w:t xml:space="preserve"> </w:t>
      </w:r>
      <w:r w:rsidRPr="0014116C">
        <w:rPr>
          <w:rFonts w:eastAsiaTheme="minorHAnsi" w:cstheme="minorBidi"/>
          <w:szCs w:val="24"/>
          <w:lang w:eastAsia="en-US"/>
        </w:rPr>
        <w:t xml:space="preserve">This document is subject to editorial revision before its reproduction in final form in the </w:t>
      </w:r>
      <w:r w:rsidRPr="0014116C">
        <w:rPr>
          <w:rFonts w:eastAsiaTheme="minorHAnsi" w:cstheme="minorBidi"/>
          <w:i/>
          <w:szCs w:val="24"/>
          <w:lang w:eastAsia="en-US"/>
        </w:rPr>
        <w:t>Canada Supreme Court Reports</w:t>
      </w:r>
      <w:r w:rsidRPr="0014116C">
        <w:rPr>
          <w:rFonts w:eastAsiaTheme="minorHAnsi" w:cstheme="minorBidi"/>
          <w:szCs w:val="24"/>
          <w:lang w:eastAsia="en-US"/>
        </w:rPr>
        <w:t>.</w:t>
      </w:r>
    </w:p>
    <w:p w14:paraId="48F8B6CB" w14:textId="77777777" w:rsidR="0014116C" w:rsidRPr="0014116C" w:rsidRDefault="0014116C" w:rsidP="0014116C">
      <w:pPr>
        <w:rPr>
          <w:rFonts w:eastAsiaTheme="minorHAnsi" w:cstheme="minorBidi"/>
          <w:szCs w:val="24"/>
          <w:lang w:eastAsia="en-US"/>
        </w:rPr>
      </w:pPr>
    </w:p>
    <w:p w14:paraId="0889683C" w14:textId="77777777" w:rsidR="0014116C" w:rsidRPr="0014116C" w:rsidRDefault="0014116C" w:rsidP="0014116C">
      <w:pPr>
        <w:rPr>
          <w:rFonts w:eastAsiaTheme="minorHAnsi" w:cstheme="minorBidi"/>
          <w:szCs w:val="24"/>
          <w:lang w:eastAsia="en-US"/>
        </w:rPr>
      </w:pPr>
    </w:p>
    <w:p w14:paraId="1A707B26" w14:textId="77777777" w:rsidR="0014116C" w:rsidRPr="0014116C" w:rsidRDefault="0014116C" w:rsidP="0014116C">
      <w:pPr>
        <w:rPr>
          <w:rFonts w:eastAsiaTheme="minorHAnsi" w:cstheme="minorBidi"/>
          <w:szCs w:val="24"/>
          <w:lang w:eastAsia="en-US"/>
        </w:rPr>
      </w:pPr>
      <w:r w:rsidRPr="0014116C">
        <w:rPr>
          <w:rFonts w:eastAsiaTheme="minorHAnsi" w:cstheme="minorBidi"/>
          <w:color w:val="000000"/>
          <w:szCs w:val="24"/>
          <w:vertAlign w:val="superscript"/>
          <w:lang w:eastAsia="en-US"/>
        </w:rPr>
        <w:t>*</w:t>
      </w:r>
      <w:r w:rsidRPr="0014116C">
        <w:rPr>
          <w:rFonts w:eastAsiaTheme="minorHAnsi" w:cstheme="minorBidi"/>
          <w:color w:val="000000"/>
          <w:szCs w:val="24"/>
          <w:lang w:eastAsia="en-US"/>
        </w:rPr>
        <w:t> Brown J. did not participate in the final disposition of the judgment.</w:t>
      </w:r>
    </w:p>
    <w:p w14:paraId="683120DE" w14:textId="77777777" w:rsidR="0014116C" w:rsidRPr="0014116C" w:rsidRDefault="0014116C" w:rsidP="0014116C">
      <w:pPr>
        <w:rPr>
          <w:rFonts w:eastAsiaTheme="minorHAnsi" w:cstheme="minorBidi"/>
          <w:szCs w:val="24"/>
          <w:lang w:eastAsia="en-US"/>
        </w:rPr>
      </w:pPr>
    </w:p>
    <w:p w14:paraId="3FC6CA1A" w14:textId="77777777" w:rsidR="0014116C" w:rsidRPr="0014116C" w:rsidRDefault="0014116C" w:rsidP="0014116C">
      <w:pPr>
        <w:rPr>
          <w:rFonts w:eastAsiaTheme="minorHAnsi" w:cstheme="minorBidi"/>
          <w:szCs w:val="24"/>
          <w:lang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4116C" w:rsidRPr="0014116C" w14:paraId="71BC8404" w14:textId="77777777" w:rsidTr="008D1E49">
        <w:tc>
          <w:tcPr>
            <w:tcW w:w="1500" w:type="pct"/>
            <w:tcMar>
              <w:top w:w="284" w:type="dxa"/>
            </w:tcMar>
          </w:tcPr>
          <w:p w14:paraId="48441F09" w14:textId="77777777" w:rsidR="0014116C" w:rsidRPr="0014116C" w:rsidRDefault="0014116C" w:rsidP="0014116C"/>
        </w:tc>
        <w:tc>
          <w:tcPr>
            <w:tcW w:w="2000" w:type="pct"/>
            <w:tcBorders>
              <w:bottom w:val="single" w:sz="4" w:space="0" w:color="auto"/>
            </w:tcBorders>
            <w:tcMar>
              <w:top w:w="284" w:type="dxa"/>
            </w:tcMar>
          </w:tcPr>
          <w:p w14:paraId="78678311" w14:textId="77777777" w:rsidR="0014116C" w:rsidRPr="0014116C" w:rsidRDefault="0014116C" w:rsidP="0014116C"/>
        </w:tc>
        <w:tc>
          <w:tcPr>
            <w:tcW w:w="1500" w:type="pct"/>
            <w:tcMar>
              <w:top w:w="284" w:type="dxa"/>
            </w:tcMar>
          </w:tcPr>
          <w:p w14:paraId="361C2B79" w14:textId="77777777" w:rsidR="0014116C" w:rsidRPr="0014116C" w:rsidRDefault="0014116C" w:rsidP="0014116C"/>
        </w:tc>
      </w:tr>
    </w:tbl>
    <w:p w14:paraId="68217D18" w14:textId="77777777" w:rsidR="0014116C" w:rsidRPr="0014116C" w:rsidRDefault="0014116C" w:rsidP="0014116C">
      <w:pPr>
        <w:rPr>
          <w:rFonts w:eastAsiaTheme="minorHAnsi" w:cstheme="minorBidi"/>
          <w:szCs w:val="24"/>
          <w:lang w:eastAsia="en-US"/>
        </w:rPr>
      </w:pPr>
    </w:p>
    <w:p w14:paraId="5B3CBE03" w14:textId="77777777" w:rsidR="0014116C" w:rsidRPr="0014116C" w:rsidRDefault="0014116C">
      <w:pPr>
        <w:rPr>
          <w:b/>
        </w:rPr>
      </w:pPr>
      <w:r w:rsidRPr="0014116C">
        <w:br w:type="page"/>
      </w:r>
    </w:p>
    <w:p w14:paraId="6C5CE797" w14:textId="50C61C69" w:rsidR="006575DF" w:rsidRPr="0014116C" w:rsidRDefault="00456A82">
      <w:pPr>
        <w:pStyle w:val="SCCLsocParty"/>
      </w:pPr>
      <w:r w:rsidRPr="0014116C">
        <w:t>Canadian Council for Refugees,</w:t>
      </w:r>
    </w:p>
    <w:p w14:paraId="432D6EFC" w14:textId="048E934F" w:rsidR="006575DF" w:rsidRPr="0014116C" w:rsidRDefault="00456A82">
      <w:pPr>
        <w:pStyle w:val="SCCLsocParty"/>
      </w:pPr>
      <w:r w:rsidRPr="0014116C">
        <w:t>Amnesty International,</w:t>
      </w:r>
    </w:p>
    <w:p w14:paraId="41079F60" w14:textId="77777777" w:rsidR="006575DF" w:rsidRPr="0014116C" w:rsidRDefault="00456A82">
      <w:pPr>
        <w:pStyle w:val="SCCLsocParty"/>
      </w:pPr>
      <w:r w:rsidRPr="0014116C">
        <w:t>Canadian Council of Churches,</w:t>
      </w:r>
    </w:p>
    <w:p w14:paraId="6F76BC29" w14:textId="6FBE34BD" w:rsidR="00267210" w:rsidRPr="0014116C" w:rsidRDefault="0023265A">
      <w:pPr>
        <w:pStyle w:val="SCCLsocParty"/>
      </w:pPr>
      <w:r w:rsidRPr="0014116C">
        <w:t>ABC,</w:t>
      </w:r>
    </w:p>
    <w:p w14:paraId="5C79F9F1" w14:textId="701EDED0" w:rsidR="006575DF" w:rsidRPr="0014116C" w:rsidRDefault="009F4A72">
      <w:pPr>
        <w:pStyle w:val="SCCLsocParty"/>
      </w:pPr>
      <w:r w:rsidRPr="0014116C">
        <w:t>DE by her litigation guardian ABC</w:t>
      </w:r>
      <w:r w:rsidR="00456A82" w:rsidRPr="0014116C">
        <w:t>,</w:t>
      </w:r>
    </w:p>
    <w:p w14:paraId="4E768B1C" w14:textId="6B56B357" w:rsidR="006575DF" w:rsidRPr="0014116C" w:rsidRDefault="009F4A72">
      <w:pPr>
        <w:pStyle w:val="SCCLsocParty"/>
      </w:pPr>
      <w:r w:rsidRPr="0014116C">
        <w:t>FG by her litigation guardian ABC</w:t>
      </w:r>
      <w:r w:rsidR="00456A82" w:rsidRPr="0014116C">
        <w:t>,</w:t>
      </w:r>
    </w:p>
    <w:p w14:paraId="34C394FA" w14:textId="77777777" w:rsidR="006575DF" w:rsidRPr="0014116C" w:rsidRDefault="00456A82">
      <w:pPr>
        <w:pStyle w:val="SCCLsocParty"/>
      </w:pPr>
      <w:r w:rsidRPr="0014116C">
        <w:t>Mohammad Majd Maher Homsi,</w:t>
      </w:r>
    </w:p>
    <w:p w14:paraId="4E371290" w14:textId="77777777" w:rsidR="006575DF" w:rsidRPr="0014116C" w:rsidRDefault="00456A82">
      <w:pPr>
        <w:pStyle w:val="SCCLsocParty"/>
      </w:pPr>
      <w:r w:rsidRPr="0014116C">
        <w:t>Hala Maher Homsi,</w:t>
      </w:r>
    </w:p>
    <w:p w14:paraId="31CFECB0" w14:textId="77777777" w:rsidR="006575DF" w:rsidRPr="0014116C" w:rsidRDefault="00456A82">
      <w:pPr>
        <w:pStyle w:val="SCCLsocParty"/>
      </w:pPr>
      <w:r w:rsidRPr="0014116C">
        <w:t>Karam Maher Homsi,</w:t>
      </w:r>
    </w:p>
    <w:p w14:paraId="10B7F5A1" w14:textId="77777777" w:rsidR="006575DF" w:rsidRPr="0014116C" w:rsidRDefault="00456A82">
      <w:pPr>
        <w:pStyle w:val="SCCLsocParty"/>
      </w:pPr>
      <w:r w:rsidRPr="0014116C">
        <w:t>Reda Yas</w:t>
      </w:r>
      <w:r w:rsidR="00FD6A5C" w:rsidRPr="0014116C">
        <w:t>sin Al Nahass and</w:t>
      </w:r>
    </w:p>
    <w:p w14:paraId="7C56E538" w14:textId="77777777" w:rsidR="006575DF" w:rsidRPr="0014116C" w:rsidRDefault="00456A82">
      <w:pPr>
        <w:pStyle w:val="SCCLsocLastPartyInRole"/>
        <w:rPr>
          <w:lang w:val="fr-CA"/>
        </w:rPr>
      </w:pPr>
      <w:r w:rsidRPr="0014116C">
        <w:rPr>
          <w:lang w:val="fr-CA"/>
        </w:rPr>
        <w:t>Nedira Jemal Mustefa</w:t>
      </w:r>
      <w:r w:rsidRPr="0014116C">
        <w:rPr>
          <w:rStyle w:val="SCCLsocPartyRole"/>
          <w:lang w:val="fr-CA"/>
        </w:rPr>
        <w:tab/>
        <w:t>Appellants</w:t>
      </w:r>
    </w:p>
    <w:p w14:paraId="2CA49D57" w14:textId="77777777" w:rsidR="006575DF" w:rsidRPr="0014116C" w:rsidRDefault="00456A82">
      <w:pPr>
        <w:pStyle w:val="SCCLsocVersus"/>
        <w:rPr>
          <w:lang w:val="fr-CA"/>
        </w:rPr>
      </w:pPr>
      <w:r w:rsidRPr="0014116C">
        <w:rPr>
          <w:lang w:val="fr-CA"/>
        </w:rPr>
        <w:t>v.</w:t>
      </w:r>
    </w:p>
    <w:p w14:paraId="4234E028" w14:textId="77777777" w:rsidR="006575DF" w:rsidRPr="0014116C" w:rsidRDefault="00456A82">
      <w:pPr>
        <w:pStyle w:val="SCCLsocParty"/>
      </w:pPr>
      <w:r w:rsidRPr="0014116C">
        <w:t>Minister</w:t>
      </w:r>
      <w:r w:rsidR="00A853FD" w:rsidRPr="0014116C">
        <w:t xml:space="preserve"> of Citizenship and Immigration and</w:t>
      </w:r>
    </w:p>
    <w:p w14:paraId="0188384D" w14:textId="77777777" w:rsidR="006575DF" w:rsidRPr="0014116C" w:rsidRDefault="00456A82">
      <w:pPr>
        <w:pStyle w:val="SCCLsocLastPartyInRole"/>
      </w:pPr>
      <w:r w:rsidRPr="0014116C">
        <w:t>Minister of Public Safety and Emergency Preparedness</w:t>
      </w:r>
      <w:r w:rsidRPr="0014116C">
        <w:rPr>
          <w:rStyle w:val="SCCLsocPartyRole"/>
        </w:rPr>
        <w:tab/>
        <w:t>Respondents</w:t>
      </w:r>
    </w:p>
    <w:p w14:paraId="61E48650" w14:textId="77777777" w:rsidR="006575DF" w:rsidRPr="0014116C" w:rsidRDefault="00456A82">
      <w:pPr>
        <w:pStyle w:val="SCCLsocOtherPartySeparator"/>
        <w:rPr>
          <w:lang w:val="fr-CA"/>
        </w:rPr>
      </w:pPr>
      <w:r w:rsidRPr="0014116C">
        <w:rPr>
          <w:lang w:val="fr-CA"/>
        </w:rPr>
        <w:t>and</w:t>
      </w:r>
    </w:p>
    <w:p w14:paraId="17018894" w14:textId="6A5C21F7" w:rsidR="006575DF" w:rsidRPr="0014116C" w:rsidRDefault="00456A82">
      <w:pPr>
        <w:pStyle w:val="SCCLsocParty"/>
        <w:rPr>
          <w:lang w:val="fr-CA"/>
        </w:rPr>
      </w:pPr>
      <w:r w:rsidRPr="0014116C">
        <w:rPr>
          <w:lang w:val="fr-CA"/>
        </w:rPr>
        <w:t>Association québécoise des avocats et avocates en droit de l</w:t>
      </w:r>
      <w:r w:rsidR="00A57DC1" w:rsidRPr="0014116C">
        <w:rPr>
          <w:lang w:val="fr-CA"/>
        </w:rPr>
        <w:t>’</w:t>
      </w:r>
      <w:r w:rsidRPr="0014116C">
        <w:rPr>
          <w:lang w:val="fr-CA"/>
        </w:rPr>
        <w:t>immigration,</w:t>
      </w:r>
    </w:p>
    <w:p w14:paraId="30E148B8" w14:textId="77777777" w:rsidR="006575DF" w:rsidRPr="0014116C" w:rsidRDefault="00456A82">
      <w:pPr>
        <w:pStyle w:val="SCCLsocParty"/>
      </w:pPr>
      <w:r w:rsidRPr="0014116C">
        <w:t>Canadian Civil Liberties Association,</w:t>
      </w:r>
    </w:p>
    <w:p w14:paraId="4DAF821A" w14:textId="77777777" w:rsidR="006575DF" w:rsidRPr="0014116C" w:rsidRDefault="00456A82">
      <w:pPr>
        <w:pStyle w:val="SCCLsocParty"/>
      </w:pPr>
      <w:r w:rsidRPr="0014116C">
        <w:t>Canadian Association of Refugee Lawyers,</w:t>
      </w:r>
    </w:p>
    <w:p w14:paraId="611EEF51" w14:textId="77777777" w:rsidR="006575DF" w:rsidRPr="0014116C" w:rsidRDefault="00456A82">
      <w:pPr>
        <w:pStyle w:val="SCCLsocParty"/>
      </w:pPr>
      <w:r w:rsidRPr="0014116C">
        <w:t>National Council of Canadian Muslims,</w:t>
      </w:r>
    </w:p>
    <w:p w14:paraId="7ACFE863" w14:textId="77777777" w:rsidR="006575DF" w:rsidRPr="0014116C" w:rsidRDefault="00456A82">
      <w:pPr>
        <w:pStyle w:val="SCCLsocParty"/>
      </w:pPr>
      <w:r w:rsidRPr="0014116C">
        <w:t>Canadian Muslim Lawyers Association,</w:t>
      </w:r>
    </w:p>
    <w:p w14:paraId="151328BC" w14:textId="28F59393" w:rsidR="00B73C36" w:rsidRPr="0014116C" w:rsidRDefault="00456A82">
      <w:pPr>
        <w:pStyle w:val="SCCLsocParty"/>
      </w:pPr>
      <w:r w:rsidRPr="0014116C">
        <w:t>Canadian Lawyers for Int</w:t>
      </w:r>
      <w:r w:rsidR="00B73C36" w:rsidRPr="0014116C">
        <w:t>ernational Human Rights</w:t>
      </w:r>
      <w:r w:rsidR="002475F9" w:rsidRPr="0014116C">
        <w:t>,</w:t>
      </w:r>
    </w:p>
    <w:p w14:paraId="1B0E7710" w14:textId="77777777" w:rsidR="006575DF" w:rsidRPr="0014116C" w:rsidRDefault="00456A82">
      <w:pPr>
        <w:pStyle w:val="SCCLsocParty"/>
      </w:pPr>
      <w:r w:rsidRPr="0014116C">
        <w:t>Canadian Centre for Victims of Torture,</w:t>
      </w:r>
    </w:p>
    <w:p w14:paraId="14FA4E39" w14:textId="0C6FBA4C" w:rsidR="006575DF" w:rsidRPr="0014116C" w:rsidRDefault="00456A82">
      <w:pPr>
        <w:pStyle w:val="SCCLsocParty"/>
      </w:pPr>
      <w:r w:rsidRPr="0014116C">
        <w:t>Queen</w:t>
      </w:r>
      <w:r w:rsidR="00A57DC1" w:rsidRPr="0014116C">
        <w:t>’</w:t>
      </w:r>
      <w:r w:rsidRPr="0014116C">
        <w:t>s Prison Law Clinic,</w:t>
      </w:r>
    </w:p>
    <w:p w14:paraId="61979707" w14:textId="77777777" w:rsidR="006575DF" w:rsidRPr="0014116C" w:rsidRDefault="00456A82">
      <w:pPr>
        <w:pStyle w:val="SCCLsocParty"/>
      </w:pPr>
      <w:r w:rsidRPr="0014116C">
        <w:t>Rainbow Refugee Society,</w:t>
      </w:r>
    </w:p>
    <w:p w14:paraId="0F89DBD6" w14:textId="77777777" w:rsidR="006575DF" w:rsidRPr="0014116C" w:rsidRDefault="00456A82">
      <w:pPr>
        <w:pStyle w:val="SCCLsocParty"/>
      </w:pPr>
      <w:r w:rsidRPr="0014116C">
        <w:t>British Columbia Civil Liberties Association,</w:t>
      </w:r>
    </w:p>
    <w:p w14:paraId="36C3509F" w14:textId="77777777" w:rsidR="006575DF" w:rsidRPr="0014116C" w:rsidRDefault="00456A82">
      <w:pPr>
        <w:pStyle w:val="SCCLsocParty"/>
      </w:pPr>
      <w:r w:rsidRPr="0014116C">
        <w:t>Advocates for the Rule of Law,</w:t>
      </w:r>
    </w:p>
    <w:p w14:paraId="51396776" w14:textId="77777777" w:rsidR="00DD7017" w:rsidRPr="0014116C" w:rsidRDefault="00456A82">
      <w:pPr>
        <w:pStyle w:val="SCCLsocParty"/>
      </w:pPr>
      <w:r w:rsidRPr="0014116C">
        <w:t>David Asper Ce</w:t>
      </w:r>
      <w:r w:rsidR="00DD7017" w:rsidRPr="0014116C">
        <w:t>ntre for Constitutional Rights,</w:t>
      </w:r>
    </w:p>
    <w:p w14:paraId="7937EB13" w14:textId="12332F38" w:rsidR="00DD7017" w:rsidRPr="0014116C" w:rsidRDefault="00456A82">
      <w:pPr>
        <w:pStyle w:val="SCCLsocParty"/>
      </w:pPr>
      <w:r w:rsidRPr="0014116C">
        <w:t xml:space="preserve">West Coast Legal Education </w:t>
      </w:r>
      <w:r w:rsidR="00DD7017" w:rsidRPr="0014116C">
        <w:t>and Action Fund Association,</w:t>
      </w:r>
    </w:p>
    <w:p w14:paraId="7DF8C038" w14:textId="71422931" w:rsidR="006575DF" w:rsidRPr="0014116C" w:rsidRDefault="00456A82">
      <w:pPr>
        <w:pStyle w:val="SCCLsocParty"/>
      </w:pPr>
      <w:r w:rsidRPr="0014116C">
        <w:t>Women</w:t>
      </w:r>
      <w:r w:rsidR="00A57DC1" w:rsidRPr="0014116C">
        <w:t>’</w:t>
      </w:r>
      <w:r w:rsidRPr="0014116C">
        <w:t>s Legal Education and Action Fund Inc</w:t>
      </w:r>
      <w:r w:rsidR="00A853FD" w:rsidRPr="0014116C">
        <w:t>.,</w:t>
      </w:r>
    </w:p>
    <w:p w14:paraId="4AF32A17" w14:textId="41DF3159" w:rsidR="006575DF" w:rsidRPr="0014116C" w:rsidRDefault="00456A82">
      <w:pPr>
        <w:pStyle w:val="SCCLsocParty"/>
      </w:pPr>
      <w:r w:rsidRPr="0014116C">
        <w:t>HIV</w:t>
      </w:r>
      <w:r w:rsidR="00DD7017" w:rsidRPr="0014116C">
        <w:t xml:space="preserve"> &amp; AIDS Legal Clinic </w:t>
      </w:r>
      <w:r w:rsidR="00A853FD" w:rsidRPr="0014116C">
        <w:t>Ontario and</w:t>
      </w:r>
    </w:p>
    <w:p w14:paraId="6DA29709" w14:textId="77777777" w:rsidR="006575DF" w:rsidRPr="0014116C" w:rsidRDefault="00456A82">
      <w:pPr>
        <w:pStyle w:val="SCCLsocLastPartyInRole"/>
      </w:pPr>
      <w:r w:rsidRPr="0014116C">
        <w:t>Rainbow Railroad</w:t>
      </w:r>
      <w:r w:rsidRPr="0014116C">
        <w:rPr>
          <w:rStyle w:val="SCCLsocPartyRole"/>
        </w:rPr>
        <w:tab/>
        <w:t>Interveners</w:t>
      </w:r>
    </w:p>
    <w:p w14:paraId="26A3C910" w14:textId="70B99ED9" w:rsidR="00426659" w:rsidRPr="0014116C" w:rsidRDefault="00426659" w:rsidP="00D53A6C">
      <w:pPr>
        <w:spacing w:after="720"/>
        <w:rPr>
          <w:b/>
        </w:rPr>
      </w:pPr>
      <w:r w:rsidRPr="0014116C">
        <w:rPr>
          <w:b/>
        </w:rPr>
        <w:t xml:space="preserve">Indexed as: </w:t>
      </w:r>
      <w:r w:rsidRPr="0014116C">
        <w:rPr>
          <w:rStyle w:val="SCCAppellantForIndexChar"/>
        </w:rPr>
        <w:t>Canadian Council fo</w:t>
      </w:r>
      <w:r w:rsidR="00A62A9C" w:rsidRPr="0014116C">
        <w:rPr>
          <w:rStyle w:val="SCCAppellantForIndexChar"/>
        </w:rPr>
        <w:t>r Refugees</w:t>
      </w:r>
      <w:r w:rsidR="00AE4355" w:rsidRPr="0014116C">
        <w:rPr>
          <w:rStyle w:val="SCCAppellantForIndexChar"/>
        </w:rPr>
        <w:t xml:space="preserve"> </w:t>
      </w:r>
      <w:r w:rsidRPr="0014116C">
        <w:rPr>
          <w:b/>
          <w:i/>
        </w:rPr>
        <w:t>v.</w:t>
      </w:r>
      <w:r w:rsidRPr="0014116C">
        <w:rPr>
          <w:b/>
        </w:rPr>
        <w:t xml:space="preserve"> </w:t>
      </w:r>
      <w:r w:rsidR="00AE4355" w:rsidRPr="0014116C">
        <w:rPr>
          <w:b/>
        </w:rPr>
        <w:t>Canada (</w:t>
      </w:r>
      <w:r w:rsidRPr="0014116C">
        <w:rPr>
          <w:rStyle w:val="SCCRespondentForIndexChar"/>
        </w:rPr>
        <w:t>Citizen</w:t>
      </w:r>
      <w:r w:rsidR="00A62A9C" w:rsidRPr="0014116C">
        <w:rPr>
          <w:rStyle w:val="SCCRespondentForIndexChar"/>
        </w:rPr>
        <w:t>ship and Immigration</w:t>
      </w:r>
      <w:r w:rsidR="00AE4355" w:rsidRPr="0014116C">
        <w:rPr>
          <w:rStyle w:val="SCCRespondentForIndexChar"/>
        </w:rPr>
        <w:t>)</w:t>
      </w:r>
    </w:p>
    <w:p w14:paraId="41772DE2" w14:textId="0678A6DA" w:rsidR="00426659" w:rsidRPr="0014116C" w:rsidRDefault="00A62A9C" w:rsidP="0023265A">
      <w:pPr>
        <w:pStyle w:val="SCCSystemYear"/>
        <w:spacing w:after="720"/>
        <w:jc w:val="both"/>
      </w:pPr>
      <w:r w:rsidRPr="0014116C">
        <w:t>2023</w:t>
      </w:r>
      <w:r w:rsidR="003D0399" w:rsidRPr="0014116C">
        <w:t xml:space="preserve"> </w:t>
      </w:r>
      <w:r w:rsidR="0023265A" w:rsidRPr="0014116C">
        <w:t xml:space="preserve">SCC </w:t>
      </w:r>
      <w:r w:rsidR="00C822C9" w:rsidRPr="0014116C">
        <w:t>17</w:t>
      </w:r>
    </w:p>
    <w:p w14:paraId="611F9927" w14:textId="14A65BDE" w:rsidR="008322BD" w:rsidRPr="0014116C" w:rsidRDefault="00A62A9C" w:rsidP="0023265A">
      <w:pPr>
        <w:spacing w:after="720"/>
        <w:jc w:val="both"/>
      </w:pPr>
      <w:r w:rsidRPr="0014116C">
        <w:t xml:space="preserve">File No.: </w:t>
      </w:r>
      <w:r w:rsidR="009B57B3" w:rsidRPr="0014116C">
        <w:t>39749.</w:t>
      </w:r>
    </w:p>
    <w:p w14:paraId="6FDF5DCA" w14:textId="48EF2737" w:rsidR="008322BD" w:rsidRPr="0014116C" w:rsidRDefault="00AE4535" w:rsidP="0023265A">
      <w:pPr>
        <w:spacing w:after="720"/>
        <w:jc w:val="both"/>
      </w:pPr>
      <w:r w:rsidRPr="0014116C">
        <w:t>2022: October 6</w:t>
      </w:r>
      <w:r w:rsidR="009B57B3" w:rsidRPr="0014116C">
        <w:t xml:space="preserve">; </w:t>
      </w:r>
      <w:r w:rsidR="00B05265" w:rsidRPr="0014116C">
        <w:t>2023: June 16</w:t>
      </w:r>
      <w:r w:rsidR="009B57B3" w:rsidRPr="0014116C">
        <w:t>.</w:t>
      </w:r>
    </w:p>
    <w:p w14:paraId="6B73A00A" w14:textId="574558E8" w:rsidR="008322BD" w:rsidRPr="0014116C" w:rsidRDefault="00A86F40" w:rsidP="0023265A">
      <w:pPr>
        <w:spacing w:after="720"/>
        <w:jc w:val="both"/>
      </w:pPr>
      <w:r w:rsidRPr="0014116C">
        <w:t xml:space="preserve">Present: </w:t>
      </w:r>
      <w:r w:rsidR="009B57B3" w:rsidRPr="0014116C">
        <w:t>Wagner C.J. and Karakatsanis, Côté, Brown,</w:t>
      </w:r>
      <w:r w:rsidR="001A673F" w:rsidRPr="0014116C">
        <w:rPr>
          <w:rStyle w:val="FootnoteReference"/>
        </w:rPr>
        <w:footnoteReference w:customMarkFollows="1" w:id="1"/>
        <w:sym w:font="Symbol" w:char="F02A"/>
      </w:r>
      <w:r w:rsidR="009B57B3" w:rsidRPr="0014116C">
        <w:t xml:space="preserve"> Rowe, Martin, Kasirer, Jamal and O’Bonsawin JJ.</w:t>
      </w:r>
    </w:p>
    <w:p w14:paraId="376D7472" w14:textId="5D6398B9" w:rsidR="008322BD" w:rsidRPr="0014116C" w:rsidRDefault="00656313" w:rsidP="0023265A">
      <w:pPr>
        <w:pStyle w:val="SCCLowerCourtNameLowercase"/>
        <w:spacing w:after="720" w:line="240" w:lineRule="auto"/>
      </w:pPr>
      <w:r w:rsidRPr="0014116C">
        <w:t>o</w:t>
      </w:r>
      <w:r w:rsidR="00170592" w:rsidRPr="0014116C">
        <w:t>n</w:t>
      </w:r>
      <w:r w:rsidR="00224FC0" w:rsidRPr="0014116C">
        <w:t xml:space="preserve"> </w:t>
      </w:r>
      <w:r w:rsidRPr="0014116C">
        <w:t>a</w:t>
      </w:r>
      <w:r w:rsidR="00170592" w:rsidRPr="0014116C">
        <w:t>ppeal</w:t>
      </w:r>
      <w:r w:rsidR="00224FC0" w:rsidRPr="0014116C">
        <w:t xml:space="preserve"> </w:t>
      </w:r>
      <w:r w:rsidR="00170592" w:rsidRPr="0014116C">
        <w:t>from</w:t>
      </w:r>
      <w:r w:rsidR="009567AA" w:rsidRPr="0014116C">
        <w:t xml:space="preserve"> the</w:t>
      </w:r>
      <w:r w:rsidR="00224FC0" w:rsidRPr="0014116C">
        <w:t xml:space="preserve"> </w:t>
      </w:r>
      <w:r w:rsidR="009B57B3" w:rsidRPr="0014116C">
        <w:t>federal court of appeal</w:t>
      </w:r>
    </w:p>
    <w:p w14:paraId="534532A8" w14:textId="6A9CAE34" w:rsidR="00033637" w:rsidRPr="0014116C" w:rsidRDefault="009B57B3" w:rsidP="00871CEA">
      <w:pPr>
        <w:pStyle w:val="SCCNormalDoubleSpacing"/>
        <w:spacing w:after="480"/>
        <w:rPr>
          <w:iCs/>
          <w:szCs w:val="24"/>
        </w:rPr>
      </w:pPr>
      <w:r w:rsidRPr="0014116C">
        <w:tab/>
      </w:r>
      <w:r w:rsidR="00033637" w:rsidRPr="0014116C">
        <w:rPr>
          <w:i/>
          <w:szCs w:val="24"/>
        </w:rPr>
        <w:t>Constitutional law — Charter of Rights — Right to life, liberty and security of person — Fundamental justice — Refugee status claims of foreign nationals arriving at Canadian land ports of entry from United States ineligible to be considered in Canada pursuant to Safe Third Country Agreement — Whether provision in federal immigration and refugee protection regulations designating United States as safe third country infringes refugee claimants’ right to liberty and security of person — Canadian Cha</w:t>
      </w:r>
      <w:r w:rsidR="00871CEA" w:rsidRPr="0014116C">
        <w:rPr>
          <w:i/>
          <w:szCs w:val="24"/>
        </w:rPr>
        <w:t>rter of Rights and Freedoms, s. </w:t>
      </w:r>
      <w:r w:rsidR="00033637" w:rsidRPr="0014116C">
        <w:rPr>
          <w:i/>
          <w:szCs w:val="24"/>
        </w:rPr>
        <w:t>7 — Immigration and Refugee Protection Act, S.C. 2001, c. 27, s. 101(1)(e) — Immigration and Refugee P</w:t>
      </w:r>
      <w:r w:rsidR="00871CEA" w:rsidRPr="0014116C">
        <w:rPr>
          <w:i/>
          <w:szCs w:val="24"/>
        </w:rPr>
        <w:t>rotection Regulations, SOR/2002</w:t>
      </w:r>
      <w:r w:rsidR="00871CEA" w:rsidRPr="0014116C">
        <w:rPr>
          <w:i/>
          <w:szCs w:val="24"/>
        </w:rPr>
        <w:noBreakHyphen/>
      </w:r>
      <w:r w:rsidR="00033637" w:rsidRPr="0014116C">
        <w:rPr>
          <w:i/>
          <w:szCs w:val="24"/>
        </w:rPr>
        <w:t xml:space="preserve">227, s. 159.3 — </w:t>
      </w:r>
      <w:r w:rsidR="00033637" w:rsidRPr="0014116C">
        <w:rPr>
          <w:i/>
          <w:iCs/>
          <w:szCs w:val="24"/>
        </w:rPr>
        <w:t xml:space="preserve">Agreement between the Government of Canada and the Government of the United States of America for cooperation in the examination of refugee status claims from nationals of third countries, Can. </w:t>
      </w:r>
      <w:r w:rsidR="00871CEA" w:rsidRPr="0014116C">
        <w:rPr>
          <w:i/>
          <w:iCs/>
          <w:szCs w:val="24"/>
        </w:rPr>
        <w:t>T.S. 2004 No. </w:t>
      </w:r>
      <w:r w:rsidR="00033637" w:rsidRPr="0014116C">
        <w:rPr>
          <w:i/>
          <w:iCs/>
          <w:szCs w:val="24"/>
        </w:rPr>
        <w:t>2.</w:t>
      </w:r>
    </w:p>
    <w:p w14:paraId="20B5446E" w14:textId="27D53E48" w:rsidR="00033637" w:rsidRPr="0014116C" w:rsidRDefault="00033637" w:rsidP="00871CEA">
      <w:pPr>
        <w:pStyle w:val="SCCNormalDoubleSpacing"/>
        <w:spacing w:after="480"/>
        <w:rPr>
          <w:iCs/>
          <w:szCs w:val="24"/>
        </w:rPr>
      </w:pPr>
      <w:r w:rsidRPr="0014116C">
        <w:rPr>
          <w:i/>
          <w:szCs w:val="24"/>
        </w:rPr>
        <w:tab/>
        <w:t>Immigration — Refugee protection — Ineligibility — Refugee status claims of foreign nationals arriving at Canadian land ports of entry from United States ineligible to be considered in Canada pursuant to Safe Third Country Agreement — Whether provision in federal immigration and refugee protection regulations designating United States as safe third country is ultra vires enabling statute — Immigration and Refugee Protection Act, S.C. 2001 c. 27, s. 101(1)(e) — Immigration and Refugee Protection Regulations, S</w:t>
      </w:r>
      <w:r w:rsidR="00871CEA" w:rsidRPr="0014116C">
        <w:rPr>
          <w:i/>
          <w:szCs w:val="24"/>
        </w:rPr>
        <w:t>OR/2002</w:t>
      </w:r>
      <w:r w:rsidR="00871CEA" w:rsidRPr="0014116C">
        <w:rPr>
          <w:i/>
          <w:szCs w:val="24"/>
        </w:rPr>
        <w:noBreakHyphen/>
      </w:r>
      <w:r w:rsidRPr="0014116C">
        <w:rPr>
          <w:i/>
          <w:szCs w:val="24"/>
        </w:rPr>
        <w:t>227, s. 159.3.</w:t>
      </w:r>
    </w:p>
    <w:p w14:paraId="293CE66A" w14:textId="1636D425" w:rsidR="00033637" w:rsidRPr="0014116C" w:rsidRDefault="009B57B3" w:rsidP="00871CEA">
      <w:pPr>
        <w:pStyle w:val="SCCNormalDoubleSpacing"/>
        <w:spacing w:after="480"/>
        <w:rPr>
          <w:iCs/>
          <w:color w:val="000000"/>
          <w:szCs w:val="24"/>
        </w:rPr>
      </w:pPr>
      <w:r w:rsidRPr="0014116C">
        <w:tab/>
      </w:r>
      <w:r w:rsidR="00033637" w:rsidRPr="0014116C">
        <w:rPr>
          <w:iCs/>
          <w:color w:val="000000"/>
          <w:szCs w:val="24"/>
        </w:rPr>
        <w:t>Canada and the United States are parties to a bilateral treaty commonly known as the “</w:t>
      </w:r>
      <w:r w:rsidR="00033637" w:rsidRPr="0014116C">
        <w:rPr>
          <w:i/>
          <w:iCs/>
          <w:color w:val="000000"/>
          <w:szCs w:val="24"/>
        </w:rPr>
        <w:t>Safe Third Country Agreement</w:t>
      </w:r>
      <w:r w:rsidR="00033637" w:rsidRPr="0014116C">
        <w:rPr>
          <w:iCs/>
          <w:color w:val="000000"/>
          <w:szCs w:val="24"/>
        </w:rPr>
        <w:t xml:space="preserve">” designed to enhance their sharing of responsibility for considering refugee status claims. In essence, the treaty provides that refugee claimants must, as a general rule, seek protection in whichever of the two countries they first enter after leaving their country of origin. The </w:t>
      </w:r>
      <w:r w:rsidR="00033637" w:rsidRPr="0014116C">
        <w:rPr>
          <w:i/>
          <w:iCs/>
          <w:color w:val="000000"/>
          <w:szCs w:val="24"/>
        </w:rPr>
        <w:t>Safe Third Country Agreement</w:t>
      </w:r>
      <w:r w:rsidR="00033637" w:rsidRPr="0014116C">
        <w:rPr>
          <w:iCs/>
          <w:color w:val="000000"/>
          <w:szCs w:val="24"/>
        </w:rPr>
        <w:t xml:space="preserve"> is given effect in Canadian domestic law through the </w:t>
      </w:r>
      <w:r w:rsidR="00033637" w:rsidRPr="0014116C">
        <w:rPr>
          <w:i/>
          <w:iCs/>
          <w:color w:val="000000"/>
          <w:szCs w:val="24"/>
        </w:rPr>
        <w:t>Immigration and Refugee Protection Act</w:t>
      </w:r>
      <w:r w:rsidR="00033637" w:rsidRPr="0014116C">
        <w:rPr>
          <w:iCs/>
          <w:color w:val="000000"/>
          <w:szCs w:val="24"/>
        </w:rPr>
        <w:t xml:space="preserve"> (“</w:t>
      </w:r>
      <w:r w:rsidR="00033637" w:rsidRPr="0014116C">
        <w:rPr>
          <w:i/>
          <w:iCs/>
          <w:color w:val="000000"/>
          <w:szCs w:val="24"/>
        </w:rPr>
        <w:t>IRPA</w:t>
      </w:r>
      <w:r w:rsidR="00033637" w:rsidRPr="0014116C">
        <w:rPr>
          <w:iCs/>
          <w:color w:val="000000"/>
          <w:szCs w:val="24"/>
        </w:rPr>
        <w:t>”) and its regulations (“</w:t>
      </w:r>
      <w:r w:rsidR="00033637" w:rsidRPr="0014116C">
        <w:rPr>
          <w:i/>
          <w:iCs/>
          <w:color w:val="000000"/>
          <w:szCs w:val="24"/>
        </w:rPr>
        <w:t>IRPR</w:t>
      </w:r>
      <w:r w:rsidR="00033637" w:rsidRPr="0014116C">
        <w:rPr>
          <w:iCs/>
          <w:color w:val="000000"/>
          <w:szCs w:val="24"/>
        </w:rPr>
        <w:t xml:space="preserve">”). Under s. 101(1)(e) of the </w:t>
      </w:r>
      <w:r w:rsidR="00033637" w:rsidRPr="0014116C">
        <w:rPr>
          <w:i/>
          <w:iCs/>
          <w:color w:val="000000"/>
          <w:szCs w:val="24"/>
        </w:rPr>
        <w:t>IRPA</w:t>
      </w:r>
      <w:r w:rsidR="00033637" w:rsidRPr="0014116C">
        <w:rPr>
          <w:iCs/>
          <w:color w:val="000000"/>
          <w:szCs w:val="24"/>
        </w:rPr>
        <w:t xml:space="preserve">, refugee status claims are ineligible to be considered in Canada if the claimant came from a country designated by the </w:t>
      </w:r>
      <w:r w:rsidR="00033637" w:rsidRPr="0014116C">
        <w:rPr>
          <w:i/>
          <w:iCs/>
          <w:color w:val="000000"/>
          <w:szCs w:val="24"/>
        </w:rPr>
        <w:t>IRPR</w:t>
      </w:r>
      <w:r w:rsidR="00033637" w:rsidRPr="0014116C">
        <w:rPr>
          <w:iCs/>
          <w:color w:val="000000"/>
          <w:szCs w:val="24"/>
        </w:rPr>
        <w:t xml:space="preserve">. </w:t>
      </w:r>
      <w:r w:rsidR="00033637" w:rsidRPr="0014116C">
        <w:rPr>
          <w:iCs/>
          <w:szCs w:val="24"/>
        </w:rPr>
        <w:t>Section</w:t>
      </w:r>
      <w:r w:rsidR="00871CEA" w:rsidRPr="0014116C">
        <w:rPr>
          <w:iCs/>
          <w:szCs w:val="24"/>
        </w:rPr>
        <w:t> </w:t>
      </w:r>
      <w:r w:rsidR="00033637" w:rsidRPr="0014116C">
        <w:rPr>
          <w:iCs/>
          <w:szCs w:val="24"/>
        </w:rPr>
        <w:t xml:space="preserve">102(1)(a) of the </w:t>
      </w:r>
      <w:r w:rsidR="00033637" w:rsidRPr="0014116C">
        <w:rPr>
          <w:i/>
          <w:iCs/>
          <w:szCs w:val="24"/>
        </w:rPr>
        <w:t>IRPA</w:t>
      </w:r>
      <w:r w:rsidR="00033637" w:rsidRPr="0014116C">
        <w:rPr>
          <w:iCs/>
          <w:szCs w:val="24"/>
        </w:rPr>
        <w:t xml:space="preserve"> provides that </w:t>
      </w:r>
      <w:r w:rsidR="00033637" w:rsidRPr="0014116C">
        <w:rPr>
          <w:iCs/>
          <w:color w:val="000000"/>
          <w:szCs w:val="24"/>
        </w:rPr>
        <w:t xml:space="preserve">countries may only be so designated if they are viewed as complying with their </w:t>
      </w:r>
      <w:r w:rsidR="00871CEA" w:rsidRPr="0014116C">
        <w:rPr>
          <w:i/>
          <w:iCs/>
          <w:color w:val="000000"/>
          <w:szCs w:val="24"/>
        </w:rPr>
        <w:t>non</w:t>
      </w:r>
      <w:r w:rsidR="00871CEA" w:rsidRPr="0014116C">
        <w:rPr>
          <w:i/>
          <w:iCs/>
          <w:color w:val="000000"/>
          <w:szCs w:val="24"/>
        </w:rPr>
        <w:noBreakHyphen/>
      </w:r>
      <w:r w:rsidR="00033637" w:rsidRPr="0014116C">
        <w:rPr>
          <w:i/>
          <w:iCs/>
          <w:color w:val="000000"/>
          <w:szCs w:val="24"/>
        </w:rPr>
        <w:t>refoulement</w:t>
      </w:r>
      <w:r w:rsidR="00033637" w:rsidRPr="0014116C">
        <w:rPr>
          <w:iCs/>
          <w:color w:val="000000"/>
          <w:szCs w:val="24"/>
        </w:rPr>
        <w:t xml:space="preserve"> obligations under international law, which prohibit directly or indirectly returning a person to a place where they would face certain kinds of irreparable harm, including threats to their life or freedom, torture and cruel or degrading treatment. </w:t>
      </w:r>
      <w:r w:rsidR="00033637" w:rsidRPr="0014116C">
        <w:rPr>
          <w:iCs/>
          <w:szCs w:val="24"/>
        </w:rPr>
        <w:t xml:space="preserve">Section 102(2) lists factors for the Governor in Council to consider in designating a country, and s. 102(3) creates an obligation for the Governor in Council to ensure the continuing review of those factors with respect to each designated country. </w:t>
      </w:r>
      <w:r w:rsidR="00033637" w:rsidRPr="0014116C">
        <w:rPr>
          <w:iCs/>
          <w:color w:val="000000"/>
          <w:szCs w:val="24"/>
        </w:rPr>
        <w:t xml:space="preserve">The United States is designated under s. 159.3 of the </w:t>
      </w:r>
      <w:r w:rsidR="00033637" w:rsidRPr="0014116C">
        <w:rPr>
          <w:i/>
          <w:iCs/>
          <w:color w:val="000000"/>
          <w:szCs w:val="24"/>
        </w:rPr>
        <w:t>IRPR</w:t>
      </w:r>
      <w:r w:rsidR="00033637" w:rsidRPr="0014116C">
        <w:rPr>
          <w:iCs/>
          <w:color w:val="000000"/>
          <w:szCs w:val="24"/>
        </w:rPr>
        <w:t>.</w:t>
      </w:r>
    </w:p>
    <w:p w14:paraId="20602D80" w14:textId="4D14AA12" w:rsidR="00033637" w:rsidRPr="0014116C" w:rsidRDefault="00033637" w:rsidP="00871CEA">
      <w:pPr>
        <w:pStyle w:val="SCCNormalDoubleSpacing"/>
        <w:spacing w:after="480"/>
        <w:rPr>
          <w:iCs/>
          <w:color w:val="000000"/>
          <w:szCs w:val="24"/>
        </w:rPr>
      </w:pPr>
      <w:r w:rsidRPr="0014116C">
        <w:rPr>
          <w:iCs/>
          <w:color w:val="000000"/>
          <w:szCs w:val="24"/>
        </w:rPr>
        <w:tab/>
        <w:t xml:space="preserve">Several individuals arrived from the United States to claim refugee protection in Canada. Their claims were ineligible to be referred to the Refugee Protection Division, pursuant to s. 101(1)(e) of the </w:t>
      </w:r>
      <w:r w:rsidRPr="0014116C">
        <w:rPr>
          <w:i/>
          <w:iCs/>
          <w:color w:val="000000"/>
          <w:szCs w:val="24"/>
        </w:rPr>
        <w:t>IRPA</w:t>
      </w:r>
      <w:r w:rsidRPr="0014116C">
        <w:rPr>
          <w:iCs/>
          <w:color w:val="000000"/>
          <w:szCs w:val="24"/>
        </w:rPr>
        <w:t xml:space="preserve"> and s. 159.3 of the </w:t>
      </w:r>
      <w:r w:rsidRPr="0014116C">
        <w:rPr>
          <w:i/>
          <w:iCs/>
          <w:color w:val="000000"/>
          <w:szCs w:val="24"/>
        </w:rPr>
        <w:t>IRPR</w:t>
      </w:r>
      <w:r w:rsidRPr="0014116C">
        <w:rPr>
          <w:iCs/>
          <w:color w:val="000000"/>
          <w:szCs w:val="24"/>
        </w:rPr>
        <w:t xml:space="preserve">. </w:t>
      </w:r>
      <w:r w:rsidRPr="0014116C">
        <w:rPr>
          <w:iCs/>
          <w:szCs w:val="24"/>
        </w:rPr>
        <w:t>However, most of the individuals were not returned to the United States, as they had obtained a stay of removal or temporary resident permit. One individual was returned to the United States. That individual says American officials detained her in solitary confinement for a week pending the results of a tuberculosis test and then detained her for another three weeks in an abnormally cold facility, where individuals convicted of criminal offences were present and where her religious dietary restrictions were not respected.</w:t>
      </w:r>
    </w:p>
    <w:p w14:paraId="24BE5BCC" w14:textId="056285FB" w:rsidR="00033637" w:rsidRPr="0014116C" w:rsidRDefault="00033637" w:rsidP="00871CEA">
      <w:pPr>
        <w:pStyle w:val="SCCNormalDoubleSpacing"/>
        <w:spacing w:after="480"/>
        <w:rPr>
          <w:iCs/>
          <w:color w:val="000000"/>
          <w:szCs w:val="24"/>
        </w:rPr>
      </w:pPr>
      <w:r w:rsidRPr="0014116C">
        <w:rPr>
          <w:iCs/>
          <w:color w:val="000000"/>
          <w:szCs w:val="24"/>
        </w:rPr>
        <w:tab/>
        <w:t xml:space="preserve">The individuals whose claims were ineligible to be referred to the Refugee Protection Division, along with public interest litigants (collectively, the “applicants”), challenged the validity of s. 159.3 of the </w:t>
      </w:r>
      <w:r w:rsidRPr="0014116C">
        <w:rPr>
          <w:i/>
          <w:iCs/>
          <w:color w:val="000000"/>
          <w:szCs w:val="24"/>
        </w:rPr>
        <w:t>IRPR</w:t>
      </w:r>
      <w:r w:rsidRPr="0014116C">
        <w:rPr>
          <w:iCs/>
          <w:color w:val="000000"/>
          <w:szCs w:val="24"/>
        </w:rPr>
        <w:t xml:space="preserve"> on the basis that the designation of the United States was outside the authority granted by the </w:t>
      </w:r>
      <w:r w:rsidRPr="0014116C">
        <w:rPr>
          <w:i/>
          <w:iCs/>
          <w:color w:val="000000"/>
          <w:szCs w:val="24"/>
        </w:rPr>
        <w:t xml:space="preserve">IRPA </w:t>
      </w:r>
      <w:r w:rsidR="00871CEA" w:rsidRPr="0014116C">
        <w:rPr>
          <w:iCs/>
          <w:color w:val="000000"/>
          <w:szCs w:val="24"/>
        </w:rPr>
        <w:t>because of post</w:t>
      </w:r>
      <w:r w:rsidR="00871CEA" w:rsidRPr="0014116C">
        <w:rPr>
          <w:iCs/>
          <w:color w:val="000000"/>
          <w:szCs w:val="24"/>
        </w:rPr>
        <w:noBreakHyphen/>
      </w:r>
      <w:r w:rsidRPr="0014116C">
        <w:rPr>
          <w:iCs/>
          <w:color w:val="000000"/>
          <w:szCs w:val="24"/>
        </w:rPr>
        <w:t xml:space="preserve">promulgation constraints on the Governor in Council’s statutory authority to maintain a designation. They also argued that s. 159.3 of the </w:t>
      </w:r>
      <w:r w:rsidRPr="0014116C">
        <w:rPr>
          <w:i/>
          <w:iCs/>
          <w:color w:val="000000"/>
          <w:szCs w:val="24"/>
        </w:rPr>
        <w:t>IRPR</w:t>
      </w:r>
      <w:r w:rsidRPr="0014116C">
        <w:rPr>
          <w:iCs/>
          <w:color w:val="000000"/>
          <w:szCs w:val="24"/>
        </w:rPr>
        <w:t xml:space="preserve"> and s. 101(1)(e) of the </w:t>
      </w:r>
      <w:r w:rsidRPr="0014116C">
        <w:rPr>
          <w:i/>
          <w:iCs/>
          <w:color w:val="000000"/>
          <w:szCs w:val="24"/>
        </w:rPr>
        <w:t xml:space="preserve">IRPA </w:t>
      </w:r>
      <w:r w:rsidRPr="0014116C">
        <w:rPr>
          <w:iCs/>
          <w:color w:val="000000"/>
          <w:szCs w:val="24"/>
        </w:rPr>
        <w:t xml:space="preserve">violated the rights guaranteed by ss. 7 and 15 of the </w:t>
      </w:r>
      <w:r w:rsidRPr="0014116C">
        <w:rPr>
          <w:i/>
          <w:iCs/>
          <w:color w:val="000000"/>
          <w:szCs w:val="24"/>
        </w:rPr>
        <w:t>Charter</w:t>
      </w:r>
      <w:r w:rsidRPr="0014116C">
        <w:rPr>
          <w:iCs/>
          <w:color w:val="000000"/>
          <w:szCs w:val="24"/>
        </w:rPr>
        <w:t xml:space="preserve">, asserting that the legislative scheme results in Canadian immigration officers summarily returning claimants to the United States without considering whether that country will respect their rights under international law, including those related to detention and </w:t>
      </w:r>
      <w:r w:rsidR="00871CEA" w:rsidRPr="0014116C">
        <w:rPr>
          <w:i/>
          <w:iCs/>
          <w:color w:val="000000"/>
          <w:szCs w:val="24"/>
        </w:rPr>
        <w:t>non</w:t>
      </w:r>
      <w:r w:rsidR="00871CEA" w:rsidRPr="0014116C">
        <w:rPr>
          <w:i/>
          <w:iCs/>
          <w:color w:val="000000"/>
          <w:szCs w:val="24"/>
        </w:rPr>
        <w:noBreakHyphen/>
      </w:r>
      <w:r w:rsidRPr="0014116C">
        <w:rPr>
          <w:i/>
          <w:iCs/>
          <w:color w:val="000000"/>
          <w:szCs w:val="24"/>
        </w:rPr>
        <w:t>refoulement</w:t>
      </w:r>
      <w:r w:rsidRPr="0014116C">
        <w:rPr>
          <w:iCs/>
          <w:color w:val="000000"/>
          <w:szCs w:val="24"/>
        </w:rPr>
        <w:t>.</w:t>
      </w:r>
    </w:p>
    <w:p w14:paraId="35D461D9" w14:textId="6251160A" w:rsidR="00033637" w:rsidRPr="0014116C" w:rsidRDefault="00033637" w:rsidP="00871CEA">
      <w:pPr>
        <w:pStyle w:val="SCCNormalDoubleSpacing"/>
        <w:spacing w:after="480"/>
        <w:rPr>
          <w:iCs/>
          <w:color w:val="000000"/>
          <w:szCs w:val="24"/>
        </w:rPr>
      </w:pPr>
      <w:r w:rsidRPr="0014116C">
        <w:rPr>
          <w:iCs/>
          <w:color w:val="000000"/>
          <w:szCs w:val="24"/>
        </w:rPr>
        <w:tab/>
      </w:r>
      <w:bookmarkStart w:id="0" w:name="_Hlk137200440"/>
      <w:r w:rsidRPr="0014116C">
        <w:rPr>
          <w:iCs/>
          <w:color w:val="000000"/>
          <w:szCs w:val="24"/>
        </w:rPr>
        <w:t xml:space="preserve">The Federal Court judge rejected the </w:t>
      </w:r>
      <w:r w:rsidRPr="0014116C">
        <w:rPr>
          <w:i/>
          <w:iCs/>
          <w:color w:val="000000"/>
          <w:szCs w:val="24"/>
        </w:rPr>
        <w:t>ultra vires</w:t>
      </w:r>
      <w:r w:rsidRPr="0014116C">
        <w:rPr>
          <w:iCs/>
          <w:color w:val="000000"/>
          <w:szCs w:val="24"/>
        </w:rPr>
        <w:t xml:space="preserve"> argument because whether a regulation is within the authority delegated by a statute is assessed based on facts at the time of promulgation. </w:t>
      </w:r>
      <w:bookmarkEnd w:id="0"/>
      <w:r w:rsidRPr="0014116C">
        <w:rPr>
          <w:iCs/>
          <w:color w:val="000000"/>
          <w:szCs w:val="24"/>
        </w:rPr>
        <w:t xml:space="preserve">With respect to s. 7 of the </w:t>
      </w:r>
      <w:r w:rsidRPr="0014116C">
        <w:rPr>
          <w:i/>
          <w:iCs/>
          <w:color w:val="000000"/>
          <w:szCs w:val="24"/>
        </w:rPr>
        <w:t>Charter</w:t>
      </w:r>
      <w:r w:rsidRPr="0014116C">
        <w:rPr>
          <w:iCs/>
          <w:color w:val="000000"/>
          <w:szCs w:val="24"/>
        </w:rPr>
        <w:t xml:space="preserve">, she found the alleged violations were largely substantiated and most grave, and that deprivations of liberty and security of the person for refugee claimants arose because those returned to the United States faced risks of </w:t>
      </w:r>
      <w:r w:rsidRPr="0014116C">
        <w:rPr>
          <w:i/>
          <w:iCs/>
          <w:color w:val="000000"/>
          <w:szCs w:val="24"/>
        </w:rPr>
        <w:t>refoulement</w:t>
      </w:r>
      <w:r w:rsidRPr="0014116C">
        <w:rPr>
          <w:iCs/>
          <w:color w:val="000000"/>
          <w:szCs w:val="24"/>
        </w:rPr>
        <w:t xml:space="preserve"> as well as other harm relating to immigration detention. She concluded</w:t>
      </w:r>
      <w:r w:rsidR="00871CEA" w:rsidRPr="0014116C">
        <w:rPr>
          <w:iCs/>
          <w:color w:val="000000"/>
          <w:szCs w:val="24"/>
        </w:rPr>
        <w:t xml:space="preserve"> that s. </w:t>
      </w:r>
      <w:r w:rsidRPr="0014116C">
        <w:rPr>
          <w:iCs/>
          <w:color w:val="000000"/>
          <w:szCs w:val="24"/>
        </w:rPr>
        <w:t xml:space="preserve">7 was violated and that this breach was not justified under s. 1, and she therefore declined to rule on the s. 15 claim. She declared s. 101(1)(e) of the </w:t>
      </w:r>
      <w:r w:rsidRPr="0014116C">
        <w:rPr>
          <w:i/>
          <w:iCs/>
          <w:color w:val="000000"/>
          <w:szCs w:val="24"/>
        </w:rPr>
        <w:t>IRPA</w:t>
      </w:r>
      <w:r w:rsidRPr="0014116C">
        <w:rPr>
          <w:iCs/>
          <w:color w:val="000000"/>
          <w:szCs w:val="24"/>
        </w:rPr>
        <w:t xml:space="preserve"> and s.</w:t>
      </w:r>
      <w:r w:rsidRPr="0014116C">
        <w:rPr>
          <w:szCs w:val="24"/>
        </w:rPr>
        <w:t> </w:t>
      </w:r>
      <w:r w:rsidRPr="0014116C">
        <w:rPr>
          <w:iCs/>
          <w:color w:val="000000"/>
          <w:szCs w:val="24"/>
        </w:rPr>
        <w:t xml:space="preserve">159.3 of the </w:t>
      </w:r>
      <w:r w:rsidRPr="0014116C">
        <w:rPr>
          <w:i/>
          <w:iCs/>
          <w:color w:val="000000"/>
          <w:szCs w:val="24"/>
        </w:rPr>
        <w:t>IRPR</w:t>
      </w:r>
      <w:r w:rsidRPr="0014116C">
        <w:rPr>
          <w:iCs/>
          <w:color w:val="000000"/>
          <w:szCs w:val="24"/>
        </w:rPr>
        <w:t xml:space="preserve"> of no force or effect pursuant to s. 52 of the </w:t>
      </w:r>
      <w:r w:rsidRPr="0014116C">
        <w:rPr>
          <w:i/>
          <w:iCs/>
          <w:color w:val="000000"/>
          <w:szCs w:val="24"/>
        </w:rPr>
        <w:t>Constitution Act, 1982</w:t>
      </w:r>
      <w:r w:rsidRPr="0014116C">
        <w:rPr>
          <w:iCs/>
          <w:color w:val="000000"/>
          <w:szCs w:val="24"/>
        </w:rPr>
        <w:t>. The Court of Appeal</w:t>
      </w:r>
      <w:r w:rsidRPr="0014116C">
        <w:rPr>
          <w:szCs w:val="24"/>
        </w:rPr>
        <w:t xml:space="preserve"> allowed </w:t>
      </w:r>
      <w:r w:rsidRPr="0014116C">
        <w:rPr>
          <w:iCs/>
          <w:color w:val="000000"/>
          <w:szCs w:val="24"/>
        </w:rPr>
        <w:t xml:space="preserve">the appeal brought by the ministers, dismissed the cross-appeal of the s. 15 claim and the </w:t>
      </w:r>
      <w:r w:rsidRPr="0014116C">
        <w:rPr>
          <w:i/>
          <w:iCs/>
          <w:color w:val="000000"/>
          <w:szCs w:val="24"/>
        </w:rPr>
        <w:t>ultra vires</w:t>
      </w:r>
      <w:r w:rsidRPr="0014116C">
        <w:rPr>
          <w:iCs/>
          <w:color w:val="000000"/>
          <w:szCs w:val="24"/>
        </w:rPr>
        <w:t xml:space="preserve"> argument, and set aside the judgment of the Federal Court. The basis for these conclusions was that the causation requirements for a </w:t>
      </w:r>
      <w:r w:rsidRPr="0014116C">
        <w:rPr>
          <w:i/>
          <w:iCs/>
          <w:color w:val="000000"/>
          <w:szCs w:val="24"/>
        </w:rPr>
        <w:t>Charter</w:t>
      </w:r>
      <w:r w:rsidRPr="0014116C">
        <w:rPr>
          <w:iCs/>
          <w:color w:val="000000"/>
          <w:szCs w:val="24"/>
        </w:rPr>
        <w:t xml:space="preserve"> claim were not met because the applicants improperly targeted the legislation rather than administrative conduct.</w:t>
      </w:r>
    </w:p>
    <w:p w14:paraId="571BEFF4" w14:textId="43B4AE50" w:rsidR="008322BD" w:rsidRPr="0014116C" w:rsidRDefault="009B57B3" w:rsidP="00871CEA">
      <w:pPr>
        <w:pStyle w:val="SCCNormalDoubleSpacing"/>
        <w:spacing w:after="480"/>
      </w:pPr>
      <w:r w:rsidRPr="0014116C">
        <w:tab/>
      </w:r>
      <w:r w:rsidR="00033637" w:rsidRPr="0014116C">
        <w:rPr>
          <w:i/>
          <w:szCs w:val="24"/>
        </w:rPr>
        <w:t>Held</w:t>
      </w:r>
      <w:r w:rsidR="00033637" w:rsidRPr="0014116C">
        <w:rPr>
          <w:color w:val="000000"/>
          <w:szCs w:val="24"/>
        </w:rPr>
        <w:t>: The appeal should be allowed</w:t>
      </w:r>
      <w:r w:rsidR="00033637" w:rsidRPr="0014116C">
        <w:rPr>
          <w:szCs w:val="24"/>
        </w:rPr>
        <w:t xml:space="preserve"> in part.</w:t>
      </w:r>
    </w:p>
    <w:p w14:paraId="5794FD7C" w14:textId="00439F14" w:rsidR="00033637" w:rsidRPr="0014116C" w:rsidRDefault="009B57B3" w:rsidP="00871CEA">
      <w:pPr>
        <w:pStyle w:val="SCCNormalDoubleSpacing"/>
        <w:spacing w:after="480"/>
        <w:rPr>
          <w:szCs w:val="24"/>
        </w:rPr>
      </w:pPr>
      <w:r w:rsidRPr="0014116C">
        <w:tab/>
      </w:r>
      <w:r w:rsidR="00033637" w:rsidRPr="0014116C">
        <w:rPr>
          <w:szCs w:val="24"/>
        </w:rPr>
        <w:t xml:space="preserve">Section 159.3 of the </w:t>
      </w:r>
      <w:r w:rsidR="00033637" w:rsidRPr="0014116C">
        <w:rPr>
          <w:i/>
          <w:szCs w:val="24"/>
        </w:rPr>
        <w:t>IRPR</w:t>
      </w:r>
      <w:r w:rsidR="00033637" w:rsidRPr="0014116C">
        <w:rPr>
          <w:szCs w:val="24"/>
        </w:rPr>
        <w:t xml:space="preserve"> is not </w:t>
      </w:r>
      <w:r w:rsidR="00033637" w:rsidRPr="0014116C">
        <w:rPr>
          <w:i/>
          <w:szCs w:val="24"/>
        </w:rPr>
        <w:t>ultra vires</w:t>
      </w:r>
      <w:r w:rsidR="00033637" w:rsidRPr="0014116C">
        <w:rPr>
          <w:szCs w:val="24"/>
        </w:rPr>
        <w:t>, nor does it</w:t>
      </w:r>
      <w:r w:rsidR="00871CEA" w:rsidRPr="0014116C">
        <w:rPr>
          <w:szCs w:val="24"/>
        </w:rPr>
        <w:t xml:space="preserve"> breach s. </w:t>
      </w:r>
      <w:r w:rsidR="00033637" w:rsidRPr="0014116C">
        <w:rPr>
          <w:szCs w:val="24"/>
        </w:rPr>
        <w:t xml:space="preserve">7 of the </w:t>
      </w:r>
      <w:r w:rsidR="00033637" w:rsidRPr="0014116C">
        <w:rPr>
          <w:i/>
          <w:szCs w:val="24"/>
        </w:rPr>
        <w:t>Charter</w:t>
      </w:r>
      <w:r w:rsidR="00033637" w:rsidRPr="0014116C">
        <w:rPr>
          <w:szCs w:val="24"/>
        </w:rPr>
        <w:t xml:space="preserve">. However, the challenge based on s. 15 of the </w:t>
      </w:r>
      <w:r w:rsidR="00033637" w:rsidRPr="0014116C">
        <w:rPr>
          <w:i/>
          <w:szCs w:val="24"/>
        </w:rPr>
        <w:t>Charter</w:t>
      </w:r>
      <w:r w:rsidR="00033637" w:rsidRPr="0014116C">
        <w:rPr>
          <w:szCs w:val="24"/>
        </w:rPr>
        <w:t>, which was not decided by either court below, should be remitted to the Federal Court.</w:t>
      </w:r>
    </w:p>
    <w:p w14:paraId="09CD6A66" w14:textId="4C8B27A4" w:rsidR="00033637" w:rsidRPr="0014116C" w:rsidRDefault="00033637" w:rsidP="00871CEA">
      <w:pPr>
        <w:pStyle w:val="SCCNormalDoubleSpacing"/>
        <w:spacing w:after="480"/>
        <w:rPr>
          <w:szCs w:val="24"/>
        </w:rPr>
      </w:pPr>
      <w:r w:rsidRPr="0014116C">
        <w:rPr>
          <w:szCs w:val="24"/>
        </w:rPr>
        <w:tab/>
        <w:t xml:space="preserve">The applicants’ submission that s. 159.3 of the </w:t>
      </w:r>
      <w:r w:rsidRPr="0014116C">
        <w:rPr>
          <w:i/>
          <w:szCs w:val="24"/>
        </w:rPr>
        <w:t>IRPR</w:t>
      </w:r>
      <w:r w:rsidRPr="0014116C">
        <w:rPr>
          <w:szCs w:val="24"/>
        </w:rPr>
        <w:t xml:space="preserve"> is </w:t>
      </w:r>
      <w:r w:rsidRPr="0014116C">
        <w:rPr>
          <w:i/>
          <w:szCs w:val="24"/>
        </w:rPr>
        <w:t>ultra vires</w:t>
      </w:r>
      <w:r w:rsidRPr="0014116C">
        <w:rPr>
          <w:szCs w:val="24"/>
        </w:rPr>
        <w:t xml:space="preserve"> the </w:t>
      </w:r>
      <w:r w:rsidRPr="0014116C">
        <w:rPr>
          <w:i/>
          <w:szCs w:val="24"/>
        </w:rPr>
        <w:t>IRPA</w:t>
      </w:r>
      <w:r w:rsidRPr="0014116C">
        <w:rPr>
          <w:szCs w:val="24"/>
        </w:rPr>
        <w:t xml:space="preserve"> should be rejected. Regulations derive their validity from the statute that creates the power to promulgate a regulation, and not from the executive body by which they are made. The limits imposed by the enabling statute are therefore fundamental to determining whether a regulation is </w:t>
      </w:r>
      <w:r w:rsidRPr="0014116C">
        <w:rPr>
          <w:i/>
          <w:szCs w:val="24"/>
        </w:rPr>
        <w:t xml:space="preserve">intra vires </w:t>
      </w:r>
      <w:r w:rsidRPr="0014116C">
        <w:rPr>
          <w:szCs w:val="24"/>
        </w:rPr>
        <w:t xml:space="preserve">that statute. In the instant case, s. 102(1)(a) and (2) of the </w:t>
      </w:r>
      <w:r w:rsidRPr="0014116C">
        <w:rPr>
          <w:i/>
          <w:szCs w:val="24"/>
        </w:rPr>
        <w:t>IRPA</w:t>
      </w:r>
      <w:r w:rsidRPr="0014116C">
        <w:rPr>
          <w:szCs w:val="24"/>
        </w:rPr>
        <w:t xml:space="preserve"> establishes conditions precedent to designation for the purposes of s. 101(1)(e); these conditions must be met before, not after, a country is designated. While s. 102(3) creates an obligation for the Governor in Council to ensure the continuing review of the s. 102(2) factors, these reviews are not directed at whether the regulation exceeds the limits imposed by the statute. The s. 102(3) reviews are thus outside the scope of a challenge alleging that s. 159.3 of the </w:t>
      </w:r>
      <w:r w:rsidRPr="0014116C">
        <w:rPr>
          <w:i/>
          <w:szCs w:val="24"/>
        </w:rPr>
        <w:t>IRPR</w:t>
      </w:r>
      <w:r w:rsidRPr="0014116C">
        <w:rPr>
          <w:szCs w:val="24"/>
        </w:rPr>
        <w:t xml:space="preserve"> is </w:t>
      </w:r>
      <w:r w:rsidRPr="0014116C">
        <w:rPr>
          <w:i/>
          <w:szCs w:val="24"/>
        </w:rPr>
        <w:t>ultra vires</w:t>
      </w:r>
      <w:r w:rsidRPr="0014116C">
        <w:rPr>
          <w:szCs w:val="24"/>
        </w:rPr>
        <w:t xml:space="preserve"> the </w:t>
      </w:r>
      <w:r w:rsidRPr="0014116C">
        <w:rPr>
          <w:i/>
          <w:szCs w:val="24"/>
        </w:rPr>
        <w:t>IRPA</w:t>
      </w:r>
      <w:r w:rsidRPr="0014116C">
        <w:rPr>
          <w:szCs w:val="24"/>
        </w:rPr>
        <w:t xml:space="preserve">, although they may well be subject to other forms of challenge based on administrative law principles. Whether or not the impugned regulation is </w:t>
      </w:r>
      <w:r w:rsidRPr="0014116C">
        <w:rPr>
          <w:i/>
          <w:szCs w:val="24"/>
        </w:rPr>
        <w:t xml:space="preserve">intra vires </w:t>
      </w:r>
      <w:r w:rsidRPr="0014116C">
        <w:rPr>
          <w:szCs w:val="24"/>
        </w:rPr>
        <w:t xml:space="preserve">its enabling statute must be examined at the time of promulgation. Regulations benefit from a presumption of validity. The applicants have not shown that on the date of promulgation, the designation of the United States was not authorized by s. 102(1)(a) or (2) of the </w:t>
      </w:r>
      <w:r w:rsidRPr="0014116C">
        <w:rPr>
          <w:i/>
          <w:szCs w:val="24"/>
        </w:rPr>
        <w:t>IRPA</w:t>
      </w:r>
      <w:r w:rsidRPr="0014116C">
        <w:rPr>
          <w:szCs w:val="24"/>
        </w:rPr>
        <w:t>.</w:t>
      </w:r>
    </w:p>
    <w:p w14:paraId="28777132" w14:textId="500DEDB8" w:rsidR="00033637" w:rsidRPr="0014116C" w:rsidRDefault="00033637" w:rsidP="00871CEA">
      <w:pPr>
        <w:pStyle w:val="SCCNormalDoubleSpacing"/>
        <w:spacing w:after="480"/>
        <w:rPr>
          <w:szCs w:val="24"/>
        </w:rPr>
      </w:pPr>
      <w:r w:rsidRPr="0014116C">
        <w:rPr>
          <w:szCs w:val="24"/>
        </w:rPr>
        <w:tab/>
        <w:t xml:space="preserve">The applicants’ s. 7 </w:t>
      </w:r>
      <w:r w:rsidRPr="0014116C">
        <w:rPr>
          <w:i/>
          <w:szCs w:val="24"/>
        </w:rPr>
        <w:t>Charter</w:t>
      </w:r>
      <w:r w:rsidRPr="0014116C">
        <w:rPr>
          <w:szCs w:val="24"/>
        </w:rPr>
        <w:t xml:space="preserve"> challenge was properly constituted. The s. 159.3 designation is the legislative basis for the relevant ineligibility determinations and is thus properly subject to constitutional scrutiny. To succeed, a </w:t>
      </w:r>
      <w:r w:rsidRPr="0014116C">
        <w:rPr>
          <w:i/>
          <w:szCs w:val="24"/>
        </w:rPr>
        <w:t>Charter</w:t>
      </w:r>
      <w:r w:rsidRPr="0014116C">
        <w:rPr>
          <w:szCs w:val="24"/>
        </w:rPr>
        <w:t xml:space="preserve"> claim must show a causal link between state action and the violation of the relevant right or freedom; a sufficient causal connection must be established, which does not require that the impugned state action be the only or the dominant cause of the prejudice suffered by the claimant. As a result, the mere fact that other forms of state action may also have a causal connection to the harms alleged does not mean that a challenge to legislation is improperly constituted. </w:t>
      </w:r>
      <w:bookmarkStart w:id="1" w:name="_Hlk136767921"/>
      <w:r w:rsidRPr="0014116C">
        <w:rPr>
          <w:szCs w:val="24"/>
        </w:rPr>
        <w:t xml:space="preserve">Furthermore, </w:t>
      </w:r>
      <w:r w:rsidRPr="0014116C">
        <w:rPr>
          <w:i/>
          <w:iCs/>
          <w:szCs w:val="24"/>
        </w:rPr>
        <w:t>Charter</w:t>
      </w:r>
      <w:r w:rsidRPr="0014116C">
        <w:rPr>
          <w:szCs w:val="24"/>
        </w:rPr>
        <w:t xml:space="preserve"> challenges need not target provisions that might have served to prevent or cure the harms alleged when the provision of general application to which those other provisions relate is a cause of the mischief.</w:t>
      </w:r>
      <w:bookmarkEnd w:id="1"/>
      <w:r w:rsidRPr="0014116C">
        <w:rPr>
          <w:szCs w:val="24"/>
        </w:rPr>
        <w:t xml:space="preserve"> But when a </w:t>
      </w:r>
      <w:r w:rsidRPr="0014116C">
        <w:rPr>
          <w:i/>
          <w:iCs/>
          <w:szCs w:val="24"/>
        </w:rPr>
        <w:t>Charter</w:t>
      </w:r>
      <w:r w:rsidRPr="0014116C">
        <w:rPr>
          <w:szCs w:val="24"/>
        </w:rPr>
        <w:t xml:space="preserve"> challenge targets a provision in an interrelated legislative scheme, the potential impact of related provisions, including preventative or curative measures, must be reviewed. Courts must consider legislative provisions in their entire statutory context, irrespective of how the parties frame their challenge of a legislative scheme. In the instant case, preventative and curative provisions are both relevant in different ways to the applicants’ </w:t>
      </w:r>
      <w:r w:rsidRPr="0014116C">
        <w:rPr>
          <w:i/>
          <w:szCs w:val="24"/>
        </w:rPr>
        <w:t>Charter</w:t>
      </w:r>
      <w:r w:rsidRPr="0014116C">
        <w:rPr>
          <w:szCs w:val="24"/>
        </w:rPr>
        <w:t xml:space="preserve"> claim; however, they did not need to target the</w:t>
      </w:r>
      <w:r w:rsidR="00871CEA" w:rsidRPr="0014116C">
        <w:rPr>
          <w:szCs w:val="24"/>
        </w:rPr>
        <w:t>se provisions in addition to s. </w:t>
      </w:r>
      <w:r w:rsidRPr="0014116C">
        <w:rPr>
          <w:szCs w:val="24"/>
        </w:rPr>
        <w:t xml:space="preserve">159.3 of the </w:t>
      </w:r>
      <w:r w:rsidRPr="0014116C">
        <w:rPr>
          <w:i/>
          <w:szCs w:val="24"/>
        </w:rPr>
        <w:t>IRPR</w:t>
      </w:r>
      <w:r w:rsidRPr="0014116C">
        <w:rPr>
          <w:szCs w:val="24"/>
        </w:rPr>
        <w:t xml:space="preserve"> to constitute their challenge.</w:t>
      </w:r>
    </w:p>
    <w:p w14:paraId="093E501A" w14:textId="0263B177" w:rsidR="00033637" w:rsidRPr="0014116C" w:rsidRDefault="00033637" w:rsidP="00871CEA">
      <w:pPr>
        <w:pStyle w:val="SCCNormalDoubleSpacing"/>
        <w:spacing w:after="480"/>
        <w:rPr>
          <w:szCs w:val="24"/>
        </w:rPr>
      </w:pPr>
      <w:r w:rsidRPr="0014116C">
        <w:rPr>
          <w:szCs w:val="24"/>
        </w:rPr>
        <w:tab/>
        <w:t xml:space="preserve">It was also open to the applicants to challenge s. 159.3 of the </w:t>
      </w:r>
      <w:r w:rsidRPr="0014116C">
        <w:rPr>
          <w:i/>
          <w:iCs/>
          <w:szCs w:val="24"/>
        </w:rPr>
        <w:t>IRPR</w:t>
      </w:r>
      <w:r w:rsidRPr="0014116C">
        <w:rPr>
          <w:szCs w:val="24"/>
        </w:rPr>
        <w:t xml:space="preserve"> rather than administrative </w:t>
      </w:r>
      <w:r w:rsidR="00871CEA" w:rsidRPr="0014116C">
        <w:rPr>
          <w:szCs w:val="24"/>
        </w:rPr>
        <w:t>conduct, such as s. </w:t>
      </w:r>
      <w:r w:rsidRPr="0014116C">
        <w:rPr>
          <w:szCs w:val="24"/>
        </w:rPr>
        <w:t xml:space="preserve">102(3) reviews, and seek a declaration that the provision is of no force or effect because it is inconsistent with the </w:t>
      </w:r>
      <w:r w:rsidRPr="0014116C">
        <w:rPr>
          <w:i/>
          <w:iCs/>
          <w:szCs w:val="24"/>
        </w:rPr>
        <w:t>Charter</w:t>
      </w:r>
      <w:r w:rsidRPr="0014116C">
        <w:rPr>
          <w:szCs w:val="24"/>
        </w:rPr>
        <w:t>. The s. 102(3) reviews do not play a curative role, as they do not make</w:t>
      </w:r>
      <w:r w:rsidR="00871CEA" w:rsidRPr="0014116C">
        <w:rPr>
          <w:szCs w:val="24"/>
        </w:rPr>
        <w:t xml:space="preserve"> after</w:t>
      </w:r>
      <w:r w:rsidR="00871CEA" w:rsidRPr="0014116C">
        <w:rPr>
          <w:szCs w:val="24"/>
        </w:rPr>
        <w:noBreakHyphen/>
        <w:t>the</w:t>
      </w:r>
      <w:r w:rsidR="00871CEA" w:rsidRPr="0014116C">
        <w:rPr>
          <w:szCs w:val="24"/>
        </w:rPr>
        <w:noBreakHyphen/>
      </w:r>
      <w:r w:rsidRPr="0014116C">
        <w:rPr>
          <w:szCs w:val="24"/>
        </w:rPr>
        <w:t xml:space="preserve">fact relief available on an individual basis. They are also distinct from targeted preventative measures, which preclude the application of a general rule, often through legislative exceptions. While the administrative conduct that led to the designation being maintained may also be susceptible to constitutional challenge in its own right, the existence of this alternative does not insulate s. 159.3 of the </w:t>
      </w:r>
      <w:r w:rsidRPr="0014116C">
        <w:rPr>
          <w:i/>
          <w:szCs w:val="24"/>
        </w:rPr>
        <w:t>IRPR</w:t>
      </w:r>
      <w:r w:rsidRPr="0014116C">
        <w:rPr>
          <w:szCs w:val="24"/>
        </w:rPr>
        <w:t xml:space="preserve"> from </w:t>
      </w:r>
      <w:r w:rsidRPr="0014116C">
        <w:rPr>
          <w:i/>
          <w:szCs w:val="24"/>
        </w:rPr>
        <w:t xml:space="preserve">Charter </w:t>
      </w:r>
      <w:r w:rsidRPr="0014116C">
        <w:rPr>
          <w:szCs w:val="24"/>
        </w:rPr>
        <w:t>scrutiny. Similarly, while the applicants might have challenged administrative decisions pertaining to the applicability of exceptions or the availability of exemptions, this does not preclude challenges to s. 159.3.</w:t>
      </w:r>
    </w:p>
    <w:p w14:paraId="3693AD1E" w14:textId="719C429E" w:rsidR="00033637" w:rsidRPr="0014116C" w:rsidRDefault="00033637" w:rsidP="00871CEA">
      <w:pPr>
        <w:pStyle w:val="SCCNormalDoubleSpacing"/>
        <w:spacing w:after="480"/>
        <w:rPr>
          <w:szCs w:val="24"/>
        </w:rPr>
      </w:pPr>
      <w:r w:rsidRPr="0014116C">
        <w:rPr>
          <w:szCs w:val="24"/>
        </w:rPr>
        <w:tab/>
        <w:t xml:space="preserve">The first stage of the s. 7 analysis makes clear that s. 159.3 engages liberty and security of the person. </w:t>
      </w:r>
      <w:r w:rsidRPr="0014116C">
        <w:rPr>
          <w:szCs w:val="24"/>
          <w:lang w:val="en-US"/>
        </w:rPr>
        <w:t xml:space="preserve">Assessing the constitutional implications of effects that materialize in other countries does not amount to applying the </w:t>
      </w:r>
      <w:r w:rsidRPr="0014116C">
        <w:rPr>
          <w:i/>
          <w:iCs/>
          <w:szCs w:val="24"/>
          <w:lang w:val="en-US"/>
        </w:rPr>
        <w:t xml:space="preserve">Charter </w:t>
      </w:r>
      <w:r w:rsidRPr="0014116C">
        <w:rPr>
          <w:szCs w:val="24"/>
          <w:lang w:val="en-US"/>
        </w:rPr>
        <w:t xml:space="preserve">to foreign governments. The challenge in the instant case is directed at the legislative scheme, which is undoubtedly state action that attracts </w:t>
      </w:r>
      <w:r w:rsidRPr="0014116C">
        <w:rPr>
          <w:i/>
          <w:szCs w:val="24"/>
          <w:lang w:val="en-US"/>
        </w:rPr>
        <w:t>Charter</w:t>
      </w:r>
      <w:r w:rsidRPr="0014116C">
        <w:rPr>
          <w:szCs w:val="24"/>
          <w:lang w:val="en-US"/>
        </w:rPr>
        <w:t xml:space="preserve"> scrutiny. Whether an alleged effect of the scheme exists is a question of fact, for which the standard of review is palpable and overriding error, while the scope of a s. 7 interest is a question of law, for which the standard of review is correctness. </w:t>
      </w:r>
      <w:r w:rsidRPr="0014116C">
        <w:rPr>
          <w:szCs w:val="24"/>
        </w:rPr>
        <w:t xml:space="preserve">Although </w:t>
      </w:r>
      <w:r w:rsidRPr="0014116C">
        <w:rPr>
          <w:szCs w:val="24"/>
          <w:lang w:val="en-US"/>
        </w:rPr>
        <w:t>t</w:t>
      </w:r>
      <w:r w:rsidRPr="0014116C">
        <w:rPr>
          <w:szCs w:val="24"/>
        </w:rPr>
        <w:t xml:space="preserve">he evidence does not support the Federal Court judge’s finding that returnees face automatic detention in the United States, </w:t>
      </w:r>
      <w:r w:rsidRPr="0014116C">
        <w:rPr>
          <w:szCs w:val="24"/>
          <w:lang w:val="en-US"/>
        </w:rPr>
        <w:t>the risks of detention upon return to the United States, as well as three aspects of detention conditions as found by the Federal Court judge — the use of medical isolation, abnormally cold conditions and deficiencies in medical care — fall within the scope of liberty and security of the person.</w:t>
      </w:r>
      <w:r w:rsidRPr="0014116C">
        <w:rPr>
          <w:szCs w:val="24"/>
        </w:rPr>
        <w:t xml:space="preserve"> In addition, taking</w:t>
      </w:r>
      <w:r w:rsidR="00871CEA" w:rsidRPr="0014116C">
        <w:rPr>
          <w:szCs w:val="24"/>
        </w:rPr>
        <w:t xml:space="preserve"> the applicants’ position on s. </w:t>
      </w:r>
      <w:r w:rsidRPr="0014116C">
        <w:rPr>
          <w:szCs w:val="24"/>
        </w:rPr>
        <w:t xml:space="preserve">7 engagement at its highest, it can be assumed that the following effects occur and are within the scope of the s. 7 interests: the non-accommodation of religious dietary needs, detention in </w:t>
      </w:r>
      <w:r w:rsidR="005D506C" w:rsidRPr="0014116C">
        <w:rPr>
          <w:szCs w:val="24"/>
        </w:rPr>
        <w:t>a facility</w:t>
      </w:r>
      <w:r w:rsidRPr="0014116C">
        <w:rPr>
          <w:szCs w:val="24"/>
        </w:rPr>
        <w:t xml:space="preserve"> housing criminally convicted individuals and risks of </w:t>
      </w:r>
      <w:r w:rsidRPr="0014116C">
        <w:rPr>
          <w:i/>
          <w:szCs w:val="24"/>
        </w:rPr>
        <w:t>refoulement</w:t>
      </w:r>
      <w:r w:rsidRPr="0014116C">
        <w:rPr>
          <w:szCs w:val="24"/>
        </w:rPr>
        <w:t xml:space="preserve"> flowing from the one-year bar policy and the Un</w:t>
      </w:r>
      <w:r w:rsidR="00871CEA" w:rsidRPr="0014116C">
        <w:rPr>
          <w:szCs w:val="24"/>
        </w:rPr>
        <w:t>ited States’ approach to gender</w:t>
      </w:r>
      <w:r w:rsidR="00871CEA" w:rsidRPr="0014116C">
        <w:rPr>
          <w:szCs w:val="24"/>
        </w:rPr>
        <w:noBreakHyphen/>
      </w:r>
      <w:r w:rsidRPr="0014116C">
        <w:rPr>
          <w:szCs w:val="24"/>
        </w:rPr>
        <w:t>based claims.</w:t>
      </w:r>
    </w:p>
    <w:p w14:paraId="5A65302A" w14:textId="72939ACD" w:rsidR="00033637" w:rsidRPr="0014116C" w:rsidRDefault="00871CEA" w:rsidP="00871CEA">
      <w:pPr>
        <w:pStyle w:val="SCCNormalDoubleSpacing"/>
        <w:spacing w:after="480"/>
        <w:rPr>
          <w:szCs w:val="24"/>
        </w:rPr>
      </w:pPr>
      <w:r w:rsidRPr="0014116C">
        <w:rPr>
          <w:szCs w:val="24"/>
        </w:rPr>
        <w:tab/>
      </w:r>
      <w:r w:rsidR="00033637" w:rsidRPr="0014116C">
        <w:rPr>
          <w:szCs w:val="24"/>
        </w:rPr>
        <w:t xml:space="preserve">To establish s. 7 engagement, challengers must not only demonstrate effects falling within the scope of the s. 7 interests, but also that these effects are caused by Canadian state action. As Canada has no jurisdiction to dictate the actions of foreign authorities, drawing a causal connection to Canadian state action requires showing that Canadian authorities were implicated in how the harms arose. Accordingly, challengers will succeed in drawing a causal connection to Canadian state action at least where Canada’s participation is a necessary precondition for the deprivation. Further, as Canada cannot foresee all the actions that foreign authorities will take, it must be shown that Canadian authorities knew, or ought to have known, that the harms could arise as a result of Canada’s actions. This foreseeability threshold can be established by a reasonable inference, drawn on a balance of probabilities. What is required is a sufficient connection, having regard to the context of the case. Here, it is clear that the relevant Canadian state action — s. 159.3 of the </w:t>
      </w:r>
      <w:r w:rsidR="00033637" w:rsidRPr="0014116C">
        <w:rPr>
          <w:i/>
          <w:iCs/>
          <w:szCs w:val="24"/>
        </w:rPr>
        <w:t>IRPR</w:t>
      </w:r>
      <w:r w:rsidR="00033637" w:rsidRPr="0014116C">
        <w:rPr>
          <w:szCs w:val="24"/>
        </w:rPr>
        <w:t xml:space="preserve"> along with the broader legislative scheme — is a necessary precondition to each of the proven or presumed effects related to detention and </w:t>
      </w:r>
      <w:r w:rsidR="00033637" w:rsidRPr="0014116C">
        <w:rPr>
          <w:i/>
          <w:szCs w:val="24"/>
        </w:rPr>
        <w:t>refoulement</w:t>
      </w:r>
      <w:r w:rsidR="00033637" w:rsidRPr="0014116C">
        <w:rPr>
          <w:szCs w:val="24"/>
        </w:rPr>
        <w:t xml:space="preserve">. Without the </w:t>
      </w:r>
      <w:r w:rsidR="00033637" w:rsidRPr="0014116C">
        <w:rPr>
          <w:i/>
          <w:szCs w:val="24"/>
        </w:rPr>
        <w:t xml:space="preserve">Safe Third Country Agreement </w:t>
      </w:r>
      <w:r w:rsidR="00033637" w:rsidRPr="0014116C">
        <w:rPr>
          <w:szCs w:val="24"/>
        </w:rPr>
        <w:t xml:space="preserve">regime, individuals could advance their refugee protection claims in Canada; instead, they are sent back to the United States by Canadian officials acting under legislative authority, where they face (or are presumed to face) these effects. However, the Federal Court judge erred in her application of the foreseeability standard established by the Court in </w:t>
      </w:r>
      <w:r w:rsidR="00033637" w:rsidRPr="0014116C">
        <w:rPr>
          <w:i/>
          <w:iCs/>
        </w:rPr>
        <w:t>Suresh v. Canada (Minister of Citizenship and Immigration)</w:t>
      </w:r>
      <w:r w:rsidR="00033637" w:rsidRPr="0014116C">
        <w:t xml:space="preserve">, 2002 SCC 1, [2002] 1 S.C.R. 3, and explained in </w:t>
      </w:r>
      <w:r w:rsidR="00033637" w:rsidRPr="0014116C">
        <w:rPr>
          <w:i/>
          <w:szCs w:val="24"/>
        </w:rPr>
        <w:t>Canada (Attorney General) v. Bedford</w:t>
      </w:r>
      <w:r w:rsidR="00033637" w:rsidRPr="0014116C">
        <w:rPr>
          <w:szCs w:val="24"/>
        </w:rPr>
        <w:t>, 2013 SCC 72, [2013] 3 S.C.R. 1101. With respect to the cold temperatures in detention facilities, deficiencies in medical care, detention alongside criminally convicted individuals and the violation of religious dietary restrictions, the record does not support a finding that these effects were a foreseeable consequence of Canada’s actions. By contrast, the record substantiates that the other negative effects were entirely foreseeable, such as the risk of detention, the “one-yea</w:t>
      </w:r>
      <w:r w:rsidRPr="0014116C">
        <w:rPr>
          <w:szCs w:val="24"/>
        </w:rPr>
        <w:t>r bar”, the treatment of gender</w:t>
      </w:r>
      <w:r w:rsidRPr="0014116C">
        <w:rPr>
          <w:szCs w:val="24"/>
        </w:rPr>
        <w:noBreakHyphen/>
      </w:r>
      <w:r w:rsidR="00033637" w:rsidRPr="0014116C">
        <w:rPr>
          <w:szCs w:val="24"/>
        </w:rPr>
        <w:t>based claim and the widespread practice of medical isolation. These infringements of liberty and security of the person are causally connected to Canadian state action and must be assessed in relation to the principles of fundamental justice.</w:t>
      </w:r>
    </w:p>
    <w:p w14:paraId="76F5940B" w14:textId="13489DEF" w:rsidR="00033637" w:rsidRPr="0014116C" w:rsidRDefault="00033637" w:rsidP="00871CEA">
      <w:pPr>
        <w:pStyle w:val="SCCNormalDoubleSpacing"/>
        <w:spacing w:after="480"/>
        <w:rPr>
          <w:szCs w:val="24"/>
        </w:rPr>
      </w:pPr>
      <w:r w:rsidRPr="0014116C">
        <w:rPr>
          <w:szCs w:val="24"/>
        </w:rPr>
        <w:tab/>
        <w:t xml:space="preserve">The applicable principles of fundamental justice in the instant case are overbreadth and gross disproportionality as described by the Court in </w:t>
      </w:r>
      <w:r w:rsidRPr="0014116C">
        <w:rPr>
          <w:i/>
          <w:szCs w:val="24"/>
        </w:rPr>
        <w:t>Bedford</w:t>
      </w:r>
      <w:r w:rsidRPr="0014116C">
        <w:rPr>
          <w:szCs w:val="24"/>
        </w:rPr>
        <w:t xml:space="preserve">. The “shocks the conscience” standard may well be relevant to the review of individualized decisions, but it is not relevant to </w:t>
      </w:r>
      <w:r w:rsidRPr="0014116C">
        <w:rPr>
          <w:i/>
          <w:szCs w:val="24"/>
        </w:rPr>
        <w:t>Charter</w:t>
      </w:r>
      <w:r w:rsidRPr="0014116C">
        <w:rPr>
          <w:szCs w:val="24"/>
        </w:rPr>
        <w:t xml:space="preserve"> challenges to legislation; it is therefore not the appropriate measure here. When assessing whether legislation violates the </w:t>
      </w:r>
      <w:r w:rsidRPr="0014116C">
        <w:rPr>
          <w:i/>
          <w:szCs w:val="24"/>
        </w:rPr>
        <w:t xml:space="preserve">Bedford </w:t>
      </w:r>
      <w:r w:rsidRPr="0014116C">
        <w:rPr>
          <w:szCs w:val="24"/>
        </w:rPr>
        <w:t xml:space="preserve">principles of fundamental justice, courts must identify the legislative purpose and then assess if, in light of that purpose, the legislation breached any of the relevant principles. When a legislative objective is at issue as part of the s. 7 analysis, the focus is the purpose of the impugned provisions, although the broader legislative scheme may provide clues as to the narrower provisions’ purpose. Here, taken together, the statement of objectives of the </w:t>
      </w:r>
      <w:r w:rsidRPr="0014116C">
        <w:rPr>
          <w:i/>
          <w:iCs/>
          <w:szCs w:val="24"/>
        </w:rPr>
        <w:t>IRPA</w:t>
      </w:r>
      <w:r w:rsidRPr="0014116C">
        <w:rPr>
          <w:szCs w:val="24"/>
        </w:rPr>
        <w:t xml:space="preserve">, the text, context, and scheme of the legislation, and the extrinsic evidence suggest that the purpose of s. 159.3 of the </w:t>
      </w:r>
      <w:r w:rsidRPr="0014116C">
        <w:rPr>
          <w:i/>
          <w:szCs w:val="24"/>
        </w:rPr>
        <w:t>IRPR</w:t>
      </w:r>
      <w:r w:rsidRPr="0014116C">
        <w:rPr>
          <w:szCs w:val="24"/>
        </w:rPr>
        <w:t xml:space="preserve"> is to share responsibility for fairly considering refugee claims with the United States, in accordance with the principle of </w:t>
      </w:r>
      <w:r w:rsidR="00871CEA" w:rsidRPr="0014116C">
        <w:rPr>
          <w:i/>
          <w:iCs/>
          <w:szCs w:val="24"/>
        </w:rPr>
        <w:t>non</w:t>
      </w:r>
      <w:r w:rsidR="00871CEA" w:rsidRPr="0014116C">
        <w:rPr>
          <w:i/>
          <w:iCs/>
          <w:szCs w:val="24"/>
        </w:rPr>
        <w:noBreakHyphen/>
      </w:r>
      <w:r w:rsidRPr="0014116C">
        <w:rPr>
          <w:i/>
          <w:iCs/>
          <w:szCs w:val="24"/>
        </w:rPr>
        <w:t>refoulement</w:t>
      </w:r>
      <w:r w:rsidRPr="0014116C">
        <w:rPr>
          <w:szCs w:val="24"/>
        </w:rPr>
        <w:t xml:space="preserve">. It is in light of this purpose that the relevant s. 7 deprivations — the risk of discretionary detention and medical isolation, along with the presumed risks of </w:t>
      </w:r>
      <w:r w:rsidRPr="0014116C">
        <w:rPr>
          <w:i/>
          <w:iCs/>
          <w:szCs w:val="24"/>
        </w:rPr>
        <w:t xml:space="preserve">refoulement </w:t>
      </w:r>
      <w:r w:rsidRPr="0014116C">
        <w:rPr>
          <w:szCs w:val="24"/>
        </w:rPr>
        <w:t>— must be assessed for overbreadth and gross disproportionality.</w:t>
      </w:r>
    </w:p>
    <w:p w14:paraId="463D7390" w14:textId="2C1B1C74" w:rsidR="00033637" w:rsidRPr="0014116C" w:rsidRDefault="00033637" w:rsidP="00871CEA">
      <w:pPr>
        <w:pStyle w:val="SCCNormalDoubleSpacing"/>
        <w:spacing w:after="480"/>
        <w:rPr>
          <w:szCs w:val="24"/>
          <w:lang w:val="en-US"/>
        </w:rPr>
      </w:pPr>
      <w:r w:rsidRPr="0014116C">
        <w:rPr>
          <w:szCs w:val="24"/>
        </w:rPr>
        <w:tab/>
        <w:t xml:space="preserve">The impugned legislative scheme in the instant case is not overbroad or grossly disproportionate. </w:t>
      </w:r>
      <w:r w:rsidRPr="0014116C">
        <w:t xml:space="preserve">With respect to overbreadth, the question is whether the scheme is so broad in scope that it includes some conduct that bears no relation to its purpose. The analysis is focused not on whether Parliament has chosen the least restrictive means, but whether the chosen means infringe life, liberty or security of the person in a way that has no connection with the mischief contemplated by the legislature. </w:t>
      </w:r>
      <w:r w:rsidRPr="0014116C">
        <w:rPr>
          <w:lang w:val="en-US"/>
        </w:rPr>
        <w:t xml:space="preserve">The risk of detention in the United States, with opportunities for release and review, is related to the legislative objective. Sharing responsibility for refugee claims with another state will necessarily expose returnees to the foreign legal regime that governs refugee claimants’ presence in that country. </w:t>
      </w:r>
      <w:r w:rsidRPr="0014116C">
        <w:t xml:space="preserve">A degree of difference as between the legal schemes applicable in the two countries can be tolerated, so long as the American system is not fundamentally unfair. While the record shows that returnees face a risk of detention in the United States, it also discloses mechanisms that create opportunities for release and provide for review by administrative decision makers and courts. There is no basis to infer that these arrangements are fundamentally unfair, and thus the risk of detention that returnees face is not overbroad. Similarly, the use of medical isolation to control public health risks is not fundamentally unfair. The applicants do not point to evidence that would sustain an inference that medical isolation is being used improperly in the American immigration detention system. </w:t>
      </w:r>
      <w:r w:rsidRPr="0014116C">
        <w:rPr>
          <w:szCs w:val="24"/>
          <w:lang w:val="en-US"/>
        </w:rPr>
        <w:t>With respect to gross disproportionality, the question is whether the impugned legislation’s effects on the s. 7 interests are so grossly disproportionate to its purposes that they cannot rationally be supported. Neither a risk of detention with opportunities for release and review nor a risk of medical isolation meets this high threshold. In Canada, as in the United States, these risks are within the mutually held norms accepted by our free and democratic societies.</w:t>
      </w:r>
    </w:p>
    <w:p w14:paraId="3E874809" w14:textId="4563192E" w:rsidR="00033637" w:rsidRPr="0014116C" w:rsidRDefault="00033637" w:rsidP="00871CEA">
      <w:pPr>
        <w:pStyle w:val="SCCNormalDoubleSpacing"/>
        <w:spacing w:after="480"/>
      </w:pPr>
      <w:r w:rsidRPr="0014116C">
        <w:rPr>
          <w:szCs w:val="24"/>
          <w:lang w:val="en-US"/>
        </w:rPr>
        <w:tab/>
        <w:t xml:space="preserve">A provision mandating return to a real and not speculative risk of </w:t>
      </w:r>
      <w:r w:rsidRPr="0014116C">
        <w:rPr>
          <w:i/>
          <w:szCs w:val="24"/>
          <w:lang w:val="en-US"/>
        </w:rPr>
        <w:t>refoulement</w:t>
      </w:r>
      <w:r w:rsidRPr="0014116C">
        <w:rPr>
          <w:szCs w:val="24"/>
          <w:lang w:val="en-US"/>
        </w:rPr>
        <w:t xml:space="preserve">, however, would be overbroad as it would bear no relation to the purpose of the impugned legislation, which has respect for the </w:t>
      </w:r>
      <w:r w:rsidR="00871CEA" w:rsidRPr="0014116C">
        <w:rPr>
          <w:i/>
          <w:szCs w:val="24"/>
          <w:lang w:val="en-US"/>
        </w:rPr>
        <w:t>non</w:t>
      </w:r>
      <w:r w:rsidR="00871CEA" w:rsidRPr="0014116C">
        <w:rPr>
          <w:i/>
          <w:szCs w:val="24"/>
          <w:lang w:val="en-US"/>
        </w:rPr>
        <w:noBreakHyphen/>
      </w:r>
      <w:r w:rsidRPr="0014116C">
        <w:rPr>
          <w:i/>
          <w:szCs w:val="24"/>
          <w:lang w:val="en-US"/>
        </w:rPr>
        <w:t>refoulement</w:t>
      </w:r>
      <w:r w:rsidRPr="0014116C">
        <w:rPr>
          <w:szCs w:val="24"/>
          <w:lang w:val="en-US"/>
        </w:rPr>
        <w:t xml:space="preserve"> principle at its core. Such a provision would similarly be grossly disproportionate because it would, by definition, expose </w:t>
      </w:r>
      <w:r w:rsidRPr="0014116C">
        <w:t>individuals to risks to their life or freedom, torture or other fundamental human rights violations. However, the impugned legislation in the instant case does not simply mandate return: there are also related curative provisions that must be factored into the analysis, including administrative deferrals of removal (</w:t>
      </w:r>
      <w:r w:rsidRPr="0014116C">
        <w:rPr>
          <w:i/>
        </w:rPr>
        <w:t>IRPA</w:t>
      </w:r>
      <w:r w:rsidRPr="0014116C">
        <w:t xml:space="preserve">, s. 48(2)), temporary resident permits (s. 24), humanitarian and compassionate exemptions (s. 25.1(1)) and public policy exemptions (s. 25.2(1)). When the impugned legislative scheme contains safety valves, the question is whether these mechanisms — properly interpreted and applied — are sufficient to ensure that no deprivations contrary to the principles of fundamental justice occur. When the </w:t>
      </w:r>
      <w:r w:rsidRPr="0014116C">
        <w:rPr>
          <w:i/>
        </w:rPr>
        <w:t>IRPA</w:t>
      </w:r>
      <w:r w:rsidRPr="0014116C">
        <w:t xml:space="preserve">’s safety valves are activated, claimants can be exempted from return. If they are not returned to the United States, they do not face any risk of </w:t>
      </w:r>
      <w:r w:rsidRPr="0014116C">
        <w:rPr>
          <w:i/>
        </w:rPr>
        <w:t xml:space="preserve">refoulement </w:t>
      </w:r>
      <w:r w:rsidRPr="0014116C">
        <w:t xml:space="preserve">from the United States. The safety valves can therefore intervene to cure what might otherwise be unconstitutional effects. Moreover, these mechanisms are </w:t>
      </w:r>
      <w:r w:rsidR="005D506C" w:rsidRPr="0014116C">
        <w:t>properly</w:t>
      </w:r>
      <w:r w:rsidRPr="0014116C">
        <w:t xml:space="preserve"> considered within the principles of fundamental justice stage of s. 7 because they can be exercised in order to address the specific deprivation at issue, in this case the risk of </w:t>
      </w:r>
      <w:r w:rsidRPr="0014116C">
        <w:rPr>
          <w:i/>
        </w:rPr>
        <w:t>refoulement</w:t>
      </w:r>
      <w:r w:rsidRPr="0014116C">
        <w:t xml:space="preserve">. Properly interpreted, these mechanisms in the broader statutory scheme are sufficient to ensure that individuals are not subjected to real and not speculative risks of </w:t>
      </w:r>
      <w:r w:rsidRPr="0014116C">
        <w:rPr>
          <w:i/>
          <w:iCs/>
        </w:rPr>
        <w:t>refoulement</w:t>
      </w:r>
      <w:r w:rsidRPr="0014116C">
        <w:t xml:space="preserve">, if such risks do exist. These mechanisms must be understood in light of the discretion that Article 6 of the </w:t>
      </w:r>
      <w:r w:rsidRPr="0014116C">
        <w:rPr>
          <w:i/>
          <w:iCs/>
        </w:rPr>
        <w:t xml:space="preserve">Safe Third Country Agreement </w:t>
      </w:r>
      <w:r w:rsidRPr="0014116C">
        <w:t xml:space="preserve">preserves for Canada to consider claims when it is in its public interest to do so. The mere fact that the mechanisms predate the treaty does not make them irrelevant; when the agreement was signed, Canadian domestic law already included provisions that could facilitate individualized consideration of claimants’ circumstances. </w:t>
      </w:r>
      <w:r w:rsidRPr="0014116C">
        <w:rPr>
          <w:szCs w:val="24"/>
        </w:rPr>
        <w:t xml:space="preserve">Thus, even assuming that claimants face real and not speculative risks of </w:t>
      </w:r>
      <w:r w:rsidRPr="0014116C">
        <w:rPr>
          <w:i/>
          <w:iCs/>
          <w:szCs w:val="24"/>
        </w:rPr>
        <w:t>refoulement</w:t>
      </w:r>
      <w:r w:rsidRPr="0014116C">
        <w:rPr>
          <w:szCs w:val="24"/>
        </w:rPr>
        <w:t xml:space="preserve"> from the United States, the Canadian legislative scheme provides safety valves that guard against such risks. For that reason, the legislative scheme implementing the </w:t>
      </w:r>
      <w:r w:rsidRPr="0014116C">
        <w:rPr>
          <w:i/>
          <w:szCs w:val="24"/>
        </w:rPr>
        <w:t>Safe Third Country Agreement</w:t>
      </w:r>
      <w:r w:rsidRPr="0014116C">
        <w:rPr>
          <w:szCs w:val="24"/>
        </w:rPr>
        <w:t xml:space="preserve"> is not overbroad or grossly disproportionate and therefore accords with the principles of fundamental justice. Consequently, no breach of s. 7 of the </w:t>
      </w:r>
      <w:r w:rsidRPr="0014116C">
        <w:rPr>
          <w:i/>
          <w:szCs w:val="24"/>
        </w:rPr>
        <w:t>Charter</w:t>
      </w:r>
      <w:r w:rsidRPr="0014116C">
        <w:rPr>
          <w:szCs w:val="24"/>
        </w:rPr>
        <w:t xml:space="preserve"> has been established, and it is not necessary to undertake a s. 1 analysis.</w:t>
      </w:r>
    </w:p>
    <w:p w14:paraId="27196A64" w14:textId="51B882F4" w:rsidR="00610539" w:rsidRPr="0014116C" w:rsidRDefault="00871CEA" w:rsidP="00871CEA">
      <w:pPr>
        <w:pStyle w:val="SCCNormalDoubleSpacing"/>
        <w:spacing w:after="480"/>
      </w:pPr>
      <w:r w:rsidRPr="0014116C">
        <w:rPr>
          <w:szCs w:val="24"/>
        </w:rPr>
        <w:tab/>
        <w:t>The challenge based on s. </w:t>
      </w:r>
      <w:r w:rsidR="00033637" w:rsidRPr="0014116C">
        <w:rPr>
          <w:szCs w:val="24"/>
        </w:rPr>
        <w:t xml:space="preserve">15 of the </w:t>
      </w:r>
      <w:r w:rsidR="00033637" w:rsidRPr="0014116C">
        <w:rPr>
          <w:i/>
          <w:szCs w:val="24"/>
        </w:rPr>
        <w:t>Charter</w:t>
      </w:r>
      <w:r w:rsidR="00033637" w:rsidRPr="0014116C">
        <w:rPr>
          <w:szCs w:val="24"/>
        </w:rPr>
        <w:t xml:space="preserve"> should be sent back to the Federal Court for determination. The basis of this cla</w:t>
      </w:r>
      <w:r w:rsidRPr="0014116C">
        <w:rPr>
          <w:szCs w:val="24"/>
        </w:rPr>
        <w:t>im is that women fearing gender</w:t>
      </w:r>
      <w:r w:rsidRPr="0014116C">
        <w:rPr>
          <w:szCs w:val="24"/>
        </w:rPr>
        <w:noBreakHyphen/>
      </w:r>
      <w:r w:rsidR="00033637" w:rsidRPr="0014116C">
        <w:rPr>
          <w:szCs w:val="24"/>
        </w:rPr>
        <w:t>based persecution are adversely affected by the legislative scheme. Given the profound seriousness of the matter, the size and complexity of the record and the conflicting affidavit evidence, it would be imprudent for the Court to dispose of the equality rights claim as would a court of first instance and thus leave the losing party with no avenue of appeal. While the Federal Court judge should not be faulted for exercising judicial restraint and not deciding the s. 15 claim, a false economy has arisen due to the need to remit these issues. The principle of judicial policy underlying restraint in constitutional cases is sound, but it must be weighed against other factors, such as the possibility of an appeal and fairness to the parties. Claims based on s.</w:t>
      </w:r>
      <w:r w:rsidR="00033637" w:rsidRPr="0014116C">
        <w:t> </w:t>
      </w:r>
      <w:r w:rsidR="00033637" w:rsidRPr="0014116C">
        <w:rPr>
          <w:szCs w:val="24"/>
        </w:rPr>
        <w:t xml:space="preserve">15 are not secondary issues only to be reached after all other issues are considered. The </w:t>
      </w:r>
      <w:r w:rsidR="00033637" w:rsidRPr="0014116C">
        <w:rPr>
          <w:i/>
          <w:szCs w:val="24"/>
        </w:rPr>
        <w:t>Charter</w:t>
      </w:r>
      <w:r w:rsidR="00033637" w:rsidRPr="0014116C">
        <w:rPr>
          <w:szCs w:val="24"/>
        </w:rPr>
        <w:t xml:space="preserve"> should not be treated as if it establishes a hierarchy of rights in which s. 15 occupies a lower tier.</w:t>
      </w:r>
    </w:p>
    <w:p w14:paraId="214A0562" w14:textId="77777777" w:rsidR="007E1C47" w:rsidRPr="0014116C" w:rsidRDefault="002E6705" w:rsidP="0023265A">
      <w:pPr>
        <w:pStyle w:val="SCCNormalDoubleSpacing"/>
        <w:widowControl w:val="0"/>
        <w:spacing w:after="720" w:line="240" w:lineRule="auto"/>
        <w:rPr>
          <w:b/>
        </w:rPr>
      </w:pPr>
      <w:bookmarkStart w:id="2" w:name="_Hlk137561339"/>
      <w:r w:rsidRPr="0014116C">
        <w:rPr>
          <w:b/>
        </w:rPr>
        <w:t>Cases Cited</w:t>
      </w:r>
    </w:p>
    <w:p w14:paraId="0AA01CA1" w14:textId="718CFA8A" w:rsidR="004E2C26" w:rsidRPr="0014116C" w:rsidRDefault="002E6705" w:rsidP="0023265A">
      <w:pPr>
        <w:pStyle w:val="SCCNormalDoubleSpacing"/>
        <w:widowControl w:val="0"/>
        <w:spacing w:after="480"/>
      </w:pPr>
      <w:r w:rsidRPr="0014116C">
        <w:tab/>
      </w:r>
      <w:r w:rsidR="008F6C30" w:rsidRPr="0014116C">
        <w:rPr>
          <w:b/>
        </w:rPr>
        <w:t>Applied:</w:t>
      </w:r>
      <w:r w:rsidR="008F6C30" w:rsidRPr="0014116C">
        <w:t xml:space="preserve"> </w:t>
      </w:r>
      <w:r w:rsidR="008F6C30" w:rsidRPr="0014116C">
        <w:rPr>
          <w:i/>
          <w:iCs/>
        </w:rPr>
        <w:t>Canada (Attorney General) v. Bedford</w:t>
      </w:r>
      <w:r w:rsidR="008F6C30" w:rsidRPr="0014116C">
        <w:t xml:space="preserve">, 2013 SCC 72, [2013] 3 S.C.R. 1101; </w:t>
      </w:r>
      <w:r w:rsidR="008F6C30" w:rsidRPr="0014116C">
        <w:rPr>
          <w:i/>
          <w:iCs/>
        </w:rPr>
        <w:t>Canada (Attorney General) v. PHS Community Services Society</w:t>
      </w:r>
      <w:r w:rsidR="008F6C30" w:rsidRPr="0014116C">
        <w:t xml:space="preserve">, 2011 SCC 44, [2011] 3 S.C.R. 134; </w:t>
      </w:r>
      <w:r w:rsidR="008F6C30" w:rsidRPr="0014116C">
        <w:rPr>
          <w:i/>
          <w:iCs/>
        </w:rPr>
        <w:t>Suresh v. Canada (Minister of Citizenship and Immigration)</w:t>
      </w:r>
      <w:r w:rsidR="008F6C30" w:rsidRPr="0014116C">
        <w:t xml:space="preserve">, 2002 SCC 1, [2002] 1 S.C.R. 3; </w:t>
      </w:r>
      <w:r w:rsidR="008F6C30" w:rsidRPr="0014116C">
        <w:rPr>
          <w:b/>
        </w:rPr>
        <w:t>considered:</w:t>
      </w:r>
      <w:r w:rsidR="008F6C30" w:rsidRPr="0014116C">
        <w:t xml:space="preserve"> </w:t>
      </w:r>
      <w:r w:rsidR="008F6C30" w:rsidRPr="0014116C">
        <w:rPr>
          <w:i/>
          <w:iCs/>
        </w:rPr>
        <w:t>Febles v. Canada (Citizenship and Immigration)</w:t>
      </w:r>
      <w:r w:rsidR="008F6C30" w:rsidRPr="0014116C">
        <w:t xml:space="preserve">, 2014 SCC 68, [2014] 3 S.C.R. 431; </w:t>
      </w:r>
      <w:r w:rsidR="008F6C30" w:rsidRPr="0014116C">
        <w:rPr>
          <w:i/>
          <w:iCs/>
        </w:rPr>
        <w:t>Canadian Council for Refugees v. Canada</w:t>
      </w:r>
      <w:r w:rsidR="008F6C30" w:rsidRPr="0014116C">
        <w:t xml:space="preserve">, 2008 FCA 229, [2009] 3 F.C.R. 136; </w:t>
      </w:r>
      <w:r w:rsidR="008F6C30" w:rsidRPr="0014116C">
        <w:rPr>
          <w:i/>
          <w:iCs/>
        </w:rPr>
        <w:t>B010 v. Canada (Citizenship and Immigration)</w:t>
      </w:r>
      <w:r w:rsidR="008F6C30" w:rsidRPr="0014116C">
        <w:t xml:space="preserve">, 2015 SCC 58, [2015] 3 S.C.R. 704; </w:t>
      </w:r>
      <w:r w:rsidR="008F6C30" w:rsidRPr="0014116C">
        <w:rPr>
          <w:b/>
        </w:rPr>
        <w:t>r</w:t>
      </w:r>
      <w:r w:rsidRPr="0014116C">
        <w:rPr>
          <w:b/>
        </w:rPr>
        <w:t>eferred to:</w:t>
      </w:r>
      <w:r w:rsidR="00BD0E9E" w:rsidRPr="0014116C">
        <w:t xml:space="preserve"> </w:t>
      </w:r>
      <w:r w:rsidR="00E17771" w:rsidRPr="0014116C">
        <w:rPr>
          <w:i/>
          <w:iCs/>
        </w:rPr>
        <w:t>Tapambwa v. Canada (Citizenship and Immigration)</w:t>
      </w:r>
      <w:r w:rsidR="00E17771" w:rsidRPr="0014116C">
        <w:t xml:space="preserve">, 2019 FCA 34, [2020] 1 F.C.R. 700; </w:t>
      </w:r>
      <w:r w:rsidR="00472888" w:rsidRPr="0014116C">
        <w:rPr>
          <w:i/>
          <w:iCs/>
        </w:rPr>
        <w:t>Carter v. Canada (Attorney General)</w:t>
      </w:r>
      <w:r w:rsidR="00472888" w:rsidRPr="0014116C">
        <w:t xml:space="preserve">, 2015 SCC 5, [2015] 1 S.C.R. 331; </w:t>
      </w:r>
      <w:r w:rsidR="00662F88" w:rsidRPr="0014116C">
        <w:rPr>
          <w:i/>
          <w:iCs/>
        </w:rPr>
        <w:t>Little Sisters Book and Art Emporium v. Canada (Minister of Justice)</w:t>
      </w:r>
      <w:r w:rsidR="00662F88" w:rsidRPr="0014116C">
        <w:t xml:space="preserve">, 2000 SCC 69, [2000] 2 S.C.R. 1120; </w:t>
      </w:r>
      <w:r w:rsidR="008A7387" w:rsidRPr="0014116C">
        <w:rPr>
          <w:rStyle w:val="ui-provider"/>
          <w:i/>
          <w:iCs/>
        </w:rPr>
        <w:t>National Corn Growers Assn. v. Canada (Import Tribunal)</w:t>
      </w:r>
      <w:r w:rsidR="008A7387" w:rsidRPr="0014116C">
        <w:rPr>
          <w:rStyle w:val="ui-provider"/>
        </w:rPr>
        <w:t xml:space="preserve">, [1990] 2 S.C.R. 1324; </w:t>
      </w:r>
      <w:r w:rsidR="00CD3F88" w:rsidRPr="0014116C">
        <w:rPr>
          <w:i/>
          <w:iCs/>
        </w:rPr>
        <w:t>Kazemi Estate v. Islamic Republic of Iran</w:t>
      </w:r>
      <w:r w:rsidR="00CD3F88" w:rsidRPr="0014116C">
        <w:t xml:space="preserve">, 2014 SCC 62, [2014] 3 S.C.R. 176; </w:t>
      </w:r>
      <w:r w:rsidR="00A84AE5" w:rsidRPr="0014116C">
        <w:rPr>
          <w:i/>
          <w:iCs/>
        </w:rPr>
        <w:t>Atawnah v. Canada (Public Safety and Emergency Preparedness)</w:t>
      </w:r>
      <w:r w:rsidR="00A84AE5" w:rsidRPr="0014116C">
        <w:t xml:space="preserve">, 2016 FCA 144, [2017] 1 F.C.R. 153; </w:t>
      </w:r>
      <w:r w:rsidR="00215BB5" w:rsidRPr="0014116C">
        <w:rPr>
          <w:i/>
          <w:iCs/>
        </w:rPr>
        <w:t>Revell v. Canada (Citizenship and Immigration)</w:t>
      </w:r>
      <w:r w:rsidR="00215BB5" w:rsidRPr="0014116C">
        <w:t xml:space="preserve">, 2019 FCA 262, [2020] 2 F.C.R. 355; </w:t>
      </w:r>
      <w:r w:rsidR="003A5943" w:rsidRPr="0014116C">
        <w:rPr>
          <w:i/>
          <w:iCs/>
        </w:rPr>
        <w:t>Kanthasamy v. Canada (Citizenship and Immigration)</w:t>
      </w:r>
      <w:r w:rsidR="003A5943" w:rsidRPr="0014116C">
        <w:t xml:space="preserve">, 2015 SCC 61, [2015] 3 S.C.R. 909; </w:t>
      </w:r>
      <w:r w:rsidR="003C4E22" w:rsidRPr="0014116C">
        <w:rPr>
          <w:i/>
          <w:iCs/>
        </w:rPr>
        <w:t>Reference as to the Validity of the Regulations in relation to Chemicals</w:t>
      </w:r>
      <w:r w:rsidR="003C4E22" w:rsidRPr="0014116C">
        <w:t xml:space="preserve">, [1943] S.C.R. 1; </w:t>
      </w:r>
      <w:r w:rsidR="00CD7860" w:rsidRPr="0014116C">
        <w:rPr>
          <w:i/>
          <w:iCs/>
        </w:rPr>
        <w:t>The Zamora</w:t>
      </w:r>
      <w:r w:rsidR="00CD7860" w:rsidRPr="0014116C">
        <w:t xml:space="preserve">, [1916] 2 A.C. 77; </w:t>
      </w:r>
      <w:r w:rsidR="00DF3B8B" w:rsidRPr="0014116C">
        <w:rPr>
          <w:i/>
          <w:iCs/>
        </w:rPr>
        <w:t>Katz Group Canada I</w:t>
      </w:r>
      <w:r w:rsidR="0023265A" w:rsidRPr="0014116C">
        <w:rPr>
          <w:i/>
          <w:iCs/>
        </w:rPr>
        <w:t>nc. v. Ontario (Health and Long</w:t>
      </w:r>
      <w:r w:rsidR="0023265A" w:rsidRPr="0014116C">
        <w:rPr>
          <w:i/>
          <w:iCs/>
        </w:rPr>
        <w:noBreakHyphen/>
      </w:r>
      <w:r w:rsidR="00DF3B8B" w:rsidRPr="0014116C">
        <w:rPr>
          <w:i/>
          <w:iCs/>
        </w:rPr>
        <w:t>Term Care)</w:t>
      </w:r>
      <w:r w:rsidR="00DF3B8B" w:rsidRPr="0014116C">
        <w:t xml:space="preserve">, 2013 SCC 64, [2013] 3 S.C.R. 810; </w:t>
      </w:r>
      <w:r w:rsidR="0023265A" w:rsidRPr="0014116C">
        <w:rPr>
          <w:i/>
          <w:iCs/>
        </w:rPr>
        <w:t>R. v. Malmo</w:t>
      </w:r>
      <w:r w:rsidR="0023265A" w:rsidRPr="0014116C">
        <w:rPr>
          <w:i/>
          <w:iCs/>
        </w:rPr>
        <w:noBreakHyphen/>
      </w:r>
      <w:r w:rsidR="00E41D44" w:rsidRPr="0014116C">
        <w:rPr>
          <w:i/>
          <w:iCs/>
        </w:rPr>
        <w:t>Levine</w:t>
      </w:r>
      <w:r w:rsidR="00E41D44" w:rsidRPr="0014116C">
        <w:t xml:space="preserve">, 2003 SCC 74, [2003] 3 S.C.R. 571; </w:t>
      </w:r>
      <w:r w:rsidR="00DC014D" w:rsidRPr="0014116C">
        <w:rPr>
          <w:i/>
          <w:iCs/>
        </w:rPr>
        <w:t>Operation Dismantle Inc. v. The Queen</w:t>
      </w:r>
      <w:r w:rsidR="00DC014D" w:rsidRPr="0014116C">
        <w:t xml:space="preserve">, [1985] 1 S.C.R. 441; </w:t>
      </w:r>
      <w:r w:rsidR="005409ED" w:rsidRPr="0014116C">
        <w:rPr>
          <w:i/>
          <w:iCs/>
        </w:rPr>
        <w:t>R. v. Parker</w:t>
      </w:r>
      <w:r w:rsidR="005409ED" w:rsidRPr="0014116C">
        <w:t xml:space="preserve"> (2000), 49 O.R. (3d) 481; </w:t>
      </w:r>
      <w:r w:rsidR="00FA45AD" w:rsidRPr="0014116C">
        <w:rPr>
          <w:i/>
        </w:rPr>
        <w:t>United States of America v. Cobb</w:t>
      </w:r>
      <w:r w:rsidR="00FA45AD" w:rsidRPr="0014116C">
        <w:t xml:space="preserve">, 2001 SCC 19, [2001] 1 S.C.R. 587; </w:t>
      </w:r>
      <w:r w:rsidR="00DB603C" w:rsidRPr="0014116C">
        <w:rPr>
          <w:i/>
          <w:iCs/>
        </w:rPr>
        <w:t>Canada (Minister of Citizenship and Immigration) v. Vavilov</w:t>
      </w:r>
      <w:r w:rsidR="00DB603C" w:rsidRPr="0014116C">
        <w:t xml:space="preserve">, 2019 SCC 65, [2019] 4 S.C.R. 653; </w:t>
      </w:r>
      <w:r w:rsidR="00FD2398" w:rsidRPr="0014116C">
        <w:rPr>
          <w:i/>
          <w:iCs/>
        </w:rPr>
        <w:t>Dunsmuir v. New Brunswick</w:t>
      </w:r>
      <w:r w:rsidR="00FD2398" w:rsidRPr="0014116C">
        <w:t xml:space="preserve">, 2008 SCC 9, [2008] 1 S.C.R. 190; </w:t>
      </w:r>
      <w:r w:rsidR="00CD455A" w:rsidRPr="0014116C">
        <w:rPr>
          <w:i/>
          <w:iCs/>
        </w:rPr>
        <w:t>Chaoulli v. Quebec (Attorney General)</w:t>
      </w:r>
      <w:r w:rsidR="00CD455A" w:rsidRPr="0014116C">
        <w:t xml:space="preserve">, 2005 SCC 35, [2005] 1 S.C.R. 791; </w:t>
      </w:r>
      <w:r w:rsidR="00EA7547" w:rsidRPr="0014116C">
        <w:rPr>
          <w:i/>
          <w:iCs/>
        </w:rPr>
        <w:t>R. v. Lloyd</w:t>
      </w:r>
      <w:r w:rsidR="00EA7547" w:rsidRPr="0014116C">
        <w:t>, 2016 SCC 13, [2016] 1 S.C.R. 130</w:t>
      </w:r>
      <w:r w:rsidR="00C075D1" w:rsidRPr="0014116C">
        <w:t xml:space="preserve">; </w:t>
      </w:r>
      <w:r w:rsidR="009C4B9A" w:rsidRPr="0014116C">
        <w:rPr>
          <w:i/>
          <w:iCs/>
        </w:rPr>
        <w:t>Canada v. Schmidt</w:t>
      </w:r>
      <w:r w:rsidR="009C4B9A" w:rsidRPr="0014116C">
        <w:t xml:space="preserve">, [1987] 1 S.C.R. 500; </w:t>
      </w:r>
      <w:r w:rsidR="00AE26C8" w:rsidRPr="0014116C">
        <w:rPr>
          <w:i/>
          <w:iCs/>
        </w:rPr>
        <w:t>United States v. Burns</w:t>
      </w:r>
      <w:r w:rsidR="00AE26C8" w:rsidRPr="0014116C">
        <w:t xml:space="preserve">, 2001 SCC 7, [2001] 1 S.C.R. 283; </w:t>
      </w:r>
      <w:r w:rsidR="00085315" w:rsidRPr="0014116C">
        <w:rPr>
          <w:i/>
          <w:iCs/>
        </w:rPr>
        <w:t>India v. Badesha</w:t>
      </w:r>
      <w:r w:rsidR="00085315" w:rsidRPr="0014116C">
        <w:t xml:space="preserve">, 2017 SCC 44, [2017] 2 S.C.R. 127; </w:t>
      </w:r>
      <w:r w:rsidR="00B661F3" w:rsidRPr="0014116C">
        <w:rPr>
          <w:i/>
          <w:iCs/>
          <w:lang w:val="en-US"/>
        </w:rPr>
        <w:t>Housen v. Nikolaisen</w:t>
      </w:r>
      <w:r w:rsidR="00B661F3" w:rsidRPr="0014116C">
        <w:rPr>
          <w:lang w:val="en-US"/>
        </w:rPr>
        <w:t>, 2002 SCC 33, [2002] 2 S.C.R. 235</w:t>
      </w:r>
      <w:r w:rsidR="00B661F3" w:rsidRPr="0014116C">
        <w:t xml:space="preserve">; </w:t>
      </w:r>
      <w:r w:rsidR="00C47539" w:rsidRPr="0014116C">
        <w:rPr>
          <w:i/>
          <w:iCs/>
        </w:rPr>
        <w:t>R. v. Vaillancourt</w:t>
      </w:r>
      <w:r w:rsidR="00C47539" w:rsidRPr="0014116C">
        <w:t xml:space="preserve">, [1987] 2 S.C.R. 636; </w:t>
      </w:r>
      <w:r w:rsidR="00155F00" w:rsidRPr="0014116C">
        <w:rPr>
          <w:i/>
          <w:iCs/>
        </w:rPr>
        <w:t>R. v. Swain</w:t>
      </w:r>
      <w:r w:rsidR="00155F00" w:rsidRPr="0014116C">
        <w:t xml:space="preserve">, [1991] 1 S.C.R. 933; </w:t>
      </w:r>
      <w:r w:rsidR="007E2F2F" w:rsidRPr="0014116C">
        <w:rPr>
          <w:i/>
          <w:iCs/>
        </w:rPr>
        <w:t>Winko v. British Columbia (Forensic Psychiatric Institute)</w:t>
      </w:r>
      <w:r w:rsidR="007E2F2F" w:rsidRPr="0014116C">
        <w:t xml:space="preserve">, [1999] 2 S.C.R. 625; </w:t>
      </w:r>
      <w:r w:rsidR="00AB7043" w:rsidRPr="0014116C">
        <w:rPr>
          <w:i/>
          <w:iCs/>
        </w:rPr>
        <w:t>R. v. Demers</w:t>
      </w:r>
      <w:r w:rsidR="00AB7043" w:rsidRPr="0014116C">
        <w:t xml:space="preserve">, 2004 SCC 46, [2004] 2 S.C.R. 489; </w:t>
      </w:r>
      <w:r w:rsidR="00387A4F" w:rsidRPr="0014116C">
        <w:rPr>
          <w:i/>
          <w:iCs/>
        </w:rPr>
        <w:t>Singh v. Minister of Employment and Immigration</w:t>
      </w:r>
      <w:r w:rsidR="00387A4F" w:rsidRPr="0014116C">
        <w:t xml:space="preserve">, [1985] 1 S.C.R. 177; </w:t>
      </w:r>
      <w:r w:rsidR="0041301C" w:rsidRPr="0014116C">
        <w:rPr>
          <w:i/>
          <w:iCs/>
        </w:rPr>
        <w:t>New Brunswick (Minister of Health and Community Services) v. G. (J.)</w:t>
      </w:r>
      <w:r w:rsidR="0041301C" w:rsidRPr="0014116C">
        <w:t xml:space="preserve">, [1999] 3 S.C.R. 46; </w:t>
      </w:r>
      <w:r w:rsidR="003C3CA9" w:rsidRPr="0014116C">
        <w:rPr>
          <w:i/>
        </w:rPr>
        <w:t>Németh v. Canada (Justice)</w:t>
      </w:r>
      <w:r w:rsidR="003C3CA9" w:rsidRPr="0014116C">
        <w:t xml:space="preserve">, 2010 SCC 56, [2010] 3 S.C.R. 281; </w:t>
      </w:r>
      <w:r w:rsidR="00275A6B" w:rsidRPr="0014116C">
        <w:rPr>
          <w:i/>
          <w:iCs/>
        </w:rPr>
        <w:t>Canada (Attorney General) v. Ward</w:t>
      </w:r>
      <w:r w:rsidR="00275A6B" w:rsidRPr="0014116C">
        <w:t xml:space="preserve">, [1993] 2 S.C.R. 689; </w:t>
      </w:r>
      <w:r w:rsidR="00EC492D" w:rsidRPr="0014116C">
        <w:rPr>
          <w:i/>
          <w:iCs/>
        </w:rPr>
        <w:t>Minister of Employment and Immigration v. Satiacum</w:t>
      </w:r>
      <w:r w:rsidR="00EC492D" w:rsidRPr="0014116C">
        <w:t xml:space="preserve"> (1989), 99 N.R. 171</w:t>
      </w:r>
      <w:r w:rsidR="00401D7C" w:rsidRPr="0014116C">
        <w:t xml:space="preserve">; </w:t>
      </w:r>
      <w:r w:rsidR="00401D7C" w:rsidRPr="0014116C">
        <w:rPr>
          <w:i/>
        </w:rPr>
        <w:t>Van de Perre v. Edwards</w:t>
      </w:r>
      <w:r w:rsidR="00401D7C" w:rsidRPr="0014116C">
        <w:t>, 2001 SCC 60, [2001] 2 S.C.R. 1014</w:t>
      </w:r>
      <w:r w:rsidR="00EC492D" w:rsidRPr="0014116C">
        <w:t xml:space="preserve">; </w:t>
      </w:r>
      <w:r w:rsidR="00534BC3" w:rsidRPr="0014116C">
        <w:rPr>
          <w:i/>
          <w:iCs/>
        </w:rPr>
        <w:t>Canadian Council for Refugees v. Canada</w:t>
      </w:r>
      <w:r w:rsidR="00534BC3" w:rsidRPr="0014116C">
        <w:t xml:space="preserve">, 2007 FC 1262, [2008] 3 F.C.R. 606; </w:t>
      </w:r>
      <w:r w:rsidR="00180C70" w:rsidRPr="0014116C">
        <w:rPr>
          <w:i/>
          <w:iCs/>
        </w:rPr>
        <w:t>R. v. Find</w:t>
      </w:r>
      <w:r w:rsidR="00180C70" w:rsidRPr="0014116C">
        <w:t xml:space="preserve">, 2001 SCC 32, [2001] 1 S.C.R. 863; </w:t>
      </w:r>
      <w:r w:rsidR="00261CEE" w:rsidRPr="0014116C">
        <w:rPr>
          <w:i/>
          <w:iCs/>
        </w:rPr>
        <w:t>Kindler v. Canada (Minister of Justice)</w:t>
      </w:r>
      <w:r w:rsidR="00261CEE" w:rsidRPr="0014116C">
        <w:t xml:space="preserve">, [1991] 2 S.C.R. 779; </w:t>
      </w:r>
      <w:r w:rsidR="00DA7CF8" w:rsidRPr="0014116C">
        <w:rPr>
          <w:i/>
          <w:iCs/>
        </w:rPr>
        <w:t>Lake v. Canada (Minister of Justice)</w:t>
      </w:r>
      <w:r w:rsidR="00DA7CF8" w:rsidRPr="0014116C">
        <w:t xml:space="preserve">, 2008 SCC 23, [2008] 1 S.C.R. 761; </w:t>
      </w:r>
      <w:r w:rsidR="0049029A" w:rsidRPr="0014116C">
        <w:rPr>
          <w:i/>
          <w:iCs/>
        </w:rPr>
        <w:t>Canada (Attorney General) v. Barnaby</w:t>
      </w:r>
      <w:r w:rsidR="0049029A" w:rsidRPr="0014116C">
        <w:t xml:space="preserve">, 2015 SCC 31, [2015] 2 S.C.R. 563; </w:t>
      </w:r>
      <w:r w:rsidR="004D6CC7" w:rsidRPr="0014116C">
        <w:rPr>
          <w:i/>
        </w:rPr>
        <w:t>R. v. Hills</w:t>
      </w:r>
      <w:r w:rsidR="004D6CC7" w:rsidRPr="0014116C">
        <w:t xml:space="preserve">, 2023 SCC 2; </w:t>
      </w:r>
      <w:r w:rsidR="009A04BF" w:rsidRPr="0014116C">
        <w:rPr>
          <w:i/>
          <w:iCs/>
        </w:rPr>
        <w:t>RJR-MacDonald Inc. v. Canada (Attorney General)</w:t>
      </w:r>
      <w:r w:rsidR="009A04BF" w:rsidRPr="0014116C">
        <w:t xml:space="preserve">, [1995] 3 S.C.R. 199; </w:t>
      </w:r>
      <w:r w:rsidR="00AA01DF" w:rsidRPr="0014116C">
        <w:rPr>
          <w:i/>
          <w:iCs/>
          <w:bdr w:val="none" w:sz="0" w:space="0" w:color="auto" w:frame="1"/>
        </w:rPr>
        <w:t>R. v. Ndhlovu</w:t>
      </w:r>
      <w:r w:rsidR="00AA01DF" w:rsidRPr="0014116C">
        <w:rPr>
          <w:bdr w:val="none" w:sz="0" w:space="0" w:color="auto" w:frame="1"/>
        </w:rPr>
        <w:t>,</w:t>
      </w:r>
      <w:r w:rsidR="00AA01DF" w:rsidRPr="0014116C">
        <w:rPr>
          <w:i/>
          <w:iCs/>
          <w:bdr w:val="none" w:sz="0" w:space="0" w:color="auto" w:frame="1"/>
        </w:rPr>
        <w:t xml:space="preserve"> </w:t>
      </w:r>
      <w:r w:rsidR="00AA01DF" w:rsidRPr="0014116C">
        <w:rPr>
          <w:bdr w:val="none" w:sz="0" w:space="0" w:color="auto" w:frame="1"/>
        </w:rPr>
        <w:t xml:space="preserve">2022 SCC 38; </w:t>
      </w:r>
      <w:r w:rsidR="00A02326" w:rsidRPr="0014116C">
        <w:rPr>
          <w:i/>
          <w:iCs/>
          <w:bdr w:val="none" w:sz="0" w:space="0" w:color="auto" w:frame="1"/>
        </w:rPr>
        <w:t>R. v. Appulonappa</w:t>
      </w:r>
      <w:r w:rsidR="00A02326" w:rsidRPr="0014116C">
        <w:rPr>
          <w:bdr w:val="none" w:sz="0" w:space="0" w:color="auto" w:frame="1"/>
        </w:rPr>
        <w:t xml:space="preserve">, 2015 SCC 59, [2015] 3 S.C.R. 754; </w:t>
      </w:r>
      <w:r w:rsidR="00073B9E" w:rsidRPr="0014116C">
        <w:rPr>
          <w:i/>
          <w:iCs/>
        </w:rPr>
        <w:t>Hollis v. Dow Corning Corp.</w:t>
      </w:r>
      <w:r w:rsidR="00073B9E" w:rsidRPr="0014116C">
        <w:t xml:space="preserve">, [1995] 4 S.C.R. 634; </w:t>
      </w:r>
      <w:r w:rsidR="00893E07" w:rsidRPr="0014116C">
        <w:rPr>
          <w:i/>
          <w:iCs/>
        </w:rPr>
        <w:t>R. v. Morgentaler</w:t>
      </w:r>
      <w:r w:rsidR="00893E07" w:rsidRPr="0014116C">
        <w:t xml:space="preserve">, [1988] 1 S.C.R. 30; </w:t>
      </w:r>
      <w:r w:rsidR="00985FBF" w:rsidRPr="0014116C">
        <w:rPr>
          <w:i/>
        </w:rPr>
        <w:t>R.</w:t>
      </w:r>
      <w:r w:rsidR="00985FBF" w:rsidRPr="0014116C">
        <w:rPr>
          <w:i/>
          <w:iCs/>
          <w:color w:val="000000"/>
        </w:rPr>
        <w:t xml:space="preserve"> (Yogathas)</w:t>
      </w:r>
      <w:r w:rsidR="00985FBF" w:rsidRPr="0014116C">
        <w:rPr>
          <w:i/>
        </w:rPr>
        <w:t xml:space="preserve"> v. Secretary of State for the Home Department</w:t>
      </w:r>
      <w:r w:rsidR="00985FBF" w:rsidRPr="0014116C">
        <w:t xml:space="preserve">, [2002] UKHL 36, [2003] 1 A.C. 920; </w:t>
      </w:r>
      <w:r w:rsidR="00EC0381" w:rsidRPr="0014116C">
        <w:rPr>
          <w:i/>
        </w:rPr>
        <w:t>R. v. Secretary of State for the Home Department, Ex p. Bugdaycay</w:t>
      </w:r>
      <w:r w:rsidR="00EC0381" w:rsidRPr="0014116C">
        <w:t>, [1987] A.C. 514;</w:t>
      </w:r>
      <w:r w:rsidR="00E111A3" w:rsidRPr="0014116C">
        <w:t xml:space="preserve"> </w:t>
      </w:r>
      <w:r w:rsidR="00E111A3" w:rsidRPr="0014116C">
        <w:rPr>
          <w:i/>
        </w:rPr>
        <w:t>R. v. Oakes</w:t>
      </w:r>
      <w:r w:rsidR="00E111A3" w:rsidRPr="0014116C">
        <w:t>, [1986] 1 S.C.R. 103;</w:t>
      </w:r>
      <w:r w:rsidR="00EC0381" w:rsidRPr="0014116C">
        <w:t xml:space="preserve"> </w:t>
      </w:r>
      <w:r w:rsidR="0099597A" w:rsidRPr="0014116C">
        <w:rPr>
          <w:i/>
          <w:iCs/>
        </w:rPr>
        <w:t>Matter of A</w:t>
      </w:r>
      <w:r w:rsidR="00F40376" w:rsidRPr="0014116C">
        <w:rPr>
          <w:i/>
          <w:iCs/>
        </w:rPr>
        <w:noBreakHyphen/>
      </w:r>
      <w:r w:rsidR="0099597A" w:rsidRPr="0014116C">
        <w:rPr>
          <w:i/>
          <w:iCs/>
        </w:rPr>
        <w:t>B</w:t>
      </w:r>
      <w:r w:rsidR="00F40376" w:rsidRPr="0014116C">
        <w:rPr>
          <w:i/>
          <w:iCs/>
        </w:rPr>
        <w:noBreakHyphen/>
      </w:r>
      <w:r w:rsidR="0099597A" w:rsidRPr="0014116C">
        <w:t xml:space="preserve">, 27 I. &amp; N. Dec. 316 (A.G. 2018); </w:t>
      </w:r>
      <w:r w:rsidR="004917FD" w:rsidRPr="0014116C">
        <w:rPr>
          <w:i/>
          <w:iCs/>
        </w:rPr>
        <w:t>Wells v. Newfoundland</w:t>
      </w:r>
      <w:r w:rsidR="004917FD" w:rsidRPr="0014116C">
        <w:t xml:space="preserve">, [1999] 3 S.C.R. 199; </w:t>
      </w:r>
      <w:r w:rsidR="008B5F9E" w:rsidRPr="0014116C">
        <w:rPr>
          <w:i/>
          <w:iCs/>
        </w:rPr>
        <w:t>Saadati v. Moorhead</w:t>
      </w:r>
      <w:r w:rsidR="008B5F9E" w:rsidRPr="0014116C">
        <w:t xml:space="preserve">, 2017 SCC 28, [2017] 1 S.C.R. 543; </w:t>
      </w:r>
      <w:r w:rsidR="0071623B" w:rsidRPr="0014116C">
        <w:rPr>
          <w:i/>
          <w:iCs/>
        </w:rPr>
        <w:t>R. v. Esseghaier</w:t>
      </w:r>
      <w:r w:rsidR="0071623B" w:rsidRPr="0014116C">
        <w:t xml:space="preserve">, 2021 SCC 9; </w:t>
      </w:r>
      <w:r w:rsidR="00866159" w:rsidRPr="0014116C">
        <w:rPr>
          <w:i/>
          <w:iCs/>
        </w:rPr>
        <w:t>Meyer v. General Exchange Insurance Corp.</w:t>
      </w:r>
      <w:r w:rsidR="00866159" w:rsidRPr="0014116C">
        <w:t xml:space="preserve">, [1962] S.C.R. 193; </w:t>
      </w:r>
      <w:r w:rsidR="0053659F" w:rsidRPr="0014116C">
        <w:rPr>
          <w:i/>
          <w:iCs/>
        </w:rPr>
        <w:t>Phillips v. Nova Scotia (Commission of Inquiry into the Westray Mine Tragedy)</w:t>
      </w:r>
      <w:r w:rsidR="0053659F" w:rsidRPr="0014116C">
        <w:t>, [1995] 2 S.C.R. 97</w:t>
      </w:r>
      <w:r w:rsidR="003E0303" w:rsidRPr="0014116C">
        <w:t xml:space="preserve">; </w:t>
      </w:r>
      <w:r w:rsidR="003E0303" w:rsidRPr="0014116C">
        <w:rPr>
          <w:i/>
        </w:rPr>
        <w:t>Anderson v. Bessemer City</w:t>
      </w:r>
      <w:r w:rsidR="003E0303" w:rsidRPr="0014116C">
        <w:t>, 470 U.S. 564 (1985)</w:t>
      </w:r>
      <w:r w:rsidR="007226D6" w:rsidRPr="0014116C">
        <w:t>.</w:t>
      </w:r>
    </w:p>
    <w:bookmarkEnd w:id="2"/>
    <w:p w14:paraId="5E15C61C" w14:textId="77777777" w:rsidR="003B215F" w:rsidRPr="0014116C" w:rsidRDefault="002E6705" w:rsidP="0023265A">
      <w:pPr>
        <w:pStyle w:val="SCCNormalDoubleSpacing"/>
        <w:spacing w:after="720" w:line="240" w:lineRule="auto"/>
      </w:pPr>
      <w:r w:rsidRPr="0014116C">
        <w:rPr>
          <w:b/>
        </w:rPr>
        <w:t>Statutes and Regulations Cite</w:t>
      </w:r>
      <w:r w:rsidR="00A41805" w:rsidRPr="0014116C">
        <w:rPr>
          <w:b/>
        </w:rPr>
        <w:t>d</w:t>
      </w:r>
    </w:p>
    <w:p w14:paraId="6FE09D5C" w14:textId="13A67AB1" w:rsidR="005357C9" w:rsidRPr="0014116C" w:rsidRDefault="005357C9" w:rsidP="0023265A">
      <w:pPr>
        <w:pStyle w:val="SCCNormalDoubleSpacing"/>
        <w:spacing w:after="240" w:line="240" w:lineRule="auto"/>
        <w:ind w:left="547" w:hanging="547"/>
      </w:pPr>
      <w:r w:rsidRPr="0014116C">
        <w:rPr>
          <w:i/>
          <w:iCs/>
        </w:rPr>
        <w:t>Canadian Charter of Rights and Freedoms</w:t>
      </w:r>
      <w:r w:rsidRPr="0014116C">
        <w:rPr>
          <w:iCs/>
        </w:rPr>
        <w:t xml:space="preserve">, </w:t>
      </w:r>
      <w:r w:rsidRPr="0014116C">
        <w:t>ss. </w:t>
      </w:r>
      <w:r w:rsidR="00443544" w:rsidRPr="0014116C">
        <w:t xml:space="preserve">1, </w:t>
      </w:r>
      <w:r w:rsidR="006C254E" w:rsidRPr="0014116C">
        <w:t>7</w:t>
      </w:r>
      <w:r w:rsidR="001D0281" w:rsidRPr="0014116C">
        <w:t>, 12</w:t>
      </w:r>
      <w:r w:rsidR="006C254E" w:rsidRPr="0014116C">
        <w:t xml:space="preserve">, </w:t>
      </w:r>
      <w:r w:rsidRPr="0014116C">
        <w:t>15.</w:t>
      </w:r>
    </w:p>
    <w:p w14:paraId="6484817B" w14:textId="53C52485" w:rsidR="00FE03D3" w:rsidRPr="0014116C" w:rsidRDefault="00FE03D3" w:rsidP="0023265A">
      <w:pPr>
        <w:pStyle w:val="SCCNormalDoubleSpacing"/>
        <w:spacing w:after="240" w:line="240" w:lineRule="auto"/>
        <w:ind w:left="547" w:hanging="547"/>
      </w:pPr>
      <w:r w:rsidRPr="0014116C">
        <w:rPr>
          <w:i/>
          <w:iCs/>
        </w:rPr>
        <w:t>Constitution Act, 1982</w:t>
      </w:r>
      <w:r w:rsidRPr="0014116C">
        <w:rPr>
          <w:iCs/>
        </w:rPr>
        <w:t xml:space="preserve">, </w:t>
      </w:r>
      <w:r w:rsidRPr="0014116C">
        <w:t>s. 52.</w:t>
      </w:r>
    </w:p>
    <w:p w14:paraId="2943BDC2" w14:textId="277A536F" w:rsidR="00EC2EE2" w:rsidRPr="0014116C" w:rsidRDefault="00EC2EE2" w:rsidP="0023265A">
      <w:pPr>
        <w:pStyle w:val="SCCNormalDoubleSpacing"/>
        <w:spacing w:after="240" w:line="240" w:lineRule="auto"/>
        <w:ind w:left="547" w:hanging="547"/>
        <w:rPr>
          <w:iCs/>
        </w:rPr>
      </w:pPr>
      <w:r w:rsidRPr="0014116C">
        <w:rPr>
          <w:i/>
        </w:rPr>
        <w:t>Controlled Drugs and Substances Act</w:t>
      </w:r>
      <w:r w:rsidR="0023265A" w:rsidRPr="0014116C">
        <w:t>, S.C. 1996, c. </w:t>
      </w:r>
      <w:r w:rsidRPr="0014116C">
        <w:t xml:space="preserve">19, </w:t>
      </w:r>
      <w:r w:rsidR="0023265A" w:rsidRPr="0014116C">
        <w:t>s. </w:t>
      </w:r>
      <w:r w:rsidRPr="0014116C">
        <w:t>56.</w:t>
      </w:r>
    </w:p>
    <w:p w14:paraId="7D76850B" w14:textId="4C7D891D" w:rsidR="003A05E7" w:rsidRPr="0014116C" w:rsidRDefault="003A05E7" w:rsidP="0023265A">
      <w:pPr>
        <w:pStyle w:val="SCCNormalDoubleSpacing"/>
        <w:spacing w:after="240" w:line="240" w:lineRule="auto"/>
        <w:ind w:left="547" w:hanging="547"/>
        <w:rPr>
          <w:iCs/>
        </w:rPr>
      </w:pPr>
      <w:r w:rsidRPr="0014116C">
        <w:rPr>
          <w:i/>
        </w:rPr>
        <w:t>Federal Courts Rules</w:t>
      </w:r>
      <w:r w:rsidR="0023265A" w:rsidRPr="0014116C">
        <w:t>, SOR/98</w:t>
      </w:r>
      <w:r w:rsidR="0023265A" w:rsidRPr="0014116C">
        <w:noBreakHyphen/>
      </w:r>
      <w:r w:rsidRPr="0014116C">
        <w:t>106, r. 373.</w:t>
      </w:r>
    </w:p>
    <w:p w14:paraId="2674FDEF" w14:textId="734D9A98" w:rsidR="00A149DF" w:rsidRPr="0014116C" w:rsidRDefault="000009F7" w:rsidP="0023265A">
      <w:pPr>
        <w:pStyle w:val="SCCNormalDoubleSpacing"/>
        <w:spacing w:after="240" w:line="240" w:lineRule="auto"/>
        <w:ind w:left="547" w:hanging="547"/>
      </w:pPr>
      <w:r w:rsidRPr="0014116C">
        <w:rPr>
          <w:i/>
          <w:iCs/>
        </w:rPr>
        <w:t>Immigration and Refugee Protection Act</w:t>
      </w:r>
      <w:r w:rsidRPr="0014116C">
        <w:t>, S.C. 2001,</w:t>
      </w:r>
      <w:r w:rsidR="0023265A" w:rsidRPr="0014116C">
        <w:t xml:space="preserve"> c. </w:t>
      </w:r>
      <w:r w:rsidRPr="0014116C">
        <w:t>27</w:t>
      </w:r>
      <w:r w:rsidR="00E24351" w:rsidRPr="0014116C">
        <w:t>, ss. </w:t>
      </w:r>
      <w:r w:rsidR="008D7C63" w:rsidRPr="0014116C">
        <w:t xml:space="preserve">3(2), </w:t>
      </w:r>
      <w:r w:rsidR="00796326" w:rsidRPr="0014116C">
        <w:t xml:space="preserve">24, </w:t>
      </w:r>
      <w:r w:rsidR="0085496B" w:rsidRPr="0014116C">
        <w:t>25.1</w:t>
      </w:r>
      <w:r w:rsidR="00005FDE" w:rsidRPr="0014116C">
        <w:t>, 25.2</w:t>
      </w:r>
      <w:r w:rsidR="00B530D0" w:rsidRPr="0014116C">
        <w:t>, 48(2)</w:t>
      </w:r>
      <w:r w:rsidR="0085496B" w:rsidRPr="0014116C">
        <w:t xml:space="preserve">, </w:t>
      </w:r>
      <w:r w:rsidR="00EB72F2" w:rsidRPr="0014116C">
        <w:t xml:space="preserve">72, </w:t>
      </w:r>
      <w:r w:rsidR="00E24351" w:rsidRPr="0014116C">
        <w:t>101(1)(e)</w:t>
      </w:r>
      <w:r w:rsidR="0051105C" w:rsidRPr="0014116C">
        <w:t>, 102</w:t>
      </w:r>
      <w:r w:rsidR="00FD61B6" w:rsidRPr="0014116C">
        <w:t>, 112(2)(b)</w:t>
      </w:r>
      <w:r w:rsidRPr="0014116C">
        <w:t>.</w:t>
      </w:r>
    </w:p>
    <w:p w14:paraId="7F057324" w14:textId="7CE4D165" w:rsidR="00FE4232" w:rsidRPr="0014116C" w:rsidRDefault="00FE4232" w:rsidP="0023265A">
      <w:pPr>
        <w:pStyle w:val="SCCNormalDoubleSpacing"/>
        <w:spacing w:after="240" w:line="240" w:lineRule="auto"/>
        <w:ind w:left="547" w:hanging="547"/>
      </w:pPr>
      <w:r w:rsidRPr="0014116C">
        <w:rPr>
          <w:i/>
          <w:iCs/>
        </w:rPr>
        <w:t>Immigration and Refugee Protection Regulations</w:t>
      </w:r>
      <w:r w:rsidR="0023265A" w:rsidRPr="0014116C">
        <w:t>, SOR/2002</w:t>
      </w:r>
      <w:r w:rsidR="0023265A" w:rsidRPr="0014116C">
        <w:noBreakHyphen/>
      </w:r>
      <w:r w:rsidRPr="0014116C">
        <w:t>227, ss. </w:t>
      </w:r>
      <w:r w:rsidR="00C821C1" w:rsidRPr="0014116C">
        <w:t xml:space="preserve">159.1, </w:t>
      </w:r>
      <w:r w:rsidRPr="0014116C">
        <w:t>159.3</w:t>
      </w:r>
      <w:r w:rsidR="00D95E4B" w:rsidRPr="0014116C">
        <w:t>, 159.4</w:t>
      </w:r>
      <w:r w:rsidR="00DA7AA8" w:rsidRPr="0014116C">
        <w:t>, 159.5</w:t>
      </w:r>
      <w:r w:rsidR="00A37DE7" w:rsidRPr="0014116C">
        <w:t>, 159.6</w:t>
      </w:r>
      <w:r w:rsidR="00E027C9" w:rsidRPr="0014116C">
        <w:t>, 233</w:t>
      </w:r>
      <w:r w:rsidRPr="0014116C">
        <w:t>.</w:t>
      </w:r>
    </w:p>
    <w:p w14:paraId="7081817E" w14:textId="6182D54A" w:rsidR="00D049D1" w:rsidRPr="0014116C" w:rsidRDefault="00D049D1" w:rsidP="0023265A">
      <w:pPr>
        <w:pStyle w:val="SCCNormalDoubleSpacing"/>
        <w:spacing w:after="240" w:line="240" w:lineRule="auto"/>
        <w:ind w:left="547" w:hanging="547"/>
      </w:pPr>
      <w:r w:rsidRPr="0014116C">
        <w:rPr>
          <w:i/>
        </w:rPr>
        <w:t>Regulations Amending the Immigration and Refugee Protection Regulations</w:t>
      </w:r>
      <w:r w:rsidRPr="0014116C">
        <w:t>, SOR/2004</w:t>
      </w:r>
      <w:r w:rsidRPr="0014116C">
        <w:noBreakHyphen/>
        <w:t>217.</w:t>
      </w:r>
    </w:p>
    <w:p w14:paraId="00BFCF08" w14:textId="0E1550B2" w:rsidR="005033DC" w:rsidRPr="0014116C" w:rsidRDefault="005033DC" w:rsidP="0023265A">
      <w:pPr>
        <w:pStyle w:val="SCCNormalDoubleSpacing"/>
        <w:spacing w:after="240" w:line="240" w:lineRule="auto"/>
        <w:ind w:left="547" w:hanging="547"/>
      </w:pPr>
      <w:r w:rsidRPr="0014116C">
        <w:rPr>
          <w:i/>
        </w:rPr>
        <w:t>Regulations Amending the Immigration and Refugee Protection Regulations (Examination of Eligibility to Refer Claim)</w:t>
      </w:r>
      <w:r w:rsidRPr="0014116C">
        <w:t xml:space="preserve">, </w:t>
      </w:r>
      <w:r w:rsidR="0023265A" w:rsidRPr="0014116C">
        <w:t>SOR/2023</w:t>
      </w:r>
      <w:r w:rsidR="0023265A" w:rsidRPr="0014116C">
        <w:noBreakHyphen/>
      </w:r>
      <w:r w:rsidRPr="0014116C">
        <w:t>58.</w:t>
      </w:r>
    </w:p>
    <w:p w14:paraId="558DCE65" w14:textId="459B7640" w:rsidR="00C5154D" w:rsidRPr="0014116C" w:rsidRDefault="00C5154D" w:rsidP="0023265A">
      <w:pPr>
        <w:pStyle w:val="SCCNormalDoubleSpacing"/>
        <w:spacing w:after="240" w:line="240" w:lineRule="auto"/>
        <w:ind w:left="547" w:hanging="547"/>
      </w:pPr>
      <w:r w:rsidRPr="0014116C">
        <w:t>Regulatory Impact Analysis Statement, SOR/2004</w:t>
      </w:r>
      <w:r w:rsidRPr="0014116C">
        <w:noBreakHyphen/>
        <w:t xml:space="preserve">217, </w:t>
      </w:r>
      <w:r w:rsidRPr="0014116C">
        <w:rPr>
          <w:i/>
          <w:iCs/>
        </w:rPr>
        <w:t>Canada Gazette</w:t>
      </w:r>
      <w:r w:rsidRPr="0014116C">
        <w:rPr>
          <w:iCs/>
        </w:rPr>
        <w:t>, Part II</w:t>
      </w:r>
      <w:r w:rsidRPr="0014116C">
        <w:t>, v</w:t>
      </w:r>
      <w:r w:rsidR="0023265A" w:rsidRPr="0014116C">
        <w:t>ol. </w:t>
      </w:r>
      <w:r w:rsidRPr="0014116C">
        <w:t>138,</w:t>
      </w:r>
      <w:r w:rsidR="0023265A" w:rsidRPr="0014116C">
        <w:t xml:space="preserve"> No. </w:t>
      </w:r>
      <w:r w:rsidRPr="0014116C">
        <w:t>22</w:t>
      </w:r>
      <w:r w:rsidR="0023265A" w:rsidRPr="0014116C">
        <w:t xml:space="preserve">, November </w:t>
      </w:r>
      <w:r w:rsidRPr="0014116C">
        <w:t>3, 2004, p</w:t>
      </w:r>
      <w:r w:rsidR="00594A5A" w:rsidRPr="0014116C">
        <w:t>p</w:t>
      </w:r>
      <w:r w:rsidRPr="0014116C">
        <w:t>. </w:t>
      </w:r>
      <w:r w:rsidR="0023265A" w:rsidRPr="0014116C">
        <w:t>1622</w:t>
      </w:r>
      <w:r w:rsidR="0023265A" w:rsidRPr="0014116C">
        <w:noBreakHyphen/>
      </w:r>
      <w:r w:rsidR="00594A5A" w:rsidRPr="0014116C">
        <w:t xml:space="preserve">23, </w:t>
      </w:r>
      <w:r w:rsidRPr="0014116C">
        <w:t>1627.</w:t>
      </w:r>
    </w:p>
    <w:p w14:paraId="4AFFB02F" w14:textId="50F4D6D4" w:rsidR="00C34E14" w:rsidRPr="0014116C" w:rsidRDefault="00C34E14" w:rsidP="0023265A">
      <w:pPr>
        <w:pStyle w:val="SCCNormalDoubleSpacing"/>
        <w:spacing w:after="720" w:line="240" w:lineRule="auto"/>
        <w:ind w:left="547" w:hanging="547"/>
      </w:pPr>
      <w:r w:rsidRPr="0014116C">
        <w:rPr>
          <w:i/>
          <w:iCs/>
        </w:rPr>
        <w:t>Supreme Court Act</w:t>
      </w:r>
      <w:r w:rsidR="0023265A" w:rsidRPr="0014116C">
        <w:t>, R.S.C. 1985, c. S</w:t>
      </w:r>
      <w:r w:rsidR="0023265A" w:rsidRPr="0014116C">
        <w:noBreakHyphen/>
      </w:r>
      <w:r w:rsidRPr="0014116C">
        <w:t>26, s. 46.1.</w:t>
      </w:r>
    </w:p>
    <w:p w14:paraId="3D3C91B1" w14:textId="10BF8717" w:rsidR="00F21412" w:rsidRPr="0014116C" w:rsidRDefault="00F21412" w:rsidP="0023265A">
      <w:pPr>
        <w:pStyle w:val="SCCNormalDoubleSpacing"/>
        <w:spacing w:after="720" w:line="240" w:lineRule="auto"/>
        <w:rPr>
          <w:b/>
        </w:rPr>
      </w:pPr>
      <w:bookmarkStart w:id="3" w:name="_Hlk137560667"/>
      <w:r w:rsidRPr="0014116C">
        <w:rPr>
          <w:b/>
          <w:bCs/>
          <w:color w:val="000000"/>
        </w:rPr>
        <w:t>Treaties and Other International Instruments</w:t>
      </w:r>
    </w:p>
    <w:p w14:paraId="721FAE31" w14:textId="2C5FCEEE" w:rsidR="0044430C" w:rsidRPr="0014116C" w:rsidRDefault="0044430C" w:rsidP="0023265A">
      <w:pPr>
        <w:pStyle w:val="SCCNormalDoubleSpacing"/>
        <w:spacing w:after="240" w:line="240" w:lineRule="auto"/>
        <w:ind w:left="547" w:hanging="547"/>
        <w:rPr>
          <w:i/>
          <w:iCs/>
        </w:rPr>
      </w:pPr>
      <w:r w:rsidRPr="0014116C">
        <w:rPr>
          <w:i/>
        </w:rPr>
        <w:t xml:space="preserve">Additional Protocol to the Agreement between the Government of Canada </w:t>
      </w:r>
      <w:r w:rsidR="000137D5" w:rsidRPr="0014116C">
        <w:rPr>
          <w:i/>
        </w:rPr>
        <w:t>and</w:t>
      </w:r>
      <w:r w:rsidRPr="0014116C">
        <w:rPr>
          <w:i/>
        </w:rPr>
        <w:t xml:space="preserve"> the Government of the United States of America for cooperation in the examination of refugee status claims from nationals of third countries</w:t>
      </w:r>
      <w:r w:rsidRPr="0014116C">
        <w:t>, March 24, 2023 (online: https://www.canada.ca/en/immigration-refugees-citizenship/corporate/mandate/policies-operational-instructions-agreements/agreements/safe-third-country-agreement/additional-protocol.html;</w:t>
      </w:r>
      <w:r w:rsidRPr="0014116C">
        <w:rPr>
          <w:rStyle w:val="solexhl"/>
          <w:rFonts w:eastAsiaTheme="majorEastAsia"/>
          <w:color w:val="000000"/>
        </w:rPr>
        <w:t xml:space="preserve"> archived version</w:t>
      </w:r>
      <w:r w:rsidRPr="0014116C">
        <w:rPr>
          <w:color w:val="000000"/>
        </w:rPr>
        <w:t xml:space="preserve">: </w:t>
      </w:r>
      <w:hyperlink r:id="rId10" w:history="1">
        <w:r w:rsidRPr="00B95CDA">
          <w:rPr>
            <w:rStyle w:val="Hyperlink"/>
          </w:rPr>
          <w:t>https://www.scc-csc.ca/cso-dce/2023SCC-CSC</w:t>
        </w:r>
        <w:r w:rsidR="00BD5C04" w:rsidRPr="00B95CDA">
          <w:rPr>
            <w:rStyle w:val="Hyperlink"/>
          </w:rPr>
          <w:t>17</w:t>
        </w:r>
        <w:r w:rsidRPr="00B95CDA">
          <w:rPr>
            <w:rStyle w:val="Hyperlink"/>
          </w:rPr>
          <w:t>_1_eng.pdf</w:t>
        </w:r>
      </w:hyperlink>
      <w:r w:rsidRPr="0014116C">
        <w:t>)</w:t>
      </w:r>
      <w:r w:rsidR="00BB469D" w:rsidRPr="0014116C">
        <w:t>.</w:t>
      </w:r>
    </w:p>
    <w:p w14:paraId="5089FE4C" w14:textId="4E794564" w:rsidR="006D6A66" w:rsidRPr="0014116C" w:rsidRDefault="000B1639" w:rsidP="0023265A">
      <w:pPr>
        <w:pStyle w:val="SCCNormalDoubleSpacing"/>
        <w:spacing w:after="240" w:line="240" w:lineRule="auto"/>
        <w:ind w:left="547" w:hanging="547"/>
      </w:pPr>
      <w:r w:rsidRPr="0014116C">
        <w:rPr>
          <w:i/>
          <w:iCs/>
        </w:rPr>
        <w:t>Agreement between the Government of Canada and the Government of the United States of America for cooperation in the examination of refugee status claims from nationals of third countries</w:t>
      </w:r>
      <w:r w:rsidR="00F21412" w:rsidRPr="0014116C">
        <w:rPr>
          <w:iCs/>
        </w:rPr>
        <w:t>,</w:t>
      </w:r>
      <w:r w:rsidR="0023265A" w:rsidRPr="0014116C">
        <w:t xml:space="preserve"> Can. T.S. 2004 No. </w:t>
      </w:r>
      <w:r w:rsidR="00F21412" w:rsidRPr="0014116C">
        <w:t>2, preamble</w:t>
      </w:r>
      <w:r w:rsidR="0098744F" w:rsidRPr="0014116C">
        <w:t>, Article</w:t>
      </w:r>
      <w:r w:rsidR="00504BE3" w:rsidRPr="0014116C">
        <w:t>s</w:t>
      </w:r>
      <w:r w:rsidR="0098744F" w:rsidRPr="0014116C">
        <w:t> </w:t>
      </w:r>
      <w:r w:rsidR="00504BE3" w:rsidRPr="0014116C">
        <w:t>1</w:t>
      </w:r>
      <w:r w:rsidR="00EE0EF2" w:rsidRPr="0014116C">
        <w:t>(1)</w:t>
      </w:r>
      <w:r w:rsidR="00504BE3" w:rsidRPr="0014116C">
        <w:t>(a) “country of last presence”</w:t>
      </w:r>
      <w:r w:rsidR="00144998" w:rsidRPr="0014116C">
        <w:t>, (2)</w:t>
      </w:r>
      <w:r w:rsidR="006B7589" w:rsidRPr="0014116C">
        <w:t>, 2, 3</w:t>
      </w:r>
      <w:r w:rsidR="00504BE3" w:rsidRPr="0014116C">
        <w:t xml:space="preserve">, 4, </w:t>
      </w:r>
      <w:r w:rsidR="0098744F" w:rsidRPr="0014116C">
        <w:t>6</w:t>
      </w:r>
      <w:r w:rsidR="00504BE3" w:rsidRPr="0014116C">
        <w:t>, 8(3)</w:t>
      </w:r>
      <w:r w:rsidR="00F21412" w:rsidRPr="0014116C">
        <w:t>.</w:t>
      </w:r>
    </w:p>
    <w:p w14:paraId="133D9585" w14:textId="2C5C7AC3" w:rsidR="006D6A66" w:rsidRPr="0014116C" w:rsidRDefault="006D6A66" w:rsidP="0023265A">
      <w:pPr>
        <w:pStyle w:val="SCCNormalDoubleSpacing"/>
        <w:spacing w:after="240" w:line="240" w:lineRule="auto"/>
        <w:ind w:left="547" w:hanging="547"/>
      </w:pPr>
      <w:r w:rsidRPr="0014116C">
        <w:rPr>
          <w:i/>
          <w:iCs/>
        </w:rPr>
        <w:t xml:space="preserve">Convention </w:t>
      </w:r>
      <w:r w:rsidR="003567E5" w:rsidRPr="0014116C">
        <w:rPr>
          <w:i/>
          <w:iCs/>
        </w:rPr>
        <w:t>a</w:t>
      </w:r>
      <w:r w:rsidRPr="0014116C">
        <w:rPr>
          <w:i/>
          <w:iCs/>
        </w:rPr>
        <w:t xml:space="preserve">gainst Torture </w:t>
      </w:r>
      <w:r w:rsidR="003567E5" w:rsidRPr="0014116C">
        <w:rPr>
          <w:i/>
          <w:iCs/>
          <w:lang w:val="en-US"/>
        </w:rPr>
        <w:t>and o</w:t>
      </w:r>
      <w:r w:rsidRPr="0014116C">
        <w:rPr>
          <w:i/>
          <w:iCs/>
          <w:lang w:val="en-US"/>
        </w:rPr>
        <w:t>ther Cruel, Inhuman or Degrading Treatment or Punishment</w:t>
      </w:r>
      <w:r w:rsidRPr="0014116C">
        <w:rPr>
          <w:iCs/>
          <w:lang w:val="en-US"/>
        </w:rPr>
        <w:t>, Can. T.S. 1987 No. 36</w:t>
      </w:r>
      <w:r w:rsidRPr="0014116C">
        <w:t>, Article 3.</w:t>
      </w:r>
    </w:p>
    <w:p w14:paraId="69F8860A" w14:textId="50E08AB3" w:rsidR="00960C80" w:rsidRPr="0014116C" w:rsidRDefault="00960C80" w:rsidP="0023265A">
      <w:pPr>
        <w:pStyle w:val="SCCNormalDoubleSpacing"/>
        <w:spacing w:after="240" w:line="240" w:lineRule="auto"/>
      </w:pPr>
      <w:r w:rsidRPr="0014116C">
        <w:rPr>
          <w:i/>
        </w:rPr>
        <w:t>Convention Relating to the Status of Refugees</w:t>
      </w:r>
      <w:r w:rsidRPr="0014116C">
        <w:t>, Can. T.S. 1969 No. 6, Article 33.</w:t>
      </w:r>
    </w:p>
    <w:p w14:paraId="497E9414" w14:textId="18048639" w:rsidR="007976B3" w:rsidRPr="0014116C" w:rsidRDefault="007976B3" w:rsidP="007976B3">
      <w:pPr>
        <w:pStyle w:val="SCCNormalDoubleSpacing"/>
        <w:spacing w:after="240" w:line="240" w:lineRule="auto"/>
        <w:ind w:left="547" w:hanging="547"/>
      </w:pPr>
      <w:r w:rsidRPr="0014116C">
        <w:rPr>
          <w:i/>
        </w:rPr>
        <w:t>Procedural issues associated with implementing the Agreement for cooperation in the examination of refugee status claims from nationals of third countries: Statement of Principles</w:t>
      </w:r>
      <w:r w:rsidRPr="0014116C">
        <w:t>, August 30, 2002 (online</w:t>
      </w:r>
      <w:r w:rsidR="003B0E7B" w:rsidRPr="0014116C">
        <w:t>:</w:t>
      </w:r>
      <w:r w:rsidRPr="0014116C">
        <w:rPr>
          <w:lang w:val="en-US"/>
        </w:rPr>
        <w:t xml:space="preserve"> https://www.canada.ca/en/immigration-refugees-citizenship/corporate/mandate/policies-operational-instructions-agreements/agreements/safe-third-country-agreement/final-text.html; </w:t>
      </w:r>
      <w:r w:rsidRPr="0014116C">
        <w:rPr>
          <w:rStyle w:val="solexhl"/>
          <w:rFonts w:eastAsiaTheme="majorEastAsia"/>
          <w:color w:val="000000"/>
        </w:rPr>
        <w:t>archived version</w:t>
      </w:r>
      <w:r w:rsidRPr="0014116C">
        <w:rPr>
          <w:color w:val="000000"/>
        </w:rPr>
        <w:t xml:space="preserve">: </w:t>
      </w:r>
      <w:hyperlink r:id="rId11" w:history="1">
        <w:r w:rsidRPr="00B95CDA">
          <w:rPr>
            <w:rStyle w:val="Hyperlink"/>
          </w:rPr>
          <w:t>https://www.scc-csc.ca/cso-dce/2023SCC-CSC</w:t>
        </w:r>
        <w:r w:rsidR="00BD5C04" w:rsidRPr="00B95CDA">
          <w:rPr>
            <w:rStyle w:val="Hyperlink"/>
          </w:rPr>
          <w:t>17</w:t>
        </w:r>
        <w:r w:rsidRPr="00B95CDA">
          <w:rPr>
            <w:rStyle w:val="Hyperlink"/>
          </w:rPr>
          <w:t>_2_eng.pdf</w:t>
        </w:r>
      </w:hyperlink>
      <w:r w:rsidRPr="0014116C">
        <w:t>).</w:t>
      </w:r>
    </w:p>
    <w:p w14:paraId="59F2FF1E" w14:textId="712F37C4" w:rsidR="0091754B" w:rsidRPr="0014116C" w:rsidRDefault="0091754B" w:rsidP="0023265A">
      <w:pPr>
        <w:pStyle w:val="SCCNormalDoubleSpacing"/>
        <w:spacing w:after="720" w:line="240" w:lineRule="auto"/>
        <w:ind w:left="547" w:hanging="547"/>
        <w:rPr>
          <w:lang w:val="en-US"/>
        </w:rPr>
      </w:pPr>
      <w:r w:rsidRPr="0014116C">
        <w:rPr>
          <w:lang w:val="en-US"/>
        </w:rPr>
        <w:t xml:space="preserve">United Nations. </w:t>
      </w:r>
      <w:r w:rsidRPr="0014116C">
        <w:t xml:space="preserve">General Assembly. </w:t>
      </w:r>
      <w:r w:rsidRPr="0014116C">
        <w:rPr>
          <w:i/>
          <w:iCs/>
        </w:rPr>
        <w:t>United Nations Standard Minimum Rules for the Treatment of Prisoners</w:t>
      </w:r>
      <w:r w:rsidRPr="0014116C">
        <w:t xml:space="preserve"> </w:t>
      </w:r>
      <w:r w:rsidRPr="0014116C">
        <w:rPr>
          <w:i/>
        </w:rPr>
        <w:t xml:space="preserve">(the Nelson </w:t>
      </w:r>
      <w:r w:rsidRPr="0014116C">
        <w:rPr>
          <w:i/>
          <w:iCs/>
        </w:rPr>
        <w:t>Mandela Rules</w:t>
      </w:r>
      <w:r w:rsidRPr="0014116C">
        <w:rPr>
          <w:i/>
        </w:rPr>
        <w:t>)</w:t>
      </w:r>
      <w:r w:rsidRPr="0014116C">
        <w:t xml:space="preserve">, U.N. Doc. A/RES/70/175, </w:t>
      </w:r>
      <w:r w:rsidR="005073D0" w:rsidRPr="0014116C">
        <w:t>December</w:t>
      </w:r>
      <w:r w:rsidRPr="0014116C">
        <w:t> </w:t>
      </w:r>
      <w:r w:rsidR="005073D0" w:rsidRPr="0014116C">
        <w:t>17</w:t>
      </w:r>
      <w:r w:rsidRPr="0014116C">
        <w:t>, 201</w:t>
      </w:r>
      <w:r w:rsidR="005073D0" w:rsidRPr="0014116C">
        <w:t>5</w:t>
      </w:r>
      <w:r w:rsidR="00E03674" w:rsidRPr="0014116C">
        <w:t>, Rules 30(</w:t>
      </w:r>
      <w:r w:rsidR="00E03674" w:rsidRPr="0014116C">
        <w:rPr>
          <w:i/>
        </w:rPr>
        <w:t>d</w:t>
      </w:r>
      <w:r w:rsidR="00E03674" w:rsidRPr="0014116C">
        <w:t>), 37(</w:t>
      </w:r>
      <w:r w:rsidR="00E03674" w:rsidRPr="0014116C">
        <w:rPr>
          <w:i/>
        </w:rPr>
        <w:t>d</w:t>
      </w:r>
      <w:r w:rsidR="00E03674" w:rsidRPr="0014116C">
        <w:t>), 43(1), 44, 45</w:t>
      </w:r>
      <w:r w:rsidRPr="0014116C">
        <w:t>.</w:t>
      </w:r>
    </w:p>
    <w:p w14:paraId="050A9C98" w14:textId="77777777" w:rsidR="002E6705" w:rsidRPr="0014116C" w:rsidRDefault="002E6705" w:rsidP="0023265A">
      <w:pPr>
        <w:pStyle w:val="SCCNormalDoubleSpacing"/>
        <w:spacing w:after="720" w:line="240" w:lineRule="auto"/>
        <w:rPr>
          <w:b/>
        </w:rPr>
      </w:pPr>
      <w:r w:rsidRPr="0014116C">
        <w:rPr>
          <w:b/>
        </w:rPr>
        <w:t>Authors Cited</w:t>
      </w:r>
    </w:p>
    <w:p w14:paraId="7DB7C29E" w14:textId="3B8A3739" w:rsidR="00267AC9" w:rsidRPr="0014116C" w:rsidRDefault="00267AC9" w:rsidP="0023265A">
      <w:pPr>
        <w:pStyle w:val="SCCNormalDoubleSpacing"/>
        <w:spacing w:after="240" w:line="240" w:lineRule="auto"/>
        <w:ind w:left="547" w:hanging="547"/>
      </w:pPr>
      <w:r w:rsidRPr="00530F40">
        <w:rPr>
          <w:lang w:val="en-US"/>
        </w:rPr>
        <w:t xml:space="preserve">Atak, Idil, and François Crépeau. </w:t>
      </w:r>
      <w:r w:rsidR="00AB0EFD" w:rsidRPr="0014116C">
        <w:t>“Asylum in the t</w:t>
      </w:r>
      <w:r w:rsidR="0023265A" w:rsidRPr="0014116C">
        <w:t>wenty</w:t>
      </w:r>
      <w:r w:rsidR="0023265A" w:rsidRPr="0014116C">
        <w:noBreakHyphen/>
      </w:r>
      <w:r w:rsidR="00AB0EFD" w:rsidRPr="0014116C">
        <w:t>f</w:t>
      </w:r>
      <w:r w:rsidRPr="0014116C">
        <w:t xml:space="preserve">irst </w:t>
      </w:r>
      <w:r w:rsidR="00AB0EFD" w:rsidRPr="0014116C">
        <w:t>c</w:t>
      </w:r>
      <w:r w:rsidRPr="0014116C">
        <w:t xml:space="preserve">entury: Trends and </w:t>
      </w:r>
      <w:r w:rsidR="00AB0EFD" w:rsidRPr="0014116C">
        <w:t>c</w:t>
      </w:r>
      <w:r w:rsidRPr="0014116C">
        <w:t>hallenges”, in A</w:t>
      </w:r>
      <w:r w:rsidR="00047572" w:rsidRPr="0014116C">
        <w:t>nna</w:t>
      </w:r>
      <w:r w:rsidRPr="0014116C">
        <w:t xml:space="preserve"> Triandafyllidou, ed., </w:t>
      </w:r>
      <w:r w:rsidRPr="0014116C">
        <w:rPr>
          <w:i/>
        </w:rPr>
        <w:t>Routledge Handbook of Immigration and Refugee Studies</w:t>
      </w:r>
      <w:r w:rsidRPr="0014116C">
        <w:t xml:space="preserve">, 2nd ed. </w:t>
      </w:r>
      <w:r w:rsidR="00FE082E" w:rsidRPr="0014116C">
        <w:t>New York</w:t>
      </w:r>
      <w:r w:rsidRPr="0014116C">
        <w:t xml:space="preserve">: Routledge, 2023, </w:t>
      </w:r>
      <w:r w:rsidR="00604461" w:rsidRPr="0014116C">
        <w:t>358</w:t>
      </w:r>
      <w:r w:rsidRPr="0014116C">
        <w:t>.</w:t>
      </w:r>
    </w:p>
    <w:p w14:paraId="2E114337" w14:textId="2BBD7849" w:rsidR="00BA7FF8" w:rsidRPr="0014116C" w:rsidRDefault="00BA7FF8" w:rsidP="0023265A">
      <w:pPr>
        <w:pStyle w:val="SCCNormalDoubleSpacing"/>
        <w:spacing w:after="240" w:line="240" w:lineRule="auto"/>
        <w:ind w:left="547" w:hanging="547"/>
      </w:pPr>
      <w:r w:rsidRPr="0014116C">
        <w:rPr>
          <w:rStyle w:val="ui-provider"/>
        </w:rPr>
        <w:t xml:space="preserve">Baglay, Sasha, and Martin Jones. </w:t>
      </w:r>
      <w:r w:rsidRPr="0014116C">
        <w:rPr>
          <w:rStyle w:val="ui-provider"/>
          <w:i/>
          <w:iCs/>
        </w:rPr>
        <w:t>Refugee Law</w:t>
      </w:r>
      <w:r w:rsidRPr="0014116C">
        <w:rPr>
          <w:rStyle w:val="ui-provider"/>
        </w:rPr>
        <w:t xml:space="preserve">, 2nd ed. </w:t>
      </w:r>
      <w:r w:rsidRPr="0014116C">
        <w:t xml:space="preserve">Toronto: Irwin Law, </w:t>
      </w:r>
      <w:r w:rsidRPr="0014116C">
        <w:rPr>
          <w:rStyle w:val="ui-provider"/>
        </w:rPr>
        <w:t>2017.</w:t>
      </w:r>
    </w:p>
    <w:p w14:paraId="249992D4" w14:textId="77777777" w:rsidR="00F83E51" w:rsidRPr="0014116C" w:rsidRDefault="00F83E51" w:rsidP="0023265A">
      <w:pPr>
        <w:pStyle w:val="SCCNormalDoubleSpacing"/>
        <w:spacing w:after="240" w:line="240" w:lineRule="auto"/>
        <w:ind w:left="547" w:hanging="547"/>
        <w:rPr>
          <w:lang w:val="fr-CA"/>
        </w:rPr>
      </w:pPr>
      <w:r w:rsidRPr="0014116C">
        <w:t>Canada.</w:t>
      </w:r>
      <w:r w:rsidRPr="0014116C">
        <w:rPr>
          <w:i/>
        </w:rPr>
        <w:t xml:space="preserve"> A Partnership for Protection: Year One Review</w:t>
      </w:r>
      <w:r w:rsidRPr="0014116C">
        <w:t xml:space="preserve">. </w:t>
      </w:r>
      <w:r w:rsidRPr="0014116C">
        <w:rPr>
          <w:lang w:val="fr-CA"/>
        </w:rPr>
        <w:t>Ottawa, 2006.</w:t>
      </w:r>
    </w:p>
    <w:p w14:paraId="51398B5D" w14:textId="47025092" w:rsidR="00A463B3" w:rsidRPr="0014116C" w:rsidRDefault="0023265A" w:rsidP="0023265A">
      <w:pPr>
        <w:pStyle w:val="SCCNormalDoubleSpacing"/>
        <w:spacing w:after="240" w:line="240" w:lineRule="auto"/>
        <w:ind w:left="547" w:hanging="547"/>
        <w:rPr>
          <w:lang w:val="fr-CA"/>
        </w:rPr>
      </w:pPr>
      <w:r w:rsidRPr="0014116C">
        <w:rPr>
          <w:lang w:val="fr-CA"/>
        </w:rPr>
        <w:t>Côté, Pierre</w:t>
      </w:r>
      <w:r w:rsidRPr="0014116C">
        <w:rPr>
          <w:lang w:val="fr-CA"/>
        </w:rPr>
        <w:noBreakHyphen/>
      </w:r>
      <w:r w:rsidR="00A463B3" w:rsidRPr="0014116C">
        <w:rPr>
          <w:lang w:val="fr-CA"/>
        </w:rPr>
        <w:t xml:space="preserve">André, </w:t>
      </w:r>
      <w:r w:rsidR="000137D5" w:rsidRPr="0014116C">
        <w:rPr>
          <w:rStyle w:val="ui-provider"/>
          <w:lang w:val="fr-CA"/>
        </w:rPr>
        <w:t>et</w:t>
      </w:r>
      <w:r w:rsidR="0091213C" w:rsidRPr="0014116C">
        <w:rPr>
          <w:rStyle w:val="ui-provider"/>
          <w:lang w:val="fr-CA"/>
        </w:rPr>
        <w:t xml:space="preserve"> </w:t>
      </w:r>
      <w:r w:rsidR="00A463B3" w:rsidRPr="0014116C">
        <w:rPr>
          <w:lang w:val="fr-CA"/>
        </w:rPr>
        <w:t xml:space="preserve">Mathieu Devinat. </w:t>
      </w:r>
      <w:r w:rsidR="00A463B3" w:rsidRPr="0014116C">
        <w:rPr>
          <w:i/>
          <w:iCs/>
          <w:lang w:val="fr-CA"/>
        </w:rPr>
        <w:t>Interprétation des lois</w:t>
      </w:r>
      <w:r w:rsidR="00A463B3" w:rsidRPr="0014116C">
        <w:rPr>
          <w:lang w:val="fr-CA"/>
        </w:rPr>
        <w:t>, 5</w:t>
      </w:r>
      <w:r w:rsidR="00A463B3" w:rsidRPr="0014116C">
        <w:rPr>
          <w:vertAlign w:val="superscript"/>
          <w:lang w:val="fr-CA"/>
        </w:rPr>
        <w:t>e</w:t>
      </w:r>
      <w:r w:rsidR="00A463B3" w:rsidRPr="0014116C">
        <w:rPr>
          <w:lang w:val="fr-CA"/>
        </w:rPr>
        <w:t xml:space="preserve"> éd. Montréal: Thémis, 2021.</w:t>
      </w:r>
    </w:p>
    <w:p w14:paraId="24B47F25" w14:textId="0CD5A834" w:rsidR="003E170D" w:rsidRPr="0014116C" w:rsidRDefault="003E170D" w:rsidP="0023265A">
      <w:pPr>
        <w:pStyle w:val="SCCNormalDoubleSpacing"/>
        <w:spacing w:after="240" w:line="240" w:lineRule="auto"/>
        <w:ind w:left="547" w:hanging="547"/>
        <w:rPr>
          <w:lang w:val="en-US"/>
        </w:rPr>
      </w:pPr>
      <w:r w:rsidRPr="0014116C">
        <w:rPr>
          <w:lang w:val="fr-CA"/>
        </w:rPr>
        <w:t xml:space="preserve">Crépeau, François. </w:t>
      </w:r>
      <w:r w:rsidRPr="0014116C">
        <w:rPr>
          <w:i/>
          <w:lang w:val="fr-CA"/>
        </w:rPr>
        <w:t>Droit d’asile: De l’hospitalité aux contrôles migratoires</w:t>
      </w:r>
      <w:r w:rsidRPr="0014116C">
        <w:rPr>
          <w:lang w:val="fr-CA"/>
        </w:rPr>
        <w:t xml:space="preserve">. </w:t>
      </w:r>
      <w:r w:rsidRPr="0014116C">
        <w:rPr>
          <w:lang w:val="en-US"/>
        </w:rPr>
        <w:t>Bruxelles: Bruylant, 1995.</w:t>
      </w:r>
    </w:p>
    <w:p w14:paraId="4970EA43" w14:textId="39024431" w:rsidR="00FC160D" w:rsidRPr="0014116C" w:rsidRDefault="00FC160D" w:rsidP="0023265A">
      <w:pPr>
        <w:pStyle w:val="SCCNormalDoubleSpacing"/>
        <w:spacing w:after="240" w:line="240" w:lineRule="auto"/>
        <w:ind w:left="547" w:hanging="547"/>
        <w:rPr>
          <w:lang w:val="en-US"/>
        </w:rPr>
      </w:pPr>
      <w:r w:rsidRPr="0014116C">
        <w:rPr>
          <w:lang w:val="en-US"/>
        </w:rPr>
        <w:t xml:space="preserve">Driedger, Elmer A. “Subordinate Legislation” (1960), 38 </w:t>
      </w:r>
      <w:r w:rsidRPr="0014116C">
        <w:rPr>
          <w:i/>
          <w:lang w:val="en-US"/>
        </w:rPr>
        <w:t>Can. Bar Rev.</w:t>
      </w:r>
      <w:r w:rsidRPr="0014116C">
        <w:rPr>
          <w:lang w:val="en-US"/>
        </w:rPr>
        <w:t xml:space="preserve"> 1.</w:t>
      </w:r>
    </w:p>
    <w:p w14:paraId="3F2AD4FB" w14:textId="67504BBF" w:rsidR="006C36D0" w:rsidRPr="0014116C" w:rsidRDefault="006C36D0" w:rsidP="0023265A">
      <w:pPr>
        <w:pStyle w:val="SCCNormalDoubleSpacing"/>
        <w:spacing w:after="240" w:line="240" w:lineRule="auto"/>
        <w:ind w:left="547" w:hanging="547"/>
      </w:pPr>
      <w:r w:rsidRPr="0014116C">
        <w:rPr>
          <w:lang w:val="en-US"/>
        </w:rPr>
        <w:t>Fehr, Colton. “Rethinking the Instrumental Rational</w:t>
      </w:r>
      <w:r w:rsidRPr="0014116C">
        <w:t xml:space="preserve">ity Principles of Fundamental Justice” (2020), 58 </w:t>
      </w:r>
      <w:r w:rsidRPr="0014116C">
        <w:rPr>
          <w:i/>
        </w:rPr>
        <w:t>Alta. L. Rev.</w:t>
      </w:r>
      <w:r w:rsidRPr="0014116C">
        <w:t xml:space="preserve"> 133.</w:t>
      </w:r>
    </w:p>
    <w:p w14:paraId="3E79354E" w14:textId="64E63D15" w:rsidR="00D33C9F" w:rsidRPr="0014116C" w:rsidRDefault="00D33C9F" w:rsidP="0023265A">
      <w:pPr>
        <w:pStyle w:val="SCCNormalDoubleSpacing"/>
        <w:spacing w:after="240" w:line="240" w:lineRule="auto"/>
        <w:ind w:left="547" w:hanging="547"/>
      </w:pPr>
      <w:r w:rsidRPr="0014116C">
        <w:t xml:space="preserve">Grey, Colin. “Thinkable: The Charter and Refugee Law after </w:t>
      </w:r>
      <w:r w:rsidRPr="0014116C">
        <w:rPr>
          <w:i/>
        </w:rPr>
        <w:t>Appulonappa</w:t>
      </w:r>
      <w:r w:rsidRPr="0014116C">
        <w:t xml:space="preserve"> and </w:t>
      </w:r>
      <w:r w:rsidRPr="0014116C">
        <w:rPr>
          <w:i/>
        </w:rPr>
        <w:t>B010</w:t>
      </w:r>
      <w:r w:rsidRPr="0014116C">
        <w:t xml:space="preserve">” (2016), 76 </w:t>
      </w:r>
      <w:r w:rsidRPr="0014116C">
        <w:rPr>
          <w:i/>
        </w:rPr>
        <w:t>S.C.L.R.</w:t>
      </w:r>
      <w:r w:rsidRPr="0014116C">
        <w:t xml:space="preserve"> (2d) 111.</w:t>
      </w:r>
    </w:p>
    <w:p w14:paraId="4CBEA38E" w14:textId="2950EBBF" w:rsidR="003C3D8F" w:rsidRPr="0014116C" w:rsidRDefault="003C3D8F" w:rsidP="0023265A">
      <w:pPr>
        <w:pStyle w:val="SCCNormalDoubleSpacing"/>
        <w:spacing w:after="240" w:line="240" w:lineRule="auto"/>
        <w:ind w:left="547" w:hanging="547"/>
        <w:rPr>
          <w:b/>
          <w:lang w:val="en-US"/>
        </w:rPr>
      </w:pPr>
      <w:r w:rsidRPr="0014116C">
        <w:t xml:space="preserve">Hathaway, James C. </w:t>
      </w:r>
      <w:r w:rsidRPr="0014116C">
        <w:rPr>
          <w:i/>
        </w:rPr>
        <w:t>The Rights of Refugees Under International Law</w:t>
      </w:r>
      <w:r w:rsidRPr="0014116C">
        <w:t>, 2nd ed. New York: Cambridge University Press, 2021.</w:t>
      </w:r>
    </w:p>
    <w:p w14:paraId="1170752A" w14:textId="62FB697C" w:rsidR="00B462F3" w:rsidRPr="0014116C" w:rsidRDefault="00B462F3" w:rsidP="0023265A">
      <w:pPr>
        <w:pStyle w:val="SCCNormalDoubleSpacing"/>
        <w:spacing w:after="240" w:line="240" w:lineRule="auto"/>
        <w:ind w:left="547" w:hanging="547"/>
        <w:rPr>
          <w:lang w:val="en-US"/>
        </w:rPr>
      </w:pPr>
      <w:r w:rsidRPr="0014116C">
        <w:rPr>
          <w:lang w:val="en-US"/>
        </w:rPr>
        <w:t xml:space="preserve">Heckman, Gerald. “Revisiting the Application of Section 7 of the </w:t>
      </w:r>
      <w:r w:rsidRPr="0014116C">
        <w:rPr>
          <w:i/>
          <w:iCs/>
          <w:lang w:val="en-US"/>
        </w:rPr>
        <w:t xml:space="preserve">Charter </w:t>
      </w:r>
      <w:r w:rsidRPr="0014116C">
        <w:rPr>
          <w:lang w:val="en-US"/>
        </w:rPr>
        <w:t xml:space="preserve">in Immigration and Refugee Protection” (2017), 68 </w:t>
      </w:r>
      <w:r w:rsidRPr="0014116C">
        <w:rPr>
          <w:i/>
          <w:lang w:val="en-US"/>
        </w:rPr>
        <w:t>U.N.B.L.J.</w:t>
      </w:r>
      <w:r w:rsidRPr="0014116C">
        <w:rPr>
          <w:lang w:val="en-US"/>
        </w:rPr>
        <w:t xml:space="preserve"> 312.</w:t>
      </w:r>
    </w:p>
    <w:p w14:paraId="60D7A589" w14:textId="2D71A02F" w:rsidR="008B3CAB" w:rsidRPr="0014116C" w:rsidRDefault="008B3CAB" w:rsidP="0023265A">
      <w:pPr>
        <w:pStyle w:val="SCCNormalDoubleSpacing"/>
        <w:spacing w:after="240" w:line="240" w:lineRule="auto"/>
        <w:ind w:left="547" w:hanging="547"/>
        <w:rPr>
          <w:lang w:val="en-US"/>
        </w:rPr>
      </w:pPr>
      <w:r w:rsidRPr="0014116C">
        <w:t xml:space="preserve">Hogg, Peter W. “The Brilliant Career of Section 7 of the Charter” (2012), 58 </w:t>
      </w:r>
      <w:r w:rsidRPr="0014116C">
        <w:rPr>
          <w:i/>
        </w:rPr>
        <w:t>S.C.L.R.</w:t>
      </w:r>
      <w:r w:rsidRPr="0014116C">
        <w:t xml:space="preserve"> (2d) 195.</w:t>
      </w:r>
    </w:p>
    <w:p w14:paraId="61DF58D4" w14:textId="2277FD14" w:rsidR="000A1BBA" w:rsidRPr="0014116C" w:rsidRDefault="000A1BBA" w:rsidP="0023265A">
      <w:pPr>
        <w:pStyle w:val="SCCNormalDoubleSpacing"/>
        <w:spacing w:after="240" w:line="240" w:lineRule="auto"/>
        <w:ind w:left="547" w:hanging="547"/>
        <w:rPr>
          <w:rStyle w:val="ui-provider"/>
        </w:rPr>
      </w:pPr>
      <w:r w:rsidRPr="0014116C">
        <w:t xml:space="preserve">Keyes, John Mark. </w:t>
      </w:r>
      <w:r w:rsidRPr="0014116C">
        <w:rPr>
          <w:i/>
          <w:iCs/>
        </w:rPr>
        <w:t>Executive Legislation</w:t>
      </w:r>
      <w:r w:rsidRPr="0014116C">
        <w:t>, 3rd ed. Toronto: LexisNexis, 2021.</w:t>
      </w:r>
    </w:p>
    <w:p w14:paraId="613352B9" w14:textId="69E838BC" w:rsidR="006175D2" w:rsidRPr="0014116C" w:rsidRDefault="006175D2" w:rsidP="0023265A">
      <w:pPr>
        <w:pStyle w:val="SCCNormalDoubleSpacing"/>
        <w:spacing w:after="240" w:line="240" w:lineRule="auto"/>
        <w:ind w:left="547" w:hanging="547"/>
        <w:rPr>
          <w:rStyle w:val="ui-provider"/>
        </w:rPr>
      </w:pPr>
      <w:r w:rsidRPr="0014116C">
        <w:rPr>
          <w:rStyle w:val="ui-provider"/>
        </w:rPr>
        <w:t>Latimer</w:t>
      </w:r>
      <w:r w:rsidR="001845E7" w:rsidRPr="0014116C">
        <w:rPr>
          <w:rStyle w:val="ui-provider"/>
        </w:rPr>
        <w:t>, Alison M.,</w:t>
      </w:r>
      <w:r w:rsidR="003331F9" w:rsidRPr="0014116C">
        <w:rPr>
          <w:rStyle w:val="ui-provider"/>
        </w:rPr>
        <w:t xml:space="preserve"> and Benjamin</w:t>
      </w:r>
      <w:r w:rsidRPr="0014116C">
        <w:rPr>
          <w:rStyle w:val="ui-provider"/>
        </w:rPr>
        <w:t> L. Berger</w:t>
      </w:r>
      <w:r w:rsidR="003331F9" w:rsidRPr="0014116C">
        <w:rPr>
          <w:rStyle w:val="ui-provider"/>
        </w:rPr>
        <w:t>.</w:t>
      </w:r>
      <w:r w:rsidRPr="0014116C">
        <w:rPr>
          <w:rStyle w:val="ui-provider"/>
        </w:rPr>
        <w:t xml:space="preserve"> “A Plumber with Words: Seeking Constitutional Responsibility and an End to the </w:t>
      </w:r>
      <w:r w:rsidRPr="0014116C">
        <w:rPr>
          <w:rStyle w:val="ui-provider"/>
          <w:i/>
        </w:rPr>
        <w:t>Little Sisters</w:t>
      </w:r>
      <w:r w:rsidRPr="0014116C">
        <w:rPr>
          <w:rStyle w:val="ui-provider"/>
        </w:rPr>
        <w:t xml:space="preserve"> Problem” (2022), 104 </w:t>
      </w:r>
      <w:r w:rsidRPr="0014116C">
        <w:rPr>
          <w:rStyle w:val="ui-provider"/>
          <w:i/>
        </w:rPr>
        <w:t>S.C.L.R.</w:t>
      </w:r>
      <w:r w:rsidRPr="0014116C">
        <w:rPr>
          <w:rStyle w:val="ui-provider"/>
        </w:rPr>
        <w:t xml:space="preserve"> (2d) 143.</w:t>
      </w:r>
    </w:p>
    <w:p w14:paraId="097908A2" w14:textId="78C353CB" w:rsidR="007E3873" w:rsidRPr="0014116C" w:rsidRDefault="007E3873" w:rsidP="0023265A">
      <w:pPr>
        <w:pStyle w:val="SCCNormalDoubleSpacing"/>
        <w:spacing w:after="240" w:line="240" w:lineRule="auto"/>
        <w:ind w:left="547" w:hanging="547"/>
        <w:rPr>
          <w:rStyle w:val="ui-provider"/>
        </w:rPr>
      </w:pPr>
      <w:r w:rsidRPr="0014116C">
        <w:t>Macklin, Audrey.</w:t>
      </w:r>
      <w:r w:rsidR="0023265A" w:rsidRPr="0014116C">
        <w:t xml:space="preserve"> “Citizenship, Non</w:t>
      </w:r>
      <w:r w:rsidR="0023265A" w:rsidRPr="0014116C">
        <w:noBreakHyphen/>
      </w:r>
      <w:r w:rsidRPr="0014116C">
        <w:t xml:space="preserve">Citizenship and The Rule of Law” (2018), 69 </w:t>
      </w:r>
      <w:r w:rsidRPr="0014116C">
        <w:rPr>
          <w:i/>
        </w:rPr>
        <w:t>U.N.B.L.J.</w:t>
      </w:r>
      <w:r w:rsidRPr="0014116C">
        <w:t xml:space="preserve"> 19.</w:t>
      </w:r>
    </w:p>
    <w:p w14:paraId="5ADA9760" w14:textId="52B63574" w:rsidR="008735E2" w:rsidRPr="0014116C" w:rsidRDefault="008735E2" w:rsidP="0023265A">
      <w:pPr>
        <w:pStyle w:val="SCCNormalDoubleSpacing"/>
        <w:spacing w:after="240" w:line="240" w:lineRule="auto"/>
        <w:ind w:left="547" w:hanging="547"/>
        <w:rPr>
          <w:lang w:val="fr-CA"/>
        </w:rPr>
      </w:pPr>
      <w:r w:rsidRPr="0014116C">
        <w:rPr>
          <w:rStyle w:val="ui-provider"/>
        </w:rPr>
        <w:t xml:space="preserve">Macklin, </w:t>
      </w:r>
      <w:r w:rsidRPr="0014116C">
        <w:t>Audrey.</w:t>
      </w:r>
      <w:r w:rsidRPr="0014116C">
        <w:rPr>
          <w:rStyle w:val="ui-provider"/>
        </w:rPr>
        <w:t xml:space="preserve"> “Disappearing Refugees: Reflections on the Canada</w:t>
      </w:r>
      <w:r w:rsidRPr="0014116C">
        <w:rPr>
          <w:rStyle w:val="ui-provider"/>
        </w:rPr>
        <w:noBreakHyphen/>
        <w:t xml:space="preserve">U.S. Safe Third Country Agreement” (2005), 36 </w:t>
      </w:r>
      <w:r w:rsidRPr="0014116C">
        <w:rPr>
          <w:rStyle w:val="ui-provider"/>
          <w:i/>
        </w:rPr>
        <w:t xml:space="preserve">Colum. </w:t>
      </w:r>
      <w:r w:rsidRPr="0014116C">
        <w:rPr>
          <w:rStyle w:val="ui-provider"/>
          <w:i/>
          <w:lang w:val="fr-CA"/>
        </w:rPr>
        <w:t>Hum. Rts. L. Rev.</w:t>
      </w:r>
      <w:r w:rsidRPr="0014116C">
        <w:rPr>
          <w:rStyle w:val="ui-provider"/>
          <w:lang w:val="fr-CA"/>
        </w:rPr>
        <w:t xml:space="preserve"> 365.</w:t>
      </w:r>
    </w:p>
    <w:p w14:paraId="73FFEA3A" w14:textId="25E33083" w:rsidR="003408EE" w:rsidRPr="0014116C" w:rsidRDefault="0023265A" w:rsidP="0023265A">
      <w:pPr>
        <w:pStyle w:val="SCCNormalDoubleSpacing"/>
        <w:spacing w:after="240" w:line="240" w:lineRule="auto"/>
        <w:ind w:left="547" w:hanging="547"/>
        <w:rPr>
          <w:lang w:val="fr-CA"/>
        </w:rPr>
      </w:pPr>
      <w:r w:rsidRPr="0014116C">
        <w:rPr>
          <w:lang w:val="fr-CA"/>
        </w:rPr>
        <w:t>Mayrand, Hélène, et Andrew Smith</w:t>
      </w:r>
      <w:r w:rsidRPr="0014116C">
        <w:rPr>
          <w:lang w:val="fr-CA"/>
        </w:rPr>
        <w:noBreakHyphen/>
      </w:r>
      <w:r w:rsidR="003408EE" w:rsidRPr="0014116C">
        <w:rPr>
          <w:lang w:val="fr-CA"/>
        </w:rPr>
        <w:t xml:space="preserve">Grégoire. “À la croisée du chemin Roxham et de la rhétorique politique: démystifier l’Entente sur les tiers pays sûrs” (2018), 48 </w:t>
      </w:r>
      <w:r w:rsidR="003408EE" w:rsidRPr="0014116C">
        <w:rPr>
          <w:i/>
          <w:lang w:val="fr-CA"/>
        </w:rPr>
        <w:t>R.D.U.S.</w:t>
      </w:r>
      <w:r w:rsidR="003408EE" w:rsidRPr="0014116C">
        <w:rPr>
          <w:lang w:val="fr-CA"/>
        </w:rPr>
        <w:t xml:space="preserve"> 321.</w:t>
      </w:r>
    </w:p>
    <w:p w14:paraId="30243F18" w14:textId="1141D50B" w:rsidR="0088397D" w:rsidRPr="0014116C" w:rsidRDefault="0088397D" w:rsidP="0023265A">
      <w:pPr>
        <w:pStyle w:val="SCCNormalDoubleSpacing"/>
        <w:spacing w:after="240" w:line="240" w:lineRule="auto"/>
        <w:ind w:left="547" w:hanging="547"/>
        <w:rPr>
          <w:lang w:val="en-US"/>
        </w:rPr>
      </w:pPr>
      <w:r w:rsidRPr="0014116C">
        <w:t>Moore, Dan. “Engagement with Human Ri</w:t>
      </w:r>
      <w:r w:rsidR="0023265A" w:rsidRPr="0014116C">
        <w:t>ghts by Administrative Decision</w:t>
      </w:r>
      <w:r w:rsidR="0023265A" w:rsidRPr="0014116C">
        <w:noBreakHyphen/>
      </w:r>
      <w:r w:rsidRPr="0014116C">
        <w:t>Makers</w:t>
      </w:r>
      <w:r w:rsidRPr="0014116C">
        <w:rPr>
          <w:lang w:val="en-US"/>
        </w:rPr>
        <w:t>: A Transformative Opportunity to Build a More Grassroots Human Rights Culture</w:t>
      </w:r>
      <w:r w:rsidRPr="0014116C">
        <w:t xml:space="preserve">” (2017), 49 </w:t>
      </w:r>
      <w:r w:rsidRPr="0014116C">
        <w:rPr>
          <w:i/>
        </w:rPr>
        <w:t>Ottawa L. Rev.</w:t>
      </w:r>
      <w:r w:rsidRPr="0014116C">
        <w:t xml:space="preserve"> 131.</w:t>
      </w:r>
    </w:p>
    <w:p w14:paraId="757125E4" w14:textId="74D651A5" w:rsidR="00EF24D0" w:rsidRPr="0014116C" w:rsidRDefault="00EF24D0" w:rsidP="0023265A">
      <w:pPr>
        <w:pStyle w:val="SCCNormalDoubleSpacing"/>
        <w:spacing w:after="240" w:line="240" w:lineRule="auto"/>
        <w:ind w:left="547" w:hanging="547"/>
        <w:rPr>
          <w:lang w:val="en-US"/>
        </w:rPr>
      </w:pPr>
      <w:r w:rsidRPr="0014116C">
        <w:t>Stewart, Hamish. “</w:t>
      </w:r>
      <w:r w:rsidRPr="0014116C">
        <w:rPr>
          <w:i/>
        </w:rPr>
        <w:t xml:space="preserve">Bedford </w:t>
      </w:r>
      <w:r w:rsidRPr="0014116C">
        <w:t xml:space="preserve">and the Structure of Section 7” (2015), 60 </w:t>
      </w:r>
      <w:r w:rsidRPr="0014116C">
        <w:rPr>
          <w:i/>
        </w:rPr>
        <w:t>McGill L.J.</w:t>
      </w:r>
      <w:r w:rsidRPr="0014116C">
        <w:t xml:space="preserve"> 575.</w:t>
      </w:r>
    </w:p>
    <w:p w14:paraId="18F8FE20" w14:textId="0A5C8991" w:rsidR="00AC767D" w:rsidRPr="0014116C" w:rsidRDefault="00AC767D" w:rsidP="0023265A">
      <w:pPr>
        <w:pStyle w:val="SCCNormalDoubleSpacing"/>
        <w:spacing w:after="240" w:line="240" w:lineRule="auto"/>
        <w:ind w:left="547" w:hanging="547"/>
        <w:rPr>
          <w:lang w:val="en-US"/>
        </w:rPr>
      </w:pPr>
      <w:r w:rsidRPr="0014116C">
        <w:t xml:space="preserve">Stewart, Hamish. </w:t>
      </w:r>
      <w:r w:rsidRPr="0014116C">
        <w:rPr>
          <w:i/>
          <w:iCs/>
        </w:rPr>
        <w:t>Fundamental Justice: Section 7 of the Canadian Charter of Rights and Freedoms</w:t>
      </w:r>
      <w:r w:rsidRPr="0014116C">
        <w:t>, 2nd ed. Toronto: Irwin Law, 2019.</w:t>
      </w:r>
    </w:p>
    <w:p w14:paraId="39B0D2F7" w14:textId="5897F3C1" w:rsidR="0097282F" w:rsidRPr="0014116C" w:rsidRDefault="0097282F" w:rsidP="0023265A">
      <w:pPr>
        <w:pStyle w:val="SCCNormalDoubleSpacing"/>
        <w:spacing w:after="240" w:line="240" w:lineRule="auto"/>
        <w:ind w:left="547" w:hanging="547"/>
        <w:rPr>
          <w:lang w:val="en-US"/>
        </w:rPr>
      </w:pPr>
      <w:r w:rsidRPr="0014116C">
        <w:rPr>
          <w:lang w:val="en-US"/>
        </w:rPr>
        <w:t>United Nations High Commissioner for Refugees.</w:t>
      </w:r>
      <w:r w:rsidRPr="0014116C">
        <w:rPr>
          <w:i/>
          <w:iCs/>
        </w:rPr>
        <w:t xml:space="preserve"> </w:t>
      </w:r>
      <w:r w:rsidRPr="0014116C">
        <w:rPr>
          <w:i/>
          <w:iCs/>
          <w:lang w:val="en-US"/>
        </w:rPr>
        <w:t>Guidelines on the Applicable Criteria and Standards relating to the Detention of Asylum</w:t>
      </w:r>
      <w:r w:rsidRPr="0014116C">
        <w:rPr>
          <w:i/>
          <w:iCs/>
          <w:lang w:val="en-US"/>
        </w:rPr>
        <w:noBreakHyphen/>
        <w:t>Seekers and Alternatives to Detention</w:t>
      </w:r>
      <w:r w:rsidRPr="0014116C">
        <w:rPr>
          <w:iCs/>
          <w:lang w:val="en-US"/>
        </w:rPr>
        <w:t xml:space="preserve">, </w:t>
      </w:r>
      <w:r w:rsidRPr="0014116C">
        <w:t>Geneva,</w:t>
      </w:r>
      <w:r w:rsidRPr="0014116C">
        <w:rPr>
          <w:iCs/>
          <w:lang w:val="en-US"/>
        </w:rPr>
        <w:t xml:space="preserve"> 2012.</w:t>
      </w:r>
    </w:p>
    <w:p w14:paraId="5C2BA850" w14:textId="22516792" w:rsidR="00142658" w:rsidRPr="0014116C" w:rsidRDefault="00142658" w:rsidP="0023265A">
      <w:pPr>
        <w:pStyle w:val="SCCNormalDoubleSpacing"/>
        <w:spacing w:after="240" w:line="240" w:lineRule="auto"/>
        <w:ind w:left="547" w:hanging="547"/>
        <w:rPr>
          <w:lang w:val="en-US"/>
        </w:rPr>
      </w:pPr>
      <w:r w:rsidRPr="0014116C">
        <w:rPr>
          <w:lang w:val="en-US"/>
        </w:rPr>
        <w:t>United Nations High Commissioner for Refugees.</w:t>
      </w:r>
      <w:r w:rsidRPr="0014116C">
        <w:rPr>
          <w:i/>
          <w:iCs/>
        </w:rPr>
        <w:t xml:space="preserve"> </w:t>
      </w:r>
      <w:r w:rsidR="0023265A" w:rsidRPr="0014116C">
        <w:rPr>
          <w:i/>
        </w:rPr>
        <w:t>Monitoring Report: Canada</w:t>
      </w:r>
      <w:r w:rsidR="0023265A" w:rsidRPr="0014116C">
        <w:rPr>
          <w:i/>
        </w:rPr>
        <w:noBreakHyphen/>
      </w:r>
      <w:r w:rsidRPr="0014116C">
        <w:rPr>
          <w:i/>
        </w:rPr>
        <w:t>United States “Safe Third Country” Agreement</w:t>
      </w:r>
      <w:r w:rsidRPr="0014116C">
        <w:t>. Ottawa, 2006.</w:t>
      </w:r>
    </w:p>
    <w:p w14:paraId="7ED45689" w14:textId="55E5CAAF" w:rsidR="009D11BD" w:rsidRPr="0014116C" w:rsidRDefault="007828D5" w:rsidP="0023265A">
      <w:pPr>
        <w:pStyle w:val="SCCNormalDoubleSpacing"/>
        <w:spacing w:after="240" w:line="240" w:lineRule="auto"/>
        <w:ind w:left="547" w:hanging="547"/>
        <w:rPr>
          <w:lang w:val="en-US"/>
        </w:rPr>
      </w:pPr>
      <w:r w:rsidRPr="0014116C">
        <w:rPr>
          <w:lang w:val="en-US"/>
        </w:rPr>
        <w:t>United Nations High Commissioner for Refugees</w:t>
      </w:r>
      <w:r w:rsidR="009D11BD" w:rsidRPr="0014116C">
        <w:rPr>
          <w:lang w:val="en-US"/>
        </w:rPr>
        <w:t>.</w:t>
      </w:r>
      <w:r w:rsidR="009D11BD" w:rsidRPr="0014116C">
        <w:rPr>
          <w:i/>
          <w:iCs/>
        </w:rPr>
        <w:t xml:space="preserve"> UNHCR Comments on the Draft Agreement between Canada and the United States of America for “Cooperation in the Examination of Refugee Status Claims from Nationals of Third Countries”</w:t>
      </w:r>
      <w:r w:rsidR="009D11BD" w:rsidRPr="0014116C">
        <w:rPr>
          <w:iCs/>
        </w:rPr>
        <w:t xml:space="preserve">, July 26, 2002 (online: https://www.refworld.org/docid/3d4e69614.html; </w:t>
      </w:r>
      <w:r w:rsidR="009D11BD" w:rsidRPr="0014116C">
        <w:rPr>
          <w:rStyle w:val="solexhl"/>
          <w:rFonts w:eastAsiaTheme="majorEastAsia"/>
          <w:color w:val="000000"/>
        </w:rPr>
        <w:t>archived version</w:t>
      </w:r>
      <w:r w:rsidR="009D11BD" w:rsidRPr="0014116C">
        <w:rPr>
          <w:color w:val="000000"/>
        </w:rPr>
        <w:t xml:space="preserve">: </w:t>
      </w:r>
      <w:hyperlink r:id="rId12" w:history="1">
        <w:r w:rsidR="009D11BD" w:rsidRPr="00B95CDA">
          <w:rPr>
            <w:rStyle w:val="Hyperlink"/>
          </w:rPr>
          <w:t>https://www.scc-csc.ca/cso-dce/2023SCC-CSC</w:t>
        </w:r>
        <w:r w:rsidR="003A074F" w:rsidRPr="00B95CDA">
          <w:rPr>
            <w:rStyle w:val="Hyperlink"/>
          </w:rPr>
          <w:t>17</w:t>
        </w:r>
        <w:r w:rsidR="009D11BD" w:rsidRPr="00B95CDA">
          <w:rPr>
            <w:rStyle w:val="Hyperlink"/>
          </w:rPr>
          <w:t>_</w:t>
        </w:r>
        <w:r w:rsidR="0044430C" w:rsidRPr="00B95CDA">
          <w:rPr>
            <w:rStyle w:val="Hyperlink"/>
          </w:rPr>
          <w:t>3</w:t>
        </w:r>
        <w:r w:rsidR="009D11BD" w:rsidRPr="00B95CDA">
          <w:rPr>
            <w:rStyle w:val="Hyperlink"/>
          </w:rPr>
          <w:t>_eng.pdf</w:t>
        </w:r>
      </w:hyperlink>
      <w:r w:rsidR="009D11BD" w:rsidRPr="0014116C">
        <w:rPr>
          <w:color w:val="000000"/>
        </w:rPr>
        <w:t>).</w:t>
      </w:r>
    </w:p>
    <w:p w14:paraId="69B2CBD1" w14:textId="4582D49C" w:rsidR="00A149DF" w:rsidRPr="0014116C" w:rsidRDefault="000F4BC7" w:rsidP="0023265A">
      <w:pPr>
        <w:pStyle w:val="SCCNormalDoubleSpacing"/>
        <w:spacing w:after="240" w:line="240" w:lineRule="auto"/>
        <w:ind w:left="547" w:hanging="547"/>
      </w:pPr>
      <w:r w:rsidRPr="0014116C">
        <w:rPr>
          <w:lang w:val="en-US"/>
        </w:rPr>
        <w:t xml:space="preserve">United Nations. Office of the High Commissioner for Human Rights. </w:t>
      </w:r>
      <w:r w:rsidRPr="0014116C">
        <w:rPr>
          <w:i/>
          <w:lang w:val="en-US"/>
        </w:rPr>
        <w:t>The principle of non</w:t>
      </w:r>
      <w:r w:rsidRPr="0014116C">
        <w:rPr>
          <w:i/>
          <w:lang w:val="en-US"/>
        </w:rPr>
        <w:noBreakHyphen/>
        <w:t xml:space="preserve">refoulement under international human </w:t>
      </w:r>
      <w:r w:rsidRPr="0014116C">
        <w:rPr>
          <w:i/>
        </w:rPr>
        <w:t>rights law</w:t>
      </w:r>
      <w:r w:rsidRPr="0014116C">
        <w:t>, July 5, 2018 (online: https://www.ohchr.org/sites/default/files/Documents/Issues/Migration/GlobalCompactMigration/ThePrincipleNon-RefoulementUnderInternationalHumanRightsLaw.pdf</w:t>
      </w:r>
      <w:r w:rsidRPr="0014116C">
        <w:rPr>
          <w:color w:val="000000"/>
        </w:rPr>
        <w:t>).</w:t>
      </w:r>
    </w:p>
    <w:p w14:paraId="345577C3" w14:textId="40FEE56F" w:rsidR="003D37EA" w:rsidRPr="0014116C" w:rsidRDefault="003D37EA" w:rsidP="00094FAC">
      <w:pPr>
        <w:pStyle w:val="SCCNormalDoubleSpacing"/>
        <w:spacing w:after="720" w:line="240" w:lineRule="auto"/>
        <w:ind w:left="547" w:hanging="547"/>
      </w:pPr>
      <w:r w:rsidRPr="0014116C">
        <w:t xml:space="preserve">van Ert, Gib. </w:t>
      </w:r>
      <w:r w:rsidRPr="0014116C">
        <w:rPr>
          <w:i/>
          <w:iCs/>
        </w:rPr>
        <w:t>Using International Law in Canadian Courts</w:t>
      </w:r>
      <w:r w:rsidRPr="0014116C">
        <w:t>, 2nd ed. Toronto: Irwin Law, 2008.</w:t>
      </w:r>
    </w:p>
    <w:bookmarkEnd w:id="3"/>
    <w:p w14:paraId="7E0E64E3" w14:textId="6D71CDAE" w:rsidR="00656313" w:rsidRPr="0014116C" w:rsidRDefault="00A86F40" w:rsidP="00094FAC">
      <w:pPr>
        <w:pStyle w:val="SCCNormalDoubleSpacing"/>
        <w:spacing w:after="480"/>
        <w:rPr>
          <w:lang w:val="en-US"/>
        </w:rPr>
      </w:pPr>
      <w:r w:rsidRPr="0014116C">
        <w:tab/>
      </w:r>
      <w:r w:rsidR="009B57B3" w:rsidRPr="0014116C">
        <w:t>APPEAL from a judgment of the Federal Court of Appeal</w:t>
      </w:r>
      <w:r w:rsidR="009F4A72" w:rsidRPr="0014116C">
        <w:t xml:space="preserve"> (</w:t>
      </w:r>
      <w:r w:rsidR="00F53A32" w:rsidRPr="0014116C">
        <w:t>Noël</w:t>
      </w:r>
      <w:r w:rsidR="001D7FC2" w:rsidRPr="0014116C">
        <w:t xml:space="preserve"> C.J. and</w:t>
      </w:r>
      <w:r w:rsidR="00F53A32" w:rsidRPr="0014116C">
        <w:t xml:space="preserve"> Stratas and Laskin JJ.A.), </w:t>
      </w:r>
      <w:hyperlink r:id="rId13" w:history="1">
        <w:r w:rsidR="00F53A32" w:rsidRPr="0014116C">
          <w:rPr>
            <w:rStyle w:val="Hyperlink"/>
            <w:lang w:val="en-US"/>
          </w:rPr>
          <w:t>2021 FCA 72</w:t>
        </w:r>
      </w:hyperlink>
      <w:r w:rsidR="00F53A32" w:rsidRPr="0014116C">
        <w:rPr>
          <w:lang w:val="en-US"/>
        </w:rPr>
        <w:t>,</w:t>
      </w:r>
      <w:r w:rsidR="002475F9" w:rsidRPr="0014116C">
        <w:rPr>
          <w:lang w:val="en-US"/>
        </w:rPr>
        <w:t xml:space="preserve"> </w:t>
      </w:r>
      <w:r w:rsidR="002475F9" w:rsidRPr="0014116C">
        <w:t>[2021] 3 F.C.R. 294,</w:t>
      </w:r>
      <w:r w:rsidR="00F53A32" w:rsidRPr="0014116C">
        <w:rPr>
          <w:lang w:val="en-US"/>
        </w:rPr>
        <w:t xml:space="preserve"> </w:t>
      </w:r>
      <w:r w:rsidR="005E3AEC" w:rsidRPr="0014116C">
        <w:rPr>
          <w:lang w:val="en-US"/>
        </w:rPr>
        <w:t>458 D.L.R. (4th) 125, 489 C.R.R. (2d) 276, 79 Imm. L.R. (4th) 1, [2021] F.C.J. No. 322 (QL), 2021 CarswellNat 1003</w:t>
      </w:r>
      <w:r w:rsidR="006B58C6" w:rsidRPr="0014116C">
        <w:rPr>
          <w:lang w:val="en-US"/>
        </w:rPr>
        <w:t xml:space="preserve"> (WL)</w:t>
      </w:r>
      <w:r w:rsidR="005E3AEC" w:rsidRPr="0014116C">
        <w:rPr>
          <w:lang w:val="en-US"/>
        </w:rPr>
        <w:t xml:space="preserve">, </w:t>
      </w:r>
      <w:r w:rsidR="00F53A32" w:rsidRPr="0014116C">
        <w:rPr>
          <w:lang w:val="en-US"/>
        </w:rPr>
        <w:t xml:space="preserve">setting aside a </w:t>
      </w:r>
      <w:r w:rsidR="00F53A32" w:rsidRPr="0014116C">
        <w:t xml:space="preserve">decision of </w:t>
      </w:r>
      <w:r w:rsidR="00F53A32" w:rsidRPr="0014116C">
        <w:rPr>
          <w:lang w:val="en-US"/>
        </w:rPr>
        <w:t>McDonald J., 2020 FC 770</w:t>
      </w:r>
      <w:r w:rsidR="002475F9" w:rsidRPr="0014116C">
        <w:rPr>
          <w:lang w:val="en-US"/>
        </w:rPr>
        <w:t xml:space="preserve">, </w:t>
      </w:r>
      <w:r w:rsidR="002475F9" w:rsidRPr="0014116C">
        <w:t>[2021] 1 F.C.R. 209</w:t>
      </w:r>
      <w:r w:rsidR="00F53A32" w:rsidRPr="0014116C">
        <w:rPr>
          <w:lang w:val="en-US"/>
        </w:rPr>
        <w:t xml:space="preserve">, </w:t>
      </w:r>
      <w:r w:rsidR="003B4684" w:rsidRPr="0014116C">
        <w:rPr>
          <w:lang w:val="en-US"/>
        </w:rPr>
        <w:t>448 D.L.R. (4th) 132, 75 Imm. L.R. (4th) 246, [2020] F.C.J. No. 795 (QL), 2020 CarswellNat 2684</w:t>
      </w:r>
      <w:r w:rsidR="006B58C6" w:rsidRPr="0014116C">
        <w:rPr>
          <w:lang w:val="en-US"/>
        </w:rPr>
        <w:t xml:space="preserve"> (WL)</w:t>
      </w:r>
      <w:r w:rsidR="003B4684" w:rsidRPr="0014116C">
        <w:rPr>
          <w:lang w:val="en-US"/>
        </w:rPr>
        <w:t xml:space="preserve">. </w:t>
      </w:r>
      <w:r w:rsidR="00F53A32" w:rsidRPr="0014116C">
        <w:rPr>
          <w:lang w:val="en-US"/>
        </w:rPr>
        <w:t xml:space="preserve">Appeal </w:t>
      </w:r>
      <w:r w:rsidR="00C822C9" w:rsidRPr="0014116C">
        <w:rPr>
          <w:lang w:val="en-US"/>
        </w:rPr>
        <w:t>allowed in part</w:t>
      </w:r>
      <w:r w:rsidR="00F53A32" w:rsidRPr="0014116C">
        <w:rPr>
          <w:lang w:val="en-US"/>
        </w:rPr>
        <w:t>.</w:t>
      </w:r>
    </w:p>
    <w:p w14:paraId="4D545E3D" w14:textId="6CB5E316" w:rsidR="006575DF" w:rsidRPr="0014116C" w:rsidRDefault="00456A82" w:rsidP="00094FAC">
      <w:pPr>
        <w:pStyle w:val="SCCNormalDoubleSpacing"/>
        <w:spacing w:after="480"/>
        <w:rPr>
          <w:rStyle w:val="SCCCounselPartyRoleChar"/>
        </w:rPr>
      </w:pPr>
      <w:r w:rsidRPr="0014116C">
        <w:rPr>
          <w:rStyle w:val="SCCCounselNameChar"/>
        </w:rPr>
        <w:tab/>
        <w:t>Andrew J. Br</w:t>
      </w:r>
      <w:r w:rsidR="007B4FAD" w:rsidRPr="0014116C">
        <w:rPr>
          <w:rStyle w:val="SCCCounselNameChar"/>
        </w:rPr>
        <w:t>ouwer</w:t>
      </w:r>
      <w:r w:rsidR="007B4FAD" w:rsidRPr="0014116C">
        <w:rPr>
          <w:rStyle w:val="SCCCounselNameChar"/>
          <w:i w:val="0"/>
        </w:rPr>
        <w:t xml:space="preserve"> and</w:t>
      </w:r>
      <w:r w:rsidRPr="0014116C">
        <w:rPr>
          <w:rStyle w:val="SCCCounselNameChar"/>
          <w:i w:val="0"/>
        </w:rPr>
        <w:t xml:space="preserve"> </w:t>
      </w:r>
      <w:r w:rsidR="007B4FAD" w:rsidRPr="0014116C">
        <w:rPr>
          <w:rStyle w:val="SCCCounselNameChar"/>
        </w:rPr>
        <w:t>Leigh Salsberg</w:t>
      </w:r>
      <w:r w:rsidRPr="0014116C">
        <w:rPr>
          <w:rStyle w:val="SCCCounselPartyRoleChar"/>
        </w:rPr>
        <w:t>, for the appellant</w:t>
      </w:r>
      <w:r w:rsidR="004F05E6" w:rsidRPr="0014116C">
        <w:rPr>
          <w:rStyle w:val="SCCCounselPartyRoleChar"/>
        </w:rPr>
        <w:t>s</w:t>
      </w:r>
      <w:r w:rsidR="00F71B04" w:rsidRPr="0014116C">
        <w:rPr>
          <w:rStyle w:val="SCCCounselPartyRoleChar"/>
        </w:rPr>
        <w:t xml:space="preserve"> </w:t>
      </w:r>
      <w:r w:rsidR="00C04BE4" w:rsidRPr="0014116C">
        <w:rPr>
          <w:rStyle w:val="SCCCounselPartyRoleChar"/>
        </w:rPr>
        <w:t xml:space="preserve">the </w:t>
      </w:r>
      <w:r w:rsidR="00F71B04" w:rsidRPr="0014116C">
        <w:rPr>
          <w:rStyle w:val="SCCCounselPartyRoleChar"/>
        </w:rPr>
        <w:t xml:space="preserve">Canadian Council for Refugees, Amnesty International and </w:t>
      </w:r>
      <w:r w:rsidR="00C04BE4" w:rsidRPr="0014116C">
        <w:rPr>
          <w:rStyle w:val="SCCCounselPartyRoleChar"/>
        </w:rPr>
        <w:t xml:space="preserve">the </w:t>
      </w:r>
      <w:r w:rsidR="00F71B04" w:rsidRPr="0014116C">
        <w:rPr>
          <w:rStyle w:val="SCCCounselPartyRoleChar"/>
        </w:rPr>
        <w:t>Canadian Council of Churches</w:t>
      </w:r>
      <w:r w:rsidR="00370710" w:rsidRPr="0014116C">
        <w:rPr>
          <w:rStyle w:val="SCCCounselPartyRoleChar"/>
        </w:rPr>
        <w:t>.</w:t>
      </w:r>
    </w:p>
    <w:p w14:paraId="38B015C3" w14:textId="36C93C3E" w:rsidR="006575DF" w:rsidRPr="0014116C" w:rsidRDefault="00456A82" w:rsidP="00094FAC">
      <w:pPr>
        <w:pStyle w:val="SCCNormalDoubleSpacing"/>
        <w:spacing w:after="480"/>
        <w:rPr>
          <w:lang w:val="en-US"/>
        </w:rPr>
      </w:pPr>
      <w:r w:rsidRPr="0014116C">
        <w:rPr>
          <w:rStyle w:val="SCCCounselNameChar"/>
        </w:rPr>
        <w:tab/>
        <w:t>Prasanna Balasundaram</w:t>
      </w:r>
      <w:r w:rsidRPr="0014116C">
        <w:rPr>
          <w:rStyle w:val="SCCCounselPartyRoleChar"/>
        </w:rPr>
        <w:t>, for the appellant</w:t>
      </w:r>
      <w:r w:rsidR="004F05E6" w:rsidRPr="0014116C">
        <w:rPr>
          <w:rStyle w:val="SCCCounselPartyRoleChar"/>
        </w:rPr>
        <w:t>s</w:t>
      </w:r>
      <w:r w:rsidR="00C04BE4" w:rsidRPr="0014116C">
        <w:rPr>
          <w:rStyle w:val="SCCCounselPartyRoleChar"/>
        </w:rPr>
        <w:t xml:space="preserve"> ABC, DE by her litigation guardian ABC, FG by her litigation guardian ABC</w:t>
      </w:r>
      <w:r w:rsidR="00E56F85" w:rsidRPr="0014116C">
        <w:rPr>
          <w:rStyle w:val="SCCCounselPartyRoleChar"/>
        </w:rPr>
        <w:t>,</w:t>
      </w:r>
      <w:r w:rsidR="00C04BE4" w:rsidRPr="0014116C">
        <w:rPr>
          <w:rStyle w:val="SCCCounselPartyRoleChar"/>
        </w:rPr>
        <w:t xml:space="preserve"> and </w:t>
      </w:r>
      <w:r w:rsidR="00C04BE4" w:rsidRPr="0014116C">
        <w:rPr>
          <w:lang w:val="en-US"/>
        </w:rPr>
        <w:t>Nedira Jemal Mustefa.</w:t>
      </w:r>
    </w:p>
    <w:p w14:paraId="664F6A1B" w14:textId="59762157" w:rsidR="006575DF" w:rsidRPr="0014116C" w:rsidRDefault="00456A82" w:rsidP="00094FAC">
      <w:pPr>
        <w:pStyle w:val="SCCNormalDoubleSpacing"/>
        <w:spacing w:after="480"/>
      </w:pPr>
      <w:r w:rsidRPr="0014116C">
        <w:rPr>
          <w:rStyle w:val="SCCCounselNameChar"/>
        </w:rPr>
        <w:tab/>
        <w:t>Jared Will</w:t>
      </w:r>
      <w:r w:rsidRPr="0014116C">
        <w:rPr>
          <w:rStyle w:val="SCCCounselPartyRoleChar"/>
        </w:rPr>
        <w:t>, for the appellant</w:t>
      </w:r>
      <w:r w:rsidR="004F05E6" w:rsidRPr="0014116C">
        <w:rPr>
          <w:rStyle w:val="SCCCounselPartyRoleChar"/>
        </w:rPr>
        <w:t>s</w:t>
      </w:r>
      <w:r w:rsidR="00C04BE4" w:rsidRPr="0014116C">
        <w:rPr>
          <w:rStyle w:val="SCCCounselPartyRoleChar"/>
        </w:rPr>
        <w:t xml:space="preserve"> Mohammad Majd Maher Homsi, Hala Maher Homsi, Karam Maher Homsi and Reda Yassin Al Nahass.</w:t>
      </w:r>
    </w:p>
    <w:p w14:paraId="1D0E6500" w14:textId="15B85291" w:rsidR="006575DF" w:rsidRPr="0014116C" w:rsidRDefault="00456A82" w:rsidP="00094FAC">
      <w:pPr>
        <w:pStyle w:val="SCCNormalDoubleSpacing"/>
        <w:spacing w:after="480"/>
      </w:pPr>
      <w:r w:rsidRPr="0014116C">
        <w:rPr>
          <w:rStyle w:val="SCCCounselNameChar"/>
        </w:rPr>
        <w:tab/>
        <w:t>Marianne Zoric</w:t>
      </w:r>
      <w:r w:rsidRPr="0014116C">
        <w:rPr>
          <w:rStyle w:val="SCCCounselSeparatorChar"/>
        </w:rPr>
        <w:t xml:space="preserve"> and </w:t>
      </w:r>
      <w:r w:rsidRPr="0014116C">
        <w:rPr>
          <w:rStyle w:val="SCCCounselNameChar"/>
        </w:rPr>
        <w:t>Ian Demers</w:t>
      </w:r>
      <w:r w:rsidRPr="0014116C">
        <w:rPr>
          <w:rStyle w:val="SCCCounselPartyRoleChar"/>
        </w:rPr>
        <w:t>, for the respondent</w:t>
      </w:r>
      <w:r w:rsidR="00203E71" w:rsidRPr="0014116C">
        <w:rPr>
          <w:rStyle w:val="SCCCounselPartyRoleChar"/>
        </w:rPr>
        <w:t>s</w:t>
      </w:r>
      <w:r w:rsidRPr="0014116C">
        <w:rPr>
          <w:rStyle w:val="SCCCounselPartyRoleChar"/>
        </w:rPr>
        <w:t>.</w:t>
      </w:r>
    </w:p>
    <w:p w14:paraId="213CFF2E" w14:textId="1528CD31" w:rsidR="006575DF" w:rsidRPr="0014116C" w:rsidRDefault="00456A82" w:rsidP="00094FAC">
      <w:pPr>
        <w:pStyle w:val="SCCNormalDoubleSpacing"/>
        <w:spacing w:after="480"/>
        <w:rPr>
          <w:lang w:val="fr-CA"/>
        </w:rPr>
      </w:pPr>
      <w:r w:rsidRPr="0014116C">
        <w:rPr>
          <w:rStyle w:val="SCCCounselNameChar"/>
        </w:rPr>
        <w:tab/>
      </w:r>
      <w:r w:rsidR="00094FAC" w:rsidRPr="0014116C">
        <w:rPr>
          <w:rStyle w:val="SCCCounselNameChar"/>
          <w:lang w:val="fr-CA"/>
        </w:rPr>
        <w:t>Guillaume Cliche</w:t>
      </w:r>
      <w:r w:rsidR="00094FAC" w:rsidRPr="0014116C">
        <w:rPr>
          <w:rStyle w:val="SCCCounselNameChar"/>
          <w:lang w:val="fr-CA"/>
        </w:rPr>
        <w:noBreakHyphen/>
      </w:r>
      <w:r w:rsidRPr="0014116C">
        <w:rPr>
          <w:rStyle w:val="SCCCounselNameChar"/>
          <w:lang w:val="fr-CA"/>
        </w:rPr>
        <w:t>Rivard</w:t>
      </w:r>
      <w:r w:rsidRPr="0014116C">
        <w:rPr>
          <w:rStyle w:val="SCCCounselPartyRoleChar"/>
          <w:lang w:val="fr-CA"/>
        </w:rPr>
        <w:t>, for the intervener Association québécoise des avocats et avocates en droit de l</w:t>
      </w:r>
      <w:r w:rsidR="00A57DC1" w:rsidRPr="0014116C">
        <w:rPr>
          <w:rStyle w:val="SCCCounselPartyRoleChar"/>
          <w:lang w:val="fr-CA"/>
        </w:rPr>
        <w:t>’</w:t>
      </w:r>
      <w:r w:rsidRPr="0014116C">
        <w:rPr>
          <w:rStyle w:val="SCCCounselPartyRoleChar"/>
          <w:lang w:val="fr-CA"/>
        </w:rPr>
        <w:t>immigration.</w:t>
      </w:r>
    </w:p>
    <w:p w14:paraId="3C7EEB63" w14:textId="1857EC79" w:rsidR="006575DF" w:rsidRPr="0014116C" w:rsidRDefault="00456A82" w:rsidP="00094FAC">
      <w:pPr>
        <w:pStyle w:val="SCCNormalDoubleSpacing"/>
        <w:spacing w:after="480"/>
      </w:pPr>
      <w:r w:rsidRPr="0014116C">
        <w:rPr>
          <w:rStyle w:val="SCCCounselNameChar"/>
          <w:lang w:val="fr-CA"/>
        </w:rPr>
        <w:tab/>
      </w:r>
      <w:r w:rsidRPr="0014116C">
        <w:rPr>
          <w:rStyle w:val="SCCCounselNameChar"/>
        </w:rPr>
        <w:t>Jacqueline Swaisland</w:t>
      </w:r>
      <w:r w:rsidRPr="0014116C">
        <w:rPr>
          <w:rStyle w:val="SCCCounselNameChar"/>
          <w:i w:val="0"/>
        </w:rPr>
        <w:t>,</w:t>
      </w:r>
      <w:r w:rsidRPr="0014116C">
        <w:rPr>
          <w:rStyle w:val="SCCCounselNameChar"/>
        </w:rPr>
        <w:t xml:space="preserve"> </w:t>
      </w:r>
      <w:r w:rsidR="00575946" w:rsidRPr="0014116C">
        <w:rPr>
          <w:rStyle w:val="SCCCounselNameChar"/>
        </w:rPr>
        <w:t>Benjamin Liston</w:t>
      </w:r>
      <w:r w:rsidR="00575946" w:rsidRPr="0014116C">
        <w:rPr>
          <w:rStyle w:val="SCCCounselNameChar"/>
          <w:i w:val="0"/>
        </w:rPr>
        <w:t>,</w:t>
      </w:r>
      <w:r w:rsidR="00575946" w:rsidRPr="0014116C">
        <w:rPr>
          <w:rStyle w:val="SCCCounselNameChar"/>
        </w:rPr>
        <w:t xml:space="preserve"> Efrat Arbel </w:t>
      </w:r>
      <w:r w:rsidR="00575946" w:rsidRPr="0014116C">
        <w:rPr>
          <w:rStyle w:val="SCCCounselNameChar"/>
          <w:i w:val="0"/>
        </w:rPr>
        <w:t>and</w:t>
      </w:r>
      <w:r w:rsidRPr="0014116C">
        <w:rPr>
          <w:rStyle w:val="SCCCounselNameChar"/>
        </w:rPr>
        <w:t xml:space="preserve"> Jonathan Porter</w:t>
      </w:r>
      <w:r w:rsidRPr="0014116C">
        <w:rPr>
          <w:rStyle w:val="SCCCounselPartyRoleChar"/>
        </w:rPr>
        <w:t xml:space="preserve">, for the intervener </w:t>
      </w:r>
      <w:r w:rsidR="00575946" w:rsidRPr="0014116C">
        <w:rPr>
          <w:rStyle w:val="SCCCounselPartyRoleChar"/>
        </w:rPr>
        <w:t xml:space="preserve">the </w:t>
      </w:r>
      <w:r w:rsidRPr="0014116C">
        <w:rPr>
          <w:rStyle w:val="SCCCounselPartyRoleChar"/>
        </w:rPr>
        <w:t>Canadian Civil Liberties Association.</w:t>
      </w:r>
    </w:p>
    <w:p w14:paraId="70CD9793" w14:textId="4ACB2737" w:rsidR="006575DF" w:rsidRPr="0014116C" w:rsidRDefault="00456A82" w:rsidP="00094FAC">
      <w:pPr>
        <w:pStyle w:val="SCCNormalDoubleSpacing"/>
        <w:spacing w:after="480"/>
      </w:pPr>
      <w:r w:rsidRPr="0014116C">
        <w:rPr>
          <w:rStyle w:val="SCCCounselNameChar"/>
        </w:rPr>
        <w:tab/>
      </w:r>
      <w:r w:rsidR="00714148" w:rsidRPr="0014116C">
        <w:rPr>
          <w:rStyle w:val="SCCCounselNameChar"/>
          <w:i w:val="0"/>
        </w:rPr>
        <w:t xml:space="preserve">Written submissions only by </w:t>
      </w:r>
      <w:r w:rsidRPr="0014116C">
        <w:rPr>
          <w:rStyle w:val="SCCCounselNameChar"/>
        </w:rPr>
        <w:t>Maureen Silcoff</w:t>
      </w:r>
      <w:r w:rsidRPr="0014116C">
        <w:rPr>
          <w:rStyle w:val="SCCCounselSeparatorChar"/>
        </w:rPr>
        <w:t xml:space="preserve"> and </w:t>
      </w:r>
      <w:r w:rsidRPr="0014116C">
        <w:rPr>
          <w:rStyle w:val="SCCCounselNameChar"/>
        </w:rPr>
        <w:t>Adam Bercovitch Sadinsky</w:t>
      </w:r>
      <w:r w:rsidRPr="0014116C">
        <w:rPr>
          <w:rStyle w:val="SCCCounselPartyRoleChar"/>
        </w:rPr>
        <w:t xml:space="preserve">, for the intervener </w:t>
      </w:r>
      <w:r w:rsidR="00076444" w:rsidRPr="0014116C">
        <w:rPr>
          <w:rStyle w:val="SCCCounselPartyRoleChar"/>
        </w:rPr>
        <w:t xml:space="preserve">the </w:t>
      </w:r>
      <w:r w:rsidRPr="0014116C">
        <w:rPr>
          <w:rStyle w:val="SCCCounselPartyRoleChar"/>
        </w:rPr>
        <w:t>Canadian Association of Refugee Lawyers.</w:t>
      </w:r>
    </w:p>
    <w:p w14:paraId="2B3BB82A" w14:textId="1CEFEC1C" w:rsidR="006575DF" w:rsidRPr="0014116C" w:rsidRDefault="00456A82" w:rsidP="00094FAC">
      <w:pPr>
        <w:pStyle w:val="SCCNormalDoubleSpacing"/>
        <w:spacing w:after="480"/>
      </w:pPr>
      <w:r w:rsidRPr="0014116C">
        <w:rPr>
          <w:rStyle w:val="SCCCounselNameChar"/>
        </w:rPr>
        <w:tab/>
        <w:t>Naseem Mithoowani</w:t>
      </w:r>
      <w:r w:rsidRPr="0014116C">
        <w:rPr>
          <w:rStyle w:val="SCCCounselPartyRoleChar"/>
        </w:rPr>
        <w:t>,</w:t>
      </w:r>
      <w:r w:rsidR="00B279B1" w:rsidRPr="0014116C">
        <w:rPr>
          <w:rStyle w:val="SCCCounselPartyRoleChar"/>
        </w:rPr>
        <w:t xml:space="preserve"> </w:t>
      </w:r>
      <w:r w:rsidR="00094FAC" w:rsidRPr="0014116C">
        <w:rPr>
          <w:rStyle w:val="SCCCounselNameChar"/>
        </w:rPr>
        <w:t>Nusaiba Al</w:t>
      </w:r>
      <w:r w:rsidR="00094FAC" w:rsidRPr="0014116C">
        <w:rPr>
          <w:rStyle w:val="SCCCounselNameChar"/>
        </w:rPr>
        <w:noBreakHyphen/>
      </w:r>
      <w:r w:rsidR="00B279B1" w:rsidRPr="0014116C">
        <w:rPr>
          <w:rStyle w:val="SCCCounselNameChar"/>
        </w:rPr>
        <w:t>Azem</w:t>
      </w:r>
      <w:r w:rsidR="00B279B1" w:rsidRPr="0014116C">
        <w:rPr>
          <w:rStyle w:val="SCCCounselNameChar"/>
          <w:i w:val="0"/>
        </w:rPr>
        <w:t xml:space="preserve"> and </w:t>
      </w:r>
      <w:r w:rsidR="00B279B1" w:rsidRPr="0014116C">
        <w:rPr>
          <w:rStyle w:val="SCCCounselNameChar"/>
        </w:rPr>
        <w:t>Daniel Kuhlen</w:t>
      </w:r>
      <w:r w:rsidR="00B279B1" w:rsidRPr="0014116C">
        <w:rPr>
          <w:rStyle w:val="SCCCounselNameChar"/>
          <w:i w:val="0"/>
        </w:rPr>
        <w:t>,</w:t>
      </w:r>
      <w:r w:rsidRPr="0014116C">
        <w:rPr>
          <w:rStyle w:val="SCCCounselPartyRoleChar"/>
        </w:rPr>
        <w:t xml:space="preserve"> for the intervener</w:t>
      </w:r>
      <w:r w:rsidR="00B279B1" w:rsidRPr="0014116C">
        <w:rPr>
          <w:rStyle w:val="SCCCounselPartyRoleChar"/>
        </w:rPr>
        <w:t>s</w:t>
      </w:r>
      <w:r w:rsidRPr="0014116C">
        <w:rPr>
          <w:rStyle w:val="SCCCounselPartyRoleChar"/>
        </w:rPr>
        <w:t xml:space="preserve"> </w:t>
      </w:r>
      <w:r w:rsidR="00B279B1" w:rsidRPr="0014116C">
        <w:rPr>
          <w:rStyle w:val="SCCCounselPartyRoleChar"/>
        </w:rPr>
        <w:t xml:space="preserve">the National Council of Canadian Muslims and the </w:t>
      </w:r>
      <w:r w:rsidRPr="0014116C">
        <w:rPr>
          <w:rStyle w:val="SCCCounselPartyRoleChar"/>
        </w:rPr>
        <w:t>Canadian Muslim Lawyers Association.</w:t>
      </w:r>
    </w:p>
    <w:p w14:paraId="14B24E22" w14:textId="3FA22751" w:rsidR="006575DF" w:rsidRPr="0014116C" w:rsidRDefault="00456A82" w:rsidP="00094FAC">
      <w:pPr>
        <w:pStyle w:val="SCCNormalDoubleSpacing"/>
        <w:spacing w:after="480"/>
      </w:pPr>
      <w:r w:rsidRPr="0014116C">
        <w:rPr>
          <w:rStyle w:val="SCCCounselNameChar"/>
        </w:rPr>
        <w:tab/>
      </w:r>
      <w:r w:rsidR="00714148" w:rsidRPr="0014116C">
        <w:rPr>
          <w:rStyle w:val="SCCCounselNameChar"/>
          <w:i w:val="0"/>
        </w:rPr>
        <w:t xml:space="preserve">Written submissions only by </w:t>
      </w:r>
      <w:r w:rsidR="00BC0986" w:rsidRPr="0014116C">
        <w:rPr>
          <w:rStyle w:val="SCCCounselNameChar"/>
        </w:rPr>
        <w:t>Lorne Waldman</w:t>
      </w:r>
      <w:r w:rsidR="00BC0986" w:rsidRPr="0014116C">
        <w:rPr>
          <w:rStyle w:val="SCCCounselNameChar"/>
          <w:i w:val="0"/>
        </w:rPr>
        <w:t xml:space="preserve"> and</w:t>
      </w:r>
      <w:r w:rsidRPr="0014116C">
        <w:rPr>
          <w:rStyle w:val="SCCCounselNameChar"/>
        </w:rPr>
        <w:t xml:space="preserve"> Steven Blakey</w:t>
      </w:r>
      <w:r w:rsidRPr="0014116C">
        <w:rPr>
          <w:rStyle w:val="SCCCounselPartyRoleChar"/>
        </w:rPr>
        <w:t>, for the intervener</w:t>
      </w:r>
      <w:r w:rsidR="00BC0986" w:rsidRPr="0014116C">
        <w:rPr>
          <w:rStyle w:val="SCCCounselPartyRoleChar"/>
        </w:rPr>
        <w:t>s the</w:t>
      </w:r>
      <w:r w:rsidRPr="0014116C">
        <w:rPr>
          <w:rStyle w:val="SCCCounselPartyRoleChar"/>
        </w:rPr>
        <w:t xml:space="preserve"> Canadian Lawyers for International Human Rights and the Canadian Centre for Victims of Torture.</w:t>
      </w:r>
    </w:p>
    <w:p w14:paraId="2D31D2F8" w14:textId="3D441ABF" w:rsidR="006575DF" w:rsidRPr="0014116C" w:rsidRDefault="00456A82" w:rsidP="00094FAC">
      <w:pPr>
        <w:pStyle w:val="SCCNormalDoubleSpacing"/>
        <w:spacing w:after="480"/>
      </w:pPr>
      <w:r w:rsidRPr="0014116C">
        <w:rPr>
          <w:rStyle w:val="SCCCounselNameChar"/>
        </w:rPr>
        <w:tab/>
        <w:t>Alison M. Latimer</w:t>
      </w:r>
      <w:r w:rsidRPr="0014116C">
        <w:rPr>
          <w:rStyle w:val="SCCCounselNameChar"/>
          <w:i w:val="0"/>
        </w:rPr>
        <w:t>,</w:t>
      </w:r>
      <w:r w:rsidRPr="0014116C">
        <w:rPr>
          <w:rStyle w:val="SCCCounselNameChar"/>
        </w:rPr>
        <w:t xml:space="preserve"> K.C.</w:t>
      </w:r>
      <w:r w:rsidRPr="0014116C">
        <w:rPr>
          <w:rStyle w:val="SCCCounselPartyRoleChar"/>
        </w:rPr>
        <w:t xml:space="preserve">, for the intervener </w:t>
      </w:r>
      <w:r w:rsidR="00BC0986" w:rsidRPr="0014116C">
        <w:rPr>
          <w:rStyle w:val="SCCCounselPartyRoleChar"/>
        </w:rPr>
        <w:t xml:space="preserve">the </w:t>
      </w:r>
      <w:r w:rsidRPr="0014116C">
        <w:rPr>
          <w:rStyle w:val="SCCCounselPartyRoleChar"/>
        </w:rPr>
        <w:t>Queen</w:t>
      </w:r>
      <w:r w:rsidR="00A57DC1" w:rsidRPr="0014116C">
        <w:rPr>
          <w:rStyle w:val="SCCCounselPartyRoleChar"/>
        </w:rPr>
        <w:t>’</w:t>
      </w:r>
      <w:r w:rsidRPr="0014116C">
        <w:rPr>
          <w:rStyle w:val="SCCCounselPartyRoleChar"/>
        </w:rPr>
        <w:t>s Prison Law Clinic.</w:t>
      </w:r>
    </w:p>
    <w:p w14:paraId="59DEC80A" w14:textId="658B06FC" w:rsidR="006575DF" w:rsidRPr="0014116C" w:rsidRDefault="00456A82" w:rsidP="00094FAC">
      <w:pPr>
        <w:pStyle w:val="SCCNormalDoubleSpacing"/>
        <w:spacing w:after="480"/>
      </w:pPr>
      <w:r w:rsidRPr="0014116C">
        <w:rPr>
          <w:rStyle w:val="SCCCounselNameChar"/>
        </w:rPr>
        <w:tab/>
        <w:t>Frances Mahon</w:t>
      </w:r>
      <w:r w:rsidRPr="0014116C">
        <w:rPr>
          <w:rStyle w:val="SCCCounselSeparatorChar"/>
        </w:rPr>
        <w:t xml:space="preserve"> and </w:t>
      </w:r>
      <w:r w:rsidRPr="0014116C">
        <w:rPr>
          <w:rStyle w:val="SCCCounselNameChar"/>
        </w:rPr>
        <w:t>Yalda Kazemi</w:t>
      </w:r>
      <w:r w:rsidRPr="0014116C">
        <w:rPr>
          <w:rStyle w:val="SCCCounselPartyRoleChar"/>
        </w:rPr>
        <w:t xml:space="preserve">, for the intervener </w:t>
      </w:r>
      <w:r w:rsidR="00BC0986" w:rsidRPr="0014116C">
        <w:rPr>
          <w:rStyle w:val="SCCCounselPartyRoleChar"/>
        </w:rPr>
        <w:t xml:space="preserve">the </w:t>
      </w:r>
      <w:r w:rsidRPr="0014116C">
        <w:rPr>
          <w:rStyle w:val="SCCCounselPartyRoleChar"/>
        </w:rPr>
        <w:t>Rainbow Refugee Society.</w:t>
      </w:r>
    </w:p>
    <w:p w14:paraId="5479F578" w14:textId="122C117E" w:rsidR="006575DF" w:rsidRPr="0014116C" w:rsidRDefault="00456A82" w:rsidP="00094FAC">
      <w:pPr>
        <w:pStyle w:val="SCCNormalDoubleSpacing"/>
        <w:spacing w:after="480"/>
      </w:pPr>
      <w:r w:rsidRPr="0014116C">
        <w:rPr>
          <w:rStyle w:val="SCCCounselNameChar"/>
        </w:rPr>
        <w:tab/>
      </w:r>
      <w:r w:rsidR="00BC0986" w:rsidRPr="0014116C">
        <w:rPr>
          <w:rStyle w:val="SCCCounselNameChar"/>
        </w:rPr>
        <w:t xml:space="preserve">Adriel Weaver </w:t>
      </w:r>
      <w:r w:rsidRPr="0014116C">
        <w:rPr>
          <w:rStyle w:val="SCCCounselSeparatorChar"/>
        </w:rPr>
        <w:t>and</w:t>
      </w:r>
      <w:r w:rsidR="00BC0986" w:rsidRPr="0014116C">
        <w:rPr>
          <w:rStyle w:val="SCCCounselNameChar"/>
        </w:rPr>
        <w:t xml:space="preserve"> Jessica Orkin</w:t>
      </w:r>
      <w:r w:rsidRPr="0014116C">
        <w:rPr>
          <w:rStyle w:val="SCCCounselPartyRoleChar"/>
        </w:rPr>
        <w:t xml:space="preserve">, for the intervener </w:t>
      </w:r>
      <w:r w:rsidR="00BC0986" w:rsidRPr="0014116C">
        <w:rPr>
          <w:rStyle w:val="SCCCounselPartyRoleChar"/>
        </w:rPr>
        <w:t xml:space="preserve">the </w:t>
      </w:r>
      <w:r w:rsidRPr="0014116C">
        <w:rPr>
          <w:rStyle w:val="SCCCounselPartyRoleChar"/>
        </w:rPr>
        <w:t>British Columbia Civil Liberties Association.</w:t>
      </w:r>
    </w:p>
    <w:p w14:paraId="3409958C" w14:textId="70D8DFF6" w:rsidR="006575DF" w:rsidRPr="0014116C" w:rsidRDefault="00BD0D7C" w:rsidP="00094FAC">
      <w:pPr>
        <w:pStyle w:val="SCCNormalDoubleSpacing"/>
        <w:spacing w:after="480"/>
      </w:pPr>
      <w:r w:rsidRPr="0014116C">
        <w:rPr>
          <w:rStyle w:val="SCCCounselNameChar"/>
        </w:rPr>
        <w:tab/>
        <w:t xml:space="preserve">Connor Bildfell </w:t>
      </w:r>
      <w:r w:rsidR="00456A82" w:rsidRPr="0014116C">
        <w:rPr>
          <w:rStyle w:val="SCCCounselSeparatorChar"/>
        </w:rPr>
        <w:t xml:space="preserve">and </w:t>
      </w:r>
      <w:r w:rsidRPr="0014116C">
        <w:rPr>
          <w:rStyle w:val="SCCCounselNameChar"/>
        </w:rPr>
        <w:t>Asher Honickman</w:t>
      </w:r>
      <w:r w:rsidR="00456A82" w:rsidRPr="0014116C">
        <w:rPr>
          <w:rStyle w:val="SCCCounselPartyRoleChar"/>
        </w:rPr>
        <w:t xml:space="preserve">, for the intervener </w:t>
      </w:r>
      <w:r w:rsidRPr="0014116C">
        <w:rPr>
          <w:rStyle w:val="SCCCounselPartyRoleChar"/>
        </w:rPr>
        <w:t xml:space="preserve">the </w:t>
      </w:r>
      <w:r w:rsidR="00456A82" w:rsidRPr="0014116C">
        <w:rPr>
          <w:rStyle w:val="SCCCounselPartyRoleChar"/>
        </w:rPr>
        <w:t>Advocates for the Rule of Law.</w:t>
      </w:r>
    </w:p>
    <w:p w14:paraId="11BC1061" w14:textId="60BD3D4E" w:rsidR="006575DF" w:rsidRPr="0014116C" w:rsidRDefault="00456A82" w:rsidP="00094FAC">
      <w:pPr>
        <w:pStyle w:val="SCCNormalDoubleSpacing"/>
        <w:spacing w:after="480"/>
      </w:pPr>
      <w:r w:rsidRPr="0014116C">
        <w:rPr>
          <w:rStyle w:val="SCCCounselNameChar"/>
        </w:rPr>
        <w:tab/>
        <w:t>Cheryl Milne</w:t>
      </w:r>
      <w:r w:rsidRPr="0014116C">
        <w:rPr>
          <w:rStyle w:val="SCCCounselSeparatorChar"/>
        </w:rPr>
        <w:t xml:space="preserve"> and </w:t>
      </w:r>
      <w:r w:rsidRPr="0014116C">
        <w:rPr>
          <w:rStyle w:val="SCCCounselNameChar"/>
        </w:rPr>
        <w:t>Jamie Liew</w:t>
      </w:r>
      <w:r w:rsidRPr="0014116C">
        <w:rPr>
          <w:rStyle w:val="SCCCounselPartyRoleChar"/>
        </w:rPr>
        <w:t>, for the intervener</w:t>
      </w:r>
      <w:r w:rsidR="00BD0D7C" w:rsidRPr="0014116C">
        <w:rPr>
          <w:rStyle w:val="SCCCounselPartyRoleChar"/>
        </w:rPr>
        <w:t>s the</w:t>
      </w:r>
      <w:r w:rsidRPr="0014116C">
        <w:rPr>
          <w:rStyle w:val="SCCCounselPartyRoleChar"/>
        </w:rPr>
        <w:t xml:space="preserve"> David Asper Centre for Constitutional Rights, </w:t>
      </w:r>
      <w:r w:rsidR="0075288A" w:rsidRPr="0014116C">
        <w:rPr>
          <w:rStyle w:val="SCCCounselPartyRoleChar"/>
        </w:rPr>
        <w:t xml:space="preserve">the </w:t>
      </w:r>
      <w:r w:rsidRPr="0014116C">
        <w:rPr>
          <w:rStyle w:val="SCCCounselPartyRoleChar"/>
        </w:rPr>
        <w:t xml:space="preserve">West Coast Legal Education and Action Fund Association and </w:t>
      </w:r>
      <w:r w:rsidR="0075288A" w:rsidRPr="0014116C">
        <w:rPr>
          <w:rStyle w:val="SCCCounselPartyRoleChar"/>
        </w:rPr>
        <w:t xml:space="preserve">the </w:t>
      </w:r>
      <w:r w:rsidRPr="0014116C">
        <w:rPr>
          <w:rStyle w:val="SCCCounselPartyRoleChar"/>
        </w:rPr>
        <w:t>Women</w:t>
      </w:r>
      <w:r w:rsidR="00A57DC1" w:rsidRPr="0014116C">
        <w:rPr>
          <w:rStyle w:val="SCCCounselPartyRoleChar"/>
        </w:rPr>
        <w:t>’</w:t>
      </w:r>
      <w:r w:rsidRPr="0014116C">
        <w:rPr>
          <w:rStyle w:val="SCCCounselPartyRoleChar"/>
        </w:rPr>
        <w:t>s Legal</w:t>
      </w:r>
      <w:r w:rsidR="0075288A" w:rsidRPr="0014116C">
        <w:rPr>
          <w:rStyle w:val="SCCCounselPartyRoleChar"/>
        </w:rPr>
        <w:t xml:space="preserve"> Education and Action Fund Inc.</w:t>
      </w:r>
    </w:p>
    <w:p w14:paraId="35F17D2F" w14:textId="2E7C168A" w:rsidR="006575DF" w:rsidRPr="0014116C" w:rsidRDefault="00456A82" w:rsidP="00094FAC">
      <w:pPr>
        <w:pStyle w:val="SCCNormalDoubleSpacing"/>
        <w:spacing w:after="480"/>
      </w:pPr>
      <w:r w:rsidRPr="0014116C">
        <w:rPr>
          <w:rStyle w:val="SCCCounselNameChar"/>
        </w:rPr>
        <w:tab/>
      </w:r>
      <w:r w:rsidR="00714148" w:rsidRPr="0014116C">
        <w:rPr>
          <w:rStyle w:val="SCCCounselNameChar"/>
          <w:i w:val="0"/>
        </w:rPr>
        <w:t xml:space="preserve">Written submissions only by </w:t>
      </w:r>
      <w:r w:rsidRPr="0014116C">
        <w:rPr>
          <w:rStyle w:val="SCCCounselNameChar"/>
        </w:rPr>
        <w:t>Ewa Krajewska</w:t>
      </w:r>
      <w:r w:rsidRPr="0014116C">
        <w:rPr>
          <w:rStyle w:val="SCCCounselSeparatorChar"/>
        </w:rPr>
        <w:t xml:space="preserve"> and </w:t>
      </w:r>
      <w:r w:rsidRPr="0014116C">
        <w:rPr>
          <w:rStyle w:val="SCCCounselNameChar"/>
        </w:rPr>
        <w:t>Meghan Pearson</w:t>
      </w:r>
      <w:r w:rsidRPr="0014116C">
        <w:rPr>
          <w:rStyle w:val="SCCCounselPartyRoleChar"/>
        </w:rPr>
        <w:t>, for the interv</w:t>
      </w:r>
      <w:r w:rsidR="000246E9" w:rsidRPr="0014116C">
        <w:rPr>
          <w:rStyle w:val="SCCCounselPartyRoleChar"/>
        </w:rPr>
        <w:t xml:space="preserve">ener </w:t>
      </w:r>
      <w:r w:rsidR="008D402A" w:rsidRPr="0014116C">
        <w:rPr>
          <w:rStyle w:val="SCCCounselPartyRoleChar"/>
        </w:rPr>
        <w:t xml:space="preserve">the </w:t>
      </w:r>
      <w:r w:rsidR="000246E9" w:rsidRPr="0014116C">
        <w:rPr>
          <w:rStyle w:val="SCCCounselPartyRoleChar"/>
        </w:rPr>
        <w:t xml:space="preserve">HIV &amp; AIDS Legal Clinic </w:t>
      </w:r>
      <w:r w:rsidRPr="0014116C">
        <w:rPr>
          <w:rStyle w:val="SCCCounselPartyRoleChar"/>
        </w:rPr>
        <w:t>Ontario.</w:t>
      </w:r>
    </w:p>
    <w:p w14:paraId="4BBE6056" w14:textId="468079BC" w:rsidR="006575DF" w:rsidRPr="0014116C" w:rsidRDefault="00456A82" w:rsidP="00094FAC">
      <w:pPr>
        <w:pStyle w:val="SCCNormalDoubleSpacing"/>
        <w:spacing w:after="480"/>
      </w:pPr>
      <w:r w:rsidRPr="0014116C">
        <w:rPr>
          <w:rStyle w:val="SCCCounselNameChar"/>
        </w:rPr>
        <w:tab/>
        <w:t>Michael Battista</w:t>
      </w:r>
      <w:r w:rsidRPr="0014116C">
        <w:rPr>
          <w:rStyle w:val="SCCCounselSeparatorChar"/>
        </w:rPr>
        <w:t xml:space="preserve"> and </w:t>
      </w:r>
      <w:r w:rsidRPr="0014116C">
        <w:rPr>
          <w:rStyle w:val="SCCCounselNameChar"/>
        </w:rPr>
        <w:t>Adrienne Smith</w:t>
      </w:r>
      <w:r w:rsidRPr="0014116C">
        <w:rPr>
          <w:rStyle w:val="SCCCounselPartyRoleChar"/>
        </w:rPr>
        <w:t xml:space="preserve">, for the intervener </w:t>
      </w:r>
      <w:r w:rsidR="00A049BE" w:rsidRPr="0014116C">
        <w:rPr>
          <w:rStyle w:val="SCCCounselPartyRoleChar"/>
        </w:rPr>
        <w:t xml:space="preserve">the </w:t>
      </w:r>
      <w:r w:rsidRPr="0014116C">
        <w:rPr>
          <w:rStyle w:val="SCCCounselPartyRoleChar"/>
        </w:rPr>
        <w:t>Rainbow Railroad.</w:t>
      </w:r>
    </w:p>
    <w:p w14:paraId="72E8D9B2" w14:textId="77777777" w:rsidR="0014116C" w:rsidRPr="0014116C" w:rsidRDefault="0014116C" w:rsidP="00B95CDA">
      <w:pPr>
        <w:tabs>
          <w:tab w:val="left" w:pos="1134"/>
        </w:tabs>
        <w:jc w:val="both"/>
        <w:rPr>
          <w:szCs w:val="24"/>
        </w:rPr>
      </w:pPr>
      <w:r w:rsidRPr="0014116C">
        <w:rPr>
          <w:szCs w:val="24"/>
          <w:lang w:val="en-US"/>
        </w:rPr>
        <w:tab/>
      </w:r>
      <w:r w:rsidRPr="0014116C">
        <w:rPr>
          <w:szCs w:val="24"/>
        </w:rPr>
        <w:t>The judgment of the Court was delivered by</w:t>
      </w:r>
    </w:p>
    <w:p w14:paraId="69F480BD" w14:textId="77777777" w:rsidR="0014116C" w:rsidRPr="0014116C" w:rsidRDefault="0014116C" w:rsidP="0014116C">
      <w:pPr>
        <w:jc w:val="both"/>
        <w:rPr>
          <w:szCs w:val="24"/>
        </w:rPr>
      </w:pPr>
    </w:p>
    <w:p w14:paraId="27B3AF66" w14:textId="77777777" w:rsidR="0014116C" w:rsidRPr="0014116C" w:rsidRDefault="0014116C" w:rsidP="00B95CDA">
      <w:pPr>
        <w:pStyle w:val="JudgeJuge"/>
        <w:tabs>
          <w:tab w:val="clear" w:pos="1166"/>
          <w:tab w:val="left" w:pos="1134"/>
        </w:tabs>
      </w:pPr>
      <w:r w:rsidRPr="0014116C">
        <w:tab/>
        <w:t xml:space="preserve">Kasirer J. — </w:t>
      </w:r>
      <w:bookmarkStart w:id="4" w:name="_Toc127267636"/>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14116C" w:rsidRPr="0014116C" w14:paraId="067FA8F2" w14:textId="77777777" w:rsidTr="008D1E49">
        <w:trPr>
          <w:trHeight w:val="432"/>
        </w:trPr>
        <w:tc>
          <w:tcPr>
            <w:tcW w:w="9356" w:type="dxa"/>
            <w:gridSpan w:val="2"/>
          </w:tcPr>
          <w:p w14:paraId="335C9BAB" w14:textId="77777777" w:rsidR="0014116C" w:rsidRPr="0014116C" w:rsidRDefault="0014116C" w:rsidP="008D1E49">
            <w:pPr>
              <w:tabs>
                <w:tab w:val="center" w:pos="4050"/>
              </w:tabs>
              <w:rPr>
                <w:b/>
                <w:szCs w:val="24"/>
                <w:lang w:val="fr-FR"/>
              </w:rPr>
            </w:pPr>
            <w:bookmarkStart w:id="5" w:name="_Toc130454467"/>
            <w:r w:rsidRPr="0014116C">
              <w:rPr>
                <w:b/>
                <w:szCs w:val="24"/>
              </w:rPr>
              <w:tab/>
            </w:r>
            <w:r w:rsidRPr="0014116C">
              <w:rPr>
                <w:b/>
                <w:szCs w:val="24"/>
                <w:lang w:val="fr-FR"/>
              </w:rPr>
              <w:t>TABLE OF CONTENTS</w:t>
            </w:r>
          </w:p>
          <w:p w14:paraId="02CCD122" w14:textId="77777777" w:rsidR="0014116C" w:rsidRPr="0014116C" w:rsidRDefault="0014116C" w:rsidP="008D1E49">
            <w:pPr>
              <w:tabs>
                <w:tab w:val="center" w:pos="4050"/>
              </w:tabs>
              <w:rPr>
                <w:b/>
                <w:szCs w:val="24"/>
              </w:rPr>
            </w:pPr>
          </w:p>
        </w:tc>
      </w:tr>
      <w:tr w:rsidR="0014116C" w:rsidRPr="0014116C" w14:paraId="736D957F" w14:textId="77777777" w:rsidTr="008D1E49">
        <w:trPr>
          <w:trHeight w:val="432"/>
        </w:trPr>
        <w:tc>
          <w:tcPr>
            <w:tcW w:w="9356" w:type="dxa"/>
            <w:gridSpan w:val="2"/>
          </w:tcPr>
          <w:p w14:paraId="6A810A1B" w14:textId="77777777" w:rsidR="0014116C" w:rsidRPr="0014116C" w:rsidRDefault="0014116C" w:rsidP="008D1E49">
            <w:pPr>
              <w:tabs>
                <w:tab w:val="center" w:pos="4050"/>
              </w:tabs>
              <w:jc w:val="right"/>
              <w:rPr>
                <w:szCs w:val="24"/>
              </w:rPr>
            </w:pPr>
            <w:r w:rsidRPr="0014116C">
              <w:rPr>
                <w:szCs w:val="24"/>
              </w:rPr>
              <w:t>Paragraph</w:t>
            </w:r>
          </w:p>
        </w:tc>
      </w:tr>
      <w:tr w:rsidR="0014116C" w:rsidRPr="0014116C" w14:paraId="2781757E" w14:textId="77777777" w:rsidTr="008D1E49">
        <w:trPr>
          <w:trHeight w:val="432"/>
        </w:trPr>
        <w:tc>
          <w:tcPr>
            <w:tcW w:w="8505" w:type="dxa"/>
          </w:tcPr>
          <w:p w14:paraId="4E0D290A" w14:textId="77777777" w:rsidR="0014116C" w:rsidRPr="0014116C" w:rsidRDefault="0014116C" w:rsidP="008D1E49">
            <w:pPr>
              <w:tabs>
                <w:tab w:val="left" w:pos="480"/>
                <w:tab w:val="right" w:leader="dot" w:pos="8270"/>
              </w:tabs>
              <w:spacing w:after="100"/>
              <w:jc w:val="both"/>
              <w:rPr>
                <w:noProof/>
                <w:szCs w:val="24"/>
                <w:u w:val="single"/>
                <w:lang w:val="en-US"/>
              </w:rPr>
            </w:pPr>
            <w:r w:rsidRPr="0014116C">
              <w:rPr>
                <w:noProof/>
                <w:szCs w:val="24"/>
                <w:lang w:bidi="en-US"/>
              </w:rPr>
              <w:t>I.</w:t>
            </w:r>
            <w:r w:rsidRPr="0014116C">
              <w:rPr>
                <w:noProof/>
                <w:szCs w:val="24"/>
                <w:lang w:val="en-US"/>
              </w:rPr>
              <w:tab/>
            </w:r>
            <w:bookmarkStart w:id="6" w:name="_Toc130565298"/>
            <w:r w:rsidRPr="0014116C">
              <w:rPr>
                <w:u w:val="single"/>
              </w:rPr>
              <w:t>Overview</w:t>
            </w:r>
            <w:bookmarkEnd w:id="6"/>
          </w:p>
        </w:tc>
        <w:tc>
          <w:tcPr>
            <w:tcW w:w="851" w:type="dxa"/>
          </w:tcPr>
          <w:p w14:paraId="69EC40DE"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1</w:t>
            </w:r>
          </w:p>
        </w:tc>
      </w:tr>
      <w:tr w:rsidR="0014116C" w:rsidRPr="0014116C" w14:paraId="5F10EA4A" w14:textId="77777777" w:rsidTr="008D1E49">
        <w:trPr>
          <w:trHeight w:val="432"/>
        </w:trPr>
        <w:tc>
          <w:tcPr>
            <w:tcW w:w="8505" w:type="dxa"/>
          </w:tcPr>
          <w:p w14:paraId="2C852B61" w14:textId="77777777" w:rsidR="0014116C" w:rsidRPr="0014116C" w:rsidRDefault="0014116C" w:rsidP="008D1E49">
            <w:pPr>
              <w:tabs>
                <w:tab w:val="left" w:pos="480"/>
                <w:tab w:val="right" w:leader="dot" w:pos="8270"/>
              </w:tabs>
              <w:spacing w:after="100"/>
              <w:jc w:val="both"/>
              <w:rPr>
                <w:noProof/>
                <w:szCs w:val="24"/>
                <w:u w:val="single"/>
              </w:rPr>
            </w:pPr>
            <w:r w:rsidRPr="0014116C">
              <w:rPr>
                <w:noProof/>
                <w:szCs w:val="24"/>
                <w:lang w:bidi="en-US"/>
              </w:rPr>
              <w:t>II.</w:t>
            </w:r>
            <w:r w:rsidRPr="0014116C">
              <w:rPr>
                <w:noProof/>
                <w:szCs w:val="24"/>
                <w:lang w:val="en-US"/>
              </w:rPr>
              <w:tab/>
            </w:r>
            <w:bookmarkStart w:id="7" w:name="_Toc130565299"/>
            <w:r w:rsidRPr="0014116C">
              <w:rPr>
                <w:u w:val="single"/>
              </w:rPr>
              <w:t>The Parties</w:t>
            </w:r>
            <w:bookmarkEnd w:id="7"/>
          </w:p>
        </w:tc>
        <w:tc>
          <w:tcPr>
            <w:tcW w:w="851" w:type="dxa"/>
          </w:tcPr>
          <w:p w14:paraId="0BDE0275"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14</w:t>
            </w:r>
          </w:p>
        </w:tc>
      </w:tr>
      <w:tr w:rsidR="0014116C" w:rsidRPr="0014116C" w14:paraId="710E41DE" w14:textId="77777777" w:rsidTr="008D1E49">
        <w:trPr>
          <w:trHeight w:val="432"/>
        </w:trPr>
        <w:tc>
          <w:tcPr>
            <w:tcW w:w="8505" w:type="dxa"/>
          </w:tcPr>
          <w:p w14:paraId="26F90408" w14:textId="77777777" w:rsidR="0014116C" w:rsidRPr="0014116C" w:rsidRDefault="0014116C" w:rsidP="008D1E49">
            <w:pPr>
              <w:tabs>
                <w:tab w:val="left" w:pos="480"/>
                <w:tab w:val="right" w:leader="dot" w:pos="8270"/>
              </w:tabs>
              <w:spacing w:after="100"/>
              <w:jc w:val="both"/>
              <w:rPr>
                <w:noProof/>
                <w:szCs w:val="24"/>
                <w:lang w:bidi="en-US"/>
              </w:rPr>
            </w:pPr>
            <w:r w:rsidRPr="0014116C">
              <w:rPr>
                <w:noProof/>
                <w:szCs w:val="24"/>
                <w:lang w:bidi="en-US"/>
              </w:rPr>
              <w:t>III.</w:t>
            </w:r>
            <w:r w:rsidRPr="0014116C">
              <w:rPr>
                <w:noProof/>
                <w:szCs w:val="24"/>
                <w:lang w:val="en-US"/>
              </w:rPr>
              <w:tab/>
            </w:r>
            <w:bookmarkStart w:id="8" w:name="_Toc130565300"/>
            <w:r w:rsidRPr="0014116C">
              <w:rPr>
                <w:u w:val="single"/>
              </w:rPr>
              <w:t>Proceedings Below</w:t>
            </w:r>
            <w:bookmarkEnd w:id="8"/>
          </w:p>
        </w:tc>
        <w:tc>
          <w:tcPr>
            <w:tcW w:w="851" w:type="dxa"/>
          </w:tcPr>
          <w:p w14:paraId="3A1C7701"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20</w:t>
            </w:r>
          </w:p>
        </w:tc>
      </w:tr>
      <w:tr w:rsidR="0014116C" w:rsidRPr="0014116C" w14:paraId="0B1BC589" w14:textId="77777777" w:rsidTr="008D1E49">
        <w:trPr>
          <w:trHeight w:val="432"/>
        </w:trPr>
        <w:tc>
          <w:tcPr>
            <w:tcW w:w="8505" w:type="dxa"/>
          </w:tcPr>
          <w:p w14:paraId="4B01E00D" w14:textId="77777777" w:rsidR="0014116C" w:rsidRPr="0014116C" w:rsidRDefault="0014116C" w:rsidP="008D1E49">
            <w:pPr>
              <w:tabs>
                <w:tab w:val="left" w:pos="480"/>
                <w:tab w:val="right" w:leader="dot" w:pos="8270"/>
              </w:tabs>
              <w:spacing w:after="100"/>
              <w:jc w:val="both"/>
              <w:rPr>
                <w:noProof/>
                <w:szCs w:val="24"/>
                <w:u w:val="single"/>
                <w:lang w:val="en-US" w:bidi="en-US"/>
              </w:rPr>
            </w:pPr>
            <w:r w:rsidRPr="0014116C">
              <w:rPr>
                <w:noProof/>
                <w:szCs w:val="24"/>
                <w:lang w:val="en-US"/>
              </w:rPr>
              <w:t>A.</w:t>
            </w:r>
            <w:r w:rsidRPr="0014116C">
              <w:rPr>
                <w:noProof/>
                <w:szCs w:val="24"/>
                <w:lang w:val="en-US"/>
              </w:rPr>
              <w:tab/>
            </w:r>
            <w:bookmarkStart w:id="9" w:name="_Toc130565301"/>
            <w:r w:rsidRPr="0014116C">
              <w:rPr>
                <w:i/>
                <w:lang w:val="en-US"/>
              </w:rPr>
              <w:t>Federal Court, 2020 FC 770, [2021] 1 F.C.R. 209 (McDonald J.)</w:t>
            </w:r>
            <w:bookmarkEnd w:id="9"/>
          </w:p>
        </w:tc>
        <w:tc>
          <w:tcPr>
            <w:tcW w:w="851" w:type="dxa"/>
          </w:tcPr>
          <w:p w14:paraId="21FD3D0C"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20</w:t>
            </w:r>
          </w:p>
        </w:tc>
      </w:tr>
      <w:tr w:rsidR="0014116C" w:rsidRPr="0014116C" w14:paraId="492CB570" w14:textId="77777777" w:rsidTr="008D1E49">
        <w:trPr>
          <w:trHeight w:val="432"/>
        </w:trPr>
        <w:tc>
          <w:tcPr>
            <w:tcW w:w="8505" w:type="dxa"/>
          </w:tcPr>
          <w:p w14:paraId="4375D9E2" w14:textId="77777777" w:rsidR="0014116C" w:rsidRPr="0014116C" w:rsidRDefault="0014116C" w:rsidP="008D1E49">
            <w:pPr>
              <w:tabs>
                <w:tab w:val="left" w:pos="480"/>
                <w:tab w:val="right" w:leader="dot" w:pos="8270"/>
              </w:tabs>
              <w:spacing w:after="100"/>
              <w:ind w:left="475" w:hanging="475"/>
              <w:jc w:val="both"/>
              <w:rPr>
                <w:i/>
                <w:noProof/>
                <w:szCs w:val="24"/>
                <w:lang w:val="en-US"/>
              </w:rPr>
            </w:pPr>
            <w:r w:rsidRPr="0014116C">
              <w:rPr>
                <w:noProof/>
                <w:szCs w:val="24"/>
                <w:lang w:bidi="en-US"/>
              </w:rPr>
              <w:t>B.</w:t>
            </w:r>
            <w:r w:rsidRPr="0014116C">
              <w:rPr>
                <w:noProof/>
                <w:szCs w:val="24"/>
              </w:rPr>
              <w:tab/>
            </w:r>
            <w:bookmarkStart w:id="10" w:name="_Toc130565302"/>
            <w:r w:rsidRPr="0014116C">
              <w:rPr>
                <w:i/>
                <w:lang w:val="en-US"/>
              </w:rPr>
              <w:t>Federal Court of Appeal, 2021 FCA 72, [2021] 3 F.C.R. 294 (Noël C.J. and Stratas and Laskin JJ.A.)</w:t>
            </w:r>
            <w:bookmarkEnd w:id="10"/>
          </w:p>
        </w:tc>
        <w:tc>
          <w:tcPr>
            <w:tcW w:w="851" w:type="dxa"/>
          </w:tcPr>
          <w:p w14:paraId="1B348706"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26</w:t>
            </w:r>
          </w:p>
        </w:tc>
      </w:tr>
      <w:tr w:rsidR="0014116C" w:rsidRPr="0014116C" w14:paraId="1DEDE04E" w14:textId="77777777" w:rsidTr="008D1E49">
        <w:trPr>
          <w:trHeight w:val="432"/>
        </w:trPr>
        <w:tc>
          <w:tcPr>
            <w:tcW w:w="8505" w:type="dxa"/>
          </w:tcPr>
          <w:p w14:paraId="533975BC" w14:textId="77777777" w:rsidR="0014116C" w:rsidRPr="0014116C" w:rsidRDefault="0014116C" w:rsidP="008D1E49">
            <w:pPr>
              <w:tabs>
                <w:tab w:val="left" w:pos="480"/>
                <w:tab w:val="right" w:leader="dot" w:pos="8270"/>
              </w:tabs>
              <w:spacing w:after="100"/>
              <w:ind w:left="450" w:hanging="450"/>
              <w:jc w:val="both"/>
              <w:rPr>
                <w:i/>
                <w:noProof/>
                <w:szCs w:val="24"/>
              </w:rPr>
            </w:pPr>
            <w:r w:rsidRPr="0014116C">
              <w:rPr>
                <w:noProof/>
                <w:szCs w:val="24"/>
                <w:lang w:bidi="en-US"/>
              </w:rPr>
              <w:t>IV.</w:t>
            </w:r>
            <w:r w:rsidRPr="0014116C">
              <w:rPr>
                <w:noProof/>
                <w:szCs w:val="24"/>
              </w:rPr>
              <w:tab/>
            </w:r>
            <w:bookmarkStart w:id="11" w:name="_Toc130565303"/>
            <w:r w:rsidRPr="0014116C">
              <w:rPr>
                <w:u w:val="single"/>
              </w:rPr>
              <w:t>Issues</w:t>
            </w:r>
            <w:bookmarkEnd w:id="11"/>
          </w:p>
        </w:tc>
        <w:tc>
          <w:tcPr>
            <w:tcW w:w="851" w:type="dxa"/>
          </w:tcPr>
          <w:p w14:paraId="5E668449"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30</w:t>
            </w:r>
          </w:p>
        </w:tc>
      </w:tr>
      <w:tr w:rsidR="0014116C" w:rsidRPr="0014116C" w14:paraId="3467BF40" w14:textId="77777777" w:rsidTr="008D1E49">
        <w:trPr>
          <w:trHeight w:val="432"/>
        </w:trPr>
        <w:tc>
          <w:tcPr>
            <w:tcW w:w="8505" w:type="dxa"/>
          </w:tcPr>
          <w:p w14:paraId="49C2C682" w14:textId="77777777" w:rsidR="0014116C" w:rsidRPr="0014116C" w:rsidRDefault="0014116C" w:rsidP="008D1E49">
            <w:pPr>
              <w:tabs>
                <w:tab w:val="left" w:pos="480"/>
                <w:tab w:val="right" w:leader="dot" w:pos="8270"/>
              </w:tabs>
              <w:spacing w:after="100"/>
              <w:ind w:left="450" w:hanging="450"/>
              <w:jc w:val="both"/>
              <w:rPr>
                <w:noProof/>
                <w:szCs w:val="24"/>
                <w:u w:val="single"/>
                <w:lang w:val="en-US" w:bidi="en-US"/>
              </w:rPr>
            </w:pPr>
            <w:r w:rsidRPr="0014116C">
              <w:rPr>
                <w:noProof/>
                <w:szCs w:val="24"/>
                <w:lang w:val="en-US"/>
              </w:rPr>
              <w:t>V.</w:t>
            </w:r>
            <w:r w:rsidRPr="0014116C">
              <w:rPr>
                <w:noProof/>
                <w:szCs w:val="24"/>
                <w:lang w:val="en-US"/>
              </w:rPr>
              <w:tab/>
            </w:r>
            <w:bookmarkStart w:id="12" w:name="_Toc130565304"/>
            <w:r w:rsidRPr="0014116C">
              <w:rPr>
                <w:u w:val="single"/>
                <w:lang w:val="en-US"/>
              </w:rPr>
              <w:t>Statutory and Regulatory Scheme and Context</w:t>
            </w:r>
            <w:bookmarkEnd w:id="12"/>
          </w:p>
        </w:tc>
        <w:tc>
          <w:tcPr>
            <w:tcW w:w="851" w:type="dxa"/>
          </w:tcPr>
          <w:p w14:paraId="50464F94"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31</w:t>
            </w:r>
          </w:p>
        </w:tc>
      </w:tr>
      <w:tr w:rsidR="0014116C" w:rsidRPr="0014116C" w14:paraId="44396533" w14:textId="77777777" w:rsidTr="008D1E49">
        <w:trPr>
          <w:trHeight w:val="432"/>
        </w:trPr>
        <w:tc>
          <w:tcPr>
            <w:tcW w:w="8505" w:type="dxa"/>
          </w:tcPr>
          <w:p w14:paraId="0B20D5F7" w14:textId="77777777" w:rsidR="0014116C" w:rsidRPr="0014116C" w:rsidRDefault="0014116C" w:rsidP="008D1E49">
            <w:pPr>
              <w:tabs>
                <w:tab w:val="left" w:pos="480"/>
                <w:tab w:val="right" w:leader="dot" w:pos="8270"/>
              </w:tabs>
              <w:spacing w:after="100"/>
              <w:jc w:val="both"/>
              <w:rPr>
                <w:i/>
                <w:noProof/>
                <w:szCs w:val="24"/>
              </w:rPr>
            </w:pPr>
            <w:r w:rsidRPr="0014116C">
              <w:rPr>
                <w:noProof/>
                <w:szCs w:val="24"/>
                <w:lang w:bidi="en-US"/>
              </w:rPr>
              <w:t>A.</w:t>
            </w:r>
            <w:r w:rsidRPr="0014116C">
              <w:rPr>
                <w:noProof/>
                <w:szCs w:val="24"/>
              </w:rPr>
              <w:tab/>
            </w:r>
            <w:bookmarkStart w:id="13" w:name="_Toc130565305"/>
            <w:r w:rsidRPr="0014116C">
              <w:rPr>
                <w:i/>
                <w:lang w:val="en-US"/>
              </w:rPr>
              <w:t>Safe Third Country Agreement</w:t>
            </w:r>
            <w:bookmarkEnd w:id="13"/>
          </w:p>
        </w:tc>
        <w:tc>
          <w:tcPr>
            <w:tcW w:w="851" w:type="dxa"/>
          </w:tcPr>
          <w:p w14:paraId="05BD24CC"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32</w:t>
            </w:r>
          </w:p>
        </w:tc>
      </w:tr>
      <w:tr w:rsidR="0014116C" w:rsidRPr="0014116C" w14:paraId="571FBAF5" w14:textId="77777777" w:rsidTr="008D1E49">
        <w:trPr>
          <w:trHeight w:val="432"/>
        </w:trPr>
        <w:tc>
          <w:tcPr>
            <w:tcW w:w="8505" w:type="dxa"/>
          </w:tcPr>
          <w:p w14:paraId="68EC2D1E" w14:textId="77777777" w:rsidR="0014116C" w:rsidRPr="0014116C" w:rsidRDefault="0014116C" w:rsidP="008D1E49">
            <w:pPr>
              <w:tabs>
                <w:tab w:val="left" w:pos="480"/>
                <w:tab w:val="right" w:leader="dot" w:pos="8270"/>
              </w:tabs>
              <w:spacing w:after="100"/>
              <w:jc w:val="both"/>
              <w:rPr>
                <w:i/>
                <w:noProof/>
                <w:szCs w:val="24"/>
              </w:rPr>
            </w:pPr>
            <w:r w:rsidRPr="0014116C">
              <w:rPr>
                <w:noProof/>
                <w:szCs w:val="24"/>
                <w:lang w:bidi="en-US"/>
              </w:rPr>
              <w:t>B.</w:t>
            </w:r>
            <w:r w:rsidRPr="0014116C">
              <w:rPr>
                <w:noProof/>
                <w:szCs w:val="24"/>
              </w:rPr>
              <w:tab/>
            </w:r>
            <w:bookmarkStart w:id="14" w:name="_Toc130565306"/>
            <w:r w:rsidRPr="0014116C">
              <w:rPr>
                <w:i/>
                <w:lang w:val="en-US"/>
              </w:rPr>
              <w:t>Domestic Implementation of the Safe Third Country Agreement</w:t>
            </w:r>
            <w:bookmarkEnd w:id="14"/>
          </w:p>
        </w:tc>
        <w:tc>
          <w:tcPr>
            <w:tcW w:w="851" w:type="dxa"/>
          </w:tcPr>
          <w:p w14:paraId="478BBEB3"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bidi="en-US"/>
              </w:rPr>
              <w:t>37</w:t>
            </w:r>
          </w:p>
        </w:tc>
      </w:tr>
      <w:tr w:rsidR="0014116C" w:rsidRPr="0014116C" w14:paraId="06B4FFEA" w14:textId="77777777" w:rsidTr="008D1E49">
        <w:trPr>
          <w:trHeight w:val="432"/>
        </w:trPr>
        <w:tc>
          <w:tcPr>
            <w:tcW w:w="8505" w:type="dxa"/>
          </w:tcPr>
          <w:p w14:paraId="7754325A" w14:textId="77777777" w:rsidR="0014116C" w:rsidRPr="0014116C" w:rsidRDefault="0014116C" w:rsidP="008D1E49">
            <w:pPr>
              <w:tabs>
                <w:tab w:val="left" w:pos="1100"/>
                <w:tab w:val="right" w:leader="dot" w:pos="8270"/>
              </w:tabs>
              <w:spacing w:after="100"/>
              <w:ind w:left="480"/>
              <w:jc w:val="both"/>
              <w:rPr>
                <w:noProof/>
                <w:szCs w:val="24"/>
                <w:u w:val="single"/>
                <w:lang w:bidi="en-US"/>
              </w:rPr>
            </w:pPr>
            <w:r w:rsidRPr="0014116C">
              <w:rPr>
                <w:noProof/>
                <w:szCs w:val="24"/>
                <w:lang w:bidi="en-US"/>
                <w14:scene3d>
                  <w14:camera w14:prst="orthographicFront"/>
                  <w14:lightRig w14:rig="threePt" w14:dir="t">
                    <w14:rot w14:lat="0" w14:lon="0" w14:rev="0"/>
                  </w14:lightRig>
                </w14:scene3d>
              </w:rPr>
              <w:t>(1)</w:t>
            </w:r>
            <w:r w:rsidRPr="0014116C">
              <w:rPr>
                <w:noProof/>
                <w:szCs w:val="24"/>
              </w:rPr>
              <w:tab/>
            </w:r>
            <w:bookmarkStart w:id="15" w:name="_Toc130565307"/>
            <w:r w:rsidRPr="0014116C">
              <w:rPr>
                <w:u w:val="single"/>
              </w:rPr>
              <w:t>Designation and Review Mechanisms</w:t>
            </w:r>
            <w:bookmarkEnd w:id="15"/>
          </w:p>
        </w:tc>
        <w:tc>
          <w:tcPr>
            <w:tcW w:w="851" w:type="dxa"/>
          </w:tcPr>
          <w:p w14:paraId="741C8F5E"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38</w:t>
            </w:r>
          </w:p>
        </w:tc>
      </w:tr>
      <w:tr w:rsidR="0014116C" w:rsidRPr="0014116C" w14:paraId="22E9AAB4" w14:textId="77777777" w:rsidTr="008D1E49">
        <w:trPr>
          <w:trHeight w:val="432"/>
        </w:trPr>
        <w:tc>
          <w:tcPr>
            <w:tcW w:w="8505" w:type="dxa"/>
          </w:tcPr>
          <w:p w14:paraId="68CA63BC" w14:textId="77777777" w:rsidR="0014116C" w:rsidRPr="0014116C" w:rsidRDefault="0014116C" w:rsidP="008D1E49">
            <w:pPr>
              <w:tabs>
                <w:tab w:val="left" w:pos="1100"/>
                <w:tab w:val="right" w:leader="dot" w:pos="8270"/>
              </w:tabs>
              <w:spacing w:after="100"/>
              <w:ind w:left="480"/>
              <w:jc w:val="both"/>
              <w:rPr>
                <w:noProof/>
                <w:szCs w:val="24"/>
                <w:lang w:bidi="en-US"/>
                <w14:scene3d>
                  <w14:camera w14:prst="orthographicFront"/>
                  <w14:lightRig w14:rig="threePt" w14:dir="t">
                    <w14:rot w14:lat="0" w14:lon="0" w14:rev="0"/>
                  </w14:lightRig>
                </w14:scene3d>
              </w:rPr>
            </w:pPr>
            <w:r w:rsidRPr="0014116C">
              <w:rPr>
                <w:noProof/>
                <w:szCs w:val="24"/>
                <w:lang w:bidi="en-US"/>
                <w14:scene3d>
                  <w14:camera w14:prst="orthographicFront"/>
                  <w14:lightRig w14:rig="threePt" w14:dir="t">
                    <w14:rot w14:lat="0" w14:lon="0" w14:rev="0"/>
                  </w14:lightRig>
                </w14:scene3d>
              </w:rPr>
              <w:t>(2)</w:t>
            </w:r>
            <w:r w:rsidRPr="0014116C">
              <w:rPr>
                <w:noProof/>
                <w:szCs w:val="24"/>
              </w:rPr>
              <w:tab/>
            </w:r>
            <w:bookmarkStart w:id="16" w:name="_Toc130565308"/>
            <w:r w:rsidRPr="0014116C">
              <w:rPr>
                <w:u w:val="single"/>
                <w:lang w:val="en-US"/>
              </w:rPr>
              <w:t>Limits to the General Ineligibility Rule</w:t>
            </w:r>
            <w:bookmarkEnd w:id="16"/>
          </w:p>
        </w:tc>
        <w:tc>
          <w:tcPr>
            <w:tcW w:w="851" w:type="dxa"/>
          </w:tcPr>
          <w:p w14:paraId="37611830"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41</w:t>
            </w:r>
          </w:p>
        </w:tc>
      </w:tr>
      <w:tr w:rsidR="0014116C" w:rsidRPr="0014116C" w14:paraId="330BC18E" w14:textId="77777777" w:rsidTr="008D1E49">
        <w:trPr>
          <w:trHeight w:val="432"/>
        </w:trPr>
        <w:tc>
          <w:tcPr>
            <w:tcW w:w="8505" w:type="dxa"/>
          </w:tcPr>
          <w:p w14:paraId="794676E1" w14:textId="77777777" w:rsidR="0014116C" w:rsidRPr="0014116C" w:rsidRDefault="0014116C" w:rsidP="008D1E49">
            <w:pPr>
              <w:tabs>
                <w:tab w:val="left" w:pos="1100"/>
                <w:tab w:val="right" w:leader="dot" w:pos="8270"/>
              </w:tabs>
              <w:spacing w:after="100"/>
              <w:ind w:left="480"/>
              <w:jc w:val="both"/>
              <w:rPr>
                <w:noProof/>
                <w:szCs w:val="24"/>
                <w:lang w:val="en-US" w:bidi="en-US"/>
                <w14:scene3d>
                  <w14:camera w14:prst="orthographicFront"/>
                  <w14:lightRig w14:rig="threePt" w14:dir="t">
                    <w14:rot w14:lat="0" w14:lon="0" w14:rev="0"/>
                  </w14:lightRig>
                </w14:scene3d>
              </w:rPr>
            </w:pPr>
            <w:r w:rsidRPr="0014116C">
              <w:rPr>
                <w:noProof/>
                <w:szCs w:val="24"/>
                <w:lang w:bidi="en-US"/>
                <w14:scene3d>
                  <w14:camera w14:prst="orthographicFront"/>
                  <w14:lightRig w14:rig="threePt" w14:dir="t">
                    <w14:rot w14:lat="0" w14:lon="0" w14:rev="0"/>
                  </w14:lightRig>
                </w14:scene3d>
              </w:rPr>
              <w:t>(3)</w:t>
            </w:r>
            <w:r w:rsidRPr="0014116C">
              <w:rPr>
                <w:noProof/>
                <w:szCs w:val="24"/>
              </w:rPr>
              <w:tab/>
            </w:r>
            <w:bookmarkStart w:id="17" w:name="_Toc130565309"/>
            <w:r w:rsidRPr="0014116C">
              <w:rPr>
                <w:u w:val="single"/>
                <w:lang w:val="en-US"/>
              </w:rPr>
              <w:t>Exemptions From the Application of the General Ineligibility Rule</w:t>
            </w:r>
            <w:bookmarkEnd w:id="17"/>
          </w:p>
        </w:tc>
        <w:tc>
          <w:tcPr>
            <w:tcW w:w="851" w:type="dxa"/>
          </w:tcPr>
          <w:p w14:paraId="1F4B9E7C"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43</w:t>
            </w:r>
          </w:p>
        </w:tc>
      </w:tr>
      <w:tr w:rsidR="0014116C" w:rsidRPr="0014116C" w14:paraId="5BE9E7B8" w14:textId="77777777" w:rsidTr="008D1E49">
        <w:trPr>
          <w:trHeight w:val="432"/>
        </w:trPr>
        <w:tc>
          <w:tcPr>
            <w:tcW w:w="8505" w:type="dxa"/>
          </w:tcPr>
          <w:p w14:paraId="650D3B80" w14:textId="77777777" w:rsidR="0014116C" w:rsidRPr="0014116C" w:rsidRDefault="0014116C" w:rsidP="008D1E49">
            <w:pPr>
              <w:tabs>
                <w:tab w:val="left" w:pos="480"/>
                <w:tab w:val="right" w:leader="dot" w:pos="8270"/>
              </w:tabs>
              <w:spacing w:after="100"/>
              <w:jc w:val="both"/>
              <w:rPr>
                <w:i/>
                <w:noProof/>
                <w:szCs w:val="24"/>
              </w:rPr>
            </w:pPr>
            <w:r w:rsidRPr="0014116C">
              <w:rPr>
                <w:noProof/>
                <w:szCs w:val="24"/>
                <w:lang w:bidi="en-US"/>
              </w:rPr>
              <w:t>VI.</w:t>
            </w:r>
            <w:r w:rsidRPr="0014116C">
              <w:rPr>
                <w:noProof/>
                <w:szCs w:val="24"/>
              </w:rPr>
              <w:tab/>
            </w:r>
            <w:bookmarkStart w:id="18" w:name="_Toc130565310"/>
            <w:r w:rsidRPr="0014116C">
              <w:rPr>
                <w:u w:val="single"/>
              </w:rPr>
              <w:t>Administrative Law Issues</w:t>
            </w:r>
            <w:bookmarkEnd w:id="18"/>
          </w:p>
        </w:tc>
        <w:tc>
          <w:tcPr>
            <w:tcW w:w="851" w:type="dxa"/>
          </w:tcPr>
          <w:p w14:paraId="47B09250"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49</w:t>
            </w:r>
          </w:p>
        </w:tc>
      </w:tr>
      <w:tr w:rsidR="0014116C" w:rsidRPr="0014116C" w14:paraId="37F89A90" w14:textId="77777777" w:rsidTr="008D1E49">
        <w:trPr>
          <w:trHeight w:val="432"/>
        </w:trPr>
        <w:tc>
          <w:tcPr>
            <w:tcW w:w="8505" w:type="dxa"/>
          </w:tcPr>
          <w:p w14:paraId="376B63D2" w14:textId="77777777" w:rsidR="0014116C" w:rsidRPr="0014116C" w:rsidRDefault="0014116C" w:rsidP="008D1E49">
            <w:pPr>
              <w:tabs>
                <w:tab w:val="left" w:pos="480"/>
                <w:tab w:val="right" w:leader="dot" w:pos="8270"/>
              </w:tabs>
              <w:spacing w:after="100"/>
              <w:jc w:val="both"/>
              <w:rPr>
                <w:i/>
                <w:noProof/>
                <w:szCs w:val="24"/>
              </w:rPr>
            </w:pPr>
            <w:r w:rsidRPr="0014116C">
              <w:rPr>
                <w:noProof/>
                <w:szCs w:val="24"/>
                <w:lang w:bidi="en-US"/>
              </w:rPr>
              <w:t>VII.</w:t>
            </w:r>
            <w:r w:rsidRPr="0014116C">
              <w:rPr>
                <w:noProof/>
                <w:szCs w:val="24"/>
              </w:rPr>
              <w:tab/>
            </w:r>
            <w:bookmarkStart w:id="19" w:name="_Toc130565311"/>
            <w:r w:rsidRPr="0014116C">
              <w:rPr>
                <w:u w:val="single"/>
              </w:rPr>
              <w:t>The Section 7 Claim</w:t>
            </w:r>
            <w:bookmarkEnd w:id="19"/>
          </w:p>
        </w:tc>
        <w:tc>
          <w:tcPr>
            <w:tcW w:w="851" w:type="dxa"/>
          </w:tcPr>
          <w:p w14:paraId="2DE1514C"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56</w:t>
            </w:r>
          </w:p>
        </w:tc>
      </w:tr>
      <w:tr w:rsidR="0014116C" w:rsidRPr="0014116C" w14:paraId="58C8FCDC" w14:textId="77777777" w:rsidTr="008D1E49">
        <w:trPr>
          <w:trHeight w:val="432"/>
        </w:trPr>
        <w:tc>
          <w:tcPr>
            <w:tcW w:w="8505" w:type="dxa"/>
          </w:tcPr>
          <w:p w14:paraId="574E6ADD" w14:textId="77777777" w:rsidR="0014116C" w:rsidRPr="0014116C" w:rsidRDefault="0014116C" w:rsidP="008D1E49">
            <w:pPr>
              <w:tabs>
                <w:tab w:val="left" w:pos="480"/>
                <w:tab w:val="right" w:leader="dot" w:pos="8270"/>
              </w:tabs>
              <w:spacing w:after="100"/>
              <w:jc w:val="both"/>
              <w:rPr>
                <w:i/>
                <w:noProof/>
                <w:szCs w:val="24"/>
                <w:lang w:val="en-US"/>
              </w:rPr>
            </w:pPr>
            <w:r w:rsidRPr="0014116C">
              <w:rPr>
                <w:noProof/>
                <w:szCs w:val="24"/>
                <w:lang w:bidi="en-US"/>
              </w:rPr>
              <w:t>A.</w:t>
            </w:r>
            <w:r w:rsidRPr="0014116C">
              <w:rPr>
                <w:noProof/>
                <w:szCs w:val="24"/>
              </w:rPr>
              <w:tab/>
            </w:r>
            <w:bookmarkStart w:id="20" w:name="_Toc130565312"/>
            <w:r w:rsidRPr="0014116C">
              <w:rPr>
                <w:i/>
                <w:lang w:val="en-US"/>
              </w:rPr>
              <w:t>Properly Constituting a Section 7 Challenge</w:t>
            </w:r>
            <w:bookmarkEnd w:id="20"/>
          </w:p>
        </w:tc>
        <w:tc>
          <w:tcPr>
            <w:tcW w:w="851" w:type="dxa"/>
          </w:tcPr>
          <w:p w14:paraId="76669758"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59</w:t>
            </w:r>
          </w:p>
        </w:tc>
      </w:tr>
      <w:tr w:rsidR="0014116C" w:rsidRPr="0014116C" w14:paraId="7228FCBA" w14:textId="77777777" w:rsidTr="008D1E49">
        <w:trPr>
          <w:trHeight w:val="432"/>
        </w:trPr>
        <w:tc>
          <w:tcPr>
            <w:tcW w:w="8505" w:type="dxa"/>
          </w:tcPr>
          <w:p w14:paraId="3199615C" w14:textId="77777777" w:rsidR="0014116C" w:rsidRPr="0014116C" w:rsidRDefault="0014116C" w:rsidP="008D1E49">
            <w:pPr>
              <w:tabs>
                <w:tab w:val="left" w:pos="1100"/>
                <w:tab w:val="right" w:leader="dot" w:pos="8270"/>
              </w:tabs>
              <w:spacing w:after="100"/>
              <w:ind w:left="1080" w:hanging="600"/>
              <w:jc w:val="both"/>
              <w:rPr>
                <w:noProof/>
                <w:szCs w:val="24"/>
                <w:lang w:val="en-US" w:bidi="en-US"/>
                <w14:scene3d>
                  <w14:camera w14:prst="orthographicFront"/>
                  <w14:lightRig w14:rig="threePt" w14:dir="t">
                    <w14:rot w14:lat="0" w14:lon="0" w14:rev="0"/>
                  </w14:lightRig>
                </w14:scene3d>
              </w:rPr>
            </w:pPr>
            <w:r w:rsidRPr="0014116C">
              <w:rPr>
                <w:noProof/>
                <w:szCs w:val="24"/>
                <w:lang w:bidi="en-US"/>
                <w14:scene3d>
                  <w14:camera w14:prst="orthographicFront"/>
                  <w14:lightRig w14:rig="threePt" w14:dir="t">
                    <w14:rot w14:lat="0" w14:lon="0" w14:rev="0"/>
                  </w14:lightRig>
                </w14:scene3d>
              </w:rPr>
              <w:t>(1)</w:t>
            </w:r>
            <w:r w:rsidRPr="0014116C">
              <w:rPr>
                <w:noProof/>
                <w:szCs w:val="24"/>
              </w:rPr>
              <w:tab/>
            </w:r>
            <w:bookmarkStart w:id="21" w:name="_Toc130565314"/>
            <w:r w:rsidRPr="0014116C">
              <w:rPr>
                <w:u w:val="single"/>
                <w:lang w:val="en-US"/>
              </w:rPr>
              <w:t>The Relevance of Preventative and Curative Measures to the Section 7 Challenge</w:t>
            </w:r>
            <w:bookmarkEnd w:id="21"/>
          </w:p>
        </w:tc>
        <w:tc>
          <w:tcPr>
            <w:tcW w:w="851" w:type="dxa"/>
          </w:tcPr>
          <w:p w14:paraId="6438CD4D"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62</w:t>
            </w:r>
          </w:p>
        </w:tc>
      </w:tr>
      <w:tr w:rsidR="0014116C" w:rsidRPr="0014116C" w14:paraId="39E9820B" w14:textId="77777777" w:rsidTr="008D1E49">
        <w:trPr>
          <w:trHeight w:val="432"/>
        </w:trPr>
        <w:tc>
          <w:tcPr>
            <w:tcW w:w="8505" w:type="dxa"/>
          </w:tcPr>
          <w:p w14:paraId="29747225" w14:textId="77777777" w:rsidR="0014116C" w:rsidRPr="0014116C" w:rsidRDefault="0014116C" w:rsidP="008D1E49">
            <w:pPr>
              <w:tabs>
                <w:tab w:val="left" w:pos="1100"/>
                <w:tab w:val="right" w:leader="dot" w:pos="8270"/>
              </w:tabs>
              <w:spacing w:after="100"/>
              <w:ind w:left="1080" w:hanging="600"/>
              <w:jc w:val="both"/>
              <w:rPr>
                <w:noProof/>
                <w:szCs w:val="24"/>
                <w:lang w:val="en-US" w:bidi="en-US"/>
                <w14:scene3d>
                  <w14:camera w14:prst="orthographicFront"/>
                  <w14:lightRig w14:rig="threePt" w14:dir="t">
                    <w14:rot w14:lat="0" w14:lon="0" w14:rev="0"/>
                  </w14:lightRig>
                </w14:scene3d>
              </w:rPr>
            </w:pPr>
            <w:r w:rsidRPr="0014116C">
              <w:rPr>
                <w:noProof/>
                <w:szCs w:val="24"/>
                <w:lang w:bidi="en-US"/>
                <w14:scene3d>
                  <w14:camera w14:prst="orthographicFront"/>
                  <w14:lightRig w14:rig="threePt" w14:dir="t">
                    <w14:rot w14:lat="0" w14:lon="0" w14:rev="0"/>
                  </w14:lightRig>
                </w14:scene3d>
              </w:rPr>
              <w:t>(2)</w:t>
            </w:r>
            <w:r w:rsidRPr="0014116C">
              <w:rPr>
                <w:noProof/>
                <w:szCs w:val="24"/>
              </w:rPr>
              <w:tab/>
            </w:r>
            <w:bookmarkStart w:id="22" w:name="_Toc130565315"/>
            <w:r w:rsidRPr="0014116C">
              <w:rPr>
                <w:u w:val="single"/>
                <w:lang w:val="en-US"/>
              </w:rPr>
              <w:t>The Relevance of Associated Administrative Conduct to the Section 7 Challenge</w:t>
            </w:r>
            <w:bookmarkEnd w:id="22"/>
          </w:p>
        </w:tc>
        <w:tc>
          <w:tcPr>
            <w:tcW w:w="851" w:type="dxa"/>
          </w:tcPr>
          <w:p w14:paraId="734BB19B"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79</w:t>
            </w:r>
          </w:p>
        </w:tc>
      </w:tr>
      <w:tr w:rsidR="0014116C" w:rsidRPr="0014116C" w14:paraId="2A5E2E24" w14:textId="77777777" w:rsidTr="008D1E49">
        <w:trPr>
          <w:trHeight w:val="432"/>
        </w:trPr>
        <w:tc>
          <w:tcPr>
            <w:tcW w:w="8505" w:type="dxa"/>
          </w:tcPr>
          <w:p w14:paraId="4E2EA7DA" w14:textId="77777777" w:rsidR="0014116C" w:rsidRPr="0014116C" w:rsidRDefault="0014116C" w:rsidP="008D1E49">
            <w:pPr>
              <w:tabs>
                <w:tab w:val="left" w:pos="480"/>
                <w:tab w:val="right" w:leader="dot" w:pos="8270"/>
              </w:tabs>
              <w:spacing w:after="100"/>
              <w:jc w:val="both"/>
              <w:rPr>
                <w:i/>
                <w:noProof/>
                <w:szCs w:val="24"/>
                <w:lang w:val="en-US"/>
              </w:rPr>
            </w:pPr>
            <w:r w:rsidRPr="0014116C">
              <w:rPr>
                <w:noProof/>
                <w:szCs w:val="24"/>
                <w:lang w:bidi="en-US"/>
              </w:rPr>
              <w:t>B.</w:t>
            </w:r>
            <w:r w:rsidRPr="0014116C">
              <w:rPr>
                <w:noProof/>
                <w:szCs w:val="24"/>
              </w:rPr>
              <w:tab/>
            </w:r>
            <w:bookmarkStart w:id="23" w:name="_Toc130565316"/>
            <w:r w:rsidRPr="0014116C">
              <w:rPr>
                <w:i/>
                <w:lang w:val="en-US"/>
              </w:rPr>
              <w:t>Engagement of Section 7 Interests</w:t>
            </w:r>
            <w:bookmarkEnd w:id="23"/>
          </w:p>
        </w:tc>
        <w:tc>
          <w:tcPr>
            <w:tcW w:w="851" w:type="dxa"/>
          </w:tcPr>
          <w:p w14:paraId="6EEA3773"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83</w:t>
            </w:r>
          </w:p>
        </w:tc>
      </w:tr>
      <w:tr w:rsidR="0014116C" w:rsidRPr="0014116C" w14:paraId="42F2D878" w14:textId="77777777" w:rsidTr="008D1E49">
        <w:trPr>
          <w:trHeight w:val="432"/>
        </w:trPr>
        <w:tc>
          <w:tcPr>
            <w:tcW w:w="8505" w:type="dxa"/>
          </w:tcPr>
          <w:p w14:paraId="7A1CDC30" w14:textId="77777777" w:rsidR="0014116C" w:rsidRPr="0014116C" w:rsidRDefault="0014116C" w:rsidP="0014116C">
            <w:pPr>
              <w:pStyle w:val="ListParagraph"/>
              <w:numPr>
                <w:ilvl w:val="0"/>
                <w:numId w:val="11"/>
              </w:numPr>
              <w:tabs>
                <w:tab w:val="left" w:pos="1100"/>
                <w:tab w:val="right" w:leader="dot" w:pos="8270"/>
              </w:tabs>
              <w:spacing w:after="100" w:line="240" w:lineRule="auto"/>
              <w:ind w:left="1170" w:hanging="720"/>
              <w:jc w:val="both"/>
              <w:rPr>
                <w:rFonts w:cs="Times New Roman"/>
                <w:noProof/>
                <w:szCs w:val="24"/>
                <w:u w:val="single"/>
                <w:lang w:val="en-CA" w:bidi="en-US"/>
              </w:rPr>
            </w:pPr>
            <w:bookmarkStart w:id="24" w:name="_Toc130565317"/>
            <w:r w:rsidRPr="0014116C">
              <w:rPr>
                <w:rFonts w:cs="Times New Roman"/>
                <w:u w:val="single"/>
              </w:rPr>
              <w:t>Effects Implicating Section 7 Interests</w:t>
            </w:r>
            <w:bookmarkEnd w:id="24"/>
          </w:p>
        </w:tc>
        <w:tc>
          <w:tcPr>
            <w:tcW w:w="851" w:type="dxa"/>
          </w:tcPr>
          <w:p w14:paraId="403817B9"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85</w:t>
            </w:r>
          </w:p>
        </w:tc>
      </w:tr>
      <w:tr w:rsidR="0014116C" w:rsidRPr="0014116C" w14:paraId="7CEF0782" w14:textId="77777777" w:rsidTr="008D1E49">
        <w:trPr>
          <w:trHeight w:val="432"/>
        </w:trPr>
        <w:tc>
          <w:tcPr>
            <w:tcW w:w="8505" w:type="dxa"/>
          </w:tcPr>
          <w:p w14:paraId="79673946" w14:textId="77777777" w:rsidR="0014116C" w:rsidRPr="0014116C" w:rsidRDefault="0014116C" w:rsidP="0014116C">
            <w:pPr>
              <w:pStyle w:val="ListParagraph"/>
              <w:numPr>
                <w:ilvl w:val="0"/>
                <w:numId w:val="12"/>
              </w:numPr>
              <w:tabs>
                <w:tab w:val="left" w:pos="1170"/>
                <w:tab w:val="right" w:leader="dot" w:pos="8270"/>
              </w:tabs>
              <w:spacing w:after="100" w:line="240" w:lineRule="auto"/>
              <w:ind w:left="1105" w:hanging="630"/>
              <w:jc w:val="both"/>
              <w:rPr>
                <w:rFonts w:cs="Times New Roman"/>
                <w:noProof/>
                <w:szCs w:val="24"/>
                <w:lang w:bidi="en-US"/>
                <w14:scene3d>
                  <w14:camera w14:prst="orthographicFront"/>
                  <w14:lightRig w14:rig="threePt" w14:dir="t">
                    <w14:rot w14:lat="0" w14:lon="0" w14:rev="0"/>
                  </w14:lightRig>
                </w14:scene3d>
              </w:rPr>
            </w:pPr>
            <w:r w:rsidRPr="0014116C">
              <w:rPr>
                <w:rFonts w:cs="Times New Roman"/>
                <w:i/>
              </w:rPr>
              <w:t>Detention in the United States</w:t>
            </w:r>
          </w:p>
        </w:tc>
        <w:tc>
          <w:tcPr>
            <w:tcW w:w="851" w:type="dxa"/>
          </w:tcPr>
          <w:p w14:paraId="080D2FCA"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86</w:t>
            </w:r>
          </w:p>
        </w:tc>
      </w:tr>
      <w:tr w:rsidR="0014116C" w:rsidRPr="0014116C" w14:paraId="5F262B36" w14:textId="77777777" w:rsidTr="008D1E49">
        <w:trPr>
          <w:trHeight w:val="432"/>
        </w:trPr>
        <w:tc>
          <w:tcPr>
            <w:tcW w:w="8505" w:type="dxa"/>
          </w:tcPr>
          <w:p w14:paraId="79001017" w14:textId="77777777" w:rsidR="0014116C" w:rsidRPr="0014116C" w:rsidRDefault="0014116C" w:rsidP="0014116C">
            <w:pPr>
              <w:pStyle w:val="ListParagraph"/>
              <w:numPr>
                <w:ilvl w:val="0"/>
                <w:numId w:val="12"/>
              </w:numPr>
              <w:tabs>
                <w:tab w:val="left" w:pos="1170"/>
                <w:tab w:val="right" w:leader="dot" w:pos="8270"/>
              </w:tabs>
              <w:spacing w:after="100" w:line="240" w:lineRule="auto"/>
              <w:ind w:left="1080" w:hanging="600"/>
              <w:jc w:val="both"/>
              <w:rPr>
                <w:rFonts w:cs="Times New Roman"/>
                <w:noProof/>
                <w:szCs w:val="24"/>
                <w:lang w:bidi="en-US"/>
                <w14:scene3d>
                  <w14:camera w14:prst="orthographicFront"/>
                  <w14:lightRig w14:rig="threePt" w14:dir="t">
                    <w14:rot w14:lat="0" w14:lon="0" w14:rev="0"/>
                  </w14:lightRig>
                </w14:scene3d>
              </w:rPr>
            </w:pPr>
            <w:r w:rsidRPr="0014116C">
              <w:rPr>
                <w:rFonts w:cs="Times New Roman"/>
                <w:i/>
              </w:rPr>
              <w:t>Conditions While Detained in the United States</w:t>
            </w:r>
          </w:p>
        </w:tc>
        <w:tc>
          <w:tcPr>
            <w:tcW w:w="851" w:type="dxa"/>
          </w:tcPr>
          <w:p w14:paraId="12764AF4"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90</w:t>
            </w:r>
          </w:p>
        </w:tc>
      </w:tr>
      <w:tr w:rsidR="0014116C" w:rsidRPr="0014116C" w14:paraId="32B2B7FA" w14:textId="77777777" w:rsidTr="008D1E49">
        <w:trPr>
          <w:trHeight w:val="432"/>
        </w:trPr>
        <w:tc>
          <w:tcPr>
            <w:tcW w:w="8505" w:type="dxa"/>
          </w:tcPr>
          <w:p w14:paraId="565495C6" w14:textId="77777777" w:rsidR="0014116C" w:rsidRPr="0014116C" w:rsidRDefault="0014116C" w:rsidP="0014116C">
            <w:pPr>
              <w:pStyle w:val="ListParagraph"/>
              <w:numPr>
                <w:ilvl w:val="0"/>
                <w:numId w:val="12"/>
              </w:numPr>
              <w:tabs>
                <w:tab w:val="left" w:pos="1100"/>
                <w:tab w:val="right" w:leader="dot" w:pos="8270"/>
              </w:tabs>
              <w:spacing w:after="100" w:line="240" w:lineRule="auto"/>
              <w:ind w:left="1080" w:hanging="600"/>
              <w:jc w:val="both"/>
              <w:rPr>
                <w:rFonts w:cs="Times New Roman"/>
                <w:noProof/>
                <w:szCs w:val="24"/>
                <w:lang w:bidi="en-US"/>
                <w14:scene3d>
                  <w14:camera w14:prst="orthographicFront"/>
                  <w14:lightRig w14:rig="threePt" w14:dir="t">
                    <w14:rot w14:lat="0" w14:lon="0" w14:rev="0"/>
                  </w14:lightRig>
                </w14:scene3d>
              </w:rPr>
            </w:pPr>
            <w:r w:rsidRPr="0014116C">
              <w:rPr>
                <w:rFonts w:cs="Times New Roman"/>
                <w:i/>
              </w:rPr>
              <w:t>Risks of Refoulement From the United States</w:t>
            </w:r>
          </w:p>
        </w:tc>
        <w:tc>
          <w:tcPr>
            <w:tcW w:w="851" w:type="dxa"/>
          </w:tcPr>
          <w:p w14:paraId="0602C0FF"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95</w:t>
            </w:r>
          </w:p>
        </w:tc>
      </w:tr>
      <w:tr w:rsidR="0014116C" w:rsidRPr="0014116C" w14:paraId="5C9E2BAD" w14:textId="77777777" w:rsidTr="008D1E49">
        <w:trPr>
          <w:trHeight w:val="432"/>
        </w:trPr>
        <w:tc>
          <w:tcPr>
            <w:tcW w:w="8505" w:type="dxa"/>
          </w:tcPr>
          <w:p w14:paraId="0D48B449" w14:textId="77777777" w:rsidR="0014116C" w:rsidRPr="0014116C" w:rsidRDefault="0014116C" w:rsidP="0014116C">
            <w:pPr>
              <w:pStyle w:val="ListParagraph"/>
              <w:numPr>
                <w:ilvl w:val="0"/>
                <w:numId w:val="13"/>
              </w:numPr>
              <w:tabs>
                <w:tab w:val="left" w:pos="1100"/>
                <w:tab w:val="right" w:leader="dot" w:pos="8270"/>
              </w:tabs>
              <w:spacing w:after="100" w:line="240" w:lineRule="auto"/>
              <w:jc w:val="both"/>
              <w:rPr>
                <w:rFonts w:cs="Times New Roman"/>
                <w:noProof/>
                <w:szCs w:val="24"/>
                <w:lang w:bidi="en-US"/>
                <w14:scene3d>
                  <w14:camera w14:prst="orthographicFront"/>
                  <w14:lightRig w14:rig="threePt" w14:dir="t">
                    <w14:rot w14:lat="0" w14:lon="0" w14:rev="0"/>
                  </w14:lightRig>
                </w14:scene3d>
              </w:rPr>
            </w:pPr>
            <w:r w:rsidRPr="0014116C">
              <w:rPr>
                <w:rFonts w:cs="Times New Roman"/>
                <w:i/>
                <w:iCs/>
                <w:u w:val="single"/>
              </w:rPr>
              <w:t>Refoulement</w:t>
            </w:r>
            <w:r w:rsidRPr="0014116C">
              <w:rPr>
                <w:rFonts w:cs="Times New Roman"/>
                <w:u w:val="single"/>
              </w:rPr>
              <w:t xml:space="preserve"> Because of Barriers Caused by Detention Conditions</w:t>
            </w:r>
          </w:p>
        </w:tc>
        <w:tc>
          <w:tcPr>
            <w:tcW w:w="851" w:type="dxa"/>
          </w:tcPr>
          <w:p w14:paraId="39390C6B"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97</w:t>
            </w:r>
          </w:p>
        </w:tc>
      </w:tr>
      <w:tr w:rsidR="0014116C" w:rsidRPr="0014116C" w14:paraId="388D11A7" w14:textId="77777777" w:rsidTr="008D1E49">
        <w:trPr>
          <w:trHeight w:val="432"/>
        </w:trPr>
        <w:tc>
          <w:tcPr>
            <w:tcW w:w="8505" w:type="dxa"/>
          </w:tcPr>
          <w:p w14:paraId="3AFE7EA3" w14:textId="77777777" w:rsidR="0014116C" w:rsidRPr="0014116C" w:rsidRDefault="0014116C" w:rsidP="0014116C">
            <w:pPr>
              <w:pStyle w:val="ListParagraph"/>
              <w:numPr>
                <w:ilvl w:val="0"/>
                <w:numId w:val="13"/>
              </w:numPr>
              <w:tabs>
                <w:tab w:val="left" w:pos="1100"/>
                <w:tab w:val="right" w:leader="dot" w:pos="8270"/>
              </w:tabs>
              <w:spacing w:after="100" w:line="240" w:lineRule="auto"/>
              <w:jc w:val="both"/>
              <w:rPr>
                <w:rFonts w:cs="Times New Roman"/>
                <w:noProof/>
                <w:szCs w:val="24"/>
                <w:lang w:bidi="en-US"/>
                <w14:scene3d>
                  <w14:camera w14:prst="orthographicFront"/>
                  <w14:lightRig w14:rig="threePt" w14:dir="t">
                    <w14:rot w14:lat="0" w14:lon="0" w14:rev="0"/>
                  </w14:lightRig>
                </w14:scene3d>
              </w:rPr>
            </w:pPr>
            <w:r w:rsidRPr="0014116C">
              <w:rPr>
                <w:rFonts w:cs="Times New Roman"/>
                <w:i/>
                <w:iCs/>
                <w:u w:val="single"/>
              </w:rPr>
              <w:t>Refoulement</w:t>
            </w:r>
            <w:r w:rsidRPr="0014116C">
              <w:rPr>
                <w:rFonts w:cs="Times New Roman"/>
                <w:u w:val="single"/>
              </w:rPr>
              <w:t xml:space="preserve"> Due to American Asylum Policies</w:t>
            </w:r>
          </w:p>
        </w:tc>
        <w:tc>
          <w:tcPr>
            <w:tcW w:w="851" w:type="dxa"/>
          </w:tcPr>
          <w:p w14:paraId="504D178B"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103</w:t>
            </w:r>
          </w:p>
        </w:tc>
      </w:tr>
      <w:tr w:rsidR="0014116C" w:rsidRPr="0014116C" w14:paraId="483260C9" w14:textId="77777777" w:rsidTr="008D1E49">
        <w:trPr>
          <w:trHeight w:val="432"/>
        </w:trPr>
        <w:tc>
          <w:tcPr>
            <w:tcW w:w="8505" w:type="dxa"/>
          </w:tcPr>
          <w:p w14:paraId="16EB0B90" w14:textId="77777777" w:rsidR="0014116C" w:rsidRPr="0014116C" w:rsidRDefault="0014116C" w:rsidP="0014116C">
            <w:pPr>
              <w:pStyle w:val="ListParagraph"/>
              <w:numPr>
                <w:ilvl w:val="0"/>
                <w:numId w:val="12"/>
              </w:numPr>
              <w:tabs>
                <w:tab w:val="left" w:pos="1100"/>
                <w:tab w:val="right" w:leader="dot" w:pos="8270"/>
              </w:tabs>
              <w:spacing w:after="100" w:line="240" w:lineRule="auto"/>
              <w:ind w:left="1170" w:hanging="690"/>
              <w:jc w:val="both"/>
              <w:rPr>
                <w:rFonts w:cs="Times New Roman"/>
                <w:noProof/>
                <w:szCs w:val="24"/>
                <w:lang w:bidi="en-US"/>
                <w14:scene3d>
                  <w14:camera w14:prst="orthographicFront"/>
                  <w14:lightRig w14:rig="threePt" w14:dir="t">
                    <w14:rot w14:lat="0" w14:lon="0" w14:rev="0"/>
                  </w14:lightRig>
                </w14:scene3d>
              </w:rPr>
            </w:pPr>
            <w:r w:rsidRPr="0014116C">
              <w:rPr>
                <w:rFonts w:cs="Times New Roman"/>
                <w:i/>
              </w:rPr>
              <w:t>Conclusion as to the Effects Implicating Section 7 Interests</w:t>
            </w:r>
          </w:p>
        </w:tc>
        <w:tc>
          <w:tcPr>
            <w:tcW w:w="851" w:type="dxa"/>
          </w:tcPr>
          <w:p w14:paraId="52274943"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108</w:t>
            </w:r>
          </w:p>
        </w:tc>
      </w:tr>
      <w:tr w:rsidR="0014116C" w:rsidRPr="0014116C" w14:paraId="08DC22CB" w14:textId="77777777" w:rsidTr="008D1E49">
        <w:trPr>
          <w:trHeight w:val="432"/>
        </w:trPr>
        <w:tc>
          <w:tcPr>
            <w:tcW w:w="8505" w:type="dxa"/>
          </w:tcPr>
          <w:p w14:paraId="4FB7E9DE" w14:textId="77777777" w:rsidR="0014116C" w:rsidRPr="0014116C" w:rsidRDefault="0014116C" w:rsidP="0014116C">
            <w:pPr>
              <w:pStyle w:val="ListParagraph"/>
              <w:numPr>
                <w:ilvl w:val="0"/>
                <w:numId w:val="11"/>
              </w:numPr>
              <w:tabs>
                <w:tab w:val="left" w:pos="1100"/>
                <w:tab w:val="right" w:leader="dot" w:pos="8270"/>
              </w:tabs>
              <w:spacing w:after="100" w:line="240" w:lineRule="auto"/>
              <w:ind w:left="1195" w:hanging="720"/>
              <w:jc w:val="both"/>
              <w:rPr>
                <w:rFonts w:cs="Times New Roman"/>
                <w:noProof/>
                <w:szCs w:val="24"/>
                <w:lang w:bidi="en-US"/>
                <w14:scene3d>
                  <w14:camera w14:prst="orthographicFront"/>
                  <w14:lightRig w14:rig="threePt" w14:dir="t">
                    <w14:rot w14:lat="0" w14:lon="0" w14:rev="0"/>
                  </w14:lightRig>
                </w14:scene3d>
              </w:rPr>
            </w:pPr>
            <w:bookmarkStart w:id="25" w:name="_Toc130565318"/>
            <w:r w:rsidRPr="0014116C">
              <w:rPr>
                <w:rFonts w:cs="Times New Roman"/>
                <w:u w:val="single"/>
              </w:rPr>
              <w:t>Causal Link to Canadian State Action</w:t>
            </w:r>
            <w:bookmarkEnd w:id="25"/>
          </w:p>
        </w:tc>
        <w:tc>
          <w:tcPr>
            <w:tcW w:w="851" w:type="dxa"/>
          </w:tcPr>
          <w:p w14:paraId="5D93C43C"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109</w:t>
            </w:r>
          </w:p>
        </w:tc>
      </w:tr>
      <w:tr w:rsidR="0014116C" w:rsidRPr="0014116C" w14:paraId="22069C71" w14:textId="77777777" w:rsidTr="008D1E49">
        <w:trPr>
          <w:trHeight w:val="432"/>
        </w:trPr>
        <w:tc>
          <w:tcPr>
            <w:tcW w:w="8505" w:type="dxa"/>
          </w:tcPr>
          <w:p w14:paraId="002F75EE" w14:textId="77777777" w:rsidR="0014116C" w:rsidRPr="0014116C" w:rsidRDefault="0014116C" w:rsidP="0014116C">
            <w:pPr>
              <w:pStyle w:val="ListParagraph"/>
              <w:numPr>
                <w:ilvl w:val="0"/>
                <w:numId w:val="14"/>
              </w:numPr>
              <w:tabs>
                <w:tab w:val="left" w:pos="1100"/>
                <w:tab w:val="right" w:leader="dot" w:pos="8270"/>
              </w:tabs>
              <w:spacing w:after="100" w:line="240" w:lineRule="auto"/>
              <w:ind w:left="1195" w:hanging="720"/>
              <w:jc w:val="both"/>
              <w:rPr>
                <w:rFonts w:cs="Times New Roman"/>
                <w:noProof/>
                <w:szCs w:val="24"/>
                <w:lang w:val="en-CA" w:bidi="en-US"/>
                <w14:scene3d>
                  <w14:camera w14:prst="orthographicFront"/>
                  <w14:lightRig w14:rig="threePt" w14:dir="t">
                    <w14:rot w14:lat="0" w14:lon="0" w14:rev="0"/>
                  </w14:lightRig>
                </w14:scene3d>
              </w:rPr>
            </w:pPr>
            <w:r w:rsidRPr="0014116C">
              <w:rPr>
                <w:rFonts w:cs="Times New Roman"/>
                <w:i/>
              </w:rPr>
              <w:t>Necessary Precondition</w:t>
            </w:r>
          </w:p>
        </w:tc>
        <w:tc>
          <w:tcPr>
            <w:tcW w:w="851" w:type="dxa"/>
          </w:tcPr>
          <w:p w14:paraId="37CBD712"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112</w:t>
            </w:r>
          </w:p>
        </w:tc>
      </w:tr>
      <w:tr w:rsidR="0014116C" w:rsidRPr="0014116C" w14:paraId="074EF5FA" w14:textId="77777777" w:rsidTr="008D1E49">
        <w:trPr>
          <w:trHeight w:val="432"/>
        </w:trPr>
        <w:tc>
          <w:tcPr>
            <w:tcW w:w="8505" w:type="dxa"/>
          </w:tcPr>
          <w:p w14:paraId="72AC672D" w14:textId="77777777" w:rsidR="0014116C" w:rsidRPr="0014116C" w:rsidRDefault="0014116C" w:rsidP="0014116C">
            <w:pPr>
              <w:pStyle w:val="ListParagraph"/>
              <w:numPr>
                <w:ilvl w:val="0"/>
                <w:numId w:val="14"/>
              </w:numPr>
              <w:tabs>
                <w:tab w:val="left" w:pos="1080"/>
                <w:tab w:val="right" w:leader="dot" w:pos="8270"/>
              </w:tabs>
              <w:spacing w:after="100" w:line="240" w:lineRule="auto"/>
              <w:ind w:left="1105" w:hanging="630"/>
              <w:jc w:val="both"/>
              <w:rPr>
                <w:rFonts w:cs="Times New Roman"/>
                <w:noProof/>
                <w:szCs w:val="24"/>
                <w:lang w:val="en-CA" w:bidi="en-US"/>
                <w14:scene3d>
                  <w14:camera w14:prst="orthographicFront"/>
                  <w14:lightRig w14:rig="threePt" w14:dir="t">
                    <w14:rot w14:lat="0" w14:lon="0" w14:rev="0"/>
                  </w14:lightRig>
                </w14:scene3d>
              </w:rPr>
            </w:pPr>
            <w:r w:rsidRPr="0014116C">
              <w:rPr>
                <w:rFonts w:cs="Times New Roman"/>
                <w:i/>
              </w:rPr>
              <w:t>Foreseeable Consequence</w:t>
            </w:r>
          </w:p>
        </w:tc>
        <w:tc>
          <w:tcPr>
            <w:tcW w:w="851" w:type="dxa"/>
          </w:tcPr>
          <w:p w14:paraId="5AFF182A"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113</w:t>
            </w:r>
          </w:p>
        </w:tc>
      </w:tr>
      <w:tr w:rsidR="0014116C" w:rsidRPr="0014116C" w14:paraId="4606187B" w14:textId="77777777" w:rsidTr="008D1E49">
        <w:trPr>
          <w:trHeight w:val="432"/>
        </w:trPr>
        <w:tc>
          <w:tcPr>
            <w:tcW w:w="8505" w:type="dxa"/>
          </w:tcPr>
          <w:p w14:paraId="7B3F2ED0" w14:textId="77777777" w:rsidR="0014116C" w:rsidRPr="0014116C" w:rsidRDefault="0014116C" w:rsidP="008D1E49">
            <w:pPr>
              <w:tabs>
                <w:tab w:val="left" w:pos="480"/>
                <w:tab w:val="right" w:leader="dot" w:pos="8270"/>
              </w:tabs>
              <w:spacing w:after="100"/>
              <w:jc w:val="both"/>
              <w:rPr>
                <w:i/>
                <w:noProof/>
                <w:szCs w:val="24"/>
                <w:lang w:val="en-US"/>
              </w:rPr>
            </w:pPr>
            <w:r w:rsidRPr="0014116C">
              <w:rPr>
                <w:noProof/>
                <w:szCs w:val="24"/>
                <w:lang w:bidi="en-US"/>
              </w:rPr>
              <w:t>C.</w:t>
            </w:r>
            <w:r w:rsidRPr="0014116C">
              <w:rPr>
                <w:noProof/>
                <w:szCs w:val="24"/>
              </w:rPr>
              <w:tab/>
            </w:r>
            <w:bookmarkStart w:id="26" w:name="_Toc130565319"/>
            <w:r w:rsidRPr="0014116C">
              <w:rPr>
                <w:i/>
                <w:lang w:val="en-US"/>
              </w:rPr>
              <w:t>Principles of Fundamental Justice Analysis</w:t>
            </w:r>
            <w:bookmarkEnd w:id="26"/>
          </w:p>
        </w:tc>
        <w:tc>
          <w:tcPr>
            <w:tcW w:w="851" w:type="dxa"/>
          </w:tcPr>
          <w:p w14:paraId="41F3EE34"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118</w:t>
            </w:r>
          </w:p>
        </w:tc>
      </w:tr>
      <w:tr w:rsidR="0014116C" w:rsidRPr="0014116C" w14:paraId="625D733E" w14:textId="77777777" w:rsidTr="008D1E49">
        <w:trPr>
          <w:trHeight w:val="432"/>
        </w:trPr>
        <w:tc>
          <w:tcPr>
            <w:tcW w:w="8505" w:type="dxa"/>
          </w:tcPr>
          <w:p w14:paraId="72E60D7C" w14:textId="77777777" w:rsidR="0014116C" w:rsidRPr="0014116C" w:rsidRDefault="0014116C" w:rsidP="0014116C">
            <w:pPr>
              <w:pStyle w:val="ListParagraph"/>
              <w:numPr>
                <w:ilvl w:val="0"/>
                <w:numId w:val="15"/>
              </w:numPr>
              <w:tabs>
                <w:tab w:val="left" w:pos="1100"/>
                <w:tab w:val="right" w:leader="dot" w:pos="8270"/>
              </w:tabs>
              <w:spacing w:after="100" w:line="240" w:lineRule="auto"/>
              <w:ind w:left="1080" w:hanging="600"/>
              <w:jc w:val="both"/>
              <w:rPr>
                <w:rFonts w:cs="Times New Roman"/>
                <w:noProof/>
                <w:szCs w:val="24"/>
                <w:lang w:val="en-CA" w:bidi="en-US"/>
                <w14:scene3d>
                  <w14:camera w14:prst="orthographicFront"/>
                  <w14:lightRig w14:rig="threePt" w14:dir="t">
                    <w14:rot w14:lat="0" w14:lon="0" w14:rev="0"/>
                  </w14:lightRig>
                </w14:scene3d>
              </w:rPr>
            </w:pPr>
            <w:bookmarkStart w:id="27" w:name="_Toc130565320"/>
            <w:r w:rsidRPr="0014116C">
              <w:rPr>
                <w:rFonts w:cs="Times New Roman"/>
                <w:u w:val="single"/>
              </w:rPr>
              <w:t>The Applicable Principles</w:t>
            </w:r>
            <w:bookmarkEnd w:id="27"/>
          </w:p>
        </w:tc>
        <w:tc>
          <w:tcPr>
            <w:tcW w:w="851" w:type="dxa"/>
          </w:tcPr>
          <w:p w14:paraId="7EA02FFA"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118</w:t>
            </w:r>
          </w:p>
        </w:tc>
      </w:tr>
      <w:tr w:rsidR="0014116C" w:rsidRPr="0014116C" w14:paraId="646EC9F7" w14:textId="77777777" w:rsidTr="008D1E49">
        <w:trPr>
          <w:trHeight w:val="432"/>
        </w:trPr>
        <w:tc>
          <w:tcPr>
            <w:tcW w:w="8505" w:type="dxa"/>
          </w:tcPr>
          <w:p w14:paraId="361B013E" w14:textId="77777777" w:rsidR="0014116C" w:rsidRPr="0014116C" w:rsidRDefault="0014116C" w:rsidP="0014116C">
            <w:pPr>
              <w:pStyle w:val="ListParagraph"/>
              <w:numPr>
                <w:ilvl w:val="0"/>
                <w:numId w:val="15"/>
              </w:numPr>
              <w:tabs>
                <w:tab w:val="left" w:pos="1100"/>
                <w:tab w:val="right" w:leader="dot" w:pos="8270"/>
              </w:tabs>
              <w:spacing w:after="100" w:line="240" w:lineRule="auto"/>
              <w:ind w:left="1080" w:hanging="600"/>
              <w:jc w:val="both"/>
              <w:rPr>
                <w:rFonts w:cs="Times New Roman"/>
                <w:noProof/>
                <w:szCs w:val="24"/>
                <w:lang w:bidi="en-US"/>
                <w14:scene3d>
                  <w14:camera w14:prst="orthographicFront"/>
                  <w14:lightRig w14:rig="threePt" w14:dir="t">
                    <w14:rot w14:lat="0" w14:lon="0" w14:rev="0"/>
                  </w14:lightRig>
                </w14:scene3d>
              </w:rPr>
            </w:pPr>
            <w:bookmarkStart w:id="28" w:name="_Toc130565321"/>
            <w:r w:rsidRPr="0014116C">
              <w:rPr>
                <w:rFonts w:cs="Times New Roman"/>
                <w:u w:val="single"/>
              </w:rPr>
              <w:t>The Scheme Is Not Overbroad or Grossly Disproportionate</w:t>
            </w:r>
            <w:bookmarkEnd w:id="28"/>
          </w:p>
        </w:tc>
        <w:tc>
          <w:tcPr>
            <w:tcW w:w="851" w:type="dxa"/>
          </w:tcPr>
          <w:p w14:paraId="450B7AB2"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126</w:t>
            </w:r>
          </w:p>
        </w:tc>
      </w:tr>
      <w:tr w:rsidR="0014116C" w:rsidRPr="0014116C" w14:paraId="63FA76C8" w14:textId="77777777" w:rsidTr="008D1E49">
        <w:trPr>
          <w:trHeight w:val="432"/>
        </w:trPr>
        <w:tc>
          <w:tcPr>
            <w:tcW w:w="8505" w:type="dxa"/>
          </w:tcPr>
          <w:p w14:paraId="0946F7A1" w14:textId="77777777" w:rsidR="0014116C" w:rsidRPr="0014116C" w:rsidRDefault="0014116C" w:rsidP="0014116C">
            <w:pPr>
              <w:pStyle w:val="ListParagraph"/>
              <w:numPr>
                <w:ilvl w:val="0"/>
                <w:numId w:val="16"/>
              </w:numPr>
              <w:tabs>
                <w:tab w:val="left" w:pos="1100"/>
                <w:tab w:val="right" w:leader="dot" w:pos="8270"/>
              </w:tabs>
              <w:spacing w:after="100" w:line="240" w:lineRule="auto"/>
              <w:ind w:left="1080" w:hanging="600"/>
              <w:jc w:val="both"/>
              <w:rPr>
                <w:rFonts w:cs="Times New Roman"/>
                <w:noProof/>
                <w:szCs w:val="24"/>
                <w:lang w:val="en-CA" w:bidi="en-US"/>
                <w14:scene3d>
                  <w14:camera w14:prst="orthographicFront"/>
                  <w14:lightRig w14:rig="threePt" w14:dir="t">
                    <w14:rot w14:lat="0" w14:lon="0" w14:rev="0"/>
                  </w14:lightRig>
                </w14:scene3d>
              </w:rPr>
            </w:pPr>
            <w:r w:rsidRPr="0014116C">
              <w:rPr>
                <w:rFonts w:cs="Times New Roman"/>
                <w:i/>
              </w:rPr>
              <w:t>Legislative Purpose</w:t>
            </w:r>
          </w:p>
        </w:tc>
        <w:tc>
          <w:tcPr>
            <w:tcW w:w="851" w:type="dxa"/>
          </w:tcPr>
          <w:p w14:paraId="02968860"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128</w:t>
            </w:r>
          </w:p>
        </w:tc>
      </w:tr>
      <w:tr w:rsidR="0014116C" w:rsidRPr="0014116C" w14:paraId="0F4CD72E" w14:textId="77777777" w:rsidTr="008D1E49">
        <w:trPr>
          <w:trHeight w:val="432"/>
        </w:trPr>
        <w:tc>
          <w:tcPr>
            <w:tcW w:w="8505" w:type="dxa"/>
          </w:tcPr>
          <w:p w14:paraId="1AABC16F" w14:textId="77777777" w:rsidR="0014116C" w:rsidRPr="0014116C" w:rsidRDefault="0014116C" w:rsidP="0014116C">
            <w:pPr>
              <w:pStyle w:val="ListParagraph"/>
              <w:numPr>
                <w:ilvl w:val="0"/>
                <w:numId w:val="16"/>
              </w:numPr>
              <w:tabs>
                <w:tab w:val="left" w:pos="1100"/>
                <w:tab w:val="right" w:leader="dot" w:pos="8270"/>
              </w:tabs>
              <w:spacing w:after="100" w:line="240" w:lineRule="auto"/>
              <w:ind w:left="1080" w:hanging="600"/>
              <w:jc w:val="both"/>
              <w:rPr>
                <w:rFonts w:cs="Times New Roman"/>
                <w:noProof/>
                <w:szCs w:val="24"/>
                <w:lang w:bidi="en-US"/>
                <w14:scene3d>
                  <w14:camera w14:prst="orthographicFront"/>
                  <w14:lightRig w14:rig="threePt" w14:dir="t">
                    <w14:rot w14:lat="0" w14:lon="0" w14:rev="0"/>
                  </w14:lightRig>
                </w14:scene3d>
              </w:rPr>
            </w:pPr>
            <w:r w:rsidRPr="0014116C">
              <w:rPr>
                <w:rFonts w:cs="Times New Roman"/>
                <w:i/>
              </w:rPr>
              <w:t>Risks of Detention and Medical Isolation</w:t>
            </w:r>
          </w:p>
        </w:tc>
        <w:tc>
          <w:tcPr>
            <w:tcW w:w="851" w:type="dxa"/>
          </w:tcPr>
          <w:p w14:paraId="4A288395"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140</w:t>
            </w:r>
          </w:p>
        </w:tc>
      </w:tr>
      <w:tr w:rsidR="0014116C" w:rsidRPr="0014116C" w14:paraId="3666F5B8" w14:textId="77777777" w:rsidTr="008D1E49">
        <w:trPr>
          <w:trHeight w:val="432"/>
        </w:trPr>
        <w:tc>
          <w:tcPr>
            <w:tcW w:w="8505" w:type="dxa"/>
          </w:tcPr>
          <w:p w14:paraId="11E7B058" w14:textId="77777777" w:rsidR="0014116C" w:rsidRPr="0014116C" w:rsidRDefault="0014116C" w:rsidP="0014116C">
            <w:pPr>
              <w:pStyle w:val="ListParagraph"/>
              <w:numPr>
                <w:ilvl w:val="0"/>
                <w:numId w:val="16"/>
              </w:numPr>
              <w:tabs>
                <w:tab w:val="left" w:pos="1100"/>
                <w:tab w:val="right" w:leader="dot" w:pos="8270"/>
              </w:tabs>
              <w:spacing w:after="100" w:line="240" w:lineRule="auto"/>
              <w:ind w:left="1080" w:hanging="600"/>
              <w:jc w:val="both"/>
              <w:rPr>
                <w:rFonts w:cs="Times New Roman"/>
                <w:noProof/>
                <w:szCs w:val="24"/>
                <w:lang w:bidi="en-US"/>
                <w14:scene3d>
                  <w14:camera w14:prst="orthographicFront"/>
                  <w14:lightRig w14:rig="threePt" w14:dir="t">
                    <w14:rot w14:lat="0" w14:lon="0" w14:rev="0"/>
                  </w14:lightRig>
                </w14:scene3d>
              </w:rPr>
            </w:pPr>
            <w:r w:rsidRPr="0014116C">
              <w:rPr>
                <w:rFonts w:cs="Times New Roman"/>
                <w:i/>
              </w:rPr>
              <w:t>Risks of Refoulement Due to American Asylum Policies</w:t>
            </w:r>
          </w:p>
        </w:tc>
        <w:tc>
          <w:tcPr>
            <w:tcW w:w="851" w:type="dxa"/>
          </w:tcPr>
          <w:p w14:paraId="0064CF07"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148</w:t>
            </w:r>
          </w:p>
        </w:tc>
      </w:tr>
      <w:tr w:rsidR="0014116C" w:rsidRPr="0014116C" w14:paraId="560E112A" w14:textId="77777777" w:rsidTr="008D1E49">
        <w:trPr>
          <w:trHeight w:val="432"/>
        </w:trPr>
        <w:tc>
          <w:tcPr>
            <w:tcW w:w="8505" w:type="dxa"/>
          </w:tcPr>
          <w:p w14:paraId="26ED53D6" w14:textId="77777777" w:rsidR="0014116C" w:rsidRPr="0014116C" w:rsidRDefault="0014116C" w:rsidP="008D1E49">
            <w:pPr>
              <w:tabs>
                <w:tab w:val="left" w:pos="480"/>
                <w:tab w:val="right" w:leader="dot" w:pos="8270"/>
              </w:tabs>
              <w:spacing w:after="100"/>
              <w:jc w:val="both"/>
              <w:rPr>
                <w:i/>
                <w:noProof/>
                <w:szCs w:val="24"/>
                <w:lang w:val="en-US"/>
              </w:rPr>
            </w:pPr>
            <w:r w:rsidRPr="0014116C">
              <w:rPr>
                <w:noProof/>
                <w:szCs w:val="24"/>
                <w:lang w:bidi="en-US"/>
              </w:rPr>
              <w:t>D.</w:t>
            </w:r>
            <w:r w:rsidRPr="0014116C">
              <w:rPr>
                <w:noProof/>
                <w:szCs w:val="24"/>
              </w:rPr>
              <w:tab/>
            </w:r>
            <w:r w:rsidRPr="0014116C">
              <w:rPr>
                <w:i/>
              </w:rPr>
              <w:t>Section 1</w:t>
            </w:r>
          </w:p>
        </w:tc>
        <w:tc>
          <w:tcPr>
            <w:tcW w:w="851" w:type="dxa"/>
          </w:tcPr>
          <w:p w14:paraId="79B5FF3F"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165</w:t>
            </w:r>
          </w:p>
        </w:tc>
      </w:tr>
      <w:tr w:rsidR="0014116C" w:rsidRPr="0014116C" w14:paraId="267A604B" w14:textId="77777777" w:rsidTr="008D1E49">
        <w:trPr>
          <w:trHeight w:val="432"/>
        </w:trPr>
        <w:tc>
          <w:tcPr>
            <w:tcW w:w="8505" w:type="dxa"/>
          </w:tcPr>
          <w:p w14:paraId="74B56D11" w14:textId="77777777" w:rsidR="0014116C" w:rsidRPr="0014116C" w:rsidRDefault="0014116C" w:rsidP="008D1E49">
            <w:pPr>
              <w:tabs>
                <w:tab w:val="left" w:pos="480"/>
                <w:tab w:val="right" w:leader="dot" w:pos="8270"/>
              </w:tabs>
              <w:spacing w:after="100"/>
              <w:jc w:val="both"/>
              <w:rPr>
                <w:i/>
                <w:noProof/>
                <w:szCs w:val="24"/>
              </w:rPr>
            </w:pPr>
            <w:r w:rsidRPr="0014116C">
              <w:rPr>
                <w:noProof/>
                <w:szCs w:val="24"/>
                <w:lang w:bidi="en-US"/>
              </w:rPr>
              <w:t>VIII.</w:t>
            </w:r>
            <w:r w:rsidRPr="0014116C">
              <w:rPr>
                <w:noProof/>
                <w:szCs w:val="24"/>
              </w:rPr>
              <w:tab/>
            </w:r>
            <w:bookmarkStart w:id="29" w:name="_Toc130565322"/>
            <w:r w:rsidRPr="0014116C">
              <w:rPr>
                <w:u w:val="single"/>
              </w:rPr>
              <w:t>The Section 15 Claim</w:t>
            </w:r>
            <w:bookmarkEnd w:id="29"/>
          </w:p>
        </w:tc>
        <w:tc>
          <w:tcPr>
            <w:tcW w:w="851" w:type="dxa"/>
          </w:tcPr>
          <w:p w14:paraId="6F262C32"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172</w:t>
            </w:r>
          </w:p>
        </w:tc>
      </w:tr>
      <w:tr w:rsidR="0014116C" w:rsidRPr="0014116C" w14:paraId="7C2E72C3" w14:textId="77777777" w:rsidTr="008D1E49">
        <w:trPr>
          <w:trHeight w:val="432"/>
        </w:trPr>
        <w:tc>
          <w:tcPr>
            <w:tcW w:w="8505" w:type="dxa"/>
          </w:tcPr>
          <w:p w14:paraId="3FCCE6E7" w14:textId="77777777" w:rsidR="0014116C" w:rsidRPr="0014116C" w:rsidRDefault="0014116C" w:rsidP="008D1E49">
            <w:pPr>
              <w:tabs>
                <w:tab w:val="left" w:pos="480"/>
                <w:tab w:val="right" w:leader="dot" w:pos="8270"/>
              </w:tabs>
              <w:spacing w:after="100"/>
              <w:jc w:val="both"/>
              <w:rPr>
                <w:noProof/>
                <w:szCs w:val="24"/>
                <w:u w:val="single"/>
                <w:lang w:val="en-US" w:bidi="en-US"/>
              </w:rPr>
            </w:pPr>
            <w:r w:rsidRPr="0014116C">
              <w:rPr>
                <w:noProof/>
                <w:szCs w:val="24"/>
                <w:lang w:val="en-US"/>
              </w:rPr>
              <w:t>A.</w:t>
            </w:r>
            <w:r w:rsidRPr="0014116C">
              <w:rPr>
                <w:noProof/>
                <w:szCs w:val="24"/>
                <w:lang w:val="en-US"/>
              </w:rPr>
              <w:tab/>
            </w:r>
            <w:bookmarkStart w:id="30" w:name="_Toc130565323"/>
            <w:r w:rsidRPr="0014116C">
              <w:rPr>
                <w:i/>
                <w:lang w:val="en-US"/>
              </w:rPr>
              <w:t>The Parties’ Positions on the Section 15 Challenge</w:t>
            </w:r>
            <w:bookmarkEnd w:id="30"/>
          </w:p>
        </w:tc>
        <w:tc>
          <w:tcPr>
            <w:tcW w:w="851" w:type="dxa"/>
          </w:tcPr>
          <w:p w14:paraId="32C2F499" w14:textId="77777777" w:rsidR="0014116C" w:rsidRPr="0014116C" w:rsidRDefault="0014116C" w:rsidP="000E6A36">
            <w:pPr>
              <w:tabs>
                <w:tab w:val="left" w:pos="480"/>
                <w:tab w:val="right" w:leader="dot" w:pos="8270"/>
              </w:tabs>
              <w:spacing w:after="100"/>
              <w:jc w:val="center"/>
              <w:rPr>
                <w:szCs w:val="24"/>
                <w:lang w:val="en-US" w:bidi="en-US"/>
              </w:rPr>
            </w:pPr>
            <w:r w:rsidRPr="0014116C">
              <w:rPr>
                <w:szCs w:val="24"/>
                <w:lang w:val="en-US" w:bidi="en-US"/>
              </w:rPr>
              <w:t>172</w:t>
            </w:r>
          </w:p>
        </w:tc>
      </w:tr>
      <w:tr w:rsidR="0014116C" w:rsidRPr="0014116C" w14:paraId="643C6894" w14:textId="77777777" w:rsidTr="008D1E49">
        <w:trPr>
          <w:trHeight w:val="432"/>
        </w:trPr>
        <w:tc>
          <w:tcPr>
            <w:tcW w:w="8505" w:type="dxa"/>
          </w:tcPr>
          <w:p w14:paraId="1CF5933C" w14:textId="77777777" w:rsidR="0014116C" w:rsidRPr="0014116C" w:rsidRDefault="0014116C" w:rsidP="008D1E49">
            <w:pPr>
              <w:tabs>
                <w:tab w:val="left" w:pos="480"/>
                <w:tab w:val="right" w:leader="dot" w:pos="8270"/>
              </w:tabs>
              <w:spacing w:after="100"/>
              <w:ind w:left="475" w:hanging="475"/>
              <w:jc w:val="both"/>
              <w:rPr>
                <w:i/>
                <w:noProof/>
                <w:szCs w:val="24"/>
                <w:lang w:val="en-US"/>
              </w:rPr>
            </w:pPr>
            <w:r w:rsidRPr="0014116C">
              <w:rPr>
                <w:noProof/>
                <w:szCs w:val="24"/>
                <w:lang w:bidi="en-US"/>
              </w:rPr>
              <w:t>B.</w:t>
            </w:r>
            <w:r w:rsidRPr="0014116C">
              <w:rPr>
                <w:noProof/>
                <w:szCs w:val="24"/>
              </w:rPr>
              <w:tab/>
            </w:r>
            <w:bookmarkStart w:id="31" w:name="_Toc130565324"/>
            <w:r w:rsidRPr="0014116C">
              <w:rPr>
                <w:i/>
                <w:lang w:val="en-US"/>
              </w:rPr>
              <w:t>The Section 15 Challenge Should Be Remitted to the Federal Court</w:t>
            </w:r>
            <w:bookmarkEnd w:id="31"/>
          </w:p>
        </w:tc>
        <w:tc>
          <w:tcPr>
            <w:tcW w:w="851" w:type="dxa"/>
          </w:tcPr>
          <w:p w14:paraId="141E29F5" w14:textId="77777777" w:rsidR="0014116C" w:rsidRPr="0014116C" w:rsidRDefault="0014116C" w:rsidP="000E6A36">
            <w:pPr>
              <w:tabs>
                <w:tab w:val="left" w:pos="480"/>
                <w:tab w:val="right" w:leader="dot" w:pos="8270"/>
              </w:tabs>
              <w:spacing w:after="100"/>
              <w:jc w:val="center"/>
              <w:rPr>
                <w:szCs w:val="24"/>
                <w:lang w:bidi="en-US"/>
              </w:rPr>
            </w:pPr>
            <w:r w:rsidRPr="0014116C">
              <w:rPr>
                <w:szCs w:val="24"/>
                <w:lang w:val="en-US" w:bidi="en-US"/>
              </w:rPr>
              <w:t>175</w:t>
            </w:r>
          </w:p>
        </w:tc>
      </w:tr>
      <w:tr w:rsidR="0014116C" w:rsidRPr="00711448" w14:paraId="00B0D4EF" w14:textId="77777777" w:rsidTr="008D1E49">
        <w:trPr>
          <w:trHeight w:val="432"/>
        </w:trPr>
        <w:tc>
          <w:tcPr>
            <w:tcW w:w="8505" w:type="dxa"/>
          </w:tcPr>
          <w:p w14:paraId="7C84E807" w14:textId="77777777" w:rsidR="0014116C" w:rsidRPr="00711448" w:rsidRDefault="0014116C" w:rsidP="008D1E49">
            <w:pPr>
              <w:tabs>
                <w:tab w:val="left" w:pos="480"/>
                <w:tab w:val="right" w:leader="dot" w:pos="8270"/>
              </w:tabs>
              <w:spacing w:after="100"/>
              <w:jc w:val="both"/>
              <w:rPr>
                <w:i/>
                <w:noProof/>
                <w:szCs w:val="24"/>
              </w:rPr>
            </w:pPr>
            <w:r w:rsidRPr="00711448">
              <w:rPr>
                <w:noProof/>
                <w:szCs w:val="24"/>
                <w:lang w:bidi="en-US"/>
              </w:rPr>
              <w:t>IX.</w:t>
            </w:r>
            <w:r w:rsidRPr="00711448">
              <w:rPr>
                <w:noProof/>
                <w:szCs w:val="24"/>
              </w:rPr>
              <w:tab/>
            </w:r>
            <w:bookmarkStart w:id="32" w:name="_Toc130565325"/>
            <w:r w:rsidRPr="00711448">
              <w:rPr>
                <w:u w:val="single"/>
              </w:rPr>
              <w:t>Conclusion</w:t>
            </w:r>
            <w:bookmarkEnd w:id="32"/>
          </w:p>
        </w:tc>
        <w:tc>
          <w:tcPr>
            <w:tcW w:w="851" w:type="dxa"/>
          </w:tcPr>
          <w:p w14:paraId="11C654D3" w14:textId="77777777" w:rsidR="0014116C" w:rsidRPr="00711448" w:rsidRDefault="0014116C" w:rsidP="000E6A36">
            <w:pPr>
              <w:tabs>
                <w:tab w:val="left" w:pos="480"/>
                <w:tab w:val="right" w:leader="dot" w:pos="8270"/>
              </w:tabs>
              <w:spacing w:after="100"/>
              <w:jc w:val="center"/>
              <w:rPr>
                <w:szCs w:val="24"/>
                <w:lang w:bidi="en-US"/>
              </w:rPr>
            </w:pPr>
            <w:r w:rsidRPr="00711448">
              <w:rPr>
                <w:szCs w:val="24"/>
                <w:lang w:val="en-US" w:bidi="en-US"/>
              </w:rPr>
              <w:t>183</w:t>
            </w:r>
          </w:p>
        </w:tc>
      </w:tr>
    </w:tbl>
    <w:p w14:paraId="1AE583BB" w14:textId="77777777" w:rsidR="0014116C" w:rsidRPr="00711448" w:rsidRDefault="0014116C" w:rsidP="00711448">
      <w:bookmarkStart w:id="33" w:name="_Toc131401514"/>
      <w:bookmarkStart w:id="34" w:name="_Toc133824182"/>
      <w:bookmarkStart w:id="35" w:name="_Toc134173674"/>
      <w:bookmarkStart w:id="36" w:name="_Toc136424902"/>
    </w:p>
    <w:p w14:paraId="71FB6B88" w14:textId="77777777" w:rsidR="0014116C" w:rsidRPr="0014116C" w:rsidRDefault="0014116C" w:rsidP="0014116C">
      <w:pPr>
        <w:pStyle w:val="Title1LevelTitre1Niveau-AltL"/>
        <w:rPr>
          <w:rFonts w:cs="Times New Roman"/>
        </w:rPr>
      </w:pPr>
      <w:r w:rsidRPr="0014116C">
        <w:rPr>
          <w:rFonts w:cs="Times New Roman"/>
        </w:rPr>
        <w:t>Overview</w:t>
      </w:r>
      <w:bookmarkEnd w:id="4"/>
      <w:bookmarkEnd w:id="5"/>
      <w:bookmarkEnd w:id="33"/>
      <w:bookmarkEnd w:id="34"/>
      <w:bookmarkEnd w:id="35"/>
      <w:bookmarkEnd w:id="36"/>
    </w:p>
    <w:p w14:paraId="55593A80" w14:textId="77777777" w:rsidR="0014116C" w:rsidRPr="0014116C" w:rsidRDefault="0014116C" w:rsidP="0014116C">
      <w:pPr>
        <w:pStyle w:val="ParaNoNdepar-AltN"/>
        <w:rPr>
          <w:rFonts w:cs="Times New Roman"/>
        </w:rPr>
      </w:pPr>
      <w:r w:rsidRPr="0014116C">
        <w:rPr>
          <w:rFonts w:cs="Times New Roman"/>
          <w:lang w:val="en-US"/>
        </w:rPr>
        <w:t xml:space="preserve">Canada and the United States are parties to a bilateral treaty designed to enhance their sharing of responsibility for considering refugee status claims. </w:t>
      </w:r>
      <w:r w:rsidRPr="0014116C">
        <w:rPr>
          <w:rFonts w:cs="Times New Roman"/>
        </w:rPr>
        <w:t xml:space="preserve">In essence, the treaty provides that refugee claimants must, as a general rule, seek protection in whichever of the two countries they first enter after leaving their country of origin. The </w:t>
      </w:r>
      <w:r w:rsidRPr="0014116C">
        <w:rPr>
          <w:rFonts w:cs="Times New Roman"/>
          <w:i/>
          <w:iCs/>
        </w:rPr>
        <w:t>Agreement between the Government of Canada and the Government of the United States of America for cooperation in the examination of refugee status claims from nationals of third countries</w:t>
      </w:r>
      <w:r w:rsidRPr="0014116C">
        <w:rPr>
          <w:rFonts w:cs="Times New Roman"/>
          <w:iCs/>
        </w:rPr>
        <w:t>,</w:t>
      </w:r>
      <w:r w:rsidRPr="0014116C">
        <w:rPr>
          <w:rFonts w:cs="Times New Roman"/>
        </w:rPr>
        <w:t xml:space="preserve"> Can. T.S. 2004 No. 2, is known as the “</w:t>
      </w:r>
      <w:r w:rsidRPr="0014116C">
        <w:rPr>
          <w:rFonts w:cs="Times New Roman"/>
          <w:i/>
          <w:iCs/>
        </w:rPr>
        <w:t>Safe Third Country Agreement</w:t>
      </w:r>
      <w:r w:rsidRPr="0014116C">
        <w:rPr>
          <w:rFonts w:cs="Times New Roman"/>
        </w:rPr>
        <w:t>”. The treaty’s preamble speaks to the parties’ mutual recognition that both countries offer generous systems of refugee protection, such that claimants can find effective protection in either country. Sharing responsibility is thus understood as justified, even though the laws of each country differ.</w:t>
      </w:r>
    </w:p>
    <w:p w14:paraId="5B262CEB" w14:textId="77777777" w:rsidR="0014116C" w:rsidRPr="0014116C" w:rsidRDefault="0014116C" w:rsidP="0014116C">
      <w:pPr>
        <w:pStyle w:val="ParaNoNdepar-AltN"/>
        <w:rPr>
          <w:rFonts w:cs="Times New Roman"/>
        </w:rPr>
      </w:pPr>
      <w:r w:rsidRPr="0014116C">
        <w:rPr>
          <w:rFonts w:cs="Times New Roman"/>
        </w:rPr>
        <w:t xml:space="preserve">The </w:t>
      </w:r>
      <w:r w:rsidRPr="0014116C">
        <w:rPr>
          <w:rFonts w:cs="Times New Roman"/>
          <w:i/>
          <w:iCs/>
        </w:rPr>
        <w:t>Safe Third Country Agreement</w:t>
      </w:r>
      <w:r w:rsidRPr="0014116C">
        <w:rPr>
          <w:rFonts w:cs="Times New Roman"/>
        </w:rPr>
        <w:t xml:space="preserve"> is given effect in Canadian domestic law through the </w:t>
      </w:r>
      <w:r w:rsidRPr="0014116C">
        <w:rPr>
          <w:rFonts w:cs="Times New Roman"/>
          <w:i/>
          <w:iCs/>
        </w:rPr>
        <w:t>Immigration and Refugee Protection Act</w:t>
      </w:r>
      <w:r w:rsidRPr="0014116C">
        <w:rPr>
          <w:rFonts w:cs="Times New Roman"/>
        </w:rPr>
        <w:t>, S.C. 2001, c. 27 (“</w:t>
      </w:r>
      <w:r w:rsidRPr="0014116C">
        <w:rPr>
          <w:rFonts w:cs="Times New Roman"/>
          <w:i/>
          <w:iCs/>
        </w:rPr>
        <w:t>IRPA</w:t>
      </w:r>
      <w:r w:rsidRPr="0014116C">
        <w:rPr>
          <w:rFonts w:cs="Times New Roman"/>
        </w:rPr>
        <w:t xml:space="preserve">”), and its regulations. Under s. 101(1)(e) of the </w:t>
      </w:r>
      <w:r w:rsidRPr="0014116C">
        <w:rPr>
          <w:rFonts w:cs="Times New Roman"/>
          <w:i/>
          <w:iCs/>
        </w:rPr>
        <w:t>IRPA</w:t>
      </w:r>
      <w:r w:rsidRPr="0014116C">
        <w:rPr>
          <w:rFonts w:cs="Times New Roman"/>
        </w:rPr>
        <w:t>, refugee status claims are ineligible to be considered in Canada if the claimant came from a country designated by the regulations. Countries may only be so designated if they are viewed as complying with their “</w:t>
      </w:r>
      <w:r w:rsidRPr="0014116C">
        <w:rPr>
          <w:rFonts w:cs="Times New Roman"/>
          <w:i/>
        </w:rPr>
        <w:t>non</w:t>
      </w:r>
      <w:r w:rsidRPr="0014116C">
        <w:rPr>
          <w:rFonts w:cs="Times New Roman"/>
          <w:i/>
        </w:rPr>
        <w:noBreakHyphen/>
        <w:t>refoulement</w:t>
      </w:r>
      <w:r w:rsidRPr="0014116C">
        <w:rPr>
          <w:rFonts w:cs="Times New Roman"/>
        </w:rPr>
        <w:t xml:space="preserve">” obligations under international law. These obligations — which prohibit directly or indirectly returning a person to a place where they would face certain kinds of irreparable harm, including threats to their life or freedom, torture and cruel or degrading treatment — are the cornerstone of the international refugee protection regime (see, for a plain language summary, United Nations, Office of the High Commissioner for Human Rights, </w:t>
      </w:r>
      <w:r w:rsidRPr="0014116C">
        <w:rPr>
          <w:rFonts w:cs="Times New Roman"/>
          <w:i/>
        </w:rPr>
        <w:t>The principle of non</w:t>
      </w:r>
      <w:r w:rsidRPr="0014116C">
        <w:rPr>
          <w:rFonts w:cs="Times New Roman"/>
          <w:i/>
        </w:rPr>
        <w:noBreakHyphen/>
        <w:t>refoulement under international human rights law</w:t>
      </w:r>
      <w:r w:rsidRPr="0014116C">
        <w:rPr>
          <w:rFonts w:cs="Times New Roman"/>
        </w:rPr>
        <w:t xml:space="preserve">, July 5, 2018 (online)). A designated country is thus seen as a safe third country in that it is viewed as an appropriate partner with which Canada can share responsibility for considering refugee claims. The United States is designated under s. 159.3 of the </w:t>
      </w:r>
      <w:bookmarkStart w:id="37" w:name="_Hlk137325366"/>
      <w:r w:rsidRPr="0014116C">
        <w:rPr>
          <w:rFonts w:cs="Times New Roman"/>
          <w:i/>
          <w:iCs/>
        </w:rPr>
        <w:t>Immigration and Refugee Protection Regulations</w:t>
      </w:r>
      <w:bookmarkEnd w:id="37"/>
      <w:r w:rsidRPr="0014116C">
        <w:rPr>
          <w:rFonts w:cs="Times New Roman"/>
        </w:rPr>
        <w:t>, SOR/2002</w:t>
      </w:r>
      <w:r w:rsidRPr="0014116C">
        <w:rPr>
          <w:rFonts w:cs="Times New Roman"/>
        </w:rPr>
        <w:noBreakHyphen/>
        <w:t>227 (“</w:t>
      </w:r>
      <w:r w:rsidRPr="0014116C">
        <w:rPr>
          <w:rFonts w:cs="Times New Roman"/>
          <w:i/>
          <w:iCs/>
        </w:rPr>
        <w:t>IRPR</w:t>
      </w:r>
      <w:r w:rsidRPr="0014116C">
        <w:rPr>
          <w:rFonts w:cs="Times New Roman"/>
        </w:rPr>
        <w:t>”). It is the sole designated country in Canadian law.</w:t>
      </w:r>
    </w:p>
    <w:p w14:paraId="62962D34" w14:textId="77777777" w:rsidR="0014116C" w:rsidRPr="0014116C" w:rsidRDefault="0014116C" w:rsidP="0014116C">
      <w:pPr>
        <w:pStyle w:val="ParaNoNdepar-AltN"/>
        <w:rPr>
          <w:rFonts w:cs="Times New Roman"/>
        </w:rPr>
      </w:pPr>
      <w:r w:rsidRPr="0014116C">
        <w:rPr>
          <w:rFonts w:cs="Times New Roman"/>
        </w:rPr>
        <w:t xml:space="preserve">The appellants challenge this scheme principally on the basis that it violates the rights guaranteed by ss. 7 and 15 of the </w:t>
      </w:r>
      <w:r w:rsidRPr="0014116C">
        <w:rPr>
          <w:rFonts w:cs="Times New Roman"/>
          <w:i/>
          <w:iCs/>
        </w:rPr>
        <w:t>Canadian Charter of Rights and Freedoms</w:t>
      </w:r>
      <w:r w:rsidRPr="0014116C">
        <w:rPr>
          <w:rFonts w:cs="Times New Roman"/>
        </w:rPr>
        <w:t xml:space="preserve">. They claim that the legislation results in Canadian immigration officers summarily returning claimants to the United States without considering whether the United States will respect their rights under international law, including those relating to </w:t>
      </w:r>
      <w:r w:rsidRPr="0014116C">
        <w:rPr>
          <w:rFonts w:cs="Times New Roman"/>
          <w:i/>
        </w:rPr>
        <w:t>non</w:t>
      </w:r>
      <w:r w:rsidRPr="0014116C">
        <w:rPr>
          <w:rFonts w:cs="Times New Roman"/>
          <w:i/>
        </w:rPr>
        <w:noBreakHyphen/>
        <w:t>refoulement</w:t>
      </w:r>
      <w:r w:rsidRPr="0014116C">
        <w:rPr>
          <w:rFonts w:cs="Times New Roman"/>
        </w:rPr>
        <w:t xml:space="preserve"> and detention.</w:t>
      </w:r>
    </w:p>
    <w:p w14:paraId="36510B11" w14:textId="77777777" w:rsidR="0014116C" w:rsidRPr="0014116C" w:rsidRDefault="0014116C" w:rsidP="0014116C">
      <w:pPr>
        <w:pStyle w:val="ParaNoNdepar-AltN"/>
        <w:rPr>
          <w:rFonts w:cs="Times New Roman"/>
        </w:rPr>
      </w:pPr>
      <w:r w:rsidRPr="0014116C">
        <w:rPr>
          <w:rFonts w:cs="Times New Roman"/>
        </w:rPr>
        <w:t>Certain questions are not in issue in this appeal. First, there is no debate that safe third country agreements, as a general matter, may be compatible with international law (see, e.g., I. Atak and F. Crépeau, “Asylum in the twenty</w:t>
      </w:r>
      <w:r w:rsidRPr="0014116C">
        <w:rPr>
          <w:rFonts w:cs="Times New Roman"/>
        </w:rPr>
        <w:noBreakHyphen/>
        <w:t xml:space="preserve">first century: Trends and challenges”, in A. Triandafyllidou, ed., </w:t>
      </w:r>
      <w:r w:rsidRPr="0014116C">
        <w:rPr>
          <w:rFonts w:cs="Times New Roman"/>
          <w:i/>
        </w:rPr>
        <w:t>Routledge Handbook of Immigration and Refugee Studies</w:t>
      </w:r>
      <w:r w:rsidRPr="0014116C">
        <w:rPr>
          <w:rFonts w:cs="Times New Roman"/>
        </w:rPr>
        <w:t xml:space="preserve"> (2nd ed. 2023), 358, at p. 363). Second, the appellants do not attack the validity of the </w:t>
      </w:r>
      <w:r w:rsidRPr="0014116C">
        <w:rPr>
          <w:rFonts w:cs="Times New Roman"/>
          <w:i/>
          <w:iCs/>
        </w:rPr>
        <w:t>Safe Third Country Agreement</w:t>
      </w:r>
      <w:r w:rsidRPr="0014116C">
        <w:rPr>
          <w:rFonts w:cs="Times New Roman"/>
          <w:iCs/>
        </w:rPr>
        <w:t xml:space="preserve"> itself</w:t>
      </w:r>
      <w:r w:rsidRPr="0014116C">
        <w:rPr>
          <w:rFonts w:cs="Times New Roman"/>
        </w:rPr>
        <w:t xml:space="preserve">. Third, this Court is not tasked with assessing the wisdom of Canadian immigration policy, a matter that courts are not institutionally designed to evaluate, much less reform. Fourth, this Court is not asked to resolve the thorny issue of irregular entry into Canada at border crossings other than official land ports of entry (see, e.g., A. Macklin, “Citizenship, Non-Citizenship and The Rule of Law” (2018), 69 </w:t>
      </w:r>
      <w:r w:rsidRPr="0014116C">
        <w:rPr>
          <w:rFonts w:cs="Times New Roman"/>
          <w:i/>
        </w:rPr>
        <w:t>U.N.B.L.J.</w:t>
      </w:r>
      <w:r w:rsidRPr="0014116C">
        <w:rPr>
          <w:rFonts w:cs="Times New Roman"/>
        </w:rPr>
        <w:t xml:space="preserve"> 19, at pp. 35</w:t>
      </w:r>
      <w:r w:rsidRPr="0014116C">
        <w:rPr>
          <w:rFonts w:cs="Times New Roman"/>
        </w:rPr>
        <w:noBreakHyphen/>
        <w:t xml:space="preserve">37). Instead, the appeal focuses on whether the Canadian legislative regime implementing the </w:t>
      </w:r>
      <w:r w:rsidRPr="0014116C">
        <w:rPr>
          <w:rFonts w:cs="Times New Roman"/>
          <w:i/>
        </w:rPr>
        <w:t xml:space="preserve">Safe Third Country Agreement </w:t>
      </w:r>
      <w:r w:rsidRPr="0014116C">
        <w:rPr>
          <w:rFonts w:cs="Times New Roman"/>
        </w:rPr>
        <w:t xml:space="preserve">— that is, the relevant provisions of the </w:t>
      </w:r>
      <w:r w:rsidRPr="0014116C">
        <w:rPr>
          <w:rFonts w:cs="Times New Roman"/>
          <w:i/>
        </w:rPr>
        <w:t>IRPA</w:t>
      </w:r>
      <w:r w:rsidRPr="0014116C">
        <w:rPr>
          <w:rFonts w:cs="Times New Roman"/>
        </w:rPr>
        <w:t xml:space="preserve"> and </w:t>
      </w:r>
      <w:r w:rsidRPr="0014116C">
        <w:rPr>
          <w:rFonts w:cs="Times New Roman"/>
          <w:i/>
        </w:rPr>
        <w:t>IRPR</w:t>
      </w:r>
      <w:r w:rsidRPr="0014116C">
        <w:rPr>
          <w:rFonts w:cs="Times New Roman"/>
        </w:rPr>
        <w:t xml:space="preserve"> — complies with constitutional and administrative law requirements.</w:t>
      </w:r>
    </w:p>
    <w:p w14:paraId="5E226995" w14:textId="77777777" w:rsidR="0014116C" w:rsidRPr="0014116C" w:rsidRDefault="0014116C" w:rsidP="0014116C">
      <w:pPr>
        <w:pStyle w:val="ParaNoNdepar-AltN"/>
        <w:rPr>
          <w:rFonts w:cs="Times New Roman"/>
        </w:rPr>
      </w:pPr>
      <w:r w:rsidRPr="0014116C">
        <w:rPr>
          <w:rFonts w:cs="Times New Roman"/>
        </w:rPr>
        <w:t xml:space="preserve">The complexion of the judgments below on the </w:t>
      </w:r>
      <w:r w:rsidRPr="0014116C">
        <w:rPr>
          <w:rFonts w:cs="Times New Roman"/>
          <w:i/>
          <w:iCs/>
        </w:rPr>
        <w:t xml:space="preserve">Charter </w:t>
      </w:r>
      <w:r w:rsidRPr="0014116C">
        <w:rPr>
          <w:rFonts w:cs="Times New Roman"/>
        </w:rPr>
        <w:t>questions could not be more different. The Federal Court judge, who reviewed the evidence first</w:t>
      </w:r>
      <w:r w:rsidRPr="0014116C">
        <w:rPr>
          <w:rFonts w:cs="Times New Roman"/>
        </w:rPr>
        <w:noBreakHyphen/>
        <w:t xml:space="preserve">hand, found that the alleged s. 7 violations were largely substantiated and most grave. Deprivations of liberty and security of the person for refugee claimants arose because those returned to the United States faced risks of </w:t>
      </w:r>
      <w:r w:rsidRPr="0014116C">
        <w:rPr>
          <w:rFonts w:cs="Times New Roman"/>
          <w:i/>
        </w:rPr>
        <w:t>refoulement</w:t>
      </w:r>
      <w:r w:rsidRPr="0014116C">
        <w:rPr>
          <w:rFonts w:cs="Times New Roman"/>
        </w:rPr>
        <w:t xml:space="preserve"> as well as other harm relating to immigration detention. In the result, she was persuaded that s. 7 was violated and that this breach was not justified under s. 1. She declared s. 101(1)(e) of the </w:t>
      </w:r>
      <w:r w:rsidRPr="0014116C">
        <w:rPr>
          <w:rFonts w:cs="Times New Roman"/>
          <w:i/>
          <w:iCs/>
        </w:rPr>
        <w:t xml:space="preserve">IRPA </w:t>
      </w:r>
      <w:r w:rsidRPr="0014116C">
        <w:rPr>
          <w:rFonts w:cs="Times New Roman"/>
        </w:rPr>
        <w:t xml:space="preserve">and s. 159.3 of the </w:t>
      </w:r>
      <w:r w:rsidRPr="0014116C">
        <w:rPr>
          <w:rFonts w:cs="Times New Roman"/>
          <w:i/>
          <w:iCs/>
        </w:rPr>
        <w:t xml:space="preserve">IRPR </w:t>
      </w:r>
      <w:r w:rsidRPr="0014116C">
        <w:rPr>
          <w:rFonts w:cs="Times New Roman"/>
        </w:rPr>
        <w:t xml:space="preserve">of no force or effect under s. 52 of the </w:t>
      </w:r>
      <w:r w:rsidRPr="0014116C">
        <w:rPr>
          <w:rFonts w:cs="Times New Roman"/>
          <w:i/>
          <w:iCs/>
        </w:rPr>
        <w:t>Constitution Act, 1982</w:t>
      </w:r>
      <w:r w:rsidRPr="0014116C">
        <w:rPr>
          <w:rFonts w:cs="Times New Roman"/>
        </w:rPr>
        <w:t>.</w:t>
      </w:r>
    </w:p>
    <w:p w14:paraId="6939743C" w14:textId="77777777" w:rsidR="0014116C" w:rsidRPr="0014116C" w:rsidRDefault="0014116C" w:rsidP="0014116C">
      <w:pPr>
        <w:pStyle w:val="ParaNoNdepar-AltN"/>
        <w:rPr>
          <w:rFonts w:cs="Times New Roman"/>
        </w:rPr>
      </w:pPr>
      <w:r w:rsidRPr="0014116C">
        <w:rPr>
          <w:rFonts w:cs="Times New Roman"/>
        </w:rPr>
        <w:t xml:space="preserve">By contrast, the Federal Court of Appeal held that the </w:t>
      </w:r>
      <w:r w:rsidRPr="0014116C">
        <w:rPr>
          <w:rFonts w:cs="Times New Roman"/>
          <w:i/>
        </w:rPr>
        <w:t>Charter</w:t>
      </w:r>
      <w:r w:rsidRPr="0014116C">
        <w:rPr>
          <w:rFonts w:cs="Times New Roman"/>
        </w:rPr>
        <w:t xml:space="preserve"> challenge was not properly constituted and thus allowed the appeal brought by the Minister of Citizenship and Immigration </w:t>
      </w:r>
      <w:bookmarkStart w:id="38" w:name="_Hlk137324629"/>
      <w:r w:rsidRPr="0014116C">
        <w:rPr>
          <w:rFonts w:cs="Times New Roman"/>
        </w:rPr>
        <w:t>and the Minister of Public Safety and Emergency Preparedness</w:t>
      </w:r>
      <w:bookmarkEnd w:id="38"/>
      <w:r w:rsidRPr="0014116C">
        <w:rPr>
          <w:rFonts w:cs="Times New Roman"/>
        </w:rPr>
        <w:t xml:space="preserve">. Despite the appellants’ evidence and the findings of the Federal Court judge, the Court of Appeal found that the causation requirements for a </w:t>
      </w:r>
      <w:r w:rsidRPr="0014116C">
        <w:rPr>
          <w:rFonts w:cs="Times New Roman"/>
          <w:i/>
          <w:iCs/>
        </w:rPr>
        <w:t xml:space="preserve">Charter </w:t>
      </w:r>
      <w:r w:rsidRPr="0014116C">
        <w:rPr>
          <w:rFonts w:cs="Times New Roman"/>
        </w:rPr>
        <w:t xml:space="preserve">claim were not met because the appellants improperly targeted the legislation rather than administrative conduct. Respectfully, I disagree with the Court of Appeal and prefer the view — shared by both parties on appeal to this Court — that the regulation designating the United States was an appropriate focus of the </w:t>
      </w:r>
      <w:r w:rsidRPr="0014116C">
        <w:rPr>
          <w:rFonts w:cs="Times New Roman"/>
          <w:i/>
          <w:iCs/>
        </w:rPr>
        <w:t xml:space="preserve">Charter </w:t>
      </w:r>
      <w:r w:rsidRPr="0014116C">
        <w:rPr>
          <w:rFonts w:cs="Times New Roman"/>
        </w:rPr>
        <w:t>challenge. In particular, since the s. 159.3 designation is the legislative basis for the relevant ineligibility determinations, it is properly subject to constitutional scrutiny.</w:t>
      </w:r>
    </w:p>
    <w:p w14:paraId="5C2D0C58" w14:textId="77777777" w:rsidR="0014116C" w:rsidRPr="0014116C" w:rsidRDefault="0014116C" w:rsidP="0014116C">
      <w:pPr>
        <w:pStyle w:val="ParaNoNdepar-AltN"/>
        <w:rPr>
          <w:rFonts w:cs="Times New Roman"/>
        </w:rPr>
      </w:pPr>
      <w:r w:rsidRPr="0014116C">
        <w:rPr>
          <w:rFonts w:cs="Times New Roman"/>
        </w:rPr>
        <w:t xml:space="preserve">Further, I agree with the Federal Court judge’s findings that the liberty and security of the person interests of refugee claimants are engaged by the Canadian legislation that renders their claims ineligible. Specifically, I reject the notion that the claimants’ s. 7 interests are not engaged simply because the legislation contains measures that could ultimately have offered protection. This, I think, rests on a misunderstanding of </w:t>
      </w:r>
      <w:r w:rsidRPr="0014116C">
        <w:rPr>
          <w:rFonts w:cs="Times New Roman"/>
          <w:i/>
          <w:iCs/>
        </w:rPr>
        <w:t>Febles v. Canada (Citizenship and Immigration)</w:t>
      </w:r>
      <w:r w:rsidRPr="0014116C">
        <w:rPr>
          <w:rFonts w:cs="Times New Roman"/>
        </w:rPr>
        <w:t xml:space="preserve">, 2014 SCC 68, [2014] 3 S.C.R. 431, and is inconsistent with this Court’s approach to s. 7 set out in </w:t>
      </w:r>
      <w:r w:rsidRPr="0014116C">
        <w:rPr>
          <w:rFonts w:cs="Times New Roman"/>
          <w:i/>
          <w:iCs/>
        </w:rPr>
        <w:t>Canada (Attorney General) v. Bedford</w:t>
      </w:r>
      <w:r w:rsidRPr="0014116C">
        <w:rPr>
          <w:rFonts w:cs="Times New Roman"/>
        </w:rPr>
        <w:t>, 2013 SCC 72, [2013] 3 S.C.R. 1101.</w:t>
      </w:r>
    </w:p>
    <w:p w14:paraId="473F710C" w14:textId="77777777" w:rsidR="0014116C" w:rsidRPr="0014116C" w:rsidRDefault="0014116C" w:rsidP="0014116C">
      <w:pPr>
        <w:pStyle w:val="ParaNoNdepar-AltN"/>
        <w:rPr>
          <w:rFonts w:cs="Times New Roman"/>
        </w:rPr>
      </w:pPr>
      <w:r w:rsidRPr="0014116C">
        <w:rPr>
          <w:rFonts w:cs="Times New Roman"/>
        </w:rPr>
        <w:t xml:space="preserve">The findings of fact relating to the treatment of refugee claimants made by the Federal Court judge are troubling. Apart from her determinations that detention in the United States is “automatic” and that detention conditions cause a risk of </w:t>
      </w:r>
      <w:r w:rsidRPr="0014116C">
        <w:rPr>
          <w:rFonts w:cs="Times New Roman"/>
          <w:i/>
        </w:rPr>
        <w:t>refoulement</w:t>
      </w:r>
      <w:r w:rsidRPr="0014116C">
        <w:rPr>
          <w:rFonts w:cs="Times New Roman"/>
        </w:rPr>
        <w:t xml:space="preserve">, the respondents have failed to show that those conclusions are tainted by reviewable errors. While she made no finding that American asylum policies give rise to a risk of </w:t>
      </w:r>
      <w:r w:rsidRPr="0014116C">
        <w:rPr>
          <w:rFonts w:cs="Times New Roman"/>
          <w:i/>
          <w:iCs/>
        </w:rPr>
        <w:t>refoulement</w:t>
      </w:r>
      <w:r w:rsidRPr="0014116C">
        <w:rPr>
          <w:rFonts w:cs="Times New Roman"/>
        </w:rPr>
        <w:t xml:space="preserve">, I am nevertheless persuaded that the record substantiated her view that the designation of the United States engages the liberty and security of the person interests spoken to in s. 7 of the </w:t>
      </w:r>
      <w:r w:rsidRPr="0014116C">
        <w:rPr>
          <w:rFonts w:cs="Times New Roman"/>
          <w:i/>
          <w:iCs/>
        </w:rPr>
        <w:t>Charter</w:t>
      </w:r>
      <w:r w:rsidRPr="0014116C">
        <w:rPr>
          <w:rFonts w:cs="Times New Roman"/>
        </w:rPr>
        <w:t>.</w:t>
      </w:r>
    </w:p>
    <w:p w14:paraId="67E0B478" w14:textId="77777777" w:rsidR="0014116C" w:rsidRPr="0014116C" w:rsidRDefault="0014116C" w:rsidP="0014116C">
      <w:pPr>
        <w:pStyle w:val="ParaNoNdepar-AltN"/>
        <w:rPr>
          <w:rFonts w:cs="Times New Roman"/>
        </w:rPr>
      </w:pPr>
      <w:r w:rsidRPr="0014116C">
        <w:rPr>
          <w:rFonts w:cs="Times New Roman"/>
        </w:rPr>
        <w:t xml:space="preserve">After engagement of these constitutionally protected interests is established, however, the s. 7 analysis turns to what scholar Gerald Heckman, writing prior to his appointment to the bench, describes as the “key question” in refugee protection decision making: whether the deprivation of the liberty or security of the person interests is in accordance with the principles of fundamental justice (“Revisiting the Application of Section 7 of the </w:t>
      </w:r>
      <w:r w:rsidRPr="0014116C">
        <w:rPr>
          <w:rFonts w:cs="Times New Roman"/>
          <w:i/>
          <w:iCs/>
        </w:rPr>
        <w:t xml:space="preserve">Charter </w:t>
      </w:r>
      <w:r w:rsidRPr="0014116C">
        <w:rPr>
          <w:rFonts w:cs="Times New Roman"/>
        </w:rPr>
        <w:t xml:space="preserve">in Immigration and Refugee Protection” (2017), 68 </w:t>
      </w:r>
      <w:r w:rsidRPr="0014116C">
        <w:rPr>
          <w:rFonts w:cs="Times New Roman"/>
          <w:i/>
        </w:rPr>
        <w:t>U.N.B.L.J.</w:t>
      </w:r>
      <w:r w:rsidRPr="0014116C">
        <w:rPr>
          <w:rFonts w:cs="Times New Roman"/>
        </w:rPr>
        <w:t xml:space="preserve"> 312, at p. 356). This requires an examination of whether Canadian state action “has interfered with those fundamental interests pursuant to a fair process and in a manner rationally connected and proportionate to the objectives of Canada’s immigration laws” (</w:t>
      </w:r>
      <w:r w:rsidRPr="0014116C">
        <w:rPr>
          <w:rFonts w:cs="Times New Roman"/>
          <w:i/>
          <w:iCs/>
        </w:rPr>
        <w:t>ibid</w:t>
      </w:r>
      <w:r w:rsidRPr="0014116C">
        <w:rPr>
          <w:rFonts w:cs="Times New Roman"/>
          <w:i/>
        </w:rPr>
        <w:t>.</w:t>
      </w:r>
      <w:r w:rsidRPr="0014116C">
        <w:rPr>
          <w:rFonts w:cs="Times New Roman"/>
        </w:rPr>
        <w:t xml:space="preserve">). The focus of this examination is not on whether asylum law in the United States mirrors the law in Canada. Instead, the focus is on the purpose and effects of the Canadian legislative scheme. Of particular significance here is whether the ineligibility rule in the legislation is tempered by related provisions that provide relief from potential s. 7 violations. As this Court held in </w:t>
      </w:r>
      <w:r w:rsidRPr="0014116C">
        <w:rPr>
          <w:rFonts w:cs="Times New Roman"/>
          <w:i/>
          <w:iCs/>
        </w:rPr>
        <w:t>Canada (Attorney General) v. PHS Community Services Society</w:t>
      </w:r>
      <w:r w:rsidRPr="0014116C">
        <w:rPr>
          <w:rFonts w:cs="Times New Roman"/>
        </w:rPr>
        <w:t>, 2011 SCC 44, [2011] 3 S.C.R. 134, speaking specifically to what are usefully described as curative exemptions, legislative “safety valve[s]” can ensure that deprivations of the s. 7 interests are not arbitrary, overbroad or grossly disproportionate (para. 113).</w:t>
      </w:r>
    </w:p>
    <w:p w14:paraId="32785B00" w14:textId="77777777" w:rsidR="0014116C" w:rsidRPr="0014116C" w:rsidRDefault="0014116C" w:rsidP="0014116C">
      <w:pPr>
        <w:pStyle w:val="ParaNoNdepar-AltN"/>
        <w:rPr>
          <w:rFonts w:cs="Times New Roman"/>
        </w:rPr>
      </w:pPr>
      <w:r w:rsidRPr="0014116C">
        <w:rPr>
          <w:rFonts w:cs="Times New Roman"/>
        </w:rPr>
        <w:t xml:space="preserve">From this perspective, and notwithstanding the findings of the Federal Court judge that the s. 7 interests are engaged, the challenge to s. 159.3 of the </w:t>
      </w:r>
      <w:r w:rsidRPr="0014116C">
        <w:rPr>
          <w:rFonts w:cs="Times New Roman"/>
          <w:i/>
        </w:rPr>
        <w:t>IRPR</w:t>
      </w:r>
      <w:r w:rsidRPr="0014116C">
        <w:rPr>
          <w:rFonts w:cs="Times New Roman"/>
        </w:rPr>
        <w:t xml:space="preserve"> ultimately fails. The </w:t>
      </w:r>
      <w:r w:rsidRPr="0014116C">
        <w:rPr>
          <w:rFonts w:cs="Times New Roman"/>
          <w:i/>
          <w:iCs/>
        </w:rPr>
        <w:t xml:space="preserve">IRPA </w:t>
      </w:r>
      <w:r w:rsidRPr="0014116C">
        <w:rPr>
          <w:rFonts w:cs="Times New Roman"/>
        </w:rPr>
        <w:t xml:space="preserve">and the </w:t>
      </w:r>
      <w:r w:rsidRPr="0014116C">
        <w:rPr>
          <w:rFonts w:cs="Times New Roman"/>
          <w:i/>
          <w:iCs/>
        </w:rPr>
        <w:t xml:space="preserve">IRPR </w:t>
      </w:r>
      <w:r w:rsidRPr="0014116C">
        <w:rPr>
          <w:rFonts w:cs="Times New Roman"/>
        </w:rPr>
        <w:t xml:space="preserve">contain exceptions, exemptions and review obligations that address the problems associated with ineligibility and removal from Canada. These provisions give voice in Canadian law to the idea, expressed in Article 6 of the treaty, that each government should be free to examine any refugee status claim when it determines that doing so is in its public interest. In particular, even where ineligibility under the scheme would lead to deprivations of liberty or security of the person — as the Federal Court judge found — the legislative scheme’s discretionary exemptions ensure compliance with the principles of fundamental justice. In sum, the legislation is tailored to prevent certain infringements of s. 7 interests and, importantly for present purposes, survives constitutional scrutiny here because legislative safety valves provide curative relief. </w:t>
      </w:r>
    </w:p>
    <w:p w14:paraId="4E47EF0F" w14:textId="77777777" w:rsidR="0014116C" w:rsidRPr="0014116C" w:rsidRDefault="0014116C" w:rsidP="0014116C">
      <w:pPr>
        <w:pStyle w:val="ParaNoNdepar-AltN"/>
        <w:rPr>
          <w:rFonts w:cs="Times New Roman"/>
        </w:rPr>
      </w:pPr>
      <w:r w:rsidRPr="0014116C">
        <w:rPr>
          <w:rFonts w:cs="Times New Roman"/>
        </w:rPr>
        <w:t xml:space="preserve">While the Federal Court judge stated that safeguards in the scheme were “illusory”, her assessment did not consider all the relevant safety valves. This omission was an error of law that led her to improperly discount how the legislative scheme allows Canada to consider refugee status claims when the principles of fundamental justice so require, notwithstanding their presumptive ineligibility. As a result, I am respectfully of the view that the Federal Court’s conclusion that the designation of the United States for the purposes of the </w:t>
      </w:r>
      <w:r w:rsidRPr="0014116C">
        <w:rPr>
          <w:rFonts w:cs="Times New Roman"/>
          <w:i/>
        </w:rPr>
        <w:t xml:space="preserve">Safe Third Country Agreement </w:t>
      </w:r>
      <w:r w:rsidRPr="0014116C">
        <w:rPr>
          <w:rFonts w:cs="Times New Roman"/>
        </w:rPr>
        <w:t>breached s. 7 cannot stand.</w:t>
      </w:r>
    </w:p>
    <w:p w14:paraId="38AAE70B" w14:textId="77777777" w:rsidR="0014116C" w:rsidRPr="0014116C" w:rsidRDefault="0014116C" w:rsidP="0014116C">
      <w:pPr>
        <w:pStyle w:val="ParaNoNdepar-AltN"/>
        <w:rPr>
          <w:rFonts w:cs="Times New Roman"/>
        </w:rPr>
      </w:pPr>
      <w:r w:rsidRPr="0014116C">
        <w:rPr>
          <w:rFonts w:cs="Times New Roman"/>
        </w:rPr>
        <w:t xml:space="preserve">It may well be that, in practice, administrative decision makers do not always construe or deploy the legislative safety valves appropriately. In such cases, the legislation itself remains valid, but administrative and </w:t>
      </w:r>
      <w:r w:rsidRPr="0014116C">
        <w:rPr>
          <w:rFonts w:cs="Times New Roman"/>
          <w:i/>
        </w:rPr>
        <w:t xml:space="preserve">Charter </w:t>
      </w:r>
      <w:r w:rsidRPr="0014116C">
        <w:rPr>
          <w:rFonts w:cs="Times New Roman"/>
        </w:rPr>
        <w:t xml:space="preserve">relief remains available on an individual basis. For instance, the </w:t>
      </w:r>
      <w:r w:rsidRPr="0014116C">
        <w:rPr>
          <w:rFonts w:cs="Times New Roman"/>
          <w:i/>
        </w:rPr>
        <w:t>Charter</w:t>
      </w:r>
      <w:r w:rsidRPr="0014116C">
        <w:rPr>
          <w:rFonts w:cs="Times New Roman"/>
        </w:rPr>
        <w:t xml:space="preserve"> can prohibit administrative actors from returning refugee claimants to places where they would face circumstances that would shock the conscience of Canadians. Yet, while some of the appellants have detailed the difficulties they faced in seeking refugee protection at Canadian land ports of entry, they have not asked this Court to provide them with individualized</w:t>
      </w:r>
      <w:r w:rsidRPr="0014116C">
        <w:rPr>
          <w:rFonts w:cs="Times New Roman"/>
          <w:i/>
          <w:iCs/>
        </w:rPr>
        <w:t xml:space="preserve"> </w:t>
      </w:r>
      <w:r w:rsidRPr="0014116C">
        <w:rPr>
          <w:rFonts w:cs="Times New Roman"/>
        </w:rPr>
        <w:t xml:space="preserve">relief. Instead, they focus their constitutional challenge solely on alleged defects in the legislative scheme itself in order to have s. 159.3 of the </w:t>
      </w:r>
      <w:r w:rsidRPr="0014116C">
        <w:rPr>
          <w:rFonts w:cs="Times New Roman"/>
          <w:i/>
        </w:rPr>
        <w:t>IRPR</w:t>
      </w:r>
      <w:r w:rsidRPr="0014116C">
        <w:rPr>
          <w:rFonts w:cs="Times New Roman"/>
        </w:rPr>
        <w:t xml:space="preserve"> declared of no force or effect under the </w:t>
      </w:r>
      <w:r w:rsidRPr="0014116C">
        <w:rPr>
          <w:rFonts w:cs="Times New Roman"/>
          <w:i/>
        </w:rPr>
        <w:t>Constitution Act, 1982</w:t>
      </w:r>
      <w:r w:rsidRPr="0014116C">
        <w:rPr>
          <w:rFonts w:cs="Times New Roman"/>
        </w:rPr>
        <w:t>.</w:t>
      </w:r>
    </w:p>
    <w:p w14:paraId="0F6E6D9C" w14:textId="77777777" w:rsidR="0014116C" w:rsidRPr="0014116C" w:rsidRDefault="0014116C" w:rsidP="0014116C">
      <w:pPr>
        <w:pStyle w:val="ParaNoNdepar-AltN"/>
        <w:rPr>
          <w:rFonts w:cs="Times New Roman"/>
        </w:rPr>
      </w:pPr>
      <w:r w:rsidRPr="0014116C">
        <w:rPr>
          <w:rFonts w:cs="Times New Roman"/>
        </w:rPr>
        <w:t xml:space="preserve">While I reject the appellants’ s. 7 challenge to the legislative scheme and their other arguments, I would nevertheless allow the appeal in part. I would remit the appellants’ claim that the legislation violates </w:t>
      </w:r>
      <w:r w:rsidRPr="0014116C">
        <w:rPr>
          <w:rFonts w:cs="Times New Roman"/>
          <w:i/>
        </w:rPr>
        <w:t>Charter</w:t>
      </w:r>
      <w:r w:rsidRPr="0014116C">
        <w:rPr>
          <w:rFonts w:cs="Times New Roman"/>
          <w:i/>
        </w:rPr>
        <w:noBreakHyphen/>
      </w:r>
      <w:r w:rsidRPr="0014116C">
        <w:rPr>
          <w:rFonts w:cs="Times New Roman"/>
        </w:rPr>
        <w:t>guaranteed</w:t>
      </w:r>
      <w:r w:rsidRPr="0014116C">
        <w:rPr>
          <w:rFonts w:cs="Times New Roman"/>
          <w:i/>
        </w:rPr>
        <w:t xml:space="preserve"> </w:t>
      </w:r>
      <w:r w:rsidRPr="0014116C">
        <w:rPr>
          <w:rFonts w:cs="Times New Roman"/>
        </w:rPr>
        <w:t>equality rights, which was not decided by either court below. The appellants’ s. 15 claim rests on grave allegations that women facing gender</w:t>
      </w:r>
      <w:r w:rsidRPr="0014116C">
        <w:rPr>
          <w:rFonts w:cs="Times New Roman"/>
        </w:rPr>
        <w:noBreakHyphen/>
        <w:t xml:space="preserve">based persecution and sexual violence are often denied refugee status in the United States contrary to </w:t>
      </w:r>
      <w:bookmarkStart w:id="39" w:name="_Hlk137328669"/>
      <w:r w:rsidRPr="0014116C">
        <w:rPr>
          <w:rFonts w:cs="Times New Roman"/>
        </w:rPr>
        <w:t xml:space="preserve">Article 33 of the </w:t>
      </w:r>
      <w:r w:rsidRPr="0014116C">
        <w:rPr>
          <w:rFonts w:cs="Times New Roman"/>
          <w:i/>
        </w:rPr>
        <w:t>Convention Relating to the Status of Refugees</w:t>
      </w:r>
      <w:bookmarkEnd w:id="39"/>
      <w:r w:rsidRPr="0014116C">
        <w:rPr>
          <w:rFonts w:cs="Times New Roman"/>
        </w:rPr>
        <w:t>, Can. T.S. 1969 No. 6 (“</w:t>
      </w:r>
      <w:r w:rsidRPr="0014116C">
        <w:rPr>
          <w:rFonts w:cs="Times New Roman"/>
          <w:i/>
        </w:rPr>
        <w:t>Refugee Convention</w:t>
      </w:r>
      <w:r w:rsidRPr="0014116C">
        <w:rPr>
          <w:rFonts w:cs="Times New Roman"/>
        </w:rPr>
        <w:t>”). The evidentiary basis for the appellants’ s. 15 claim remains disputed and no factual findings were made in the Federal Court on which we can rely on appeal. It would be imprudent for this Court to dispose of the equality rights claim as would a court of first instance and thus leave the losing party with no avenue of appeal.</w:t>
      </w:r>
    </w:p>
    <w:p w14:paraId="1A6FC0A2" w14:textId="77777777" w:rsidR="0014116C" w:rsidRPr="0014116C" w:rsidRDefault="0014116C" w:rsidP="0014116C">
      <w:pPr>
        <w:pStyle w:val="Title1LevelTitre1Niveau-AltL"/>
        <w:rPr>
          <w:rFonts w:cs="Times New Roman"/>
        </w:rPr>
      </w:pPr>
      <w:bookmarkStart w:id="40" w:name="_Toc127267637"/>
      <w:bookmarkStart w:id="41" w:name="_Toc130454468"/>
      <w:bookmarkStart w:id="42" w:name="_Toc131401515"/>
      <w:bookmarkStart w:id="43" w:name="_Toc133824183"/>
      <w:bookmarkStart w:id="44" w:name="_Toc134173675"/>
      <w:bookmarkStart w:id="45" w:name="_Toc136424903"/>
      <w:r w:rsidRPr="0014116C">
        <w:rPr>
          <w:rFonts w:cs="Times New Roman"/>
        </w:rPr>
        <w:t>The Parties</w:t>
      </w:r>
      <w:bookmarkEnd w:id="40"/>
      <w:bookmarkEnd w:id="41"/>
      <w:bookmarkEnd w:id="42"/>
      <w:bookmarkEnd w:id="43"/>
      <w:bookmarkEnd w:id="44"/>
      <w:bookmarkEnd w:id="45"/>
    </w:p>
    <w:p w14:paraId="4C3DBADA" w14:textId="77777777" w:rsidR="0014116C" w:rsidRPr="0014116C" w:rsidRDefault="0014116C" w:rsidP="0014116C">
      <w:pPr>
        <w:pStyle w:val="ParaNoNdepar-AltN"/>
        <w:rPr>
          <w:rFonts w:cs="Times New Roman"/>
        </w:rPr>
      </w:pPr>
      <w:r w:rsidRPr="0014116C">
        <w:rPr>
          <w:rFonts w:cs="Times New Roman"/>
        </w:rPr>
        <w:t>The appellants are individual refugee claimants and public interest litigants. The respondents are the Minister of Citizenship and Immigration and the Minister of Public Safety and Emergency Preparedness.</w:t>
      </w:r>
    </w:p>
    <w:p w14:paraId="77361947" w14:textId="77777777" w:rsidR="0014116C" w:rsidRPr="0014116C" w:rsidRDefault="0014116C" w:rsidP="0014116C">
      <w:pPr>
        <w:pStyle w:val="ParaNoNdepar-AltN"/>
        <w:rPr>
          <w:rFonts w:cs="Times New Roman"/>
        </w:rPr>
      </w:pPr>
      <w:r w:rsidRPr="0014116C">
        <w:rPr>
          <w:rFonts w:cs="Times New Roman"/>
        </w:rPr>
        <w:t xml:space="preserve">Each individual appellant arrived from the United States to claim refugee protection in Canada. Because they arrived at land ports of entry, their claims were ineligible to be referred to the Refugee Protection Division, pursuant to s. 101(1)(e) of the </w:t>
      </w:r>
      <w:r w:rsidRPr="0014116C">
        <w:rPr>
          <w:rFonts w:cs="Times New Roman"/>
          <w:i/>
          <w:iCs/>
        </w:rPr>
        <w:t xml:space="preserve">IRPA </w:t>
      </w:r>
      <w:r w:rsidRPr="0014116C">
        <w:rPr>
          <w:rFonts w:cs="Times New Roman"/>
        </w:rPr>
        <w:t xml:space="preserve">and s. 159.3 of the </w:t>
      </w:r>
      <w:r w:rsidRPr="0014116C">
        <w:rPr>
          <w:rFonts w:cs="Times New Roman"/>
          <w:i/>
          <w:iCs/>
        </w:rPr>
        <w:t>IRPR</w:t>
      </w:r>
      <w:r w:rsidRPr="0014116C">
        <w:rPr>
          <w:rFonts w:cs="Times New Roman"/>
        </w:rPr>
        <w:t>.</w:t>
      </w:r>
    </w:p>
    <w:p w14:paraId="7174C20F" w14:textId="77777777" w:rsidR="0014116C" w:rsidRPr="0014116C" w:rsidRDefault="0014116C" w:rsidP="0014116C">
      <w:pPr>
        <w:pStyle w:val="ParaNoNdepar-AltN"/>
        <w:rPr>
          <w:rFonts w:cs="Times New Roman"/>
        </w:rPr>
      </w:pPr>
      <w:r w:rsidRPr="0014116C">
        <w:rPr>
          <w:rFonts w:cs="Times New Roman"/>
        </w:rPr>
        <w:t>ABC and her daughters are citizens of El Salvador, where they say they were subject to gender</w:t>
      </w:r>
      <w:r w:rsidRPr="0014116C">
        <w:rPr>
          <w:rFonts w:cs="Times New Roman"/>
        </w:rPr>
        <w:noBreakHyphen/>
        <w:t xml:space="preserve">based persecution and sexual violence committed by gangs. They fled to the United States in 2016, where they were initially detained. American officials advised them they were subject to removal proceedings. ABC and her daughters were released for the duration of those proceedings. In 2017, ABC and her daughters arrived at the land port of entry at Fort Erie, Ontario to claim refugee protection in Canada. They say that a Canadian Border Services Agency (“CBSA”) officer advised them that they should withdraw their claim, as they would be found ineligible in keeping with the </w:t>
      </w:r>
      <w:r w:rsidRPr="0014116C">
        <w:rPr>
          <w:rFonts w:cs="Times New Roman"/>
          <w:i/>
          <w:iCs/>
        </w:rPr>
        <w:t>Safe Third Country Agreement</w:t>
      </w:r>
      <w:r w:rsidRPr="0014116C">
        <w:rPr>
          <w:rFonts w:cs="Times New Roman"/>
        </w:rPr>
        <w:t>. They decided to return to the United States. About six months later, ABC and her daughters again attempted to make a claim for refugee protection. ABC’s husband, whose own refugee claim in Canada was pending, retained legal counsel in anticipation that the CBSA would determine that ABC’s and her daughters’ claims were ineligible. When the CBSA made that determination, it agreed to defer removal briefly. Counsel applied for judicial review and also obtained a stay of removal, which remains in effect while this appeal is pending.</w:t>
      </w:r>
    </w:p>
    <w:p w14:paraId="2745B0A9" w14:textId="77777777" w:rsidR="0014116C" w:rsidRPr="0014116C" w:rsidRDefault="0014116C" w:rsidP="0014116C">
      <w:pPr>
        <w:pStyle w:val="ParaNoNdepar-AltN"/>
        <w:rPr>
          <w:rFonts w:cs="Times New Roman"/>
        </w:rPr>
      </w:pPr>
      <w:r w:rsidRPr="0014116C">
        <w:rPr>
          <w:rFonts w:cs="Times New Roman"/>
        </w:rPr>
        <w:t>Ms. Mustefa is an Ethiopian citizen and member of the Oromo ethnic group. When she was 11, she travelled alone to the United States on a visitor’s visa for medical treatment. She stayed there through the end of high school. Ms. Mustefa says that oppression of the Oromo in Ethiopia escalated around this time. She decided not to return to Ethiopia but believed a policy known as the “one</w:t>
      </w:r>
      <w:r w:rsidRPr="0014116C">
        <w:rPr>
          <w:rFonts w:cs="Times New Roman"/>
        </w:rPr>
        <w:noBreakHyphen/>
        <w:t>year bar” made her ineligible to claim asylum in the United States. In 2017, Ms. Mustefa travelled to the land port of entry in Saint-Bernard-de-Lacolle, Quebec to make a claim for refugee protection in Canada. The CBSA determined her claim was ineligible. She was returned to the United States, where she says that American officials detained her in solitary confinement for a week pending the results of a tuberculosis test and then detained her for another three weeks in an abnormally cold facility, where individuals convicted of criminal offences were present and where her religious dietary restrictions were not respected. While detained, Ms. Mustefa was able to communicate with her family and with legal counsel, and she was later released on a bond. Ms. Mustefa applied for permanent residence in the United States, which was granted in 2021.</w:t>
      </w:r>
    </w:p>
    <w:p w14:paraId="37971CEF" w14:textId="77777777" w:rsidR="0014116C" w:rsidRPr="0014116C" w:rsidRDefault="0014116C" w:rsidP="0014116C">
      <w:pPr>
        <w:pStyle w:val="ParaNoNdepar-AltN"/>
        <w:rPr>
          <w:rFonts w:cs="Times New Roman"/>
        </w:rPr>
      </w:pPr>
      <w:r w:rsidRPr="0014116C">
        <w:rPr>
          <w:rFonts w:cs="Times New Roman"/>
        </w:rPr>
        <w:t>Ms. Al Nahass and her three children are citizens of Syria. She and her family lived in Saudi Arabia, where her husband worked. In 2015, Ms. Al Nahass travelled to Syria for medical treatment. She says that during that trip, she was kidnapped, attacked and threatened with sexual violence. The family subsequently travelled to the United States. While there, she says that her husband lost his job, jeopardizing the family’s residency in Saudi Arabia. Ms. Al Nahass feared returning to Syria and began the asylum process in the United States. During this process, Ms. Al Nahass says that she grew concerned with what she perceived as public hatred expressed towards Muslim and Arab people and with actions taken by the United States executive. She and her family decided to seek refugee protection in Canada. When they did so at the land port of entry in Saint-Bernard-de-Lacolle, the CBSA determined their claims were ineligible. Ms. Al Nahass contacted legal counsel, who filed a motion for an emergency stay of removal at the Federal Court. An interim stay was granted. Before the full stay motion could be heard, the Minister granted the family temporary resident permits. They have now been granted permanent residence based on humanitarian and compassionate grounds.</w:t>
      </w:r>
    </w:p>
    <w:p w14:paraId="3B3DD8FD" w14:textId="77777777" w:rsidR="0014116C" w:rsidRPr="0014116C" w:rsidRDefault="0014116C" w:rsidP="0014116C">
      <w:pPr>
        <w:pStyle w:val="ParaNoNdepar-AltN"/>
        <w:rPr>
          <w:rFonts w:cs="Times New Roman"/>
        </w:rPr>
      </w:pPr>
      <w:r w:rsidRPr="0014116C">
        <w:rPr>
          <w:rFonts w:cs="Times New Roman"/>
        </w:rPr>
        <w:t>The appellants introduced into evidence affidavits from ten anonymized, non</w:t>
      </w:r>
      <w:r w:rsidRPr="0014116C">
        <w:rPr>
          <w:rFonts w:cs="Times New Roman"/>
        </w:rPr>
        <w:noBreakHyphen/>
        <w:t xml:space="preserve">party affiants. Each affiant says that they were returned to the United States after their claims were found ineligible pursuant to the </w:t>
      </w:r>
      <w:r w:rsidRPr="0014116C">
        <w:rPr>
          <w:rFonts w:cs="Times New Roman"/>
          <w:i/>
        </w:rPr>
        <w:t>Safe Third Country Agreement</w:t>
      </w:r>
      <w:r w:rsidRPr="0014116C">
        <w:rPr>
          <w:rFonts w:cs="Times New Roman"/>
        </w:rPr>
        <w:t>. The nine affiants who answered written cross</w:t>
      </w:r>
      <w:r w:rsidRPr="0014116C">
        <w:rPr>
          <w:rFonts w:cs="Times New Roman"/>
        </w:rPr>
        <w:noBreakHyphen/>
        <w:t>examinations stated that, after their return, they were detained by American authorities. With one exception, they were released from detention pursuant to an administrative decision or bond hearing. Likewise, they made asylum claims in the United States with the assistance of counsel. One affiant could not meet the bond set for their release. That individual was removed from the United States after unsuccessfully appealing the immigration judge’s unfavourable decision to the American Board of Immigration Appeals and, subsequently, to the Court of Appeals for the Second Circuit.</w:t>
      </w:r>
    </w:p>
    <w:p w14:paraId="4EBA256C" w14:textId="77777777" w:rsidR="0014116C" w:rsidRPr="0014116C" w:rsidRDefault="0014116C" w:rsidP="0014116C">
      <w:pPr>
        <w:pStyle w:val="Title1LevelTitre1Niveau-AltL"/>
        <w:rPr>
          <w:rFonts w:cs="Times New Roman"/>
        </w:rPr>
      </w:pPr>
      <w:bookmarkStart w:id="46" w:name="_Toc127267643"/>
      <w:bookmarkStart w:id="47" w:name="_Toc130454474"/>
      <w:bookmarkStart w:id="48" w:name="_Toc131401516"/>
      <w:bookmarkStart w:id="49" w:name="_Toc133824184"/>
      <w:bookmarkStart w:id="50" w:name="_Toc134173676"/>
      <w:bookmarkStart w:id="51" w:name="_Toc136424904"/>
      <w:r w:rsidRPr="0014116C">
        <w:rPr>
          <w:rFonts w:cs="Times New Roman"/>
        </w:rPr>
        <w:t>Proceedings Below</w:t>
      </w:r>
      <w:bookmarkEnd w:id="46"/>
      <w:bookmarkEnd w:id="47"/>
      <w:bookmarkEnd w:id="48"/>
      <w:bookmarkEnd w:id="49"/>
      <w:bookmarkEnd w:id="50"/>
      <w:bookmarkEnd w:id="51"/>
    </w:p>
    <w:p w14:paraId="563A6CF6" w14:textId="77777777" w:rsidR="0014116C" w:rsidRPr="0014116C" w:rsidRDefault="0014116C" w:rsidP="0014116C">
      <w:pPr>
        <w:pStyle w:val="Title2LevelTitre2Niveau"/>
        <w:rPr>
          <w:rFonts w:cs="Times New Roman"/>
        </w:rPr>
      </w:pPr>
      <w:bookmarkStart w:id="52" w:name="_Toc127267644"/>
      <w:bookmarkStart w:id="53" w:name="_Toc130454475"/>
      <w:bookmarkStart w:id="54" w:name="_Toc131401517"/>
      <w:bookmarkStart w:id="55" w:name="_Toc133824185"/>
      <w:bookmarkStart w:id="56" w:name="_Toc134173677"/>
      <w:bookmarkStart w:id="57" w:name="_Toc136424905"/>
      <w:r w:rsidRPr="0014116C">
        <w:rPr>
          <w:rFonts w:cs="Times New Roman"/>
        </w:rPr>
        <w:t>Federal Court, 2020 FC 770, [2021] 1 F.C.R. 209 (McDonald J.)</w:t>
      </w:r>
      <w:bookmarkEnd w:id="52"/>
      <w:bookmarkEnd w:id="53"/>
      <w:bookmarkEnd w:id="54"/>
      <w:bookmarkEnd w:id="55"/>
      <w:bookmarkEnd w:id="56"/>
      <w:bookmarkEnd w:id="57"/>
    </w:p>
    <w:p w14:paraId="1A72F335" w14:textId="77777777" w:rsidR="0014116C" w:rsidRPr="0014116C" w:rsidRDefault="0014116C" w:rsidP="0014116C">
      <w:pPr>
        <w:pStyle w:val="ParaNoNdepar-AltN"/>
        <w:rPr>
          <w:rFonts w:cs="Times New Roman"/>
        </w:rPr>
      </w:pPr>
      <w:r w:rsidRPr="0014116C">
        <w:rPr>
          <w:rFonts w:cs="Times New Roman"/>
        </w:rPr>
        <w:t xml:space="preserve">The appellants challenged the validity of s. 159.3 of the </w:t>
      </w:r>
      <w:r w:rsidRPr="0014116C">
        <w:rPr>
          <w:rFonts w:cs="Times New Roman"/>
          <w:i/>
          <w:iCs/>
        </w:rPr>
        <w:t>IRPR</w:t>
      </w:r>
      <w:r w:rsidRPr="0014116C">
        <w:rPr>
          <w:rFonts w:cs="Times New Roman"/>
        </w:rPr>
        <w:t xml:space="preserve"> on the basis that the designation of the United States was outside the authority granted by the </w:t>
      </w:r>
      <w:r w:rsidRPr="0014116C">
        <w:rPr>
          <w:rFonts w:cs="Times New Roman"/>
          <w:i/>
          <w:iCs/>
        </w:rPr>
        <w:t>IRPA</w:t>
      </w:r>
      <w:r w:rsidRPr="0014116C">
        <w:rPr>
          <w:rFonts w:cs="Times New Roman"/>
        </w:rPr>
        <w:t xml:space="preserve">. They also said that s. 159.3 of the </w:t>
      </w:r>
      <w:r w:rsidRPr="0014116C">
        <w:rPr>
          <w:rFonts w:cs="Times New Roman"/>
          <w:i/>
          <w:iCs/>
        </w:rPr>
        <w:t>IRPR</w:t>
      </w:r>
      <w:r w:rsidRPr="0014116C">
        <w:rPr>
          <w:rFonts w:cs="Times New Roman"/>
        </w:rPr>
        <w:t xml:space="preserve"> and s. 101(1)(e) of the </w:t>
      </w:r>
      <w:r w:rsidRPr="0014116C">
        <w:rPr>
          <w:rFonts w:cs="Times New Roman"/>
          <w:i/>
          <w:iCs/>
        </w:rPr>
        <w:t>IRPA</w:t>
      </w:r>
      <w:r w:rsidRPr="0014116C">
        <w:rPr>
          <w:rFonts w:cs="Times New Roman"/>
        </w:rPr>
        <w:t xml:space="preserve"> unjustifiably violated ss. 7 and 15 of the </w:t>
      </w:r>
      <w:r w:rsidRPr="0014116C">
        <w:rPr>
          <w:rFonts w:cs="Times New Roman"/>
          <w:i/>
          <w:iCs/>
        </w:rPr>
        <w:t>Charter</w:t>
      </w:r>
      <w:r w:rsidRPr="0014116C">
        <w:rPr>
          <w:rFonts w:cs="Times New Roman"/>
        </w:rPr>
        <w:t xml:space="preserve">. The Federal Court judge rejected the argument that the regulation was </w:t>
      </w:r>
      <w:r w:rsidRPr="0014116C">
        <w:rPr>
          <w:rFonts w:cs="Times New Roman"/>
          <w:i/>
          <w:iCs/>
        </w:rPr>
        <w:t>ultra vires</w:t>
      </w:r>
      <w:r w:rsidRPr="0014116C">
        <w:rPr>
          <w:rFonts w:cs="Times New Roman"/>
        </w:rPr>
        <w:t xml:space="preserve"> but found an unjustified s. 7 breach. Because of her conclusion on s. 7, she declined to rule on the s. 15 claim. </w:t>
      </w:r>
    </w:p>
    <w:p w14:paraId="46E909ED" w14:textId="77777777" w:rsidR="0014116C" w:rsidRPr="0014116C" w:rsidRDefault="0014116C" w:rsidP="0014116C">
      <w:pPr>
        <w:pStyle w:val="ParaNoNdepar-AltN"/>
        <w:rPr>
          <w:rFonts w:cs="Times New Roman"/>
        </w:rPr>
      </w:pPr>
      <w:r w:rsidRPr="0014116C">
        <w:rPr>
          <w:rFonts w:cs="Times New Roman"/>
        </w:rPr>
        <w:t xml:space="preserve">The </w:t>
      </w:r>
      <w:r w:rsidRPr="0014116C">
        <w:rPr>
          <w:rFonts w:cs="Times New Roman"/>
          <w:i/>
        </w:rPr>
        <w:t>vires</w:t>
      </w:r>
      <w:r w:rsidRPr="0014116C">
        <w:rPr>
          <w:rFonts w:cs="Times New Roman"/>
        </w:rPr>
        <w:t xml:space="preserve"> argument was rejected because </w:t>
      </w:r>
      <w:r w:rsidRPr="0014116C">
        <w:rPr>
          <w:rFonts w:cs="Times New Roman"/>
          <w:i/>
          <w:iCs/>
        </w:rPr>
        <w:t>Canadian Council for Refugees v. Canada</w:t>
      </w:r>
      <w:r w:rsidRPr="0014116C">
        <w:rPr>
          <w:rFonts w:cs="Times New Roman"/>
        </w:rPr>
        <w:t>, 2008 FCA 229, [2009] 3 F.C.R. 136 (“</w:t>
      </w:r>
      <w:r w:rsidRPr="0014116C">
        <w:rPr>
          <w:rFonts w:cs="Times New Roman"/>
          <w:i/>
        </w:rPr>
        <w:t>CCR (2008)</w:t>
      </w:r>
      <w:r w:rsidRPr="0014116C">
        <w:rPr>
          <w:rFonts w:cs="Times New Roman"/>
        </w:rPr>
        <w:t xml:space="preserve">”), at para. 57, held that whether a regulation is within the authority delegated by a statute is assessed based on facts at the time of promulgation. </w:t>
      </w:r>
    </w:p>
    <w:p w14:paraId="752EA27C" w14:textId="77777777" w:rsidR="0014116C" w:rsidRPr="0014116C" w:rsidRDefault="0014116C" w:rsidP="0014116C">
      <w:pPr>
        <w:pStyle w:val="ParaNoNdepar-AltN"/>
        <w:rPr>
          <w:rFonts w:cs="Times New Roman"/>
        </w:rPr>
      </w:pPr>
      <w:r w:rsidRPr="0014116C">
        <w:rPr>
          <w:rFonts w:cs="Times New Roman"/>
        </w:rPr>
        <w:t xml:space="preserve">The Federal Court judge </w:t>
      </w:r>
      <w:r w:rsidRPr="0014116C">
        <w:rPr>
          <w:rFonts w:cs="Times New Roman"/>
          <w:iCs/>
        </w:rPr>
        <w:t xml:space="preserve">found that the </w:t>
      </w:r>
      <w:r w:rsidRPr="0014116C">
        <w:rPr>
          <w:rFonts w:cs="Times New Roman"/>
          <w:i/>
          <w:iCs/>
        </w:rPr>
        <w:t>Charter</w:t>
      </w:r>
      <w:r w:rsidRPr="0014116C">
        <w:rPr>
          <w:rFonts w:cs="Times New Roman"/>
          <w:iCs/>
        </w:rPr>
        <w:t xml:space="preserve"> </w:t>
      </w:r>
      <w:r w:rsidRPr="0014116C">
        <w:rPr>
          <w:rFonts w:cs="Times New Roman"/>
        </w:rPr>
        <w:t xml:space="preserve">applied. Deprivations effected by foreign actors remain “subject to the guarantee of fundamental justice, as long as there is a sufficient causal connection between our government’s participation and the deprivation” (para. 100, citing </w:t>
      </w:r>
      <w:r w:rsidRPr="0014116C">
        <w:rPr>
          <w:rFonts w:cs="Times New Roman"/>
          <w:i/>
          <w:iCs/>
        </w:rPr>
        <w:t>Suresh v. Canada (Minister of Citizenship and Immigration)</w:t>
      </w:r>
      <w:r w:rsidRPr="0014116C">
        <w:rPr>
          <w:rFonts w:cs="Times New Roman"/>
        </w:rPr>
        <w:t xml:space="preserve">, 2002 SCC 1, [2002] 1 S.C.R. 3; see also Federal Court reasons, at para. 93, citing </w:t>
      </w:r>
      <w:r w:rsidRPr="0014116C">
        <w:rPr>
          <w:rFonts w:cs="Times New Roman"/>
          <w:i/>
          <w:iCs/>
        </w:rPr>
        <w:t>Bedford</w:t>
      </w:r>
      <w:r w:rsidRPr="0014116C">
        <w:rPr>
          <w:rFonts w:cs="Times New Roman"/>
        </w:rPr>
        <w:t>, at paras. 58 and 75</w:t>
      </w:r>
      <w:r w:rsidRPr="0014116C">
        <w:rPr>
          <w:rFonts w:cs="Times New Roman"/>
        </w:rPr>
        <w:noBreakHyphen/>
        <w:t>76).</w:t>
      </w:r>
    </w:p>
    <w:p w14:paraId="191C63A3" w14:textId="77777777" w:rsidR="0014116C" w:rsidRPr="0014116C" w:rsidRDefault="0014116C" w:rsidP="0014116C">
      <w:pPr>
        <w:pStyle w:val="ParaNoNdepar-AltN"/>
        <w:rPr>
          <w:rFonts w:cs="Times New Roman"/>
        </w:rPr>
      </w:pPr>
      <w:r w:rsidRPr="0014116C">
        <w:rPr>
          <w:rFonts w:cs="Times New Roman"/>
        </w:rPr>
        <w:t>In the Federal Court judge’s view, the impugned scheme engages “liberty” because “ineligible [</w:t>
      </w:r>
      <w:r w:rsidRPr="0014116C">
        <w:rPr>
          <w:rFonts w:cs="Times New Roman"/>
          <w:i/>
          <w:iCs/>
        </w:rPr>
        <w:t>Safe Third Country Agreement</w:t>
      </w:r>
      <w:r w:rsidRPr="0014116C">
        <w:rPr>
          <w:rFonts w:cs="Times New Roman"/>
        </w:rPr>
        <w:t xml:space="preserve">] claimants are . . . immediately and automatically imprisoned by U.S. authorities” (para. 103). It infringes security of the person given the risk of </w:t>
      </w:r>
      <w:r w:rsidRPr="0014116C">
        <w:rPr>
          <w:rFonts w:cs="Times New Roman"/>
          <w:i/>
          <w:iCs/>
        </w:rPr>
        <w:t>refoulement</w:t>
      </w:r>
      <w:r w:rsidRPr="0014116C">
        <w:rPr>
          <w:rFonts w:cs="Times New Roman"/>
        </w:rPr>
        <w:t xml:space="preserve"> and the conditions of detention in the United States. She found there was a “real and not speculative” risk that ABC would have been </w:t>
      </w:r>
      <w:r w:rsidRPr="0014116C">
        <w:rPr>
          <w:rFonts w:cs="Times New Roman"/>
          <w:i/>
          <w:iCs/>
        </w:rPr>
        <w:t>refouled</w:t>
      </w:r>
      <w:r w:rsidRPr="0014116C">
        <w:rPr>
          <w:rFonts w:cs="Times New Roman"/>
        </w:rPr>
        <w:t xml:space="preserve"> from the United States based on “the challenges in advancing an asylum clai[m] for those detained”, such as barriers to accessing legal advice (para. 106). In addition, she concluded that some detention conditions in the United States engage security of the person since being subjected to these conditions flows directly from Canadian officials’ conduct in returning claimants there. </w:t>
      </w:r>
    </w:p>
    <w:p w14:paraId="71272FF7" w14:textId="77777777" w:rsidR="0014116C" w:rsidRPr="0014116C" w:rsidRDefault="0014116C" w:rsidP="0014116C">
      <w:pPr>
        <w:pStyle w:val="ParaNoNdepar-AltN"/>
        <w:rPr>
          <w:rFonts w:cs="Times New Roman"/>
        </w:rPr>
      </w:pPr>
      <w:r w:rsidRPr="0014116C">
        <w:rPr>
          <w:rFonts w:cs="Times New Roman"/>
        </w:rPr>
        <w:t xml:space="preserve">The Federal Court judge held that these deprivations do not comport with the principles of fundamental justice. She concluded that, despite the suggestion that there are certain “safeguards” available to protect against overbreadth and gross disproportionality, these remedies “are largely out of reach and are therefore ‘illusory’” (paras. 129-30, distinguishing </w:t>
      </w:r>
      <w:r w:rsidRPr="0014116C">
        <w:rPr>
          <w:rFonts w:cs="Times New Roman"/>
          <w:i/>
          <w:iCs/>
        </w:rPr>
        <w:t>Tapambwa v. Canada (Citizenship and Immigration)</w:t>
      </w:r>
      <w:r w:rsidRPr="0014116C">
        <w:rPr>
          <w:rFonts w:cs="Times New Roman"/>
        </w:rPr>
        <w:t>, 2019 FCA 34, [2020] 1 F.C.R. 700).</w:t>
      </w:r>
    </w:p>
    <w:p w14:paraId="07680913" w14:textId="77777777" w:rsidR="0014116C" w:rsidRPr="0014116C" w:rsidRDefault="0014116C" w:rsidP="0014116C">
      <w:pPr>
        <w:pStyle w:val="ParaNoNdepar-AltN"/>
        <w:rPr>
          <w:rFonts w:cs="Times New Roman"/>
        </w:rPr>
      </w:pPr>
      <w:r w:rsidRPr="0014116C">
        <w:rPr>
          <w:rFonts w:cs="Times New Roman"/>
        </w:rPr>
        <w:t xml:space="preserve">The Federal Court judge held that the s. 7 violations were not justified under s. 1 of the </w:t>
      </w:r>
      <w:r w:rsidRPr="0014116C">
        <w:rPr>
          <w:rFonts w:cs="Times New Roman"/>
          <w:i/>
          <w:iCs/>
        </w:rPr>
        <w:t>Charter</w:t>
      </w:r>
      <w:r w:rsidRPr="0014116C">
        <w:rPr>
          <w:rFonts w:cs="Times New Roman"/>
        </w:rPr>
        <w:t xml:space="preserve"> and “decline[d]” to address the s. 15 arguments (see para. 154, citing </w:t>
      </w:r>
      <w:r w:rsidRPr="0014116C">
        <w:rPr>
          <w:rFonts w:cs="Times New Roman"/>
          <w:i/>
          <w:iCs/>
        </w:rPr>
        <w:t>Carter v. Canada (Attorney General)</w:t>
      </w:r>
      <w:r w:rsidRPr="0014116C">
        <w:rPr>
          <w:rFonts w:cs="Times New Roman"/>
        </w:rPr>
        <w:t xml:space="preserve">, 2015 SCC 5, [2015] 1 S.C.R. 331, at para. 93). She declared s. 101(1)(e) of the </w:t>
      </w:r>
      <w:r w:rsidRPr="0014116C">
        <w:rPr>
          <w:rFonts w:cs="Times New Roman"/>
          <w:i/>
          <w:iCs/>
        </w:rPr>
        <w:t xml:space="preserve">IRPA </w:t>
      </w:r>
      <w:r w:rsidRPr="0014116C">
        <w:rPr>
          <w:rFonts w:cs="Times New Roman"/>
        </w:rPr>
        <w:t xml:space="preserve">and s. 159.3 of the </w:t>
      </w:r>
      <w:r w:rsidRPr="0014116C">
        <w:rPr>
          <w:rFonts w:cs="Times New Roman"/>
          <w:i/>
          <w:iCs/>
        </w:rPr>
        <w:t xml:space="preserve">IRPR </w:t>
      </w:r>
      <w:r w:rsidRPr="0014116C">
        <w:rPr>
          <w:rFonts w:cs="Times New Roman"/>
        </w:rPr>
        <w:t xml:space="preserve">of no force or effect pursuant to s. 52 of the </w:t>
      </w:r>
      <w:r w:rsidRPr="0014116C">
        <w:rPr>
          <w:rFonts w:cs="Times New Roman"/>
          <w:i/>
          <w:iCs/>
        </w:rPr>
        <w:t>Constitution Act, 1982</w:t>
      </w:r>
      <w:r w:rsidRPr="0014116C">
        <w:rPr>
          <w:rFonts w:cs="Times New Roman"/>
        </w:rPr>
        <w:t xml:space="preserve">, and suspended the declaration for six months. </w:t>
      </w:r>
    </w:p>
    <w:p w14:paraId="3D30D892" w14:textId="77777777" w:rsidR="0014116C" w:rsidRPr="0014116C" w:rsidRDefault="0014116C" w:rsidP="0014116C">
      <w:pPr>
        <w:pStyle w:val="Title2LevelTitre2Niveau"/>
        <w:rPr>
          <w:rFonts w:cs="Times New Roman"/>
        </w:rPr>
      </w:pPr>
      <w:bookmarkStart w:id="58" w:name="_Toc127187985"/>
      <w:bookmarkStart w:id="59" w:name="_Toc127267645"/>
      <w:bookmarkStart w:id="60" w:name="_Toc127187986"/>
      <w:bookmarkStart w:id="61" w:name="_Toc127267646"/>
      <w:bookmarkStart w:id="62" w:name="_Toc127267647"/>
      <w:bookmarkStart w:id="63" w:name="_Toc130454476"/>
      <w:bookmarkStart w:id="64" w:name="_Toc131401518"/>
      <w:bookmarkStart w:id="65" w:name="_Toc133824186"/>
      <w:bookmarkStart w:id="66" w:name="_Toc134173678"/>
      <w:bookmarkStart w:id="67" w:name="_Toc136424906"/>
      <w:bookmarkEnd w:id="58"/>
      <w:bookmarkEnd w:id="59"/>
      <w:bookmarkEnd w:id="60"/>
      <w:bookmarkEnd w:id="61"/>
      <w:r w:rsidRPr="0014116C">
        <w:rPr>
          <w:rFonts w:cs="Times New Roman"/>
        </w:rPr>
        <w:t>Federal Court of Appeal, 2021 FCA 72, [2021] 3 F.C.R. 294 (Noël C.J. and Stratas and Laskin JJ.A.)</w:t>
      </w:r>
      <w:bookmarkEnd w:id="62"/>
      <w:bookmarkEnd w:id="63"/>
      <w:bookmarkEnd w:id="64"/>
      <w:bookmarkEnd w:id="65"/>
      <w:bookmarkEnd w:id="66"/>
      <w:bookmarkEnd w:id="67"/>
    </w:p>
    <w:p w14:paraId="15F13B7F" w14:textId="77777777" w:rsidR="0014116C" w:rsidRPr="0014116C" w:rsidRDefault="0014116C" w:rsidP="0014116C">
      <w:pPr>
        <w:pStyle w:val="ParaNoNdepar-AltN"/>
        <w:rPr>
          <w:rFonts w:cs="Times New Roman"/>
        </w:rPr>
      </w:pPr>
      <w:r w:rsidRPr="0014116C">
        <w:rPr>
          <w:rFonts w:cs="Times New Roman"/>
        </w:rPr>
        <w:t>Stratas J.A., writing for a unanimous Court of Appeal, allowed the ministers’ appeal, dismissed the cross</w:t>
      </w:r>
      <w:r w:rsidRPr="0014116C">
        <w:rPr>
          <w:rFonts w:cs="Times New Roman"/>
        </w:rPr>
        <w:noBreakHyphen/>
        <w:t xml:space="preserve">appeal of the s. 15 claim and the </w:t>
      </w:r>
      <w:r w:rsidRPr="0014116C">
        <w:rPr>
          <w:rFonts w:cs="Times New Roman"/>
          <w:i/>
          <w:iCs/>
        </w:rPr>
        <w:t>ultra vires</w:t>
      </w:r>
      <w:r w:rsidRPr="0014116C">
        <w:rPr>
          <w:rFonts w:cs="Times New Roman"/>
        </w:rPr>
        <w:t xml:space="preserve"> argument, set aside the judgment of the Federal Court, and dismissed the applications for judicial review. </w:t>
      </w:r>
    </w:p>
    <w:p w14:paraId="62844489" w14:textId="77777777" w:rsidR="0014116C" w:rsidRPr="0014116C" w:rsidRDefault="0014116C" w:rsidP="0014116C">
      <w:pPr>
        <w:pStyle w:val="ParaNoNdepar-AltN"/>
        <w:rPr>
          <w:rFonts w:cs="Times New Roman"/>
        </w:rPr>
      </w:pPr>
      <w:r w:rsidRPr="0014116C">
        <w:rPr>
          <w:rFonts w:cs="Times New Roman"/>
        </w:rPr>
        <w:t xml:space="preserve">The court found that the </w:t>
      </w:r>
      <w:r w:rsidRPr="0014116C">
        <w:rPr>
          <w:rFonts w:cs="Times New Roman"/>
          <w:i/>
        </w:rPr>
        <w:t xml:space="preserve">Charter </w:t>
      </w:r>
      <w:r w:rsidRPr="0014116C">
        <w:rPr>
          <w:rFonts w:cs="Times New Roman"/>
        </w:rPr>
        <w:t xml:space="preserve">claim was not properly constituted because it failed to account for two practical rules flowing from the requirement that impugned state action must be the cause of a </w:t>
      </w:r>
      <w:r w:rsidRPr="0014116C">
        <w:rPr>
          <w:rFonts w:cs="Times New Roman"/>
          <w:i/>
          <w:iCs/>
        </w:rPr>
        <w:t xml:space="preserve">Charter </w:t>
      </w:r>
      <w:r w:rsidRPr="0014116C">
        <w:rPr>
          <w:rFonts w:cs="Times New Roman"/>
        </w:rPr>
        <w:t xml:space="preserve">infringement (para. 57). </w:t>
      </w:r>
      <w:bookmarkStart w:id="68" w:name="_Hlk135741736"/>
      <w:r w:rsidRPr="0014116C">
        <w:rPr>
          <w:rFonts w:cs="Times New Roman"/>
        </w:rPr>
        <w:t xml:space="preserve">The first rule is that “provisions in an interrelated legislative scheme cannot be taken in isolation and selectively challenged” because “[o]ther related provisions may be responsible [for the alleged </w:t>
      </w:r>
      <w:r w:rsidRPr="0014116C">
        <w:rPr>
          <w:rFonts w:cs="Times New Roman"/>
          <w:i/>
          <w:iCs/>
        </w:rPr>
        <w:t>Charter</w:t>
      </w:r>
      <w:r w:rsidRPr="0014116C">
        <w:rPr>
          <w:rFonts w:cs="Times New Roman"/>
        </w:rPr>
        <w:t xml:space="preserve"> violation] or may prevent or cure any possible defects” (para. 58(a), citing </w:t>
      </w:r>
      <w:r w:rsidRPr="0014116C">
        <w:rPr>
          <w:rFonts w:cs="Times New Roman"/>
          <w:i/>
        </w:rPr>
        <w:t>PHS</w:t>
      </w:r>
      <w:r w:rsidRPr="0014116C">
        <w:rPr>
          <w:rFonts w:cs="Times New Roman"/>
        </w:rPr>
        <w:t>).</w:t>
      </w:r>
      <w:bookmarkEnd w:id="68"/>
      <w:r w:rsidRPr="0014116C">
        <w:rPr>
          <w:rFonts w:cs="Times New Roman"/>
        </w:rPr>
        <w:t xml:space="preserve"> The second rule is that when administrative action or inaction is the source of a rights infringement, that is what must be challenged rather than the legislation (para. 58(b), citing </w:t>
      </w:r>
      <w:r w:rsidRPr="0014116C">
        <w:rPr>
          <w:rFonts w:cs="Times New Roman"/>
          <w:i/>
          <w:iCs/>
        </w:rPr>
        <w:t>Little Sisters Book and Art Emporium v. Canada (Minister of Justice)</w:t>
      </w:r>
      <w:r w:rsidRPr="0014116C">
        <w:rPr>
          <w:rFonts w:cs="Times New Roman"/>
        </w:rPr>
        <w:t xml:space="preserve">, 2000 SCC 69, [2000] 2 S.C.R. 1120). The court concluded that if anything were to blame for the alleged violations, it would be the Government of Canada’s reviews of the United States’ designation, which are required under s. 102(3) of the </w:t>
      </w:r>
      <w:r w:rsidRPr="0014116C">
        <w:rPr>
          <w:rFonts w:cs="Times New Roman"/>
          <w:i/>
        </w:rPr>
        <w:t>IRPA</w:t>
      </w:r>
      <w:r w:rsidRPr="0014116C">
        <w:rPr>
          <w:rFonts w:cs="Times New Roman"/>
        </w:rPr>
        <w:t xml:space="preserve">, and related administrative conduct. Thus, by targeting s. 101(1)(e) of the </w:t>
      </w:r>
      <w:r w:rsidRPr="0014116C">
        <w:rPr>
          <w:rFonts w:cs="Times New Roman"/>
          <w:i/>
        </w:rPr>
        <w:t>IRPA</w:t>
      </w:r>
      <w:r w:rsidRPr="0014116C">
        <w:rPr>
          <w:rFonts w:cs="Times New Roman"/>
        </w:rPr>
        <w:t xml:space="preserve"> and s. 159.3 of the </w:t>
      </w:r>
      <w:r w:rsidRPr="0014116C">
        <w:rPr>
          <w:rFonts w:cs="Times New Roman"/>
          <w:i/>
        </w:rPr>
        <w:t>IRPR</w:t>
      </w:r>
      <w:r w:rsidRPr="0014116C">
        <w:rPr>
          <w:rFonts w:cs="Times New Roman"/>
        </w:rPr>
        <w:t xml:space="preserve">, the challenge was improperly constituted. </w:t>
      </w:r>
    </w:p>
    <w:p w14:paraId="07462DF7" w14:textId="77777777" w:rsidR="0014116C" w:rsidRPr="0014116C" w:rsidRDefault="0014116C" w:rsidP="0014116C">
      <w:pPr>
        <w:pStyle w:val="ParaNoNdepar-AltN"/>
        <w:rPr>
          <w:rFonts w:cs="Times New Roman"/>
        </w:rPr>
      </w:pPr>
      <w:r w:rsidRPr="0014116C">
        <w:rPr>
          <w:rFonts w:cs="Times New Roman"/>
        </w:rPr>
        <w:t>Despite allowing the appeal on this basis, the Court of Appeal addressed certain substantive s. 7 issues. First, it noted that the Federal Court judge erred in finding that returnees are “automatically detained” (para. 138, see also paras. 139-40). Second, the court rejected the finding that the scheme’s safety valves were “illusory” (para. 144). Third, the court found error with the Federal Court judge’s analysis of American detention conditions (para. 146). Fourth, it also perceived errors in her analysis of the principles of fundamental justice. For the Court of Appeal, there was “no evidence that could support a finding that the treatment of returnees to the United States at the Canada</w:t>
      </w:r>
      <w:r w:rsidRPr="0014116C">
        <w:rPr>
          <w:rFonts w:cs="Times New Roman"/>
        </w:rPr>
        <w:noBreakHyphen/>
        <w:t xml:space="preserve">United States border ‘shocks the conscience’” (para. 161). In any event, the court considered the scheme to be neither overbroad nor grossly disproportionate. </w:t>
      </w:r>
    </w:p>
    <w:p w14:paraId="2A5E0951" w14:textId="77777777" w:rsidR="0014116C" w:rsidRPr="0014116C" w:rsidRDefault="0014116C" w:rsidP="0014116C">
      <w:pPr>
        <w:pStyle w:val="ParaNoNdepar-AltN"/>
        <w:rPr>
          <w:rFonts w:cs="Times New Roman"/>
        </w:rPr>
      </w:pPr>
      <w:r w:rsidRPr="0014116C">
        <w:rPr>
          <w:rFonts w:cs="Times New Roman"/>
        </w:rPr>
        <w:t>The Court of Appeal found it unnecessary to address the substance of the s. 15 claim. Had it been necessary, the court wrote that “[w]here, as here, no factual findings have been made on the section 15 issues, it is generally best for us to send the matter back to the Federal Court because of its expertise in fact-finding” (para. 173).</w:t>
      </w:r>
    </w:p>
    <w:p w14:paraId="74981ED2" w14:textId="77777777" w:rsidR="0014116C" w:rsidRPr="0014116C" w:rsidRDefault="0014116C" w:rsidP="0014116C">
      <w:pPr>
        <w:pStyle w:val="Title1LevelTitre1Niveau-AltL"/>
        <w:rPr>
          <w:rFonts w:cs="Times New Roman"/>
        </w:rPr>
      </w:pPr>
      <w:bookmarkStart w:id="69" w:name="_Toc127187988"/>
      <w:bookmarkStart w:id="70" w:name="_Toc127267648"/>
      <w:bookmarkStart w:id="71" w:name="_Toc127187989"/>
      <w:bookmarkStart w:id="72" w:name="_Toc127267649"/>
      <w:bookmarkStart w:id="73" w:name="_Toc127267650"/>
      <w:bookmarkStart w:id="74" w:name="_Toc130454477"/>
      <w:bookmarkStart w:id="75" w:name="_Toc131401519"/>
      <w:bookmarkStart w:id="76" w:name="_Toc133824187"/>
      <w:bookmarkStart w:id="77" w:name="_Toc134173679"/>
      <w:bookmarkStart w:id="78" w:name="_Toc136424907"/>
      <w:bookmarkEnd w:id="69"/>
      <w:bookmarkEnd w:id="70"/>
      <w:bookmarkEnd w:id="71"/>
      <w:bookmarkEnd w:id="72"/>
      <w:r w:rsidRPr="0014116C">
        <w:rPr>
          <w:rFonts w:cs="Times New Roman"/>
        </w:rPr>
        <w:t>Issues</w:t>
      </w:r>
      <w:bookmarkEnd w:id="73"/>
      <w:bookmarkEnd w:id="74"/>
      <w:bookmarkEnd w:id="75"/>
      <w:bookmarkEnd w:id="76"/>
      <w:bookmarkEnd w:id="77"/>
      <w:bookmarkEnd w:id="78"/>
    </w:p>
    <w:p w14:paraId="0AE3598D" w14:textId="77777777" w:rsidR="0014116C" w:rsidRPr="0014116C" w:rsidRDefault="0014116C" w:rsidP="0014116C">
      <w:pPr>
        <w:pStyle w:val="ParaNoNdepar-AltN"/>
        <w:spacing w:after="0"/>
        <w:rPr>
          <w:rFonts w:cs="Times New Roman"/>
        </w:rPr>
      </w:pPr>
      <w:r w:rsidRPr="0014116C">
        <w:rPr>
          <w:rFonts w:cs="Times New Roman"/>
        </w:rPr>
        <w:t xml:space="preserve">The appellants raise three issues: Is s. 159.3 of the </w:t>
      </w:r>
      <w:r w:rsidRPr="0014116C">
        <w:rPr>
          <w:rFonts w:cs="Times New Roman"/>
          <w:i/>
          <w:iCs/>
        </w:rPr>
        <w:t>IRPR ultra vires</w:t>
      </w:r>
      <w:r w:rsidRPr="0014116C">
        <w:rPr>
          <w:rFonts w:cs="Times New Roman"/>
        </w:rPr>
        <w:t xml:space="preserve">? Does s. 159.3 unjustifiably breach s. 7 of the </w:t>
      </w:r>
      <w:r w:rsidRPr="0014116C">
        <w:rPr>
          <w:rFonts w:cs="Times New Roman"/>
          <w:i/>
          <w:iCs/>
        </w:rPr>
        <w:t>Charter</w:t>
      </w:r>
      <w:r w:rsidRPr="0014116C">
        <w:rPr>
          <w:rFonts w:cs="Times New Roman"/>
        </w:rPr>
        <w:t xml:space="preserve">? Should the s. 15 </w:t>
      </w:r>
      <w:r w:rsidRPr="0014116C">
        <w:rPr>
          <w:rFonts w:cs="Times New Roman"/>
          <w:i/>
          <w:iCs/>
        </w:rPr>
        <w:t xml:space="preserve">Charter </w:t>
      </w:r>
      <w:r w:rsidRPr="0014116C">
        <w:rPr>
          <w:rFonts w:cs="Times New Roman"/>
          <w:iCs/>
        </w:rPr>
        <w:t xml:space="preserve">claim </w:t>
      </w:r>
      <w:r w:rsidRPr="0014116C">
        <w:rPr>
          <w:rFonts w:cs="Times New Roman"/>
        </w:rPr>
        <w:t>be remitted to the Federal Court or decided based on the record on appeal?</w:t>
      </w:r>
    </w:p>
    <w:p w14:paraId="4EEF220E" w14:textId="77777777" w:rsidR="0014116C" w:rsidRPr="0014116C" w:rsidRDefault="0014116C" w:rsidP="0014116C">
      <w:pPr>
        <w:pStyle w:val="Title1LevelTitre1Niveau-AltL"/>
        <w:rPr>
          <w:rFonts w:cs="Times New Roman"/>
        </w:rPr>
      </w:pPr>
      <w:bookmarkStart w:id="79" w:name="_Toc127267651"/>
      <w:bookmarkStart w:id="80" w:name="_Toc130454478"/>
      <w:bookmarkStart w:id="81" w:name="_Toc131401520"/>
      <w:bookmarkStart w:id="82" w:name="_Toc133824188"/>
      <w:bookmarkStart w:id="83" w:name="_Toc134173680"/>
      <w:bookmarkStart w:id="84" w:name="_Toc136424908"/>
      <w:r w:rsidRPr="0014116C">
        <w:rPr>
          <w:rFonts w:cs="Times New Roman"/>
        </w:rPr>
        <w:t>Statutory and Regulatory Scheme and Context</w:t>
      </w:r>
      <w:bookmarkEnd w:id="79"/>
      <w:bookmarkEnd w:id="80"/>
      <w:bookmarkEnd w:id="81"/>
      <w:bookmarkEnd w:id="82"/>
      <w:bookmarkEnd w:id="83"/>
      <w:bookmarkEnd w:id="84"/>
    </w:p>
    <w:p w14:paraId="46FA56E4" w14:textId="77777777" w:rsidR="0014116C" w:rsidRPr="0014116C" w:rsidRDefault="0014116C" w:rsidP="0014116C">
      <w:pPr>
        <w:pStyle w:val="ParaNoNdepar-AltN"/>
        <w:tabs>
          <w:tab w:val="num" w:pos="1602"/>
        </w:tabs>
        <w:rPr>
          <w:rFonts w:cs="Times New Roman"/>
        </w:rPr>
      </w:pPr>
      <w:r w:rsidRPr="0014116C">
        <w:rPr>
          <w:rFonts w:cs="Times New Roman"/>
        </w:rPr>
        <w:t xml:space="preserve">The impugned regulation is part of the legislative scheme that implements a bilateral treaty between Canada and the United States, that is, the </w:t>
      </w:r>
      <w:r w:rsidRPr="0014116C">
        <w:rPr>
          <w:rFonts w:cs="Times New Roman"/>
          <w:i/>
        </w:rPr>
        <w:t>Safe Third Country Agreement</w:t>
      </w:r>
      <w:r w:rsidRPr="0014116C">
        <w:rPr>
          <w:rFonts w:cs="Times New Roman"/>
        </w:rPr>
        <w:t xml:space="preserve">. While not itself challenged, this treaty shapes the interpretation of its implementing scheme (see </w:t>
      </w:r>
      <w:r w:rsidRPr="0014116C">
        <w:rPr>
          <w:rStyle w:val="ui-provider"/>
          <w:rFonts w:cs="Times New Roman"/>
          <w:i/>
          <w:iCs/>
        </w:rPr>
        <w:t>National Corn Growers Assn. v. Canada (Import Tribunal)</w:t>
      </w:r>
      <w:r w:rsidRPr="0014116C">
        <w:rPr>
          <w:rStyle w:val="ui-provider"/>
          <w:rFonts w:cs="Times New Roman"/>
        </w:rPr>
        <w:t>, [1990] 2 S.C.R. 1324, at p. 1371)</w:t>
      </w:r>
      <w:r w:rsidRPr="0014116C">
        <w:rPr>
          <w:rFonts w:cs="Times New Roman"/>
        </w:rPr>
        <w:t>. It is useful to examine the treaty and the legislation in turn, as they remain substantively distinct under Canada’s “dualist system” for the application of international legal instruments (</w:t>
      </w:r>
      <w:r w:rsidRPr="0014116C">
        <w:rPr>
          <w:rFonts w:cs="Times New Roman"/>
          <w:i/>
          <w:iCs/>
        </w:rPr>
        <w:t>Kazemi Estate v. Islamic Republic of Iran</w:t>
      </w:r>
      <w:r w:rsidRPr="0014116C">
        <w:rPr>
          <w:rFonts w:cs="Times New Roman"/>
        </w:rPr>
        <w:t xml:space="preserve">, 2014 SCC 62, [2014] 3 S.C.R. 176, at para. 150; see G. van Ert, </w:t>
      </w:r>
      <w:r w:rsidRPr="0014116C">
        <w:rPr>
          <w:rFonts w:cs="Times New Roman"/>
          <w:i/>
          <w:iCs/>
        </w:rPr>
        <w:t xml:space="preserve">Using International Law in Canadian Courts </w:t>
      </w:r>
      <w:r w:rsidRPr="0014116C">
        <w:rPr>
          <w:rFonts w:cs="Times New Roman"/>
        </w:rPr>
        <w:t>(2nd ed. 2008), ch. 7). An additional protocol to the treaty has been signed and the implementing legislation has been amended since the hearing (</w:t>
      </w:r>
      <w:r w:rsidRPr="0014116C">
        <w:rPr>
          <w:rFonts w:cs="Times New Roman"/>
          <w:i/>
        </w:rPr>
        <w:t>Regulations Amending the Immigration and Refugee Protection Regulations (Examination of Eligibility to Refer Claim)</w:t>
      </w:r>
      <w:r w:rsidRPr="0014116C">
        <w:rPr>
          <w:rFonts w:cs="Times New Roman"/>
        </w:rPr>
        <w:t xml:space="preserve">, SOR/2023-58; </w:t>
      </w:r>
      <w:r w:rsidRPr="0014116C">
        <w:rPr>
          <w:rFonts w:cs="Times New Roman"/>
          <w:i/>
        </w:rPr>
        <w:t>Additional Protocol to the Agreement between the Government of Canada and the Government of the United States of America for cooperation in the examination of refugee status claims from nationals of third countries</w:t>
      </w:r>
      <w:r w:rsidRPr="0014116C">
        <w:rPr>
          <w:rFonts w:cs="Times New Roman"/>
        </w:rPr>
        <w:t>, March 24, 2023 (online)). I refrain from commenting on these instruments as they do not directly affect the substance of the issues on appeal before the Court.</w:t>
      </w:r>
    </w:p>
    <w:p w14:paraId="0CE44093" w14:textId="77777777" w:rsidR="0014116C" w:rsidRPr="0014116C" w:rsidRDefault="0014116C" w:rsidP="0014116C">
      <w:pPr>
        <w:pStyle w:val="Title2LevelTitre2Niveau"/>
        <w:rPr>
          <w:rFonts w:cs="Times New Roman"/>
        </w:rPr>
      </w:pPr>
      <w:bookmarkStart w:id="85" w:name="_Toc127267652"/>
      <w:bookmarkStart w:id="86" w:name="_Toc130454479"/>
      <w:bookmarkStart w:id="87" w:name="_Toc131401521"/>
      <w:bookmarkStart w:id="88" w:name="_Toc133824189"/>
      <w:bookmarkStart w:id="89" w:name="_Toc134173681"/>
      <w:bookmarkStart w:id="90" w:name="_Toc136424909"/>
      <w:r w:rsidRPr="0014116C">
        <w:rPr>
          <w:rFonts w:cs="Times New Roman"/>
        </w:rPr>
        <w:t>Safe Third Country Agreement</w:t>
      </w:r>
      <w:bookmarkEnd w:id="85"/>
      <w:bookmarkEnd w:id="86"/>
      <w:bookmarkEnd w:id="87"/>
      <w:bookmarkEnd w:id="88"/>
      <w:bookmarkEnd w:id="89"/>
      <w:bookmarkEnd w:id="90"/>
    </w:p>
    <w:p w14:paraId="2B8DEF6A" w14:textId="77777777" w:rsidR="0014116C" w:rsidRPr="0014116C" w:rsidRDefault="0014116C" w:rsidP="0014116C">
      <w:pPr>
        <w:pStyle w:val="ParaNoNdepar-AltN"/>
        <w:rPr>
          <w:rFonts w:cs="Times New Roman"/>
        </w:rPr>
      </w:pPr>
      <w:r w:rsidRPr="0014116C">
        <w:rPr>
          <w:rFonts w:cs="Times New Roman"/>
        </w:rPr>
        <w:t xml:space="preserve">About 30 years ago, Canada and the United States undertook the negotiation of an agreement to share responsibility for refugee status claims. The Canadian Council for Refugees, Amnesty International and the United Nations High Commissioner for Refugees (“UNHCR”) were among the organizations whose comments resulted in substantive amendments to a draft of the </w:t>
      </w:r>
      <w:r w:rsidRPr="0014116C">
        <w:rPr>
          <w:rFonts w:cs="Times New Roman"/>
          <w:i/>
        </w:rPr>
        <w:t>Safe Third Country Agreement</w:t>
      </w:r>
      <w:r w:rsidRPr="0014116C">
        <w:rPr>
          <w:rFonts w:cs="Times New Roman"/>
        </w:rPr>
        <w:t xml:space="preserve">. The two states signed the agreement in 2002. </w:t>
      </w:r>
    </w:p>
    <w:p w14:paraId="7F268F32" w14:textId="77777777" w:rsidR="0014116C" w:rsidRPr="0014116C" w:rsidRDefault="0014116C" w:rsidP="0014116C">
      <w:pPr>
        <w:pStyle w:val="ParaNoNdepar-AltN"/>
        <w:tabs>
          <w:tab w:val="num" w:pos="1602"/>
        </w:tabs>
        <w:rPr>
          <w:rFonts w:cs="Times New Roman"/>
        </w:rPr>
      </w:pPr>
      <w:r w:rsidRPr="0014116C">
        <w:rPr>
          <w:rFonts w:cs="Times New Roman"/>
        </w:rPr>
        <w:t>The preamble to the agreement expressly acknowledges the governments’ international obligations to refugees (paras. 1, 2 and 8). It also addresses the parties’ shared determination to safeguard for each eligible claimant “access to a full and fair refugee status determination procedure” (para. 8) and emphasizes that both countries offer generous refugee protection systems (para. 4). Accompanying the treaty</w:t>
      </w:r>
      <w:r w:rsidRPr="0014116C" w:rsidDel="00950201">
        <w:rPr>
          <w:rFonts w:cs="Times New Roman"/>
        </w:rPr>
        <w:t xml:space="preserve"> </w:t>
      </w:r>
      <w:r w:rsidRPr="0014116C">
        <w:rPr>
          <w:rFonts w:cs="Times New Roman"/>
        </w:rPr>
        <w:t xml:space="preserve">is a </w:t>
      </w:r>
      <w:r w:rsidRPr="0014116C">
        <w:rPr>
          <w:rFonts w:cs="Times New Roman"/>
          <w:i/>
        </w:rPr>
        <w:t>Statement of Principles</w:t>
      </w:r>
      <w:r w:rsidRPr="0014116C">
        <w:rPr>
          <w:rFonts w:cs="Times New Roman"/>
        </w:rPr>
        <w:t xml:space="preserve"> associated with its implementation, which states that the parties intend to abide by principles that include safeguards for claimants, such as the opportunity for claimants to have a third party present during proceedings (</w:t>
      </w:r>
      <w:r w:rsidRPr="0014116C">
        <w:rPr>
          <w:rFonts w:cs="Times New Roman"/>
          <w:i/>
        </w:rPr>
        <w:t>Procedural issues associated with implementing the Agreement for cooperation in the examination of refugee status claims from nationals of third countries: Statement of Principles</w:t>
      </w:r>
      <w:r w:rsidRPr="0014116C">
        <w:rPr>
          <w:rFonts w:cs="Times New Roman"/>
        </w:rPr>
        <w:t>, August 30, 2002 (online)).</w:t>
      </w:r>
    </w:p>
    <w:p w14:paraId="05505B44" w14:textId="77777777" w:rsidR="0014116C" w:rsidRPr="0014116C" w:rsidRDefault="0014116C" w:rsidP="0014116C">
      <w:pPr>
        <w:pStyle w:val="ParaNoNdepar-AltN"/>
        <w:tabs>
          <w:tab w:val="num" w:pos="1602"/>
        </w:tabs>
        <w:rPr>
          <w:rFonts w:cs="Times New Roman"/>
        </w:rPr>
      </w:pPr>
      <w:r w:rsidRPr="0014116C">
        <w:rPr>
          <w:rFonts w:cs="Times New Roman"/>
        </w:rPr>
        <w:t xml:space="preserve">The principle animating the </w:t>
      </w:r>
      <w:r w:rsidRPr="0014116C">
        <w:rPr>
          <w:rFonts w:cs="Times New Roman"/>
          <w:i/>
          <w:iCs/>
        </w:rPr>
        <w:t>Safe Third Country Agreement</w:t>
      </w:r>
      <w:r w:rsidRPr="0014116C">
        <w:rPr>
          <w:rFonts w:cs="Times New Roman"/>
        </w:rPr>
        <w:t xml:space="preserve"> is that “the country of last presence shall examine, in accordance with its refugee status determination system, the refugee status claim of any person who arrives at a land border port of entry” (Article 4(1)). </w:t>
      </w:r>
      <w:r w:rsidRPr="0014116C">
        <w:rPr>
          <w:rStyle w:val="ui-provider"/>
          <w:rFonts w:cs="Times New Roman"/>
        </w:rPr>
        <w:t>This is the “crux” of the treaty (A. Macklin, “Disappearing Refugees: Reflections on the Canada</w:t>
      </w:r>
      <w:r w:rsidRPr="0014116C">
        <w:rPr>
          <w:rStyle w:val="ui-provider"/>
          <w:rFonts w:cs="Times New Roman"/>
        </w:rPr>
        <w:noBreakHyphen/>
        <w:t xml:space="preserve">U.S. Safe Third Country Agreement” (2005), 36 </w:t>
      </w:r>
      <w:r w:rsidRPr="0014116C">
        <w:rPr>
          <w:rStyle w:val="ui-provider"/>
          <w:rFonts w:cs="Times New Roman"/>
          <w:i/>
        </w:rPr>
        <w:t>Colum. Hum. Rts. L. Rev.</w:t>
      </w:r>
      <w:r w:rsidRPr="0014116C">
        <w:rPr>
          <w:rStyle w:val="ui-provider"/>
          <w:rFonts w:cs="Times New Roman"/>
        </w:rPr>
        <w:t xml:space="preserve"> 365, at p. 371) or its “general principle” (S. Baglay and M. Jones, </w:t>
      </w:r>
      <w:r w:rsidRPr="0014116C">
        <w:rPr>
          <w:rStyle w:val="ui-provider"/>
          <w:rFonts w:cs="Times New Roman"/>
          <w:i/>
          <w:iCs/>
        </w:rPr>
        <w:t xml:space="preserve">Refugee Law </w:t>
      </w:r>
      <w:r w:rsidRPr="0014116C">
        <w:rPr>
          <w:rStyle w:val="ui-provider"/>
          <w:rFonts w:cs="Times New Roman"/>
        </w:rPr>
        <w:t>(2nd ed. 2017), at p. 279).</w:t>
      </w:r>
      <w:r w:rsidRPr="0014116C">
        <w:rPr>
          <w:rFonts w:cs="Times New Roman"/>
        </w:rPr>
        <w:t xml:space="preserve"> The country of last presence is “that country, being either Canada or the United States, in which the refugee claimant was physically present immediately prior to making a refugee status claim at a land border port of entry” (Article 1(1)(a)). The parties committed to reviewing the agreement and to inviting the UNHCR to participate in the first review (Article 8(3)). </w:t>
      </w:r>
    </w:p>
    <w:p w14:paraId="76C9FAF8" w14:textId="77777777" w:rsidR="0014116C" w:rsidRPr="0014116C" w:rsidRDefault="0014116C" w:rsidP="0014116C">
      <w:pPr>
        <w:pStyle w:val="ParaNoNdepar-AltN"/>
        <w:tabs>
          <w:tab w:val="num" w:pos="1602"/>
        </w:tabs>
        <w:rPr>
          <w:rFonts w:cs="Times New Roman"/>
        </w:rPr>
      </w:pPr>
      <w:r w:rsidRPr="0014116C">
        <w:rPr>
          <w:rFonts w:cs="Times New Roman"/>
        </w:rPr>
        <w:t xml:space="preserve">While Article 4(1) sets out a broad principle, the treaty is limited in its application. To begin, the governments sought to ensure that “indirect” or “chain” </w:t>
      </w:r>
      <w:r w:rsidRPr="0014116C">
        <w:rPr>
          <w:rFonts w:cs="Times New Roman"/>
          <w:i/>
          <w:iCs/>
        </w:rPr>
        <w:t>refoulement</w:t>
      </w:r>
      <w:r w:rsidRPr="0014116C">
        <w:rPr>
          <w:rFonts w:cs="Times New Roman"/>
        </w:rPr>
        <w:t xml:space="preserve"> would not occur. They agreed that individuals returned to Canada or the United States would not be removed therefrom until that country had adjudicated the individual’s refugee status claim (Article 3). They also did not seek to apply the agreement to citizens or habitual residents of either country (Article 2) and provided for exceptions for unaccompanied minors and family reunification (Article 4(2)). </w:t>
      </w:r>
    </w:p>
    <w:p w14:paraId="3DADEFEF" w14:textId="77777777" w:rsidR="0014116C" w:rsidRPr="0014116C" w:rsidRDefault="0014116C" w:rsidP="0014116C">
      <w:pPr>
        <w:pStyle w:val="ParaNoNdepar-AltN"/>
        <w:tabs>
          <w:tab w:val="num" w:pos="1602"/>
        </w:tabs>
        <w:rPr>
          <w:rFonts w:cs="Times New Roman"/>
        </w:rPr>
      </w:pPr>
      <w:r w:rsidRPr="0014116C">
        <w:rPr>
          <w:rFonts w:cs="Times New Roman"/>
        </w:rPr>
        <w:t>Even when the principle articulated in Article 4(1) would apply, the parties agreed that there should be an authority to exempt claimants. Article 6 provides that “either Party may at its own discretion examine any refugee status claim made to that Party where it determines that it is in its public interest to do so”.</w:t>
      </w:r>
    </w:p>
    <w:p w14:paraId="54DA76C5" w14:textId="77777777" w:rsidR="0014116C" w:rsidRPr="0014116C" w:rsidRDefault="0014116C" w:rsidP="0014116C">
      <w:pPr>
        <w:pStyle w:val="Title2LevelTitre2Niveau"/>
        <w:rPr>
          <w:rFonts w:cs="Times New Roman"/>
        </w:rPr>
      </w:pPr>
      <w:bookmarkStart w:id="91" w:name="_Toc127187993"/>
      <w:bookmarkStart w:id="92" w:name="_Toc127267653"/>
      <w:bookmarkStart w:id="93" w:name="_Toc127267654"/>
      <w:bookmarkStart w:id="94" w:name="_Toc130454480"/>
      <w:bookmarkStart w:id="95" w:name="_Toc131401522"/>
      <w:bookmarkStart w:id="96" w:name="_Toc133824190"/>
      <w:bookmarkStart w:id="97" w:name="_Toc134173682"/>
      <w:bookmarkStart w:id="98" w:name="_Toc136424910"/>
      <w:bookmarkEnd w:id="91"/>
      <w:bookmarkEnd w:id="92"/>
      <w:r w:rsidRPr="0014116C">
        <w:rPr>
          <w:rFonts w:cs="Times New Roman"/>
        </w:rPr>
        <w:t>Domestic Implementation of the Safe Third Country Agreement</w:t>
      </w:r>
      <w:bookmarkEnd w:id="93"/>
      <w:bookmarkEnd w:id="94"/>
      <w:bookmarkEnd w:id="95"/>
      <w:bookmarkEnd w:id="96"/>
      <w:bookmarkEnd w:id="97"/>
      <w:bookmarkEnd w:id="98"/>
    </w:p>
    <w:p w14:paraId="5C0B4054" w14:textId="77777777" w:rsidR="0014116C" w:rsidRPr="0014116C" w:rsidRDefault="0014116C" w:rsidP="0014116C">
      <w:pPr>
        <w:pStyle w:val="ParaNoNdepar-AltN"/>
        <w:tabs>
          <w:tab w:val="num" w:pos="1602"/>
        </w:tabs>
        <w:rPr>
          <w:rFonts w:cs="Times New Roman"/>
        </w:rPr>
      </w:pPr>
      <w:r w:rsidRPr="0014116C">
        <w:rPr>
          <w:rFonts w:cs="Times New Roman"/>
        </w:rPr>
        <w:t xml:space="preserve">Section 101(1)(e) of the </w:t>
      </w:r>
      <w:r w:rsidRPr="0014116C">
        <w:rPr>
          <w:rFonts w:cs="Times New Roman"/>
          <w:i/>
          <w:iCs/>
        </w:rPr>
        <w:t>IRPA</w:t>
      </w:r>
      <w:r w:rsidRPr="0014116C">
        <w:rPr>
          <w:rFonts w:cs="Times New Roman"/>
        </w:rPr>
        <w:t xml:space="preserve"> implements the core principle of the </w:t>
      </w:r>
      <w:r w:rsidRPr="0014116C">
        <w:rPr>
          <w:rFonts w:cs="Times New Roman"/>
          <w:i/>
          <w:iCs/>
        </w:rPr>
        <w:t>Safe Third Country Agreement</w:t>
      </w:r>
      <w:r w:rsidRPr="0014116C">
        <w:rPr>
          <w:rFonts w:cs="Times New Roman"/>
        </w:rPr>
        <w:t xml:space="preserve"> by providing that the claims of individuals who “came directly or indirectly to Canada from a country designated by the regulations, other than a country of their nationality or their former habitual residence” are “ineligible” to be referred to the Refugee Protection Division. This gives domestic effect to the principle set out in Article 4(1) that an individual’s country of last presence will examine their refugee status claim. Various other rules in the </w:t>
      </w:r>
      <w:r w:rsidRPr="0014116C">
        <w:rPr>
          <w:rFonts w:cs="Times New Roman"/>
          <w:i/>
          <w:iCs/>
        </w:rPr>
        <w:t xml:space="preserve">IRPA </w:t>
      </w:r>
      <w:r w:rsidRPr="0014116C">
        <w:rPr>
          <w:rFonts w:cs="Times New Roman"/>
        </w:rPr>
        <w:t xml:space="preserve">and its regulations affect the application of this “general rule”, including (1) designation and review mechanisms; (2) limits to the scope of the general rule; and (3) exemptions. </w:t>
      </w:r>
    </w:p>
    <w:p w14:paraId="36AFAB69" w14:textId="77777777" w:rsidR="0014116C" w:rsidRPr="0014116C" w:rsidRDefault="0014116C" w:rsidP="0014116C">
      <w:pPr>
        <w:pStyle w:val="Title3LevelTitre3Niveau"/>
        <w:rPr>
          <w:rFonts w:cs="Times New Roman"/>
        </w:rPr>
      </w:pPr>
      <w:bookmarkStart w:id="99" w:name="_Toc127267655"/>
      <w:bookmarkStart w:id="100" w:name="_Toc130454481"/>
      <w:bookmarkStart w:id="101" w:name="_Toc131401523"/>
      <w:bookmarkStart w:id="102" w:name="_Toc133824191"/>
      <w:bookmarkStart w:id="103" w:name="_Toc134173683"/>
      <w:bookmarkStart w:id="104" w:name="_Toc136424911"/>
      <w:r w:rsidRPr="0014116C">
        <w:rPr>
          <w:rFonts w:cs="Times New Roman"/>
        </w:rPr>
        <w:t xml:space="preserve">Designation and Review </w:t>
      </w:r>
      <w:bookmarkEnd w:id="99"/>
      <w:bookmarkEnd w:id="100"/>
      <w:r w:rsidRPr="0014116C">
        <w:rPr>
          <w:rFonts w:cs="Times New Roman"/>
        </w:rPr>
        <w:t>Mechanisms</w:t>
      </w:r>
      <w:bookmarkEnd w:id="101"/>
      <w:bookmarkEnd w:id="102"/>
      <w:bookmarkEnd w:id="103"/>
      <w:bookmarkEnd w:id="104"/>
    </w:p>
    <w:p w14:paraId="0C4FAD45" w14:textId="77777777" w:rsidR="0014116C" w:rsidRPr="0014116C" w:rsidRDefault="0014116C" w:rsidP="0014116C">
      <w:pPr>
        <w:pStyle w:val="ParaNoNdepar-AltN"/>
        <w:rPr>
          <w:rFonts w:cs="Times New Roman"/>
        </w:rPr>
      </w:pPr>
      <w:r w:rsidRPr="0014116C">
        <w:rPr>
          <w:rFonts w:cs="Times New Roman"/>
        </w:rPr>
        <w:t xml:space="preserve">The </w:t>
      </w:r>
      <w:r w:rsidRPr="0014116C">
        <w:rPr>
          <w:rFonts w:cs="Times New Roman"/>
          <w:i/>
          <w:iCs/>
        </w:rPr>
        <w:t>IRPA</w:t>
      </w:r>
      <w:r w:rsidRPr="0014116C">
        <w:rPr>
          <w:rFonts w:cs="Times New Roman"/>
          <w:iCs/>
        </w:rPr>
        <w:t xml:space="preserve"> sets forth the relevant</w:t>
      </w:r>
      <w:r w:rsidRPr="0014116C">
        <w:rPr>
          <w:rFonts w:cs="Times New Roman"/>
        </w:rPr>
        <w:t xml:space="preserve"> criteria for when a country may be designated by the Governor in Council under s. 101(1)(e). Only countries that comply with the </w:t>
      </w:r>
      <w:r w:rsidRPr="0014116C">
        <w:rPr>
          <w:rFonts w:cs="Times New Roman"/>
          <w:i/>
        </w:rPr>
        <w:t>non-refoulement</w:t>
      </w:r>
      <w:r w:rsidRPr="0014116C">
        <w:rPr>
          <w:rFonts w:cs="Times New Roman"/>
        </w:rPr>
        <w:t xml:space="preserve"> obligations under the relevant international conventions are eligible: </w:t>
      </w:r>
    </w:p>
    <w:p w14:paraId="67B6E68A" w14:textId="77777777" w:rsidR="0014116C" w:rsidRPr="0014116C" w:rsidRDefault="0014116C" w:rsidP="0014116C">
      <w:pPr>
        <w:pStyle w:val="Citation-AltC"/>
      </w:pPr>
      <w:r w:rsidRPr="0014116C">
        <w:rPr>
          <w:b/>
          <w:bCs/>
        </w:rPr>
        <w:t>102 (1)</w:t>
      </w:r>
      <w:r w:rsidRPr="0014116C">
        <w:t xml:space="preserve"> The regulations may govern matters relating to the application of sections 100 and 101 . . . and, for the purpose of sharing responsibility with governments of foreign states for the consideration of refugee claims, may include provisions</w:t>
      </w:r>
    </w:p>
    <w:p w14:paraId="6EB717FE" w14:textId="77777777" w:rsidR="0014116C" w:rsidRPr="0014116C" w:rsidRDefault="0014116C" w:rsidP="0014116C">
      <w:pPr>
        <w:pStyle w:val="Citation-AltC"/>
      </w:pPr>
    </w:p>
    <w:p w14:paraId="01205FA4" w14:textId="77777777" w:rsidR="0014116C" w:rsidRPr="0014116C" w:rsidRDefault="0014116C" w:rsidP="0014116C">
      <w:pPr>
        <w:pStyle w:val="Citation-AltC"/>
        <w:ind w:left="1440"/>
      </w:pPr>
      <w:r w:rsidRPr="0014116C">
        <w:rPr>
          <w:b/>
          <w:bCs/>
        </w:rPr>
        <w:t>(a)</w:t>
      </w:r>
      <w:r w:rsidRPr="0014116C">
        <w:t xml:space="preserve"> designating countries that comply with </w:t>
      </w:r>
      <w:bookmarkStart w:id="105" w:name="_Hlk137328708"/>
      <w:r w:rsidRPr="0014116C">
        <w:t>Article 33 of the Refugee Convention and Article 3 of the Convention Against Torture</w:t>
      </w:r>
      <w:bookmarkEnd w:id="105"/>
      <w:r w:rsidRPr="0014116C">
        <w:t>;</w:t>
      </w:r>
    </w:p>
    <w:p w14:paraId="5201CD80" w14:textId="77777777" w:rsidR="0014116C" w:rsidRPr="0014116C" w:rsidRDefault="0014116C" w:rsidP="0014116C">
      <w:pPr>
        <w:pStyle w:val="ParaNoNdepar-AltN"/>
        <w:rPr>
          <w:rFonts w:cs="Times New Roman"/>
        </w:rPr>
      </w:pPr>
      <w:r w:rsidRPr="0014116C">
        <w:rPr>
          <w:rFonts w:cs="Times New Roman"/>
        </w:rPr>
        <w:t>Section 102(2) lists factors to be considered when ascertaining whether a country complies with refugee protection standards mandated by the Conventions:</w:t>
      </w:r>
    </w:p>
    <w:p w14:paraId="2A3586D0" w14:textId="77777777" w:rsidR="0014116C" w:rsidRPr="0014116C" w:rsidRDefault="0014116C" w:rsidP="0014116C">
      <w:pPr>
        <w:pStyle w:val="Citation-AltC"/>
      </w:pPr>
      <w:r w:rsidRPr="0014116C">
        <w:rPr>
          <w:b/>
          <w:bCs/>
        </w:rPr>
        <w:t>(2)</w:t>
      </w:r>
      <w:r w:rsidRPr="0014116C">
        <w:t xml:space="preserve"> The following factors are to be considered in designating a country under paragraph (1)(a):</w:t>
      </w:r>
    </w:p>
    <w:p w14:paraId="62819A4C" w14:textId="77777777" w:rsidR="0014116C" w:rsidRPr="0014116C" w:rsidRDefault="0014116C" w:rsidP="0014116C">
      <w:pPr>
        <w:pStyle w:val="Citation-AltC"/>
      </w:pPr>
    </w:p>
    <w:p w14:paraId="2109536B" w14:textId="77777777" w:rsidR="0014116C" w:rsidRPr="0014116C" w:rsidRDefault="0014116C" w:rsidP="0014116C">
      <w:pPr>
        <w:pStyle w:val="Citation-AltC"/>
        <w:spacing w:after="0"/>
        <w:ind w:left="1440"/>
      </w:pPr>
      <w:r w:rsidRPr="0014116C">
        <w:rPr>
          <w:b/>
        </w:rPr>
        <w:t>(a)</w:t>
      </w:r>
      <w:r w:rsidRPr="0014116C">
        <w:t xml:space="preserve"> whether the country is a party to the Refugee Convention and to the Convention Against Torture;</w:t>
      </w:r>
    </w:p>
    <w:p w14:paraId="7DD1E25F" w14:textId="77777777" w:rsidR="0014116C" w:rsidRPr="0014116C" w:rsidRDefault="0014116C" w:rsidP="0014116C">
      <w:pPr>
        <w:pStyle w:val="Citation-AltC"/>
        <w:spacing w:after="0"/>
        <w:ind w:left="1440"/>
      </w:pPr>
    </w:p>
    <w:p w14:paraId="77E640AF" w14:textId="77777777" w:rsidR="0014116C" w:rsidRPr="0014116C" w:rsidRDefault="0014116C" w:rsidP="0014116C">
      <w:pPr>
        <w:pStyle w:val="Citation-AltC"/>
        <w:spacing w:after="0"/>
        <w:ind w:left="1440"/>
      </w:pPr>
      <w:r w:rsidRPr="0014116C">
        <w:rPr>
          <w:b/>
        </w:rPr>
        <w:t>(b)</w:t>
      </w:r>
      <w:r w:rsidRPr="0014116C">
        <w:t xml:space="preserve"> its policies and practices with respect to claims under the Refugee Convention and with respect to obligations under the Convention Against Torture;</w:t>
      </w:r>
    </w:p>
    <w:p w14:paraId="574C623F" w14:textId="77777777" w:rsidR="0014116C" w:rsidRPr="0014116C" w:rsidRDefault="0014116C" w:rsidP="0014116C">
      <w:pPr>
        <w:pStyle w:val="Citation-AltC"/>
        <w:spacing w:after="0"/>
        <w:ind w:left="1440"/>
        <w:rPr>
          <w:b/>
        </w:rPr>
      </w:pPr>
    </w:p>
    <w:p w14:paraId="286201A6" w14:textId="77777777" w:rsidR="0014116C" w:rsidRPr="0014116C" w:rsidRDefault="0014116C" w:rsidP="0014116C">
      <w:pPr>
        <w:pStyle w:val="Citation-AltC"/>
        <w:spacing w:after="0"/>
        <w:ind w:left="1440"/>
      </w:pPr>
      <w:r w:rsidRPr="0014116C">
        <w:rPr>
          <w:b/>
        </w:rPr>
        <w:t>(c)</w:t>
      </w:r>
      <w:r w:rsidRPr="0014116C">
        <w:t xml:space="preserve"> its human rights record; and</w:t>
      </w:r>
    </w:p>
    <w:p w14:paraId="52E61352" w14:textId="77777777" w:rsidR="0014116C" w:rsidRPr="0014116C" w:rsidRDefault="0014116C" w:rsidP="0014116C">
      <w:pPr>
        <w:pStyle w:val="Citation-AltC"/>
        <w:spacing w:after="0"/>
        <w:ind w:left="1440"/>
        <w:rPr>
          <w:b/>
          <w:bCs/>
        </w:rPr>
      </w:pPr>
    </w:p>
    <w:p w14:paraId="5F801EB5" w14:textId="77777777" w:rsidR="0014116C" w:rsidRPr="0014116C" w:rsidRDefault="0014116C" w:rsidP="0014116C">
      <w:pPr>
        <w:pStyle w:val="Citation-AltC"/>
        <w:spacing w:after="0"/>
        <w:ind w:left="1440"/>
      </w:pPr>
      <w:r w:rsidRPr="0014116C">
        <w:rPr>
          <w:b/>
          <w:bCs/>
        </w:rPr>
        <w:t>(d)</w:t>
      </w:r>
      <w:r w:rsidRPr="0014116C">
        <w:t xml:space="preserve"> whether it is party to an agreement with the Government of Canada for the purpose of sharing responsibility with respect to claims for refugee protection.</w:t>
      </w:r>
    </w:p>
    <w:p w14:paraId="5126F180" w14:textId="77777777" w:rsidR="0014116C" w:rsidRPr="0014116C" w:rsidRDefault="0014116C" w:rsidP="0014116C">
      <w:pPr>
        <w:pStyle w:val="ParaNoNdepar-AltN"/>
        <w:rPr>
          <w:rFonts w:cs="Times New Roman"/>
        </w:rPr>
      </w:pPr>
      <w:r w:rsidRPr="0014116C">
        <w:rPr>
          <w:rFonts w:cs="Times New Roman"/>
        </w:rPr>
        <w:t>The Governor in Council “must ensure the continuing review” of the s. 102(2) factors with respect to each designated country (s. 102(3)). The United States is the only country that has been designated (</w:t>
      </w:r>
      <w:r w:rsidRPr="0014116C">
        <w:rPr>
          <w:rFonts w:cs="Times New Roman"/>
          <w:i/>
        </w:rPr>
        <w:t>Regulations Amending the Immigration and Refugee Protection Regulations</w:t>
      </w:r>
      <w:r w:rsidRPr="0014116C">
        <w:rPr>
          <w:rFonts w:cs="Times New Roman"/>
        </w:rPr>
        <w:t>, SOR/2004</w:t>
      </w:r>
      <w:r w:rsidRPr="0014116C">
        <w:rPr>
          <w:rFonts w:cs="Times New Roman"/>
        </w:rPr>
        <w:noBreakHyphen/>
        <w:t xml:space="preserve">217). Section 159.3 of the </w:t>
      </w:r>
      <w:r w:rsidRPr="0014116C">
        <w:rPr>
          <w:rFonts w:cs="Times New Roman"/>
          <w:i/>
          <w:iCs/>
        </w:rPr>
        <w:t>IRPR</w:t>
      </w:r>
      <w:r w:rsidRPr="0014116C">
        <w:rPr>
          <w:rFonts w:cs="Times New Roman"/>
          <w:iCs/>
        </w:rPr>
        <w:t>, which the appellants challenge,</w:t>
      </w:r>
      <w:r w:rsidRPr="0014116C">
        <w:rPr>
          <w:rFonts w:cs="Times New Roman"/>
          <w:i/>
          <w:iCs/>
        </w:rPr>
        <w:t xml:space="preserve"> </w:t>
      </w:r>
      <w:r w:rsidRPr="0014116C">
        <w:rPr>
          <w:rFonts w:cs="Times New Roman"/>
        </w:rPr>
        <w:t>provides:</w:t>
      </w:r>
    </w:p>
    <w:p w14:paraId="5E0B9CFB" w14:textId="77777777" w:rsidR="0014116C" w:rsidRPr="0014116C" w:rsidRDefault="0014116C" w:rsidP="0014116C">
      <w:pPr>
        <w:pStyle w:val="Citation-AltC"/>
      </w:pPr>
      <w:r w:rsidRPr="0014116C">
        <w:rPr>
          <w:b/>
          <w:bCs/>
        </w:rPr>
        <w:t>159.3</w:t>
      </w:r>
      <w:r w:rsidRPr="0014116C">
        <w:t xml:space="preserve"> The United States is designated under paragraph 102(1)(a) of the Act as a country that complies with Article 33 of the Refugee Convention and Article 3 of the Convention Against Torture, and is a designated country for the purpose of the application of paragraph 101(1)(e) of the Act.</w:t>
      </w:r>
    </w:p>
    <w:p w14:paraId="7E922F15" w14:textId="77777777" w:rsidR="0014116C" w:rsidRPr="0014116C" w:rsidRDefault="0014116C" w:rsidP="0014116C">
      <w:pPr>
        <w:pStyle w:val="Title3LevelTitre3Niveau"/>
        <w:rPr>
          <w:rFonts w:cs="Times New Roman"/>
        </w:rPr>
      </w:pPr>
      <w:bookmarkStart w:id="106" w:name="_Toc130487001"/>
      <w:bookmarkStart w:id="107" w:name="_Toc130489296"/>
      <w:bookmarkStart w:id="108" w:name="_Toc130487002"/>
      <w:bookmarkStart w:id="109" w:name="_Toc130489297"/>
      <w:bookmarkStart w:id="110" w:name="_Toc130487003"/>
      <w:bookmarkStart w:id="111" w:name="_Toc130489298"/>
      <w:bookmarkStart w:id="112" w:name="_Toc127267657"/>
      <w:bookmarkStart w:id="113" w:name="_Toc130454483"/>
      <w:bookmarkStart w:id="114" w:name="_Toc131401524"/>
      <w:bookmarkStart w:id="115" w:name="_Toc133824192"/>
      <w:bookmarkStart w:id="116" w:name="_Toc134173684"/>
      <w:bookmarkStart w:id="117" w:name="_Toc136424912"/>
      <w:bookmarkEnd w:id="106"/>
      <w:bookmarkEnd w:id="107"/>
      <w:bookmarkEnd w:id="108"/>
      <w:bookmarkEnd w:id="109"/>
      <w:bookmarkEnd w:id="110"/>
      <w:bookmarkEnd w:id="111"/>
      <w:r w:rsidRPr="0014116C">
        <w:rPr>
          <w:rFonts w:cs="Times New Roman"/>
        </w:rPr>
        <w:t>Limits to the General Ineligibility Rule</w:t>
      </w:r>
      <w:bookmarkEnd w:id="112"/>
      <w:bookmarkEnd w:id="113"/>
      <w:bookmarkEnd w:id="114"/>
      <w:bookmarkEnd w:id="115"/>
      <w:bookmarkEnd w:id="116"/>
      <w:bookmarkEnd w:id="117"/>
    </w:p>
    <w:p w14:paraId="49253A08" w14:textId="77777777" w:rsidR="0014116C" w:rsidRPr="0014116C" w:rsidRDefault="0014116C" w:rsidP="0014116C">
      <w:pPr>
        <w:pStyle w:val="ParaNoNdepar-AltN"/>
        <w:tabs>
          <w:tab w:val="num" w:pos="1602"/>
        </w:tabs>
        <w:rPr>
          <w:rFonts w:cs="Times New Roman"/>
        </w:rPr>
      </w:pPr>
      <w:r w:rsidRPr="0014116C">
        <w:rPr>
          <w:rFonts w:cs="Times New Roman"/>
        </w:rPr>
        <w:t>Various provisions in the</w:t>
      </w:r>
      <w:r w:rsidRPr="0014116C">
        <w:rPr>
          <w:rFonts w:cs="Times New Roman"/>
          <w:i/>
          <w:iCs/>
        </w:rPr>
        <w:t xml:space="preserve"> IRPR </w:t>
      </w:r>
      <w:r w:rsidRPr="0014116C">
        <w:rPr>
          <w:rFonts w:cs="Times New Roman"/>
        </w:rPr>
        <w:t>narrow the application of the ineligibility rule by ensuring that not all refugee claimants arriving from the United States are returned there. The regulations</w:t>
      </w:r>
      <w:r w:rsidRPr="0014116C">
        <w:rPr>
          <w:rFonts w:cs="Times New Roman"/>
          <w:i/>
          <w:iCs/>
        </w:rPr>
        <w:t xml:space="preserve"> </w:t>
      </w:r>
      <w:r w:rsidRPr="0014116C">
        <w:rPr>
          <w:rFonts w:cs="Times New Roman"/>
        </w:rPr>
        <w:t xml:space="preserve">do this in two ways. First, the regulations contain limitations that closely track the contours of Articles 2, 3 and 4 of the </w:t>
      </w:r>
      <w:r w:rsidRPr="0014116C">
        <w:rPr>
          <w:rFonts w:cs="Times New Roman"/>
          <w:i/>
          <w:iCs/>
        </w:rPr>
        <w:t>Safe Third Country Agreement</w:t>
      </w:r>
      <w:r w:rsidRPr="0014116C">
        <w:rPr>
          <w:rFonts w:cs="Times New Roman"/>
        </w:rPr>
        <w:t>. For instance, under the regime considered in this appeal, s. 101(1)(e) ineligibility applies only to the claims of individuals who arrive at land ports of entry — not elsewhere along the land border, by ship or by air (</w:t>
      </w:r>
      <w:r w:rsidRPr="0014116C">
        <w:rPr>
          <w:rFonts w:cs="Times New Roman"/>
          <w:i/>
          <w:iCs/>
        </w:rPr>
        <w:t>IRPR</w:t>
      </w:r>
      <w:r w:rsidRPr="0014116C">
        <w:rPr>
          <w:rFonts w:cs="Times New Roman"/>
        </w:rPr>
        <w:t xml:space="preserve">, s. 159.4). There are specific exceptions for individuals with family in Canada, to facilitate family reunification (s. 159.5(a) to (d)). As the treaty contemplates, these exceptions are applied according to Canada’s domestic understanding of the family (Article 1(2); </w:t>
      </w:r>
      <w:r w:rsidRPr="0014116C">
        <w:rPr>
          <w:rFonts w:cs="Times New Roman"/>
          <w:i/>
        </w:rPr>
        <w:t>IRPR</w:t>
      </w:r>
      <w:r w:rsidRPr="0014116C">
        <w:rPr>
          <w:rFonts w:cs="Times New Roman"/>
        </w:rPr>
        <w:t xml:space="preserve">, s. 159.1). There are also exceptions for unaccompanied minors (s. 159.5(e)) and for individuals who have certain Canadian immigration statuses (s. 159.5(f) and (g)). Finally, the regulations ensure that certain individuals whose claims will not be adjudicated in the United States can access the Canadian system (s. 159.5(h)). </w:t>
      </w:r>
    </w:p>
    <w:p w14:paraId="3430130F" w14:textId="77777777" w:rsidR="0014116C" w:rsidRPr="0014116C" w:rsidRDefault="0014116C" w:rsidP="0014116C">
      <w:pPr>
        <w:pStyle w:val="ParaNoNdepar-AltN"/>
        <w:tabs>
          <w:tab w:val="num" w:pos="1602"/>
        </w:tabs>
        <w:rPr>
          <w:rFonts w:cs="Times New Roman"/>
        </w:rPr>
      </w:pPr>
      <w:r w:rsidRPr="0014116C">
        <w:rPr>
          <w:rFonts w:cs="Times New Roman"/>
        </w:rPr>
        <w:t xml:space="preserve">Second, the regulations include an exception reflecting Canada’s discretion, preserved under Article 6 of the treaty, to consider claims when doing so is in its public interest (Baglay and Jones, at p. 279). Section 159.6 of the </w:t>
      </w:r>
      <w:r w:rsidRPr="0014116C">
        <w:rPr>
          <w:rFonts w:cs="Times New Roman"/>
          <w:i/>
          <w:iCs/>
        </w:rPr>
        <w:t xml:space="preserve">IRPR </w:t>
      </w:r>
      <w:r w:rsidRPr="0014116C">
        <w:rPr>
          <w:rFonts w:cs="Times New Roman"/>
        </w:rPr>
        <w:t xml:space="preserve">ensures that claimants who establish that they have been charged with, or convicted of, an offence punishable by the death penalty in the United States or another country are not returned. </w:t>
      </w:r>
    </w:p>
    <w:p w14:paraId="3357EB3C" w14:textId="77777777" w:rsidR="0014116C" w:rsidRPr="0014116C" w:rsidRDefault="0014116C" w:rsidP="0014116C">
      <w:pPr>
        <w:pStyle w:val="Title3LevelTitre3Niveau"/>
        <w:rPr>
          <w:rFonts w:cs="Times New Roman"/>
        </w:rPr>
      </w:pPr>
      <w:bookmarkStart w:id="118" w:name="_Toc127267658"/>
      <w:bookmarkStart w:id="119" w:name="_Toc130454484"/>
      <w:bookmarkStart w:id="120" w:name="_Toc131401525"/>
      <w:bookmarkStart w:id="121" w:name="_Toc133824193"/>
      <w:bookmarkStart w:id="122" w:name="_Toc134173685"/>
      <w:bookmarkStart w:id="123" w:name="_Toc136424913"/>
      <w:r w:rsidRPr="0014116C">
        <w:rPr>
          <w:rFonts w:cs="Times New Roman"/>
        </w:rPr>
        <w:t>Exemptions From the Application of the General Ineligibility Rule</w:t>
      </w:r>
      <w:bookmarkEnd w:id="118"/>
      <w:bookmarkEnd w:id="119"/>
      <w:bookmarkEnd w:id="120"/>
      <w:bookmarkEnd w:id="121"/>
      <w:bookmarkEnd w:id="122"/>
      <w:bookmarkEnd w:id="123"/>
    </w:p>
    <w:p w14:paraId="4EE82CE5" w14:textId="77777777" w:rsidR="0014116C" w:rsidRPr="0014116C" w:rsidRDefault="0014116C" w:rsidP="0014116C">
      <w:pPr>
        <w:pStyle w:val="ParaNoNdepar-AltN"/>
        <w:rPr>
          <w:rFonts w:cs="Times New Roman"/>
        </w:rPr>
      </w:pPr>
      <w:r w:rsidRPr="0014116C">
        <w:rPr>
          <w:rFonts w:cs="Times New Roman"/>
        </w:rPr>
        <w:t xml:space="preserve">Individuals subject to the provisions implementing the </w:t>
      </w:r>
      <w:r w:rsidRPr="0014116C">
        <w:rPr>
          <w:rFonts w:cs="Times New Roman"/>
          <w:i/>
          <w:iCs/>
        </w:rPr>
        <w:t>Safe Third Country Agreement</w:t>
      </w:r>
      <w:r w:rsidRPr="0014116C">
        <w:rPr>
          <w:rFonts w:cs="Times New Roman"/>
        </w:rPr>
        <w:t xml:space="preserve"> cannot access some of the statutory mechanisms available to claimants in different circumstances. For instance, returnees are not eligible for a pre</w:t>
      </w:r>
      <w:r w:rsidRPr="0014116C">
        <w:rPr>
          <w:rFonts w:cs="Times New Roman"/>
        </w:rPr>
        <w:noBreakHyphen/>
        <w:t>removal risk assessment before they are removed (</w:t>
      </w:r>
      <w:r w:rsidRPr="0014116C">
        <w:rPr>
          <w:rFonts w:cs="Times New Roman"/>
          <w:i/>
          <w:iCs/>
        </w:rPr>
        <w:t>IRPA</w:t>
      </w:r>
      <w:r w:rsidRPr="0014116C">
        <w:rPr>
          <w:rFonts w:cs="Times New Roman"/>
        </w:rPr>
        <w:t>,</w:t>
      </w:r>
      <w:r w:rsidRPr="0014116C">
        <w:rPr>
          <w:rFonts w:cs="Times New Roman"/>
          <w:i/>
          <w:iCs/>
        </w:rPr>
        <w:t xml:space="preserve"> </w:t>
      </w:r>
      <w:r w:rsidRPr="0014116C">
        <w:rPr>
          <w:rFonts w:cs="Times New Roman"/>
        </w:rPr>
        <w:t xml:space="preserve">s. 112(2)(b)). Further, there is no administrative appeal body set out in the </w:t>
      </w:r>
      <w:r w:rsidRPr="0014116C">
        <w:rPr>
          <w:rFonts w:cs="Times New Roman"/>
          <w:i/>
          <w:iCs/>
        </w:rPr>
        <w:t xml:space="preserve">IRPA </w:t>
      </w:r>
      <w:r w:rsidRPr="0014116C">
        <w:rPr>
          <w:rFonts w:cs="Times New Roman"/>
        </w:rPr>
        <w:t>for them.</w:t>
      </w:r>
      <w:r w:rsidRPr="0014116C">
        <w:rPr>
          <w:rFonts w:cs="Times New Roman"/>
          <w:i/>
          <w:iCs/>
        </w:rPr>
        <w:t xml:space="preserve"> </w:t>
      </w:r>
      <w:r w:rsidRPr="0014116C">
        <w:rPr>
          <w:rFonts w:cs="Times New Roman"/>
        </w:rPr>
        <w:t>Judicial review at the Federal Court, however, remains available (s. 72). Judges may grant stays of removal while such proceedings are ongoing (</w:t>
      </w:r>
      <w:r w:rsidRPr="0014116C">
        <w:rPr>
          <w:rFonts w:cs="Times New Roman"/>
          <w:i/>
        </w:rPr>
        <w:t>Federal Courts Rules</w:t>
      </w:r>
      <w:r w:rsidRPr="0014116C">
        <w:rPr>
          <w:rFonts w:cs="Times New Roman"/>
        </w:rPr>
        <w:t>, SOR/98-106, r. 373; see also Baglay and Jones, at pp. 354</w:t>
      </w:r>
      <w:r w:rsidRPr="0014116C">
        <w:rPr>
          <w:rFonts w:cs="Times New Roman"/>
        </w:rPr>
        <w:noBreakHyphen/>
        <w:t xml:space="preserve">57). </w:t>
      </w:r>
    </w:p>
    <w:p w14:paraId="3C0F2DB3" w14:textId="77777777" w:rsidR="0014116C" w:rsidRPr="0014116C" w:rsidRDefault="0014116C" w:rsidP="0014116C">
      <w:pPr>
        <w:pStyle w:val="ParaNoNdepar-AltN"/>
        <w:rPr>
          <w:rFonts w:cs="Times New Roman"/>
        </w:rPr>
      </w:pPr>
      <w:r w:rsidRPr="0014116C">
        <w:rPr>
          <w:rFonts w:cs="Times New Roman"/>
        </w:rPr>
        <w:t xml:space="preserve">The </w:t>
      </w:r>
      <w:r w:rsidRPr="0014116C">
        <w:rPr>
          <w:rFonts w:cs="Times New Roman"/>
          <w:i/>
          <w:iCs/>
        </w:rPr>
        <w:t xml:space="preserve">IRPA </w:t>
      </w:r>
      <w:r w:rsidRPr="0014116C">
        <w:rPr>
          <w:rFonts w:cs="Times New Roman"/>
        </w:rPr>
        <w:t xml:space="preserve">does, however, contain mechanisms for temporary or permanent exemptions from return to the United States </w:t>
      </w:r>
      <w:r w:rsidRPr="0014116C">
        <w:rPr>
          <w:rStyle w:val="ui-provider"/>
          <w:rFonts w:cs="Times New Roman"/>
        </w:rPr>
        <w:t xml:space="preserve">(see, </w:t>
      </w:r>
      <w:r w:rsidRPr="0014116C">
        <w:rPr>
          <w:rStyle w:val="ui-provider"/>
          <w:rFonts w:cs="Times New Roman"/>
          <w:iCs/>
        </w:rPr>
        <w:t>e.g.</w:t>
      </w:r>
      <w:r w:rsidRPr="0014116C">
        <w:rPr>
          <w:rStyle w:val="ui-provider"/>
          <w:rFonts w:cs="Times New Roman"/>
        </w:rPr>
        <w:t>, H. Mayrand and A. Smith</w:t>
      </w:r>
      <w:r w:rsidRPr="0014116C">
        <w:rPr>
          <w:rStyle w:val="ui-provider"/>
          <w:rFonts w:cs="Times New Roman"/>
        </w:rPr>
        <w:noBreakHyphen/>
        <w:t xml:space="preserve">Grégoire, “À la croisée du chemin Roxham et de la rhétorique politique: démystifier l’Entente sur les tiers pays sûrs” (2018), 48 </w:t>
      </w:r>
      <w:r w:rsidRPr="0014116C">
        <w:rPr>
          <w:rStyle w:val="ui-provider"/>
          <w:rFonts w:cs="Times New Roman"/>
          <w:i/>
        </w:rPr>
        <w:t>R.D.U.S.</w:t>
      </w:r>
      <w:r w:rsidRPr="0014116C">
        <w:rPr>
          <w:rStyle w:val="ui-provider"/>
          <w:rFonts w:cs="Times New Roman"/>
        </w:rPr>
        <w:t xml:space="preserve"> 321, at p. 342)</w:t>
      </w:r>
      <w:r w:rsidRPr="0014116C">
        <w:rPr>
          <w:rFonts w:cs="Times New Roman"/>
        </w:rPr>
        <w:t xml:space="preserve">. First, officers may grant an administrative deferral from the enforcement of a removal order. This authority flows from s. 48(2) of the </w:t>
      </w:r>
      <w:r w:rsidRPr="0014116C">
        <w:rPr>
          <w:rFonts w:cs="Times New Roman"/>
          <w:i/>
          <w:iCs/>
        </w:rPr>
        <w:t>IRPA</w:t>
      </w:r>
      <w:r w:rsidRPr="0014116C">
        <w:rPr>
          <w:rFonts w:cs="Times New Roman"/>
        </w:rPr>
        <w:t xml:space="preserve">, which requires that removal orders be enforced “as soon as possible”. Courts have held that this provision leaves officers with discretion to delay the enforcement of a removal order (see, </w:t>
      </w:r>
      <w:r w:rsidRPr="0014116C">
        <w:rPr>
          <w:rFonts w:cs="Times New Roman"/>
          <w:iCs/>
        </w:rPr>
        <w:t>e.g.</w:t>
      </w:r>
      <w:r w:rsidRPr="0014116C">
        <w:rPr>
          <w:rFonts w:cs="Times New Roman"/>
        </w:rPr>
        <w:t xml:space="preserve">, </w:t>
      </w:r>
      <w:r w:rsidRPr="0014116C">
        <w:rPr>
          <w:rFonts w:cs="Times New Roman"/>
          <w:i/>
          <w:iCs/>
        </w:rPr>
        <w:t>Atawnah v. Canada (Public Safety and Emergency Preparedness)</w:t>
      </w:r>
      <w:r w:rsidRPr="0014116C">
        <w:rPr>
          <w:rFonts w:cs="Times New Roman"/>
        </w:rPr>
        <w:t>, 2016 FCA 144, [2017] 1 F.C.R. 153, at paras. 13</w:t>
      </w:r>
      <w:r w:rsidRPr="0014116C">
        <w:rPr>
          <w:rFonts w:cs="Times New Roman"/>
        </w:rPr>
        <w:noBreakHyphen/>
        <w:t xml:space="preserve">18; </w:t>
      </w:r>
      <w:r w:rsidRPr="0014116C">
        <w:rPr>
          <w:rFonts w:cs="Times New Roman"/>
          <w:i/>
          <w:iCs/>
        </w:rPr>
        <w:t>Revell v. Canada (Citizenship and Immigration)</w:t>
      </w:r>
      <w:r w:rsidRPr="0014116C">
        <w:rPr>
          <w:rFonts w:cs="Times New Roman"/>
        </w:rPr>
        <w:t xml:space="preserve">, 2019 FCA 262, [2020] 2 F.C.R. 355, at para. 50; </w:t>
      </w:r>
      <w:r w:rsidRPr="0014116C">
        <w:rPr>
          <w:rFonts w:cs="Times New Roman"/>
          <w:i/>
          <w:iCs/>
        </w:rPr>
        <w:t>Tapambwa</w:t>
      </w:r>
      <w:r w:rsidRPr="0014116C">
        <w:rPr>
          <w:rFonts w:cs="Times New Roman"/>
        </w:rPr>
        <w:t>, at para. 87). In this case, ABC and her daughters benefitted from an administrative deferral of removal, during which their counsel applied for a stay of removal.</w:t>
      </w:r>
    </w:p>
    <w:p w14:paraId="2D590412" w14:textId="77777777" w:rsidR="0014116C" w:rsidRPr="0014116C" w:rsidRDefault="0014116C" w:rsidP="0014116C">
      <w:pPr>
        <w:pStyle w:val="ParaNoNdepar-AltN"/>
        <w:tabs>
          <w:tab w:val="num" w:pos="1602"/>
        </w:tabs>
        <w:rPr>
          <w:rFonts w:cs="Times New Roman"/>
        </w:rPr>
      </w:pPr>
      <w:r w:rsidRPr="0014116C">
        <w:rPr>
          <w:rFonts w:cs="Times New Roman"/>
        </w:rPr>
        <w:t xml:space="preserve">Second, officers may grant a temporary resident permit. This authority flows from s. 24 of the </w:t>
      </w:r>
      <w:r w:rsidRPr="0014116C">
        <w:rPr>
          <w:rFonts w:cs="Times New Roman"/>
          <w:i/>
          <w:iCs/>
        </w:rPr>
        <w:t>IRPA</w:t>
      </w:r>
      <w:r w:rsidRPr="0014116C">
        <w:rPr>
          <w:rFonts w:cs="Times New Roman"/>
        </w:rPr>
        <w:t>, which allows an officer to issue a permit if they are “of the opinion that it is justified in the circumstances”. The Minister or their delegate may also make instructions to guide officers in determining when to issue such permits (s. 24(3)). Here, Ms. Al Nahass’s family received temporary resident permits while the Minister considered whether to grant permanent exemptions.</w:t>
      </w:r>
    </w:p>
    <w:p w14:paraId="4AFDEA6C" w14:textId="77777777" w:rsidR="0014116C" w:rsidRPr="0014116C" w:rsidRDefault="0014116C" w:rsidP="0014116C">
      <w:pPr>
        <w:pStyle w:val="ParaNoNdepar-AltN"/>
        <w:rPr>
          <w:rFonts w:cs="Times New Roman"/>
        </w:rPr>
      </w:pPr>
      <w:r w:rsidRPr="0014116C">
        <w:rPr>
          <w:rFonts w:cs="Times New Roman"/>
        </w:rPr>
        <w:t xml:space="preserve">Third, the Minister may grant an exemption based on humanitarian and compassionate grounds, as occurred for Ms. Al Nahass’s family. The Minister may exempt certain foreign nationals who are inadmissible from any of the requirements of the </w:t>
      </w:r>
      <w:r w:rsidRPr="0014116C">
        <w:rPr>
          <w:rFonts w:cs="Times New Roman"/>
          <w:i/>
          <w:iCs/>
        </w:rPr>
        <w:t>IRPA</w:t>
      </w:r>
      <w:r w:rsidRPr="0014116C">
        <w:rPr>
          <w:rFonts w:cs="Times New Roman"/>
        </w:rPr>
        <w:t xml:space="preserve">. They may grant exemptions where they view doing so as “justified by humanitarian and compassionate considerations relating to the foreign national, taking into account the best interests of a child directly affected” (s. 25.1(1)). This assessment must “consider and give weight to </w:t>
      </w:r>
      <w:r w:rsidRPr="0014116C">
        <w:rPr>
          <w:rFonts w:cs="Times New Roman"/>
          <w:i/>
          <w:iCs/>
        </w:rPr>
        <w:t>all</w:t>
      </w:r>
      <w:r w:rsidRPr="0014116C">
        <w:rPr>
          <w:rFonts w:cs="Times New Roman"/>
        </w:rPr>
        <w:t xml:space="preserve"> relevant humanitarian and compassionate considerations in a particular case” (</w:t>
      </w:r>
      <w:r w:rsidRPr="0014116C">
        <w:rPr>
          <w:rFonts w:cs="Times New Roman"/>
          <w:i/>
          <w:iCs/>
        </w:rPr>
        <w:t>Kanthasamy v. Canada (Citizenship and Immigration)</w:t>
      </w:r>
      <w:r w:rsidRPr="0014116C">
        <w:rPr>
          <w:rFonts w:cs="Times New Roman"/>
        </w:rPr>
        <w:t xml:space="preserve">, 2015 SCC 61, [2015] 3 S.C.R. 909, at para. 33 (emphasis in original)). </w:t>
      </w:r>
    </w:p>
    <w:p w14:paraId="0A1720CE" w14:textId="77777777" w:rsidR="0014116C" w:rsidRPr="0014116C" w:rsidRDefault="0014116C" w:rsidP="0014116C">
      <w:pPr>
        <w:pStyle w:val="ParaNoNdepar-AltN"/>
        <w:rPr>
          <w:rFonts w:cs="Times New Roman"/>
        </w:rPr>
      </w:pPr>
      <w:r w:rsidRPr="0014116C">
        <w:rPr>
          <w:rFonts w:cs="Times New Roman"/>
        </w:rPr>
        <w:t xml:space="preserve">Fourth, the Minister has a further discretion to exempt foreign nationals who are inadmissible from any of the requirements of the </w:t>
      </w:r>
      <w:r w:rsidRPr="0014116C">
        <w:rPr>
          <w:rFonts w:cs="Times New Roman"/>
          <w:i/>
          <w:iCs/>
        </w:rPr>
        <w:t>IRPA</w:t>
      </w:r>
      <w:r w:rsidRPr="0014116C">
        <w:rPr>
          <w:rFonts w:cs="Times New Roman"/>
        </w:rPr>
        <w:t>. The Minister may do so when they are “of the opinion that it is justified by public policy considerations” (s. 25.2(1)). The respondents observe that this provision permits the Minister to establish a temporary public policy exempting individuals who are part of a specified group from the ineligibility provision.</w:t>
      </w:r>
    </w:p>
    <w:p w14:paraId="34524412" w14:textId="77777777" w:rsidR="0014116C" w:rsidRPr="0014116C" w:rsidRDefault="0014116C" w:rsidP="0014116C">
      <w:pPr>
        <w:pStyle w:val="ParaNoNdepar-AltN"/>
        <w:rPr>
          <w:rFonts w:cs="Times New Roman"/>
        </w:rPr>
      </w:pPr>
      <w:r w:rsidRPr="0014116C">
        <w:rPr>
          <w:rFonts w:cs="Times New Roman"/>
        </w:rPr>
        <w:t>Any removal order against a foreign national can be stayed while the Minister makes their decision in relation to s. 25.1(1) or 25.2(1) (</w:t>
      </w:r>
      <w:r w:rsidRPr="0014116C">
        <w:rPr>
          <w:rFonts w:cs="Times New Roman"/>
          <w:i/>
          <w:iCs/>
        </w:rPr>
        <w:t>IRPR</w:t>
      </w:r>
      <w:r w:rsidRPr="0014116C">
        <w:rPr>
          <w:rFonts w:cs="Times New Roman"/>
        </w:rPr>
        <w:t>,</w:t>
      </w:r>
      <w:r w:rsidRPr="0014116C">
        <w:rPr>
          <w:rFonts w:cs="Times New Roman"/>
          <w:i/>
          <w:iCs/>
        </w:rPr>
        <w:t xml:space="preserve"> </w:t>
      </w:r>
      <w:r w:rsidRPr="0014116C">
        <w:rPr>
          <w:rFonts w:cs="Times New Roman"/>
        </w:rPr>
        <w:t xml:space="preserve">s. 233). </w:t>
      </w:r>
    </w:p>
    <w:p w14:paraId="530A3A15" w14:textId="77777777" w:rsidR="0014116C" w:rsidRPr="0014116C" w:rsidRDefault="0014116C" w:rsidP="0014116C">
      <w:pPr>
        <w:pStyle w:val="Title1LevelTitre1Niveau-AltL"/>
        <w:rPr>
          <w:rFonts w:cs="Times New Roman"/>
        </w:rPr>
      </w:pPr>
      <w:bookmarkStart w:id="124" w:name="_Toc127267659"/>
      <w:bookmarkStart w:id="125" w:name="_Toc130454485"/>
      <w:bookmarkStart w:id="126" w:name="_Toc131401526"/>
      <w:bookmarkStart w:id="127" w:name="_Toc133824194"/>
      <w:bookmarkStart w:id="128" w:name="_Toc134173686"/>
      <w:bookmarkStart w:id="129" w:name="_Toc136424914"/>
      <w:r w:rsidRPr="0014116C">
        <w:rPr>
          <w:rFonts w:cs="Times New Roman"/>
        </w:rPr>
        <w:t>Administrative Law Issues</w:t>
      </w:r>
      <w:bookmarkEnd w:id="124"/>
      <w:bookmarkEnd w:id="125"/>
      <w:bookmarkEnd w:id="126"/>
      <w:bookmarkEnd w:id="127"/>
      <w:bookmarkEnd w:id="128"/>
      <w:bookmarkEnd w:id="129"/>
    </w:p>
    <w:p w14:paraId="4A6325C6" w14:textId="77777777" w:rsidR="0014116C" w:rsidRPr="0014116C" w:rsidRDefault="0014116C" w:rsidP="0014116C">
      <w:pPr>
        <w:pStyle w:val="ParaNoNdepar-AltN"/>
        <w:rPr>
          <w:rFonts w:cs="Times New Roman"/>
        </w:rPr>
      </w:pPr>
      <w:r w:rsidRPr="0014116C">
        <w:rPr>
          <w:rFonts w:cs="Times New Roman"/>
        </w:rPr>
        <w:t xml:space="preserve">I turn now to the appellants’ argument that s. 159.3 of the </w:t>
      </w:r>
      <w:r w:rsidRPr="0014116C">
        <w:rPr>
          <w:rFonts w:cs="Times New Roman"/>
          <w:i/>
          <w:iCs/>
        </w:rPr>
        <w:t>IRPR</w:t>
      </w:r>
      <w:r w:rsidRPr="0014116C">
        <w:rPr>
          <w:rFonts w:cs="Times New Roman"/>
        </w:rPr>
        <w:t xml:space="preserve"> is </w:t>
      </w:r>
      <w:r w:rsidRPr="0014116C">
        <w:rPr>
          <w:rFonts w:cs="Times New Roman"/>
          <w:i/>
        </w:rPr>
        <w:t>ultra vires</w:t>
      </w:r>
      <w:r w:rsidRPr="0014116C">
        <w:rPr>
          <w:rFonts w:cs="Times New Roman"/>
        </w:rPr>
        <w:t xml:space="preserve"> because of post</w:t>
      </w:r>
      <w:r w:rsidRPr="0014116C">
        <w:rPr>
          <w:rFonts w:cs="Times New Roman"/>
        </w:rPr>
        <w:noBreakHyphen/>
        <w:t xml:space="preserve">promulgation constraints on the Governor in Council’s statutory authority to maintain a designation. First, the appellants submit that it was unreasonable, given the factors in s. 102 of the </w:t>
      </w:r>
      <w:r w:rsidRPr="0014116C">
        <w:rPr>
          <w:rFonts w:cs="Times New Roman"/>
          <w:i/>
          <w:iCs/>
        </w:rPr>
        <w:t>IRPA</w:t>
      </w:r>
      <w:r w:rsidRPr="0014116C">
        <w:rPr>
          <w:rFonts w:cs="Times New Roman"/>
        </w:rPr>
        <w:t xml:space="preserve">, to maintain the United States’ designation when there is evidence that many refugees cannot access effective protection there. Second, they say that the Governor in Council breached its s. 102(3) obligation to ensure continuing review of the United States’ compliance. </w:t>
      </w:r>
    </w:p>
    <w:p w14:paraId="58ACF738" w14:textId="77777777" w:rsidR="0014116C" w:rsidRPr="0014116C" w:rsidRDefault="0014116C" w:rsidP="0014116C">
      <w:pPr>
        <w:pStyle w:val="ParaNoNdepar-AltN"/>
        <w:rPr>
          <w:rFonts w:cs="Times New Roman"/>
        </w:rPr>
      </w:pPr>
      <w:r w:rsidRPr="0014116C">
        <w:rPr>
          <w:rFonts w:cs="Times New Roman"/>
        </w:rPr>
        <w:t xml:space="preserve">I would not give effect to these arguments. I agree with the respondents that the </w:t>
      </w:r>
      <w:r w:rsidRPr="0014116C">
        <w:rPr>
          <w:rFonts w:cs="Times New Roman"/>
          <w:i/>
          <w:iCs/>
        </w:rPr>
        <w:t xml:space="preserve">vires </w:t>
      </w:r>
      <w:r w:rsidRPr="0014116C">
        <w:rPr>
          <w:rFonts w:cs="Times New Roman"/>
        </w:rPr>
        <w:t xml:space="preserve">of s. 159.3 of the </w:t>
      </w:r>
      <w:r w:rsidRPr="0014116C">
        <w:rPr>
          <w:rFonts w:cs="Times New Roman"/>
          <w:i/>
        </w:rPr>
        <w:t>IRPR</w:t>
      </w:r>
      <w:r w:rsidRPr="0014116C">
        <w:rPr>
          <w:rFonts w:cs="Times New Roman"/>
        </w:rPr>
        <w:t xml:space="preserve"> must be examined at the time of promulgation.</w:t>
      </w:r>
    </w:p>
    <w:p w14:paraId="7E94F475" w14:textId="77777777" w:rsidR="0014116C" w:rsidRPr="0014116C" w:rsidRDefault="0014116C" w:rsidP="0014116C">
      <w:pPr>
        <w:pStyle w:val="ParaNoNdepar-AltN"/>
        <w:rPr>
          <w:rFonts w:cs="Times New Roman"/>
        </w:rPr>
      </w:pPr>
      <w:r w:rsidRPr="0014116C">
        <w:rPr>
          <w:rFonts w:cs="Times New Roman"/>
        </w:rPr>
        <w:t>Regulations “derive their validity from the statute which creates the power, and not from the executive body by which they are made” (</w:t>
      </w:r>
      <w:r w:rsidRPr="0014116C">
        <w:rPr>
          <w:rFonts w:cs="Times New Roman"/>
          <w:i/>
          <w:iCs/>
        </w:rPr>
        <w:t>Reference as to the Validity of the Regulations in relation to Chemicals</w:t>
      </w:r>
      <w:r w:rsidRPr="0014116C">
        <w:rPr>
          <w:rFonts w:cs="Times New Roman"/>
        </w:rPr>
        <w:t xml:space="preserve">, [1943] S.C.R. 1, at p. 13, </w:t>
      </w:r>
      <w:r w:rsidRPr="0014116C">
        <w:rPr>
          <w:rFonts w:cs="Times New Roman"/>
          <w:iCs/>
        </w:rPr>
        <w:t xml:space="preserve">per </w:t>
      </w:r>
      <w:r w:rsidRPr="0014116C">
        <w:rPr>
          <w:rFonts w:cs="Times New Roman"/>
        </w:rPr>
        <w:t xml:space="preserve">Duff C.J., quoting </w:t>
      </w:r>
      <w:r w:rsidRPr="0014116C">
        <w:rPr>
          <w:rFonts w:cs="Times New Roman"/>
          <w:i/>
          <w:iCs/>
        </w:rPr>
        <w:t>The Zamora</w:t>
      </w:r>
      <w:r w:rsidRPr="0014116C">
        <w:rPr>
          <w:rFonts w:cs="Times New Roman"/>
        </w:rPr>
        <w:t xml:space="preserve">, [1916] 2 A.C. 77 (P.C.), at p. 90). The limits imposed by the enabling statute are therefore fundamental to determining whether a regulation is </w:t>
      </w:r>
      <w:r w:rsidRPr="0014116C">
        <w:rPr>
          <w:rFonts w:cs="Times New Roman"/>
          <w:i/>
          <w:iCs/>
        </w:rPr>
        <w:t>intra</w:t>
      </w:r>
      <w:r w:rsidRPr="0014116C">
        <w:rPr>
          <w:rFonts w:cs="Times New Roman"/>
        </w:rPr>
        <w:t xml:space="preserve"> </w:t>
      </w:r>
      <w:r w:rsidRPr="0014116C">
        <w:rPr>
          <w:rFonts w:cs="Times New Roman"/>
          <w:i/>
          <w:iCs/>
        </w:rPr>
        <w:t xml:space="preserve">vires </w:t>
      </w:r>
      <w:r w:rsidRPr="0014116C">
        <w:rPr>
          <w:rFonts w:cs="Times New Roman"/>
        </w:rPr>
        <w:t xml:space="preserve">(see J. M. Keyes, </w:t>
      </w:r>
      <w:r w:rsidRPr="0014116C">
        <w:rPr>
          <w:rFonts w:cs="Times New Roman"/>
          <w:i/>
          <w:iCs/>
        </w:rPr>
        <w:t>Executive Legislation</w:t>
      </w:r>
      <w:r w:rsidRPr="0014116C">
        <w:rPr>
          <w:rFonts w:cs="Times New Roman"/>
        </w:rPr>
        <w:t xml:space="preserve"> (3rd ed. 2021), at p. 165). </w:t>
      </w:r>
    </w:p>
    <w:p w14:paraId="337339E5" w14:textId="77777777" w:rsidR="0014116C" w:rsidRPr="0014116C" w:rsidRDefault="0014116C" w:rsidP="0014116C">
      <w:pPr>
        <w:pStyle w:val="ParaNoNdepar-AltN"/>
        <w:rPr>
          <w:rFonts w:cs="Times New Roman"/>
        </w:rPr>
      </w:pPr>
      <w:r w:rsidRPr="0014116C">
        <w:rPr>
          <w:rFonts w:cs="Times New Roman"/>
        </w:rPr>
        <w:t xml:space="preserve">Here, the appellants misconstrue the limitations imposed by s. 102 of the </w:t>
      </w:r>
      <w:r w:rsidRPr="0014116C">
        <w:rPr>
          <w:rFonts w:cs="Times New Roman"/>
          <w:i/>
          <w:iCs/>
        </w:rPr>
        <w:t>IRPA</w:t>
      </w:r>
      <w:r w:rsidRPr="0014116C">
        <w:rPr>
          <w:rFonts w:cs="Times New Roman"/>
        </w:rPr>
        <w:t xml:space="preserve">. The Governor in Council may promulgate regulations “designating countries that comply with Article 33 of the Refugee Convention and Article 3 of the Convention Against Torture” (s. 102(1)(a)). The statute also prescribes factors for the Governor in Council to consider “in designating a country” (s. 102(2)). These factors concern when countries may be designated. Thus, s. 102(1)(a) and (2) establishes conditions precedent to designation for the purposes of s. 101(1)(e), as the Federal Court of Appeal held in </w:t>
      </w:r>
      <w:r w:rsidRPr="0014116C">
        <w:rPr>
          <w:rFonts w:cs="Times New Roman"/>
          <w:i/>
          <w:iCs/>
        </w:rPr>
        <w:t xml:space="preserve">CCR (2008) </w:t>
      </w:r>
      <w:r w:rsidRPr="0014116C">
        <w:rPr>
          <w:rFonts w:cs="Times New Roman"/>
        </w:rPr>
        <w:t xml:space="preserve">(para. 75). The statute requires that these conditions be met before, not after, a country is designated (see E. A. Driedger, “Subordinate Legislation” (1960), 38 </w:t>
      </w:r>
      <w:r w:rsidRPr="0014116C">
        <w:rPr>
          <w:rFonts w:cs="Times New Roman"/>
          <w:i/>
        </w:rPr>
        <w:t>Can. Bar Rev.</w:t>
      </w:r>
      <w:r w:rsidRPr="0014116C">
        <w:rPr>
          <w:rFonts w:cs="Times New Roman"/>
        </w:rPr>
        <w:t xml:space="preserve"> 1, at p. 8).</w:t>
      </w:r>
    </w:p>
    <w:p w14:paraId="6680D6BD" w14:textId="77777777" w:rsidR="0014116C" w:rsidRPr="0014116C" w:rsidRDefault="0014116C" w:rsidP="0014116C">
      <w:pPr>
        <w:pStyle w:val="ParaNoNdepar-AltN"/>
        <w:rPr>
          <w:rFonts w:cs="Times New Roman"/>
        </w:rPr>
      </w:pPr>
      <w:r w:rsidRPr="0014116C">
        <w:rPr>
          <w:rFonts w:cs="Times New Roman"/>
        </w:rPr>
        <w:t xml:space="preserve">The Governor in Council does, however, have statutory obligations in the period after a country is designated pursuant to s. 102(1)(a). Section 102(3) creates an obligation to “ensure the continuing review” of the s. 102(2) factors. These reviews are not directed at whether the regulation exceeds the limits imposed by the statute, which is the proper focus of a </w:t>
      </w:r>
      <w:r w:rsidRPr="0014116C">
        <w:rPr>
          <w:rFonts w:cs="Times New Roman"/>
          <w:i/>
          <w:iCs/>
        </w:rPr>
        <w:t xml:space="preserve">vires </w:t>
      </w:r>
      <w:r w:rsidRPr="0014116C">
        <w:rPr>
          <w:rFonts w:cs="Times New Roman"/>
        </w:rPr>
        <w:t xml:space="preserve">challenge. In this sense, the s. 102(3) reviews are outside the scope of a challenge alleging that s. 159.3 of the </w:t>
      </w:r>
      <w:r w:rsidRPr="0014116C">
        <w:rPr>
          <w:rFonts w:cs="Times New Roman"/>
          <w:i/>
        </w:rPr>
        <w:t>IRPR</w:t>
      </w:r>
      <w:r w:rsidRPr="0014116C">
        <w:rPr>
          <w:rFonts w:cs="Times New Roman"/>
        </w:rPr>
        <w:t xml:space="preserve"> is </w:t>
      </w:r>
      <w:r w:rsidRPr="0014116C">
        <w:rPr>
          <w:rFonts w:cs="Times New Roman"/>
          <w:i/>
          <w:iCs/>
        </w:rPr>
        <w:t xml:space="preserve">ultra vires </w:t>
      </w:r>
      <w:r w:rsidRPr="0014116C">
        <w:rPr>
          <w:rFonts w:cs="Times New Roman"/>
        </w:rPr>
        <w:t xml:space="preserve">the </w:t>
      </w:r>
      <w:r w:rsidRPr="0014116C">
        <w:rPr>
          <w:rFonts w:cs="Times New Roman"/>
          <w:i/>
          <w:iCs/>
        </w:rPr>
        <w:t>IRPA</w:t>
      </w:r>
      <w:r w:rsidRPr="0014116C">
        <w:rPr>
          <w:rFonts w:cs="Times New Roman"/>
        </w:rPr>
        <w:t xml:space="preserve">. Instead, the continuing reviews are a distinct statutory obligation of the Governor in Council. As a result, s. 102(3) reviews may be challenged based on administrative law principles (see C.A. reasons, at para. 96). However, the appellants did not seek judicial review of particular s. 102(3) reviews conducted after the promulgation of s. 159.3. </w:t>
      </w:r>
    </w:p>
    <w:p w14:paraId="77BAF49D" w14:textId="77777777" w:rsidR="0014116C" w:rsidRPr="0014116C" w:rsidRDefault="0014116C" w:rsidP="0014116C">
      <w:pPr>
        <w:pStyle w:val="ParaNoNdepar-AltN"/>
        <w:rPr>
          <w:rFonts w:cs="Times New Roman"/>
        </w:rPr>
      </w:pPr>
      <w:r w:rsidRPr="0014116C">
        <w:rPr>
          <w:rFonts w:cs="Times New Roman"/>
        </w:rPr>
        <w:t xml:space="preserve">Focusing on the appropriate date and recognizing that the s. 102(3) reviews are outside the scope of a </w:t>
      </w:r>
      <w:r w:rsidRPr="0014116C">
        <w:rPr>
          <w:rFonts w:cs="Times New Roman"/>
          <w:i/>
          <w:iCs/>
        </w:rPr>
        <w:t xml:space="preserve">vires </w:t>
      </w:r>
      <w:r w:rsidRPr="0014116C">
        <w:rPr>
          <w:rFonts w:cs="Times New Roman"/>
        </w:rPr>
        <w:t>argument, I am persuaded that the appellants fail on this point. As this Court has held, “[r]egulations benefit from a presumption of validity” (</w:t>
      </w:r>
      <w:r w:rsidRPr="0014116C">
        <w:rPr>
          <w:rFonts w:cs="Times New Roman"/>
          <w:i/>
          <w:iCs/>
        </w:rPr>
        <w:t>Katz Group Canada Inc. v. Ontario (Health and Long-Term Care)</w:t>
      </w:r>
      <w:r w:rsidRPr="0014116C">
        <w:rPr>
          <w:rFonts w:cs="Times New Roman"/>
        </w:rPr>
        <w:t xml:space="preserve">, 2013 SCC 64, [2013] 3 S.C.R. 810, at para. 25; see also P.-A. Côté and M. Devinat, </w:t>
      </w:r>
      <w:r w:rsidRPr="0014116C">
        <w:rPr>
          <w:rFonts w:cs="Times New Roman"/>
          <w:i/>
          <w:iCs/>
        </w:rPr>
        <w:t>Interprétation des lois</w:t>
      </w:r>
      <w:r w:rsidRPr="0014116C">
        <w:rPr>
          <w:rFonts w:cs="Times New Roman"/>
        </w:rPr>
        <w:t xml:space="preserve"> (5th ed. 2021), at para. 1314). Thus, to succeed in their argument based on s. 159.3’s inconsistency with the provisions they rely on,</w:t>
      </w:r>
      <w:r w:rsidRPr="0014116C">
        <w:rPr>
          <w:rFonts w:cs="Times New Roman"/>
          <w:i/>
          <w:iCs/>
        </w:rPr>
        <w:t xml:space="preserve"> </w:t>
      </w:r>
      <w:r w:rsidRPr="0014116C">
        <w:rPr>
          <w:rFonts w:cs="Times New Roman"/>
        </w:rPr>
        <w:t xml:space="preserve">the appellants must show that on the date of promulgation, the designation of the United States was not authorized by s. 102(1)(a) or (2) of the </w:t>
      </w:r>
      <w:r w:rsidRPr="0014116C">
        <w:rPr>
          <w:rFonts w:cs="Times New Roman"/>
          <w:i/>
          <w:iCs/>
        </w:rPr>
        <w:t>IRPA</w:t>
      </w:r>
      <w:r w:rsidRPr="0014116C">
        <w:rPr>
          <w:rFonts w:cs="Times New Roman"/>
        </w:rPr>
        <w:t>. Because they have directed their argument at post</w:t>
      </w:r>
      <w:r w:rsidRPr="0014116C">
        <w:rPr>
          <w:rFonts w:cs="Times New Roman"/>
        </w:rPr>
        <w:noBreakHyphen/>
        <w:t xml:space="preserve">promulgation developments, the appellants have not done so. Accordingly, the appellants’ submission that s. 159.3 of the </w:t>
      </w:r>
      <w:r w:rsidRPr="0014116C">
        <w:rPr>
          <w:rFonts w:cs="Times New Roman"/>
          <w:i/>
        </w:rPr>
        <w:t>IRPR</w:t>
      </w:r>
      <w:r w:rsidRPr="0014116C">
        <w:rPr>
          <w:rFonts w:cs="Times New Roman"/>
        </w:rPr>
        <w:t xml:space="preserve"> is </w:t>
      </w:r>
      <w:r w:rsidRPr="0014116C">
        <w:rPr>
          <w:rFonts w:cs="Times New Roman"/>
          <w:i/>
          <w:iCs/>
        </w:rPr>
        <w:t xml:space="preserve">ultra vires </w:t>
      </w:r>
      <w:r w:rsidRPr="0014116C">
        <w:rPr>
          <w:rFonts w:cs="Times New Roman"/>
        </w:rPr>
        <w:t xml:space="preserve">should be rejected. </w:t>
      </w:r>
    </w:p>
    <w:p w14:paraId="5A4710B6" w14:textId="77777777" w:rsidR="0014116C" w:rsidRPr="0014116C" w:rsidRDefault="0014116C" w:rsidP="0014116C">
      <w:pPr>
        <w:pStyle w:val="ParaNoNdepar-AltN"/>
        <w:rPr>
          <w:rFonts w:cs="Times New Roman"/>
        </w:rPr>
      </w:pPr>
      <w:r w:rsidRPr="0014116C">
        <w:rPr>
          <w:rFonts w:cs="Times New Roman"/>
        </w:rPr>
        <w:t xml:space="preserve">As a result, addressing other aspects of the appellants’ administrative law claims is unnecessary, including the appropriate standard of review and how that standard would be applied in the circumstances of this case. </w:t>
      </w:r>
    </w:p>
    <w:p w14:paraId="735902AF" w14:textId="77777777" w:rsidR="0014116C" w:rsidRPr="0014116C" w:rsidRDefault="0014116C" w:rsidP="0014116C">
      <w:pPr>
        <w:pStyle w:val="Title1LevelTitre1Niveau-AltL"/>
        <w:rPr>
          <w:rFonts w:cs="Times New Roman"/>
        </w:rPr>
      </w:pPr>
      <w:bookmarkStart w:id="130" w:name="_Toc127267660"/>
      <w:bookmarkStart w:id="131" w:name="_Toc130454486"/>
      <w:bookmarkStart w:id="132" w:name="_Toc131401527"/>
      <w:bookmarkStart w:id="133" w:name="_Toc133824195"/>
      <w:bookmarkStart w:id="134" w:name="_Toc134173687"/>
      <w:bookmarkStart w:id="135" w:name="_Toc136424915"/>
      <w:r w:rsidRPr="0014116C">
        <w:rPr>
          <w:rFonts w:cs="Times New Roman"/>
        </w:rPr>
        <w:t xml:space="preserve">The Section 7 </w:t>
      </w:r>
      <w:bookmarkEnd w:id="130"/>
      <w:r w:rsidRPr="0014116C">
        <w:rPr>
          <w:rFonts w:cs="Times New Roman"/>
        </w:rPr>
        <w:t>Claim</w:t>
      </w:r>
      <w:bookmarkEnd w:id="131"/>
      <w:bookmarkEnd w:id="132"/>
      <w:bookmarkEnd w:id="133"/>
      <w:bookmarkEnd w:id="134"/>
      <w:bookmarkEnd w:id="135"/>
      <w:r w:rsidRPr="0014116C">
        <w:rPr>
          <w:rFonts w:cs="Times New Roman"/>
        </w:rPr>
        <w:t xml:space="preserve"> </w:t>
      </w:r>
    </w:p>
    <w:p w14:paraId="38C8FB58" w14:textId="77777777" w:rsidR="0014116C" w:rsidRPr="0014116C" w:rsidRDefault="0014116C" w:rsidP="0014116C">
      <w:pPr>
        <w:pStyle w:val="ParaNoNdepar-AltN"/>
        <w:rPr>
          <w:rFonts w:cs="Times New Roman"/>
        </w:rPr>
      </w:pPr>
      <w:r w:rsidRPr="0014116C">
        <w:rPr>
          <w:rFonts w:cs="Times New Roman"/>
        </w:rPr>
        <w:t xml:space="preserve">To establish a violation of s. 7 of the </w:t>
      </w:r>
      <w:r w:rsidRPr="0014116C">
        <w:rPr>
          <w:rFonts w:cs="Times New Roman"/>
          <w:i/>
        </w:rPr>
        <w:t>Charter</w:t>
      </w:r>
      <w:r w:rsidRPr="0014116C">
        <w:rPr>
          <w:rFonts w:cs="Times New Roman"/>
        </w:rPr>
        <w:t>, challengers must first show that the impugned legislation deprives them of life, liberty or security of the person. This analysis asks whether the legislation “engage[s]” those interests, in the sense that it causes a limitation or negative impact on, an infringement of, or an interference with them (</w:t>
      </w:r>
      <w:r w:rsidRPr="0014116C">
        <w:rPr>
          <w:rFonts w:cs="Times New Roman"/>
          <w:i/>
          <w:iCs/>
        </w:rPr>
        <w:t>Carter</w:t>
      </w:r>
      <w:r w:rsidRPr="0014116C">
        <w:rPr>
          <w:rFonts w:cs="Times New Roman"/>
        </w:rPr>
        <w:t xml:space="preserve">, at para. 55; see also </w:t>
      </w:r>
      <w:r w:rsidRPr="0014116C">
        <w:rPr>
          <w:rFonts w:cs="Times New Roman"/>
          <w:i/>
          <w:iCs/>
        </w:rPr>
        <w:t>Bedford</w:t>
      </w:r>
      <w:r w:rsidRPr="0014116C">
        <w:rPr>
          <w:rFonts w:cs="Times New Roman"/>
        </w:rPr>
        <w:t>, at paras. 57</w:t>
      </w:r>
      <w:r w:rsidRPr="0014116C">
        <w:rPr>
          <w:rFonts w:cs="Times New Roman"/>
        </w:rPr>
        <w:noBreakHyphen/>
        <w:t xml:space="preserve">58, 90 and 111). A risk of such a deprivation suffices (see, </w:t>
      </w:r>
      <w:r w:rsidRPr="0014116C">
        <w:rPr>
          <w:rFonts w:cs="Times New Roman"/>
          <w:iCs/>
        </w:rPr>
        <w:t>e.g.</w:t>
      </w:r>
      <w:r w:rsidRPr="0014116C">
        <w:rPr>
          <w:rFonts w:cs="Times New Roman"/>
        </w:rPr>
        <w:t xml:space="preserve">, </w:t>
      </w:r>
      <w:r w:rsidRPr="0014116C">
        <w:rPr>
          <w:rFonts w:cs="Times New Roman"/>
          <w:i/>
          <w:iCs/>
        </w:rPr>
        <w:t>Carter</w:t>
      </w:r>
      <w:r w:rsidRPr="0014116C">
        <w:rPr>
          <w:rFonts w:cs="Times New Roman"/>
        </w:rPr>
        <w:t xml:space="preserve">, at para. 62; </w:t>
      </w:r>
      <w:r w:rsidRPr="0014116C">
        <w:rPr>
          <w:rFonts w:cs="Times New Roman"/>
          <w:i/>
          <w:iCs/>
        </w:rPr>
        <w:t>R. v. Malmo</w:t>
      </w:r>
      <w:r w:rsidRPr="0014116C">
        <w:rPr>
          <w:rFonts w:cs="Times New Roman"/>
          <w:i/>
          <w:iCs/>
        </w:rPr>
        <w:noBreakHyphen/>
        <w:t>Levine</w:t>
      </w:r>
      <w:r w:rsidRPr="0014116C">
        <w:rPr>
          <w:rFonts w:cs="Times New Roman"/>
        </w:rPr>
        <w:t xml:space="preserve">, 2003 SCC 74, [2003] 3 S.C.R. 571, at para. 89; </w:t>
      </w:r>
      <w:r w:rsidRPr="0014116C">
        <w:rPr>
          <w:rFonts w:cs="Times New Roman"/>
          <w:i/>
          <w:iCs/>
        </w:rPr>
        <w:t>Suresh</w:t>
      </w:r>
      <w:r w:rsidRPr="0014116C">
        <w:rPr>
          <w:rFonts w:cs="Times New Roman"/>
        </w:rPr>
        <w:t>, at para. 27). Second, challengers must show that the deprivation is not in accordance with the principles of fundamental justice.</w:t>
      </w:r>
    </w:p>
    <w:p w14:paraId="115F3DE8" w14:textId="77777777" w:rsidR="0014116C" w:rsidRPr="0014116C" w:rsidRDefault="0014116C" w:rsidP="0014116C">
      <w:pPr>
        <w:pStyle w:val="ParaNoNdepar-AltN"/>
        <w:rPr>
          <w:rFonts w:cs="Times New Roman"/>
        </w:rPr>
      </w:pPr>
      <w:r w:rsidRPr="0014116C">
        <w:rPr>
          <w:rFonts w:cs="Times New Roman"/>
        </w:rPr>
        <w:t xml:space="preserve">The appellants say that the Federal Court judge’s findings were grounded in the evidence, which demonstrates that s. 159.3 of the </w:t>
      </w:r>
      <w:r w:rsidRPr="0014116C">
        <w:rPr>
          <w:rFonts w:cs="Times New Roman"/>
          <w:i/>
        </w:rPr>
        <w:t xml:space="preserve">IRPR </w:t>
      </w:r>
      <w:r w:rsidRPr="0014116C">
        <w:rPr>
          <w:rFonts w:cs="Times New Roman"/>
        </w:rPr>
        <w:t xml:space="preserve">causes deprivations of liberty and security of the person. They say these deprivations are not consistent with the applicable principles of fundamental justice: overbreadth and gross disproportionality. The appellants argue discretionary remedies cannot ensure that deprivations accord with the principles of fundamental justice and, in any event, the Federal Court judge found that these safeguards are illusory. </w:t>
      </w:r>
    </w:p>
    <w:p w14:paraId="0DD6A615" w14:textId="77777777" w:rsidR="0014116C" w:rsidRPr="0014116C" w:rsidRDefault="0014116C" w:rsidP="0014116C">
      <w:pPr>
        <w:pStyle w:val="ParaNoNdepar-AltN"/>
        <w:rPr>
          <w:rFonts w:cs="Times New Roman"/>
        </w:rPr>
      </w:pPr>
      <w:r w:rsidRPr="0014116C">
        <w:rPr>
          <w:rFonts w:cs="Times New Roman"/>
        </w:rPr>
        <w:t xml:space="preserve">In my respectful view, the Federal Court judge made errors at both stages of her s. 7 analysis. The legislative scheme engages s. 7 in some, but not all, of the respects she identified. Moreover, it does accord with the principles of fundamental justice. </w:t>
      </w:r>
    </w:p>
    <w:p w14:paraId="7EAE1AF6" w14:textId="77777777" w:rsidR="0014116C" w:rsidRPr="0014116C" w:rsidRDefault="0014116C" w:rsidP="0014116C">
      <w:pPr>
        <w:pStyle w:val="Title2LevelTitre2Niveau"/>
        <w:rPr>
          <w:rFonts w:cs="Times New Roman"/>
        </w:rPr>
      </w:pPr>
      <w:bookmarkStart w:id="136" w:name="_Toc127267661"/>
      <w:bookmarkStart w:id="137" w:name="_Toc130454487"/>
      <w:bookmarkStart w:id="138" w:name="_Toc131401528"/>
      <w:bookmarkStart w:id="139" w:name="_Toc133824196"/>
      <w:bookmarkStart w:id="140" w:name="_Toc134173688"/>
      <w:bookmarkStart w:id="141" w:name="_Toc136424916"/>
      <w:r w:rsidRPr="0014116C">
        <w:rPr>
          <w:rFonts w:cs="Times New Roman"/>
        </w:rPr>
        <w:t>Properly Constituting a Section 7 Challenge</w:t>
      </w:r>
      <w:bookmarkEnd w:id="136"/>
      <w:bookmarkEnd w:id="137"/>
      <w:bookmarkEnd w:id="138"/>
      <w:bookmarkEnd w:id="139"/>
      <w:bookmarkEnd w:id="140"/>
      <w:bookmarkEnd w:id="141"/>
    </w:p>
    <w:p w14:paraId="784D5D6E" w14:textId="77777777" w:rsidR="0014116C" w:rsidRPr="0014116C" w:rsidRDefault="0014116C" w:rsidP="0014116C">
      <w:pPr>
        <w:pStyle w:val="ParaNoNdepar-AltN"/>
        <w:tabs>
          <w:tab w:val="num" w:pos="1602"/>
        </w:tabs>
        <w:rPr>
          <w:rFonts w:cs="Times New Roman"/>
        </w:rPr>
      </w:pPr>
      <w:r w:rsidRPr="0014116C">
        <w:rPr>
          <w:rFonts w:cs="Times New Roman"/>
        </w:rPr>
        <w:t xml:space="preserve">The parties agree that s. 159.3 of the </w:t>
      </w:r>
      <w:r w:rsidRPr="0014116C">
        <w:rPr>
          <w:rFonts w:cs="Times New Roman"/>
          <w:i/>
        </w:rPr>
        <w:t xml:space="preserve">IRPR </w:t>
      </w:r>
      <w:r w:rsidRPr="0014116C">
        <w:rPr>
          <w:rFonts w:cs="Times New Roman"/>
        </w:rPr>
        <w:t xml:space="preserve">was an appropriate target for a </w:t>
      </w:r>
      <w:r w:rsidRPr="0014116C">
        <w:rPr>
          <w:rFonts w:cs="Times New Roman"/>
          <w:i/>
        </w:rPr>
        <w:t xml:space="preserve">Charter </w:t>
      </w:r>
      <w:r w:rsidRPr="0014116C">
        <w:rPr>
          <w:rFonts w:cs="Times New Roman"/>
        </w:rPr>
        <w:t xml:space="preserve">challenge. The Federal Court of Appeal had disagreed, holding that the claim was not properly constituted because it should have been directed at other forms of state action that are the “real cause” of any possible infringements. In particular, the court concluded that the appellants should have targeted the administrative reviews, required by s. 102(3) of the </w:t>
      </w:r>
      <w:r w:rsidRPr="0014116C">
        <w:rPr>
          <w:rFonts w:cs="Times New Roman"/>
          <w:i/>
        </w:rPr>
        <w:t>IRPA</w:t>
      </w:r>
      <w:r w:rsidRPr="0014116C">
        <w:rPr>
          <w:rFonts w:cs="Times New Roman"/>
        </w:rPr>
        <w:t>,</w:t>
      </w:r>
      <w:r w:rsidRPr="0014116C">
        <w:rPr>
          <w:rFonts w:cs="Times New Roman"/>
          <w:i/>
        </w:rPr>
        <w:t xml:space="preserve"> </w:t>
      </w:r>
      <w:r w:rsidRPr="0014116C">
        <w:rPr>
          <w:rFonts w:cs="Times New Roman"/>
        </w:rPr>
        <w:t xml:space="preserve">of the United States’ designation and related administrative conduct. In my respectful view, the Court of Appeal erred by misapplying the relevant </w:t>
      </w:r>
      <w:r w:rsidRPr="0014116C">
        <w:rPr>
          <w:rFonts w:cs="Times New Roman"/>
          <w:i/>
        </w:rPr>
        <w:t xml:space="preserve">Charter </w:t>
      </w:r>
      <w:r w:rsidRPr="0014116C">
        <w:rPr>
          <w:rFonts w:cs="Times New Roman"/>
        </w:rPr>
        <w:t>causation jurisprudence.</w:t>
      </w:r>
    </w:p>
    <w:p w14:paraId="4B062DC9" w14:textId="77777777" w:rsidR="0014116C" w:rsidRPr="0014116C" w:rsidRDefault="0014116C" w:rsidP="0014116C">
      <w:pPr>
        <w:pStyle w:val="ParaNoNdepar-AltN"/>
        <w:tabs>
          <w:tab w:val="num" w:pos="1602"/>
        </w:tabs>
        <w:rPr>
          <w:rFonts w:cs="Times New Roman"/>
        </w:rPr>
      </w:pPr>
      <w:r w:rsidRPr="0014116C">
        <w:rPr>
          <w:rFonts w:cs="Times New Roman"/>
        </w:rPr>
        <w:t xml:space="preserve">This Court has long recognized that, to succeed, a </w:t>
      </w:r>
      <w:r w:rsidRPr="0014116C">
        <w:rPr>
          <w:rFonts w:cs="Times New Roman"/>
          <w:i/>
          <w:iCs/>
        </w:rPr>
        <w:t xml:space="preserve">Charter </w:t>
      </w:r>
      <w:r w:rsidRPr="0014116C">
        <w:rPr>
          <w:rFonts w:cs="Times New Roman"/>
        </w:rPr>
        <w:t xml:space="preserve">claim must show a causal link between state action and the violation of the relevant right or freedom (see, </w:t>
      </w:r>
      <w:r w:rsidRPr="0014116C">
        <w:rPr>
          <w:rFonts w:cs="Times New Roman"/>
          <w:iCs/>
        </w:rPr>
        <w:t>e.g.</w:t>
      </w:r>
      <w:r w:rsidRPr="0014116C">
        <w:rPr>
          <w:rFonts w:cs="Times New Roman"/>
        </w:rPr>
        <w:t xml:space="preserve">, </w:t>
      </w:r>
      <w:r w:rsidRPr="0014116C">
        <w:rPr>
          <w:rFonts w:cs="Times New Roman"/>
          <w:i/>
          <w:iCs/>
        </w:rPr>
        <w:t>Operation Dismantle Inc. v. The Queen</w:t>
      </w:r>
      <w:r w:rsidRPr="0014116C">
        <w:rPr>
          <w:rFonts w:cs="Times New Roman"/>
        </w:rPr>
        <w:t xml:space="preserve">, [1985] 1 S.C.R. 441, at p. 447, </w:t>
      </w:r>
      <w:r w:rsidRPr="0014116C">
        <w:rPr>
          <w:rFonts w:cs="Times New Roman"/>
          <w:iCs/>
        </w:rPr>
        <w:t xml:space="preserve">per </w:t>
      </w:r>
      <w:r w:rsidRPr="0014116C">
        <w:rPr>
          <w:rFonts w:cs="Times New Roman"/>
        </w:rPr>
        <w:t xml:space="preserve">Dickson J., as he then was). In </w:t>
      </w:r>
      <w:r w:rsidRPr="0014116C">
        <w:rPr>
          <w:rFonts w:cs="Times New Roman"/>
          <w:i/>
        </w:rPr>
        <w:t>Bedford</w:t>
      </w:r>
      <w:r w:rsidRPr="0014116C">
        <w:rPr>
          <w:rFonts w:cs="Times New Roman"/>
        </w:rPr>
        <w:t xml:space="preserve">, this Court held that a “sufficient causal connection” must be established, which does not require that the impugned state action “be the only or the dominant cause of the prejudice suffered by the claimant” (para. 76). As a result, the mere fact that other forms of state action may also have a causal connection to the harms alleged does not mean that a challenge to legislation — such as s. 159.3 of the </w:t>
      </w:r>
      <w:r w:rsidRPr="0014116C">
        <w:rPr>
          <w:rFonts w:cs="Times New Roman"/>
          <w:i/>
        </w:rPr>
        <w:t>IRPR</w:t>
      </w:r>
      <w:r w:rsidRPr="0014116C">
        <w:rPr>
          <w:rFonts w:cs="Times New Roman"/>
        </w:rPr>
        <w:t xml:space="preserve"> — is improperly constituted.</w:t>
      </w:r>
    </w:p>
    <w:p w14:paraId="4717565B" w14:textId="77777777" w:rsidR="0014116C" w:rsidRPr="0014116C" w:rsidRDefault="0014116C" w:rsidP="0014116C">
      <w:pPr>
        <w:pStyle w:val="ParaNoNdepar-AltN"/>
        <w:rPr>
          <w:rFonts w:cs="Times New Roman"/>
        </w:rPr>
      </w:pPr>
      <w:r w:rsidRPr="0014116C">
        <w:rPr>
          <w:rFonts w:cs="Times New Roman"/>
        </w:rPr>
        <w:t xml:space="preserve">The Court of Appeal dismissed the </w:t>
      </w:r>
      <w:r w:rsidRPr="0014116C">
        <w:rPr>
          <w:rFonts w:cs="Times New Roman"/>
          <w:i/>
          <w:iCs/>
        </w:rPr>
        <w:t xml:space="preserve">Charter </w:t>
      </w:r>
      <w:r w:rsidRPr="0014116C">
        <w:rPr>
          <w:rFonts w:cs="Times New Roman"/>
        </w:rPr>
        <w:t>challenges for failing to adhere to two propositions it drew from this Court’s causation jurisprudence. First, challengers should not attack provisions in artificial isolation. Second, when administrative conduct under legislation is responsible for unconstitutional effects, that action or inaction must be challenged, not the legislation. While these two propositions do speak to important considerations, in my respectful view they do not justify the conclusion that the appellants’ challenge is improperly constituted.</w:t>
      </w:r>
    </w:p>
    <w:p w14:paraId="6558AED5" w14:textId="77777777" w:rsidR="0014116C" w:rsidRPr="0014116C" w:rsidRDefault="0014116C" w:rsidP="0014116C">
      <w:pPr>
        <w:pStyle w:val="Title3LevelTitre3Niveau"/>
        <w:rPr>
          <w:rFonts w:cs="Times New Roman"/>
        </w:rPr>
      </w:pPr>
      <w:bookmarkStart w:id="142" w:name="_Toc131401530"/>
      <w:bookmarkStart w:id="143" w:name="_Toc133824198"/>
      <w:bookmarkStart w:id="144" w:name="_Toc134173690"/>
      <w:bookmarkStart w:id="145" w:name="_Toc136424918"/>
      <w:r w:rsidRPr="0014116C">
        <w:rPr>
          <w:rFonts w:cs="Times New Roman"/>
        </w:rPr>
        <w:t>The Relevance of Preventative and Curative Measures to the Section 7 Challenge</w:t>
      </w:r>
      <w:bookmarkEnd w:id="142"/>
      <w:bookmarkEnd w:id="143"/>
      <w:bookmarkEnd w:id="144"/>
      <w:bookmarkEnd w:id="145"/>
    </w:p>
    <w:p w14:paraId="1638100D" w14:textId="77777777" w:rsidR="0014116C" w:rsidRPr="0014116C" w:rsidRDefault="0014116C" w:rsidP="0014116C">
      <w:pPr>
        <w:pStyle w:val="ParaNoNdepar-AltN"/>
        <w:tabs>
          <w:tab w:val="num" w:pos="1602"/>
        </w:tabs>
        <w:rPr>
          <w:rFonts w:cs="Times New Roman"/>
        </w:rPr>
      </w:pPr>
      <w:r w:rsidRPr="0014116C">
        <w:rPr>
          <w:rFonts w:cs="Times New Roman"/>
        </w:rPr>
        <w:t>Provisions in a complex, interrelated legislative scheme should not be viewed in isolation. Generally, the constitutionality of these provisions can only be evaluated</w:t>
      </w:r>
      <w:r w:rsidRPr="0014116C" w:rsidDel="00CE138B">
        <w:rPr>
          <w:rFonts w:cs="Times New Roman"/>
        </w:rPr>
        <w:t xml:space="preserve"> </w:t>
      </w:r>
      <w:r w:rsidRPr="0014116C">
        <w:rPr>
          <w:rFonts w:cs="Times New Roman"/>
        </w:rPr>
        <w:t xml:space="preserve">by considering the entire scheme. However, this did not preclude the appellants from targeting s. 159.3 of the </w:t>
      </w:r>
      <w:r w:rsidRPr="0014116C">
        <w:rPr>
          <w:rFonts w:cs="Times New Roman"/>
          <w:i/>
          <w:iCs/>
        </w:rPr>
        <w:t>IRPR</w:t>
      </w:r>
      <w:r w:rsidRPr="0014116C">
        <w:rPr>
          <w:rFonts w:cs="Times New Roman"/>
        </w:rPr>
        <w:t xml:space="preserve">. </w:t>
      </w:r>
    </w:p>
    <w:p w14:paraId="7FCC810F" w14:textId="77777777" w:rsidR="0014116C" w:rsidRPr="0014116C" w:rsidRDefault="0014116C" w:rsidP="0014116C">
      <w:pPr>
        <w:pStyle w:val="ParaNoNdepar-AltN"/>
        <w:tabs>
          <w:tab w:val="num" w:pos="1602"/>
        </w:tabs>
        <w:rPr>
          <w:rFonts w:cs="Times New Roman"/>
        </w:rPr>
      </w:pPr>
      <w:r w:rsidRPr="0014116C">
        <w:rPr>
          <w:rFonts w:cs="Times New Roman"/>
        </w:rPr>
        <w:t xml:space="preserve">When a </w:t>
      </w:r>
      <w:r w:rsidRPr="0014116C">
        <w:rPr>
          <w:rFonts w:cs="Times New Roman"/>
          <w:i/>
          <w:iCs/>
        </w:rPr>
        <w:t>Charter</w:t>
      </w:r>
      <w:r w:rsidRPr="0014116C">
        <w:rPr>
          <w:rFonts w:cs="Times New Roman"/>
        </w:rPr>
        <w:t xml:space="preserve"> challenge targets a provision in an interrelated legislative scheme, the potential impact of related provisions, including those that may serve to “</w:t>
      </w:r>
      <w:r w:rsidRPr="0014116C">
        <w:rPr>
          <w:rFonts w:cs="Times New Roman"/>
          <w:u w:val="single"/>
        </w:rPr>
        <w:t>prevent or cure</w:t>
      </w:r>
      <w:r w:rsidRPr="0014116C">
        <w:rPr>
          <w:rFonts w:cs="Times New Roman"/>
        </w:rPr>
        <w:t xml:space="preserve"> any possible defects”, must be reviewed (C.A. reasons, at para. 58(a) (emphasis added)). The success or failure of a </w:t>
      </w:r>
      <w:r w:rsidRPr="0014116C">
        <w:rPr>
          <w:rFonts w:cs="Times New Roman"/>
          <w:i/>
        </w:rPr>
        <w:t xml:space="preserve">Charter </w:t>
      </w:r>
      <w:r w:rsidRPr="0014116C">
        <w:rPr>
          <w:rFonts w:cs="Times New Roman"/>
        </w:rPr>
        <w:t>claim may turn on arguments or evidence related to preventative or curative provisions. But this should rarely preclude consideration of whether life, liberty or security of the person under s. 7 are “engaged”.</w:t>
      </w:r>
    </w:p>
    <w:p w14:paraId="63802172" w14:textId="77777777" w:rsidR="0014116C" w:rsidRPr="0014116C" w:rsidRDefault="0014116C" w:rsidP="0014116C">
      <w:pPr>
        <w:pStyle w:val="ParaNoNdepar-AltN"/>
        <w:rPr>
          <w:rFonts w:cs="Times New Roman"/>
        </w:rPr>
      </w:pPr>
      <w:r w:rsidRPr="0014116C">
        <w:rPr>
          <w:rFonts w:cs="Times New Roman"/>
        </w:rPr>
        <w:t>Legislation often implicates interests that s. 7 protects. At times, this will result from broad provisions that would — taken on their own — have constitutionally relevant effects on life, liberty or security of the person. However, legislatures can include related provisions within a scheme that temper those effects. When these measures are part of an integrated legislative whole, they must be accounted for when assessing the constitutionality of rules of general application.</w:t>
      </w:r>
    </w:p>
    <w:p w14:paraId="458FFC23" w14:textId="77777777" w:rsidR="0014116C" w:rsidRPr="0014116C" w:rsidRDefault="0014116C" w:rsidP="0014116C">
      <w:pPr>
        <w:pStyle w:val="ParaNoNdepar-AltN"/>
        <w:rPr>
          <w:rStyle w:val="FootnoteReference"/>
          <w:rFonts w:cs="Times New Roman"/>
        </w:rPr>
      </w:pPr>
      <w:r w:rsidRPr="0014116C">
        <w:rPr>
          <w:rFonts w:cs="Times New Roman"/>
        </w:rPr>
        <w:t xml:space="preserve">In </w:t>
      </w:r>
      <w:r w:rsidRPr="0014116C">
        <w:rPr>
          <w:rFonts w:cs="Times New Roman"/>
          <w:i/>
          <w:iCs/>
        </w:rPr>
        <w:t>PHS</w:t>
      </w:r>
      <w:r w:rsidRPr="0014116C">
        <w:rPr>
          <w:rFonts w:cs="Times New Roman"/>
        </w:rPr>
        <w:t xml:space="preserve">, for example, this Court considered the linkages between a general rule and provisions related to it. At issue was, among other things, a general statutory prohibition on possession of controlled substances except as authorized under the regulations. The statute gave the Minister the power “to issue exemptions for medical or scientific reasons, or for any purpose the Minister deems to be in the public interest” from the application of any provision of the </w:t>
      </w:r>
      <w:r w:rsidRPr="0014116C">
        <w:rPr>
          <w:rFonts w:cs="Times New Roman"/>
          <w:i/>
        </w:rPr>
        <w:t>Controlled Drugs and Substances Act</w:t>
      </w:r>
      <w:r w:rsidRPr="0014116C">
        <w:rPr>
          <w:rFonts w:cs="Times New Roman"/>
        </w:rPr>
        <w:t>, S.C. 1996, c. 19 (“</w:t>
      </w:r>
      <w:r w:rsidRPr="0014116C">
        <w:rPr>
          <w:rFonts w:cs="Times New Roman"/>
          <w:i/>
        </w:rPr>
        <w:t>CDSA</w:t>
      </w:r>
      <w:r w:rsidRPr="0014116C">
        <w:rPr>
          <w:rFonts w:cs="Times New Roman"/>
        </w:rPr>
        <w:t>”) (</w:t>
      </w:r>
      <w:r w:rsidRPr="0014116C">
        <w:rPr>
          <w:rFonts w:cs="Times New Roman"/>
          <w:i/>
        </w:rPr>
        <w:t>PHS</w:t>
      </w:r>
      <w:r w:rsidRPr="0014116C">
        <w:rPr>
          <w:rFonts w:cs="Times New Roman"/>
        </w:rPr>
        <w:t>, at para. 39).</w:t>
      </w:r>
    </w:p>
    <w:p w14:paraId="3FC8AFDE" w14:textId="77777777" w:rsidR="0014116C" w:rsidRPr="0014116C" w:rsidRDefault="0014116C" w:rsidP="0014116C">
      <w:pPr>
        <w:pStyle w:val="ParaNoNdepar-AltN"/>
        <w:rPr>
          <w:rFonts w:cs="Times New Roman"/>
        </w:rPr>
      </w:pPr>
      <w:r w:rsidRPr="0014116C">
        <w:rPr>
          <w:rFonts w:cs="Times New Roman"/>
        </w:rPr>
        <w:t xml:space="preserve">The Court found that exemptions acted “as a safety valve that prevents the </w:t>
      </w:r>
      <w:r w:rsidRPr="0014116C">
        <w:rPr>
          <w:rFonts w:cs="Times New Roman"/>
          <w:iCs/>
        </w:rPr>
        <w:t>[statute]</w:t>
      </w:r>
      <w:r w:rsidRPr="0014116C">
        <w:rPr>
          <w:rFonts w:cs="Times New Roman"/>
        </w:rPr>
        <w:t xml:space="preserve"> from applying where such application would be arbitrary, overbroad or grossly disproportionate in its effects” (</w:t>
      </w:r>
      <w:r w:rsidRPr="0014116C">
        <w:rPr>
          <w:rFonts w:cs="Times New Roman"/>
          <w:i/>
          <w:iCs/>
        </w:rPr>
        <w:t>PHS</w:t>
      </w:r>
      <w:r w:rsidRPr="0014116C">
        <w:rPr>
          <w:rFonts w:cs="Times New Roman"/>
        </w:rPr>
        <w:t xml:space="preserve">, at para. 113). In other words, when the Minister’s discretion was exercised, these provisions cured the constitutional defects that would have arisen had the general prohibition been left to apply to those who ought not to have been caught by it: the staff and clients of a safe injection facility (paras. 94 and 114). </w:t>
      </w:r>
    </w:p>
    <w:p w14:paraId="110FB9BC" w14:textId="77777777" w:rsidR="0014116C" w:rsidRPr="0014116C" w:rsidRDefault="0014116C" w:rsidP="0014116C">
      <w:pPr>
        <w:pStyle w:val="ParaNoNdepar-AltN"/>
        <w:rPr>
          <w:rFonts w:cs="Times New Roman"/>
        </w:rPr>
      </w:pPr>
      <w:r w:rsidRPr="0014116C">
        <w:rPr>
          <w:rFonts w:cs="Times New Roman"/>
        </w:rPr>
        <w:t xml:space="preserve">Here, the Federal Court of Appeal rightly drew on </w:t>
      </w:r>
      <w:r w:rsidRPr="0014116C">
        <w:rPr>
          <w:rFonts w:cs="Times New Roman"/>
          <w:i/>
          <w:iCs/>
        </w:rPr>
        <w:t>PHS</w:t>
      </w:r>
      <w:r w:rsidRPr="0014116C">
        <w:rPr>
          <w:rFonts w:cs="Times New Roman"/>
        </w:rPr>
        <w:t xml:space="preserve"> in stating that related provisions in a legislative scheme may “prevent” or “cure” constitutional defects (C.A. reasons, at para. 58(a)). The exemptions discussed in </w:t>
      </w:r>
      <w:r w:rsidRPr="0014116C">
        <w:rPr>
          <w:rFonts w:cs="Times New Roman"/>
          <w:i/>
          <w:iCs/>
        </w:rPr>
        <w:t>PHS</w:t>
      </w:r>
      <w:r w:rsidRPr="0014116C">
        <w:rPr>
          <w:rFonts w:cs="Times New Roman"/>
        </w:rPr>
        <w:t xml:space="preserve"> were “curative” in that they made discretionary relief available to those who would otherwise be inappropriately subject to the general prohibition. In other words, the exemption remedied the specific harm that would have flowed from the application of the general rule. </w:t>
      </w:r>
    </w:p>
    <w:p w14:paraId="23550BDC" w14:textId="77777777" w:rsidR="0014116C" w:rsidRPr="0014116C" w:rsidRDefault="0014116C" w:rsidP="0014116C">
      <w:pPr>
        <w:pStyle w:val="ParaNoNdepar-AltN"/>
        <w:rPr>
          <w:rFonts w:cs="Times New Roman"/>
        </w:rPr>
      </w:pPr>
      <w:r w:rsidRPr="0014116C">
        <w:rPr>
          <w:rFonts w:cs="Times New Roman"/>
        </w:rPr>
        <w:t xml:space="preserve">Curative measures are thus remedial: they repair a breach that would be caused by a general rule by providing a targeted exemption after the fact (see </w:t>
      </w:r>
      <w:r w:rsidRPr="0014116C">
        <w:rPr>
          <w:rFonts w:cs="Times New Roman"/>
          <w:i/>
        </w:rPr>
        <w:t>PHS</w:t>
      </w:r>
      <w:r w:rsidRPr="0014116C">
        <w:rPr>
          <w:rFonts w:cs="Times New Roman"/>
        </w:rPr>
        <w:t>, at para. 41). These measures often work together with preventative measures to limit the scope of a provision of general application. Preventative measures narrow a general rule by precluding its application in anticipation of a breach, often through legislative exceptions. These categories are not watertight compartments, nor are they exhaustive. Moreover, if a class of individuals habitually receive individualized exemptions after the fact, a legislature could enact a class</w:t>
      </w:r>
      <w:r w:rsidRPr="0014116C">
        <w:rPr>
          <w:rFonts w:cs="Times New Roman"/>
        </w:rPr>
        <w:noBreakHyphen/>
        <w:t>wide exception that applies in advance.</w:t>
      </w:r>
    </w:p>
    <w:p w14:paraId="10B4B0FF" w14:textId="77777777" w:rsidR="0014116C" w:rsidRPr="0014116C" w:rsidRDefault="0014116C" w:rsidP="0014116C">
      <w:pPr>
        <w:pStyle w:val="ParaNoNdepar-AltN"/>
        <w:rPr>
          <w:rFonts w:cs="Times New Roman"/>
        </w:rPr>
      </w:pPr>
      <w:r w:rsidRPr="0014116C">
        <w:rPr>
          <w:rFonts w:cs="Times New Roman"/>
          <w:i/>
          <w:iCs/>
        </w:rPr>
        <w:t>Charter</w:t>
      </w:r>
      <w:r w:rsidRPr="0014116C">
        <w:rPr>
          <w:rFonts w:cs="Times New Roman"/>
        </w:rPr>
        <w:t xml:space="preserve"> challenges need not target preventative and curative provisions when the provision of general application to which they relate is a cause of the alleged mischief. Following </w:t>
      </w:r>
      <w:r w:rsidRPr="0014116C">
        <w:rPr>
          <w:rFonts w:cs="Times New Roman"/>
          <w:i/>
          <w:iCs/>
        </w:rPr>
        <w:t>PHS</w:t>
      </w:r>
      <w:r w:rsidRPr="0014116C">
        <w:rPr>
          <w:rFonts w:cs="Times New Roman"/>
        </w:rPr>
        <w:t>, courts must consider legislative provisions in their entire statutory context, irrespective of how the parties frame their challenge of a legislative scheme. Indeed, a failure to consider a relevant related provision can “undermine the legitimacy” of constitutional analysis (</w:t>
      </w:r>
      <w:r w:rsidRPr="0014116C">
        <w:rPr>
          <w:rFonts w:cs="Times New Roman"/>
          <w:i/>
          <w:iCs/>
        </w:rPr>
        <w:t>R. v. Parker</w:t>
      </w:r>
      <w:r w:rsidRPr="0014116C">
        <w:rPr>
          <w:rFonts w:cs="Times New Roman"/>
        </w:rPr>
        <w:t xml:space="preserve"> (2000), 49 O.R. (3d) 481 (C.A.), at para. 171, per Rosenberg J.A.). </w:t>
      </w:r>
    </w:p>
    <w:p w14:paraId="7EF6D158" w14:textId="77777777" w:rsidR="0014116C" w:rsidRPr="0014116C" w:rsidRDefault="0014116C" w:rsidP="0014116C">
      <w:pPr>
        <w:pStyle w:val="ParaNoNdepar-AltN"/>
        <w:rPr>
          <w:rFonts w:cs="Times New Roman"/>
        </w:rPr>
      </w:pPr>
      <w:r w:rsidRPr="0014116C">
        <w:rPr>
          <w:rFonts w:cs="Times New Roman"/>
        </w:rPr>
        <w:t xml:space="preserve">In the legislative scheme at issue in this case, examples of preventative measures include the death penalty exception in s. 159.6 of the </w:t>
      </w:r>
      <w:r w:rsidRPr="0014116C">
        <w:rPr>
          <w:rFonts w:cs="Times New Roman"/>
          <w:i/>
          <w:iCs/>
        </w:rPr>
        <w:t>IRPR</w:t>
      </w:r>
      <w:r w:rsidRPr="0014116C">
        <w:rPr>
          <w:rFonts w:cs="Times New Roman"/>
        </w:rPr>
        <w:t xml:space="preserve"> and the various family reunification exceptions in s. 159.5(a) to (d). Curative measures include the availability of temporary resident permits under s. 24, humanitarian and compassionate exemptions under s. 25.1(1), and public policy exceptions under s. 25.2(1). </w:t>
      </w:r>
    </w:p>
    <w:p w14:paraId="5DCA0B56" w14:textId="77777777" w:rsidR="0014116C" w:rsidRPr="0014116C" w:rsidRDefault="0014116C" w:rsidP="0014116C">
      <w:pPr>
        <w:pStyle w:val="ParaNoNdepar-AltN"/>
        <w:rPr>
          <w:rFonts w:cs="Times New Roman"/>
        </w:rPr>
      </w:pPr>
      <w:r w:rsidRPr="0014116C">
        <w:rPr>
          <w:rFonts w:cs="Times New Roman"/>
        </w:rPr>
        <w:t>At the engagement stage, preventative provisions can tailor a provision of general application so carefully that it never threatens s. 7</w:t>
      </w:r>
      <w:r w:rsidRPr="0014116C">
        <w:rPr>
          <w:rFonts w:cs="Times New Roman"/>
          <w:i/>
          <w:iCs/>
        </w:rPr>
        <w:t xml:space="preserve"> </w:t>
      </w:r>
      <w:r w:rsidRPr="0014116C">
        <w:rPr>
          <w:rFonts w:cs="Times New Roman"/>
        </w:rPr>
        <w:t xml:space="preserve">interests. For instance, s. 159.6 of the </w:t>
      </w:r>
      <w:r w:rsidRPr="0014116C">
        <w:rPr>
          <w:rFonts w:cs="Times New Roman"/>
          <w:i/>
          <w:iCs/>
        </w:rPr>
        <w:t xml:space="preserve">IRPR </w:t>
      </w:r>
      <w:r w:rsidRPr="0014116C">
        <w:rPr>
          <w:rFonts w:cs="Times New Roman"/>
        </w:rPr>
        <w:t xml:space="preserve">prevents the threat to life that might emerge from returning individuals subject to the death penalty. In so doing, preventative provisions like s. 159.6 rule out certain s. 7 engagements. By contrast, curative provisions will rarely, if ever, preclude the engagement of s. 7. </w:t>
      </w:r>
      <w:r w:rsidRPr="0014116C">
        <w:rPr>
          <w:rFonts w:cs="Times New Roman"/>
          <w:i/>
          <w:iCs/>
        </w:rPr>
        <w:t xml:space="preserve">PHS </w:t>
      </w:r>
      <w:r w:rsidRPr="0014116C">
        <w:rPr>
          <w:rFonts w:cs="Times New Roman"/>
        </w:rPr>
        <w:t>provides direct support for this proposition, as this Court held that the general prohibition on possession engaged s. 7</w:t>
      </w:r>
      <w:r w:rsidRPr="0014116C">
        <w:rPr>
          <w:rFonts w:cs="Times New Roman"/>
          <w:i/>
          <w:iCs/>
        </w:rPr>
        <w:t xml:space="preserve"> </w:t>
      </w:r>
      <w:r w:rsidRPr="0014116C">
        <w:rPr>
          <w:rFonts w:cs="Times New Roman"/>
        </w:rPr>
        <w:t>despite the availability of safety valves. Curative provisions create exceptional departures from a general rule; they are typically available only after a determination that the general rule applies. The possibility of obtaining an exemption is therefore a path through which the risks the general rule poses to life, liberty or security of the person can sometimes be avoided. In such cases, the threat to the s. 7 interests persists, but it does not always materialize.</w:t>
      </w:r>
    </w:p>
    <w:p w14:paraId="2B21D183" w14:textId="77777777" w:rsidR="0014116C" w:rsidRPr="0014116C" w:rsidRDefault="0014116C" w:rsidP="0014116C">
      <w:pPr>
        <w:pStyle w:val="ParaNoNdepar-AltN"/>
        <w:rPr>
          <w:rFonts w:cs="Times New Roman"/>
        </w:rPr>
      </w:pPr>
      <w:r w:rsidRPr="0014116C">
        <w:rPr>
          <w:rFonts w:cs="Times New Roman"/>
        </w:rPr>
        <w:t>Some have suggested that because curative mechanisms are available, refugee claimants’ s. 7 interests are not engaged at the exclusion or inadmissibility determination stage. This assertion rests on a statement</w:t>
      </w:r>
      <w:r w:rsidRPr="0014116C">
        <w:rPr>
          <w:rFonts w:cs="Times New Roman"/>
          <w:i/>
        </w:rPr>
        <w:t xml:space="preserve"> </w:t>
      </w:r>
      <w:r w:rsidRPr="0014116C">
        <w:rPr>
          <w:rFonts w:cs="Times New Roman"/>
        </w:rPr>
        <w:t xml:space="preserve">in </w:t>
      </w:r>
      <w:r w:rsidRPr="0014116C">
        <w:rPr>
          <w:rFonts w:cs="Times New Roman"/>
          <w:i/>
          <w:iCs/>
        </w:rPr>
        <w:t>B010 v. Canada (Citizenship and Immigration)</w:t>
      </w:r>
      <w:r w:rsidRPr="0014116C">
        <w:rPr>
          <w:rFonts w:cs="Times New Roman"/>
        </w:rPr>
        <w:t>, 2015 SCC 58, [2015] 3 S.C.R. 704, that it is at the “subsequent pre</w:t>
      </w:r>
      <w:r w:rsidRPr="0014116C">
        <w:rPr>
          <w:rFonts w:cs="Times New Roman"/>
        </w:rPr>
        <w:noBreakHyphen/>
        <w:t xml:space="preserve">removal risk assessment stage of the </w:t>
      </w:r>
      <w:r w:rsidRPr="0014116C">
        <w:rPr>
          <w:rFonts w:cs="Times New Roman"/>
          <w:i/>
        </w:rPr>
        <w:t>IRPA</w:t>
      </w:r>
      <w:r w:rsidRPr="0014116C">
        <w:rPr>
          <w:rFonts w:cs="Times New Roman"/>
        </w:rPr>
        <w:t xml:space="preserve">’s refugee protection process that s. 7 is typically engaged” rather than earlier stages (para. 75). This comment in </w:t>
      </w:r>
      <w:r w:rsidRPr="0014116C">
        <w:rPr>
          <w:rFonts w:cs="Times New Roman"/>
          <w:i/>
        </w:rPr>
        <w:t>B010</w:t>
      </w:r>
      <w:r w:rsidRPr="0014116C">
        <w:rPr>
          <w:rFonts w:cs="Times New Roman"/>
        </w:rPr>
        <w:t xml:space="preserve"> relied on a passage from </w:t>
      </w:r>
      <w:r w:rsidRPr="0014116C">
        <w:rPr>
          <w:rFonts w:cs="Times New Roman"/>
          <w:i/>
          <w:iCs/>
        </w:rPr>
        <w:t>Febles</w:t>
      </w:r>
      <w:r w:rsidRPr="0014116C">
        <w:rPr>
          <w:rFonts w:cs="Times New Roman"/>
          <w:iCs/>
        </w:rPr>
        <w:t xml:space="preserve">, which spoke to the </w:t>
      </w:r>
      <w:r w:rsidRPr="0014116C">
        <w:rPr>
          <w:rFonts w:cs="Times New Roman"/>
          <w:i/>
          <w:iCs/>
        </w:rPr>
        <w:t>Charter</w:t>
      </w:r>
      <w:r w:rsidRPr="0014116C">
        <w:rPr>
          <w:rFonts w:cs="Times New Roman"/>
          <w:i/>
          <w:iCs/>
        </w:rPr>
        <w:noBreakHyphen/>
      </w:r>
      <w:r w:rsidRPr="0014116C">
        <w:rPr>
          <w:rFonts w:cs="Times New Roman"/>
          <w:iCs/>
        </w:rPr>
        <w:t xml:space="preserve">compliance of an exclusion provision in the </w:t>
      </w:r>
      <w:r w:rsidRPr="0014116C">
        <w:rPr>
          <w:rFonts w:cs="Times New Roman"/>
          <w:i/>
          <w:iCs/>
        </w:rPr>
        <w:t>IRPA</w:t>
      </w:r>
      <w:r w:rsidRPr="0014116C">
        <w:rPr>
          <w:rFonts w:cs="Times New Roman"/>
          <w:iCs/>
        </w:rPr>
        <w:t>.</w:t>
      </w:r>
      <w:r w:rsidRPr="0014116C">
        <w:rPr>
          <w:rFonts w:cs="Times New Roman"/>
        </w:rPr>
        <w:t xml:space="preserve"> Some scholars have criticized this view of curative mechanisms’ role in engagement, saying that </w:t>
      </w:r>
      <w:r w:rsidRPr="0014116C">
        <w:rPr>
          <w:rFonts w:cs="Times New Roman"/>
          <w:i/>
          <w:iCs/>
        </w:rPr>
        <w:t xml:space="preserve">dicta </w:t>
      </w:r>
      <w:r w:rsidRPr="0014116C">
        <w:rPr>
          <w:rFonts w:cs="Times New Roman"/>
        </w:rPr>
        <w:t xml:space="preserve">from these cases should not deflect analysis from this Court’s approach to s. 7 engagement established in other contexts (see Heckman, at p. 313; C. Grey, “Thinkable: The Charter and Refugee Law after </w:t>
      </w:r>
      <w:r w:rsidRPr="0014116C">
        <w:rPr>
          <w:rFonts w:cs="Times New Roman"/>
          <w:i/>
        </w:rPr>
        <w:t>Appulonappa</w:t>
      </w:r>
      <w:r w:rsidRPr="0014116C">
        <w:rPr>
          <w:rFonts w:cs="Times New Roman"/>
        </w:rPr>
        <w:t xml:space="preserve"> and </w:t>
      </w:r>
      <w:r w:rsidRPr="0014116C">
        <w:rPr>
          <w:rFonts w:cs="Times New Roman"/>
          <w:i/>
        </w:rPr>
        <w:t>B010</w:t>
      </w:r>
      <w:r w:rsidRPr="0014116C">
        <w:rPr>
          <w:rFonts w:cs="Times New Roman"/>
        </w:rPr>
        <w:t xml:space="preserve">” (2016), 76 </w:t>
      </w:r>
      <w:r w:rsidRPr="0014116C">
        <w:rPr>
          <w:rFonts w:cs="Times New Roman"/>
          <w:i/>
        </w:rPr>
        <w:t>S.C.L.R.</w:t>
      </w:r>
      <w:r w:rsidRPr="0014116C">
        <w:rPr>
          <w:rFonts w:cs="Times New Roman"/>
        </w:rPr>
        <w:t xml:space="preserve"> (2d) 111, at pp. 131</w:t>
      </w:r>
      <w:r w:rsidRPr="0014116C">
        <w:rPr>
          <w:rFonts w:cs="Times New Roman"/>
        </w:rPr>
        <w:noBreakHyphen/>
        <w:t xml:space="preserve">35 and 139; see also H. Stewart, </w:t>
      </w:r>
      <w:r w:rsidRPr="0014116C">
        <w:rPr>
          <w:rFonts w:cs="Times New Roman"/>
          <w:i/>
          <w:iCs/>
        </w:rPr>
        <w:t>Fundamental Justice: Section 7 of the Canadian Charter of Rights and Freedoms</w:t>
      </w:r>
      <w:r w:rsidRPr="0014116C">
        <w:rPr>
          <w:rFonts w:cs="Times New Roman"/>
        </w:rPr>
        <w:t xml:space="preserve"> (2nd ed. 2019), at pp. 77</w:t>
      </w:r>
      <w:r w:rsidRPr="0014116C">
        <w:rPr>
          <w:rFonts w:cs="Times New Roman"/>
        </w:rPr>
        <w:noBreakHyphen/>
        <w:t xml:space="preserve">81 and 342). </w:t>
      </w:r>
    </w:p>
    <w:p w14:paraId="4B6F5E50" w14:textId="77777777" w:rsidR="0014116C" w:rsidRPr="0014116C" w:rsidRDefault="0014116C" w:rsidP="0014116C">
      <w:pPr>
        <w:pStyle w:val="ParaNoNdepar-AltN"/>
        <w:rPr>
          <w:rFonts w:cs="Times New Roman"/>
        </w:rPr>
      </w:pPr>
      <w:r w:rsidRPr="0014116C">
        <w:rPr>
          <w:rFonts w:cs="Times New Roman"/>
          <w:i/>
          <w:iCs/>
        </w:rPr>
        <w:t>Febles</w:t>
      </w:r>
      <w:r w:rsidRPr="0014116C">
        <w:rPr>
          <w:rFonts w:cs="Times New Roman"/>
        </w:rPr>
        <w:t xml:space="preserve"> stated that an exclusion provision was “consistent” with s. 7 of the </w:t>
      </w:r>
      <w:r w:rsidRPr="0014116C">
        <w:rPr>
          <w:rFonts w:cs="Times New Roman"/>
          <w:i/>
        </w:rPr>
        <w:t>Charter</w:t>
      </w:r>
      <w:r w:rsidRPr="0014116C">
        <w:rPr>
          <w:rFonts w:cs="Times New Roman"/>
        </w:rPr>
        <w:t xml:space="preserve"> (para. 67). In line with </w:t>
      </w:r>
      <w:r w:rsidRPr="0014116C">
        <w:rPr>
          <w:rFonts w:cs="Times New Roman"/>
          <w:i/>
        </w:rPr>
        <w:t xml:space="preserve">Bedford </w:t>
      </w:r>
      <w:r w:rsidRPr="0014116C">
        <w:rPr>
          <w:rFonts w:cs="Times New Roman"/>
        </w:rPr>
        <w:t xml:space="preserve">and </w:t>
      </w:r>
      <w:r w:rsidRPr="0014116C">
        <w:rPr>
          <w:rFonts w:cs="Times New Roman"/>
          <w:i/>
        </w:rPr>
        <w:t>PHS</w:t>
      </w:r>
      <w:r w:rsidRPr="0014116C">
        <w:rPr>
          <w:rFonts w:cs="Times New Roman"/>
        </w:rPr>
        <w:t xml:space="preserve">, </w:t>
      </w:r>
      <w:r w:rsidRPr="0014116C">
        <w:rPr>
          <w:rFonts w:cs="Times New Roman"/>
          <w:i/>
        </w:rPr>
        <w:t>Febles</w:t>
      </w:r>
      <w:r w:rsidRPr="0014116C">
        <w:rPr>
          <w:rFonts w:cs="Times New Roman"/>
        </w:rPr>
        <w:t xml:space="preserve"> should not be read as conflating the engagement and the principles of fundamental justice stages of the s. 7 analysis. As for </w:t>
      </w:r>
      <w:r w:rsidRPr="0014116C">
        <w:rPr>
          <w:rFonts w:cs="Times New Roman"/>
          <w:i/>
        </w:rPr>
        <w:t>B010</w:t>
      </w:r>
      <w:r w:rsidRPr="0014116C">
        <w:rPr>
          <w:rFonts w:cs="Times New Roman"/>
        </w:rPr>
        <w:t>, I observe that this Court ordered a new hearing in that appeal as a matter of statutory interpretation and found it unnecessary to consider the appellants’ s. 7 challenge (para. 74). The brief comment that it is only at the pre-removal stage that “s. 7 is typically engaged” was neither a formal statement of the law nor necessary to decide the case</w:t>
      </w:r>
      <w:r w:rsidRPr="0014116C">
        <w:rPr>
          <w:rFonts w:cs="Times New Roman"/>
          <w:i/>
        </w:rPr>
        <w:t xml:space="preserve"> </w:t>
      </w:r>
      <w:r w:rsidRPr="0014116C">
        <w:rPr>
          <w:rFonts w:cs="Times New Roman"/>
        </w:rPr>
        <w:t>(para. 75). It should not be taken to have changed the established law on s. 7 engagement. It is helpful to recall that in other contexts, such as extradition, s. 7 “permeates” the entire process and is “engaged, although for different purposes” at each stage of the proceedings (</w:t>
      </w:r>
      <w:r w:rsidRPr="0014116C">
        <w:rPr>
          <w:rFonts w:cs="Times New Roman"/>
          <w:i/>
        </w:rPr>
        <w:t>United States of America v. Cobb</w:t>
      </w:r>
      <w:r w:rsidRPr="0014116C">
        <w:rPr>
          <w:rFonts w:cs="Times New Roman"/>
        </w:rPr>
        <w:t xml:space="preserve">, 2001 SCC 19, [2001] 1 S.C.R. 587, at para. 34, per Arbour J.). In the context of ineligibility under s. 101(1)(e) of the </w:t>
      </w:r>
      <w:r w:rsidRPr="0014116C">
        <w:rPr>
          <w:rFonts w:cs="Times New Roman"/>
          <w:i/>
        </w:rPr>
        <w:t>IRPA</w:t>
      </w:r>
      <w:r w:rsidRPr="0014116C">
        <w:rPr>
          <w:rFonts w:cs="Times New Roman"/>
        </w:rPr>
        <w:t xml:space="preserve">, where curative measures are key to the s. 7 analysis, such measures are thus best understood as relevant to the principles of fundamental justice rather than to the threshold question of engagement, in keeping with this Court’s methodology in </w:t>
      </w:r>
      <w:r w:rsidRPr="0014116C">
        <w:rPr>
          <w:rFonts w:cs="Times New Roman"/>
          <w:i/>
        </w:rPr>
        <w:t xml:space="preserve">Bedford </w:t>
      </w:r>
      <w:r w:rsidRPr="0014116C">
        <w:rPr>
          <w:rFonts w:cs="Times New Roman"/>
        </w:rPr>
        <w:t>(see, e.g., Heckman, at pp. 347</w:t>
      </w:r>
      <w:r w:rsidRPr="0014116C">
        <w:rPr>
          <w:rFonts w:cs="Times New Roman"/>
        </w:rPr>
        <w:noBreakHyphen/>
        <w:t xml:space="preserve">56). </w:t>
      </w:r>
    </w:p>
    <w:p w14:paraId="0A820718" w14:textId="77777777" w:rsidR="0014116C" w:rsidRPr="0014116C" w:rsidRDefault="0014116C" w:rsidP="0014116C">
      <w:pPr>
        <w:pStyle w:val="ParaNoNdepar-AltN"/>
        <w:rPr>
          <w:rFonts w:cs="Times New Roman"/>
          <w:i/>
          <w:iCs/>
        </w:rPr>
      </w:pPr>
      <w:r w:rsidRPr="0014116C">
        <w:rPr>
          <w:rFonts w:cs="Times New Roman"/>
        </w:rPr>
        <w:t xml:space="preserve">Turning to the principles of fundamental justice analysis, the role of preventative provisions will vary depending on which principles are at issue. For example, legislative tailoring determines how broadly the general regime will be applied and thus undoubtedly factors into whether a scheme is overbroad. </w:t>
      </w:r>
    </w:p>
    <w:p w14:paraId="3956EA01" w14:textId="77777777" w:rsidR="0014116C" w:rsidRPr="0014116C" w:rsidRDefault="0014116C" w:rsidP="0014116C">
      <w:pPr>
        <w:pStyle w:val="ParaNoNdepar-AltN"/>
        <w:rPr>
          <w:rFonts w:cs="Times New Roman"/>
          <w:i/>
          <w:iCs/>
        </w:rPr>
      </w:pPr>
      <w:r w:rsidRPr="0014116C">
        <w:rPr>
          <w:rFonts w:cs="Times New Roman"/>
        </w:rPr>
        <w:t xml:space="preserve">The parties disagree as to how curative measures bear on this case. In line with this Court’s reasoning in </w:t>
      </w:r>
      <w:r w:rsidRPr="0014116C">
        <w:rPr>
          <w:rFonts w:cs="Times New Roman"/>
          <w:i/>
          <w:iCs/>
        </w:rPr>
        <w:t>PHS</w:t>
      </w:r>
      <w:r w:rsidRPr="0014116C">
        <w:rPr>
          <w:rFonts w:cs="Times New Roman"/>
        </w:rPr>
        <w:t xml:space="preserve">, the respondents appear to see curative measures — like humanitarian and compassionate exemptions — as relevant to determining whether the principles of fundamental justice are respected. Conversely, the appellants claim that </w:t>
      </w:r>
      <w:r w:rsidRPr="0014116C">
        <w:rPr>
          <w:rFonts w:cs="Times New Roman"/>
          <w:i/>
          <w:iCs/>
        </w:rPr>
        <w:t>Bedford</w:t>
      </w:r>
      <w:r w:rsidRPr="0014116C">
        <w:rPr>
          <w:rFonts w:cs="Times New Roman"/>
          <w:iCs/>
        </w:rPr>
        <w:t>’s</w:t>
      </w:r>
      <w:r w:rsidRPr="0014116C">
        <w:rPr>
          <w:rFonts w:cs="Times New Roman"/>
          <w:i/>
          <w:iCs/>
        </w:rPr>
        <w:t xml:space="preserve"> </w:t>
      </w:r>
      <w:r w:rsidRPr="0014116C">
        <w:rPr>
          <w:rFonts w:cs="Times New Roman"/>
          <w:iCs/>
        </w:rPr>
        <w:t xml:space="preserve">highly individualistic focus on “whether </w:t>
      </w:r>
      <w:r w:rsidRPr="0014116C">
        <w:rPr>
          <w:rFonts w:cs="Times New Roman"/>
          <w:i/>
          <w:iCs/>
        </w:rPr>
        <w:t>anyone’s</w:t>
      </w:r>
      <w:r w:rsidRPr="0014116C">
        <w:rPr>
          <w:rFonts w:cs="Times New Roman"/>
          <w:iCs/>
        </w:rPr>
        <w:t xml:space="preserve"> life, liberty or security of the person has been denied” </w:t>
      </w:r>
      <w:r w:rsidRPr="0014116C">
        <w:rPr>
          <w:rFonts w:cs="Times New Roman"/>
        </w:rPr>
        <w:t xml:space="preserve">has overtaken </w:t>
      </w:r>
      <w:r w:rsidRPr="0014116C">
        <w:rPr>
          <w:rFonts w:cs="Times New Roman"/>
          <w:i/>
          <w:iCs/>
        </w:rPr>
        <w:t>PHS</w:t>
      </w:r>
      <w:r w:rsidRPr="0014116C">
        <w:rPr>
          <w:rFonts w:cs="Times New Roman"/>
        </w:rPr>
        <w:t xml:space="preserve"> on this point (para. 123 (emphasis in original)). They say that discretionary exemptions now only factor into the s. 1 analysis.</w:t>
      </w:r>
    </w:p>
    <w:p w14:paraId="565BEA60" w14:textId="77777777" w:rsidR="0014116C" w:rsidRPr="0014116C" w:rsidRDefault="0014116C" w:rsidP="0014116C">
      <w:pPr>
        <w:pStyle w:val="ParaNoNdepar-AltN"/>
        <w:rPr>
          <w:rFonts w:cs="Times New Roman"/>
        </w:rPr>
      </w:pPr>
      <w:r w:rsidRPr="0014116C">
        <w:rPr>
          <w:rFonts w:cs="Times New Roman"/>
        </w:rPr>
        <w:t xml:space="preserve">I disagree with the appellants. Curative mechanisms are properly considered when assessing whether a deprivation comports with the principles of fundamental justice. </w:t>
      </w:r>
      <w:r w:rsidRPr="0014116C">
        <w:rPr>
          <w:rFonts w:cs="Times New Roman"/>
          <w:i/>
          <w:iCs/>
        </w:rPr>
        <w:t xml:space="preserve">Bedford </w:t>
      </w:r>
      <w:r w:rsidRPr="0014116C">
        <w:rPr>
          <w:rFonts w:cs="Times New Roman"/>
        </w:rPr>
        <w:t xml:space="preserve">did not hold otherwise. Indeed, curative mechanisms were not at issue in </w:t>
      </w:r>
      <w:r w:rsidRPr="0014116C">
        <w:rPr>
          <w:rFonts w:cs="Times New Roman"/>
          <w:i/>
          <w:iCs/>
        </w:rPr>
        <w:t>Bedford</w:t>
      </w:r>
      <w:r w:rsidRPr="0014116C">
        <w:rPr>
          <w:rFonts w:cs="Times New Roman"/>
        </w:rPr>
        <w:t xml:space="preserve">, so it was unnecessary for this Court to comment on how its approach interacted with its reasoning in </w:t>
      </w:r>
      <w:r w:rsidRPr="0014116C">
        <w:rPr>
          <w:rFonts w:cs="Times New Roman"/>
          <w:i/>
          <w:iCs/>
        </w:rPr>
        <w:t>PHS</w:t>
      </w:r>
      <w:r w:rsidRPr="0014116C">
        <w:rPr>
          <w:rFonts w:cs="Times New Roman"/>
          <w:iCs/>
        </w:rPr>
        <w:t>.</w:t>
      </w:r>
      <w:r w:rsidRPr="0014116C">
        <w:rPr>
          <w:rFonts w:cs="Times New Roman"/>
        </w:rPr>
        <w:t xml:space="preserve"> In my view, </w:t>
      </w:r>
      <w:r w:rsidRPr="0014116C">
        <w:rPr>
          <w:rFonts w:cs="Times New Roman"/>
          <w:i/>
        </w:rPr>
        <w:t xml:space="preserve">Bedford </w:t>
      </w:r>
      <w:r w:rsidRPr="0014116C">
        <w:rPr>
          <w:rFonts w:cs="Times New Roman"/>
        </w:rPr>
        <w:t xml:space="preserve">and </w:t>
      </w:r>
      <w:r w:rsidRPr="0014116C">
        <w:rPr>
          <w:rFonts w:cs="Times New Roman"/>
          <w:i/>
        </w:rPr>
        <w:t xml:space="preserve">PHS </w:t>
      </w:r>
      <w:r w:rsidRPr="0014116C">
        <w:rPr>
          <w:rFonts w:cs="Times New Roman"/>
        </w:rPr>
        <w:t xml:space="preserve">are compatible. Curative provisions have taken on increased significance in the wake of </w:t>
      </w:r>
      <w:r w:rsidRPr="0014116C">
        <w:rPr>
          <w:rFonts w:cs="Times New Roman"/>
          <w:i/>
          <w:iCs/>
        </w:rPr>
        <w:t>Bedford</w:t>
      </w:r>
      <w:r w:rsidRPr="0014116C">
        <w:rPr>
          <w:rFonts w:cs="Times New Roman"/>
        </w:rPr>
        <w:t>’s recognition that a regime that is rational and non</w:t>
      </w:r>
      <w:r w:rsidRPr="0014116C">
        <w:rPr>
          <w:rFonts w:cs="Times New Roman"/>
        </w:rPr>
        <w:noBreakHyphen/>
        <w:t xml:space="preserve">arbitrary in almost all circumstances can nonetheless violate s. 7 if it is arbitrary, overbroad or grossly disproportionate for one individual (para. 123). If the legislature has crafted a scheme that cures potential breaches by providing exemptions that can target the specific deprivations, this can render the legislative scheme </w:t>
      </w:r>
      <w:r w:rsidRPr="0014116C">
        <w:rPr>
          <w:rFonts w:cs="Times New Roman"/>
          <w:i/>
          <w:iCs/>
        </w:rPr>
        <w:t>Charter</w:t>
      </w:r>
      <w:r w:rsidRPr="0014116C">
        <w:rPr>
          <w:rFonts w:cs="Times New Roman"/>
        </w:rPr>
        <w:noBreakHyphen/>
        <w:t xml:space="preserve">compliant (see D. Moore, “Engagement with Human Rights by Administrative Decision-Makers: A Transformative Opportunity to Build a More Grassroots Human Rights Culture” (2017), 49 </w:t>
      </w:r>
      <w:r w:rsidRPr="0014116C">
        <w:rPr>
          <w:rFonts w:cs="Times New Roman"/>
          <w:i/>
        </w:rPr>
        <w:t>Ottawa L. Rev.</w:t>
      </w:r>
      <w:r w:rsidRPr="0014116C">
        <w:rPr>
          <w:rFonts w:cs="Times New Roman"/>
        </w:rPr>
        <w:t xml:space="preserve"> 131, at pp. 150</w:t>
      </w:r>
      <w:r w:rsidRPr="0014116C">
        <w:rPr>
          <w:rFonts w:cs="Times New Roman"/>
        </w:rPr>
        <w:noBreakHyphen/>
        <w:t xml:space="preserve">51; see also </w:t>
      </w:r>
      <w:r w:rsidRPr="0014116C">
        <w:rPr>
          <w:rFonts w:cs="Times New Roman"/>
          <w:i/>
          <w:iCs/>
        </w:rPr>
        <w:t>PHS</w:t>
      </w:r>
      <w:r w:rsidRPr="0014116C">
        <w:rPr>
          <w:rFonts w:cs="Times New Roman"/>
        </w:rPr>
        <w:t xml:space="preserve">, at para. 114). In this sense, the focus of the s. 7 analysis is, at most, only “highly individualistic” when the legislature has not provided mechanisms that individualize the law’s effects (Stewart (2019), at p. 150; see also C. Fehr, “Rethinking the Instrumental Rationality Principles of Fundamental Justice” (2020), 58 </w:t>
      </w:r>
      <w:r w:rsidRPr="0014116C">
        <w:rPr>
          <w:rFonts w:cs="Times New Roman"/>
          <w:i/>
        </w:rPr>
        <w:t>Alta. L. Rev.</w:t>
      </w:r>
      <w:r w:rsidRPr="0014116C">
        <w:rPr>
          <w:rFonts w:cs="Times New Roman"/>
        </w:rPr>
        <w:t xml:space="preserve"> 133). However, as in </w:t>
      </w:r>
      <w:r w:rsidRPr="0014116C">
        <w:rPr>
          <w:rFonts w:cs="Times New Roman"/>
          <w:i/>
        </w:rPr>
        <w:t>PHS</w:t>
      </w:r>
      <w:r w:rsidRPr="0014116C">
        <w:rPr>
          <w:rFonts w:cs="Times New Roman"/>
        </w:rPr>
        <w:t xml:space="preserve">, the exemption mechanism must be responsive to the specific deprivation that is the subject of the </w:t>
      </w:r>
      <w:r w:rsidRPr="0014116C">
        <w:rPr>
          <w:rFonts w:cs="Times New Roman"/>
          <w:i/>
        </w:rPr>
        <w:t xml:space="preserve">Charter </w:t>
      </w:r>
      <w:r w:rsidRPr="0014116C">
        <w:rPr>
          <w:rFonts w:cs="Times New Roman"/>
        </w:rPr>
        <w:t xml:space="preserve">challenge. </w:t>
      </w:r>
    </w:p>
    <w:p w14:paraId="1F3B3FB1" w14:textId="77777777" w:rsidR="0014116C" w:rsidRPr="0014116C" w:rsidRDefault="0014116C" w:rsidP="0014116C">
      <w:pPr>
        <w:pStyle w:val="ParaNoNdepar-AltN"/>
        <w:rPr>
          <w:rFonts w:cs="Times New Roman"/>
        </w:rPr>
      </w:pPr>
      <w:r w:rsidRPr="0014116C">
        <w:rPr>
          <w:rFonts w:cs="Times New Roman"/>
        </w:rPr>
        <w:t xml:space="preserve">I note that the Court of Appeal viewed the availability of judicial review in the federal courts as a relevant safety valve. It is true that within the framework established by </w:t>
      </w:r>
      <w:r w:rsidRPr="0014116C">
        <w:rPr>
          <w:rFonts w:cs="Times New Roman"/>
          <w:i/>
          <w:iCs/>
        </w:rPr>
        <w:t>Canada (Minister of Citizenship and Immigration) v. Vavilov</w:t>
      </w:r>
      <w:r w:rsidRPr="0014116C">
        <w:rPr>
          <w:rFonts w:cs="Times New Roman"/>
        </w:rPr>
        <w:t>, 2019 SCC 65, [2019] 4 S.C.R. 653, and this Court’s broader administrative law jurisprudence, judicial review helps ensure that public authorities respect “legal limits, derived from the enabling statute itself, the common or civil law or the Constitution” (</w:t>
      </w:r>
      <w:r w:rsidRPr="0014116C">
        <w:rPr>
          <w:rFonts w:cs="Times New Roman"/>
          <w:i/>
          <w:iCs/>
        </w:rPr>
        <w:t>Dunsmuir v. New Brunswick</w:t>
      </w:r>
      <w:r w:rsidRPr="0014116C">
        <w:rPr>
          <w:rFonts w:cs="Times New Roman"/>
        </w:rPr>
        <w:t>, 2008 SCC 9, [2008] 1 S.C.R. 190, at para. 28). However, judicial review offers different relief than a statutory mechanism that prevents or cures defects that would arise from the isolated operation of a general rule. This is because legislatures can never entirely “shield administrative decision making from curial scrutiny” (</w:t>
      </w:r>
      <w:r w:rsidRPr="0014116C">
        <w:rPr>
          <w:rFonts w:cs="Times New Roman"/>
          <w:i/>
          <w:iCs/>
        </w:rPr>
        <w:t>Vavilov</w:t>
      </w:r>
      <w:r w:rsidRPr="0014116C">
        <w:rPr>
          <w:rFonts w:cs="Times New Roman"/>
        </w:rPr>
        <w:t>, at para. 24). The general availability of judicial review therefore cannot save otherwise unconstitutional legislation. For this reason, I consider it unhelpful to view judicial review as a form of “safety valve” or statutory safeguard.</w:t>
      </w:r>
    </w:p>
    <w:p w14:paraId="3F072279" w14:textId="77777777" w:rsidR="0014116C" w:rsidRPr="0014116C" w:rsidRDefault="0014116C" w:rsidP="0014116C">
      <w:pPr>
        <w:pStyle w:val="ParaNoNdepar-AltN"/>
        <w:tabs>
          <w:tab w:val="num" w:pos="1602"/>
        </w:tabs>
        <w:rPr>
          <w:rFonts w:cs="Times New Roman"/>
        </w:rPr>
      </w:pPr>
      <w:r w:rsidRPr="0014116C">
        <w:rPr>
          <w:rFonts w:cs="Times New Roman"/>
        </w:rPr>
        <w:t xml:space="preserve">In sum, preventative and curative provisions are both relevant in different ways to the appellants’ </w:t>
      </w:r>
      <w:r w:rsidRPr="0014116C">
        <w:rPr>
          <w:rFonts w:cs="Times New Roman"/>
          <w:i/>
          <w:iCs/>
        </w:rPr>
        <w:t xml:space="preserve">Charter </w:t>
      </w:r>
      <w:r w:rsidRPr="0014116C">
        <w:rPr>
          <w:rFonts w:cs="Times New Roman"/>
        </w:rPr>
        <w:t>claim. To assess a s. 7 breach, the presence of such mechanisms must be considered. However, the appellants did not need to target these provisions to constitute their challenge.</w:t>
      </w:r>
    </w:p>
    <w:p w14:paraId="0FC24624" w14:textId="77777777" w:rsidR="0014116C" w:rsidRPr="0014116C" w:rsidRDefault="0014116C" w:rsidP="0014116C">
      <w:pPr>
        <w:pStyle w:val="Title3LevelTitre3Niveau"/>
        <w:rPr>
          <w:rFonts w:cs="Times New Roman"/>
        </w:rPr>
      </w:pPr>
      <w:bookmarkStart w:id="146" w:name="_Toc131401531"/>
      <w:bookmarkStart w:id="147" w:name="_Toc133824199"/>
      <w:bookmarkStart w:id="148" w:name="_Toc134173691"/>
      <w:bookmarkStart w:id="149" w:name="_Toc136424919"/>
      <w:r w:rsidRPr="0014116C">
        <w:rPr>
          <w:rFonts w:cs="Times New Roman"/>
        </w:rPr>
        <w:t>The Relevance of Associated Administrative Conduct to the Section 7 Challenge</w:t>
      </w:r>
      <w:bookmarkEnd w:id="146"/>
      <w:bookmarkEnd w:id="147"/>
      <w:bookmarkEnd w:id="148"/>
      <w:bookmarkEnd w:id="149"/>
    </w:p>
    <w:p w14:paraId="2B097FD0" w14:textId="77777777" w:rsidR="0014116C" w:rsidRPr="0014116C" w:rsidRDefault="0014116C" w:rsidP="0014116C">
      <w:pPr>
        <w:pStyle w:val="ParaNoNdepar-AltN"/>
        <w:rPr>
          <w:rFonts w:cs="Times New Roman"/>
        </w:rPr>
      </w:pPr>
      <w:r w:rsidRPr="0014116C">
        <w:rPr>
          <w:rFonts w:cs="Times New Roman"/>
        </w:rPr>
        <w:t xml:space="preserve">I now turn to the question of whether the appellants were obliged to target administrative conduct rather that the legislation. The Court of Appeal said that “subsection 102(3) reviews and related administrative conduct”, which could have led to the revocation of the United States’ designation under the </w:t>
      </w:r>
      <w:r w:rsidRPr="0014116C">
        <w:rPr>
          <w:rFonts w:cs="Times New Roman"/>
          <w:i/>
          <w:iCs/>
        </w:rPr>
        <w:t>IRPR</w:t>
      </w:r>
      <w:r w:rsidRPr="0014116C">
        <w:rPr>
          <w:rFonts w:cs="Times New Roman"/>
        </w:rPr>
        <w:t xml:space="preserve">, was the proper focus of the challenge (para. 61). The appellants dispute this conclusion, submitting that whatever the result of the s. 102(3) reviews should have been, “the fact remains that the law on the books (s. 159.3 </w:t>
      </w:r>
      <w:r w:rsidRPr="0014116C">
        <w:rPr>
          <w:rFonts w:cs="Times New Roman"/>
          <w:i/>
          <w:iCs/>
        </w:rPr>
        <w:t>IRPR</w:t>
      </w:r>
      <w:r w:rsidRPr="0014116C">
        <w:rPr>
          <w:rFonts w:cs="Times New Roman"/>
        </w:rPr>
        <w:t xml:space="preserve">) is the cause of the </w:t>
      </w:r>
      <w:r w:rsidRPr="0014116C">
        <w:rPr>
          <w:rFonts w:cs="Times New Roman"/>
          <w:i/>
          <w:iCs/>
        </w:rPr>
        <w:t>Charter</w:t>
      </w:r>
      <w:r w:rsidRPr="0014116C">
        <w:rPr>
          <w:rFonts w:cs="Times New Roman"/>
        </w:rPr>
        <w:t xml:space="preserve"> breaches in issue and is therefore the proper object of </w:t>
      </w:r>
      <w:r w:rsidRPr="0014116C">
        <w:rPr>
          <w:rFonts w:cs="Times New Roman"/>
          <w:i/>
          <w:iCs/>
        </w:rPr>
        <w:t>Charter</w:t>
      </w:r>
      <w:r w:rsidRPr="0014116C">
        <w:rPr>
          <w:rFonts w:cs="Times New Roman"/>
        </w:rPr>
        <w:t xml:space="preserve"> scrutiny and s. 52 [of the </w:t>
      </w:r>
      <w:r w:rsidRPr="0014116C">
        <w:rPr>
          <w:rFonts w:cs="Times New Roman"/>
          <w:i/>
          <w:iCs/>
        </w:rPr>
        <w:t>Constitution Act, 1982</w:t>
      </w:r>
      <w:r w:rsidRPr="0014116C">
        <w:rPr>
          <w:rFonts w:cs="Times New Roman"/>
        </w:rPr>
        <w:t>] relief” (A.F., at para. 34).</w:t>
      </w:r>
    </w:p>
    <w:p w14:paraId="267912E6" w14:textId="77777777" w:rsidR="0014116C" w:rsidRPr="0014116C" w:rsidRDefault="0014116C" w:rsidP="0014116C">
      <w:pPr>
        <w:pStyle w:val="ParaNoNdepar-AltN"/>
        <w:tabs>
          <w:tab w:val="num" w:pos="1602"/>
        </w:tabs>
        <w:rPr>
          <w:rFonts w:cs="Times New Roman"/>
        </w:rPr>
      </w:pPr>
      <w:r w:rsidRPr="0014116C">
        <w:rPr>
          <w:rFonts w:cs="Times New Roman"/>
        </w:rPr>
        <w:t xml:space="preserve">I agree with the appellants that it was open to them to challenge s. 159.3 of the </w:t>
      </w:r>
      <w:r w:rsidRPr="0014116C">
        <w:rPr>
          <w:rFonts w:cs="Times New Roman"/>
          <w:i/>
          <w:iCs/>
        </w:rPr>
        <w:t>IRPR</w:t>
      </w:r>
      <w:r w:rsidRPr="0014116C">
        <w:rPr>
          <w:rFonts w:cs="Times New Roman"/>
        </w:rPr>
        <w:t xml:space="preserve">, rather than administrative conduct, and seek a declaration that the provision is of no force or effect because it is inconsistent with the </w:t>
      </w:r>
      <w:r w:rsidRPr="0014116C">
        <w:rPr>
          <w:rFonts w:cs="Times New Roman"/>
          <w:i/>
          <w:iCs/>
        </w:rPr>
        <w:t>Charter</w:t>
      </w:r>
      <w:r w:rsidRPr="0014116C">
        <w:rPr>
          <w:rFonts w:cs="Times New Roman"/>
        </w:rPr>
        <w:t xml:space="preserve">. While other avenues may have been available — such as challenging the conduct of the s. 102(3) reviews or seeking individual relief from adverse administrative decisions related to the s. 24, 25.1(1), 25.2(1) or 48(2) curative mechanisms — the appellants did not have to pursue these alternatives to properly constitute their </w:t>
      </w:r>
      <w:r w:rsidRPr="0014116C">
        <w:rPr>
          <w:rFonts w:cs="Times New Roman"/>
          <w:i/>
          <w:iCs/>
        </w:rPr>
        <w:t>Charter</w:t>
      </w:r>
      <w:r w:rsidRPr="0014116C">
        <w:rPr>
          <w:rFonts w:cs="Times New Roman"/>
        </w:rPr>
        <w:t xml:space="preserve"> claim. </w:t>
      </w:r>
    </w:p>
    <w:p w14:paraId="0DD6CE36" w14:textId="77777777" w:rsidR="0014116C" w:rsidRPr="0014116C" w:rsidRDefault="0014116C" w:rsidP="0014116C">
      <w:pPr>
        <w:pStyle w:val="ParaNoNdepar-AltN"/>
        <w:rPr>
          <w:rFonts w:cs="Times New Roman"/>
        </w:rPr>
      </w:pPr>
      <w:r w:rsidRPr="0014116C">
        <w:rPr>
          <w:rFonts w:cs="Times New Roman"/>
        </w:rPr>
        <w:t xml:space="preserve">To understand why the appellants were not obliged to target the s. 102(3) reviews, it is necessary to examine their role within the overall legislative scheme. The s. 102(3) reviews are not safety valves. Safety valves, as referred to in the ss. 7 and 12 </w:t>
      </w:r>
      <w:r w:rsidRPr="0014116C">
        <w:rPr>
          <w:rFonts w:cs="Times New Roman"/>
          <w:i/>
        </w:rPr>
        <w:t xml:space="preserve">Charter </w:t>
      </w:r>
      <w:r w:rsidRPr="0014116C">
        <w:rPr>
          <w:rFonts w:cs="Times New Roman"/>
        </w:rPr>
        <w:t>jurisprudence, typically mean discretionary exemptions or other curative mechanisms, rather than preventative provisions (</w:t>
      </w:r>
      <w:r w:rsidRPr="0014116C">
        <w:rPr>
          <w:rFonts w:cs="Times New Roman"/>
          <w:iCs/>
        </w:rPr>
        <w:t>e.g.</w:t>
      </w:r>
      <w:r w:rsidRPr="0014116C">
        <w:rPr>
          <w:rFonts w:cs="Times New Roman"/>
        </w:rPr>
        <w:t xml:space="preserve">, </w:t>
      </w:r>
      <w:r w:rsidRPr="0014116C">
        <w:rPr>
          <w:rFonts w:cs="Times New Roman"/>
          <w:i/>
          <w:iCs/>
        </w:rPr>
        <w:t>PHS</w:t>
      </w:r>
      <w:r w:rsidRPr="0014116C">
        <w:rPr>
          <w:rFonts w:cs="Times New Roman"/>
        </w:rPr>
        <w:t xml:space="preserve">, at para. 113; </w:t>
      </w:r>
      <w:r w:rsidRPr="0014116C">
        <w:rPr>
          <w:rFonts w:cs="Times New Roman"/>
          <w:i/>
          <w:iCs/>
        </w:rPr>
        <w:t>Chaoulli v. Quebec (Attorney General)</w:t>
      </w:r>
      <w:r w:rsidRPr="0014116C">
        <w:rPr>
          <w:rFonts w:cs="Times New Roman"/>
        </w:rPr>
        <w:t xml:space="preserve">, 2005 SCC 35, [2005] 1 S.C.R. 791, at para. 224, </w:t>
      </w:r>
      <w:r w:rsidRPr="0014116C">
        <w:rPr>
          <w:rFonts w:cs="Times New Roman"/>
          <w:iCs/>
        </w:rPr>
        <w:t>per</w:t>
      </w:r>
      <w:r w:rsidRPr="0014116C">
        <w:rPr>
          <w:rFonts w:cs="Times New Roman"/>
        </w:rPr>
        <w:t xml:space="preserve"> Binnie and LeBel JJ., dissenting; </w:t>
      </w:r>
      <w:r w:rsidRPr="0014116C">
        <w:rPr>
          <w:rFonts w:cs="Times New Roman"/>
          <w:i/>
          <w:iCs/>
        </w:rPr>
        <w:t>R. v. Lloyd</w:t>
      </w:r>
      <w:r w:rsidRPr="0014116C">
        <w:rPr>
          <w:rFonts w:cs="Times New Roman"/>
        </w:rPr>
        <w:t>, 2016 SCC 13, [2016] 1 S.C.R. 130, at para. 36, per McLachlin C.J.). The reviews do not play a curative role, as they do not make after-the-fact relief available on an individual basis. They are also distinct from targeted preventative measures, which preclude the application of a general rule, often through legislative exceptions.</w:t>
      </w:r>
    </w:p>
    <w:p w14:paraId="04B19A21" w14:textId="77777777" w:rsidR="0014116C" w:rsidRPr="0014116C" w:rsidRDefault="0014116C" w:rsidP="0014116C">
      <w:pPr>
        <w:pStyle w:val="ParaNoNdepar-AltN"/>
        <w:rPr>
          <w:rFonts w:cs="Times New Roman"/>
        </w:rPr>
      </w:pPr>
      <w:r w:rsidRPr="0014116C">
        <w:rPr>
          <w:rFonts w:cs="Times New Roman"/>
        </w:rPr>
        <w:t xml:space="preserve">Section 102(3) of the </w:t>
      </w:r>
      <w:r w:rsidRPr="0014116C">
        <w:rPr>
          <w:rFonts w:cs="Times New Roman"/>
          <w:i/>
          <w:iCs/>
        </w:rPr>
        <w:t>IRPA</w:t>
      </w:r>
      <w:r w:rsidRPr="0014116C">
        <w:rPr>
          <w:rFonts w:cs="Times New Roman"/>
        </w:rPr>
        <w:t xml:space="preserve"> requires the Governor in Council to ensure the continuing review of the s. 102(2) factors, such as the designated country’s human rights record. The reviews conducted to date have left the designation in place, which remains the legislative basis for the ineligibility of claims advanced by the individual appellants. While the administrative conduct that led to the designation being maintained may also be susceptible to constitutional challenge in its own right, the existence of this alternative does not insulate s. 159.3 of the </w:t>
      </w:r>
      <w:r w:rsidRPr="0014116C">
        <w:rPr>
          <w:rFonts w:cs="Times New Roman"/>
          <w:i/>
        </w:rPr>
        <w:t>IRPR</w:t>
      </w:r>
      <w:r w:rsidRPr="0014116C">
        <w:rPr>
          <w:rFonts w:cs="Times New Roman"/>
        </w:rPr>
        <w:t xml:space="preserve"> from </w:t>
      </w:r>
      <w:r w:rsidRPr="0014116C">
        <w:rPr>
          <w:rFonts w:cs="Times New Roman"/>
          <w:i/>
        </w:rPr>
        <w:t xml:space="preserve">Charter </w:t>
      </w:r>
      <w:r w:rsidRPr="0014116C">
        <w:rPr>
          <w:rFonts w:cs="Times New Roman"/>
        </w:rPr>
        <w:t xml:space="preserve">scrutiny. Similarly, while the appellants might also have challenged administrative decisions pertaining to the applicability of exceptions or the availability of exemptions, this does not preclude challenges to s. 159.3. </w:t>
      </w:r>
    </w:p>
    <w:p w14:paraId="2C72936B" w14:textId="77777777" w:rsidR="0014116C" w:rsidRPr="0014116C" w:rsidRDefault="0014116C" w:rsidP="0014116C">
      <w:pPr>
        <w:pStyle w:val="Title2LevelTitre2Niveau"/>
        <w:rPr>
          <w:rFonts w:cs="Times New Roman"/>
        </w:rPr>
      </w:pPr>
      <w:bookmarkStart w:id="150" w:name="_Toc130561073"/>
      <w:bookmarkStart w:id="151" w:name="_Toc127267672"/>
      <w:bookmarkStart w:id="152" w:name="_Toc130454490"/>
      <w:bookmarkStart w:id="153" w:name="_Toc131401532"/>
      <w:bookmarkStart w:id="154" w:name="_Toc133824200"/>
      <w:bookmarkStart w:id="155" w:name="_Toc134173692"/>
      <w:bookmarkStart w:id="156" w:name="_Toc136424920"/>
      <w:bookmarkEnd w:id="150"/>
      <w:r w:rsidRPr="0014116C">
        <w:rPr>
          <w:rFonts w:cs="Times New Roman"/>
        </w:rPr>
        <w:t>Engagement of Section 7 Interests</w:t>
      </w:r>
      <w:bookmarkEnd w:id="151"/>
      <w:bookmarkEnd w:id="152"/>
      <w:bookmarkEnd w:id="153"/>
      <w:bookmarkEnd w:id="154"/>
      <w:bookmarkEnd w:id="155"/>
      <w:bookmarkEnd w:id="156"/>
    </w:p>
    <w:p w14:paraId="428E48E3" w14:textId="77777777" w:rsidR="0014116C" w:rsidRPr="0014116C" w:rsidRDefault="0014116C" w:rsidP="0014116C">
      <w:pPr>
        <w:pStyle w:val="ParaNoNdepar-AltN"/>
        <w:rPr>
          <w:rFonts w:cs="Times New Roman"/>
        </w:rPr>
      </w:pPr>
      <w:r w:rsidRPr="0014116C">
        <w:rPr>
          <w:rFonts w:cs="Times New Roman"/>
        </w:rPr>
        <w:t xml:space="preserve">In light of the foregoing, the appellants’ challenge was properly constituted. I now turn to the substantive s. 7 </w:t>
      </w:r>
      <w:r w:rsidRPr="0014116C">
        <w:rPr>
          <w:rFonts w:cs="Times New Roman"/>
          <w:i/>
        </w:rPr>
        <w:t xml:space="preserve">Charter </w:t>
      </w:r>
      <w:r w:rsidRPr="0014116C">
        <w:rPr>
          <w:rFonts w:cs="Times New Roman"/>
        </w:rPr>
        <w:t xml:space="preserve">analysis. While the parties agree that s. 159.3 of the </w:t>
      </w:r>
      <w:r w:rsidRPr="0014116C">
        <w:rPr>
          <w:rFonts w:cs="Times New Roman"/>
          <w:i/>
          <w:iCs/>
        </w:rPr>
        <w:t xml:space="preserve">IRPR </w:t>
      </w:r>
      <w:r w:rsidRPr="0014116C">
        <w:rPr>
          <w:rFonts w:cs="Times New Roman"/>
        </w:rPr>
        <w:t>engages s. 7, they disagree on the particulars of each alleged deprivation and their causal connections to Canadian state action. The first stage of the s. 7 analysis makes clear that the Federal Court judge was right that s. 159.3 engages liberty and security of the person. But in my respectful view, she erred in her assessment of certain particulars.</w:t>
      </w:r>
    </w:p>
    <w:p w14:paraId="678EFE36" w14:textId="77777777" w:rsidR="0014116C" w:rsidRPr="0014116C" w:rsidRDefault="0014116C" w:rsidP="0014116C">
      <w:pPr>
        <w:pStyle w:val="ParaNoNdepar-AltN"/>
        <w:rPr>
          <w:rFonts w:cs="Times New Roman"/>
        </w:rPr>
      </w:pPr>
      <w:r w:rsidRPr="0014116C">
        <w:rPr>
          <w:rFonts w:cs="Times New Roman"/>
        </w:rPr>
        <w:t xml:space="preserve">The respondents rightly acknowledge that assessing the constitutional implications of effects that materialize in other countries does not amount to applying the </w:t>
      </w:r>
      <w:r w:rsidRPr="0014116C">
        <w:rPr>
          <w:rFonts w:cs="Times New Roman"/>
          <w:i/>
          <w:iCs/>
        </w:rPr>
        <w:t xml:space="preserve">Charter </w:t>
      </w:r>
      <w:r w:rsidRPr="0014116C">
        <w:rPr>
          <w:rFonts w:cs="Times New Roman"/>
        </w:rPr>
        <w:t xml:space="preserve">to foreign governments. Here, the challenge is directed at the legislative scheme, which is undoubtedly state action that attracts </w:t>
      </w:r>
      <w:r w:rsidRPr="0014116C">
        <w:rPr>
          <w:rFonts w:cs="Times New Roman"/>
          <w:i/>
          <w:iCs/>
        </w:rPr>
        <w:t xml:space="preserve">Charter </w:t>
      </w:r>
      <w:r w:rsidRPr="0014116C">
        <w:rPr>
          <w:rFonts w:cs="Times New Roman"/>
        </w:rPr>
        <w:t xml:space="preserve">scrutiny. </w:t>
      </w:r>
      <w:r w:rsidRPr="0014116C">
        <w:rPr>
          <w:rFonts w:cs="Times New Roman"/>
          <w:szCs w:val="24"/>
        </w:rPr>
        <w:t xml:space="preserve">There is no place in this analysis for assessing whether American laws, policies or actions themselves comply with the </w:t>
      </w:r>
      <w:r w:rsidRPr="0014116C">
        <w:rPr>
          <w:rFonts w:cs="Times New Roman"/>
          <w:i/>
          <w:iCs/>
          <w:szCs w:val="24"/>
        </w:rPr>
        <w:t>Charter</w:t>
      </w:r>
      <w:r w:rsidRPr="0014116C">
        <w:rPr>
          <w:rFonts w:cs="Times New Roman"/>
          <w:szCs w:val="24"/>
        </w:rPr>
        <w:t>. Canadian courts only consider deprivations</w:t>
      </w:r>
      <w:r w:rsidRPr="0014116C">
        <w:rPr>
          <w:rFonts w:cs="Times New Roman"/>
        </w:rPr>
        <w:t xml:space="preserve"> “effected by actors other than our government, if there is a sufficient causal connection between our government’s participation and the deprivation ultimately effected” (</w:t>
      </w:r>
      <w:r w:rsidRPr="0014116C">
        <w:rPr>
          <w:rFonts w:cs="Times New Roman"/>
          <w:i/>
          <w:iCs/>
        </w:rPr>
        <w:t>Suresh</w:t>
      </w:r>
      <w:r w:rsidRPr="0014116C">
        <w:rPr>
          <w:rFonts w:cs="Times New Roman"/>
        </w:rPr>
        <w:t>, at para. 54). Canada cannot “avoid the guarantee of fundamental justice merely because the deprivation in question would be effected by someone else’s hand” (</w:t>
      </w:r>
      <w:r w:rsidRPr="0014116C">
        <w:rPr>
          <w:rFonts w:cs="Times New Roman"/>
          <w:i/>
          <w:iCs/>
        </w:rPr>
        <w:t>ibid.</w:t>
      </w:r>
      <w:r w:rsidRPr="0014116C">
        <w:rPr>
          <w:rFonts w:cs="Times New Roman"/>
        </w:rPr>
        <w:t xml:space="preserve">; see also </w:t>
      </w:r>
      <w:r w:rsidRPr="0014116C">
        <w:rPr>
          <w:rFonts w:cs="Times New Roman"/>
          <w:i/>
          <w:iCs/>
        </w:rPr>
        <w:t>Canada v. Schmidt</w:t>
      </w:r>
      <w:r w:rsidRPr="0014116C">
        <w:rPr>
          <w:rFonts w:cs="Times New Roman"/>
        </w:rPr>
        <w:t xml:space="preserve">, [1987] 1 S.C.R. 500, at p. 522; </w:t>
      </w:r>
      <w:r w:rsidRPr="0014116C">
        <w:rPr>
          <w:rFonts w:cs="Times New Roman"/>
          <w:i/>
          <w:iCs/>
        </w:rPr>
        <w:t>United States v. Burns</w:t>
      </w:r>
      <w:r w:rsidRPr="0014116C">
        <w:rPr>
          <w:rFonts w:cs="Times New Roman"/>
        </w:rPr>
        <w:t>, 2001 SCC 7, [2001] 1 S.C.R. 283, at paras. 59</w:t>
      </w:r>
      <w:r w:rsidRPr="0014116C">
        <w:rPr>
          <w:rFonts w:cs="Times New Roman"/>
        </w:rPr>
        <w:noBreakHyphen/>
        <w:t xml:space="preserve">60; </w:t>
      </w:r>
      <w:r w:rsidRPr="0014116C">
        <w:rPr>
          <w:rFonts w:cs="Times New Roman"/>
          <w:i/>
          <w:iCs/>
        </w:rPr>
        <w:t>India v. Badesha</w:t>
      </w:r>
      <w:r w:rsidRPr="0014116C">
        <w:rPr>
          <w:rFonts w:cs="Times New Roman"/>
        </w:rPr>
        <w:t xml:space="preserve">, 2017 SCC 44, [2017] 2 S.C.R. 127, at para. 38). </w:t>
      </w:r>
      <w:r w:rsidRPr="0014116C">
        <w:rPr>
          <w:rFonts w:cs="Times New Roman"/>
          <w:szCs w:val="24"/>
        </w:rPr>
        <w:t>But the focus remains fixed on the Canadian legislative scheme and its effects.</w:t>
      </w:r>
    </w:p>
    <w:p w14:paraId="73BB3DF9" w14:textId="77777777" w:rsidR="0014116C" w:rsidRPr="0014116C" w:rsidRDefault="0014116C" w:rsidP="0014116C">
      <w:pPr>
        <w:pStyle w:val="Title3LevelTitre3Niveau"/>
        <w:rPr>
          <w:rFonts w:cs="Times New Roman"/>
        </w:rPr>
      </w:pPr>
      <w:bookmarkStart w:id="157" w:name="_Toc127267673"/>
      <w:bookmarkStart w:id="158" w:name="_Toc130454491"/>
      <w:bookmarkStart w:id="159" w:name="_Toc131401533"/>
      <w:bookmarkStart w:id="160" w:name="_Toc133824201"/>
      <w:bookmarkStart w:id="161" w:name="_Toc134173693"/>
      <w:bookmarkStart w:id="162" w:name="_Toc136424921"/>
      <w:r w:rsidRPr="0014116C">
        <w:rPr>
          <w:rFonts w:cs="Times New Roman"/>
        </w:rPr>
        <w:t>Effects Implicating Section 7 Interests</w:t>
      </w:r>
      <w:bookmarkEnd w:id="157"/>
      <w:bookmarkEnd w:id="158"/>
      <w:bookmarkEnd w:id="159"/>
      <w:bookmarkEnd w:id="160"/>
      <w:bookmarkEnd w:id="161"/>
      <w:bookmarkEnd w:id="162"/>
    </w:p>
    <w:p w14:paraId="714569EC" w14:textId="77777777" w:rsidR="0014116C" w:rsidRPr="0014116C" w:rsidRDefault="0014116C" w:rsidP="0014116C">
      <w:pPr>
        <w:pStyle w:val="ParaNoNdepar-AltN"/>
        <w:rPr>
          <w:rFonts w:cs="Times New Roman"/>
          <w:lang w:val="en-US"/>
        </w:rPr>
      </w:pPr>
      <w:r w:rsidRPr="0014116C">
        <w:rPr>
          <w:rFonts w:cs="Times New Roman"/>
        </w:rPr>
        <w:t xml:space="preserve">The appellants’ liberty and security of the person submissions focus on detention in the United States and the risks that claimants may be </w:t>
      </w:r>
      <w:r w:rsidRPr="0014116C">
        <w:rPr>
          <w:rFonts w:cs="Times New Roman"/>
          <w:i/>
          <w:iCs/>
        </w:rPr>
        <w:t xml:space="preserve">refouled </w:t>
      </w:r>
      <w:r w:rsidRPr="0014116C">
        <w:rPr>
          <w:rFonts w:cs="Times New Roman"/>
        </w:rPr>
        <w:t>to their countries of origin following their return to the United States. These arguments have both factual and legal aspects. Whether an alleged effect exists is a question of fact, while the scope of a s. 7 interest is a question of law. The standard of review for the factual questions on appeal is “palpable and overriding error” (</w:t>
      </w:r>
      <w:r w:rsidRPr="0014116C">
        <w:rPr>
          <w:rFonts w:cs="Times New Roman"/>
          <w:i/>
          <w:iCs/>
          <w:lang w:val="en-US"/>
        </w:rPr>
        <w:t>Housen v. Nikolaisen</w:t>
      </w:r>
      <w:r w:rsidRPr="0014116C">
        <w:rPr>
          <w:rFonts w:cs="Times New Roman"/>
          <w:lang w:val="en-US"/>
        </w:rPr>
        <w:t xml:space="preserve">, 2002 SCC 33, [2002] 2 S.C.R. 235, at para. 10; </w:t>
      </w:r>
      <w:r w:rsidRPr="0014116C">
        <w:rPr>
          <w:rFonts w:cs="Times New Roman"/>
          <w:i/>
          <w:iCs/>
          <w:lang w:val="en-US"/>
        </w:rPr>
        <w:t>Bedford</w:t>
      </w:r>
      <w:r w:rsidRPr="0014116C">
        <w:rPr>
          <w:rFonts w:cs="Times New Roman"/>
          <w:lang w:val="en-US"/>
        </w:rPr>
        <w:t xml:space="preserve">, at para. 56; </w:t>
      </w:r>
      <w:r w:rsidRPr="0014116C">
        <w:rPr>
          <w:rFonts w:cs="Times New Roman"/>
          <w:i/>
          <w:iCs/>
          <w:lang w:val="en-US"/>
        </w:rPr>
        <w:t>Carter</w:t>
      </w:r>
      <w:r w:rsidRPr="0014116C">
        <w:rPr>
          <w:rFonts w:cs="Times New Roman"/>
          <w:lang w:val="en-US"/>
        </w:rPr>
        <w:t>, at para. 109). The standard of review for the legal questions is correctness (</w:t>
      </w:r>
      <w:r w:rsidRPr="0014116C">
        <w:rPr>
          <w:rFonts w:cs="Times New Roman"/>
          <w:i/>
          <w:iCs/>
          <w:lang w:val="en-US"/>
        </w:rPr>
        <w:t>Housen</w:t>
      </w:r>
      <w:r w:rsidRPr="0014116C">
        <w:rPr>
          <w:rFonts w:cs="Times New Roman"/>
          <w:lang w:val="en-US"/>
        </w:rPr>
        <w:t xml:space="preserve">, at para. 8). </w:t>
      </w:r>
    </w:p>
    <w:p w14:paraId="0EFD754E" w14:textId="77777777" w:rsidR="0014116C" w:rsidRPr="0014116C" w:rsidRDefault="0014116C" w:rsidP="0014116C">
      <w:pPr>
        <w:pStyle w:val="Title4LevelTitre4Niveau"/>
        <w:rPr>
          <w:rFonts w:cs="Times New Roman"/>
        </w:rPr>
      </w:pPr>
      <w:r w:rsidRPr="0014116C">
        <w:rPr>
          <w:rFonts w:cs="Times New Roman"/>
        </w:rPr>
        <w:t>Detention in the United States</w:t>
      </w:r>
    </w:p>
    <w:p w14:paraId="2C89DA79" w14:textId="77777777" w:rsidR="0014116C" w:rsidRPr="0014116C" w:rsidRDefault="0014116C" w:rsidP="0014116C">
      <w:pPr>
        <w:pStyle w:val="ParaNoNdepar-AltN"/>
        <w:rPr>
          <w:rFonts w:cs="Times New Roman"/>
        </w:rPr>
      </w:pPr>
      <w:r w:rsidRPr="0014116C">
        <w:rPr>
          <w:rFonts w:cs="Times New Roman"/>
        </w:rPr>
        <w:t xml:space="preserve">The appellants argue that all returnees face a risk of detention in the United States. They allege that this risk is especially pressing for individuals without status there and that those under a removal order are certain to be detained. Further, they claim that the Federal Court judge’s findings did not turn on her references to “automatic” detention. In any event, “automatic” refers to detention that is imposed without consideration, as a mechanistic or reflexive result and, as such, is not an error. </w:t>
      </w:r>
    </w:p>
    <w:p w14:paraId="3F8F2315" w14:textId="77777777" w:rsidR="0014116C" w:rsidRPr="0014116C" w:rsidRDefault="0014116C" w:rsidP="0014116C">
      <w:pPr>
        <w:pStyle w:val="ParaNoNdepar-AltN"/>
        <w:rPr>
          <w:rFonts w:cs="Times New Roman"/>
        </w:rPr>
      </w:pPr>
      <w:r w:rsidRPr="0014116C">
        <w:rPr>
          <w:rFonts w:cs="Times New Roman"/>
        </w:rPr>
        <w:t>With respect, the Federal Court judge’s references to “automatic” detention were erroneous. The evidence shows that detention is not automatic and returnees’ risks of detention vary on a case-by-case basis. In my view, this palpable error overwhelmed the Federal Court judge’s conclusions on detention. I agree with the respondents and the Court of Appeal that detention is not automatic, in the sense that it is not universally applied: for the broad class comprising all returnees, the “highest possible finding on this record is that returnees to the United States are exposed to a risk of discretionary detention . . . [as] returnees who are detained in the United States can seek release and release is often granted, either on bond or without” (C.A. reasons, at paras. 140</w:t>
      </w:r>
      <w:r w:rsidRPr="0014116C">
        <w:rPr>
          <w:rFonts w:cs="Times New Roman"/>
        </w:rPr>
        <w:noBreakHyphen/>
        <w:t xml:space="preserve">41). </w:t>
      </w:r>
    </w:p>
    <w:p w14:paraId="7141AF46" w14:textId="77777777" w:rsidR="0014116C" w:rsidRPr="0014116C" w:rsidRDefault="0014116C" w:rsidP="0014116C">
      <w:pPr>
        <w:pStyle w:val="ParaNoNdepar-AltN"/>
        <w:rPr>
          <w:rFonts w:cs="Times New Roman"/>
        </w:rPr>
      </w:pPr>
      <w:r w:rsidRPr="0014116C">
        <w:rPr>
          <w:rFonts w:cs="Times New Roman"/>
        </w:rPr>
        <w:t>It is true that the respondents’ expert acknowledged that there are certain categories of individuals for whom detention is automatic or mandatory: those whom American law defines as arriving or criminal aliens; individuals subject to a final removal order; and suspected terrorists (Affidavit of Stephen Yale</w:t>
      </w:r>
      <w:r w:rsidRPr="0014116C">
        <w:rPr>
          <w:rFonts w:cs="Times New Roman"/>
        </w:rPr>
        <w:noBreakHyphen/>
        <w:t>Loehr, at paras. 135</w:t>
      </w:r>
      <w:r w:rsidRPr="0014116C">
        <w:rPr>
          <w:rFonts w:cs="Times New Roman"/>
        </w:rPr>
        <w:noBreakHyphen/>
        <w:t>41, reproduced in A.R., vol. XLVII, at pp. 20144</w:t>
      </w:r>
      <w:r w:rsidRPr="0014116C">
        <w:rPr>
          <w:rFonts w:cs="Times New Roman"/>
        </w:rPr>
        <w:noBreakHyphen/>
        <w:t xml:space="preserve">45). But the record does not demonstrate that these categories apply to those returned pursuant to the </w:t>
      </w:r>
      <w:r w:rsidRPr="0014116C">
        <w:rPr>
          <w:rFonts w:cs="Times New Roman"/>
          <w:i/>
          <w:iCs/>
        </w:rPr>
        <w:t>Safe Third Country Agreement</w:t>
      </w:r>
      <w:r w:rsidRPr="0014116C">
        <w:rPr>
          <w:rFonts w:cs="Times New Roman"/>
        </w:rPr>
        <w:t>. For other categories of non</w:t>
      </w:r>
      <w:r w:rsidRPr="0014116C">
        <w:rPr>
          <w:rFonts w:cs="Times New Roman"/>
        </w:rPr>
        <w:noBreakHyphen/>
        <w:t>citizens, the appellants did not seriously dispute that detention is discretionary and subject to the possibility of release (</w:t>
      </w:r>
      <w:r w:rsidRPr="0014116C">
        <w:rPr>
          <w:rFonts w:cs="Times New Roman"/>
          <w:i/>
        </w:rPr>
        <w:t>ibid.</w:t>
      </w:r>
      <w:r w:rsidRPr="0014116C">
        <w:rPr>
          <w:rFonts w:cs="Times New Roman"/>
        </w:rPr>
        <w:t>, at paras. 131</w:t>
      </w:r>
      <w:r w:rsidRPr="0014116C">
        <w:rPr>
          <w:rFonts w:cs="Times New Roman"/>
        </w:rPr>
        <w:noBreakHyphen/>
        <w:t>34; Cross-examination of Anwen Hughes, questions 143</w:t>
      </w:r>
      <w:r w:rsidRPr="0014116C">
        <w:rPr>
          <w:rFonts w:cs="Times New Roman"/>
        </w:rPr>
        <w:noBreakHyphen/>
        <w:t>49, reproduced in A.R., vol. XXVII, at pp. 11291</w:t>
      </w:r>
      <w:r w:rsidRPr="0014116C">
        <w:rPr>
          <w:rFonts w:cs="Times New Roman"/>
        </w:rPr>
        <w:noBreakHyphen/>
        <w:t>92). Indeed, Ms. Mustefa and all of the anonymized affiants who answered written cross</w:t>
      </w:r>
      <w:r w:rsidRPr="0014116C">
        <w:rPr>
          <w:rFonts w:cs="Times New Roman"/>
        </w:rPr>
        <w:noBreakHyphen/>
        <w:t>examinations were offered release on bond, and all but one were released. The record also suggests that other alternatives to detention are available (Affidavit of Yale</w:t>
      </w:r>
      <w:r w:rsidRPr="0014116C">
        <w:rPr>
          <w:rFonts w:cs="Times New Roman"/>
        </w:rPr>
        <w:noBreakHyphen/>
        <w:t>Loehr, at paras. 159</w:t>
      </w:r>
      <w:r w:rsidRPr="0014116C">
        <w:rPr>
          <w:rFonts w:cs="Times New Roman"/>
        </w:rPr>
        <w:noBreakHyphen/>
        <w:t xml:space="preserve">62). Thus, the evidence does not support the Federal Court judge’s finding that detention is “automatic”, in the ordinary sense of the word. </w:t>
      </w:r>
    </w:p>
    <w:p w14:paraId="7FEDF7AD" w14:textId="77777777" w:rsidR="0014116C" w:rsidRPr="0014116C" w:rsidRDefault="0014116C" w:rsidP="0014116C">
      <w:pPr>
        <w:pStyle w:val="ParaNoNdepar-AltN"/>
        <w:tabs>
          <w:tab w:val="clear" w:pos="1166"/>
          <w:tab w:val="num" w:pos="1152"/>
        </w:tabs>
        <w:rPr>
          <w:rFonts w:cs="Times New Roman"/>
        </w:rPr>
      </w:pPr>
      <w:r w:rsidRPr="0014116C">
        <w:rPr>
          <w:rFonts w:cs="Times New Roman"/>
        </w:rPr>
        <w:t>While returnees do not face automatic detention in the United States, the risk of detention remains an effect that engages liberty. This Court has repeatedly held that “liberty” encompasses freedom from detention, imprisonment and the threat thereof (</w:t>
      </w:r>
      <w:r w:rsidRPr="0014116C">
        <w:rPr>
          <w:rFonts w:cs="Times New Roman"/>
          <w:i/>
          <w:iCs/>
        </w:rPr>
        <w:t>R. v. Vaillancourt</w:t>
      </w:r>
      <w:r w:rsidRPr="0014116C">
        <w:rPr>
          <w:rFonts w:cs="Times New Roman"/>
        </w:rPr>
        <w:t xml:space="preserve">, [1987] 2 S.C.R. 636, at p. 652; </w:t>
      </w:r>
      <w:r w:rsidRPr="0014116C">
        <w:rPr>
          <w:rFonts w:cs="Times New Roman"/>
          <w:i/>
          <w:iCs/>
        </w:rPr>
        <w:t>R. v. Swain</w:t>
      </w:r>
      <w:r w:rsidRPr="0014116C">
        <w:rPr>
          <w:rFonts w:cs="Times New Roman"/>
        </w:rPr>
        <w:t xml:space="preserve">, [1991] 1 S.C.R. 933, at p. 969; </w:t>
      </w:r>
      <w:r w:rsidRPr="0014116C">
        <w:rPr>
          <w:rFonts w:cs="Times New Roman"/>
          <w:i/>
          <w:iCs/>
        </w:rPr>
        <w:t>Winko v. British Columbia (Forensic Psychiatric Institute)</w:t>
      </w:r>
      <w:r w:rsidRPr="0014116C">
        <w:rPr>
          <w:rFonts w:cs="Times New Roman"/>
        </w:rPr>
        <w:t xml:space="preserve">, [1999] 2 S.C.R. 625, at para. 64; </w:t>
      </w:r>
      <w:r w:rsidRPr="0014116C">
        <w:rPr>
          <w:rFonts w:cs="Times New Roman"/>
          <w:i/>
          <w:iCs/>
        </w:rPr>
        <w:t>R. v. Demers</w:t>
      </w:r>
      <w:r w:rsidRPr="0014116C">
        <w:rPr>
          <w:rFonts w:cs="Times New Roman"/>
        </w:rPr>
        <w:t xml:space="preserve">, 2004 SCC 46, [2004] 2 S.C.R. 489, at para. 30). Thus, because the question at the engagement stage is simply whether the appellants have demonstrated an effect within the scope of s. 7, a risk of detention suffices. </w:t>
      </w:r>
    </w:p>
    <w:p w14:paraId="6743B3BD" w14:textId="77777777" w:rsidR="0014116C" w:rsidRPr="0014116C" w:rsidRDefault="0014116C" w:rsidP="0014116C">
      <w:pPr>
        <w:pStyle w:val="Title4LevelTitre4Niveau"/>
        <w:rPr>
          <w:rFonts w:cs="Times New Roman"/>
        </w:rPr>
      </w:pPr>
      <w:r w:rsidRPr="0014116C">
        <w:rPr>
          <w:rFonts w:cs="Times New Roman"/>
        </w:rPr>
        <w:t>Conditions While Detained in the United States</w:t>
      </w:r>
    </w:p>
    <w:p w14:paraId="2B53384C" w14:textId="77777777" w:rsidR="0014116C" w:rsidRPr="0014116C" w:rsidRDefault="0014116C" w:rsidP="0014116C">
      <w:pPr>
        <w:pStyle w:val="ParaNoNdepar-AltN"/>
        <w:rPr>
          <w:rFonts w:cs="Times New Roman"/>
        </w:rPr>
      </w:pPr>
      <w:r w:rsidRPr="0014116C">
        <w:rPr>
          <w:rFonts w:cs="Times New Roman"/>
        </w:rPr>
        <w:t>The appellants also argue that conditions of detention in the United States implicate the security of the person interest, as the Federal Court judge held. To be sure, security of the person protects against physical punishment or suffering and the threat thereof (</w:t>
      </w:r>
      <w:r w:rsidRPr="0014116C">
        <w:rPr>
          <w:rFonts w:cs="Times New Roman"/>
          <w:i/>
          <w:iCs/>
        </w:rPr>
        <w:t>Singh v. Minister of Employment and Immigration</w:t>
      </w:r>
      <w:r w:rsidRPr="0014116C">
        <w:rPr>
          <w:rFonts w:cs="Times New Roman"/>
        </w:rPr>
        <w:t xml:space="preserve">, [1985] 1 S.C.R. 177, at p. 207; </w:t>
      </w:r>
      <w:r w:rsidRPr="0014116C">
        <w:rPr>
          <w:rFonts w:cs="Times New Roman"/>
          <w:i/>
          <w:iCs/>
        </w:rPr>
        <w:t>Suresh</w:t>
      </w:r>
      <w:r w:rsidRPr="0014116C">
        <w:rPr>
          <w:rFonts w:cs="Times New Roman"/>
        </w:rPr>
        <w:t>, at paras. 53</w:t>
      </w:r>
      <w:r w:rsidRPr="0014116C">
        <w:rPr>
          <w:rFonts w:cs="Times New Roman"/>
        </w:rPr>
        <w:noBreakHyphen/>
        <w:t>55). It also protects against serious and profound state-imposed psychological stress (</w:t>
      </w:r>
      <w:r w:rsidRPr="0014116C">
        <w:rPr>
          <w:rFonts w:cs="Times New Roman"/>
          <w:i/>
          <w:iCs/>
        </w:rPr>
        <w:t>New Brunswick (Minister of Health and Community Services) v. G. (J.)</w:t>
      </w:r>
      <w:r w:rsidRPr="0014116C">
        <w:rPr>
          <w:rFonts w:cs="Times New Roman"/>
        </w:rPr>
        <w:t xml:space="preserve">, [1999] 3 S.C.R. 46, at para. 60). The respondents have failed to show reversible errors in the Federal Court judge’s determination that the conditions of detention fall, in certain respects, within the scope of the security of the person interest. </w:t>
      </w:r>
    </w:p>
    <w:p w14:paraId="32A37EE5" w14:textId="77777777" w:rsidR="0014116C" w:rsidRPr="0014116C" w:rsidRDefault="0014116C" w:rsidP="0014116C">
      <w:pPr>
        <w:pStyle w:val="ParaNoNdepar-AltN"/>
        <w:rPr>
          <w:rFonts w:cs="Times New Roman"/>
        </w:rPr>
      </w:pPr>
      <w:r w:rsidRPr="0014116C">
        <w:rPr>
          <w:rFonts w:cs="Times New Roman"/>
        </w:rPr>
        <w:t>First, the Federal Court judge found that the “use of solitary confinement” raised the security of the person interest (para. 110). Ms. Mustefa and one of the anonymized affiants stated that they were isolated pending the results of tuberculosis tests. The Federal Court judge’s heavy reliance on this evidence suggests that she reached her conclusion on solitary confinement with respect to its uses for this public health purpose. Thus, as I understand her finding, she concluded that isolation is used while some returnees are awaiting tuberculosis testing. This finding discloses no reviewable error. I have no hesitation in concluding that the use of medical isolation presents a risk of serious physical and psychological suffering, as do other forms of “solitary confinement”. Whether these risks accord with the principles of fundamental justice, or are otherwise justified, is not the question at this stage.</w:t>
      </w:r>
    </w:p>
    <w:p w14:paraId="4547F560" w14:textId="77777777" w:rsidR="0014116C" w:rsidRPr="0014116C" w:rsidRDefault="0014116C" w:rsidP="0014116C">
      <w:pPr>
        <w:pStyle w:val="ParaNoNdepar-AltN"/>
        <w:rPr>
          <w:rFonts w:cs="Times New Roman"/>
        </w:rPr>
      </w:pPr>
      <w:r w:rsidRPr="0014116C">
        <w:rPr>
          <w:rFonts w:cs="Times New Roman"/>
        </w:rPr>
        <w:t>Second, the Federal Court judge also accepted evidence that certain detention centres were “abnormally cold” (para. 111). She relied, in support of this conclusion, on four affiants who had themselves experienced cold conditions in detention. Ms. Mustefa says that her detention facility was “freezing cold” and that, during the day, she had to put socks over her hands and arms to stay warm, while curled up under a towel. I see no reversible error in the conclusion that this level of cold could cause physical suffering, which engages security of the person.</w:t>
      </w:r>
    </w:p>
    <w:p w14:paraId="749D4A13" w14:textId="77777777" w:rsidR="0014116C" w:rsidRPr="0014116C" w:rsidRDefault="0014116C" w:rsidP="0014116C">
      <w:pPr>
        <w:pStyle w:val="ParaNoNdepar-AltN"/>
        <w:rPr>
          <w:rFonts w:cs="Times New Roman"/>
        </w:rPr>
      </w:pPr>
      <w:r w:rsidRPr="0014116C">
        <w:rPr>
          <w:rFonts w:cs="Times New Roman"/>
        </w:rPr>
        <w:t>Third, the Federal Court judge concluded that the medical care provided in the detention facilities was inadequate in certain respects (para. 112). For instance, she noted evidence that medical staff would ignore Black detainees while addressing White detainees’ medical issues (</w:t>
      </w:r>
      <w:r w:rsidRPr="0014116C">
        <w:rPr>
          <w:rFonts w:cs="Times New Roman"/>
          <w:i/>
        </w:rPr>
        <w:t>ibid.</w:t>
      </w:r>
      <w:r w:rsidRPr="0014116C">
        <w:rPr>
          <w:rFonts w:cs="Times New Roman"/>
        </w:rPr>
        <w:t xml:space="preserve">). No reversible error has been shown in her factual findings on inadequacies in medical care, nor in her conclusion that these effects fall within the scope of the security of the person interest (para. 114). </w:t>
      </w:r>
    </w:p>
    <w:p w14:paraId="512FB1D0" w14:textId="77777777" w:rsidR="0014116C" w:rsidRPr="0014116C" w:rsidRDefault="0014116C" w:rsidP="0014116C">
      <w:pPr>
        <w:pStyle w:val="ParaNoNdepar-AltN"/>
        <w:rPr>
          <w:rFonts w:cs="Times New Roman"/>
        </w:rPr>
      </w:pPr>
      <w:r w:rsidRPr="0014116C">
        <w:rPr>
          <w:rFonts w:cs="Times New Roman"/>
        </w:rPr>
        <w:t xml:space="preserve">Fourth, the Federal Court judge noted two other portions of Ms. Mustefa’s affidavit. In particular, Ms. Mustefa said that while detained in the United States, her religious dietary restrictions were not respected and she was held alongside individuals who had been criminally convicted (para. 96). The appellants reference these forms of treatment, even though the Federal Court judge did not rely on them in her analysis of whether security of the person was engaged. I would hesitate to conclude, absent clear findings below, that this treatment falls within the scope of security of the person. However, as will become plain, even taking the appellants’ case on this point at its highest, I would find no breach of s. 7 on this basis. </w:t>
      </w:r>
    </w:p>
    <w:p w14:paraId="2DC55C98" w14:textId="77777777" w:rsidR="0014116C" w:rsidRPr="0014116C" w:rsidRDefault="0014116C" w:rsidP="0014116C">
      <w:pPr>
        <w:pStyle w:val="Title4LevelTitre4Niveau"/>
        <w:rPr>
          <w:rFonts w:cs="Times New Roman"/>
        </w:rPr>
      </w:pPr>
      <w:r w:rsidRPr="0014116C">
        <w:rPr>
          <w:rFonts w:cs="Times New Roman"/>
        </w:rPr>
        <w:t>Risks of Refoulement From the United States</w:t>
      </w:r>
    </w:p>
    <w:p w14:paraId="077DF981" w14:textId="77777777" w:rsidR="0014116C" w:rsidRPr="0014116C" w:rsidRDefault="0014116C" w:rsidP="0014116C">
      <w:pPr>
        <w:pStyle w:val="ParaNoNdepar-AltN"/>
        <w:rPr>
          <w:rFonts w:cs="Times New Roman"/>
        </w:rPr>
      </w:pPr>
      <w:r w:rsidRPr="0014116C">
        <w:rPr>
          <w:rFonts w:cs="Times New Roman"/>
        </w:rPr>
        <w:t xml:space="preserve">The appellants also argue that returnees are at a real and not speculative risk of being </w:t>
      </w:r>
      <w:r w:rsidRPr="0014116C">
        <w:rPr>
          <w:rFonts w:cs="Times New Roman"/>
          <w:i/>
          <w:iCs/>
        </w:rPr>
        <w:t xml:space="preserve">refouled </w:t>
      </w:r>
      <w:r w:rsidRPr="0014116C">
        <w:rPr>
          <w:rFonts w:cs="Times New Roman"/>
        </w:rPr>
        <w:t xml:space="preserve">from the United States to their countries of origin, as the Federal Court judge held. Returning individuals to the United States does not itself constitute </w:t>
      </w:r>
      <w:r w:rsidRPr="0014116C">
        <w:rPr>
          <w:rFonts w:cs="Times New Roman"/>
          <w:i/>
        </w:rPr>
        <w:t>refoulement</w:t>
      </w:r>
      <w:r w:rsidRPr="0014116C">
        <w:rPr>
          <w:rFonts w:cs="Times New Roman"/>
        </w:rPr>
        <w:t xml:space="preserve">, nor does the United States returning individuals to their countries of origin if the relevant international obligations are respected. Rather, the concern is that the United States may be returning individuals contrary to those obligations, thereby making Canada a participant in indirect </w:t>
      </w:r>
      <w:r w:rsidRPr="0014116C">
        <w:rPr>
          <w:rFonts w:cs="Times New Roman"/>
          <w:i/>
        </w:rPr>
        <w:t>refoulement</w:t>
      </w:r>
      <w:r w:rsidRPr="0014116C">
        <w:rPr>
          <w:rFonts w:cs="Times New Roman"/>
        </w:rPr>
        <w:t xml:space="preserve"> when it returns refugee claimants to the United States. The appellants</w:t>
      </w:r>
      <w:r w:rsidRPr="0014116C" w:rsidDel="00642B93">
        <w:rPr>
          <w:rFonts w:cs="Times New Roman"/>
        </w:rPr>
        <w:t xml:space="preserve"> </w:t>
      </w:r>
      <w:r w:rsidRPr="0014116C">
        <w:rPr>
          <w:rFonts w:cs="Times New Roman"/>
        </w:rPr>
        <w:t xml:space="preserve">claim that this risk implicates security of the person. There is no question that a risk of </w:t>
      </w:r>
      <w:r w:rsidRPr="0014116C">
        <w:rPr>
          <w:rFonts w:cs="Times New Roman"/>
          <w:i/>
          <w:iCs/>
        </w:rPr>
        <w:t xml:space="preserve">refoulement </w:t>
      </w:r>
      <w:r w:rsidRPr="0014116C">
        <w:rPr>
          <w:rFonts w:cs="Times New Roman"/>
        </w:rPr>
        <w:t xml:space="preserve">— whether directly from Canada or indirectly after return to a third country — falls within the scope of the security of the person interest. This Court has noted that the </w:t>
      </w:r>
      <w:r w:rsidRPr="0014116C">
        <w:rPr>
          <w:rFonts w:cs="Times New Roman"/>
          <w:i/>
        </w:rPr>
        <w:t>non-refoulement</w:t>
      </w:r>
      <w:r w:rsidRPr="0014116C">
        <w:rPr>
          <w:rFonts w:cs="Times New Roman"/>
        </w:rPr>
        <w:t xml:space="preserve"> principle is “the cornerstone of the international refugee protection regime” (</w:t>
      </w:r>
      <w:r w:rsidRPr="0014116C">
        <w:rPr>
          <w:rFonts w:cs="Times New Roman"/>
          <w:i/>
        </w:rPr>
        <w:t>Németh v. Canada (Justice)</w:t>
      </w:r>
      <w:r w:rsidRPr="0014116C">
        <w:rPr>
          <w:rFonts w:cs="Times New Roman"/>
        </w:rPr>
        <w:t xml:space="preserve">, 2010 SCC 56, [2010] 3 S.C.R. 281, at para. 18). By definition, </w:t>
      </w:r>
      <w:r w:rsidRPr="0014116C">
        <w:rPr>
          <w:rFonts w:cs="Times New Roman"/>
          <w:i/>
          <w:iCs/>
        </w:rPr>
        <w:t xml:space="preserve">refoulement </w:t>
      </w:r>
      <w:r w:rsidRPr="0014116C">
        <w:rPr>
          <w:rFonts w:cs="Times New Roman"/>
        </w:rPr>
        <w:t>exposes individuals to threats to their life or freedom (</w:t>
      </w:r>
      <w:r w:rsidRPr="0014116C">
        <w:rPr>
          <w:rFonts w:cs="Times New Roman"/>
          <w:i/>
          <w:iCs/>
        </w:rPr>
        <w:t>Refugee Convention</w:t>
      </w:r>
      <w:r w:rsidRPr="0014116C">
        <w:rPr>
          <w:rFonts w:cs="Times New Roman"/>
        </w:rPr>
        <w:t>, Article 33), torture (</w:t>
      </w:r>
      <w:r w:rsidRPr="0014116C">
        <w:rPr>
          <w:rFonts w:cs="Times New Roman"/>
          <w:i/>
          <w:iCs/>
        </w:rPr>
        <w:t>Convention against Torture and other Cruel, Inhuman or Degrading Treatment or Punishment</w:t>
      </w:r>
      <w:r w:rsidRPr="0014116C">
        <w:rPr>
          <w:rFonts w:cs="Times New Roman"/>
        </w:rPr>
        <w:t xml:space="preserve">, Can. T.S. 1987 No. 36, Article 3) or other serious human rights violations. It is because these potential consequences are so grave that this Court in </w:t>
      </w:r>
      <w:r w:rsidRPr="0014116C">
        <w:rPr>
          <w:rFonts w:cs="Times New Roman"/>
          <w:i/>
          <w:iCs/>
        </w:rPr>
        <w:t>Singh</w:t>
      </w:r>
      <w:r w:rsidRPr="0014116C">
        <w:rPr>
          <w:rFonts w:cs="Times New Roman"/>
        </w:rPr>
        <w:t xml:space="preserve"> considered it “unthinkable” that </w:t>
      </w:r>
      <w:r w:rsidRPr="0014116C">
        <w:rPr>
          <w:rFonts w:cs="Times New Roman"/>
          <w:i/>
          <w:iCs/>
        </w:rPr>
        <w:t>refoulement</w:t>
      </w:r>
      <w:r w:rsidRPr="0014116C">
        <w:rPr>
          <w:rFonts w:cs="Times New Roman"/>
        </w:rPr>
        <w:t xml:space="preserve"> would fall outside the scope of s. 7’s protections (p. 210). </w:t>
      </w:r>
    </w:p>
    <w:p w14:paraId="06D98BE1" w14:textId="77777777" w:rsidR="0014116C" w:rsidRPr="0014116C" w:rsidRDefault="0014116C" w:rsidP="0014116C">
      <w:pPr>
        <w:pStyle w:val="ParaNoNdepar-AltN"/>
        <w:rPr>
          <w:rFonts w:cs="Times New Roman"/>
        </w:rPr>
      </w:pPr>
      <w:r w:rsidRPr="0014116C">
        <w:rPr>
          <w:rFonts w:cs="Times New Roman"/>
        </w:rPr>
        <w:t xml:space="preserve">In this case, the more difficult question at the s. 7 engagement stage is the factual one: whether the Federal Court judge erred in concluding that a real and not speculative risk of </w:t>
      </w:r>
      <w:r w:rsidRPr="0014116C">
        <w:rPr>
          <w:rFonts w:cs="Times New Roman"/>
          <w:i/>
          <w:iCs/>
        </w:rPr>
        <w:t>refoulement</w:t>
      </w:r>
      <w:r w:rsidRPr="0014116C">
        <w:rPr>
          <w:rFonts w:cs="Times New Roman"/>
        </w:rPr>
        <w:t xml:space="preserve"> from the United States exists.</w:t>
      </w:r>
      <w:r w:rsidRPr="0014116C">
        <w:rPr>
          <w:rFonts w:cs="Times New Roman"/>
          <w:i/>
          <w:iCs/>
        </w:rPr>
        <w:t xml:space="preserve"> </w:t>
      </w:r>
      <w:r w:rsidRPr="0014116C">
        <w:rPr>
          <w:rFonts w:cs="Times New Roman"/>
        </w:rPr>
        <w:t>As I will explain, so said most respectfully, the Federal Court judge made reviewable errors on this point.</w:t>
      </w:r>
    </w:p>
    <w:p w14:paraId="62D7EB30" w14:textId="77777777" w:rsidR="0014116C" w:rsidRPr="0014116C" w:rsidRDefault="0014116C" w:rsidP="0014116C">
      <w:pPr>
        <w:pStyle w:val="Title5LevelTitre5Niveau"/>
        <w:rPr>
          <w:rFonts w:cs="Times New Roman"/>
        </w:rPr>
      </w:pPr>
      <w:r w:rsidRPr="0014116C">
        <w:rPr>
          <w:rFonts w:cs="Times New Roman"/>
          <w:i/>
          <w:iCs/>
        </w:rPr>
        <w:t>Refoulement</w:t>
      </w:r>
      <w:r w:rsidRPr="0014116C">
        <w:rPr>
          <w:rFonts w:cs="Times New Roman"/>
        </w:rPr>
        <w:t xml:space="preserve"> Because of Barriers Caused by Detention Conditions</w:t>
      </w:r>
    </w:p>
    <w:p w14:paraId="10666FF9" w14:textId="77777777" w:rsidR="0014116C" w:rsidRPr="0014116C" w:rsidRDefault="0014116C" w:rsidP="0014116C">
      <w:pPr>
        <w:pStyle w:val="ParaNoNdepar-AltN"/>
        <w:rPr>
          <w:rFonts w:cs="Times New Roman"/>
        </w:rPr>
      </w:pPr>
      <w:r w:rsidRPr="0014116C">
        <w:rPr>
          <w:rFonts w:cs="Times New Roman"/>
        </w:rPr>
        <w:t xml:space="preserve">The appellants argue that the Federal Court judge was right to find that a risk of </w:t>
      </w:r>
      <w:r w:rsidRPr="0014116C">
        <w:rPr>
          <w:rFonts w:cs="Times New Roman"/>
          <w:i/>
          <w:iCs/>
        </w:rPr>
        <w:t xml:space="preserve">refoulement </w:t>
      </w:r>
      <w:r w:rsidRPr="0014116C">
        <w:rPr>
          <w:rFonts w:cs="Times New Roman"/>
        </w:rPr>
        <w:t xml:space="preserve">flows from the barriers to making an asylum claim while detained (Federal Court reasons, at para. 106). The respondents submit that the record cannot support this conclusion and that Canadian courts should presume that foreign processes for determining asylum claims are fair. The respondents also invoke a presumption of compliance with international obligations and say that the standard for displacing this presumption with respect to the United States is that “the evidence must demonstrate extraordinary circumstances and impeach the totality of the system, even casting doubt on the independence of the judiciary” (R.F., at para. 89; see also transcript, at pp. 89 and 92). </w:t>
      </w:r>
    </w:p>
    <w:p w14:paraId="44E26DA3" w14:textId="77777777" w:rsidR="0014116C" w:rsidRPr="0014116C" w:rsidRDefault="0014116C" w:rsidP="0014116C">
      <w:pPr>
        <w:pStyle w:val="ParaNoNdepar-AltN"/>
        <w:rPr>
          <w:rFonts w:cs="Times New Roman"/>
        </w:rPr>
      </w:pPr>
      <w:r w:rsidRPr="0014116C">
        <w:rPr>
          <w:rFonts w:cs="Times New Roman"/>
        </w:rPr>
        <w:t xml:space="preserve">The respondents’ arguments are overstated. It is true that there is a presumption that foreign states have fair and independent judicial processes </w:t>
      </w:r>
      <w:r w:rsidRPr="0014116C">
        <w:rPr>
          <w:rFonts w:cs="Times New Roman"/>
          <w:iCs/>
        </w:rPr>
        <w:t>(</w:t>
      </w:r>
      <w:r w:rsidRPr="0014116C">
        <w:rPr>
          <w:rFonts w:cs="Times New Roman"/>
          <w:i/>
          <w:iCs/>
        </w:rPr>
        <w:t>Canada (Attorney General) v. Ward</w:t>
      </w:r>
      <w:r w:rsidRPr="0014116C">
        <w:rPr>
          <w:rFonts w:cs="Times New Roman"/>
        </w:rPr>
        <w:t xml:space="preserve">, [1993] 2 S.C.R. 689, at p. 725, quoting </w:t>
      </w:r>
      <w:r w:rsidRPr="0014116C">
        <w:rPr>
          <w:rFonts w:cs="Times New Roman"/>
          <w:i/>
          <w:iCs/>
        </w:rPr>
        <w:t>Minister of Employment and Immigration v. Satiacum</w:t>
      </w:r>
      <w:r w:rsidRPr="0014116C">
        <w:rPr>
          <w:rFonts w:cs="Times New Roman"/>
        </w:rPr>
        <w:t xml:space="preserve"> (1989), 99 N.R. 171 (F.C.A.), at para. 19). But I am not satisfied that courts should rely on a presumption that foreign states comply, in every respect, with international law. Instead, the ordinary principles for </w:t>
      </w:r>
      <w:r w:rsidRPr="0014116C">
        <w:rPr>
          <w:rFonts w:cs="Times New Roman"/>
          <w:i/>
          <w:iCs/>
        </w:rPr>
        <w:t xml:space="preserve">Charter </w:t>
      </w:r>
      <w:r w:rsidRPr="0014116C">
        <w:rPr>
          <w:rFonts w:cs="Times New Roman"/>
        </w:rPr>
        <w:t xml:space="preserve">claims should be followed: the challengers must prove the facts substantiating the alleged rights violations connected to state action ascribed to Canada. When those factual findings are challenged, the ordinary appellate standard of “palpable and overriding error” applies. </w:t>
      </w:r>
    </w:p>
    <w:p w14:paraId="3D94D950" w14:textId="77777777" w:rsidR="0014116C" w:rsidRPr="0014116C" w:rsidRDefault="0014116C" w:rsidP="0014116C">
      <w:pPr>
        <w:pStyle w:val="ParaNoNdepar-AltN"/>
        <w:rPr>
          <w:rFonts w:cs="Times New Roman"/>
        </w:rPr>
      </w:pPr>
      <w:r w:rsidRPr="0014116C">
        <w:rPr>
          <w:rFonts w:cs="Times New Roman"/>
        </w:rPr>
        <w:t xml:space="preserve">Applying the proper standard, I am satisfied that the respondents have shown a reviewable error. The record cannot support the Federal Court judge’s finding that barriers to advancing an asylum claim while detained give rise to a “real and not speculative” risk of </w:t>
      </w:r>
      <w:r w:rsidRPr="0014116C">
        <w:rPr>
          <w:rFonts w:cs="Times New Roman"/>
          <w:i/>
          <w:iCs/>
        </w:rPr>
        <w:t xml:space="preserve">refoulement </w:t>
      </w:r>
      <w:r w:rsidRPr="0014116C">
        <w:rPr>
          <w:rFonts w:cs="Times New Roman"/>
        </w:rPr>
        <w:t xml:space="preserve">from the United States. </w:t>
      </w:r>
    </w:p>
    <w:p w14:paraId="12619666" w14:textId="77777777" w:rsidR="0014116C" w:rsidRPr="0014116C" w:rsidRDefault="0014116C" w:rsidP="0014116C">
      <w:pPr>
        <w:pStyle w:val="ParaNoNdepar-AltN"/>
        <w:rPr>
          <w:rFonts w:cs="Times New Roman"/>
        </w:rPr>
      </w:pPr>
      <w:r w:rsidRPr="0014116C">
        <w:rPr>
          <w:rFonts w:cs="Times New Roman"/>
        </w:rPr>
        <w:t>To begin, as the Court of Appeal noted, the Federal Court judge’s reasons did not squarely engage with significant evidence related to how asylum claims are advanced while individuals are detained (para. 142). For instance, Ms. Mustefa and nearly all of the anonymized affiants had access to counsel to assist with their claims while detained in the United States. Further, several of the expert affiants acknowledged widespread programs designed to provide free legal representation to individuals in immigration detention. Indeed, the record indicates that relevant American legislation offers guarantees of a right to counsel in asylum proceedings and requires claimants be given a list of pro bono counsel (see Affidavit of Yale</w:t>
      </w:r>
      <w:r w:rsidRPr="0014116C">
        <w:rPr>
          <w:rFonts w:cs="Times New Roman"/>
        </w:rPr>
        <w:noBreakHyphen/>
        <w:t>Loehr, at paras. 21</w:t>
      </w:r>
      <w:r w:rsidRPr="0014116C">
        <w:rPr>
          <w:rFonts w:cs="Times New Roman"/>
        </w:rPr>
        <w:noBreakHyphen/>
        <w:t>24 and 68</w:t>
      </w:r>
      <w:r w:rsidRPr="0014116C">
        <w:rPr>
          <w:rFonts w:cs="Times New Roman"/>
        </w:rPr>
        <w:noBreakHyphen/>
        <w:t xml:space="preserve">74, discussing, </w:t>
      </w:r>
      <w:r w:rsidRPr="0014116C">
        <w:rPr>
          <w:rFonts w:cs="Times New Roman"/>
          <w:i/>
        </w:rPr>
        <w:t>inter alia</w:t>
      </w:r>
      <w:r w:rsidRPr="0014116C">
        <w:rPr>
          <w:rFonts w:cs="Times New Roman"/>
        </w:rPr>
        <w:t xml:space="preserve">, </w:t>
      </w:r>
      <w:r w:rsidRPr="0014116C">
        <w:rPr>
          <w:rFonts w:cs="Times New Roman"/>
          <w:i/>
          <w:iCs/>
        </w:rPr>
        <w:t>Immigration and Nationality Act</w:t>
      </w:r>
      <w:r w:rsidRPr="0014116C">
        <w:rPr>
          <w:rFonts w:cs="Times New Roman"/>
        </w:rPr>
        <w:t>, 8 U.S.C. § 1158(d)(4)(B) (2018); see also Cross</w:t>
      </w:r>
      <w:r w:rsidRPr="0014116C">
        <w:rPr>
          <w:rFonts w:cs="Times New Roman"/>
        </w:rPr>
        <w:noBreakHyphen/>
        <w:t>examination of Hughes, questions 298</w:t>
      </w:r>
      <w:r w:rsidRPr="0014116C">
        <w:rPr>
          <w:rFonts w:cs="Times New Roman"/>
        </w:rPr>
        <w:noBreakHyphen/>
        <w:t>310). The Federal Court judge did not explicitly engage with this important evidence in making her finding. In my respectful view, this omission “gives rise to the reasoned belief that the trial judge must have forgotten, ignored or misconceived the evidence in a way that affected [her] conclusion” (</w:t>
      </w:r>
      <w:r w:rsidRPr="0014116C">
        <w:rPr>
          <w:rFonts w:cs="Times New Roman"/>
          <w:i/>
        </w:rPr>
        <w:t>Housen</w:t>
      </w:r>
      <w:r w:rsidRPr="0014116C">
        <w:rPr>
          <w:rFonts w:cs="Times New Roman"/>
        </w:rPr>
        <w:t xml:space="preserve">, at para. 39, quoting </w:t>
      </w:r>
      <w:r w:rsidRPr="0014116C">
        <w:rPr>
          <w:rFonts w:cs="Times New Roman"/>
          <w:i/>
        </w:rPr>
        <w:t>Van de Perre v. Edwards</w:t>
      </w:r>
      <w:r w:rsidRPr="0014116C">
        <w:rPr>
          <w:rFonts w:cs="Times New Roman"/>
        </w:rPr>
        <w:t>, 2001 SCC 60, [2001] 2 S.C.R. 1014, at para. 15).</w:t>
      </w:r>
    </w:p>
    <w:p w14:paraId="44D393B5" w14:textId="6511AC6D" w:rsidR="0014116C" w:rsidRPr="0014116C" w:rsidRDefault="0014116C" w:rsidP="0014116C">
      <w:pPr>
        <w:pStyle w:val="ParaNoNdepar-AltN"/>
        <w:rPr>
          <w:rFonts w:cs="Times New Roman"/>
        </w:rPr>
      </w:pPr>
      <w:r w:rsidRPr="0014116C">
        <w:rPr>
          <w:rFonts w:cs="Times New Roman"/>
        </w:rPr>
        <w:t xml:space="preserve">Further, the record does not support the Federal Court judge’s finding that </w:t>
      </w:r>
      <w:r w:rsidRPr="0014116C">
        <w:rPr>
          <w:rFonts w:cs="Times New Roman"/>
          <w:i/>
          <w:iCs/>
        </w:rPr>
        <w:t>refoulement</w:t>
      </w:r>
      <w:r w:rsidRPr="0014116C">
        <w:rPr>
          <w:rFonts w:cs="Times New Roman"/>
        </w:rPr>
        <w:t xml:space="preserve"> flows from alleged barriers t</w:t>
      </w:r>
      <w:r w:rsidR="00530F40">
        <w:rPr>
          <w:rFonts w:cs="Times New Roman"/>
        </w:rPr>
        <w:t>o advancing a claim while detain</w:t>
      </w:r>
      <w:bookmarkStart w:id="163" w:name="_GoBack"/>
      <w:bookmarkEnd w:id="163"/>
      <w:r w:rsidRPr="0014116C">
        <w:rPr>
          <w:rFonts w:cs="Times New Roman"/>
        </w:rPr>
        <w:t>ed. In this respect, two crucial matters went largely unaddressed. First, the record discloses review and appeal mechanisms internal to the American asylum system (Affidavit of Yale</w:t>
      </w:r>
      <w:r w:rsidRPr="0014116C">
        <w:rPr>
          <w:rFonts w:cs="Times New Roman"/>
        </w:rPr>
        <w:noBreakHyphen/>
        <w:t>Loehr, at paras. 67</w:t>
      </w:r>
      <w:r w:rsidRPr="0014116C">
        <w:rPr>
          <w:rFonts w:cs="Times New Roman"/>
        </w:rPr>
        <w:noBreakHyphen/>
        <w:t xml:space="preserve">74). The appellants point to no evidence establishing that these mechanisms are ineffective. Second, the record reveals that certain claimants whose asylum applications fail have avenues for remaining in the United States. Among these is temporary protected status, which permits individuals from designated countries to remain (see, </w:t>
      </w:r>
      <w:r w:rsidRPr="0014116C">
        <w:rPr>
          <w:rFonts w:cs="Times New Roman"/>
          <w:iCs/>
        </w:rPr>
        <w:t>e.g.</w:t>
      </w:r>
      <w:r w:rsidRPr="0014116C">
        <w:rPr>
          <w:rFonts w:cs="Times New Roman"/>
        </w:rPr>
        <w:t>, Cross</w:t>
      </w:r>
      <w:r w:rsidRPr="0014116C">
        <w:rPr>
          <w:rFonts w:cs="Times New Roman"/>
        </w:rPr>
        <w:noBreakHyphen/>
        <w:t>examination of Abed Ayoub, questions 236</w:t>
      </w:r>
      <w:r w:rsidRPr="0014116C">
        <w:rPr>
          <w:rFonts w:cs="Times New Roman"/>
        </w:rPr>
        <w:noBreakHyphen/>
        <w:t>60, reproduced in A.R., vol. XXXI, at pp. 13012</w:t>
      </w:r>
      <w:r w:rsidRPr="0014116C">
        <w:rPr>
          <w:rFonts w:cs="Times New Roman"/>
        </w:rPr>
        <w:noBreakHyphen/>
        <w:t xml:space="preserve">17). Another avenue is “withholding of removal”, which allows individuals to remain if they are more likely than not to be persecuted based on one of the grounds recognized in the </w:t>
      </w:r>
      <w:r w:rsidRPr="0014116C">
        <w:rPr>
          <w:rFonts w:cs="Times New Roman"/>
          <w:i/>
          <w:iCs/>
        </w:rPr>
        <w:t xml:space="preserve">Refugee Convention </w:t>
      </w:r>
      <w:r w:rsidRPr="0014116C">
        <w:rPr>
          <w:rFonts w:cs="Times New Roman"/>
          <w:iCs/>
        </w:rPr>
        <w:t>(</w:t>
      </w:r>
      <w:r w:rsidRPr="0014116C">
        <w:rPr>
          <w:rFonts w:cs="Times New Roman"/>
        </w:rPr>
        <w:t xml:space="preserve">see, </w:t>
      </w:r>
      <w:r w:rsidRPr="0014116C">
        <w:rPr>
          <w:rFonts w:cs="Times New Roman"/>
          <w:iCs/>
        </w:rPr>
        <w:t>e.g.</w:t>
      </w:r>
      <w:r w:rsidRPr="0014116C">
        <w:rPr>
          <w:rFonts w:cs="Times New Roman"/>
        </w:rPr>
        <w:t>, Affidavit of Deborah Anker, at paras. 65</w:t>
      </w:r>
      <w:r w:rsidRPr="0014116C">
        <w:rPr>
          <w:rFonts w:cs="Times New Roman"/>
        </w:rPr>
        <w:noBreakHyphen/>
        <w:t>67, reproduced in A.R., vol. XVII, at pp. 7340</w:t>
      </w:r>
      <w:r w:rsidRPr="0014116C">
        <w:rPr>
          <w:rFonts w:cs="Times New Roman"/>
        </w:rPr>
        <w:noBreakHyphen/>
        <w:t xml:space="preserve">41). Yet another path is protection based on the </w:t>
      </w:r>
      <w:r w:rsidRPr="0014116C">
        <w:rPr>
          <w:rFonts w:cs="Times New Roman"/>
          <w:i/>
          <w:iCs/>
        </w:rPr>
        <w:t>Convention Against Torture</w:t>
      </w:r>
      <w:r w:rsidRPr="0014116C">
        <w:rPr>
          <w:rFonts w:cs="Times New Roman"/>
        </w:rPr>
        <w:t xml:space="preserve"> (see, </w:t>
      </w:r>
      <w:r w:rsidRPr="0014116C">
        <w:rPr>
          <w:rFonts w:cs="Times New Roman"/>
          <w:iCs/>
        </w:rPr>
        <w:t>e.g.</w:t>
      </w:r>
      <w:r w:rsidRPr="0014116C">
        <w:rPr>
          <w:rFonts w:cs="Times New Roman"/>
        </w:rPr>
        <w:t xml:space="preserve">, </w:t>
      </w:r>
      <w:r w:rsidRPr="0014116C">
        <w:rPr>
          <w:rFonts w:cs="Times New Roman"/>
          <w:i/>
        </w:rPr>
        <w:t>ibid.</w:t>
      </w:r>
      <w:r w:rsidRPr="0014116C">
        <w:rPr>
          <w:rFonts w:cs="Times New Roman"/>
        </w:rPr>
        <w:t xml:space="preserve">). There are also many targeted visa programs for individuals in certain classes, like victims of crime or trafficking (see, </w:t>
      </w:r>
      <w:r w:rsidRPr="0014116C">
        <w:rPr>
          <w:rFonts w:cs="Times New Roman"/>
          <w:iCs/>
        </w:rPr>
        <w:t>e.g.</w:t>
      </w:r>
      <w:r w:rsidRPr="0014116C">
        <w:rPr>
          <w:rFonts w:cs="Times New Roman"/>
        </w:rPr>
        <w:t>, Cross</w:t>
      </w:r>
      <w:r w:rsidRPr="0014116C">
        <w:rPr>
          <w:rFonts w:cs="Times New Roman"/>
        </w:rPr>
        <w:noBreakHyphen/>
        <w:t>examination of Lenni B. Benson, questions 278</w:t>
      </w:r>
      <w:r w:rsidRPr="0014116C">
        <w:rPr>
          <w:rFonts w:cs="Times New Roman"/>
        </w:rPr>
        <w:noBreakHyphen/>
        <w:t>82, 344</w:t>
      </w:r>
      <w:r w:rsidRPr="0014116C">
        <w:rPr>
          <w:rFonts w:cs="Times New Roman"/>
        </w:rPr>
        <w:noBreakHyphen/>
        <w:t>47, 350</w:t>
      </w:r>
      <w:r w:rsidRPr="0014116C">
        <w:rPr>
          <w:rFonts w:cs="Times New Roman"/>
        </w:rPr>
        <w:noBreakHyphen/>
        <w:t>55 and 513</w:t>
      </w:r>
      <w:r w:rsidRPr="0014116C">
        <w:rPr>
          <w:rFonts w:cs="Times New Roman"/>
        </w:rPr>
        <w:noBreakHyphen/>
        <w:t>21, reproduced in A.R., vol. XXVIII, at pp. 11604</w:t>
      </w:r>
      <w:r w:rsidRPr="0014116C">
        <w:rPr>
          <w:rFonts w:cs="Times New Roman"/>
        </w:rPr>
        <w:noBreakHyphen/>
        <w:t>5, 11621, 11623 and 11659</w:t>
      </w:r>
      <w:r w:rsidRPr="0014116C">
        <w:rPr>
          <w:rFonts w:cs="Times New Roman"/>
        </w:rPr>
        <w:noBreakHyphen/>
        <w:t xml:space="preserve">61). These mechanisms are relevant to whether individuals whose detention may create barriers to advancing their asylum claims are, in the end, </w:t>
      </w:r>
      <w:r w:rsidRPr="0014116C">
        <w:rPr>
          <w:rFonts w:cs="Times New Roman"/>
          <w:i/>
          <w:iCs/>
        </w:rPr>
        <w:t>refouled</w:t>
      </w:r>
      <w:r w:rsidRPr="0014116C">
        <w:rPr>
          <w:rFonts w:cs="Times New Roman"/>
        </w:rPr>
        <w:t xml:space="preserve">. But the Federal Court judge did not assess these mechanisms. </w:t>
      </w:r>
    </w:p>
    <w:p w14:paraId="03D659A1" w14:textId="77777777" w:rsidR="0014116C" w:rsidRPr="0014116C" w:rsidRDefault="0014116C" w:rsidP="0014116C">
      <w:pPr>
        <w:pStyle w:val="ParaNoNdepar-AltN"/>
        <w:rPr>
          <w:rFonts w:cs="Times New Roman"/>
        </w:rPr>
      </w:pPr>
      <w:r w:rsidRPr="0014116C">
        <w:rPr>
          <w:rFonts w:cs="Times New Roman"/>
        </w:rPr>
        <w:t xml:space="preserve">Respectfully said, the Federal Court judge erred by not explicitly considering these aspects of the record that undermine her finding. The record does not support her conclusion that American detention conditions pose barriers to the advancement of asylum claims that raise a real and not speculative risk of </w:t>
      </w:r>
      <w:r w:rsidRPr="0014116C">
        <w:rPr>
          <w:rFonts w:cs="Times New Roman"/>
          <w:i/>
          <w:iCs/>
        </w:rPr>
        <w:t>refoulement</w:t>
      </w:r>
      <w:r w:rsidRPr="0014116C">
        <w:rPr>
          <w:rFonts w:cs="Times New Roman"/>
        </w:rPr>
        <w:t xml:space="preserve">. While it is possible that barriers to advancing a claim in a third country could be so high as to create such a risk, the appellants have not demonstrated that here. </w:t>
      </w:r>
    </w:p>
    <w:p w14:paraId="513924EB" w14:textId="77777777" w:rsidR="0014116C" w:rsidRPr="0014116C" w:rsidRDefault="0014116C" w:rsidP="0014116C">
      <w:pPr>
        <w:pStyle w:val="Title5LevelTitre5Niveau"/>
        <w:rPr>
          <w:rFonts w:cs="Times New Roman"/>
        </w:rPr>
      </w:pPr>
      <w:r w:rsidRPr="0014116C">
        <w:rPr>
          <w:rFonts w:cs="Times New Roman"/>
          <w:i/>
          <w:iCs/>
        </w:rPr>
        <w:t>Refoulement</w:t>
      </w:r>
      <w:r w:rsidRPr="0014116C">
        <w:rPr>
          <w:rFonts w:cs="Times New Roman"/>
        </w:rPr>
        <w:t xml:space="preserve"> Due to American Asylum Policies</w:t>
      </w:r>
    </w:p>
    <w:p w14:paraId="184A2463" w14:textId="77777777" w:rsidR="0014116C" w:rsidRPr="0014116C" w:rsidRDefault="0014116C" w:rsidP="0014116C">
      <w:pPr>
        <w:pStyle w:val="ParaNoNdepar-AltN"/>
        <w:rPr>
          <w:rFonts w:cs="Times New Roman"/>
        </w:rPr>
      </w:pPr>
      <w:r w:rsidRPr="0014116C">
        <w:rPr>
          <w:rFonts w:cs="Times New Roman"/>
        </w:rPr>
        <w:t>Before the Federal Court, the appellants also argued that the imposition of a “one-year bar” (</w:t>
      </w:r>
      <w:r w:rsidRPr="0014116C">
        <w:rPr>
          <w:rFonts w:cs="Times New Roman"/>
          <w:iCs/>
        </w:rPr>
        <w:t>i.e.</w:t>
      </w:r>
      <w:r w:rsidRPr="0014116C">
        <w:rPr>
          <w:rFonts w:cs="Times New Roman"/>
        </w:rPr>
        <w:t xml:space="preserve">, a rule under which asylum claims must be advanced within a year of a claimant’s arrival) and the restrictive interpretation of gender-based persecution as a basis for asylum each result in a risk of </w:t>
      </w:r>
      <w:r w:rsidRPr="0014116C">
        <w:rPr>
          <w:rFonts w:cs="Times New Roman"/>
          <w:i/>
          <w:iCs/>
        </w:rPr>
        <w:t xml:space="preserve">refoulement </w:t>
      </w:r>
      <w:r w:rsidRPr="0014116C">
        <w:rPr>
          <w:rFonts w:cs="Times New Roman"/>
        </w:rPr>
        <w:t xml:space="preserve">from the United States. They argued that the Canadian legislation facilitating the return of claimants to the United States, where those risks may materialize, implicates the security of the person interest. The Federal Court judge did not make any findings in connection with these arguments, resting her conclusion about the risk of </w:t>
      </w:r>
      <w:r w:rsidRPr="0014116C">
        <w:rPr>
          <w:rFonts w:cs="Times New Roman"/>
          <w:i/>
          <w:iCs/>
        </w:rPr>
        <w:t xml:space="preserve">refoulement </w:t>
      </w:r>
      <w:r w:rsidRPr="0014116C">
        <w:rPr>
          <w:rFonts w:cs="Times New Roman"/>
        </w:rPr>
        <w:t>solely on barriers to advancing an asylum claim from detention (paras. 106 and 113). Indeed, she did not comment on the nature or scope of the relevant American policies.</w:t>
      </w:r>
    </w:p>
    <w:p w14:paraId="6F62BBB6" w14:textId="77777777" w:rsidR="0014116C" w:rsidRPr="0014116C" w:rsidRDefault="0014116C" w:rsidP="0014116C">
      <w:pPr>
        <w:pStyle w:val="ParaNoNdepar-AltN"/>
        <w:rPr>
          <w:rFonts w:cs="Times New Roman"/>
        </w:rPr>
      </w:pPr>
      <w:r w:rsidRPr="0014116C">
        <w:rPr>
          <w:rFonts w:cs="Times New Roman"/>
        </w:rPr>
        <w:t xml:space="preserve">On appeal to this Court, the appellants invoke the purported risks of </w:t>
      </w:r>
      <w:r w:rsidRPr="0014116C">
        <w:rPr>
          <w:rFonts w:cs="Times New Roman"/>
          <w:i/>
          <w:iCs/>
        </w:rPr>
        <w:t xml:space="preserve">refoulement </w:t>
      </w:r>
      <w:r w:rsidRPr="0014116C">
        <w:rPr>
          <w:rFonts w:cs="Times New Roman"/>
        </w:rPr>
        <w:t xml:space="preserve">flowing from these aspects of American asylum law. However, they do not address how these policies operate and should be understood. Instead, they cite the findings of the Federal Court in </w:t>
      </w:r>
      <w:r w:rsidRPr="0014116C">
        <w:rPr>
          <w:rFonts w:cs="Times New Roman"/>
          <w:i/>
          <w:iCs/>
        </w:rPr>
        <w:t>Canadian Council for Refugees v. Canada</w:t>
      </w:r>
      <w:r w:rsidRPr="0014116C">
        <w:rPr>
          <w:rFonts w:cs="Times New Roman"/>
        </w:rPr>
        <w:t xml:space="preserve">, 2007 FC 1262, [2008] 3 F.C.R. 606, along with certain aspects of the evidence that was before the Federal Court judge in the present case. The respondents, by contrast, argue that the relevant American policies respect the </w:t>
      </w:r>
      <w:r w:rsidRPr="0014116C">
        <w:rPr>
          <w:rFonts w:cs="Times New Roman"/>
          <w:i/>
          <w:iCs/>
        </w:rPr>
        <w:t xml:space="preserve">non-refoulement </w:t>
      </w:r>
      <w:r w:rsidRPr="0014116C">
        <w:rPr>
          <w:rFonts w:cs="Times New Roman"/>
        </w:rPr>
        <w:t>principle, relying on other parts of the evidentiary record.</w:t>
      </w:r>
    </w:p>
    <w:p w14:paraId="39C8157A" w14:textId="77777777" w:rsidR="0014116C" w:rsidRPr="0014116C" w:rsidRDefault="0014116C" w:rsidP="0014116C">
      <w:pPr>
        <w:pStyle w:val="ParaNoNdepar-AltN"/>
        <w:rPr>
          <w:rFonts w:cs="Times New Roman"/>
        </w:rPr>
      </w:pPr>
      <w:r w:rsidRPr="0014116C">
        <w:rPr>
          <w:rFonts w:cs="Times New Roman"/>
        </w:rPr>
        <w:t xml:space="preserve">In </w:t>
      </w:r>
      <w:r w:rsidRPr="0014116C">
        <w:rPr>
          <w:rFonts w:cs="Times New Roman"/>
          <w:i/>
          <w:iCs/>
        </w:rPr>
        <w:t>CCR (2008)</w:t>
      </w:r>
      <w:r w:rsidRPr="0014116C">
        <w:rPr>
          <w:rFonts w:cs="Times New Roman"/>
        </w:rPr>
        <w:t>, the Federal Court of Appeal</w:t>
      </w:r>
      <w:r w:rsidRPr="0014116C">
        <w:rPr>
          <w:rFonts w:cs="Times New Roman"/>
          <w:i/>
          <w:iCs/>
        </w:rPr>
        <w:t xml:space="preserve"> </w:t>
      </w:r>
      <w:r w:rsidRPr="0014116C">
        <w:rPr>
          <w:rFonts w:cs="Times New Roman"/>
        </w:rPr>
        <w:t xml:space="preserve">set aside the judgment of the Federal Court, in part because the hypothetical nature of the challenge provided “no factual basis upon which to assess the alleged </w:t>
      </w:r>
      <w:r w:rsidRPr="0014116C">
        <w:rPr>
          <w:rFonts w:cs="Times New Roman"/>
          <w:iCs/>
        </w:rPr>
        <w:t xml:space="preserve">Charter </w:t>
      </w:r>
      <w:r w:rsidRPr="0014116C">
        <w:rPr>
          <w:rFonts w:cs="Times New Roman"/>
        </w:rPr>
        <w:t>breaches” (para. 103). More importantly, however, findings made in those proceedings are not properly before this Court here. The Federal Court’s 2007 findings are thus of no assistance here.</w:t>
      </w:r>
    </w:p>
    <w:p w14:paraId="4BECB393" w14:textId="77777777" w:rsidR="0014116C" w:rsidRPr="0014116C" w:rsidRDefault="0014116C" w:rsidP="0014116C">
      <w:pPr>
        <w:pStyle w:val="ParaNoNdepar-AltN"/>
        <w:rPr>
          <w:rFonts w:cs="Times New Roman"/>
        </w:rPr>
      </w:pPr>
      <w:r w:rsidRPr="0014116C">
        <w:rPr>
          <w:rFonts w:cs="Times New Roman"/>
        </w:rPr>
        <w:t>Further, the evidence on the applicable American policies is of limited assistance absent relevant factual findings. The record on this issue is mixed. For instance, the respondents’ expert appeared to acknowledge that the one-year bar leads to some individuals being denied asylum even if their underlying claims are meritorious (Cross</w:t>
      </w:r>
      <w:r w:rsidRPr="0014116C">
        <w:rPr>
          <w:rFonts w:cs="Times New Roman"/>
        </w:rPr>
        <w:noBreakHyphen/>
        <w:t>examination of Stephen Yale</w:t>
      </w:r>
      <w:r w:rsidRPr="0014116C">
        <w:rPr>
          <w:rFonts w:cs="Times New Roman"/>
        </w:rPr>
        <w:noBreakHyphen/>
        <w:t xml:space="preserve">Loehr, question 664, reproduced in A.R., vol. XLVIII, at p. 20508). If this is true, risks of </w:t>
      </w:r>
      <w:r w:rsidRPr="0014116C">
        <w:rPr>
          <w:rFonts w:cs="Times New Roman"/>
          <w:i/>
          <w:iCs/>
        </w:rPr>
        <w:t xml:space="preserve">refoulement </w:t>
      </w:r>
      <w:r w:rsidRPr="0014116C">
        <w:rPr>
          <w:rFonts w:cs="Times New Roman"/>
        </w:rPr>
        <w:t xml:space="preserve">would be pressing. But the one-year bar has exceptions for changed or extraordinary circumstances (see, </w:t>
      </w:r>
      <w:r w:rsidRPr="0014116C">
        <w:rPr>
          <w:rFonts w:cs="Times New Roman"/>
          <w:iCs/>
        </w:rPr>
        <w:t>e.g.</w:t>
      </w:r>
      <w:r w:rsidRPr="0014116C">
        <w:rPr>
          <w:rFonts w:cs="Times New Roman"/>
        </w:rPr>
        <w:t xml:space="preserve">, </w:t>
      </w:r>
      <w:r w:rsidRPr="0014116C">
        <w:rPr>
          <w:rFonts w:cs="Times New Roman"/>
          <w:i/>
        </w:rPr>
        <w:t>ibid.</w:t>
      </w:r>
      <w:r w:rsidRPr="0014116C">
        <w:rPr>
          <w:rFonts w:cs="Times New Roman"/>
        </w:rPr>
        <w:t>, questions 655 and 660</w:t>
      </w:r>
      <w:r w:rsidRPr="0014116C">
        <w:rPr>
          <w:rFonts w:cs="Times New Roman"/>
        </w:rPr>
        <w:noBreakHyphen/>
        <w:t>64; Affidavit of Anker, at para. 60; Affidavit of Jaya Ramji</w:t>
      </w:r>
      <w:r w:rsidRPr="0014116C">
        <w:rPr>
          <w:rFonts w:cs="Times New Roman"/>
        </w:rPr>
        <w:noBreakHyphen/>
        <w:t>Nogales, at para. 9, reproduced in A.R., vol. XXX, at pp. 12752</w:t>
      </w:r>
      <w:r w:rsidRPr="0014116C">
        <w:rPr>
          <w:rFonts w:cs="Times New Roman"/>
        </w:rPr>
        <w:noBreakHyphen/>
        <w:t xml:space="preserve">53). Without findings of fact on how these exceptions function, this Court is not positioned to assess whether the one-year bar actually leads to </w:t>
      </w:r>
      <w:r w:rsidRPr="0014116C">
        <w:rPr>
          <w:rFonts w:cs="Times New Roman"/>
          <w:i/>
          <w:iCs/>
        </w:rPr>
        <w:t>refoulement</w:t>
      </w:r>
      <w:r w:rsidRPr="0014116C">
        <w:rPr>
          <w:rFonts w:cs="Times New Roman"/>
        </w:rPr>
        <w:t xml:space="preserve">. Further, the various alternative avenues for remaining in the United States, as described above, may be relevant. These exceptions and alternative avenues may be the manner in which the United States implements its </w:t>
      </w:r>
      <w:r w:rsidRPr="0014116C">
        <w:rPr>
          <w:rFonts w:cs="Times New Roman"/>
          <w:i/>
          <w:iCs/>
        </w:rPr>
        <w:t>non-refoulement</w:t>
      </w:r>
      <w:r w:rsidRPr="0014116C">
        <w:rPr>
          <w:rFonts w:cs="Times New Roman"/>
        </w:rPr>
        <w:t xml:space="preserve"> obligations in light of its one-year bar policy.</w:t>
      </w:r>
    </w:p>
    <w:p w14:paraId="52B1E877" w14:textId="77777777" w:rsidR="0014116C" w:rsidRPr="0014116C" w:rsidRDefault="0014116C" w:rsidP="0014116C">
      <w:pPr>
        <w:pStyle w:val="ParaNoNdepar-AltN"/>
        <w:rPr>
          <w:rFonts w:cs="Times New Roman"/>
        </w:rPr>
      </w:pPr>
      <w:r w:rsidRPr="0014116C">
        <w:rPr>
          <w:rFonts w:cs="Times New Roman"/>
        </w:rPr>
        <w:t xml:space="preserve">The Federal Court judge’s lack of findings in relation to American policies on gender-based persecution also makes it imprudent for this Court to determine whether there is a real and not speculative risk of </w:t>
      </w:r>
      <w:r w:rsidRPr="0014116C">
        <w:rPr>
          <w:rFonts w:cs="Times New Roman"/>
          <w:i/>
          <w:iCs/>
        </w:rPr>
        <w:t>refoulement</w:t>
      </w:r>
      <w:r w:rsidRPr="0014116C">
        <w:rPr>
          <w:rFonts w:cs="Times New Roman"/>
        </w:rPr>
        <w:t xml:space="preserve"> for claimants fleeing such persecution. In the circumstances, it would not be appropriate for this Court to attempt to make its own factual findings. In any event, as will become clear, even assuming that these policies do present a real and not speculative risk of </w:t>
      </w:r>
      <w:r w:rsidRPr="0014116C">
        <w:rPr>
          <w:rFonts w:cs="Times New Roman"/>
          <w:i/>
          <w:iCs/>
        </w:rPr>
        <w:t>refoulement</w:t>
      </w:r>
      <w:r w:rsidRPr="0014116C">
        <w:rPr>
          <w:rFonts w:cs="Times New Roman"/>
          <w:iCs/>
        </w:rPr>
        <w:t xml:space="preserve"> </w:t>
      </w:r>
      <w:r w:rsidRPr="0014116C">
        <w:rPr>
          <w:rFonts w:cs="Times New Roman"/>
        </w:rPr>
        <w:t xml:space="preserve">for returnees, I would not ultimately find a s. 7 breach on this basis. </w:t>
      </w:r>
    </w:p>
    <w:p w14:paraId="0E3003D0" w14:textId="77777777" w:rsidR="0014116C" w:rsidRPr="0014116C" w:rsidRDefault="0014116C" w:rsidP="0014116C">
      <w:pPr>
        <w:pStyle w:val="Title4LevelTitre4Niveau"/>
        <w:rPr>
          <w:rFonts w:cs="Times New Roman"/>
        </w:rPr>
      </w:pPr>
      <w:r w:rsidRPr="0014116C">
        <w:rPr>
          <w:rFonts w:cs="Times New Roman"/>
        </w:rPr>
        <w:t>Conclusion as to the Effects Implicating Section 7 Interests</w:t>
      </w:r>
    </w:p>
    <w:p w14:paraId="630EE939" w14:textId="77777777" w:rsidR="0014116C" w:rsidRPr="0014116C" w:rsidRDefault="0014116C" w:rsidP="0014116C">
      <w:pPr>
        <w:pStyle w:val="ParaNoNdepar-AltN"/>
        <w:rPr>
          <w:rFonts w:cs="Times New Roman"/>
        </w:rPr>
      </w:pPr>
      <w:r w:rsidRPr="0014116C">
        <w:rPr>
          <w:rFonts w:cs="Times New Roman"/>
        </w:rPr>
        <w:t>The risks of detention upon return to the United States, as well as three aspects of detention conditions as found by the Federal Court judge — the use of medical isolation, abnormally cold conditions and deficiencies in medical care — fall within the scope of liberty and security of the person. Beyond that, to take the appellants’ position on s. 7 engagement at its highest, I am prepared to proceed on the assumption that the following effects occur and are within the scope of the s. 7 interests: the non</w:t>
      </w:r>
      <w:r w:rsidRPr="0014116C">
        <w:rPr>
          <w:rFonts w:cs="Times New Roman"/>
        </w:rPr>
        <w:noBreakHyphen/>
        <w:t xml:space="preserve">accommodation of religious dietary needs, detention in a facility housing criminally convicted individuals and the risks of </w:t>
      </w:r>
      <w:r w:rsidRPr="0014116C">
        <w:rPr>
          <w:rFonts w:cs="Times New Roman"/>
          <w:i/>
          <w:iCs/>
        </w:rPr>
        <w:t xml:space="preserve">refoulement </w:t>
      </w:r>
      <w:r w:rsidRPr="0014116C">
        <w:rPr>
          <w:rFonts w:cs="Times New Roman"/>
        </w:rPr>
        <w:t xml:space="preserve">flowing from the one-year bar policy and the United States’ approach to gender-based claims. With these effects in mind, I turn to the causation analysis. </w:t>
      </w:r>
    </w:p>
    <w:p w14:paraId="4E16256B" w14:textId="77777777" w:rsidR="0014116C" w:rsidRPr="0014116C" w:rsidRDefault="0014116C" w:rsidP="0014116C">
      <w:pPr>
        <w:pStyle w:val="Title3LevelTitre3Niveau"/>
        <w:rPr>
          <w:rFonts w:cs="Times New Roman"/>
        </w:rPr>
      </w:pPr>
      <w:bookmarkStart w:id="164" w:name="_Toc127267674"/>
      <w:bookmarkStart w:id="165" w:name="_Toc130454492"/>
      <w:bookmarkStart w:id="166" w:name="_Toc131401534"/>
      <w:bookmarkStart w:id="167" w:name="_Toc133824202"/>
      <w:bookmarkStart w:id="168" w:name="_Toc134173694"/>
      <w:bookmarkStart w:id="169" w:name="_Toc136424922"/>
      <w:r w:rsidRPr="0014116C">
        <w:rPr>
          <w:rFonts w:cs="Times New Roman"/>
        </w:rPr>
        <w:t>Causal Link to Canadian State Action</w:t>
      </w:r>
      <w:bookmarkEnd w:id="164"/>
      <w:bookmarkEnd w:id="165"/>
      <w:bookmarkEnd w:id="166"/>
      <w:bookmarkEnd w:id="167"/>
      <w:bookmarkEnd w:id="168"/>
      <w:bookmarkEnd w:id="169"/>
    </w:p>
    <w:p w14:paraId="42A6616C" w14:textId="77777777" w:rsidR="0014116C" w:rsidRPr="0014116C" w:rsidRDefault="0014116C" w:rsidP="0014116C">
      <w:pPr>
        <w:numPr>
          <w:ilvl w:val="0"/>
          <w:numId w:val="1"/>
        </w:numPr>
        <w:tabs>
          <w:tab w:val="clear" w:pos="1152"/>
          <w:tab w:val="left" w:pos="1166"/>
          <w:tab w:val="num" w:pos="1602"/>
        </w:tabs>
        <w:spacing w:before="480" w:after="480" w:line="480" w:lineRule="auto"/>
        <w:jc w:val="both"/>
      </w:pPr>
      <w:r w:rsidRPr="0014116C">
        <w:t>As noted above, to establish s. 7 engagement, challengers must not only demonstrate effects falling within the scope of the s. 7 interests, but also that these effects are caused by Canadian state action. In domestic matters, the requisite causal link will often be obvious. This is rarely so for cases where the deprivation in question is effected by foreign actors. When connecting harms to Canadian state action, courts must be “sensitive to the context of the particular case” (</w:t>
      </w:r>
      <w:r w:rsidRPr="0014116C">
        <w:rPr>
          <w:i/>
          <w:iCs/>
        </w:rPr>
        <w:t>Bedford</w:t>
      </w:r>
      <w:r w:rsidRPr="0014116C">
        <w:t xml:space="preserve">, at para. 76). When a challenger seeks to draw a causal connection between Canadian state action and a harm brought about by a foreign actor, the context is meaningfully different from cases in which harms arise through purely domestic processes. </w:t>
      </w:r>
    </w:p>
    <w:p w14:paraId="03F44720" w14:textId="77777777" w:rsidR="0014116C" w:rsidRPr="0014116C" w:rsidRDefault="0014116C" w:rsidP="0014116C">
      <w:pPr>
        <w:numPr>
          <w:ilvl w:val="0"/>
          <w:numId w:val="1"/>
        </w:numPr>
        <w:tabs>
          <w:tab w:val="clear" w:pos="1152"/>
          <w:tab w:val="left" w:pos="1166"/>
          <w:tab w:val="num" w:pos="1602"/>
        </w:tabs>
        <w:spacing w:before="480" w:after="480" w:line="480" w:lineRule="auto"/>
        <w:jc w:val="both"/>
      </w:pPr>
      <w:r w:rsidRPr="0014116C">
        <w:t>Canada has no jurisdiction to dictate the actions of foreign authorities. Thus, to draw a causal connection to Canadian state action, Canadian authorities must have been implicated in how the harms arose. Accordingly, challengers will succeed in drawing a causal connection to Canadian state action “[a]t least where Canada’s participation is a necessary precondition for the deprivation” (</w:t>
      </w:r>
      <w:r w:rsidRPr="0014116C">
        <w:rPr>
          <w:i/>
          <w:iCs/>
        </w:rPr>
        <w:t>Suresh</w:t>
      </w:r>
      <w:r w:rsidRPr="0014116C">
        <w:t xml:space="preserve">, at para. 54). </w:t>
      </w:r>
    </w:p>
    <w:p w14:paraId="4D5956C3" w14:textId="77777777" w:rsidR="0014116C" w:rsidRPr="0014116C" w:rsidRDefault="0014116C" w:rsidP="0014116C">
      <w:pPr>
        <w:pStyle w:val="ParaNoNdepar-AltN"/>
        <w:rPr>
          <w:rFonts w:cs="Times New Roman"/>
        </w:rPr>
      </w:pPr>
      <w:r w:rsidRPr="0014116C">
        <w:rPr>
          <w:rFonts w:cs="Times New Roman"/>
        </w:rPr>
        <w:t>Further, Canada cannot foresee all the actions that foreign authorities will take. Where there is no basis for Canada to have known that a harm would arise, it would be improper to view those harms as causally connected to Canadian state action. Thus, to draw a causal connection to Canadian state action, it must be shown that Canadian authorities knew, or ought to have known, that the harms could arise as a result of Canada’s actions. This has been expressed through the recognition that challengers will be able to show a causal connection to Canadian state action “</w:t>
      </w:r>
      <w:r w:rsidRPr="0014116C">
        <w:rPr>
          <w:rFonts w:cs="Times New Roman"/>
          <w:u w:val="single"/>
        </w:rPr>
        <w:t>[a]t least</w:t>
      </w:r>
      <w:r w:rsidRPr="0014116C">
        <w:rPr>
          <w:rFonts w:cs="Times New Roman"/>
        </w:rPr>
        <w:t xml:space="preserve"> where . . . the deprivation is an entirely foreseeable consequence of Canada’s participation” (</w:t>
      </w:r>
      <w:r w:rsidRPr="0014116C">
        <w:rPr>
          <w:rFonts w:cs="Times New Roman"/>
          <w:i/>
          <w:iCs/>
        </w:rPr>
        <w:t>Suresh</w:t>
      </w:r>
      <w:r w:rsidRPr="0014116C">
        <w:rPr>
          <w:rFonts w:cs="Times New Roman"/>
        </w:rPr>
        <w:t>, at para. 54 (emphasis added)).</w:t>
      </w:r>
    </w:p>
    <w:p w14:paraId="77626342" w14:textId="77777777" w:rsidR="0014116C" w:rsidRPr="0014116C" w:rsidRDefault="0014116C" w:rsidP="0014116C">
      <w:pPr>
        <w:pStyle w:val="Title4LevelTitre4Niveau"/>
        <w:rPr>
          <w:rFonts w:cs="Times New Roman"/>
        </w:rPr>
      </w:pPr>
      <w:r w:rsidRPr="0014116C">
        <w:rPr>
          <w:rFonts w:cs="Times New Roman"/>
        </w:rPr>
        <w:t>Necessary Precondition</w:t>
      </w:r>
    </w:p>
    <w:p w14:paraId="1486D4D0" w14:textId="77777777" w:rsidR="0014116C" w:rsidRPr="0014116C" w:rsidRDefault="0014116C" w:rsidP="0014116C">
      <w:pPr>
        <w:pStyle w:val="ParaNoNdepar-AltN"/>
        <w:tabs>
          <w:tab w:val="clear" w:pos="1166"/>
          <w:tab w:val="num" w:pos="1152"/>
        </w:tabs>
        <w:rPr>
          <w:rFonts w:cs="Times New Roman"/>
        </w:rPr>
      </w:pPr>
      <w:r w:rsidRPr="0014116C">
        <w:rPr>
          <w:rFonts w:cs="Times New Roman"/>
        </w:rPr>
        <w:t xml:space="preserve">In this case, it is clear that Canada’s participation is a necessary precondition to each of the effects related to detention and </w:t>
      </w:r>
      <w:r w:rsidRPr="0014116C">
        <w:rPr>
          <w:rFonts w:cs="Times New Roman"/>
          <w:i/>
          <w:iCs/>
        </w:rPr>
        <w:t>refoulement</w:t>
      </w:r>
      <w:r w:rsidRPr="0014116C">
        <w:rPr>
          <w:rFonts w:cs="Times New Roman"/>
        </w:rPr>
        <w:t xml:space="preserve">. Without the legislative implementation of the </w:t>
      </w:r>
      <w:r w:rsidRPr="0014116C">
        <w:rPr>
          <w:rFonts w:cs="Times New Roman"/>
          <w:i/>
          <w:iCs/>
        </w:rPr>
        <w:t xml:space="preserve">Safe Third Country Agreement </w:t>
      </w:r>
      <w:r w:rsidRPr="0014116C">
        <w:rPr>
          <w:rFonts w:cs="Times New Roman"/>
        </w:rPr>
        <w:t xml:space="preserve">regime, individuals could advance their refugee protection claims in Canada. Instead, they are sent back to the United States by Canadian officials acting under legislative authority, where they face (or are presumed to face) these effects. Thus, I have no hesitation in concluding that the relevant Canadian state action — here, s. 159.3 of the </w:t>
      </w:r>
      <w:r w:rsidRPr="0014116C">
        <w:rPr>
          <w:rFonts w:cs="Times New Roman"/>
          <w:i/>
          <w:iCs/>
        </w:rPr>
        <w:t>IRPR</w:t>
      </w:r>
      <w:r w:rsidRPr="0014116C">
        <w:rPr>
          <w:rFonts w:cs="Times New Roman"/>
        </w:rPr>
        <w:t xml:space="preserve"> along with the broader legislative scheme — is a necessary precondition. </w:t>
      </w:r>
    </w:p>
    <w:p w14:paraId="139EF087" w14:textId="77777777" w:rsidR="0014116C" w:rsidRPr="0014116C" w:rsidRDefault="0014116C" w:rsidP="0014116C">
      <w:pPr>
        <w:pStyle w:val="Title4LevelTitre4Niveau"/>
        <w:rPr>
          <w:rFonts w:cs="Times New Roman"/>
        </w:rPr>
      </w:pPr>
      <w:r w:rsidRPr="0014116C">
        <w:rPr>
          <w:rFonts w:cs="Times New Roman"/>
        </w:rPr>
        <w:t>Foreseeable Consequence</w:t>
      </w:r>
    </w:p>
    <w:p w14:paraId="537E3106" w14:textId="77777777" w:rsidR="0014116C" w:rsidRPr="0014116C" w:rsidRDefault="0014116C" w:rsidP="0014116C">
      <w:pPr>
        <w:pStyle w:val="ParaNoNdepar-AltN"/>
        <w:rPr>
          <w:rFonts w:cs="Times New Roman"/>
        </w:rPr>
      </w:pPr>
      <w:r w:rsidRPr="0014116C">
        <w:rPr>
          <w:rFonts w:cs="Times New Roman"/>
        </w:rPr>
        <w:t xml:space="preserve">In </w:t>
      </w:r>
      <w:r w:rsidRPr="0014116C">
        <w:rPr>
          <w:rFonts w:cs="Times New Roman"/>
          <w:i/>
        </w:rPr>
        <w:t>Bedford</w:t>
      </w:r>
      <w:r w:rsidRPr="0014116C">
        <w:rPr>
          <w:rFonts w:cs="Times New Roman"/>
        </w:rPr>
        <w:t xml:space="preserve">, this Court discussed the foreseeability threshold from </w:t>
      </w:r>
      <w:r w:rsidRPr="0014116C">
        <w:rPr>
          <w:rFonts w:cs="Times New Roman"/>
          <w:i/>
          <w:iCs/>
        </w:rPr>
        <w:t>Suresh</w:t>
      </w:r>
      <w:r w:rsidRPr="0014116C">
        <w:rPr>
          <w:rFonts w:cs="Times New Roman"/>
        </w:rPr>
        <w:t xml:space="preserve"> and further explained its role (para. 77). Foreseeability, as described in </w:t>
      </w:r>
      <w:r w:rsidRPr="0014116C">
        <w:rPr>
          <w:rFonts w:cs="Times New Roman"/>
          <w:i/>
        </w:rPr>
        <w:t>Suresh</w:t>
      </w:r>
      <w:r w:rsidRPr="0014116C">
        <w:rPr>
          <w:rFonts w:cs="Times New Roman"/>
        </w:rPr>
        <w:t>, can be established “by a reasonable inference, drawn on a balance of probabilities” (</w:t>
      </w:r>
      <w:r w:rsidRPr="0014116C">
        <w:rPr>
          <w:rFonts w:cs="Times New Roman"/>
          <w:i/>
          <w:iCs/>
        </w:rPr>
        <w:t>Bedford</w:t>
      </w:r>
      <w:r w:rsidRPr="0014116C">
        <w:rPr>
          <w:rFonts w:cs="Times New Roman"/>
        </w:rPr>
        <w:t xml:space="preserve">, at para. 76). As is generally true, what is required is “a sufficient connection, having regard to the context of the case” (para. 78). Nevertheless, foreseeability remains useful in an international context where Canada does not necessarily have full knowledge of how foreign authorities will act (see, e.g., J. C. Hathaway, </w:t>
      </w:r>
      <w:r w:rsidRPr="0014116C">
        <w:rPr>
          <w:rFonts w:cs="Times New Roman"/>
          <w:i/>
        </w:rPr>
        <w:t>The Rights of Refugees Under International Law</w:t>
      </w:r>
      <w:r w:rsidRPr="0014116C">
        <w:rPr>
          <w:rFonts w:cs="Times New Roman"/>
        </w:rPr>
        <w:t> (2nd ed. 2021), at pp. 367</w:t>
      </w:r>
      <w:r w:rsidRPr="0014116C">
        <w:rPr>
          <w:rFonts w:cs="Times New Roman"/>
        </w:rPr>
        <w:noBreakHyphen/>
        <w:t xml:space="preserve">68). To be plain, the foreseeability standard described in </w:t>
      </w:r>
      <w:r w:rsidRPr="0014116C">
        <w:rPr>
          <w:rFonts w:cs="Times New Roman"/>
          <w:i/>
        </w:rPr>
        <w:t xml:space="preserve">Suresh </w:t>
      </w:r>
      <w:r w:rsidRPr="0014116C">
        <w:rPr>
          <w:rFonts w:cs="Times New Roman"/>
        </w:rPr>
        <w:t xml:space="preserve">and interpreted in </w:t>
      </w:r>
      <w:r w:rsidRPr="0014116C">
        <w:rPr>
          <w:rFonts w:cs="Times New Roman"/>
          <w:i/>
        </w:rPr>
        <w:t xml:space="preserve">Bedford </w:t>
      </w:r>
      <w:r w:rsidRPr="0014116C">
        <w:rPr>
          <w:rFonts w:cs="Times New Roman"/>
        </w:rPr>
        <w:t>is binding on this Court.</w:t>
      </w:r>
    </w:p>
    <w:p w14:paraId="2B2BA60C" w14:textId="77777777" w:rsidR="0014116C" w:rsidRPr="0014116C" w:rsidRDefault="0014116C" w:rsidP="0014116C">
      <w:pPr>
        <w:pStyle w:val="ParaNoNdepar-AltN"/>
        <w:rPr>
          <w:rFonts w:cs="Times New Roman"/>
        </w:rPr>
      </w:pPr>
      <w:r w:rsidRPr="0014116C">
        <w:rPr>
          <w:rFonts w:cs="Times New Roman"/>
        </w:rPr>
        <w:t>An effect can be shown to be foreseeable in at least two ways (see, e.g., Hathaway, at p. 373). First, challengers can show that Canada had actual knowledge of the risk that the effects would emerge. For example, Parliamentary debates discussing the risks may establish this knowledge. Second, challengers can also show that Canada ought to have known about the risks, such that knowledge can be imputed. Public reporting, academic analysis, and other sources originating outside government may help establish constructive knowledge. While speculation will not suffice, the threshold for constructive knowledge should remain attainable since foreseeability is a “port of entry for s. 7 claims” (</w:t>
      </w:r>
      <w:r w:rsidRPr="0014116C">
        <w:rPr>
          <w:rFonts w:cs="Times New Roman"/>
          <w:i/>
          <w:iCs/>
        </w:rPr>
        <w:t>Bedford</w:t>
      </w:r>
      <w:r w:rsidRPr="0014116C">
        <w:rPr>
          <w:rFonts w:cs="Times New Roman"/>
        </w:rPr>
        <w:t xml:space="preserve">, at para. 78). For example, the threshold should remain well below the strict approach taken to judicial notice (see </w:t>
      </w:r>
      <w:r w:rsidRPr="0014116C">
        <w:rPr>
          <w:rFonts w:cs="Times New Roman"/>
          <w:i/>
          <w:iCs/>
        </w:rPr>
        <w:t>R. v. Find</w:t>
      </w:r>
      <w:r w:rsidRPr="0014116C">
        <w:rPr>
          <w:rFonts w:cs="Times New Roman"/>
        </w:rPr>
        <w:t xml:space="preserve">, 2001 SCC 32, [2001] 1 S.C.R. 863, at para. 48). </w:t>
      </w:r>
    </w:p>
    <w:p w14:paraId="448DDF4B" w14:textId="77777777" w:rsidR="0014116C" w:rsidRPr="0014116C" w:rsidRDefault="0014116C" w:rsidP="0014116C">
      <w:pPr>
        <w:pStyle w:val="ParaNoNdepar-AltN"/>
        <w:rPr>
          <w:rFonts w:cs="Times New Roman"/>
        </w:rPr>
      </w:pPr>
      <w:r w:rsidRPr="0014116C">
        <w:rPr>
          <w:rFonts w:cs="Times New Roman"/>
        </w:rPr>
        <w:t xml:space="preserve">In this case, the Federal Court judge noted the </w:t>
      </w:r>
      <w:r w:rsidRPr="0014116C">
        <w:rPr>
          <w:rFonts w:cs="Times New Roman"/>
          <w:i/>
          <w:iCs/>
        </w:rPr>
        <w:t xml:space="preserve">Suresh </w:t>
      </w:r>
      <w:r w:rsidRPr="0014116C">
        <w:rPr>
          <w:rFonts w:cs="Times New Roman"/>
        </w:rPr>
        <w:t xml:space="preserve">causation framework but did not explicitly consider whether each of the relevant effects was foreseeable (para. 100). She did not state what evidence could have allowed her to conclude that Canada knew, or ought to have known, that these effects would occur. In my respectful view, this approach led the Federal Court judge into reversible error in her application of the foreseeability standard this Court established in </w:t>
      </w:r>
      <w:r w:rsidRPr="0014116C">
        <w:rPr>
          <w:rFonts w:cs="Times New Roman"/>
          <w:i/>
        </w:rPr>
        <w:t xml:space="preserve">Suresh </w:t>
      </w:r>
      <w:r w:rsidRPr="0014116C">
        <w:rPr>
          <w:rFonts w:cs="Times New Roman"/>
        </w:rPr>
        <w:t xml:space="preserve">and </w:t>
      </w:r>
      <w:r w:rsidRPr="0014116C">
        <w:rPr>
          <w:rFonts w:cs="Times New Roman"/>
          <w:i/>
        </w:rPr>
        <w:t>Bedford</w:t>
      </w:r>
      <w:r w:rsidRPr="0014116C">
        <w:rPr>
          <w:rFonts w:cs="Times New Roman"/>
        </w:rPr>
        <w:t>.</w:t>
      </w:r>
    </w:p>
    <w:p w14:paraId="11BC1E49" w14:textId="77777777" w:rsidR="0014116C" w:rsidRPr="0014116C" w:rsidRDefault="0014116C" w:rsidP="0014116C">
      <w:pPr>
        <w:pStyle w:val="ParaNoNdepar-AltN"/>
        <w:tabs>
          <w:tab w:val="clear" w:pos="1166"/>
          <w:tab w:val="num" w:pos="1152"/>
        </w:tabs>
        <w:rPr>
          <w:rFonts w:cs="Times New Roman"/>
        </w:rPr>
      </w:pPr>
      <w:r w:rsidRPr="0014116C">
        <w:rPr>
          <w:rFonts w:cs="Times New Roman"/>
        </w:rPr>
        <w:t xml:space="preserve">With respect to the cold temperatures in detention facilities, deficiencies in medical care, detention alongside criminally convicted individuals and the violation of religious dietary restrictions, the record does not support a finding that these effects were a foreseeable consequence of Canada’s actions on the </w:t>
      </w:r>
      <w:r w:rsidRPr="0014116C">
        <w:rPr>
          <w:rFonts w:cs="Times New Roman"/>
          <w:i/>
        </w:rPr>
        <w:t>Suresh</w:t>
      </w:r>
      <w:r w:rsidRPr="0014116C">
        <w:rPr>
          <w:rFonts w:cs="Times New Roman"/>
        </w:rPr>
        <w:t xml:space="preserve"> and </w:t>
      </w:r>
      <w:r w:rsidRPr="0014116C">
        <w:rPr>
          <w:rFonts w:cs="Times New Roman"/>
          <w:i/>
        </w:rPr>
        <w:t>Bedford</w:t>
      </w:r>
      <w:r w:rsidRPr="0014116C">
        <w:rPr>
          <w:rFonts w:cs="Times New Roman"/>
        </w:rPr>
        <w:t xml:space="preserve"> standard. While these effects are concerning, the question at this stage is whether Canada knew or ought to have known they could occur. The appellants have not pointed to evidence that would enable this Court to answer this question in the affirmative in light of the absence of findings below. They have not established that Canada either knew or ought to have known of this kind of harm arising in American detention facilities. Thus, in my respectful view, there was no basis for concluding that these effects were a foreseeable consequence.</w:t>
      </w:r>
    </w:p>
    <w:p w14:paraId="78E2886B" w14:textId="77777777" w:rsidR="0014116C" w:rsidRPr="0014116C" w:rsidRDefault="0014116C" w:rsidP="0014116C">
      <w:pPr>
        <w:pStyle w:val="ParaNoNdepar-AltN"/>
        <w:tabs>
          <w:tab w:val="clear" w:pos="1166"/>
          <w:tab w:val="num" w:pos="1152"/>
        </w:tabs>
        <w:rPr>
          <w:rFonts w:cs="Times New Roman"/>
        </w:rPr>
      </w:pPr>
      <w:r w:rsidRPr="0014116C">
        <w:rPr>
          <w:rFonts w:cs="Times New Roman"/>
        </w:rPr>
        <w:t xml:space="preserve">By contrast, the record substantiates that the other negative effects were entirely foreseeable. With respect to the risk of detention, it is plain that Canada knew returnees would be exposed to such a risk. From the earliest consultations on the scope of a possible safe third country agreement, the use of detention in the United States was the subject of debate and study (see, </w:t>
      </w:r>
      <w:r w:rsidRPr="0014116C">
        <w:rPr>
          <w:rFonts w:cs="Times New Roman"/>
          <w:iCs/>
        </w:rPr>
        <w:t>e.g.</w:t>
      </w:r>
      <w:r w:rsidRPr="0014116C">
        <w:rPr>
          <w:rFonts w:cs="Times New Roman"/>
        </w:rPr>
        <w:t xml:space="preserve">, </w:t>
      </w:r>
      <w:r w:rsidRPr="0014116C">
        <w:rPr>
          <w:rFonts w:cs="Times New Roman"/>
          <w:iCs/>
        </w:rPr>
        <w:t xml:space="preserve">UNHCR, </w:t>
      </w:r>
      <w:r w:rsidRPr="0014116C">
        <w:rPr>
          <w:rFonts w:cs="Times New Roman"/>
          <w:i/>
          <w:iCs/>
        </w:rPr>
        <w:t>UNHCR Comments on the Draft Agreement between Canada and the United States of America for “Cooperation in the Examination of Refugee Status Claims from Nationals of Third Countries”</w:t>
      </w:r>
      <w:r w:rsidRPr="0014116C">
        <w:rPr>
          <w:rFonts w:cs="Times New Roman"/>
        </w:rPr>
        <w:t>, July 26, 2002 (online), at p. 3). Similarly, the “one-year bar” and the treatment of gender-based claims were each focal points during the adoption of the</w:t>
      </w:r>
      <w:r w:rsidRPr="0014116C">
        <w:rPr>
          <w:rFonts w:cs="Times New Roman"/>
          <w:i/>
          <w:iCs/>
        </w:rPr>
        <w:t xml:space="preserve"> </w:t>
      </w:r>
      <w:r w:rsidRPr="0014116C">
        <w:rPr>
          <w:rFonts w:cs="Times New Roman"/>
        </w:rPr>
        <w:t xml:space="preserve">agreement (see, </w:t>
      </w:r>
      <w:r w:rsidRPr="0014116C">
        <w:rPr>
          <w:rFonts w:cs="Times New Roman"/>
          <w:iCs/>
        </w:rPr>
        <w:t>e.g.</w:t>
      </w:r>
      <w:r w:rsidRPr="0014116C">
        <w:rPr>
          <w:rFonts w:cs="Times New Roman"/>
        </w:rPr>
        <w:t>, p. 2; Regulatory Impact Analysis Statement, SOR/2004</w:t>
      </w:r>
      <w:r w:rsidRPr="0014116C">
        <w:rPr>
          <w:rFonts w:cs="Times New Roman"/>
        </w:rPr>
        <w:noBreakHyphen/>
        <w:t xml:space="preserve">217, </w:t>
      </w:r>
      <w:r w:rsidRPr="0014116C">
        <w:rPr>
          <w:rFonts w:cs="Times New Roman"/>
          <w:i/>
          <w:iCs/>
        </w:rPr>
        <w:t>Canada Gazette</w:t>
      </w:r>
      <w:r w:rsidRPr="0014116C">
        <w:rPr>
          <w:rFonts w:cs="Times New Roman"/>
          <w:iCs/>
        </w:rPr>
        <w:t>, Part II</w:t>
      </w:r>
      <w:r w:rsidRPr="0014116C">
        <w:rPr>
          <w:rFonts w:cs="Times New Roman"/>
        </w:rPr>
        <w:t>, vol. 138, No. 22, November 3, 2004, at p. 1627). Further, Canada ought to have known that returnees were at risk of being subjected to the widespread practice of medical isolation. These infringements of liberty and security of the person are causally connected to Canadian state action and must be assessed in relation to the principles of fundamental justice.</w:t>
      </w:r>
    </w:p>
    <w:p w14:paraId="25987007" w14:textId="77777777" w:rsidR="0014116C" w:rsidRPr="0014116C" w:rsidRDefault="0014116C" w:rsidP="0014116C">
      <w:pPr>
        <w:pStyle w:val="Title2LevelTitre2Niveau"/>
        <w:rPr>
          <w:rFonts w:cs="Times New Roman"/>
        </w:rPr>
      </w:pPr>
      <w:bookmarkStart w:id="170" w:name="_Toc127267675"/>
      <w:bookmarkStart w:id="171" w:name="_Toc130454493"/>
      <w:bookmarkStart w:id="172" w:name="_Toc131401535"/>
      <w:bookmarkStart w:id="173" w:name="_Toc133824203"/>
      <w:bookmarkStart w:id="174" w:name="_Toc134173695"/>
      <w:bookmarkStart w:id="175" w:name="_Toc136424923"/>
      <w:r w:rsidRPr="0014116C">
        <w:rPr>
          <w:rFonts w:cs="Times New Roman"/>
        </w:rPr>
        <w:t>Principles of Fundamental Justice Analysis</w:t>
      </w:r>
      <w:bookmarkEnd w:id="170"/>
      <w:bookmarkEnd w:id="171"/>
      <w:bookmarkEnd w:id="172"/>
      <w:bookmarkEnd w:id="173"/>
      <w:bookmarkEnd w:id="174"/>
      <w:bookmarkEnd w:id="175"/>
    </w:p>
    <w:p w14:paraId="640E7975" w14:textId="77777777" w:rsidR="0014116C" w:rsidRPr="0014116C" w:rsidRDefault="0014116C" w:rsidP="0014116C">
      <w:pPr>
        <w:pStyle w:val="Title3LevelTitre3Niveau"/>
        <w:rPr>
          <w:rFonts w:cs="Times New Roman"/>
        </w:rPr>
      </w:pPr>
      <w:bookmarkStart w:id="176" w:name="_Toc131401536"/>
      <w:bookmarkStart w:id="177" w:name="_Toc133824204"/>
      <w:bookmarkStart w:id="178" w:name="_Toc134173696"/>
      <w:bookmarkStart w:id="179" w:name="_Toc136424924"/>
      <w:r w:rsidRPr="0014116C">
        <w:rPr>
          <w:rFonts w:cs="Times New Roman"/>
        </w:rPr>
        <w:t>The Applicable Principles</w:t>
      </w:r>
      <w:bookmarkEnd w:id="176"/>
      <w:bookmarkEnd w:id="177"/>
      <w:bookmarkEnd w:id="178"/>
      <w:bookmarkEnd w:id="179"/>
    </w:p>
    <w:p w14:paraId="1A567132" w14:textId="77777777" w:rsidR="0014116C" w:rsidRPr="0014116C" w:rsidRDefault="0014116C" w:rsidP="0014116C">
      <w:pPr>
        <w:pStyle w:val="ParaNoNdepar-AltN"/>
        <w:tabs>
          <w:tab w:val="clear" w:pos="1166"/>
          <w:tab w:val="num" w:pos="1152"/>
        </w:tabs>
        <w:rPr>
          <w:rFonts w:cs="Times New Roman"/>
        </w:rPr>
      </w:pPr>
      <w:r w:rsidRPr="0014116C">
        <w:rPr>
          <w:rFonts w:cs="Times New Roman"/>
        </w:rPr>
        <w:t xml:space="preserve">Here, the applicable principles of fundamental justice are overbreadth and gross disproportionality. These principles were applied at first instance and are invoked by the appellants before this Court. By contrast, the respondents argue that the “shocks the conscience” standard applies to “the constitutional review of the effects of removal to foreign legal systems and administrations” (R.F., at para. 64). They submit that this high threshold is only met in exceptional circumstances, as is proper given the importance of international comity and respect for the sovereignty of foreign states. In my view, the respondents’ arguments are misplaced. The “shocks the conscience” standard may well be relevant to the review of individualized decisions, but it is not relevant to </w:t>
      </w:r>
      <w:r w:rsidRPr="0014116C">
        <w:rPr>
          <w:rFonts w:cs="Times New Roman"/>
          <w:i/>
          <w:iCs/>
        </w:rPr>
        <w:t xml:space="preserve">Charter </w:t>
      </w:r>
      <w:r w:rsidRPr="0014116C">
        <w:rPr>
          <w:rFonts w:cs="Times New Roman"/>
        </w:rPr>
        <w:t>challenges to legislation.</w:t>
      </w:r>
    </w:p>
    <w:p w14:paraId="01415007" w14:textId="77777777" w:rsidR="0014116C" w:rsidRPr="0014116C" w:rsidRDefault="0014116C" w:rsidP="0014116C">
      <w:pPr>
        <w:pStyle w:val="ParaNoNdepar-AltN"/>
        <w:rPr>
          <w:rFonts w:cs="Times New Roman"/>
          <w:i/>
          <w:iCs/>
        </w:rPr>
      </w:pPr>
      <w:r w:rsidRPr="0014116C">
        <w:rPr>
          <w:rFonts w:cs="Times New Roman"/>
        </w:rPr>
        <w:t xml:space="preserve">It is true, as the respondents noted in oral argument, that “shocks the conscience” was treated as applicable to legislative challenges by some members of this Court in </w:t>
      </w:r>
      <w:r w:rsidRPr="0014116C">
        <w:rPr>
          <w:rFonts w:cs="Times New Roman"/>
          <w:i/>
          <w:iCs/>
        </w:rPr>
        <w:t>Kindler v. Canada (Minister of Justice)</w:t>
      </w:r>
      <w:r w:rsidRPr="0014116C">
        <w:rPr>
          <w:rFonts w:cs="Times New Roman"/>
        </w:rPr>
        <w:t>, [1991] 2 S.C.R. 779, at pp. 849</w:t>
      </w:r>
      <w:r w:rsidRPr="0014116C">
        <w:rPr>
          <w:rFonts w:cs="Times New Roman"/>
        </w:rPr>
        <w:noBreakHyphen/>
        <w:t xml:space="preserve">50. But </w:t>
      </w:r>
      <w:r w:rsidRPr="0014116C">
        <w:rPr>
          <w:rFonts w:cs="Times New Roman"/>
          <w:i/>
          <w:iCs/>
        </w:rPr>
        <w:t>Kindler</w:t>
      </w:r>
      <w:r w:rsidRPr="0014116C">
        <w:rPr>
          <w:rFonts w:cs="Times New Roman"/>
        </w:rPr>
        <w:t xml:space="preserve"> must be read in light of this Court’s later, more complete, consideration of “shocks the conscience” in </w:t>
      </w:r>
      <w:r w:rsidRPr="0014116C">
        <w:rPr>
          <w:rFonts w:cs="Times New Roman"/>
          <w:i/>
          <w:iCs/>
        </w:rPr>
        <w:t>Burns</w:t>
      </w:r>
      <w:r w:rsidRPr="0014116C">
        <w:rPr>
          <w:rFonts w:cs="Times New Roman"/>
        </w:rPr>
        <w:t xml:space="preserve">. It must also be read in the context of this Court’s broader assessment of the principles of fundamental justice in </w:t>
      </w:r>
      <w:r w:rsidRPr="0014116C">
        <w:rPr>
          <w:rFonts w:cs="Times New Roman"/>
          <w:i/>
          <w:iCs/>
        </w:rPr>
        <w:t>Malmo-Levine</w:t>
      </w:r>
      <w:r w:rsidRPr="0014116C">
        <w:rPr>
          <w:rFonts w:cs="Times New Roman"/>
        </w:rPr>
        <w:t>.</w:t>
      </w:r>
    </w:p>
    <w:p w14:paraId="41A7CD3F" w14:textId="77777777" w:rsidR="0014116C" w:rsidRPr="0014116C" w:rsidRDefault="0014116C" w:rsidP="0014116C">
      <w:pPr>
        <w:pStyle w:val="ParaNoNdepar-AltN"/>
        <w:rPr>
          <w:rFonts w:cs="Times New Roman"/>
        </w:rPr>
      </w:pPr>
      <w:r w:rsidRPr="0014116C">
        <w:rPr>
          <w:rFonts w:cs="Times New Roman"/>
        </w:rPr>
        <w:t xml:space="preserve">In </w:t>
      </w:r>
      <w:r w:rsidRPr="0014116C">
        <w:rPr>
          <w:rFonts w:cs="Times New Roman"/>
          <w:i/>
          <w:iCs/>
        </w:rPr>
        <w:t>Burns</w:t>
      </w:r>
      <w:r w:rsidRPr="0014116C">
        <w:rPr>
          <w:rFonts w:cs="Times New Roman"/>
        </w:rPr>
        <w:t xml:space="preserve">, this Court made plain that the “shocks the conscience” standard applies to reviewing individual decisions by the Minister and “should not be allowed to obscure the ultimate assessment that is required”, which is whether those decisions are “in accordance with the principles of fundamental justice” (para. 68). Following </w:t>
      </w:r>
      <w:r w:rsidRPr="0014116C">
        <w:rPr>
          <w:rFonts w:cs="Times New Roman"/>
          <w:i/>
          <w:iCs/>
        </w:rPr>
        <w:t>Burns</w:t>
      </w:r>
      <w:r w:rsidRPr="0014116C">
        <w:rPr>
          <w:rFonts w:cs="Times New Roman"/>
        </w:rPr>
        <w:t xml:space="preserve">, this Court has used “shocks the conscience” when assessing requests for individualized </w:t>
      </w:r>
      <w:r w:rsidRPr="0014116C">
        <w:rPr>
          <w:rFonts w:cs="Times New Roman"/>
          <w:i/>
        </w:rPr>
        <w:t>Charter</w:t>
      </w:r>
      <w:r w:rsidRPr="0014116C">
        <w:rPr>
          <w:rFonts w:cs="Times New Roman"/>
        </w:rPr>
        <w:t xml:space="preserve"> relief from the Minister’s decisions on extradition or deportation rather than, as here, to evaluate the constitutionality of a legislative regime (see, </w:t>
      </w:r>
      <w:r w:rsidRPr="0014116C">
        <w:rPr>
          <w:rFonts w:cs="Times New Roman"/>
          <w:iCs/>
        </w:rPr>
        <w:t>e.g.</w:t>
      </w:r>
      <w:r w:rsidRPr="0014116C">
        <w:rPr>
          <w:rFonts w:cs="Times New Roman"/>
        </w:rPr>
        <w:t xml:space="preserve">, </w:t>
      </w:r>
      <w:r w:rsidRPr="0014116C">
        <w:rPr>
          <w:rFonts w:cs="Times New Roman"/>
          <w:i/>
          <w:iCs/>
        </w:rPr>
        <w:t>Lake v. Canada (Minister of Justice)</w:t>
      </w:r>
      <w:r w:rsidRPr="0014116C">
        <w:rPr>
          <w:rFonts w:cs="Times New Roman"/>
        </w:rPr>
        <w:t>, 2008 SCC 23, [2008] 1 S.C.R. 761, at paras. 38</w:t>
      </w:r>
      <w:r w:rsidRPr="0014116C">
        <w:rPr>
          <w:rFonts w:cs="Times New Roman"/>
        </w:rPr>
        <w:noBreakHyphen/>
        <w:t xml:space="preserve">39; </w:t>
      </w:r>
      <w:r w:rsidRPr="0014116C">
        <w:rPr>
          <w:rFonts w:cs="Times New Roman"/>
          <w:i/>
          <w:iCs/>
        </w:rPr>
        <w:t>Canada (Attorney General) v. Barnaby</w:t>
      </w:r>
      <w:r w:rsidRPr="0014116C">
        <w:rPr>
          <w:rFonts w:cs="Times New Roman"/>
        </w:rPr>
        <w:t xml:space="preserve">, 2015 SCC 31, [2015] 2 S.C.R. 563, at para. 11). Academic commentators have also concluded that the “shocks the conscience” standard speaks to how “a discretionary decision by a state official can be challenged under the </w:t>
      </w:r>
      <w:r w:rsidRPr="0014116C">
        <w:rPr>
          <w:rFonts w:cs="Times New Roman"/>
          <w:i/>
          <w:iCs/>
        </w:rPr>
        <w:t>Charter</w:t>
      </w:r>
      <w:r w:rsidRPr="0014116C">
        <w:rPr>
          <w:rFonts w:cs="Times New Roman"/>
        </w:rPr>
        <w:t xml:space="preserve"> even though the statute under which the decision was made is not itself challenged” (see, e.g., Stewart (2019), at pp. 130</w:t>
      </w:r>
      <w:r w:rsidRPr="0014116C">
        <w:rPr>
          <w:rFonts w:cs="Times New Roman"/>
        </w:rPr>
        <w:noBreakHyphen/>
        <w:t xml:space="preserve">31). Indeed, in </w:t>
      </w:r>
      <w:r w:rsidRPr="0014116C">
        <w:rPr>
          <w:rFonts w:cs="Times New Roman"/>
          <w:i/>
          <w:iCs/>
        </w:rPr>
        <w:t>Malmo-Levine</w:t>
      </w:r>
      <w:r w:rsidRPr="0014116C">
        <w:rPr>
          <w:rFonts w:cs="Times New Roman"/>
        </w:rPr>
        <w:t>,</w:t>
      </w:r>
      <w:r w:rsidRPr="0014116C">
        <w:rPr>
          <w:rFonts w:cs="Times New Roman"/>
          <w:i/>
          <w:iCs/>
        </w:rPr>
        <w:t xml:space="preserve"> </w:t>
      </w:r>
      <w:r w:rsidRPr="0014116C">
        <w:rPr>
          <w:rFonts w:cs="Times New Roman"/>
        </w:rPr>
        <w:t>this Court explicitly concluded that a broad balancing exercise — of the kind that “shocks the conscience” describes — is not an applicable principle of fundamental justice for challenges to legislation (paras. 94</w:t>
      </w:r>
      <w:r w:rsidRPr="0014116C">
        <w:rPr>
          <w:rFonts w:cs="Times New Roman"/>
        </w:rPr>
        <w:noBreakHyphen/>
        <w:t xml:space="preserve">99). It is true that in some contexts, the language of “shocks the conscience” has been used to inform the gross disproportionality standard (see, e.g., in relation to s. 12, </w:t>
      </w:r>
      <w:r w:rsidRPr="0014116C">
        <w:rPr>
          <w:rFonts w:cs="Times New Roman"/>
          <w:i/>
        </w:rPr>
        <w:t>R. v. Hills</w:t>
      </w:r>
      <w:r w:rsidRPr="0014116C">
        <w:rPr>
          <w:rFonts w:cs="Times New Roman"/>
        </w:rPr>
        <w:t>, 2023 SCC 2, at paras. 109</w:t>
      </w:r>
      <w:r w:rsidRPr="0014116C">
        <w:rPr>
          <w:rFonts w:cs="Times New Roman"/>
        </w:rPr>
        <w:noBreakHyphen/>
        <w:t>10, 145 and 163, per Martin J., and at paras. 182</w:t>
      </w:r>
      <w:r w:rsidRPr="0014116C">
        <w:rPr>
          <w:rFonts w:cs="Times New Roman"/>
        </w:rPr>
        <w:noBreakHyphen/>
        <w:t xml:space="preserve">83, per Côté J., dissenting, but not on this point). As a practical matter, a provision held to be grossly disproportionate to its purpose might well shock the conscience if it were pressed into service. But this convergence does not displace the principles of fundamental justice that apply in challenges to legislation. </w:t>
      </w:r>
    </w:p>
    <w:p w14:paraId="5D79C646" w14:textId="77777777" w:rsidR="0014116C" w:rsidRPr="0014116C" w:rsidRDefault="0014116C" w:rsidP="0014116C">
      <w:pPr>
        <w:pStyle w:val="ParaNoNdepar-AltN"/>
        <w:tabs>
          <w:tab w:val="clear" w:pos="1166"/>
          <w:tab w:val="num" w:pos="1152"/>
        </w:tabs>
        <w:rPr>
          <w:rFonts w:cs="Times New Roman"/>
        </w:rPr>
      </w:pPr>
      <w:r w:rsidRPr="0014116C">
        <w:rPr>
          <w:rFonts w:cs="Times New Roman"/>
        </w:rPr>
        <w:t xml:space="preserve">Because the appellants target legislative provisions, the “shocks the conscience” standard is not the appropriate measure in this case. This is not to say, however, that whether governmental conduct shocks the conscience is not relevant to challenging the implementation of the </w:t>
      </w:r>
      <w:r w:rsidRPr="0014116C">
        <w:rPr>
          <w:rFonts w:cs="Times New Roman"/>
          <w:i/>
          <w:iCs/>
        </w:rPr>
        <w:t>Safe Third Country Agreement</w:t>
      </w:r>
      <w:r w:rsidRPr="0014116C">
        <w:rPr>
          <w:rFonts w:cs="Times New Roman"/>
        </w:rPr>
        <w:t xml:space="preserve">. Administrative decisions made under legislative schemes must, like the schemes themselves, respect the guarantees in the </w:t>
      </w:r>
      <w:r w:rsidRPr="0014116C">
        <w:rPr>
          <w:rFonts w:cs="Times New Roman"/>
          <w:i/>
          <w:iCs/>
        </w:rPr>
        <w:t>Charter</w:t>
      </w:r>
      <w:r w:rsidRPr="0014116C">
        <w:rPr>
          <w:rFonts w:cs="Times New Roman"/>
        </w:rPr>
        <w:t xml:space="preserve">. It therefore remains open to refugee claimants arriving from the United States to advance constitutional challenges against determinations that their claims are ineligible to be referred to the Refugee Protection Division or against decisions that exceptional relief is unavailable. </w:t>
      </w:r>
      <w:r w:rsidRPr="0014116C">
        <w:rPr>
          <w:rFonts w:cs="Times New Roman"/>
          <w:szCs w:val="24"/>
        </w:rPr>
        <w:t xml:space="preserve">As this Court has recognized, it is possible to consider challenges to both legislation and administrative conduct within the same proceeding (see, </w:t>
      </w:r>
      <w:r w:rsidRPr="0014116C">
        <w:rPr>
          <w:rFonts w:cs="Times New Roman"/>
          <w:iCs/>
          <w:szCs w:val="24"/>
        </w:rPr>
        <w:t>e.g.</w:t>
      </w:r>
      <w:r w:rsidRPr="0014116C">
        <w:rPr>
          <w:rFonts w:cs="Times New Roman"/>
          <w:szCs w:val="24"/>
        </w:rPr>
        <w:t xml:space="preserve">, </w:t>
      </w:r>
      <w:r w:rsidRPr="0014116C">
        <w:rPr>
          <w:rFonts w:cs="Times New Roman"/>
          <w:i/>
          <w:iCs/>
          <w:szCs w:val="24"/>
        </w:rPr>
        <w:t>PHS</w:t>
      </w:r>
      <w:r w:rsidRPr="0014116C">
        <w:rPr>
          <w:rFonts w:cs="Times New Roman"/>
          <w:iCs/>
          <w:szCs w:val="24"/>
        </w:rPr>
        <w:t>, at paras. 74</w:t>
      </w:r>
      <w:r w:rsidRPr="0014116C">
        <w:rPr>
          <w:rFonts w:cs="Times New Roman"/>
          <w:iCs/>
          <w:szCs w:val="24"/>
        </w:rPr>
        <w:noBreakHyphen/>
        <w:t>77</w:t>
      </w:r>
      <w:r w:rsidRPr="0014116C">
        <w:rPr>
          <w:rFonts w:cs="Times New Roman"/>
          <w:szCs w:val="24"/>
        </w:rPr>
        <w:t xml:space="preserve">; </w:t>
      </w:r>
      <w:r w:rsidRPr="0014116C">
        <w:rPr>
          <w:rFonts w:cs="Times New Roman"/>
          <w:i/>
          <w:iCs/>
          <w:szCs w:val="24"/>
        </w:rPr>
        <w:t>Kindler</w:t>
      </w:r>
      <w:r w:rsidRPr="0014116C">
        <w:rPr>
          <w:rFonts w:cs="Times New Roman"/>
          <w:iCs/>
          <w:szCs w:val="24"/>
        </w:rPr>
        <w:t>, at p. 840, per McLachlin J.</w:t>
      </w:r>
      <w:r w:rsidRPr="0014116C">
        <w:rPr>
          <w:rFonts w:cs="Times New Roman"/>
          <w:szCs w:val="24"/>
        </w:rPr>
        <w:t xml:space="preserve">). </w:t>
      </w:r>
    </w:p>
    <w:p w14:paraId="23B84F50" w14:textId="77777777" w:rsidR="0014116C" w:rsidRPr="0014116C" w:rsidRDefault="0014116C" w:rsidP="0014116C">
      <w:pPr>
        <w:pStyle w:val="ParaNoNdepar-AltN"/>
        <w:tabs>
          <w:tab w:val="clear" w:pos="1166"/>
          <w:tab w:val="num" w:pos="1152"/>
        </w:tabs>
        <w:rPr>
          <w:rFonts w:cs="Times New Roman"/>
        </w:rPr>
      </w:pPr>
      <w:r w:rsidRPr="0014116C">
        <w:rPr>
          <w:rFonts w:cs="Times New Roman"/>
          <w:szCs w:val="24"/>
        </w:rPr>
        <w:t xml:space="preserve">If claimants in future cases challenge administrative conduct, courts may conclude that returning them would shock the conscience of Canadians (see </w:t>
      </w:r>
      <w:r w:rsidRPr="0014116C">
        <w:rPr>
          <w:rFonts w:cs="Times New Roman"/>
          <w:i/>
          <w:szCs w:val="24"/>
        </w:rPr>
        <w:t>Burns</w:t>
      </w:r>
      <w:r w:rsidRPr="0014116C">
        <w:rPr>
          <w:rFonts w:cs="Times New Roman"/>
          <w:szCs w:val="24"/>
        </w:rPr>
        <w:t xml:space="preserve">, at para. 69). </w:t>
      </w:r>
      <w:r w:rsidRPr="0014116C">
        <w:rPr>
          <w:rFonts w:cs="Times New Roman"/>
        </w:rPr>
        <w:t>In this way, vulnerable claimants whom Canada improperly seeks to return can be protected. However, at oral argument, the appellants expressly disclaimed any intention to challenge the constitutionality of administrative decisions to deny them exemptions.</w:t>
      </w:r>
    </w:p>
    <w:p w14:paraId="70C76868" w14:textId="77777777" w:rsidR="0014116C" w:rsidRPr="0014116C" w:rsidRDefault="0014116C" w:rsidP="0014116C">
      <w:pPr>
        <w:pStyle w:val="ParaNoNdepar-AltN"/>
        <w:tabs>
          <w:tab w:val="clear" w:pos="1166"/>
          <w:tab w:val="num" w:pos="1152"/>
        </w:tabs>
        <w:rPr>
          <w:rFonts w:cs="Times New Roman"/>
        </w:rPr>
      </w:pPr>
      <w:r w:rsidRPr="0014116C">
        <w:rPr>
          <w:rFonts w:cs="Times New Roman"/>
        </w:rPr>
        <w:t xml:space="preserve">None of the foregoing implies that the respondents’ concern for international comity and foreign states’ sovereignty is unwarranted. In my view, however, these concerns can be accommodated under the principles of overbreadth and gross disproportionality. To begin with, the </w:t>
      </w:r>
      <w:r w:rsidRPr="0014116C">
        <w:rPr>
          <w:rFonts w:cs="Times New Roman"/>
          <w:i/>
          <w:iCs/>
        </w:rPr>
        <w:t>Suresh</w:t>
      </w:r>
      <w:r w:rsidRPr="0014116C">
        <w:rPr>
          <w:rFonts w:cs="Times New Roman"/>
          <w:iCs/>
        </w:rPr>
        <w:t xml:space="preserve"> and </w:t>
      </w:r>
      <w:r w:rsidRPr="0014116C">
        <w:rPr>
          <w:rFonts w:cs="Times New Roman"/>
          <w:i/>
          <w:iCs/>
        </w:rPr>
        <w:t xml:space="preserve">Bedford </w:t>
      </w:r>
      <w:r w:rsidRPr="0014116C">
        <w:rPr>
          <w:rFonts w:cs="Times New Roman"/>
        </w:rPr>
        <w:t>causation analysis ensures that Canadian courts only assess effects brought about by foreign actors if those effects are causally connected to Canadian state action.</w:t>
      </w:r>
    </w:p>
    <w:p w14:paraId="2CFD4E66" w14:textId="77777777" w:rsidR="0014116C" w:rsidRPr="0014116C" w:rsidRDefault="0014116C" w:rsidP="0014116C">
      <w:pPr>
        <w:pStyle w:val="ParaNoNdepar-AltN"/>
        <w:rPr>
          <w:rFonts w:cs="Times New Roman"/>
        </w:rPr>
      </w:pPr>
      <w:r w:rsidRPr="0014116C">
        <w:rPr>
          <w:rFonts w:cs="Times New Roman"/>
        </w:rPr>
        <w:t xml:space="preserve">Further, the </w:t>
      </w:r>
      <w:r w:rsidRPr="0014116C">
        <w:rPr>
          <w:rFonts w:cs="Times New Roman"/>
          <w:i/>
          <w:iCs/>
        </w:rPr>
        <w:t xml:space="preserve">Bedford </w:t>
      </w:r>
      <w:r w:rsidRPr="0014116C">
        <w:rPr>
          <w:rFonts w:cs="Times New Roman"/>
        </w:rPr>
        <w:t>principles of fundamental justice provide space to consider comity and foreign sovereignty. This is because arbitrariness, overbreadth and gross disproportionality are principles of “instrumental rationality” or of means-ends assessment, which can only be examined in light of the impugned law’s purpose (paras. 107</w:t>
      </w:r>
      <w:r w:rsidRPr="0014116C">
        <w:rPr>
          <w:rFonts w:cs="Times New Roman"/>
        </w:rPr>
        <w:noBreakHyphen/>
        <w:t>9; Stewart (2019), at pp. 150</w:t>
      </w:r>
      <w:r w:rsidRPr="0014116C">
        <w:rPr>
          <w:rFonts w:cs="Times New Roman"/>
        </w:rPr>
        <w:noBreakHyphen/>
        <w:t xml:space="preserve">51; P. W. Hogg, “The Brilliant Career of Section 7 of the Charter” (2012), 58 </w:t>
      </w:r>
      <w:r w:rsidRPr="0014116C">
        <w:rPr>
          <w:rFonts w:cs="Times New Roman"/>
          <w:i/>
        </w:rPr>
        <w:t>S.C.L.R.</w:t>
      </w:r>
      <w:r w:rsidRPr="0014116C">
        <w:rPr>
          <w:rFonts w:cs="Times New Roman"/>
        </w:rPr>
        <w:t xml:space="preserve"> (2d) 195, at p. 209). The proper articulation of the purpose of a scheme with foreign elements must be sensitive to the international context, in which there will rarely, if ever, be exact correspondence between foreign and Canadian regimes. Courts should thus hesitate to conclude that such legislation is predicated on the laws of the foreign state precisely mirroring those of Canada. In these circumstances, I emphasize that courts must take due care in defining the purpose of Canadian legislation.</w:t>
      </w:r>
    </w:p>
    <w:p w14:paraId="0CB57932" w14:textId="77777777" w:rsidR="0014116C" w:rsidRPr="0014116C" w:rsidRDefault="0014116C" w:rsidP="0014116C">
      <w:pPr>
        <w:pStyle w:val="ParaNoNdepar-AltN"/>
        <w:tabs>
          <w:tab w:val="clear" w:pos="1166"/>
          <w:tab w:val="num" w:pos="1152"/>
        </w:tabs>
        <w:rPr>
          <w:rFonts w:cs="Times New Roman"/>
        </w:rPr>
      </w:pPr>
      <w:r w:rsidRPr="0014116C">
        <w:rPr>
          <w:rFonts w:cs="Times New Roman"/>
        </w:rPr>
        <w:t>Finally, this Court has left open the possibility that a s. 7 breach might be justified under s. 1 in appropriate circumstances (</w:t>
      </w:r>
      <w:r w:rsidRPr="0014116C">
        <w:rPr>
          <w:rFonts w:cs="Times New Roman"/>
          <w:i/>
          <w:iCs/>
        </w:rPr>
        <w:t>Malmo-Levine</w:t>
      </w:r>
      <w:r w:rsidRPr="0014116C">
        <w:rPr>
          <w:rFonts w:cs="Times New Roman"/>
        </w:rPr>
        <w:t>, at paras. 96</w:t>
      </w:r>
      <w:r w:rsidRPr="0014116C">
        <w:rPr>
          <w:rFonts w:cs="Times New Roman"/>
        </w:rPr>
        <w:noBreakHyphen/>
        <w:t xml:space="preserve">98; </w:t>
      </w:r>
      <w:r w:rsidRPr="0014116C">
        <w:rPr>
          <w:rFonts w:cs="Times New Roman"/>
          <w:i/>
          <w:iCs/>
        </w:rPr>
        <w:t>Bedford</w:t>
      </w:r>
      <w:r w:rsidRPr="0014116C">
        <w:rPr>
          <w:rFonts w:cs="Times New Roman"/>
        </w:rPr>
        <w:t xml:space="preserve">, at para. 129). This Court has also emphasized that the s. 1 analysis must be approached with sensitivity to the factual and social context of each case (see, </w:t>
      </w:r>
      <w:r w:rsidRPr="0014116C">
        <w:rPr>
          <w:rFonts w:cs="Times New Roman"/>
          <w:iCs/>
        </w:rPr>
        <w:t>e.g.</w:t>
      </w:r>
      <w:r w:rsidRPr="0014116C">
        <w:rPr>
          <w:rFonts w:cs="Times New Roman"/>
        </w:rPr>
        <w:t xml:space="preserve">, </w:t>
      </w:r>
      <w:r w:rsidRPr="0014116C">
        <w:rPr>
          <w:rFonts w:cs="Times New Roman"/>
          <w:i/>
          <w:iCs/>
        </w:rPr>
        <w:t>RJR</w:t>
      </w:r>
      <w:r w:rsidRPr="0014116C">
        <w:rPr>
          <w:rFonts w:cs="Times New Roman"/>
          <w:i/>
          <w:iCs/>
        </w:rPr>
        <w:noBreakHyphen/>
        <w:t>MacDonald Inc. v. Canada (Attorney General)</w:t>
      </w:r>
      <w:r w:rsidRPr="0014116C">
        <w:rPr>
          <w:rFonts w:cs="Times New Roman"/>
        </w:rPr>
        <w:t>, [1995] 3 S.C.R. 199, at para. 63, per La Forest J., dissenting, but not on this point, and at paras. 132</w:t>
      </w:r>
      <w:r w:rsidRPr="0014116C">
        <w:rPr>
          <w:rFonts w:cs="Times New Roman"/>
        </w:rPr>
        <w:noBreakHyphen/>
        <w:t xml:space="preserve">34, per McLachlin J.). At the s. 1 stage, a contextual approach would likely consider international comity and the sovereignty of foreign states. </w:t>
      </w:r>
    </w:p>
    <w:p w14:paraId="28F73A59" w14:textId="77777777" w:rsidR="0014116C" w:rsidRPr="0014116C" w:rsidRDefault="0014116C" w:rsidP="0014116C">
      <w:pPr>
        <w:pStyle w:val="Title3LevelTitre3Niveau"/>
        <w:rPr>
          <w:rFonts w:cs="Times New Roman"/>
        </w:rPr>
      </w:pPr>
      <w:bookmarkStart w:id="180" w:name="_Toc131401537"/>
      <w:bookmarkStart w:id="181" w:name="_Toc133824205"/>
      <w:bookmarkStart w:id="182" w:name="_Toc134173697"/>
      <w:bookmarkStart w:id="183" w:name="_Toc136424925"/>
      <w:r w:rsidRPr="0014116C">
        <w:rPr>
          <w:rFonts w:cs="Times New Roman"/>
        </w:rPr>
        <w:t>The Scheme Is Not Overbroad or Grossly Disproportionate</w:t>
      </w:r>
      <w:bookmarkEnd w:id="180"/>
      <w:bookmarkEnd w:id="181"/>
      <w:bookmarkEnd w:id="182"/>
      <w:bookmarkEnd w:id="183"/>
    </w:p>
    <w:p w14:paraId="2F86313D" w14:textId="77777777" w:rsidR="0014116C" w:rsidRPr="0014116C" w:rsidRDefault="0014116C" w:rsidP="0014116C">
      <w:pPr>
        <w:pStyle w:val="ParaNoNdepar-AltN"/>
        <w:rPr>
          <w:rFonts w:cs="Times New Roman"/>
        </w:rPr>
      </w:pPr>
      <w:r w:rsidRPr="0014116C">
        <w:rPr>
          <w:rFonts w:cs="Times New Roman"/>
        </w:rPr>
        <w:t xml:space="preserve">The respondents do not mention </w:t>
      </w:r>
      <w:r w:rsidRPr="0014116C">
        <w:rPr>
          <w:rFonts w:cs="Times New Roman"/>
          <w:i/>
          <w:iCs/>
        </w:rPr>
        <w:t xml:space="preserve">Bedford </w:t>
      </w:r>
      <w:r w:rsidRPr="0014116C">
        <w:rPr>
          <w:rFonts w:cs="Times New Roman"/>
        </w:rPr>
        <w:t xml:space="preserve">in their factum. Although their position is that the </w:t>
      </w:r>
      <w:r w:rsidRPr="0014116C">
        <w:rPr>
          <w:rFonts w:cs="Times New Roman"/>
          <w:i/>
          <w:iCs/>
        </w:rPr>
        <w:t xml:space="preserve">Bedford </w:t>
      </w:r>
      <w:r w:rsidRPr="0014116C">
        <w:rPr>
          <w:rFonts w:cs="Times New Roman"/>
        </w:rPr>
        <w:t xml:space="preserve">principles of fundamental justice do not apply to this appeal, their failure to address </w:t>
      </w:r>
      <w:r w:rsidRPr="0014116C">
        <w:rPr>
          <w:rFonts w:cs="Times New Roman"/>
          <w:i/>
          <w:iCs/>
        </w:rPr>
        <w:t xml:space="preserve">Bedford </w:t>
      </w:r>
      <w:r w:rsidRPr="0014116C">
        <w:rPr>
          <w:rFonts w:cs="Times New Roman"/>
        </w:rPr>
        <w:t xml:space="preserve">was unhelpful. The appellants’ case focused on overbreadth and gross disproportionality at each stage of the proceedings. The Federal Court applied these principles and the Court of Appeal commented on them. It would therefore have been useful to this Court for the respondents to provide explanations, or alternative arguments, about these principles. </w:t>
      </w:r>
    </w:p>
    <w:p w14:paraId="4A1BC0E2" w14:textId="77777777" w:rsidR="0014116C" w:rsidRPr="0014116C" w:rsidRDefault="0014116C" w:rsidP="0014116C">
      <w:pPr>
        <w:pStyle w:val="ParaNoNdepar-AltN"/>
        <w:rPr>
          <w:rFonts w:cs="Times New Roman"/>
        </w:rPr>
      </w:pPr>
      <w:r w:rsidRPr="0014116C">
        <w:rPr>
          <w:rFonts w:cs="Times New Roman"/>
        </w:rPr>
        <w:t xml:space="preserve">Here, the </w:t>
      </w:r>
      <w:r w:rsidRPr="0014116C">
        <w:rPr>
          <w:rFonts w:cs="Times New Roman"/>
          <w:i/>
          <w:iCs/>
        </w:rPr>
        <w:t xml:space="preserve">Bedford </w:t>
      </w:r>
      <w:r w:rsidRPr="0014116C">
        <w:rPr>
          <w:rFonts w:cs="Times New Roman"/>
        </w:rPr>
        <w:t>principles apply. When assessing whether legislation violates these principles, courts consider “whether the law’s purpose, taken at face value, is connected to its effects and whether the negative effect is grossly disproportionate to the law’s purpose” (para. 125). This requires courts to identify the legislative purpose and then to assess if, in light of that purpose, the legislation breached any applicable principle of fundamental justice.</w:t>
      </w:r>
    </w:p>
    <w:p w14:paraId="25C38222" w14:textId="77777777" w:rsidR="0014116C" w:rsidRPr="0014116C" w:rsidRDefault="0014116C" w:rsidP="0014116C">
      <w:pPr>
        <w:pStyle w:val="Title4LevelTitre4Niveau"/>
        <w:rPr>
          <w:rFonts w:cs="Times New Roman"/>
        </w:rPr>
      </w:pPr>
      <w:r w:rsidRPr="0014116C">
        <w:rPr>
          <w:rFonts w:cs="Times New Roman"/>
        </w:rPr>
        <w:t>Legislative Purpose</w:t>
      </w:r>
    </w:p>
    <w:p w14:paraId="586418A2" w14:textId="77777777" w:rsidR="0014116C" w:rsidRPr="0014116C" w:rsidRDefault="0014116C" w:rsidP="0014116C">
      <w:pPr>
        <w:pStyle w:val="ParaNoNdepar-AltN"/>
        <w:rPr>
          <w:rFonts w:cs="Times New Roman"/>
        </w:rPr>
      </w:pPr>
      <w:r w:rsidRPr="0014116C">
        <w:rPr>
          <w:rFonts w:cs="Times New Roman"/>
        </w:rPr>
        <w:t xml:space="preserve">The courts below relied on the purpose of the legislative scheme articulated in </w:t>
      </w:r>
      <w:r w:rsidRPr="0014116C">
        <w:rPr>
          <w:rFonts w:cs="Times New Roman"/>
          <w:i/>
          <w:iCs/>
        </w:rPr>
        <w:t>CCR (2008)</w:t>
      </w:r>
      <w:r w:rsidRPr="0014116C">
        <w:rPr>
          <w:rFonts w:cs="Times New Roman"/>
          <w:iCs/>
        </w:rPr>
        <w:t>, at para. 75</w:t>
      </w:r>
      <w:r w:rsidRPr="0014116C">
        <w:rPr>
          <w:rFonts w:cs="Times New Roman"/>
        </w:rPr>
        <w:t xml:space="preserve">: “. . . the sharing of responsibility for the consideration of refugee claims with countries that are signatory to and comply with the relevant articles of [the </w:t>
      </w:r>
      <w:r w:rsidRPr="0014116C">
        <w:rPr>
          <w:rFonts w:cs="Times New Roman"/>
          <w:i/>
          <w:iCs/>
        </w:rPr>
        <w:t>Refugee Convention</w:t>
      </w:r>
      <w:r w:rsidRPr="0014116C">
        <w:rPr>
          <w:rFonts w:cs="Times New Roman"/>
        </w:rPr>
        <w:t xml:space="preserve"> and the </w:t>
      </w:r>
      <w:r w:rsidRPr="0014116C">
        <w:rPr>
          <w:rFonts w:cs="Times New Roman"/>
          <w:i/>
          <w:iCs/>
        </w:rPr>
        <w:t>Convention Against Torture</w:t>
      </w:r>
      <w:r w:rsidRPr="0014116C">
        <w:rPr>
          <w:rFonts w:cs="Times New Roman"/>
        </w:rPr>
        <w:t>] and have an acceptable human rights record” (Federal Court reasons, at paras. 119</w:t>
      </w:r>
      <w:r w:rsidRPr="0014116C">
        <w:rPr>
          <w:rFonts w:cs="Times New Roman"/>
        </w:rPr>
        <w:noBreakHyphen/>
        <w:t>22; C.A. reasons, at para. 164). The appellants advance a broader view of the place of international law in the scheme’s purpose, saying that it is designed “to share responsibility for the protection of refugees in accordance with Canada’s international obligations” (A.F., at para. 56 (emphasis deleted)). Conversely, the respondents would have this Court adopt a purpose that does not make international obligations explicit: “. . . to share responsibility for providing protection to those in need and to improve the efficiency of the refugee determination system” (R.F., at para. 26). I would not adopt any of these statements. In my view</w:t>
      </w:r>
      <w:r w:rsidRPr="0014116C">
        <w:rPr>
          <w:rFonts w:cs="Times New Roman"/>
          <w:bdr w:val="none" w:sz="0" w:space="0" w:color="auto" w:frame="1"/>
        </w:rPr>
        <w:t>,</w:t>
      </w:r>
      <w:r w:rsidRPr="0014116C">
        <w:rPr>
          <w:rFonts w:cs="Times New Roman"/>
        </w:rPr>
        <w:t xml:space="preserve"> the purpose of s. 159.3 of the </w:t>
      </w:r>
      <w:r w:rsidRPr="0014116C">
        <w:rPr>
          <w:rFonts w:cs="Times New Roman"/>
          <w:i/>
        </w:rPr>
        <w:t>IRPR</w:t>
      </w:r>
      <w:r w:rsidRPr="0014116C">
        <w:rPr>
          <w:rFonts w:cs="Times New Roman"/>
        </w:rPr>
        <w:t xml:space="preserve"> is to share responsibility for fairly considering refugee claims with the United States, in accordance with the principle of </w:t>
      </w:r>
      <w:r w:rsidRPr="0014116C">
        <w:rPr>
          <w:rFonts w:cs="Times New Roman"/>
          <w:i/>
          <w:iCs/>
        </w:rPr>
        <w:t>non-refoulement</w:t>
      </w:r>
      <w:r w:rsidRPr="0014116C">
        <w:rPr>
          <w:rFonts w:cs="Times New Roman"/>
        </w:rPr>
        <w:t>.</w:t>
      </w:r>
    </w:p>
    <w:p w14:paraId="1311E73B" w14:textId="77777777" w:rsidR="0014116C" w:rsidRPr="0014116C" w:rsidRDefault="0014116C" w:rsidP="0014116C">
      <w:pPr>
        <w:pStyle w:val="ParaNoNdepar-AltN"/>
        <w:rPr>
          <w:rFonts w:cs="Times New Roman"/>
        </w:rPr>
      </w:pPr>
      <w:r w:rsidRPr="0014116C">
        <w:rPr>
          <w:rFonts w:cs="Times New Roman"/>
        </w:rPr>
        <w:t xml:space="preserve">In </w:t>
      </w:r>
      <w:r w:rsidRPr="0014116C">
        <w:rPr>
          <w:rFonts w:cs="Times New Roman"/>
          <w:i/>
          <w:iCs/>
          <w:bdr w:val="none" w:sz="0" w:space="0" w:color="auto" w:frame="1"/>
        </w:rPr>
        <w:t>R. v. Ndhlovu</w:t>
      </w:r>
      <w:r w:rsidRPr="0014116C">
        <w:rPr>
          <w:rFonts w:cs="Times New Roman"/>
          <w:bdr w:val="none" w:sz="0" w:space="0" w:color="auto" w:frame="1"/>
        </w:rPr>
        <w:t>,</w:t>
      </w:r>
      <w:r w:rsidRPr="0014116C">
        <w:rPr>
          <w:rFonts w:cs="Times New Roman"/>
          <w:i/>
          <w:iCs/>
          <w:bdr w:val="none" w:sz="0" w:space="0" w:color="auto" w:frame="1"/>
        </w:rPr>
        <w:t xml:space="preserve"> </w:t>
      </w:r>
      <w:r w:rsidRPr="0014116C">
        <w:rPr>
          <w:rFonts w:cs="Times New Roman"/>
          <w:bdr w:val="none" w:sz="0" w:space="0" w:color="auto" w:frame="1"/>
        </w:rPr>
        <w:t xml:space="preserve">2022 SCC 38, this Court reiterated several principles guiding the characterization of legislative purpose within a s. 7 analysis. It noted, for instance, that the focus is </w:t>
      </w:r>
      <w:r w:rsidRPr="0014116C">
        <w:rPr>
          <w:rFonts w:cs="Times New Roman"/>
        </w:rPr>
        <w:t xml:space="preserve">the purpose of the impugned provisions, although the broader legislative scheme may provide clues as to the narrower provisions’ purpose (para. 61, </w:t>
      </w:r>
      <w:r w:rsidRPr="0014116C">
        <w:rPr>
          <w:rFonts w:cs="Times New Roman"/>
          <w:iCs/>
        </w:rPr>
        <w:t xml:space="preserve">per </w:t>
      </w:r>
      <w:r w:rsidRPr="0014116C">
        <w:rPr>
          <w:rFonts w:cs="Times New Roman"/>
        </w:rPr>
        <w:t xml:space="preserve">Karakatsanis and Martin JJ., and para. 153, </w:t>
      </w:r>
      <w:r w:rsidRPr="0014116C">
        <w:rPr>
          <w:rFonts w:cs="Times New Roman"/>
          <w:iCs/>
        </w:rPr>
        <w:t xml:space="preserve">per </w:t>
      </w:r>
      <w:r w:rsidRPr="0014116C">
        <w:rPr>
          <w:rFonts w:cs="Times New Roman"/>
        </w:rPr>
        <w:t>Brown J., dissenting in part, but not on this point). Courts may consider “statements of purpose in the legislation, if any; the text, context, and scheme of the legislation; and extrinsic evidence” (</w:t>
      </w:r>
      <w:r w:rsidRPr="0014116C">
        <w:rPr>
          <w:rFonts w:cs="Times New Roman"/>
          <w:bdr w:val="none" w:sz="0" w:space="0" w:color="auto" w:frame="1"/>
        </w:rPr>
        <w:t xml:space="preserve">para. 64; see also </w:t>
      </w:r>
      <w:r w:rsidRPr="0014116C">
        <w:rPr>
          <w:rFonts w:cs="Times New Roman"/>
          <w:i/>
          <w:iCs/>
          <w:bdr w:val="none" w:sz="0" w:space="0" w:color="auto" w:frame="1"/>
        </w:rPr>
        <w:t>R. v. Appulonappa</w:t>
      </w:r>
      <w:r w:rsidRPr="0014116C">
        <w:rPr>
          <w:rFonts w:cs="Times New Roman"/>
          <w:bdr w:val="none" w:sz="0" w:space="0" w:color="auto" w:frame="1"/>
        </w:rPr>
        <w:t xml:space="preserve">, 2015 SCC 59, [2015] 3 S.C.R. 754, at para. 33). </w:t>
      </w:r>
    </w:p>
    <w:p w14:paraId="30E076E2" w14:textId="77777777" w:rsidR="0014116C" w:rsidRPr="0014116C" w:rsidRDefault="0014116C" w:rsidP="0014116C">
      <w:pPr>
        <w:pStyle w:val="ParaNoNdepar-AltN"/>
        <w:rPr>
          <w:rFonts w:cs="Times New Roman"/>
        </w:rPr>
      </w:pPr>
      <w:r w:rsidRPr="0014116C">
        <w:rPr>
          <w:rFonts w:cs="Times New Roman"/>
          <w:bdr w:val="none" w:sz="0" w:space="0" w:color="auto" w:frame="1"/>
        </w:rPr>
        <w:t xml:space="preserve">Purpose statements are </w:t>
      </w:r>
      <w:r w:rsidRPr="0014116C">
        <w:rPr>
          <w:rFonts w:cs="Times New Roman"/>
        </w:rPr>
        <w:t xml:space="preserve">“[t]he first, ‘most direct and authoritative evidence’ of the legislative purpose” </w:t>
      </w:r>
      <w:r w:rsidRPr="0014116C">
        <w:rPr>
          <w:rFonts w:cs="Times New Roman"/>
          <w:bdr w:val="none" w:sz="0" w:space="0" w:color="auto" w:frame="1"/>
        </w:rPr>
        <w:t>(</w:t>
      </w:r>
      <w:r w:rsidRPr="0014116C">
        <w:rPr>
          <w:rFonts w:cs="Times New Roman"/>
          <w:i/>
          <w:iCs/>
          <w:bdr w:val="none" w:sz="0" w:space="0" w:color="auto" w:frame="1"/>
        </w:rPr>
        <w:t>Appulonappa</w:t>
      </w:r>
      <w:r w:rsidRPr="0014116C">
        <w:rPr>
          <w:rFonts w:cs="Times New Roman"/>
          <w:bdr w:val="none" w:sz="0" w:space="0" w:color="auto" w:frame="1"/>
        </w:rPr>
        <w:t xml:space="preserve">, at para. 49, </w:t>
      </w:r>
      <w:r w:rsidRPr="0014116C">
        <w:rPr>
          <w:rFonts w:cs="Times New Roman"/>
        </w:rPr>
        <w:t xml:space="preserve">citing R. Sullivan, </w:t>
      </w:r>
      <w:r w:rsidRPr="0014116C">
        <w:rPr>
          <w:rFonts w:cs="Times New Roman"/>
          <w:i/>
          <w:iCs/>
        </w:rPr>
        <w:t xml:space="preserve">Sullivan on the Construction of Statutes </w:t>
      </w:r>
      <w:r w:rsidRPr="0014116C">
        <w:rPr>
          <w:rFonts w:cs="Times New Roman"/>
        </w:rPr>
        <w:t>(6th ed. 2014), at pp. 274</w:t>
      </w:r>
      <w:r w:rsidRPr="0014116C">
        <w:rPr>
          <w:rFonts w:cs="Times New Roman"/>
        </w:rPr>
        <w:noBreakHyphen/>
        <w:t xml:space="preserve">76). Here, while the specific sections containing the impugned provisions do not provide formal purpose statements, s. 3(2) of the </w:t>
      </w:r>
      <w:r w:rsidRPr="0014116C">
        <w:rPr>
          <w:rFonts w:cs="Times New Roman"/>
          <w:i/>
          <w:iCs/>
        </w:rPr>
        <w:t>IRPA</w:t>
      </w:r>
      <w:r w:rsidRPr="0014116C">
        <w:rPr>
          <w:rFonts w:cs="Times New Roman"/>
        </w:rPr>
        <w:t xml:space="preserve"> articulates the Act’s overall objectives with respect to refugees:</w:t>
      </w:r>
    </w:p>
    <w:p w14:paraId="2E3D9BA3" w14:textId="77777777" w:rsidR="0014116C" w:rsidRPr="0014116C" w:rsidRDefault="0014116C" w:rsidP="0014116C">
      <w:pPr>
        <w:pStyle w:val="Citation-AltC"/>
      </w:pPr>
      <w:r w:rsidRPr="0014116C">
        <w:rPr>
          <w:b/>
          <w:bCs/>
        </w:rPr>
        <w:t>(2)</w:t>
      </w:r>
      <w:r w:rsidRPr="0014116C">
        <w:t xml:space="preserve"> The objectives of this Act with respect to refugees are</w:t>
      </w:r>
    </w:p>
    <w:p w14:paraId="0C888666" w14:textId="77777777" w:rsidR="0014116C" w:rsidRPr="0014116C" w:rsidRDefault="0014116C" w:rsidP="0014116C">
      <w:pPr>
        <w:pStyle w:val="Citation-AltC"/>
      </w:pPr>
    </w:p>
    <w:p w14:paraId="6C98A3C9" w14:textId="77777777" w:rsidR="0014116C" w:rsidRPr="0014116C" w:rsidRDefault="0014116C" w:rsidP="0014116C">
      <w:pPr>
        <w:pStyle w:val="Citation-AltC"/>
        <w:spacing w:after="0"/>
        <w:ind w:left="1440"/>
      </w:pPr>
      <w:r w:rsidRPr="0014116C">
        <w:rPr>
          <w:b/>
        </w:rPr>
        <w:t>(a)</w:t>
      </w:r>
      <w:r w:rsidRPr="0014116C">
        <w:t xml:space="preserve"> to recognize that the refugee program is in the first instance about saving lives and offering protection to the displaced and persecuted;</w:t>
      </w:r>
    </w:p>
    <w:p w14:paraId="36D040B8" w14:textId="77777777" w:rsidR="0014116C" w:rsidRPr="0014116C" w:rsidRDefault="0014116C" w:rsidP="0014116C">
      <w:pPr>
        <w:pStyle w:val="Citation-AltC"/>
        <w:spacing w:after="0"/>
        <w:ind w:left="1440"/>
      </w:pPr>
    </w:p>
    <w:p w14:paraId="6E4F9F7E" w14:textId="77777777" w:rsidR="0014116C" w:rsidRPr="0014116C" w:rsidRDefault="0014116C" w:rsidP="0014116C">
      <w:pPr>
        <w:pStyle w:val="Citation-AltC"/>
        <w:spacing w:after="0"/>
        <w:ind w:left="1440"/>
      </w:pPr>
      <w:r w:rsidRPr="0014116C">
        <w:rPr>
          <w:b/>
          <w:bCs/>
        </w:rPr>
        <w:t>(b)</w:t>
      </w:r>
      <w:r w:rsidRPr="0014116C">
        <w:t xml:space="preserve"> to fulfil Canada’s international legal obligations with respect to refugees and affirm Canada’s commitment to international efforts to provide assistance to those in need of resettlement;</w:t>
      </w:r>
    </w:p>
    <w:p w14:paraId="7FA69E01" w14:textId="77777777" w:rsidR="0014116C" w:rsidRPr="0014116C" w:rsidRDefault="0014116C" w:rsidP="0014116C">
      <w:pPr>
        <w:pStyle w:val="Citation-AltC"/>
        <w:spacing w:after="0"/>
        <w:ind w:left="1440"/>
        <w:rPr>
          <w:b/>
        </w:rPr>
      </w:pPr>
    </w:p>
    <w:p w14:paraId="360888AC" w14:textId="77777777" w:rsidR="0014116C" w:rsidRPr="0014116C" w:rsidRDefault="0014116C" w:rsidP="0014116C">
      <w:pPr>
        <w:pStyle w:val="Citation-AltC"/>
        <w:spacing w:after="0"/>
        <w:ind w:left="1440"/>
      </w:pPr>
      <w:r w:rsidRPr="0014116C">
        <w:rPr>
          <w:b/>
        </w:rPr>
        <w:t>(c)</w:t>
      </w:r>
      <w:r w:rsidRPr="0014116C">
        <w:t xml:space="preserve"> to grant, as a fundamental expression of Canada’s humanitarian ideals, fair consideration to those who come to Canada claiming persecution;</w:t>
      </w:r>
    </w:p>
    <w:p w14:paraId="006FEF27" w14:textId="77777777" w:rsidR="0014116C" w:rsidRPr="0014116C" w:rsidRDefault="0014116C" w:rsidP="0014116C">
      <w:pPr>
        <w:pStyle w:val="Citation-AltC"/>
        <w:spacing w:after="0"/>
        <w:ind w:left="1440"/>
        <w:rPr>
          <w:b/>
          <w:bCs/>
        </w:rPr>
      </w:pPr>
    </w:p>
    <w:p w14:paraId="61365547" w14:textId="77777777" w:rsidR="0014116C" w:rsidRPr="0014116C" w:rsidRDefault="0014116C" w:rsidP="0014116C">
      <w:pPr>
        <w:pStyle w:val="Citation-AltC"/>
        <w:spacing w:after="0"/>
        <w:ind w:left="1440"/>
      </w:pPr>
      <w:r w:rsidRPr="0014116C">
        <w:rPr>
          <w:b/>
          <w:bCs/>
        </w:rPr>
        <w:t>(d)</w:t>
      </w:r>
      <w:r w:rsidRPr="0014116C">
        <w:t xml:space="preserve"> to offer safe haven to persons with a well-founded fear of persecution based on race, religion, nationality, political opinion or membership in a particular social group, as well as those at risk of torture or cruel and unusual treatment or punishment;</w:t>
      </w:r>
    </w:p>
    <w:p w14:paraId="7C7261C7" w14:textId="77777777" w:rsidR="0014116C" w:rsidRPr="0014116C" w:rsidRDefault="0014116C" w:rsidP="0014116C">
      <w:pPr>
        <w:pStyle w:val="Citation-AltC"/>
        <w:spacing w:after="0"/>
        <w:ind w:left="1440"/>
        <w:rPr>
          <w:b/>
          <w:bCs/>
        </w:rPr>
      </w:pPr>
    </w:p>
    <w:p w14:paraId="4B1E048E" w14:textId="77777777" w:rsidR="0014116C" w:rsidRPr="0014116C" w:rsidRDefault="0014116C" w:rsidP="0014116C">
      <w:pPr>
        <w:pStyle w:val="Citation-AltC"/>
        <w:spacing w:after="0"/>
        <w:ind w:left="1440"/>
      </w:pPr>
      <w:r w:rsidRPr="0014116C">
        <w:rPr>
          <w:b/>
          <w:bCs/>
        </w:rPr>
        <w:t>(e)</w:t>
      </w:r>
      <w:r w:rsidRPr="0014116C">
        <w:t xml:space="preserve"> to establish fair and efficient procedures that will maintain the integrity of the Canadian refugee protection system, while upholding Canada’s respect for the human rights and fundamental freedoms of all human beings; </w:t>
      </w:r>
    </w:p>
    <w:p w14:paraId="59A19FC4" w14:textId="77777777" w:rsidR="0014116C" w:rsidRPr="0014116C" w:rsidRDefault="0014116C" w:rsidP="0014116C">
      <w:pPr>
        <w:pStyle w:val="ParaNoNdepar-AltN"/>
        <w:rPr>
          <w:rFonts w:cs="Times New Roman"/>
        </w:rPr>
      </w:pPr>
      <w:r w:rsidRPr="0014116C">
        <w:rPr>
          <w:rFonts w:cs="Times New Roman"/>
        </w:rPr>
        <w:t xml:space="preserve">These objectives supply three key considerations relevant to assessing the purpose of the provisions at issue here: respecting Canada’s international obligations (s. 3(2)(b) and (d)), ensuring fair process and consideration for claimants (s. 3(2)(b), (c) and (e)), and upholding the efficiency and sustainability of the Canadian refugee protection system (s. 3(2)(e)). Further, </w:t>
      </w:r>
      <w:r w:rsidRPr="0014116C">
        <w:rPr>
          <w:rFonts w:cs="Times New Roman"/>
          <w:iCs/>
        </w:rPr>
        <w:t xml:space="preserve">s. 102(1) of the </w:t>
      </w:r>
      <w:r w:rsidRPr="0014116C">
        <w:rPr>
          <w:rFonts w:cs="Times New Roman"/>
          <w:i/>
          <w:iCs/>
        </w:rPr>
        <w:t>IRPA</w:t>
      </w:r>
      <w:r w:rsidRPr="0014116C">
        <w:rPr>
          <w:rFonts w:cs="Times New Roman"/>
          <w:iCs/>
        </w:rPr>
        <w:t xml:space="preserve"> also speaks to legislative objective in this instance insofar as it permits the designation of countries “for the purpose of sharing responsibility with governments of foreign states for the consideration of refugee claims”.</w:t>
      </w:r>
    </w:p>
    <w:p w14:paraId="287AF66D" w14:textId="77777777" w:rsidR="0014116C" w:rsidRPr="0014116C" w:rsidRDefault="0014116C" w:rsidP="0014116C">
      <w:pPr>
        <w:pStyle w:val="ParaNoNdepar-AltN"/>
        <w:rPr>
          <w:rFonts w:cs="Times New Roman"/>
        </w:rPr>
      </w:pPr>
      <w:r w:rsidRPr="0014116C">
        <w:rPr>
          <w:rFonts w:cs="Times New Roman"/>
        </w:rPr>
        <w:t xml:space="preserve">With respect to the text and context of the legislative scheme, the provision directly challenged is s. 159.3 of the </w:t>
      </w:r>
      <w:r w:rsidRPr="0014116C">
        <w:rPr>
          <w:rFonts w:cs="Times New Roman"/>
          <w:i/>
          <w:iCs/>
        </w:rPr>
        <w:t>IRPR</w:t>
      </w:r>
      <w:r w:rsidRPr="0014116C">
        <w:rPr>
          <w:rFonts w:cs="Times New Roman"/>
        </w:rPr>
        <w:t xml:space="preserve">. This provision designates the United States pursuant to s. 102(1)(a) of the </w:t>
      </w:r>
      <w:r w:rsidRPr="0014116C">
        <w:rPr>
          <w:rFonts w:cs="Times New Roman"/>
          <w:i/>
          <w:iCs/>
        </w:rPr>
        <w:t>IRPA</w:t>
      </w:r>
      <w:r w:rsidRPr="0014116C">
        <w:rPr>
          <w:rFonts w:cs="Times New Roman"/>
        </w:rPr>
        <w:t xml:space="preserve">. In my view, the purpose of a provision designating a specific country can only be understood in light of s. 102(2), as the Federal Court of Appeal recognized in </w:t>
      </w:r>
      <w:r w:rsidRPr="0014116C">
        <w:rPr>
          <w:rFonts w:cs="Times New Roman"/>
          <w:i/>
        </w:rPr>
        <w:t>CCR (2008)</w:t>
      </w:r>
      <w:r w:rsidRPr="0014116C">
        <w:rPr>
          <w:rFonts w:cs="Times New Roman"/>
        </w:rPr>
        <w:t xml:space="preserve">. Considering the factors set out in s. 102(2) is a condition precedent to designating a country. These factors, identified by Parliament, necessarily partake of the purpose for which a designation is made. They include the country’s “policies and practices with respect to claims under the Refugee Convention and with respect to obligations under the Convention Against Torture” (s. 102(2)(b)). The “human rights record” of a country is another (s. 102(2)(c)). </w:t>
      </w:r>
    </w:p>
    <w:p w14:paraId="104C6D5F" w14:textId="77777777" w:rsidR="0014116C" w:rsidRPr="0014116C" w:rsidRDefault="0014116C" w:rsidP="0014116C">
      <w:pPr>
        <w:pStyle w:val="ParaNoNdepar-AltN"/>
        <w:rPr>
          <w:rFonts w:cs="Times New Roman"/>
        </w:rPr>
      </w:pPr>
      <w:r w:rsidRPr="0014116C">
        <w:rPr>
          <w:rFonts w:cs="Times New Roman"/>
        </w:rPr>
        <w:t xml:space="preserve">The authority to designate a country flows from s. 102(1)(a), which focuses on whether the designated country complies with the </w:t>
      </w:r>
      <w:r w:rsidRPr="0014116C">
        <w:rPr>
          <w:rFonts w:cs="Times New Roman"/>
          <w:i/>
          <w:iCs/>
        </w:rPr>
        <w:t xml:space="preserve">non-refoulement </w:t>
      </w:r>
      <w:r w:rsidRPr="0014116C">
        <w:rPr>
          <w:rFonts w:cs="Times New Roman"/>
        </w:rPr>
        <w:t xml:space="preserve">principle, as embodied in Article 33 of the </w:t>
      </w:r>
      <w:r w:rsidRPr="0014116C">
        <w:rPr>
          <w:rFonts w:cs="Times New Roman"/>
          <w:i/>
          <w:iCs/>
        </w:rPr>
        <w:t xml:space="preserve">Refugee Convention </w:t>
      </w:r>
      <w:r w:rsidRPr="0014116C">
        <w:rPr>
          <w:rFonts w:cs="Times New Roman"/>
        </w:rPr>
        <w:t xml:space="preserve">and Article 3 of the </w:t>
      </w:r>
      <w:r w:rsidRPr="0014116C">
        <w:rPr>
          <w:rFonts w:cs="Times New Roman"/>
          <w:i/>
          <w:iCs/>
        </w:rPr>
        <w:t>Convention Against Torture</w:t>
      </w:r>
      <w:r w:rsidRPr="0014116C">
        <w:rPr>
          <w:rFonts w:cs="Times New Roman"/>
        </w:rPr>
        <w:t xml:space="preserve">. The </w:t>
      </w:r>
      <w:r w:rsidRPr="0014116C">
        <w:rPr>
          <w:rFonts w:cs="Times New Roman"/>
          <w:i/>
          <w:iCs/>
        </w:rPr>
        <w:t xml:space="preserve">non-refoulement </w:t>
      </w:r>
      <w:r w:rsidRPr="0014116C">
        <w:rPr>
          <w:rFonts w:cs="Times New Roman"/>
        </w:rPr>
        <w:t>principle, which scholars have also described as the [</w:t>
      </w:r>
      <w:r w:rsidRPr="0014116C">
        <w:rPr>
          <w:rFonts w:cs="Times New Roman"/>
          <w:smallCaps/>
        </w:rPr>
        <w:t>translation</w:t>
      </w:r>
      <w:r w:rsidRPr="0014116C">
        <w:rPr>
          <w:rFonts w:cs="Times New Roman"/>
        </w:rPr>
        <w:t xml:space="preserve">] “cornerstone of refugee law” (see, e.g., F. Crépeau, </w:t>
      </w:r>
      <w:r w:rsidRPr="0014116C">
        <w:rPr>
          <w:rFonts w:cs="Times New Roman"/>
          <w:i/>
        </w:rPr>
        <w:t>Droit d’asile: De l’hospitalité aux contrôles migratoires</w:t>
      </w:r>
      <w:r w:rsidRPr="0014116C">
        <w:rPr>
          <w:rFonts w:cs="Times New Roman"/>
        </w:rPr>
        <w:t xml:space="preserve"> (1995), at p. 166), is thus of central importance to the scheme’s purpose. </w:t>
      </w:r>
      <w:r w:rsidRPr="0014116C">
        <w:rPr>
          <w:rStyle w:val="ui-provider"/>
          <w:rFonts w:cs="Times New Roman"/>
        </w:rPr>
        <w:t xml:space="preserve">Indeed, even scholars who are critical of the agreement have recognized that it “evinces a joint commitment to ensuring access to a refugee protection procedure in either Canada or the United States” in order to respect the </w:t>
      </w:r>
      <w:r w:rsidRPr="0014116C">
        <w:rPr>
          <w:rStyle w:val="ui-provider"/>
          <w:rFonts w:cs="Times New Roman"/>
          <w:i/>
          <w:iCs/>
        </w:rPr>
        <w:t>non-refoulement </w:t>
      </w:r>
      <w:r w:rsidRPr="0014116C">
        <w:rPr>
          <w:rStyle w:val="ui-provider"/>
          <w:rFonts w:cs="Times New Roman"/>
        </w:rPr>
        <w:t>principle (Macklin (2005), at p. 381; Mayrand and Smith</w:t>
      </w:r>
      <w:r w:rsidRPr="0014116C">
        <w:rPr>
          <w:rStyle w:val="ui-provider"/>
          <w:rFonts w:cs="Times New Roman"/>
        </w:rPr>
        <w:noBreakHyphen/>
        <w:t>Grégoire, at p. 337).</w:t>
      </w:r>
    </w:p>
    <w:p w14:paraId="5F0C8AB6" w14:textId="77777777" w:rsidR="0014116C" w:rsidRPr="0014116C" w:rsidRDefault="0014116C" w:rsidP="0014116C">
      <w:pPr>
        <w:pStyle w:val="ParaNoNdepar-AltN"/>
        <w:rPr>
          <w:rFonts w:cs="Times New Roman"/>
          <w:szCs w:val="24"/>
        </w:rPr>
      </w:pPr>
      <w:r w:rsidRPr="0014116C">
        <w:rPr>
          <w:rFonts w:cs="Times New Roman"/>
        </w:rPr>
        <w:t xml:space="preserve">The various factors in s. 102(2) of the </w:t>
      </w:r>
      <w:r w:rsidRPr="0014116C">
        <w:rPr>
          <w:rFonts w:cs="Times New Roman"/>
          <w:i/>
          <w:iCs/>
        </w:rPr>
        <w:t>IRPA</w:t>
      </w:r>
      <w:r w:rsidRPr="0014116C">
        <w:rPr>
          <w:rFonts w:cs="Times New Roman"/>
        </w:rPr>
        <w:t xml:space="preserve"> clearly relate to the </w:t>
      </w:r>
      <w:r w:rsidRPr="0014116C">
        <w:rPr>
          <w:rFonts w:cs="Times New Roman"/>
          <w:i/>
          <w:iCs/>
        </w:rPr>
        <w:t xml:space="preserve">non-refoulement </w:t>
      </w:r>
      <w:r w:rsidRPr="0014116C">
        <w:rPr>
          <w:rFonts w:cs="Times New Roman"/>
        </w:rPr>
        <w:t xml:space="preserve">principle. But they also go beyond it. By referencing policies and practices related to the </w:t>
      </w:r>
      <w:r w:rsidRPr="0014116C">
        <w:rPr>
          <w:rFonts w:cs="Times New Roman"/>
          <w:i/>
          <w:iCs/>
        </w:rPr>
        <w:t>Refugee Convention</w:t>
      </w:r>
      <w:r w:rsidRPr="0014116C">
        <w:rPr>
          <w:rFonts w:cs="Times New Roman"/>
        </w:rPr>
        <w:t xml:space="preserve"> and the </w:t>
      </w:r>
      <w:r w:rsidRPr="0014116C">
        <w:rPr>
          <w:rFonts w:cs="Times New Roman"/>
          <w:i/>
          <w:iCs/>
        </w:rPr>
        <w:t xml:space="preserve">Convention Against Torture </w:t>
      </w:r>
      <w:r w:rsidRPr="0014116C">
        <w:rPr>
          <w:rFonts w:cs="Times New Roman"/>
        </w:rPr>
        <w:t xml:space="preserve">as a whole (s. 102(2)(b)), the legislation directs the Governor in Council to consider a broad range of guarantees designed to ensure that refugee claimants receive fair treatment in host countries. The requirement in s. 102(2)(c) to consider a country’s “human rights record” is to similar effect, as it helps assess whether refugees will receive fair treatment beyond the floor established by the </w:t>
      </w:r>
      <w:r w:rsidRPr="0014116C">
        <w:rPr>
          <w:rFonts w:cs="Times New Roman"/>
          <w:i/>
          <w:iCs/>
        </w:rPr>
        <w:t>non-refoulement</w:t>
      </w:r>
      <w:r w:rsidRPr="0014116C">
        <w:rPr>
          <w:rFonts w:cs="Times New Roman"/>
        </w:rPr>
        <w:t xml:space="preserve"> principle. </w:t>
      </w:r>
      <w:r w:rsidRPr="0014116C">
        <w:rPr>
          <w:rFonts w:cs="Times New Roman"/>
          <w:szCs w:val="24"/>
        </w:rPr>
        <w:t xml:space="preserve">These requirements do not suggest that designated countries must have identical policies or human rights records to Canada, so long as the designated countries respect certain minimum requirements. In that sense, the s. 102(2) factors leave space for permissible differences in countries’ domestic regimes, which reflects Parliament’s respect for international comity, within the bounds of the Constitution. </w:t>
      </w:r>
    </w:p>
    <w:p w14:paraId="7F32409B" w14:textId="77777777" w:rsidR="0014116C" w:rsidRPr="0014116C" w:rsidRDefault="0014116C" w:rsidP="0014116C">
      <w:pPr>
        <w:pStyle w:val="ParaNoNdepar-AltN"/>
        <w:rPr>
          <w:rFonts w:cs="Times New Roman"/>
        </w:rPr>
      </w:pPr>
      <w:r w:rsidRPr="0014116C">
        <w:rPr>
          <w:rFonts w:cs="Times New Roman"/>
        </w:rPr>
        <w:t xml:space="preserve">The broader statutory scheme that structures the legal effects flowing from designating a country is also illuminating, in that it shows that sharing responsibility with a designated country is a core objective. In particular, s. 101(1)(e) of the </w:t>
      </w:r>
      <w:r w:rsidRPr="0014116C">
        <w:rPr>
          <w:rFonts w:cs="Times New Roman"/>
          <w:i/>
        </w:rPr>
        <w:t>IRPA</w:t>
      </w:r>
      <w:r w:rsidRPr="0014116C">
        <w:rPr>
          <w:rFonts w:cs="Times New Roman"/>
        </w:rPr>
        <w:t xml:space="preserve"> renders individuals arriving from designated countries ineligible to be referred to the Refugee Protection Division. Access to other procedures in Canada is also restricted (see, </w:t>
      </w:r>
      <w:r w:rsidRPr="0014116C">
        <w:rPr>
          <w:rFonts w:cs="Times New Roman"/>
          <w:iCs/>
        </w:rPr>
        <w:t>e.g.</w:t>
      </w:r>
      <w:r w:rsidRPr="0014116C">
        <w:rPr>
          <w:rFonts w:cs="Times New Roman"/>
        </w:rPr>
        <w:t xml:space="preserve">, </w:t>
      </w:r>
      <w:r w:rsidRPr="0014116C">
        <w:rPr>
          <w:rFonts w:cs="Times New Roman"/>
          <w:i/>
          <w:iCs/>
        </w:rPr>
        <w:t>IRPA</w:t>
      </w:r>
      <w:r w:rsidRPr="0014116C">
        <w:rPr>
          <w:rFonts w:cs="Times New Roman"/>
        </w:rPr>
        <w:t>,</w:t>
      </w:r>
      <w:r w:rsidRPr="0014116C">
        <w:rPr>
          <w:rFonts w:cs="Times New Roman"/>
          <w:i/>
          <w:iCs/>
        </w:rPr>
        <w:t xml:space="preserve"> </w:t>
      </w:r>
      <w:r w:rsidRPr="0014116C">
        <w:rPr>
          <w:rFonts w:cs="Times New Roman"/>
        </w:rPr>
        <w:t>s. 112(2)(b)). The message is clear: designation ensures that claims will be considered in the designated country, rather than in Canada.</w:t>
      </w:r>
    </w:p>
    <w:p w14:paraId="45E56801" w14:textId="77777777" w:rsidR="0014116C" w:rsidRPr="0014116C" w:rsidRDefault="0014116C" w:rsidP="0014116C">
      <w:pPr>
        <w:pStyle w:val="ParaNoNdepar-AltN"/>
        <w:rPr>
          <w:rFonts w:cs="Times New Roman"/>
        </w:rPr>
      </w:pPr>
      <w:r w:rsidRPr="0014116C">
        <w:rPr>
          <w:rFonts w:cs="Times New Roman"/>
        </w:rPr>
        <w:t xml:space="preserve">Finally, three sources of extrinsic evidence assist in ascertaining the purpose of s. 159.3 of the </w:t>
      </w:r>
      <w:r w:rsidRPr="0014116C">
        <w:rPr>
          <w:rFonts w:cs="Times New Roman"/>
          <w:i/>
        </w:rPr>
        <w:t>IRPR</w:t>
      </w:r>
      <w:r w:rsidRPr="0014116C">
        <w:rPr>
          <w:rFonts w:cs="Times New Roman"/>
        </w:rPr>
        <w:t xml:space="preserve">. First, the preamble to the </w:t>
      </w:r>
      <w:r w:rsidRPr="0014116C">
        <w:rPr>
          <w:rFonts w:cs="Times New Roman"/>
          <w:i/>
          <w:iCs/>
        </w:rPr>
        <w:t xml:space="preserve">Safe Third Country Agreement </w:t>
      </w:r>
      <w:r w:rsidRPr="0014116C">
        <w:rPr>
          <w:rFonts w:cs="Times New Roman"/>
        </w:rPr>
        <w:t xml:space="preserve">provides useful indicators of Parliament’s and the Governor in Council’s objectives in enacting the legislation that gives domestic effect to the treaty. As discussed, the preamble acknowledges the </w:t>
      </w:r>
      <w:r w:rsidRPr="0014116C">
        <w:rPr>
          <w:rFonts w:cs="Times New Roman"/>
          <w:i/>
          <w:iCs/>
        </w:rPr>
        <w:t>non-refoulement</w:t>
      </w:r>
      <w:r w:rsidRPr="0014116C">
        <w:rPr>
          <w:rFonts w:cs="Times New Roman"/>
        </w:rPr>
        <w:t xml:space="preserve"> obligations that bind both countries (para. 2). It states that the governments were aware of the necessity to avoid “indirect breaches of the </w:t>
      </w:r>
      <w:r w:rsidRPr="0014116C">
        <w:rPr>
          <w:rFonts w:cs="Times New Roman"/>
          <w:u w:val="single"/>
        </w:rPr>
        <w:t>fundamental principle of non-refoulement</w:t>
      </w:r>
      <w:r w:rsidRPr="0014116C">
        <w:rPr>
          <w:rFonts w:cs="Times New Roman"/>
        </w:rPr>
        <w:t xml:space="preserve"> . . . [through] access to a </w:t>
      </w:r>
      <w:r w:rsidRPr="0014116C">
        <w:rPr>
          <w:rFonts w:cs="Times New Roman"/>
          <w:u w:val="single"/>
        </w:rPr>
        <w:t>full and fair</w:t>
      </w:r>
      <w:r w:rsidRPr="0014116C">
        <w:rPr>
          <w:rFonts w:cs="Times New Roman"/>
        </w:rPr>
        <w:t xml:space="preserve"> refugee status determination procedure” (para. 8). Thus, the</w:t>
      </w:r>
      <w:r w:rsidRPr="0014116C">
        <w:rPr>
          <w:rFonts w:cs="Times New Roman"/>
          <w:i/>
          <w:iCs/>
        </w:rPr>
        <w:t xml:space="preserve"> </w:t>
      </w:r>
      <w:r w:rsidRPr="0014116C">
        <w:rPr>
          <w:rFonts w:cs="Times New Roman"/>
        </w:rPr>
        <w:t xml:space="preserve">preamble to the </w:t>
      </w:r>
      <w:r w:rsidRPr="0014116C">
        <w:rPr>
          <w:rFonts w:cs="Times New Roman"/>
          <w:i/>
          <w:iCs/>
        </w:rPr>
        <w:t>Safe Third Country Agreement</w:t>
      </w:r>
      <w:r w:rsidRPr="0014116C">
        <w:rPr>
          <w:rFonts w:cs="Times New Roman"/>
        </w:rPr>
        <w:t xml:space="preserve"> confirms that the </w:t>
      </w:r>
      <w:r w:rsidRPr="0014116C">
        <w:rPr>
          <w:rFonts w:cs="Times New Roman"/>
          <w:i/>
          <w:iCs/>
        </w:rPr>
        <w:t xml:space="preserve">non-refoulement </w:t>
      </w:r>
      <w:r w:rsidRPr="0014116C">
        <w:rPr>
          <w:rFonts w:cs="Times New Roman"/>
        </w:rPr>
        <w:t>principle is at the core of the scheme, along with a broader emphasis on the fair adjudication of refugee claims. It was in light of these mutually held commitments that the sharing of responsibility was proposed.</w:t>
      </w:r>
    </w:p>
    <w:p w14:paraId="0CD3C535" w14:textId="77777777" w:rsidR="0014116C" w:rsidRPr="0014116C" w:rsidRDefault="0014116C" w:rsidP="0014116C">
      <w:pPr>
        <w:pStyle w:val="ParaNoNdepar-AltN"/>
        <w:rPr>
          <w:rFonts w:cs="Times New Roman"/>
        </w:rPr>
      </w:pPr>
      <w:r w:rsidRPr="0014116C">
        <w:rPr>
          <w:rFonts w:cs="Times New Roman"/>
        </w:rPr>
        <w:t xml:space="preserve">Second, the accompanying </w:t>
      </w:r>
      <w:r w:rsidRPr="0014116C">
        <w:rPr>
          <w:rFonts w:cs="Times New Roman"/>
          <w:i/>
        </w:rPr>
        <w:t>Statement of Principles</w:t>
      </w:r>
      <w:r w:rsidRPr="0014116C">
        <w:rPr>
          <w:rFonts w:cs="Times New Roman"/>
        </w:rPr>
        <w:t xml:space="preserve"> agreed to by Canada and the United States reflects a shared commitment to ensuring that refugee claimants subject to the scheme are treated fairly. For instance, it affords claimants an opportunity for a chosen person to be present during proceedings. </w:t>
      </w:r>
    </w:p>
    <w:p w14:paraId="334149BD" w14:textId="77777777" w:rsidR="0014116C" w:rsidRPr="0014116C" w:rsidRDefault="0014116C" w:rsidP="0014116C">
      <w:pPr>
        <w:pStyle w:val="ParaNoNdepar-AltN"/>
        <w:rPr>
          <w:rFonts w:cs="Times New Roman"/>
        </w:rPr>
      </w:pPr>
      <w:r w:rsidRPr="0014116C">
        <w:rPr>
          <w:rFonts w:cs="Times New Roman"/>
        </w:rPr>
        <w:t xml:space="preserve">Third, the Regulatory Impact Analysis Statement for s. 159.3 of the </w:t>
      </w:r>
      <w:r w:rsidRPr="0014116C">
        <w:rPr>
          <w:rFonts w:cs="Times New Roman"/>
          <w:i/>
          <w:iCs/>
        </w:rPr>
        <w:t xml:space="preserve">IRPR </w:t>
      </w:r>
      <w:r w:rsidRPr="0014116C">
        <w:rPr>
          <w:rFonts w:cs="Times New Roman"/>
        </w:rPr>
        <w:t>stated that the “purpose of the provisions is to render paragraph 101(1)(</w:t>
      </w:r>
      <w:r w:rsidRPr="0014116C">
        <w:rPr>
          <w:rFonts w:cs="Times New Roman"/>
          <w:i/>
        </w:rPr>
        <w:t>e</w:t>
      </w:r>
      <w:r w:rsidRPr="0014116C">
        <w:rPr>
          <w:rFonts w:cs="Times New Roman"/>
        </w:rPr>
        <w:t>) of the [</w:t>
      </w:r>
      <w:r w:rsidRPr="0014116C">
        <w:rPr>
          <w:rFonts w:cs="Times New Roman"/>
          <w:i/>
          <w:iCs/>
        </w:rPr>
        <w:t>IRPA</w:t>
      </w:r>
      <w:r w:rsidRPr="0014116C">
        <w:rPr>
          <w:rFonts w:cs="Times New Roman"/>
        </w:rPr>
        <w:t>] effective” by designating the United States in order to proceed with “sharing responsibility [for] refugee protection” while also respecting “Canada’s commitment to its international obligations toward refugees”, which “reflects our humanitarian tradition and core values of compassion and fairness” (pp. 1622</w:t>
      </w:r>
      <w:r w:rsidRPr="0014116C">
        <w:rPr>
          <w:rFonts w:cs="Times New Roman"/>
        </w:rPr>
        <w:noBreakHyphen/>
        <w:t xml:space="preserve">23). </w:t>
      </w:r>
    </w:p>
    <w:p w14:paraId="6AB69613" w14:textId="77777777" w:rsidR="0014116C" w:rsidRPr="0014116C" w:rsidRDefault="0014116C" w:rsidP="0014116C">
      <w:pPr>
        <w:pStyle w:val="ParaNoNdepar-AltN"/>
        <w:rPr>
          <w:rFonts w:cs="Times New Roman"/>
        </w:rPr>
      </w:pPr>
      <w:r w:rsidRPr="0014116C">
        <w:rPr>
          <w:rFonts w:cs="Times New Roman"/>
        </w:rPr>
        <w:t xml:space="preserve">Taken together, the statement of objectives of the </w:t>
      </w:r>
      <w:r w:rsidRPr="0014116C">
        <w:rPr>
          <w:rFonts w:cs="Times New Roman"/>
          <w:i/>
          <w:iCs/>
        </w:rPr>
        <w:t>IRPA</w:t>
      </w:r>
      <w:r w:rsidRPr="0014116C">
        <w:rPr>
          <w:rFonts w:cs="Times New Roman"/>
        </w:rPr>
        <w:t xml:space="preserve">, the text, context, and scheme of the legislation, and the extrinsic evidence suggest that the purpose of the legislation has three essential elements: (1) to share responsibility for considering refugee claims; (2) to respect the </w:t>
      </w:r>
      <w:r w:rsidRPr="0014116C">
        <w:rPr>
          <w:rFonts w:cs="Times New Roman"/>
          <w:i/>
          <w:iCs/>
        </w:rPr>
        <w:t xml:space="preserve">non-refoulement </w:t>
      </w:r>
      <w:r w:rsidRPr="0014116C">
        <w:rPr>
          <w:rFonts w:cs="Times New Roman"/>
        </w:rPr>
        <w:t xml:space="preserve">principle; and (3) to return refugee claimants only to countries that will fairly consider their claims. Given these elements, the legislative purpose of s. 159.3 of the </w:t>
      </w:r>
      <w:r w:rsidRPr="0014116C">
        <w:rPr>
          <w:rFonts w:cs="Times New Roman"/>
          <w:i/>
        </w:rPr>
        <w:t xml:space="preserve">IRPR </w:t>
      </w:r>
      <w:r w:rsidRPr="0014116C">
        <w:rPr>
          <w:rFonts w:cs="Times New Roman"/>
        </w:rPr>
        <w:t xml:space="preserve">is to share responsibility for fairly considering refugee claims with the United States, in accordance with the principle of </w:t>
      </w:r>
      <w:r w:rsidRPr="0014116C">
        <w:rPr>
          <w:rFonts w:cs="Times New Roman"/>
          <w:i/>
          <w:iCs/>
        </w:rPr>
        <w:t>non-refoulement</w:t>
      </w:r>
      <w:r w:rsidRPr="0014116C">
        <w:rPr>
          <w:rFonts w:cs="Times New Roman"/>
        </w:rPr>
        <w:t xml:space="preserve">. This purpose reflects a primary goal (sharing responsibility), which is subject to two limits (the </w:t>
      </w:r>
      <w:r w:rsidRPr="0014116C">
        <w:rPr>
          <w:rFonts w:cs="Times New Roman"/>
          <w:i/>
          <w:iCs/>
        </w:rPr>
        <w:t xml:space="preserve">non-refoulement </w:t>
      </w:r>
      <w:r w:rsidRPr="0014116C">
        <w:rPr>
          <w:rFonts w:cs="Times New Roman"/>
        </w:rPr>
        <w:t xml:space="preserve">principle and the requirement for fair consideration). Notably, these two limits do not disclose an expectation that the American asylum claim system mirror the Canadian system in every respect. It is in light of this purpose that the relevant s. 7 deprivations — the risk of discretionary detention and medical isolation, along with the presumed risks of </w:t>
      </w:r>
      <w:r w:rsidRPr="0014116C">
        <w:rPr>
          <w:rFonts w:cs="Times New Roman"/>
          <w:i/>
          <w:iCs/>
        </w:rPr>
        <w:t xml:space="preserve">refoulement </w:t>
      </w:r>
      <w:r w:rsidRPr="0014116C">
        <w:rPr>
          <w:rFonts w:cs="Times New Roman"/>
        </w:rPr>
        <w:t xml:space="preserve">— must be assessed for overbreadth and gross disproportionality. </w:t>
      </w:r>
    </w:p>
    <w:p w14:paraId="79A83C80" w14:textId="77777777" w:rsidR="0014116C" w:rsidRPr="0014116C" w:rsidRDefault="0014116C" w:rsidP="0014116C">
      <w:pPr>
        <w:pStyle w:val="Title4LevelTitre4Niveau"/>
        <w:rPr>
          <w:rFonts w:cs="Times New Roman"/>
        </w:rPr>
      </w:pPr>
      <w:r w:rsidRPr="0014116C">
        <w:rPr>
          <w:rFonts w:cs="Times New Roman"/>
        </w:rPr>
        <w:t>Risks of Detention and Medical Isolation</w:t>
      </w:r>
    </w:p>
    <w:p w14:paraId="46260664" w14:textId="77777777" w:rsidR="0014116C" w:rsidRPr="0014116C" w:rsidRDefault="0014116C" w:rsidP="0014116C">
      <w:pPr>
        <w:pStyle w:val="ParaNoNdepar-AltN"/>
        <w:rPr>
          <w:rFonts w:cs="Times New Roman"/>
        </w:rPr>
      </w:pPr>
      <w:r w:rsidRPr="0014116C">
        <w:rPr>
          <w:rFonts w:cs="Times New Roman"/>
        </w:rPr>
        <w:t>The appellants argue that the risks of detention and medical isolation are both overbroad and grossly disproportionate. I am not persuaded that either principle of fundamental justice is breached in the circumstances of this case.</w:t>
      </w:r>
    </w:p>
    <w:p w14:paraId="3BD008F7" w14:textId="77777777" w:rsidR="0014116C" w:rsidRPr="0014116C" w:rsidRDefault="0014116C" w:rsidP="0014116C">
      <w:pPr>
        <w:pStyle w:val="ParaNoNdepar-AltN"/>
        <w:rPr>
          <w:rFonts w:cs="Times New Roman"/>
        </w:rPr>
      </w:pPr>
      <w:r w:rsidRPr="0014116C">
        <w:rPr>
          <w:rFonts w:cs="Times New Roman"/>
        </w:rPr>
        <w:t>With respect to overbreadth, the question is whether the impugned legislation “is so broad in scope that it includes some conduct that bears no relation to its purpose” (</w:t>
      </w:r>
      <w:r w:rsidRPr="0014116C">
        <w:rPr>
          <w:rFonts w:cs="Times New Roman"/>
          <w:i/>
          <w:iCs/>
        </w:rPr>
        <w:t>Bedford</w:t>
      </w:r>
      <w:r w:rsidRPr="0014116C">
        <w:rPr>
          <w:rFonts w:cs="Times New Roman"/>
        </w:rPr>
        <w:t xml:space="preserve">, at para. 112 (emphasis deleted)). As this Court has affirmed, a law is overbroad if it overreaches in a single case (paras. 113 and 123; </w:t>
      </w:r>
      <w:r w:rsidRPr="0014116C">
        <w:rPr>
          <w:rFonts w:cs="Times New Roman"/>
          <w:i/>
          <w:iCs/>
        </w:rPr>
        <w:t>Ndhlovu</w:t>
      </w:r>
      <w:r w:rsidRPr="0014116C">
        <w:rPr>
          <w:rFonts w:cs="Times New Roman"/>
        </w:rPr>
        <w:t>, at para. 78). This analysis is focused not on “whether Parliament has chosen the least restrictive means, but whether the chosen means infringe life, liberty or security of the person in a way that has no connection with the mischief contemplated by the legislature” (</w:t>
      </w:r>
      <w:r w:rsidRPr="0014116C">
        <w:rPr>
          <w:rFonts w:cs="Times New Roman"/>
          <w:i/>
          <w:iCs/>
        </w:rPr>
        <w:t>Carter</w:t>
      </w:r>
      <w:r w:rsidRPr="0014116C">
        <w:rPr>
          <w:rFonts w:cs="Times New Roman"/>
        </w:rPr>
        <w:t xml:space="preserve">, at para. 85). </w:t>
      </w:r>
    </w:p>
    <w:p w14:paraId="36F4AF04" w14:textId="77777777" w:rsidR="0014116C" w:rsidRPr="0014116C" w:rsidRDefault="0014116C" w:rsidP="0014116C">
      <w:pPr>
        <w:pStyle w:val="ParaNoNdepar-AltN"/>
        <w:rPr>
          <w:rFonts w:cs="Times New Roman"/>
        </w:rPr>
      </w:pPr>
      <w:r w:rsidRPr="0014116C">
        <w:rPr>
          <w:rFonts w:cs="Times New Roman"/>
        </w:rPr>
        <w:t xml:space="preserve">In my view, the risk of detention in the United States, with opportunities for release and review, is related to the legislative objective. Sharing responsibility for refugee claims with another state will necessarily expose returnees to the foreign legal regime that governs refugee claimants’ presence in that country. Exposure to foreign legal systems — including their detention practices — necessarily results from achieving the scheme’s purpose. Of course, the legislation’s responsibility-sharing objective is qualified by the requirement that refugee claimants are to be given fair consideration in the designated country. But whether this requirement is respected does not turn on the extent to which the American asylum system mirrors Canada’s system. A degree of difference as between the legal schemes applicable in the two countries can be tolerated, so long as the American system is not fundamentally unfair. Thus, for the appellants to show that the scheme overreaches this limit — such that there is “no connection” at all between the effects of the scheme and the legislative objective, which includes the aim of only returning refugee claimants to countries that will fairly consider their claims (see </w:t>
      </w:r>
      <w:r w:rsidRPr="0014116C">
        <w:rPr>
          <w:rFonts w:cs="Times New Roman"/>
          <w:i/>
          <w:iCs/>
        </w:rPr>
        <w:t>Carter</w:t>
      </w:r>
      <w:r w:rsidRPr="0014116C">
        <w:rPr>
          <w:rFonts w:cs="Times New Roman"/>
        </w:rPr>
        <w:t>, at para. 85) — the question is whether the American system is fundamentally unfair. In my view, the record does not support the conclusion that the American detention regime is fundamentally unfair.</w:t>
      </w:r>
    </w:p>
    <w:p w14:paraId="63EB0AA3" w14:textId="77777777" w:rsidR="0014116C" w:rsidRPr="0014116C" w:rsidRDefault="0014116C" w:rsidP="0014116C">
      <w:pPr>
        <w:pStyle w:val="ParaNoNdepar-AltN"/>
        <w:rPr>
          <w:rFonts w:cs="Times New Roman"/>
        </w:rPr>
      </w:pPr>
      <w:r w:rsidRPr="0014116C">
        <w:rPr>
          <w:rFonts w:cs="Times New Roman"/>
        </w:rPr>
        <w:t xml:space="preserve">International legal instruments provide indicia of what it means to treat refugee claimants fairly. For instance, the </w:t>
      </w:r>
      <w:r w:rsidRPr="0014116C">
        <w:rPr>
          <w:rFonts w:cs="Times New Roman"/>
          <w:iCs/>
        </w:rPr>
        <w:t xml:space="preserve">UNHCR’s </w:t>
      </w:r>
      <w:r w:rsidRPr="0014116C">
        <w:rPr>
          <w:rFonts w:cs="Times New Roman"/>
          <w:i/>
          <w:iCs/>
        </w:rPr>
        <w:t>Detention Guidelines</w:t>
      </w:r>
      <w:r w:rsidRPr="0014116C">
        <w:rPr>
          <w:rFonts w:cs="Times New Roman"/>
        </w:rPr>
        <w:t xml:space="preserve"> recognize that detention of refugee claimants “is neither prohibited under international law </w:t>
      </w:r>
      <w:r w:rsidRPr="0014116C">
        <w:rPr>
          <w:rFonts w:cs="Times New Roman"/>
          <w:i/>
          <w:iCs/>
        </w:rPr>
        <w:t>per se</w:t>
      </w:r>
      <w:r w:rsidRPr="0014116C">
        <w:rPr>
          <w:rFonts w:cs="Times New Roman"/>
        </w:rPr>
        <w:t>, nor is the right to liberty of person absolute” (</w:t>
      </w:r>
      <w:r w:rsidRPr="0014116C">
        <w:rPr>
          <w:rFonts w:cs="Times New Roman"/>
          <w:i/>
        </w:rPr>
        <w:t>Guidelines on the Applicable Criteria and Standards relating to the Detention of Asylum</w:t>
      </w:r>
      <w:r w:rsidRPr="0014116C">
        <w:rPr>
          <w:rFonts w:cs="Times New Roman"/>
          <w:i/>
        </w:rPr>
        <w:noBreakHyphen/>
        <w:t>Seekers and Alternatives to Detention</w:t>
      </w:r>
      <w:r w:rsidRPr="0014116C">
        <w:rPr>
          <w:rFonts w:cs="Times New Roman"/>
        </w:rPr>
        <w:t xml:space="preserve"> (2012), Guideline 4, at para. 18). The </w:t>
      </w:r>
      <w:r w:rsidRPr="0014116C">
        <w:rPr>
          <w:rFonts w:cs="Times New Roman"/>
          <w:i/>
        </w:rPr>
        <w:t xml:space="preserve">Detention </w:t>
      </w:r>
      <w:r w:rsidRPr="0014116C">
        <w:rPr>
          <w:rFonts w:cs="Times New Roman"/>
          <w:i/>
          <w:iCs/>
        </w:rPr>
        <w:t>Guidelines</w:t>
      </w:r>
      <w:r w:rsidRPr="0014116C">
        <w:rPr>
          <w:rFonts w:cs="Times New Roman"/>
        </w:rPr>
        <w:t xml:space="preserve"> require safeguards in relation to the use of detention. The particular form of these safeguards is a matter of state practice. Here, the appellants did not discharge their burden to show that safeguards are absent in the American asylum system. While the record shows that returnees face a risk of detention in the United States, it also discloses mechanisms that create opportunities for release and provide for review by administrative decision makers and courts. There is no basis to infer that these arrangements are fundamentally unfair. Thus, the risk of detention that returnees face is not overbroad.</w:t>
      </w:r>
    </w:p>
    <w:p w14:paraId="4B03F56B" w14:textId="77777777" w:rsidR="0014116C" w:rsidRPr="0014116C" w:rsidRDefault="0014116C" w:rsidP="0014116C">
      <w:pPr>
        <w:pStyle w:val="ParaNoNdepar-AltN"/>
        <w:rPr>
          <w:rFonts w:cs="Times New Roman"/>
        </w:rPr>
      </w:pPr>
      <w:r w:rsidRPr="0014116C">
        <w:rPr>
          <w:rFonts w:cs="Times New Roman"/>
        </w:rPr>
        <w:t xml:space="preserve">Similarly, the use of medical isolation is not fundamentally unfair. Nothing in the record suggests that isolating those awaiting tuberculosis test results is unnecessary to control public health risks in detention facilities. Indeed, the </w:t>
      </w:r>
      <w:r w:rsidRPr="0014116C">
        <w:rPr>
          <w:rFonts w:cs="Times New Roman"/>
          <w:i/>
          <w:iCs/>
        </w:rPr>
        <w:t>United Nations Standard Minimum Rules for the Treatment of Prisoners (the Nelson Mandela Rules</w:t>
      </w:r>
      <w:r w:rsidRPr="0014116C">
        <w:rPr>
          <w:rFonts w:cs="Times New Roman"/>
          <w:i/>
        </w:rPr>
        <w:t>)</w:t>
      </w:r>
      <w:r w:rsidRPr="0014116C">
        <w:rPr>
          <w:rFonts w:cs="Times New Roman"/>
        </w:rPr>
        <w:t>, U.N. Doc. A/RES/70/175, December 17, 2015, require that where individuals in detention facilities are suspected of having contagious diseases, measures are taken “providing for the clinical isolation and adequate treatment of those prisoners during the infectious period” (Rule 30(</w:t>
      </w:r>
      <w:r w:rsidRPr="0014116C">
        <w:rPr>
          <w:rFonts w:cs="Times New Roman"/>
          <w:i/>
        </w:rPr>
        <w:t>d</w:t>
      </w:r>
      <w:r w:rsidRPr="0014116C">
        <w:rPr>
          <w:rFonts w:cs="Times New Roman"/>
        </w:rPr>
        <w:t xml:space="preserve">)). Of course, the </w:t>
      </w:r>
      <w:r w:rsidRPr="0014116C">
        <w:rPr>
          <w:rFonts w:cs="Times New Roman"/>
          <w:i/>
          <w:iCs/>
        </w:rPr>
        <w:t xml:space="preserve">Mandela Rules </w:t>
      </w:r>
      <w:r w:rsidRPr="0014116C">
        <w:rPr>
          <w:rFonts w:cs="Times New Roman"/>
        </w:rPr>
        <w:t xml:space="preserve">also restrict the use of isolation or segregation (see, </w:t>
      </w:r>
      <w:r w:rsidRPr="0014116C">
        <w:rPr>
          <w:rFonts w:cs="Times New Roman"/>
          <w:iCs/>
        </w:rPr>
        <w:t>e.g.</w:t>
      </w:r>
      <w:r w:rsidRPr="0014116C">
        <w:rPr>
          <w:rFonts w:cs="Times New Roman"/>
        </w:rPr>
        <w:t>, Rules 37(</w:t>
      </w:r>
      <w:r w:rsidRPr="0014116C">
        <w:rPr>
          <w:rFonts w:cs="Times New Roman"/>
          <w:i/>
        </w:rPr>
        <w:t>d</w:t>
      </w:r>
      <w:r w:rsidRPr="0014116C">
        <w:rPr>
          <w:rFonts w:cs="Times New Roman"/>
        </w:rPr>
        <w:t>), 43(1), 44 and 45). But the appellants do not point to evidence that would sustain an inference that medical isolation is being used improperly in the American immigration detention system.</w:t>
      </w:r>
    </w:p>
    <w:p w14:paraId="71EADA6B" w14:textId="77777777" w:rsidR="0014116C" w:rsidRPr="0014116C" w:rsidRDefault="0014116C" w:rsidP="0014116C">
      <w:pPr>
        <w:pStyle w:val="ParaNoNdepar-AltN"/>
        <w:rPr>
          <w:rFonts w:cs="Times New Roman"/>
        </w:rPr>
      </w:pPr>
      <w:r w:rsidRPr="0014116C">
        <w:rPr>
          <w:rFonts w:cs="Times New Roman"/>
        </w:rPr>
        <w:t>It is true that the record includes the affidavits of two lawyers from American advocacy organizations outlining their belief that isolation may be used more broadly. For instance, the lawyers suggested solitary confinement may be used to deal with claimants facing mental health challenges (Affidavit of Ruby Robinson, at para. 18, reproduced in A.R., vol. XXXIII, at pp. 13884</w:t>
      </w:r>
      <w:r w:rsidRPr="0014116C">
        <w:rPr>
          <w:rFonts w:cs="Times New Roman"/>
        </w:rPr>
        <w:noBreakHyphen/>
        <w:t>85) or as a punitive mechanism (Affidavit of Timothy Warden</w:t>
      </w:r>
      <w:r w:rsidRPr="0014116C">
        <w:rPr>
          <w:rFonts w:cs="Times New Roman"/>
        </w:rPr>
        <w:noBreakHyphen/>
        <w:t>Hertz at para. 8, reproduced in A.R., vol. XXXIII, at pp. 13807</w:t>
      </w:r>
      <w:r w:rsidRPr="0014116C">
        <w:rPr>
          <w:rFonts w:cs="Times New Roman"/>
        </w:rPr>
        <w:noBreakHyphen/>
        <w:t>8). However, there are no findings below on these specific matters. The Federal Court judge did not find that the American immigration detention system imposes isolation on individuals with mental health challenges or that isolation is used punitively.</w:t>
      </w:r>
    </w:p>
    <w:p w14:paraId="59CA1ED3" w14:textId="77777777" w:rsidR="0014116C" w:rsidRPr="0014116C" w:rsidRDefault="0014116C" w:rsidP="0014116C">
      <w:pPr>
        <w:pStyle w:val="ParaNoNdepar-AltN"/>
        <w:rPr>
          <w:rFonts w:cs="Times New Roman"/>
        </w:rPr>
      </w:pPr>
      <w:r w:rsidRPr="0014116C">
        <w:rPr>
          <w:rFonts w:cs="Times New Roman"/>
        </w:rPr>
        <w:t>This Court is appropriately reluctant to assume the mantle of a finder of fact (</w:t>
      </w:r>
      <w:r w:rsidRPr="0014116C">
        <w:rPr>
          <w:rFonts w:cs="Times New Roman"/>
          <w:i/>
          <w:iCs/>
        </w:rPr>
        <w:t>Hollis v. Dow Corning Corp.</w:t>
      </w:r>
      <w:r w:rsidRPr="0014116C">
        <w:rPr>
          <w:rFonts w:cs="Times New Roman"/>
        </w:rPr>
        <w:t xml:space="preserve">, [1995] 4 S.C.R. 634, at para. 33, </w:t>
      </w:r>
      <w:r w:rsidRPr="0014116C">
        <w:rPr>
          <w:rFonts w:cs="Times New Roman"/>
          <w:iCs/>
        </w:rPr>
        <w:t xml:space="preserve">per </w:t>
      </w:r>
      <w:r w:rsidRPr="0014116C">
        <w:rPr>
          <w:rFonts w:cs="Times New Roman"/>
        </w:rPr>
        <w:t xml:space="preserve">La Forest J., and at para. 89, </w:t>
      </w:r>
      <w:r w:rsidRPr="0014116C">
        <w:rPr>
          <w:rFonts w:cs="Times New Roman"/>
          <w:iCs/>
        </w:rPr>
        <w:t>per</w:t>
      </w:r>
      <w:r w:rsidRPr="0014116C">
        <w:rPr>
          <w:rFonts w:cs="Times New Roman"/>
        </w:rPr>
        <w:t xml:space="preserve"> Sopinka J., dissenting, but not on this point). Here, given the limitations of the evidentiary record, it would be imprudent for this Court to make factual determinations about how the United States uses solitary confinement in immigration detention. There is therefore no basis to conclude that American practices are fundamentally unfair. As a result, I am not satisfied that the risk of medical isolation for individuals returned to the United States is an overbroad effect of the Canadian legislation.</w:t>
      </w:r>
    </w:p>
    <w:p w14:paraId="3A0D6A7B" w14:textId="77777777" w:rsidR="0014116C" w:rsidRPr="0014116C" w:rsidRDefault="0014116C" w:rsidP="0014116C">
      <w:pPr>
        <w:pStyle w:val="ParaNoNdepar-AltN"/>
        <w:rPr>
          <w:rFonts w:cs="Times New Roman"/>
        </w:rPr>
      </w:pPr>
      <w:r w:rsidRPr="0014116C">
        <w:rPr>
          <w:rFonts w:cs="Times New Roman"/>
        </w:rPr>
        <w:t>With respect to gross disproportionality, the question is whether the impugned legislation’s effects on the s. 7 interests are “so grossly disproportionate to its purposes that they cannot rationally be supported” (</w:t>
      </w:r>
      <w:r w:rsidRPr="0014116C">
        <w:rPr>
          <w:rFonts w:cs="Times New Roman"/>
          <w:i/>
          <w:iCs/>
        </w:rPr>
        <w:t>Bedford</w:t>
      </w:r>
      <w:r w:rsidRPr="0014116C">
        <w:rPr>
          <w:rFonts w:cs="Times New Roman"/>
        </w:rPr>
        <w:t>, at para. 120). This threshold is only met “in extreme cases where the seriousness of the deprivation is totally out of sync with the objective” and is “entirely outside the norms accepted in our free and democratic society” (</w:t>
      </w:r>
      <w:r w:rsidRPr="0014116C">
        <w:rPr>
          <w:rFonts w:cs="Times New Roman"/>
          <w:i/>
          <w:iCs/>
        </w:rPr>
        <w:t>ibid</w:t>
      </w:r>
      <w:r w:rsidRPr="0014116C">
        <w:rPr>
          <w:rFonts w:cs="Times New Roman"/>
          <w:i/>
        </w:rPr>
        <w:t>.</w:t>
      </w:r>
      <w:r w:rsidRPr="0014116C">
        <w:rPr>
          <w:rFonts w:cs="Times New Roman"/>
        </w:rPr>
        <w:t>). Neither a risk of detention with opportunities for release and review nor a risk of medical isolation meets this high threshold. In Canada, as in the United States, these risks are within the mutually held norms accepted by our free and democratic societies. The appellants have not shown otherwise.</w:t>
      </w:r>
    </w:p>
    <w:p w14:paraId="2FBAC4C1" w14:textId="77777777" w:rsidR="0014116C" w:rsidRPr="0014116C" w:rsidRDefault="0014116C" w:rsidP="0014116C">
      <w:pPr>
        <w:pStyle w:val="Title4LevelTitre4Niveau"/>
        <w:rPr>
          <w:rFonts w:cs="Times New Roman"/>
        </w:rPr>
      </w:pPr>
      <w:r w:rsidRPr="0014116C">
        <w:rPr>
          <w:rFonts w:cs="Times New Roman"/>
        </w:rPr>
        <w:t>Risks of Refoulement Due to American Asylum Policies</w:t>
      </w:r>
    </w:p>
    <w:p w14:paraId="2B1AF250" w14:textId="77777777" w:rsidR="0014116C" w:rsidRPr="0014116C" w:rsidRDefault="0014116C" w:rsidP="0014116C">
      <w:pPr>
        <w:pStyle w:val="ParaNoNdepar-AltN"/>
        <w:rPr>
          <w:rFonts w:cs="Times New Roman"/>
        </w:rPr>
      </w:pPr>
      <w:r w:rsidRPr="0014116C">
        <w:rPr>
          <w:rFonts w:cs="Times New Roman"/>
        </w:rPr>
        <w:t xml:space="preserve">Subjecting returnees to real and not speculative risks of </w:t>
      </w:r>
      <w:r w:rsidRPr="0014116C">
        <w:rPr>
          <w:rFonts w:cs="Times New Roman"/>
          <w:i/>
          <w:iCs/>
        </w:rPr>
        <w:t xml:space="preserve">refoulement </w:t>
      </w:r>
      <w:r w:rsidRPr="0014116C">
        <w:rPr>
          <w:rFonts w:cs="Times New Roman"/>
        </w:rPr>
        <w:t xml:space="preserve">would bear no relation to the purpose of the impugned legislation, which has respect for the </w:t>
      </w:r>
      <w:r w:rsidRPr="0014116C">
        <w:rPr>
          <w:rFonts w:cs="Times New Roman"/>
          <w:i/>
          <w:iCs/>
        </w:rPr>
        <w:t xml:space="preserve">non-refoulement </w:t>
      </w:r>
      <w:r w:rsidRPr="0014116C">
        <w:rPr>
          <w:rFonts w:cs="Times New Roman"/>
        </w:rPr>
        <w:t xml:space="preserve">principle at its core. A provision mandating return to a risk of </w:t>
      </w:r>
      <w:r w:rsidRPr="0014116C">
        <w:rPr>
          <w:rFonts w:cs="Times New Roman"/>
          <w:i/>
          <w:iCs/>
        </w:rPr>
        <w:t xml:space="preserve">refoulement </w:t>
      </w:r>
      <w:r w:rsidRPr="0014116C">
        <w:rPr>
          <w:rFonts w:cs="Times New Roman"/>
        </w:rPr>
        <w:t xml:space="preserve">would therefore be overbroad. Similarly, a provision mandating return to a risk of </w:t>
      </w:r>
      <w:r w:rsidRPr="0014116C">
        <w:rPr>
          <w:rFonts w:cs="Times New Roman"/>
          <w:i/>
          <w:iCs/>
        </w:rPr>
        <w:t xml:space="preserve">refoulement </w:t>
      </w:r>
      <w:r w:rsidRPr="0014116C">
        <w:rPr>
          <w:rFonts w:cs="Times New Roman"/>
        </w:rPr>
        <w:t>would be grossly disproportionate because doing so would, by definition, expose individuals to risks to their life or freedom (</w:t>
      </w:r>
      <w:r w:rsidRPr="0014116C">
        <w:rPr>
          <w:rFonts w:cs="Times New Roman"/>
          <w:i/>
          <w:iCs/>
        </w:rPr>
        <w:t>Refugee Convention</w:t>
      </w:r>
      <w:r w:rsidRPr="0014116C">
        <w:rPr>
          <w:rFonts w:cs="Times New Roman"/>
        </w:rPr>
        <w:t>, Article 33), torture (</w:t>
      </w:r>
      <w:r w:rsidRPr="0014116C">
        <w:rPr>
          <w:rFonts w:cs="Times New Roman"/>
          <w:i/>
          <w:iCs/>
        </w:rPr>
        <w:t>Convention Against Torture</w:t>
      </w:r>
      <w:r w:rsidRPr="0014116C">
        <w:rPr>
          <w:rFonts w:cs="Times New Roman"/>
        </w:rPr>
        <w:t>, Article 3) or other fundamental human rights violations. Scholars have criticized these sorts of mandatory regimes, which require countries to assume “the partner state’s ability and willingness to protect refugees” (see, e.g., Hathaway, at p. 330). However, the impugned legislation in this case does not simply mandate return: there are also related curative provisions that must be factored into the analysis. These provisions include administrative deferrals of removal (</w:t>
      </w:r>
      <w:r w:rsidRPr="0014116C">
        <w:rPr>
          <w:rFonts w:cs="Times New Roman"/>
          <w:i/>
        </w:rPr>
        <w:t>IRPA</w:t>
      </w:r>
      <w:r w:rsidRPr="0014116C">
        <w:rPr>
          <w:rFonts w:cs="Times New Roman"/>
        </w:rPr>
        <w:t xml:space="preserve">, s. 48(2)), temporary resident permits (s. 24), humanitarian and compassionate exemptions (s. 25.1(1)) and public policy exemptions (s. 25.2(1)). I note that while the Federal Court judge did not consider the full range of relevant curative measures, she properly recognized — in her s. 7 analysis under the headings of “Overbroad” and “Grossly Disproportionate” in her reasons — that safety valves are germane to the assessment of the </w:t>
      </w:r>
      <w:r w:rsidRPr="0014116C">
        <w:rPr>
          <w:rFonts w:cs="Times New Roman"/>
          <w:i/>
        </w:rPr>
        <w:t xml:space="preserve">Bedford </w:t>
      </w:r>
      <w:r w:rsidRPr="0014116C">
        <w:rPr>
          <w:rFonts w:cs="Times New Roman"/>
        </w:rPr>
        <w:t xml:space="preserve">principles of fundamental justice. </w:t>
      </w:r>
    </w:p>
    <w:p w14:paraId="43CEA481" w14:textId="77777777" w:rsidR="0014116C" w:rsidRPr="0014116C" w:rsidRDefault="0014116C" w:rsidP="0014116C">
      <w:pPr>
        <w:pStyle w:val="ParaNoNdepar-AltN"/>
        <w:rPr>
          <w:rFonts w:cs="Times New Roman"/>
        </w:rPr>
      </w:pPr>
      <w:r w:rsidRPr="0014116C">
        <w:rPr>
          <w:rFonts w:cs="Times New Roman"/>
        </w:rPr>
        <w:t xml:space="preserve">As this Court held in </w:t>
      </w:r>
      <w:r w:rsidRPr="0014116C">
        <w:rPr>
          <w:rFonts w:cs="Times New Roman"/>
          <w:i/>
        </w:rPr>
        <w:t>PHS</w:t>
      </w:r>
      <w:r w:rsidRPr="0014116C">
        <w:rPr>
          <w:rFonts w:cs="Times New Roman"/>
        </w:rPr>
        <w:t>, when the impugned legislative scheme contains safety valves, the question is whether these mechanisms — properly interpreted and applied — are sufficient to ensure that no deprivations contrary to the principles of fundamental justice occur (para. 113; see also Moore, at pp. 150</w:t>
      </w:r>
      <w:r w:rsidRPr="0014116C">
        <w:rPr>
          <w:rFonts w:cs="Times New Roman"/>
        </w:rPr>
        <w:noBreakHyphen/>
        <w:t xml:space="preserve">51). Plainly, if no such deprivations materialize, then there is no breach of s. 7. This observation is what, in my view, explains McLachlin C.J.’s statement in </w:t>
      </w:r>
      <w:r w:rsidRPr="0014116C">
        <w:rPr>
          <w:rFonts w:cs="Times New Roman"/>
          <w:i/>
        </w:rPr>
        <w:t>PHS</w:t>
      </w:r>
      <w:r w:rsidRPr="0014116C">
        <w:rPr>
          <w:rFonts w:cs="Times New Roman"/>
        </w:rPr>
        <w:t xml:space="preserve"> that “if one were to set out to draft a law that combats drug abuse while respecting </w:t>
      </w:r>
      <w:r w:rsidRPr="0014116C">
        <w:rPr>
          <w:rFonts w:cs="Times New Roman"/>
          <w:i/>
          <w:iCs/>
        </w:rPr>
        <w:t>Charter</w:t>
      </w:r>
      <w:r w:rsidRPr="0014116C">
        <w:rPr>
          <w:rFonts w:cs="Times New Roman"/>
        </w:rPr>
        <w:t xml:space="preserve"> rights, one might well adopt . . . a prohibition combined with the power to grant exemptions” (para. 114).</w:t>
      </w:r>
    </w:p>
    <w:p w14:paraId="6989C09A" w14:textId="77777777" w:rsidR="0014116C" w:rsidRPr="0014116C" w:rsidRDefault="0014116C" w:rsidP="0014116C">
      <w:pPr>
        <w:pStyle w:val="ParaNoNdepar-AltN"/>
        <w:rPr>
          <w:rFonts w:cs="Times New Roman"/>
        </w:rPr>
      </w:pPr>
      <w:r w:rsidRPr="0014116C">
        <w:rPr>
          <w:rFonts w:cs="Times New Roman"/>
        </w:rPr>
        <w:t xml:space="preserve">The </w:t>
      </w:r>
      <w:r w:rsidRPr="0014116C">
        <w:rPr>
          <w:rFonts w:cs="Times New Roman"/>
          <w:i/>
        </w:rPr>
        <w:t>IRPA</w:t>
      </w:r>
      <w:r w:rsidRPr="0014116C">
        <w:rPr>
          <w:rFonts w:cs="Times New Roman"/>
        </w:rPr>
        <w:t xml:space="preserve">’s curative provisions are, in many key respects, analogous to the safety valve in the </w:t>
      </w:r>
      <w:r w:rsidRPr="0014116C">
        <w:rPr>
          <w:rFonts w:cs="Times New Roman"/>
          <w:i/>
        </w:rPr>
        <w:t>CDSA</w:t>
      </w:r>
      <w:r w:rsidRPr="0014116C">
        <w:rPr>
          <w:rFonts w:cs="Times New Roman"/>
        </w:rPr>
        <w:t xml:space="preserve"> upon which the Court relied in </w:t>
      </w:r>
      <w:r w:rsidRPr="0014116C">
        <w:rPr>
          <w:rFonts w:cs="Times New Roman"/>
          <w:i/>
        </w:rPr>
        <w:t>PHS</w:t>
      </w:r>
      <w:r w:rsidRPr="0014116C">
        <w:rPr>
          <w:rFonts w:cs="Times New Roman"/>
        </w:rPr>
        <w:t xml:space="preserve">. For example, s. 25.1 of the </w:t>
      </w:r>
      <w:r w:rsidRPr="0014116C">
        <w:rPr>
          <w:rFonts w:cs="Times New Roman"/>
          <w:i/>
        </w:rPr>
        <w:t>IRPA</w:t>
      </w:r>
      <w:r w:rsidRPr="0014116C">
        <w:rPr>
          <w:rFonts w:cs="Times New Roman"/>
        </w:rPr>
        <w:t xml:space="preserve"> is structurally similar to what was then s. 56 of the </w:t>
      </w:r>
      <w:r w:rsidRPr="0014116C">
        <w:rPr>
          <w:rFonts w:cs="Times New Roman"/>
          <w:i/>
        </w:rPr>
        <w:t>CDSA</w:t>
      </w:r>
      <w:r w:rsidRPr="0014116C">
        <w:rPr>
          <w:rFonts w:cs="Times New Roman"/>
        </w:rPr>
        <w:t xml:space="preserve">. Both mechanisms contemplate the exercise of ministerial discretion to grant relief from rules that would otherwise apply. Moreover, they both grant a broad discretionary authority, as they permit exemptions from any of the Act’s provisions (in the case of the </w:t>
      </w:r>
      <w:r w:rsidRPr="0014116C">
        <w:rPr>
          <w:rFonts w:cs="Times New Roman"/>
          <w:i/>
        </w:rPr>
        <w:t>CDSA</w:t>
      </w:r>
      <w:r w:rsidRPr="0014116C">
        <w:rPr>
          <w:rFonts w:cs="Times New Roman"/>
        </w:rPr>
        <w:t xml:space="preserve">) or any of the Act’s applicable criteria or obligations (in the case of the </w:t>
      </w:r>
      <w:r w:rsidRPr="0014116C">
        <w:rPr>
          <w:rFonts w:cs="Times New Roman"/>
          <w:i/>
        </w:rPr>
        <w:t>IRPA</w:t>
      </w:r>
      <w:r w:rsidRPr="0014116C">
        <w:rPr>
          <w:rFonts w:cs="Times New Roman"/>
        </w:rPr>
        <w:t>). Exemptions on public policy grounds (</w:t>
      </w:r>
      <w:r w:rsidRPr="0014116C">
        <w:rPr>
          <w:rFonts w:cs="Times New Roman"/>
          <w:i/>
        </w:rPr>
        <w:t>IRPA</w:t>
      </w:r>
      <w:r w:rsidRPr="0014116C">
        <w:rPr>
          <w:rFonts w:cs="Times New Roman"/>
        </w:rPr>
        <w:t>,</w:t>
      </w:r>
      <w:r w:rsidRPr="0014116C">
        <w:rPr>
          <w:rFonts w:cs="Times New Roman"/>
          <w:i/>
        </w:rPr>
        <w:t xml:space="preserve"> </w:t>
      </w:r>
      <w:r w:rsidRPr="0014116C">
        <w:rPr>
          <w:rFonts w:cs="Times New Roman"/>
        </w:rPr>
        <w:t xml:space="preserve">s. 25.2) play a comparable role. Further, administrative deferrals of removal (s. 48(2)) and temporary resident permits (s. 24) also create avenues for discretionary relief, by front-line decision makers rather than the Minister. </w:t>
      </w:r>
    </w:p>
    <w:p w14:paraId="64AEC8AF" w14:textId="77777777" w:rsidR="0014116C" w:rsidRPr="0014116C" w:rsidRDefault="0014116C" w:rsidP="0014116C">
      <w:pPr>
        <w:pStyle w:val="ParaNoNdepar-AltN"/>
        <w:rPr>
          <w:rFonts w:cs="Times New Roman"/>
        </w:rPr>
      </w:pPr>
      <w:r w:rsidRPr="0014116C">
        <w:rPr>
          <w:rFonts w:cs="Times New Roman"/>
        </w:rPr>
        <w:t xml:space="preserve">When the </w:t>
      </w:r>
      <w:r w:rsidRPr="0014116C">
        <w:rPr>
          <w:rFonts w:cs="Times New Roman"/>
          <w:i/>
        </w:rPr>
        <w:t>IRPA</w:t>
      </w:r>
      <w:r w:rsidRPr="0014116C">
        <w:rPr>
          <w:rFonts w:cs="Times New Roman"/>
        </w:rPr>
        <w:t xml:space="preserve">’s safety valves are activated, claimants can be exempted from return. If they are not returned to the United States, they do not face any risk of </w:t>
      </w:r>
      <w:r w:rsidRPr="0014116C">
        <w:rPr>
          <w:rFonts w:cs="Times New Roman"/>
          <w:i/>
        </w:rPr>
        <w:t xml:space="preserve">refoulement </w:t>
      </w:r>
      <w:r w:rsidRPr="0014116C">
        <w:rPr>
          <w:rFonts w:cs="Times New Roman"/>
        </w:rPr>
        <w:t xml:space="preserve">from the United States. The safety valves can therefore intervene to cure what might otherwise be unconstitutional effects, as was the case in </w:t>
      </w:r>
      <w:r w:rsidRPr="0014116C">
        <w:rPr>
          <w:rFonts w:cs="Times New Roman"/>
          <w:i/>
        </w:rPr>
        <w:t>PHS</w:t>
      </w:r>
      <w:r w:rsidRPr="0014116C">
        <w:rPr>
          <w:rFonts w:cs="Times New Roman"/>
        </w:rPr>
        <w:t xml:space="preserve">. Moreover, as in </w:t>
      </w:r>
      <w:r w:rsidRPr="0014116C">
        <w:rPr>
          <w:rFonts w:cs="Times New Roman"/>
          <w:i/>
        </w:rPr>
        <w:t>PHS</w:t>
      </w:r>
      <w:r w:rsidRPr="0014116C">
        <w:rPr>
          <w:rFonts w:cs="Times New Roman"/>
        </w:rPr>
        <w:t xml:space="preserve">, they are properly considered as part of the principles of fundamental justice stage of s. 7 because the mechanisms can be exercised in order to address the specific deprivation at issue, in this case the risk of </w:t>
      </w:r>
      <w:r w:rsidRPr="0014116C">
        <w:rPr>
          <w:rFonts w:cs="Times New Roman"/>
          <w:i/>
        </w:rPr>
        <w:t>refoulement</w:t>
      </w:r>
      <w:r w:rsidRPr="0014116C">
        <w:rPr>
          <w:rFonts w:cs="Times New Roman"/>
        </w:rPr>
        <w:t xml:space="preserve">. </w:t>
      </w:r>
    </w:p>
    <w:p w14:paraId="2055BB44" w14:textId="77777777" w:rsidR="0014116C" w:rsidRPr="0014116C" w:rsidRDefault="0014116C" w:rsidP="0014116C">
      <w:pPr>
        <w:pStyle w:val="ParaNoNdepar-AltN"/>
        <w:rPr>
          <w:rFonts w:cs="Times New Roman"/>
        </w:rPr>
      </w:pPr>
      <w:r w:rsidRPr="0014116C">
        <w:rPr>
          <w:rFonts w:cs="Times New Roman"/>
        </w:rPr>
        <w:t xml:space="preserve">The appellants argue that “overbroad and grossly disproportionate effects cannot be cured” by these mechanisms in the </w:t>
      </w:r>
      <w:r w:rsidRPr="0014116C">
        <w:rPr>
          <w:rFonts w:cs="Times New Roman"/>
          <w:i/>
        </w:rPr>
        <w:t>IRPA</w:t>
      </w:r>
      <w:r w:rsidRPr="0014116C">
        <w:rPr>
          <w:rFonts w:cs="Times New Roman"/>
        </w:rPr>
        <w:t xml:space="preserve"> (A.F., at para. 67). They say the safety valves are irrelevant because they are “not among the legislative and regulatory provisions implementing the [</w:t>
      </w:r>
      <w:r w:rsidRPr="0014116C">
        <w:rPr>
          <w:rFonts w:cs="Times New Roman"/>
          <w:i/>
          <w:iCs/>
        </w:rPr>
        <w:t>Safe Third Country Agreement</w:t>
      </w:r>
      <w:r w:rsidRPr="0014116C">
        <w:rPr>
          <w:rFonts w:cs="Times New Roman"/>
        </w:rPr>
        <w:t>]</w:t>
      </w:r>
      <w:r w:rsidRPr="0014116C">
        <w:rPr>
          <w:rFonts w:cs="Times New Roman"/>
          <w:i/>
          <w:iCs/>
        </w:rPr>
        <w:t xml:space="preserve"> </w:t>
      </w:r>
      <w:r w:rsidRPr="0014116C">
        <w:rPr>
          <w:rFonts w:cs="Times New Roman"/>
        </w:rPr>
        <w:t xml:space="preserve">ineligibility” (para. 69). I disagree. This is not a case where the scheme’s safety valves are so disconnected from the deprivation that they are irrelevant for determining whether the challenged provision violates s. 7 of the </w:t>
      </w:r>
      <w:r w:rsidRPr="0014116C">
        <w:rPr>
          <w:rFonts w:cs="Times New Roman"/>
          <w:i/>
        </w:rPr>
        <w:t>Charter</w:t>
      </w:r>
      <w:r w:rsidRPr="0014116C">
        <w:rPr>
          <w:rFonts w:cs="Times New Roman"/>
        </w:rPr>
        <w:t xml:space="preserve">. Properly interpreted, the curative mechanisms in the broader statutory scheme are sufficient to ensure that individuals are not subjected to real and not speculative risks of </w:t>
      </w:r>
      <w:r w:rsidRPr="0014116C">
        <w:rPr>
          <w:rFonts w:cs="Times New Roman"/>
          <w:i/>
          <w:iCs/>
        </w:rPr>
        <w:t>refoulement</w:t>
      </w:r>
      <w:r w:rsidRPr="0014116C">
        <w:rPr>
          <w:rFonts w:cs="Times New Roman"/>
        </w:rPr>
        <w:t xml:space="preserve">, if such risks do exist. These mechanisms must be understood in light of the discretion that Article 6 of the </w:t>
      </w:r>
      <w:r w:rsidRPr="0014116C">
        <w:rPr>
          <w:rFonts w:cs="Times New Roman"/>
          <w:i/>
          <w:iCs/>
        </w:rPr>
        <w:t xml:space="preserve">Safe Third Country Agreement </w:t>
      </w:r>
      <w:r w:rsidRPr="0014116C">
        <w:rPr>
          <w:rFonts w:cs="Times New Roman"/>
        </w:rPr>
        <w:t xml:space="preserve">preserves for Canada to consider claims when it is in its public interest to do so. </w:t>
      </w:r>
    </w:p>
    <w:p w14:paraId="13FDE371" w14:textId="77777777" w:rsidR="0014116C" w:rsidRPr="0014116C" w:rsidRDefault="0014116C" w:rsidP="0014116C">
      <w:pPr>
        <w:pStyle w:val="ParaNoNdepar-AltN"/>
        <w:rPr>
          <w:rFonts w:cs="Times New Roman"/>
        </w:rPr>
      </w:pPr>
      <w:r w:rsidRPr="0014116C">
        <w:rPr>
          <w:rFonts w:cs="Times New Roman"/>
        </w:rPr>
        <w:t>In Article 6, the parties agreed that each of them could examine “</w:t>
      </w:r>
      <w:r w:rsidRPr="0014116C">
        <w:rPr>
          <w:rFonts w:cs="Times New Roman"/>
          <w:u w:val="single"/>
        </w:rPr>
        <w:t>any</w:t>
      </w:r>
      <w:r w:rsidRPr="0014116C">
        <w:rPr>
          <w:rFonts w:cs="Times New Roman"/>
        </w:rPr>
        <w:t xml:space="preserve"> refugee status claim” when it was in their public interest to do so. The United States has implemented this provision in a manner that leaves room for discretion and consideration of various humanitarian factors (see, e.g., UNHCR, </w:t>
      </w:r>
      <w:r w:rsidRPr="0014116C">
        <w:rPr>
          <w:rFonts w:cs="Times New Roman"/>
          <w:i/>
        </w:rPr>
        <w:t>Monitoring Report: Canada-United States “Safe Third Country” Agreement</w:t>
      </w:r>
      <w:r w:rsidRPr="0014116C">
        <w:rPr>
          <w:rFonts w:cs="Times New Roman"/>
        </w:rPr>
        <w:t xml:space="preserve"> (2006), at pp. 63</w:t>
      </w:r>
      <w:r w:rsidRPr="0014116C">
        <w:rPr>
          <w:rFonts w:cs="Times New Roman"/>
        </w:rPr>
        <w:noBreakHyphen/>
        <w:t xml:space="preserve">65). Nothing in the agreement prevented Canada from leaving in place mechanisms that permit a similar approach. </w:t>
      </w:r>
    </w:p>
    <w:p w14:paraId="0E0B2153" w14:textId="77777777" w:rsidR="0014116C" w:rsidRPr="0014116C" w:rsidRDefault="0014116C" w:rsidP="0014116C">
      <w:pPr>
        <w:pStyle w:val="ParaNoNdepar-AltN"/>
        <w:rPr>
          <w:rFonts w:cs="Times New Roman"/>
        </w:rPr>
      </w:pPr>
      <w:r w:rsidRPr="0014116C">
        <w:rPr>
          <w:rFonts w:cs="Times New Roman"/>
        </w:rPr>
        <w:t xml:space="preserve">The mere fact that these mechanisms predate the treaty does not make them irrelevant. Indeed, scholars have observed that “[t]he great majority of treaties concluded by Canada are in the nature of state-to-state agreements that do not require amendment of the internal laws of either party” (van Ert, at p. 233). When the agreement was signed, Canadian domestic law already included provisions that could facilitate individualized consideration of claimants’ circumstances when it is in Canada’s public interest to do so. New legislation implementing additional mechanisms was not necessary. Likewise, it is of no consequence that these provisions are found in other, generally applicable parts of the </w:t>
      </w:r>
      <w:r w:rsidRPr="0014116C">
        <w:rPr>
          <w:rFonts w:cs="Times New Roman"/>
          <w:i/>
          <w:iCs/>
        </w:rPr>
        <w:t>IRPA</w:t>
      </w:r>
      <w:r w:rsidRPr="0014116C">
        <w:rPr>
          <w:rFonts w:cs="Times New Roman"/>
        </w:rPr>
        <w:t xml:space="preserve">. As I have said, </w:t>
      </w:r>
      <w:r w:rsidRPr="0014116C">
        <w:rPr>
          <w:rFonts w:cs="Times New Roman"/>
          <w:i/>
          <w:iCs/>
        </w:rPr>
        <w:t xml:space="preserve">Charter </w:t>
      </w:r>
      <w:r w:rsidRPr="0014116C">
        <w:rPr>
          <w:rFonts w:cs="Times New Roman"/>
        </w:rPr>
        <w:t>analyses must consider all relevant provisions in an interrelated legislative scheme.</w:t>
      </w:r>
    </w:p>
    <w:p w14:paraId="5C0A1443" w14:textId="77777777" w:rsidR="0014116C" w:rsidRPr="0014116C" w:rsidRDefault="0014116C" w:rsidP="0014116C">
      <w:pPr>
        <w:pStyle w:val="ParaNoNdepar-AltN"/>
        <w:rPr>
          <w:rFonts w:cs="Times New Roman"/>
        </w:rPr>
      </w:pPr>
      <w:r w:rsidRPr="0014116C">
        <w:rPr>
          <w:rFonts w:cs="Times New Roman"/>
        </w:rPr>
        <w:t xml:space="preserve">The related provisions in the </w:t>
      </w:r>
      <w:r w:rsidRPr="0014116C">
        <w:rPr>
          <w:rFonts w:cs="Times New Roman"/>
          <w:i/>
          <w:iCs/>
        </w:rPr>
        <w:t xml:space="preserve">IRPA </w:t>
      </w:r>
      <w:r w:rsidRPr="0014116C">
        <w:rPr>
          <w:rFonts w:cs="Times New Roman"/>
        </w:rPr>
        <w:t xml:space="preserve">and </w:t>
      </w:r>
      <w:r w:rsidRPr="0014116C">
        <w:rPr>
          <w:rFonts w:cs="Times New Roman"/>
          <w:i/>
          <w:iCs/>
        </w:rPr>
        <w:t xml:space="preserve">IRPR </w:t>
      </w:r>
      <w:r w:rsidRPr="0014116C">
        <w:rPr>
          <w:rFonts w:cs="Times New Roman"/>
        </w:rPr>
        <w:t xml:space="preserve">provide various avenues for refugee claimants to be exempted from return on a temporary or permanent basis. For instance, an officer who is persuaded during an initial interview that a real and not speculative risk of </w:t>
      </w:r>
      <w:r w:rsidRPr="0014116C">
        <w:rPr>
          <w:rFonts w:cs="Times New Roman"/>
          <w:i/>
          <w:iCs/>
        </w:rPr>
        <w:t xml:space="preserve">refoulement </w:t>
      </w:r>
      <w:r w:rsidRPr="0014116C">
        <w:rPr>
          <w:rFonts w:cs="Times New Roman"/>
        </w:rPr>
        <w:t xml:space="preserve">exists could refer the case to Immigration, Refugees and Citizenship Canada for further consideration. That department could then determine whether to recommend that the Minister grant a humanitarian and compassionate exemption under s. 25.1 of the </w:t>
      </w:r>
      <w:r w:rsidRPr="0014116C">
        <w:rPr>
          <w:rFonts w:cs="Times New Roman"/>
          <w:i/>
          <w:iCs/>
        </w:rPr>
        <w:t>IRPA</w:t>
      </w:r>
      <w:r w:rsidRPr="0014116C">
        <w:rPr>
          <w:rFonts w:cs="Times New Roman"/>
        </w:rPr>
        <w:t>, including waiving the s. 101(1)(e) ineligibility. Alternatively, the Minister might decide that grounds for granting a temporary resident permit exist, thus providing time for determining whether permanent resident status should be granted on humanitarian and compassionate grounds. These avenues are, of course, not exhaustive. But they suggest that the statutory scheme can limit the risk of harm that the general rule might otherwise occasion.</w:t>
      </w:r>
    </w:p>
    <w:p w14:paraId="09B84781" w14:textId="77777777" w:rsidR="0014116C" w:rsidRPr="0014116C" w:rsidRDefault="0014116C" w:rsidP="0014116C">
      <w:pPr>
        <w:pStyle w:val="ParaNoNdepar-AltN"/>
        <w:rPr>
          <w:rFonts w:cs="Times New Roman"/>
        </w:rPr>
      </w:pPr>
      <w:r w:rsidRPr="0014116C">
        <w:rPr>
          <w:rFonts w:cs="Times New Roman"/>
        </w:rPr>
        <w:t xml:space="preserve">It is true that Canada has only ever expressly relied on Article 6 to create categorical exceptions (Canada, </w:t>
      </w:r>
      <w:r w:rsidRPr="0014116C">
        <w:rPr>
          <w:rFonts w:cs="Times New Roman"/>
          <w:i/>
        </w:rPr>
        <w:t>A Partnership for Protection: Year One Review</w:t>
      </w:r>
      <w:r w:rsidRPr="0014116C">
        <w:rPr>
          <w:rFonts w:cs="Times New Roman"/>
        </w:rPr>
        <w:t xml:space="preserve"> (2006), at p. 37). Nevertheless, Canada has long been aware that Article 6 may permit it to consider the claims of “individuals who would not normally be eligible under an exception but who nevertheless warrant special consideration because of their vulnerability” (UNHCR,</w:t>
      </w:r>
      <w:r w:rsidRPr="0014116C">
        <w:rPr>
          <w:rFonts w:cs="Times New Roman"/>
          <w:i/>
        </w:rPr>
        <w:t xml:space="preserve"> Monitoring Report</w:t>
      </w:r>
      <w:r w:rsidRPr="0014116C">
        <w:rPr>
          <w:rFonts w:cs="Times New Roman"/>
        </w:rPr>
        <w:t xml:space="preserve">, at p. 36; see also </w:t>
      </w:r>
      <w:r w:rsidRPr="0014116C">
        <w:rPr>
          <w:rFonts w:cs="Times New Roman"/>
          <w:i/>
        </w:rPr>
        <w:t>A Partnership for Protection</w:t>
      </w:r>
      <w:r w:rsidRPr="0014116C">
        <w:rPr>
          <w:rFonts w:cs="Times New Roman"/>
        </w:rPr>
        <w:t>, at pp. 35</w:t>
      </w:r>
      <w:r w:rsidRPr="0014116C">
        <w:rPr>
          <w:rFonts w:cs="Times New Roman"/>
        </w:rPr>
        <w:noBreakHyphen/>
        <w:t xml:space="preserve">37). I share this reading of Article 6, which must inform the interpretation of the existing exemption mechanisms. </w:t>
      </w:r>
    </w:p>
    <w:p w14:paraId="7D9BC852" w14:textId="77777777" w:rsidR="0014116C" w:rsidRPr="0014116C" w:rsidRDefault="0014116C" w:rsidP="0014116C">
      <w:pPr>
        <w:pStyle w:val="ParaNoNdepar-AltN"/>
        <w:rPr>
          <w:rFonts w:cs="Times New Roman"/>
        </w:rPr>
      </w:pPr>
      <w:r w:rsidRPr="0014116C">
        <w:rPr>
          <w:rFonts w:cs="Times New Roman"/>
        </w:rPr>
        <w:t>The appellants argue in their factum that the Federal Court judge found these mechanisms to be “illusory” and “largely out of reach” (A.F., at para. 68). The respondents, by contrast, say these mechanisms “exist in law” and the Court of Appeal found that they were available in practice, as the record reflects (R.F., at para. 91). In my view, neither position can be accepted outright.</w:t>
      </w:r>
    </w:p>
    <w:p w14:paraId="5C60F549" w14:textId="77777777" w:rsidR="0014116C" w:rsidRPr="0014116C" w:rsidRDefault="0014116C" w:rsidP="0014116C">
      <w:pPr>
        <w:pStyle w:val="ParaNoNdepar-AltN"/>
        <w:rPr>
          <w:rFonts w:cs="Times New Roman"/>
        </w:rPr>
      </w:pPr>
      <w:r w:rsidRPr="0014116C">
        <w:rPr>
          <w:rFonts w:cs="Times New Roman"/>
        </w:rPr>
        <w:t xml:space="preserve">It is clear that an exemption would be merely “illusory” — and thus incapable of curing constitutional defects — if there were no possibility of accessing it in law. For example, if there is no legal pathway to obtain a statutory exemption, then it is illusory (see </w:t>
      </w:r>
      <w:r w:rsidRPr="0014116C">
        <w:rPr>
          <w:rFonts w:cs="Times New Roman"/>
          <w:i/>
          <w:iCs/>
        </w:rPr>
        <w:t>Parker</w:t>
      </w:r>
      <w:r w:rsidRPr="0014116C">
        <w:rPr>
          <w:rFonts w:cs="Times New Roman"/>
        </w:rPr>
        <w:t xml:space="preserve">, at para. 174). It is also insufficient for curative mechanisms to be available in law but unavailable in practice. Empty promises do not safeguard against breaches of constitutionally protected rights. For instance, this Court has recognized that a statute permitting exemptions may nonetheless create barriers to accessing them (see, </w:t>
      </w:r>
      <w:r w:rsidRPr="0014116C">
        <w:rPr>
          <w:rFonts w:cs="Times New Roman"/>
          <w:iCs/>
        </w:rPr>
        <w:t>e.g.</w:t>
      </w:r>
      <w:r w:rsidRPr="0014116C">
        <w:rPr>
          <w:rFonts w:cs="Times New Roman"/>
        </w:rPr>
        <w:t xml:space="preserve">, </w:t>
      </w:r>
      <w:r w:rsidRPr="0014116C">
        <w:rPr>
          <w:rFonts w:cs="Times New Roman"/>
          <w:i/>
          <w:iCs/>
        </w:rPr>
        <w:t>R. v. Morgentaler</w:t>
      </w:r>
      <w:r w:rsidRPr="0014116C">
        <w:rPr>
          <w:rFonts w:cs="Times New Roman"/>
        </w:rPr>
        <w:t xml:space="preserve">, [1988] 1 S.C.R. 30, at pp. 60-62, </w:t>
      </w:r>
      <w:r w:rsidRPr="0014116C">
        <w:rPr>
          <w:rFonts w:cs="Times New Roman"/>
          <w:iCs/>
        </w:rPr>
        <w:t xml:space="preserve">per </w:t>
      </w:r>
      <w:r w:rsidRPr="0014116C">
        <w:rPr>
          <w:rFonts w:cs="Times New Roman"/>
        </w:rPr>
        <w:t>Dickson C.J., and at pp. 91</w:t>
      </w:r>
      <w:r w:rsidRPr="0014116C">
        <w:rPr>
          <w:rFonts w:cs="Times New Roman"/>
        </w:rPr>
        <w:noBreakHyphen/>
        <w:t xml:space="preserve">100, </w:t>
      </w:r>
      <w:r w:rsidRPr="0014116C">
        <w:rPr>
          <w:rFonts w:cs="Times New Roman"/>
          <w:iCs/>
        </w:rPr>
        <w:t xml:space="preserve">per </w:t>
      </w:r>
      <w:r w:rsidRPr="0014116C">
        <w:rPr>
          <w:rFonts w:cs="Times New Roman"/>
        </w:rPr>
        <w:t>Beetz J.). It is open to challengers to argue that legislation unjustifiably breaches s. 7 because the exemption mechanism itself produces difficulties for individuals seeking access to it (</w:t>
      </w:r>
      <w:r w:rsidRPr="0014116C">
        <w:rPr>
          <w:rFonts w:cs="Times New Roman"/>
          <w:i/>
          <w:iCs/>
        </w:rPr>
        <w:t>Morgentaler</w:t>
      </w:r>
      <w:r w:rsidRPr="0014116C">
        <w:rPr>
          <w:rFonts w:cs="Times New Roman"/>
        </w:rPr>
        <w:t>, at pp. 73</w:t>
      </w:r>
      <w:r w:rsidRPr="0014116C">
        <w:rPr>
          <w:rFonts w:cs="Times New Roman"/>
        </w:rPr>
        <w:noBreakHyphen/>
        <w:t xml:space="preserve">76, </w:t>
      </w:r>
      <w:r w:rsidRPr="0014116C">
        <w:rPr>
          <w:rFonts w:cs="Times New Roman"/>
          <w:iCs/>
        </w:rPr>
        <w:t xml:space="preserve">per </w:t>
      </w:r>
      <w:r w:rsidRPr="0014116C">
        <w:rPr>
          <w:rFonts w:cs="Times New Roman"/>
        </w:rPr>
        <w:t>Dickson C.J., and at pp. 122</w:t>
      </w:r>
      <w:r w:rsidRPr="0014116C">
        <w:rPr>
          <w:rFonts w:cs="Times New Roman"/>
        </w:rPr>
        <w:noBreakHyphen/>
        <w:t xml:space="preserve">28, </w:t>
      </w:r>
      <w:r w:rsidRPr="0014116C">
        <w:rPr>
          <w:rFonts w:cs="Times New Roman"/>
          <w:iCs/>
        </w:rPr>
        <w:t xml:space="preserve">per </w:t>
      </w:r>
      <w:r w:rsidRPr="0014116C">
        <w:rPr>
          <w:rFonts w:cs="Times New Roman"/>
        </w:rPr>
        <w:t xml:space="preserve">Beetz J.). This Court has, however, emphasized that the legislation must be the cause of the alleged difficulties in order for </w:t>
      </w:r>
      <w:r w:rsidRPr="0014116C">
        <w:rPr>
          <w:rFonts w:cs="Times New Roman"/>
          <w:i/>
          <w:iCs/>
        </w:rPr>
        <w:t xml:space="preserve">Charter </w:t>
      </w:r>
      <w:r w:rsidRPr="0014116C">
        <w:rPr>
          <w:rFonts w:cs="Times New Roman"/>
        </w:rPr>
        <w:t xml:space="preserve">scrutiny to attach to it (see </w:t>
      </w:r>
      <w:r w:rsidRPr="0014116C">
        <w:rPr>
          <w:rFonts w:cs="Times New Roman"/>
          <w:i/>
          <w:iCs/>
        </w:rPr>
        <w:t>Little Sisters</w:t>
      </w:r>
      <w:r w:rsidRPr="0014116C">
        <w:rPr>
          <w:rFonts w:cs="Times New Roman"/>
        </w:rPr>
        <w:t xml:space="preserve">, at para. 128). </w:t>
      </w:r>
    </w:p>
    <w:p w14:paraId="0EAEE955" w14:textId="77777777" w:rsidR="0014116C" w:rsidRPr="0014116C" w:rsidRDefault="0014116C" w:rsidP="0014116C">
      <w:pPr>
        <w:pStyle w:val="ParaNoNdepar-AltN"/>
        <w:rPr>
          <w:rFonts w:cs="Times New Roman"/>
        </w:rPr>
      </w:pPr>
      <w:r w:rsidRPr="0014116C">
        <w:rPr>
          <w:rFonts w:cs="Times New Roman"/>
        </w:rPr>
        <w:t>It may</w:t>
      </w:r>
      <w:r w:rsidRPr="0014116C">
        <w:rPr>
          <w:rStyle w:val="ui-provider"/>
          <w:rFonts w:cs="Times New Roman"/>
        </w:rPr>
        <w:t xml:space="preserve"> not always be obvious whether the source of an alleged breach is the legislation or the administrative conduct implementing it (see, </w:t>
      </w:r>
      <w:r w:rsidRPr="0014116C">
        <w:rPr>
          <w:rStyle w:val="ui-provider"/>
          <w:rFonts w:cs="Times New Roman"/>
          <w:iCs/>
        </w:rPr>
        <w:t>e.g.</w:t>
      </w:r>
      <w:r w:rsidRPr="0014116C">
        <w:rPr>
          <w:rStyle w:val="ui-provider"/>
          <w:rFonts w:cs="Times New Roman"/>
        </w:rPr>
        <w:t xml:space="preserve">, A. M. Latimer and B. L. Berger, “A Plumber with Words: Seeking Constitutional Responsibility and an End to the </w:t>
      </w:r>
      <w:r w:rsidRPr="0014116C">
        <w:rPr>
          <w:rStyle w:val="ui-provider"/>
          <w:rFonts w:cs="Times New Roman"/>
          <w:i/>
        </w:rPr>
        <w:t>Little Sisters</w:t>
      </w:r>
      <w:r w:rsidRPr="0014116C">
        <w:rPr>
          <w:rStyle w:val="ui-provider"/>
          <w:rFonts w:cs="Times New Roman"/>
        </w:rPr>
        <w:t xml:space="preserve"> Problem” (2022), 104 </w:t>
      </w:r>
      <w:r w:rsidRPr="0014116C">
        <w:rPr>
          <w:rStyle w:val="ui-provider"/>
          <w:rFonts w:cs="Times New Roman"/>
          <w:i/>
        </w:rPr>
        <w:t>S.C.L.R.</w:t>
      </w:r>
      <w:r w:rsidRPr="0014116C">
        <w:rPr>
          <w:rStyle w:val="ui-provider"/>
          <w:rFonts w:cs="Times New Roman"/>
        </w:rPr>
        <w:t xml:space="preserve"> (2d) 143, at pp. 145</w:t>
      </w:r>
      <w:r w:rsidRPr="0014116C">
        <w:rPr>
          <w:rStyle w:val="ui-provider"/>
          <w:rFonts w:cs="Times New Roman"/>
        </w:rPr>
        <w:noBreakHyphen/>
        <w:t xml:space="preserve">46). </w:t>
      </w:r>
      <w:r w:rsidRPr="0014116C">
        <w:rPr>
          <w:rFonts w:cs="Times New Roman"/>
        </w:rPr>
        <w:t xml:space="preserve">In applying </w:t>
      </w:r>
      <w:r w:rsidRPr="0014116C">
        <w:rPr>
          <w:rFonts w:cs="Times New Roman"/>
          <w:i/>
        </w:rPr>
        <w:t xml:space="preserve">Morgentaler </w:t>
      </w:r>
      <w:r w:rsidRPr="0014116C">
        <w:rPr>
          <w:rFonts w:cs="Times New Roman"/>
        </w:rPr>
        <w:t xml:space="preserve">and </w:t>
      </w:r>
      <w:r w:rsidRPr="0014116C">
        <w:rPr>
          <w:rFonts w:cs="Times New Roman"/>
          <w:i/>
        </w:rPr>
        <w:t>Little Sisters</w:t>
      </w:r>
      <w:r w:rsidRPr="0014116C">
        <w:rPr>
          <w:rFonts w:cs="Times New Roman"/>
        </w:rPr>
        <w:t>, it is appropriate to look to the broader jurisprudence</w:t>
      </w:r>
      <w:r w:rsidRPr="0014116C">
        <w:rPr>
          <w:rFonts w:cs="Times New Roman"/>
          <w:i/>
          <w:iCs/>
        </w:rPr>
        <w:t xml:space="preserve"> </w:t>
      </w:r>
      <w:r w:rsidRPr="0014116C">
        <w:rPr>
          <w:rFonts w:cs="Times New Roman"/>
        </w:rPr>
        <w:t>on the assessment of causation in s. 7 challenges. As is true at every stage of proving a s. 7 violation, challengers bear the evidentiary burden to establish that the legislation causes difficulties for individuals seeking access to curative mechanisms (</w:t>
      </w:r>
      <w:r w:rsidRPr="0014116C">
        <w:rPr>
          <w:rFonts w:cs="Times New Roman"/>
          <w:i/>
          <w:iCs/>
        </w:rPr>
        <w:t>Bedford</w:t>
      </w:r>
      <w:r w:rsidRPr="0014116C">
        <w:rPr>
          <w:rFonts w:cs="Times New Roman"/>
        </w:rPr>
        <w:t xml:space="preserve">, at para. 78). They must therefore show that the legislation causes the exemption to be illusory in their individual circumstances. Challengers need not show that the legislation causes exemptions to be illusory in general, as the s. 7 analysis is not focused on “the percentage of the population that is negatively impacted” (para. 123). When courts conclude that the legislation causes the alleged difficulties, they should explain how this burden is met for each of the relevant curative mechanisms. </w:t>
      </w:r>
    </w:p>
    <w:p w14:paraId="673A265C" w14:textId="77777777" w:rsidR="0014116C" w:rsidRPr="0014116C" w:rsidRDefault="0014116C" w:rsidP="0014116C">
      <w:pPr>
        <w:pStyle w:val="ParaNoNdepar-AltN"/>
        <w:rPr>
          <w:rStyle w:val="ui-provider"/>
          <w:rFonts w:cs="Times New Roman"/>
        </w:rPr>
      </w:pPr>
      <w:r w:rsidRPr="0014116C">
        <w:rPr>
          <w:rFonts w:cs="Times New Roman"/>
        </w:rPr>
        <w:t xml:space="preserve">It is true that the Federal Court judge wrote that “safeguards . . . are largely out of reach and are therefore ‘illusory’” (para. 130). Nevertheless, as the appellants themselves acknowledged in oral argument before this Court, when that statement is read in context, the Federal Court judge’s immediate focus was on the practical availability of judicial review proceedings. As discussed above, the availability of judicial review is distinct from whether there are statutory safeguards that may function as curative mechanisms or “safety valves”. The Federal Court judge’s reasons in this case do not point to a considered finding that all the relevant curative mechanisms are illusory for any individual. Indeed, she did not assess the relevant curative mechanisms in any substantive way. In my respectful view, this was an error of law reflecting a failure to consider how the relevant legislative provisions might apply to the question at hand — although </w:t>
      </w:r>
      <w:r w:rsidRPr="0014116C">
        <w:rPr>
          <w:rStyle w:val="ui-provider"/>
          <w:rFonts w:cs="Times New Roman"/>
        </w:rPr>
        <w:t xml:space="preserve">the </w:t>
      </w:r>
      <w:r w:rsidRPr="0014116C">
        <w:rPr>
          <w:rFonts w:cs="Times New Roman"/>
        </w:rPr>
        <w:t>Federal Court</w:t>
      </w:r>
      <w:r w:rsidRPr="0014116C">
        <w:rPr>
          <w:rStyle w:val="ui-provider"/>
          <w:rFonts w:cs="Times New Roman"/>
        </w:rPr>
        <w:t xml:space="preserve"> judge can hardly be blamed for it, as the parties’ arguments before her do not appear to have squarely addressed how these mechanisms might, properly interpreted, be relevant.</w:t>
      </w:r>
    </w:p>
    <w:p w14:paraId="3CDE9860" w14:textId="77777777" w:rsidR="0014116C" w:rsidRPr="0014116C" w:rsidRDefault="0014116C" w:rsidP="0014116C">
      <w:pPr>
        <w:pStyle w:val="ParaNoNdepar-AltN"/>
        <w:rPr>
          <w:rFonts w:cs="Times New Roman"/>
        </w:rPr>
      </w:pPr>
      <w:r w:rsidRPr="0014116C">
        <w:rPr>
          <w:rFonts w:cs="Times New Roman"/>
        </w:rPr>
        <w:t>Had the full range of relevant curative measures been considered, the Federal Court judge would have recognized that there is insufficient evidence in the record regarding their practical operation. For example, the appellants have identified no evidence that could support a finding that an individual returnee would not have access to these mechanisms. Instead, the record shows that administrative deferrals of removal, temporary resident permits, and humanitarian and compassionate consideration are available. I note, in particular, the circumstances of Ms. Al Nahass’s family, who did receive temporary resident permits and permanent residence on humanitarian and compassionate grounds. Thus, the record in this case cannot sustain the conclusion that the applicable curative mechanisms are “illusory”. In any event, the Federal Court judge’s error of law means that her comment does not bind this Court.</w:t>
      </w:r>
    </w:p>
    <w:p w14:paraId="42886581" w14:textId="77777777" w:rsidR="0014116C" w:rsidRPr="0014116C" w:rsidRDefault="0014116C" w:rsidP="0014116C">
      <w:pPr>
        <w:pStyle w:val="ParaNoNdepar-AltN"/>
        <w:rPr>
          <w:rFonts w:cs="Times New Roman"/>
        </w:rPr>
      </w:pPr>
      <w:r w:rsidRPr="0014116C">
        <w:rPr>
          <w:rFonts w:cs="Times New Roman"/>
        </w:rPr>
        <w:t xml:space="preserve">The public interest authority preserved in Article 6 may be exercised on an individualized basis through the </w:t>
      </w:r>
      <w:r w:rsidRPr="0014116C">
        <w:rPr>
          <w:rFonts w:cs="Times New Roman"/>
          <w:i/>
        </w:rPr>
        <w:t>IRPA</w:t>
      </w:r>
      <w:r w:rsidRPr="0014116C">
        <w:rPr>
          <w:rFonts w:cs="Times New Roman"/>
        </w:rPr>
        <w:t>’s curative mechanisms. Absent a finding that these mechanisms are illusory or otherwise inadequate to respond to the potential harms, realizing the Article 6 discretion in this manner poses no constitutional defect. It is, of course, also open to the Governor in Council to make regulations respecting the criteria for the application of s. 101(1)(e) ineligibility in order to clarify when the general principle of return should not apply (</w:t>
      </w:r>
      <w:r w:rsidRPr="0014116C">
        <w:rPr>
          <w:rFonts w:cs="Times New Roman"/>
          <w:i/>
          <w:iCs/>
        </w:rPr>
        <w:t>IRPA</w:t>
      </w:r>
      <w:r w:rsidRPr="0014116C">
        <w:rPr>
          <w:rFonts w:cs="Times New Roman"/>
        </w:rPr>
        <w:t xml:space="preserve">, s. 102(1)(c)). The Governor in Council has done so in s. 159.6 of the </w:t>
      </w:r>
      <w:r w:rsidRPr="0014116C">
        <w:rPr>
          <w:rFonts w:cs="Times New Roman"/>
          <w:i/>
          <w:iCs/>
        </w:rPr>
        <w:t>IRPR</w:t>
      </w:r>
      <w:r w:rsidRPr="0014116C">
        <w:rPr>
          <w:rFonts w:cs="Times New Roman"/>
        </w:rPr>
        <w:t>, which exempts individuals subject to the death penalty from return. This exception responds to a marked difference between American and Canadian law. It is thus one example of how sharing responsibility need not require that the two countries agree in every respect. Indeed, Article 6 reflects an acceptance that each party to the treaty will abide by its own distinctive view of when considering a refugee claim is in its public interest. Further, regulations under s. 102(1)(c) are not the only avenue for specifying circumstances that warrant an Article 6 exception. The Minister may also set out classes for whom public policy dictates that an exception should be established (</w:t>
      </w:r>
      <w:r w:rsidRPr="0014116C">
        <w:rPr>
          <w:rFonts w:cs="Times New Roman"/>
          <w:i/>
          <w:iCs/>
        </w:rPr>
        <w:t>IRPA</w:t>
      </w:r>
      <w:r w:rsidRPr="0014116C">
        <w:rPr>
          <w:rFonts w:cs="Times New Roman"/>
        </w:rPr>
        <w:t>, s. 25.2). Using the authority under s. 102(1)(c) or 25.2 to clarify the relevant exceptional circumstances may make the process more efficient and predictable.</w:t>
      </w:r>
    </w:p>
    <w:p w14:paraId="05AADC69" w14:textId="77777777" w:rsidR="0014116C" w:rsidRPr="0014116C" w:rsidRDefault="0014116C" w:rsidP="0014116C">
      <w:pPr>
        <w:pStyle w:val="ParaNoNdepar-AltN"/>
        <w:rPr>
          <w:rFonts w:cs="Times New Roman"/>
        </w:rPr>
      </w:pPr>
      <w:r w:rsidRPr="0014116C">
        <w:rPr>
          <w:rFonts w:cs="Times New Roman"/>
        </w:rPr>
        <w:t xml:space="preserve">In sum, even assuming that claimants face real and not speculative risks of </w:t>
      </w:r>
      <w:r w:rsidRPr="0014116C">
        <w:rPr>
          <w:rFonts w:cs="Times New Roman"/>
          <w:i/>
          <w:iCs/>
        </w:rPr>
        <w:t>refoulement</w:t>
      </w:r>
      <w:r w:rsidRPr="0014116C">
        <w:rPr>
          <w:rFonts w:cs="Times New Roman"/>
        </w:rPr>
        <w:t xml:space="preserve"> from the United States, the Canadian legislative scheme provides safety valves that guard against such risks. For that reason, the legislative scheme implementing the </w:t>
      </w:r>
      <w:r w:rsidRPr="0014116C">
        <w:rPr>
          <w:rFonts w:cs="Times New Roman"/>
          <w:i/>
        </w:rPr>
        <w:t>Safe Third Country Agreement</w:t>
      </w:r>
      <w:r w:rsidRPr="0014116C">
        <w:rPr>
          <w:rFonts w:cs="Times New Roman"/>
        </w:rPr>
        <w:t xml:space="preserve"> is not overbroad or grossly disproportionate and therefore accords with the principles of fundamental justice. In light of this conclusion, as well as my conclusions on deprivations related to detention, no breach of s. 7 of the </w:t>
      </w:r>
      <w:r w:rsidRPr="0014116C">
        <w:rPr>
          <w:rFonts w:cs="Times New Roman"/>
          <w:i/>
        </w:rPr>
        <w:t>Charter</w:t>
      </w:r>
      <w:r w:rsidRPr="0014116C">
        <w:rPr>
          <w:rFonts w:cs="Times New Roman"/>
        </w:rPr>
        <w:t xml:space="preserve"> has been established. </w:t>
      </w:r>
    </w:p>
    <w:p w14:paraId="06D653C2" w14:textId="77777777" w:rsidR="0014116C" w:rsidRPr="0014116C" w:rsidRDefault="0014116C" w:rsidP="0014116C">
      <w:pPr>
        <w:pStyle w:val="ParaNoNdepar-AltN"/>
        <w:rPr>
          <w:rFonts w:cs="Times New Roman"/>
        </w:rPr>
      </w:pPr>
      <w:r w:rsidRPr="0014116C">
        <w:rPr>
          <w:rFonts w:cs="Times New Roman"/>
        </w:rPr>
        <w:t xml:space="preserve">I recall that the challenge here was advanced against legislation, not administrative conduct. It may be that administrative actors, such as CBSA officers, acted unreasonably or unconstitutionally in their treatment of some returnees or in their interpretation of the legislative scheme, including its safety valves. </w:t>
      </w:r>
      <w:r w:rsidRPr="0014116C">
        <w:rPr>
          <w:rFonts w:cs="Times New Roman"/>
          <w:szCs w:val="24"/>
        </w:rPr>
        <w:t xml:space="preserve">As noted above, when administrative action or inaction is the cause of the alleged harms, then that conduct is properly the subject of </w:t>
      </w:r>
      <w:r w:rsidRPr="0014116C">
        <w:rPr>
          <w:rFonts w:cs="Times New Roman"/>
          <w:i/>
          <w:iCs/>
          <w:szCs w:val="24"/>
        </w:rPr>
        <w:t>Charter</w:t>
      </w:r>
      <w:r w:rsidRPr="0014116C">
        <w:rPr>
          <w:rFonts w:cs="Times New Roman"/>
          <w:szCs w:val="24"/>
        </w:rPr>
        <w:t xml:space="preserve"> scrutiny, not the legislation itself. </w:t>
      </w:r>
      <w:r w:rsidRPr="0014116C">
        <w:rPr>
          <w:rFonts w:cs="Times New Roman"/>
        </w:rPr>
        <w:t xml:space="preserve">But these are not issues before this Court on appeal. If administrative malfeasance results in returning individuals to circumstances that would shock the conscience of Canadians, such as returning individuals to face a real and not speculative risk of </w:t>
      </w:r>
      <w:r w:rsidRPr="0014116C">
        <w:rPr>
          <w:rFonts w:cs="Times New Roman"/>
          <w:i/>
          <w:iCs/>
        </w:rPr>
        <w:t>refoulement</w:t>
      </w:r>
      <w:r w:rsidRPr="0014116C">
        <w:rPr>
          <w:rFonts w:cs="Times New Roman"/>
        </w:rPr>
        <w:t>, constitutional and administrative remedies remain available. Without saying more, I observe that administrative decisions in this area call for “the most anxious scrutiny” (</w:t>
      </w:r>
      <w:r w:rsidRPr="0014116C">
        <w:rPr>
          <w:rFonts w:cs="Times New Roman"/>
          <w:i/>
        </w:rPr>
        <w:t>R. (Yogathas) v. Secretary of State for the Home Department</w:t>
      </w:r>
      <w:r w:rsidRPr="0014116C">
        <w:rPr>
          <w:rFonts w:cs="Times New Roman"/>
        </w:rPr>
        <w:t xml:space="preserve">, [2002] UKHL 36, [2003] 1 A.C. 920, at paras. 9, 58 and 74, quoting </w:t>
      </w:r>
      <w:r w:rsidRPr="0014116C">
        <w:rPr>
          <w:rFonts w:cs="Times New Roman"/>
          <w:i/>
        </w:rPr>
        <w:t>R. v. Secretary of State for the Home Department, Ex p. Bugdaycay</w:t>
      </w:r>
      <w:r w:rsidRPr="0014116C">
        <w:rPr>
          <w:rFonts w:cs="Times New Roman"/>
        </w:rPr>
        <w:t>, [1987] A.C. 514 (H.L.), at p. 531).</w:t>
      </w:r>
    </w:p>
    <w:p w14:paraId="6757E203" w14:textId="77777777" w:rsidR="0014116C" w:rsidRPr="0014116C" w:rsidRDefault="0014116C" w:rsidP="0014116C">
      <w:pPr>
        <w:pStyle w:val="Title2LevelTitre2Niveau"/>
        <w:rPr>
          <w:rFonts w:cs="Times New Roman"/>
        </w:rPr>
      </w:pPr>
      <w:bookmarkStart w:id="184" w:name="_Toc133824206"/>
      <w:bookmarkStart w:id="185" w:name="_Toc134173698"/>
      <w:bookmarkStart w:id="186" w:name="_Toc136424926"/>
      <w:r w:rsidRPr="0014116C">
        <w:rPr>
          <w:rFonts w:cs="Times New Roman"/>
        </w:rPr>
        <w:t>Section 1</w:t>
      </w:r>
      <w:bookmarkEnd w:id="184"/>
      <w:bookmarkEnd w:id="185"/>
      <w:bookmarkEnd w:id="186"/>
    </w:p>
    <w:p w14:paraId="31867132" w14:textId="77777777" w:rsidR="0014116C" w:rsidRPr="0014116C" w:rsidRDefault="0014116C" w:rsidP="0014116C">
      <w:pPr>
        <w:pStyle w:val="ParaNoNdepar-AltN"/>
        <w:rPr>
          <w:rFonts w:cs="Times New Roman"/>
        </w:rPr>
      </w:pPr>
      <w:r w:rsidRPr="0014116C">
        <w:rPr>
          <w:rFonts w:cs="Times New Roman"/>
        </w:rPr>
        <w:t>Given that the legislative scheme does not violate s. 7, it is not necessary to undertake a s. 1 analysis. However, for the sake of completeness, I provide some brief comments on s. 1 justification for circumstances in which it would be required. In doing so, I highlight the distinct relevance of safety valves in a s. 1 analysis where the burden of justification is on the state.</w:t>
      </w:r>
    </w:p>
    <w:p w14:paraId="0DB1586B" w14:textId="77777777" w:rsidR="0014116C" w:rsidRPr="0014116C" w:rsidRDefault="0014116C" w:rsidP="0014116C">
      <w:pPr>
        <w:pStyle w:val="ParaNoNdepar-AltN"/>
        <w:rPr>
          <w:rFonts w:cs="Times New Roman"/>
        </w:rPr>
      </w:pPr>
      <w:r w:rsidRPr="0014116C">
        <w:rPr>
          <w:rFonts w:cs="Times New Roman"/>
        </w:rPr>
        <w:t xml:space="preserve">The appellants argue that while legislative safety valves did not ensure that the legislation accords with the principles of fundamental justice under s. 7, such avenues for discretionary relief may remain relevant in addressing s. 1. However, they submit that the respondents did not file any evidence in support of a s. 1 justification, and they rely on the Federal Court judge’s statement that safeguards are “illusory”. </w:t>
      </w:r>
    </w:p>
    <w:p w14:paraId="6799BEC3" w14:textId="77777777" w:rsidR="0014116C" w:rsidRPr="0014116C" w:rsidRDefault="0014116C" w:rsidP="0014116C">
      <w:pPr>
        <w:pStyle w:val="ParaNoNdepar-AltN"/>
        <w:rPr>
          <w:rFonts w:cs="Times New Roman"/>
        </w:rPr>
      </w:pPr>
      <w:r w:rsidRPr="0014116C">
        <w:rPr>
          <w:rFonts w:cs="Times New Roman"/>
        </w:rPr>
        <w:t xml:space="preserve">The respondents argue that had a s. 7 breach been made out, it would be justified under s. 1, in part because of related provisions in the legislative scheme. They say that the whole of the law serves to advance the pressing and substantial objective of sharing responsibility for refugee status determinations with the United States. Further, they submit that the scheme is minimally impairing of claimants’ s. 7 rights and point to the continuous monitoring of the regime under s. 102(3) of the </w:t>
      </w:r>
      <w:r w:rsidRPr="0014116C">
        <w:rPr>
          <w:rFonts w:cs="Times New Roman"/>
          <w:i/>
        </w:rPr>
        <w:t>IRPA</w:t>
      </w:r>
      <w:r w:rsidRPr="0014116C">
        <w:rPr>
          <w:rFonts w:cs="Times New Roman"/>
        </w:rPr>
        <w:t xml:space="preserve"> and to the </w:t>
      </w:r>
      <w:r w:rsidRPr="0014116C">
        <w:rPr>
          <w:rFonts w:cs="Times New Roman"/>
          <w:i/>
        </w:rPr>
        <w:t>IRPA</w:t>
      </w:r>
      <w:r w:rsidRPr="0014116C">
        <w:rPr>
          <w:rFonts w:cs="Times New Roman"/>
        </w:rPr>
        <w:t>’s safety valves.</w:t>
      </w:r>
    </w:p>
    <w:p w14:paraId="10381A08" w14:textId="77777777" w:rsidR="0014116C" w:rsidRPr="0014116C" w:rsidRDefault="0014116C" w:rsidP="0014116C">
      <w:pPr>
        <w:pStyle w:val="ParaNoNdepar-AltN"/>
        <w:rPr>
          <w:rFonts w:cs="Times New Roman"/>
        </w:rPr>
      </w:pPr>
      <w:r w:rsidRPr="0014116C">
        <w:rPr>
          <w:rFonts w:cs="Times New Roman"/>
        </w:rPr>
        <w:t xml:space="preserve">Both parties rightly acknowledge that safety valves are relevant at the s. 1 stage, as this Court accepted in </w:t>
      </w:r>
      <w:r w:rsidRPr="0014116C">
        <w:rPr>
          <w:rFonts w:cs="Times New Roman"/>
          <w:i/>
        </w:rPr>
        <w:t>Carter</w:t>
      </w:r>
      <w:r w:rsidRPr="0014116C">
        <w:rPr>
          <w:rFonts w:cs="Times New Roman"/>
        </w:rPr>
        <w:t xml:space="preserve"> (paras. 114</w:t>
      </w:r>
      <w:r w:rsidRPr="0014116C">
        <w:rPr>
          <w:rFonts w:cs="Times New Roman"/>
        </w:rPr>
        <w:noBreakHyphen/>
        <w:t>21). However, the role these mechanisms play at the s. 1 stage differs from their role at the s. 7 stage as does, of course, the burden that the state bears. This is because s. 7 and s. 1 “ask different questions” insofar as “justification on the basis of an overarching public goal is at the heart of s. 1, but it plays no part in the s. 7 analysis, which is concerned with the narrower question of whether the impugned law infringes individual rights” (</w:t>
      </w:r>
      <w:r w:rsidRPr="0014116C">
        <w:rPr>
          <w:rFonts w:cs="Times New Roman"/>
          <w:i/>
        </w:rPr>
        <w:t>Bedford</w:t>
      </w:r>
      <w:r w:rsidRPr="0014116C">
        <w:rPr>
          <w:rFonts w:cs="Times New Roman"/>
        </w:rPr>
        <w:t>, at para. 125). Given this distinction, “a different set of considerations comes into play under section 1: not just the effect of the law on (at least) one person’s section 7 interests, but the effect of the section 7 violation in achieving the law’s policy objectives” (H. Stewart, “</w:t>
      </w:r>
      <w:r w:rsidRPr="0014116C">
        <w:rPr>
          <w:rFonts w:cs="Times New Roman"/>
          <w:i/>
        </w:rPr>
        <w:t xml:space="preserve">Bedford </w:t>
      </w:r>
      <w:r w:rsidRPr="0014116C">
        <w:rPr>
          <w:rFonts w:cs="Times New Roman"/>
        </w:rPr>
        <w:t xml:space="preserve">and the Structure of Section 7” (2015), 60 </w:t>
      </w:r>
      <w:r w:rsidRPr="0014116C">
        <w:rPr>
          <w:rFonts w:cs="Times New Roman"/>
          <w:i/>
        </w:rPr>
        <w:t>McGill L.J.</w:t>
      </w:r>
      <w:r w:rsidRPr="0014116C">
        <w:rPr>
          <w:rFonts w:cs="Times New Roman"/>
        </w:rPr>
        <w:t xml:space="preserve"> 575, at p. 589). When safety valves are at issue, the considerations in play under s. 7 and s. 1 remain distinct. </w:t>
      </w:r>
    </w:p>
    <w:p w14:paraId="534B5A8E" w14:textId="77777777" w:rsidR="0014116C" w:rsidRPr="0014116C" w:rsidRDefault="0014116C" w:rsidP="0014116C">
      <w:pPr>
        <w:pStyle w:val="ParaNoNdepar-AltN"/>
        <w:rPr>
          <w:rFonts w:cs="Times New Roman"/>
        </w:rPr>
      </w:pPr>
      <w:r w:rsidRPr="0014116C">
        <w:rPr>
          <w:rFonts w:cs="Times New Roman"/>
        </w:rPr>
        <w:t xml:space="preserve">While discretionary exemption mechanisms are relevant to determining whether impugned legislation breaches individual rights protected by s. 7, they may not be adequate to ensure that no deprivations contrary to the principles of fundamental justice occur. In other words, they may not succeed in curing all deprivations of individuals’ s. 7 interests. For instance, the scope of a safety valve may simply not be wide enough to exempt all individuals inappropriately caught by the general rule. </w:t>
      </w:r>
    </w:p>
    <w:p w14:paraId="0CDDD587" w14:textId="77777777" w:rsidR="0014116C" w:rsidRPr="0014116C" w:rsidRDefault="0014116C" w:rsidP="0014116C">
      <w:pPr>
        <w:pStyle w:val="ParaNoNdepar-AltN"/>
        <w:rPr>
          <w:rFonts w:cs="Times New Roman"/>
        </w:rPr>
      </w:pPr>
      <w:r w:rsidRPr="0014116C">
        <w:rPr>
          <w:rFonts w:cs="Times New Roman"/>
        </w:rPr>
        <w:t xml:space="preserve">As is the case throughout the s. 7 analysis, claimants bear the burden to show that legislative safety valves do not remedy individual deprivations. To do so, they may, for example, advance arguments and lead evidence demonstrating that a legislative regime itself causes a statute’s curative mechanisms to be practically unavailable. However, at the s. 1 stage, the government bears the burden to show that the safety valves — as a whole — are sufficient to justify any established s. 7 breaches under the test from </w:t>
      </w:r>
      <w:r w:rsidRPr="0014116C">
        <w:rPr>
          <w:rFonts w:cs="Times New Roman"/>
          <w:i/>
        </w:rPr>
        <w:t>R. v. Oakes</w:t>
      </w:r>
      <w:r w:rsidRPr="0014116C">
        <w:rPr>
          <w:rFonts w:cs="Times New Roman"/>
        </w:rPr>
        <w:t>, [1986] 1 S.C.R. 103. This Court has left open the “possibility that the government could establish that a s. 7 violation is justified” (</w:t>
      </w:r>
      <w:r w:rsidRPr="0014116C">
        <w:rPr>
          <w:rFonts w:cs="Times New Roman"/>
          <w:i/>
        </w:rPr>
        <w:t>Bedford</w:t>
      </w:r>
      <w:r w:rsidRPr="0014116C">
        <w:rPr>
          <w:rFonts w:cs="Times New Roman"/>
        </w:rPr>
        <w:t>, at para. 129).</w:t>
      </w:r>
    </w:p>
    <w:p w14:paraId="35554AA6" w14:textId="77777777" w:rsidR="0014116C" w:rsidRPr="0014116C" w:rsidRDefault="0014116C" w:rsidP="0014116C">
      <w:pPr>
        <w:pStyle w:val="ParaNoNdepar-AltN"/>
        <w:rPr>
          <w:rFonts w:cs="Times New Roman"/>
        </w:rPr>
      </w:pPr>
      <w:r w:rsidRPr="0014116C">
        <w:rPr>
          <w:rFonts w:cs="Times New Roman"/>
        </w:rPr>
        <w:t xml:space="preserve">At the s. 1 stage, the government may argue — as Canada did here — that a scheme’s safety valves, if they proved to be imperfect under s. 7, nonetheless render the legislation minimally impairing. Further, the government might seek to rely on safety valves in the final balancing stage of </w:t>
      </w:r>
      <w:r w:rsidRPr="0014116C">
        <w:rPr>
          <w:rFonts w:cs="Times New Roman"/>
          <w:i/>
        </w:rPr>
        <w:t>Oakes</w:t>
      </w:r>
      <w:r w:rsidRPr="0014116C">
        <w:rPr>
          <w:rFonts w:cs="Times New Roman"/>
        </w:rPr>
        <w:t xml:space="preserve">. Nonetheless, given that a s. 7 violation was not established in this case, it is unnecessary to comment on what the outcome of any part of the s. 1 analysis might have been here. </w:t>
      </w:r>
    </w:p>
    <w:p w14:paraId="241D9B65" w14:textId="77777777" w:rsidR="0014116C" w:rsidRPr="0014116C" w:rsidRDefault="0014116C" w:rsidP="0014116C">
      <w:pPr>
        <w:pStyle w:val="Title1LevelTitre1Niveau-AltL"/>
        <w:rPr>
          <w:rFonts w:cs="Times New Roman"/>
        </w:rPr>
      </w:pPr>
      <w:bookmarkStart w:id="187" w:name="_Toc127267678"/>
      <w:bookmarkStart w:id="188" w:name="_Toc130454495"/>
      <w:bookmarkStart w:id="189" w:name="_Toc131401538"/>
      <w:bookmarkStart w:id="190" w:name="_Toc133824207"/>
      <w:bookmarkStart w:id="191" w:name="_Toc134173699"/>
      <w:bookmarkStart w:id="192" w:name="_Toc136424927"/>
      <w:r w:rsidRPr="0014116C">
        <w:rPr>
          <w:rFonts w:cs="Times New Roman"/>
        </w:rPr>
        <w:t xml:space="preserve">The Section 15 </w:t>
      </w:r>
      <w:bookmarkEnd w:id="187"/>
      <w:r w:rsidRPr="0014116C">
        <w:rPr>
          <w:rFonts w:cs="Times New Roman"/>
        </w:rPr>
        <w:t>Claim</w:t>
      </w:r>
      <w:bookmarkEnd w:id="188"/>
      <w:bookmarkEnd w:id="189"/>
      <w:bookmarkEnd w:id="190"/>
      <w:bookmarkEnd w:id="191"/>
      <w:bookmarkEnd w:id="192"/>
      <w:r w:rsidRPr="0014116C">
        <w:rPr>
          <w:rFonts w:cs="Times New Roman"/>
        </w:rPr>
        <w:t xml:space="preserve"> </w:t>
      </w:r>
    </w:p>
    <w:p w14:paraId="1EDF4A69" w14:textId="77777777" w:rsidR="0014116C" w:rsidRPr="0014116C" w:rsidRDefault="0014116C" w:rsidP="0014116C">
      <w:pPr>
        <w:pStyle w:val="Title2LevelTitre2Niveau"/>
        <w:rPr>
          <w:rFonts w:cs="Times New Roman"/>
        </w:rPr>
      </w:pPr>
      <w:bookmarkStart w:id="193" w:name="_Toc127267679"/>
      <w:bookmarkStart w:id="194" w:name="_Toc130454496"/>
      <w:bookmarkStart w:id="195" w:name="_Toc131401539"/>
      <w:bookmarkStart w:id="196" w:name="_Toc133824208"/>
      <w:bookmarkStart w:id="197" w:name="_Toc134173700"/>
      <w:bookmarkStart w:id="198" w:name="_Toc136424928"/>
      <w:r w:rsidRPr="0014116C">
        <w:rPr>
          <w:rFonts w:cs="Times New Roman"/>
        </w:rPr>
        <w:t>The Parties’ Positions on the Section 15 Challenge</w:t>
      </w:r>
      <w:bookmarkEnd w:id="193"/>
      <w:bookmarkEnd w:id="194"/>
      <w:bookmarkEnd w:id="195"/>
      <w:bookmarkEnd w:id="196"/>
      <w:bookmarkEnd w:id="197"/>
      <w:bookmarkEnd w:id="198"/>
    </w:p>
    <w:p w14:paraId="77365404" w14:textId="77777777" w:rsidR="0014116C" w:rsidRPr="0014116C" w:rsidRDefault="0014116C" w:rsidP="0014116C">
      <w:pPr>
        <w:pStyle w:val="ParaNoNdepar-AltN"/>
        <w:tabs>
          <w:tab w:val="num" w:pos="1602"/>
        </w:tabs>
        <w:rPr>
          <w:rFonts w:cs="Times New Roman"/>
        </w:rPr>
      </w:pPr>
      <w:r w:rsidRPr="0014116C">
        <w:rPr>
          <w:rFonts w:cs="Times New Roman"/>
        </w:rPr>
        <w:t xml:space="preserve">In their factum, the appellants asked this Court to remit the matter to the Federal Court. They acknowledge that, in declining to decide their claim under s. 15 of the </w:t>
      </w:r>
      <w:r w:rsidRPr="0014116C">
        <w:rPr>
          <w:rFonts w:cs="Times New Roman"/>
          <w:i/>
        </w:rPr>
        <w:t>Charter</w:t>
      </w:r>
      <w:r w:rsidRPr="0014116C">
        <w:rPr>
          <w:rFonts w:cs="Times New Roman"/>
        </w:rPr>
        <w:t>, the Federal Court judge made no findings of fact on which a gender-based discrimination argument might rest. In oral argument, counsel for the appellants advanced the alternative argument that it is open to this Court to make the necessary factual findings to decide the s. 15 issue and noted that the matter was pleaded before the courts below.</w:t>
      </w:r>
    </w:p>
    <w:p w14:paraId="7A420E4B" w14:textId="77777777" w:rsidR="0014116C" w:rsidRPr="0014116C" w:rsidRDefault="0014116C" w:rsidP="0014116C">
      <w:pPr>
        <w:pStyle w:val="ParaNoNdepar-AltN"/>
        <w:tabs>
          <w:tab w:val="num" w:pos="1602"/>
        </w:tabs>
        <w:rPr>
          <w:rFonts w:cs="Times New Roman"/>
        </w:rPr>
      </w:pPr>
      <w:r w:rsidRPr="0014116C">
        <w:rPr>
          <w:rFonts w:cs="Times New Roman"/>
        </w:rPr>
        <w:t xml:space="preserve">The basis of the appellants’ s. 15 claim in the Federal Court was that women fearing gender-based persecution are adversely affected by s. 159.3 of the </w:t>
      </w:r>
      <w:r w:rsidRPr="0014116C">
        <w:rPr>
          <w:rFonts w:cs="Times New Roman"/>
          <w:i/>
          <w:iCs/>
        </w:rPr>
        <w:t>IRPR</w:t>
      </w:r>
      <w:r w:rsidRPr="0014116C">
        <w:rPr>
          <w:rFonts w:cs="Times New Roman"/>
        </w:rPr>
        <w:t>. The appellants submitted, for instance, that the American interpretation of “particular social group” — one of the classes of individuals protected from</w:t>
      </w:r>
      <w:r w:rsidRPr="0014116C">
        <w:rPr>
          <w:rFonts w:cs="Times New Roman"/>
          <w:i/>
          <w:iCs/>
        </w:rPr>
        <w:t xml:space="preserve"> refoulement</w:t>
      </w:r>
      <w:r w:rsidRPr="0014116C">
        <w:rPr>
          <w:rFonts w:cs="Times New Roman"/>
        </w:rPr>
        <w:t xml:space="preserve"> under Article 33(1) of the </w:t>
      </w:r>
      <w:r w:rsidRPr="0014116C">
        <w:rPr>
          <w:rFonts w:cs="Times New Roman"/>
          <w:i/>
          <w:iCs/>
        </w:rPr>
        <w:t>Refugee Convention</w:t>
      </w:r>
      <w:r w:rsidRPr="0014116C">
        <w:rPr>
          <w:rFonts w:cs="Times New Roman"/>
          <w:iCs/>
        </w:rPr>
        <w:t xml:space="preserve"> — </w:t>
      </w:r>
      <w:r w:rsidRPr="0014116C">
        <w:rPr>
          <w:rFonts w:cs="Times New Roman"/>
        </w:rPr>
        <w:t xml:space="preserve">is overly restrictive with respect to women. </w:t>
      </w:r>
    </w:p>
    <w:p w14:paraId="532B425D" w14:textId="77777777" w:rsidR="0014116C" w:rsidRPr="0014116C" w:rsidRDefault="0014116C" w:rsidP="0014116C">
      <w:pPr>
        <w:pStyle w:val="ParaNoNdepar-AltN"/>
        <w:tabs>
          <w:tab w:val="num" w:pos="1602"/>
        </w:tabs>
        <w:rPr>
          <w:rFonts w:cs="Times New Roman"/>
        </w:rPr>
      </w:pPr>
      <w:r w:rsidRPr="0014116C">
        <w:rPr>
          <w:rFonts w:cs="Times New Roman"/>
        </w:rPr>
        <w:t xml:space="preserve">The respondents argue that there is no need to remit the matter because the appellants’ gender-based concerns are properly addressed within the s. 7 analysis. In the respondents’ submission, what primarily drove the s. 15 claim was the decision in </w:t>
      </w:r>
      <w:r w:rsidRPr="0014116C">
        <w:rPr>
          <w:rFonts w:cs="Times New Roman"/>
          <w:i/>
          <w:iCs/>
        </w:rPr>
        <w:t>Matter of A-B-</w:t>
      </w:r>
      <w:r w:rsidRPr="0014116C">
        <w:rPr>
          <w:rFonts w:cs="Times New Roman"/>
        </w:rPr>
        <w:t xml:space="preserve">, 27 I. &amp; N. Dec. 316 (A.G. 2018), which was vacated in 2021. They submit that the American system recognizes gender-related harms as a basis for asylum claims and that, on a fair reading of the record, there is no evidence of a s. 15 breach. </w:t>
      </w:r>
    </w:p>
    <w:p w14:paraId="3D9DD203" w14:textId="77777777" w:rsidR="0014116C" w:rsidRPr="0014116C" w:rsidRDefault="0014116C" w:rsidP="0014116C">
      <w:pPr>
        <w:pStyle w:val="Title2LevelTitre2Niveau"/>
        <w:rPr>
          <w:rFonts w:cs="Times New Roman"/>
        </w:rPr>
      </w:pPr>
      <w:bookmarkStart w:id="199" w:name="_Toc127267680"/>
      <w:bookmarkStart w:id="200" w:name="_Toc130454497"/>
      <w:bookmarkStart w:id="201" w:name="_Toc131401540"/>
      <w:bookmarkStart w:id="202" w:name="_Toc133824209"/>
      <w:bookmarkStart w:id="203" w:name="_Toc134173701"/>
      <w:bookmarkStart w:id="204" w:name="_Toc136424929"/>
      <w:r w:rsidRPr="0014116C">
        <w:rPr>
          <w:rFonts w:cs="Times New Roman"/>
        </w:rPr>
        <w:t>The Section 15 Challenge Should Be Remitted to the Federal Court</w:t>
      </w:r>
      <w:bookmarkEnd w:id="199"/>
      <w:bookmarkEnd w:id="200"/>
      <w:bookmarkEnd w:id="201"/>
      <w:bookmarkEnd w:id="202"/>
      <w:bookmarkEnd w:id="203"/>
      <w:bookmarkEnd w:id="204"/>
    </w:p>
    <w:p w14:paraId="6A8E89F7" w14:textId="77777777" w:rsidR="0014116C" w:rsidRPr="0014116C" w:rsidRDefault="0014116C" w:rsidP="0014116C">
      <w:pPr>
        <w:pStyle w:val="ParaNoNdepar-AltN"/>
        <w:tabs>
          <w:tab w:val="num" w:pos="1602"/>
        </w:tabs>
        <w:rPr>
          <w:rFonts w:cs="Times New Roman"/>
        </w:rPr>
      </w:pPr>
      <w:r w:rsidRPr="0014116C">
        <w:rPr>
          <w:rFonts w:cs="Times New Roman"/>
        </w:rPr>
        <w:t xml:space="preserve">The </w:t>
      </w:r>
      <w:r w:rsidRPr="0014116C">
        <w:rPr>
          <w:rFonts w:cs="Times New Roman"/>
          <w:i/>
          <w:iCs/>
        </w:rPr>
        <w:t>Supreme Court Act</w:t>
      </w:r>
      <w:r w:rsidRPr="0014116C">
        <w:rPr>
          <w:rFonts w:cs="Times New Roman"/>
        </w:rPr>
        <w:t>, R.S.C. 1985, c. S</w:t>
      </w:r>
      <w:r w:rsidRPr="0014116C">
        <w:rPr>
          <w:rFonts w:cs="Times New Roman"/>
        </w:rPr>
        <w:noBreakHyphen/>
        <w:t>26, empowers this Court to remand any appeal or part thereof to the court appealed from or the court of original jurisdiction (s. 46.1). This discretion is to be exercised “in the interests of justice” (</w:t>
      </w:r>
      <w:r w:rsidRPr="0014116C">
        <w:rPr>
          <w:rFonts w:cs="Times New Roman"/>
          <w:i/>
          <w:iCs/>
        </w:rPr>
        <w:t>Wells v. Newfoundland</w:t>
      </w:r>
      <w:r w:rsidRPr="0014116C">
        <w:rPr>
          <w:rFonts w:cs="Times New Roman"/>
        </w:rPr>
        <w:t xml:space="preserve">, [1999] 3 S.C.R. 199, at para. 68; </w:t>
      </w:r>
      <w:r w:rsidRPr="0014116C">
        <w:rPr>
          <w:rFonts w:cs="Times New Roman"/>
          <w:i/>
          <w:iCs/>
        </w:rPr>
        <w:t>Saadati v. Moorhead</w:t>
      </w:r>
      <w:r w:rsidRPr="0014116C">
        <w:rPr>
          <w:rFonts w:cs="Times New Roman"/>
        </w:rPr>
        <w:t xml:space="preserve">, 2017 SCC 28, [2017] 1 S.C.R. 543, at para. 45; </w:t>
      </w:r>
      <w:r w:rsidRPr="0014116C">
        <w:rPr>
          <w:rFonts w:cs="Times New Roman"/>
          <w:i/>
          <w:iCs/>
        </w:rPr>
        <w:t>R. v. Esseghaier</w:t>
      </w:r>
      <w:r w:rsidRPr="0014116C">
        <w:rPr>
          <w:rFonts w:cs="Times New Roman"/>
        </w:rPr>
        <w:t>, 2021 SCC 9, at para. 63). Here, remitting the s. 15 challenge is just in the circumstances.</w:t>
      </w:r>
    </w:p>
    <w:p w14:paraId="794FB081" w14:textId="77777777" w:rsidR="0014116C" w:rsidRPr="0014116C" w:rsidRDefault="0014116C" w:rsidP="0014116C">
      <w:pPr>
        <w:pStyle w:val="ParaNoNdepar-AltN"/>
        <w:tabs>
          <w:tab w:val="num" w:pos="1602"/>
        </w:tabs>
        <w:rPr>
          <w:rFonts w:cs="Times New Roman"/>
        </w:rPr>
      </w:pPr>
      <w:r w:rsidRPr="0014116C">
        <w:rPr>
          <w:rFonts w:cs="Times New Roman"/>
        </w:rPr>
        <w:t>A court of first instance would have, as a part of its fact-finding mandate, an institutional advantage in making the determinations necessary to a fair treatment of the s. 15 claim. The evidentiary record is voluminous, and while this Court is entitled to make factual findings based upon it, much of the expert affidavit evidence regarding the s. 15 allegations conflicts. For example, the Court would have to evaluate competing expert opinions on a line of cases dealing with the American approach to defining a “particular social group” (see, e.g., Affidavit of Yale</w:t>
      </w:r>
      <w:r w:rsidRPr="0014116C">
        <w:rPr>
          <w:rFonts w:cs="Times New Roman"/>
        </w:rPr>
        <w:noBreakHyphen/>
        <w:t>Loehr, at paras. 118</w:t>
      </w:r>
      <w:r w:rsidRPr="0014116C">
        <w:rPr>
          <w:rFonts w:cs="Times New Roman"/>
        </w:rPr>
        <w:noBreakHyphen/>
        <w:t xml:space="preserve">30; Affidavit of Karen Musalo, at paras. 10 et seq., reproduced in A.R., vol. XXI, at pp. 8965 et seq.). To decide the gender-based claim on the merits, this Court would have to assume the mantle of trier of fact and consider potentially conflicting trends in American jurisprudence as an appellate court of final resort. </w:t>
      </w:r>
    </w:p>
    <w:p w14:paraId="013334A9" w14:textId="77777777" w:rsidR="0014116C" w:rsidRPr="0014116C" w:rsidRDefault="0014116C" w:rsidP="0014116C">
      <w:pPr>
        <w:pStyle w:val="ParaNoNdepar-AltN"/>
        <w:tabs>
          <w:tab w:val="num" w:pos="1602"/>
        </w:tabs>
        <w:rPr>
          <w:rFonts w:cs="Times New Roman"/>
        </w:rPr>
      </w:pPr>
      <w:r w:rsidRPr="0014116C">
        <w:rPr>
          <w:rFonts w:cs="Times New Roman"/>
        </w:rPr>
        <w:t>Appellate courts may — and occasionally are required to — assume the role of finder of fact where doing so is “in the interests of justice and feasible on a practical level” (</w:t>
      </w:r>
      <w:r w:rsidRPr="0014116C">
        <w:rPr>
          <w:rFonts w:cs="Times New Roman"/>
          <w:i/>
        </w:rPr>
        <w:t>Hollis</w:t>
      </w:r>
      <w:r w:rsidRPr="0014116C">
        <w:rPr>
          <w:rFonts w:cs="Times New Roman"/>
        </w:rPr>
        <w:t xml:space="preserve">, at para. 33, </w:t>
      </w:r>
      <w:r w:rsidRPr="0014116C">
        <w:rPr>
          <w:rFonts w:cs="Times New Roman"/>
          <w:iCs/>
        </w:rPr>
        <w:t xml:space="preserve">per </w:t>
      </w:r>
      <w:r w:rsidRPr="0014116C">
        <w:rPr>
          <w:rFonts w:cs="Times New Roman"/>
        </w:rPr>
        <w:t>La Forest J.). However, they are “generally, and justifiably, wary” of doing so (</w:t>
      </w:r>
      <w:r w:rsidRPr="0014116C">
        <w:rPr>
          <w:rFonts w:cs="Times New Roman"/>
          <w:i/>
        </w:rPr>
        <w:t>ibid.</w:t>
      </w:r>
      <w:r w:rsidRPr="0014116C">
        <w:rPr>
          <w:rFonts w:cs="Times New Roman"/>
        </w:rPr>
        <w:t>), given the many advantages first instance courts have in drawing factual inferences. These include their “relative expertise with respect to the weighing and assessing of evidence” and their “inimitable familiarity with the often vast quantities of evidence” (</w:t>
      </w:r>
      <w:r w:rsidRPr="0014116C">
        <w:rPr>
          <w:rFonts w:cs="Times New Roman"/>
          <w:i/>
          <w:iCs/>
        </w:rPr>
        <w:t>Housen</w:t>
      </w:r>
      <w:r w:rsidRPr="0014116C">
        <w:rPr>
          <w:rFonts w:cs="Times New Roman"/>
        </w:rPr>
        <w:t>, at para. 25). Appellate courts should be especially cautious, for example, when a first instance judge has failed to make essential factual findings and where evidence conflicts or is in dispute (</w:t>
      </w:r>
      <w:r w:rsidRPr="0014116C">
        <w:rPr>
          <w:rFonts w:cs="Times New Roman"/>
          <w:i/>
          <w:iCs/>
        </w:rPr>
        <w:t>Hollis</w:t>
      </w:r>
      <w:r w:rsidRPr="0014116C">
        <w:rPr>
          <w:rFonts w:cs="Times New Roman"/>
        </w:rPr>
        <w:t xml:space="preserve">, at paras. 89 and 93, </w:t>
      </w:r>
      <w:r w:rsidRPr="0014116C">
        <w:rPr>
          <w:rFonts w:cs="Times New Roman"/>
          <w:iCs/>
        </w:rPr>
        <w:t xml:space="preserve">per </w:t>
      </w:r>
      <w:r w:rsidRPr="0014116C">
        <w:rPr>
          <w:rFonts w:cs="Times New Roman"/>
        </w:rPr>
        <w:t xml:space="preserve">Sopinka J., dissenting, but not on this point). </w:t>
      </w:r>
    </w:p>
    <w:p w14:paraId="2477EB2C" w14:textId="77777777" w:rsidR="0014116C" w:rsidRPr="0014116C" w:rsidRDefault="0014116C" w:rsidP="0014116C">
      <w:pPr>
        <w:pStyle w:val="ParaNoNdepar-AltN"/>
        <w:tabs>
          <w:tab w:val="num" w:pos="1602"/>
        </w:tabs>
        <w:rPr>
          <w:rFonts w:cs="Times New Roman"/>
        </w:rPr>
      </w:pPr>
      <w:r w:rsidRPr="0014116C">
        <w:rPr>
          <w:rFonts w:cs="Times New Roman"/>
        </w:rPr>
        <w:t>In my view, this Court is not well placed to make the factual findings necessary to assess the merits of the s. 15 claim. Given the profound seriousness of the matter, the size and complexity of the record and the conflicting affidavit evidence, it would be neither “in the interests of justice” nor “feasible on a practical level” for this Court to take up the task of finder of fact (</w:t>
      </w:r>
      <w:r w:rsidRPr="0014116C">
        <w:rPr>
          <w:rFonts w:cs="Times New Roman"/>
          <w:i/>
          <w:iCs/>
        </w:rPr>
        <w:t>Hollis</w:t>
      </w:r>
      <w:r w:rsidRPr="0014116C">
        <w:rPr>
          <w:rFonts w:cs="Times New Roman"/>
        </w:rPr>
        <w:t>, at para. 33). Notably, there would be no possibility of appeal with respect to any factual determinations this Court might make on the disputed, conflicting evidence.</w:t>
      </w:r>
    </w:p>
    <w:p w14:paraId="2785BE2B" w14:textId="77777777" w:rsidR="0014116C" w:rsidRPr="0014116C" w:rsidRDefault="0014116C" w:rsidP="0014116C">
      <w:pPr>
        <w:pStyle w:val="ParaNoNdepar-AltN"/>
        <w:tabs>
          <w:tab w:val="num" w:pos="1602"/>
        </w:tabs>
        <w:rPr>
          <w:rFonts w:cs="Times New Roman"/>
        </w:rPr>
      </w:pPr>
      <w:r w:rsidRPr="0014116C">
        <w:rPr>
          <w:rFonts w:cs="Times New Roman"/>
        </w:rPr>
        <w:t xml:space="preserve">Further, it would not be in the interests of justice to dismiss the s. 15 claim for lack of argument. It is true that the appellants did not argue the substance of their s. 15 claim before this Court beyond a brief mention in their factum and a reference in oral argument to their pleadings before the courts below. This Court has sometimes held that the aspects of a claim not argued by an appellant can be considered abandoned and can thus be dismissed (see, </w:t>
      </w:r>
      <w:r w:rsidRPr="0014116C">
        <w:rPr>
          <w:rFonts w:cs="Times New Roman"/>
          <w:iCs/>
        </w:rPr>
        <w:t>e.g.</w:t>
      </w:r>
      <w:r w:rsidRPr="0014116C">
        <w:rPr>
          <w:rFonts w:cs="Times New Roman"/>
        </w:rPr>
        <w:t xml:space="preserve">, </w:t>
      </w:r>
      <w:r w:rsidRPr="0014116C">
        <w:rPr>
          <w:rFonts w:cs="Times New Roman"/>
          <w:i/>
          <w:iCs/>
        </w:rPr>
        <w:t>Meyer v. General Exchange Insurance Corp.</w:t>
      </w:r>
      <w:r w:rsidRPr="0014116C">
        <w:rPr>
          <w:rFonts w:cs="Times New Roman"/>
        </w:rPr>
        <w:t xml:space="preserve">, [1962] S.C.R. 193, at p. 201, </w:t>
      </w:r>
      <w:r w:rsidRPr="0014116C">
        <w:rPr>
          <w:rFonts w:cs="Times New Roman"/>
          <w:iCs/>
        </w:rPr>
        <w:t xml:space="preserve">per </w:t>
      </w:r>
      <w:r w:rsidRPr="0014116C">
        <w:rPr>
          <w:rFonts w:cs="Times New Roman"/>
        </w:rPr>
        <w:t xml:space="preserve">Locke J.). These decisions rightly recognize that appellants are generally expected to provide full arguments for the claims they maintain before this Court. Yet, I sense it would be inappropriate to interpret the appellants’ lack of argument as an abandonment of serious submissions that the courts below commented on so briefly and did not decide. In the specific circumstances of this appeal, it was not unreasonable for the appellants to limit their pleadings to a request for this Court to remit the s. 15 matter. The alternate argument that the matter be decided here was not a considered position. It would have been unrealistic for the appellants to attempt to fill the factual void left by the courts below while simultaneously advancing novel legal arguments, such as those relating to causation and equality rights in the international context. </w:t>
      </w:r>
    </w:p>
    <w:p w14:paraId="50DD4C07" w14:textId="77777777" w:rsidR="0014116C" w:rsidRPr="0014116C" w:rsidRDefault="0014116C" w:rsidP="0014116C">
      <w:pPr>
        <w:pStyle w:val="ParaNoNdepar-AltN"/>
        <w:rPr>
          <w:rFonts w:cs="Times New Roman"/>
        </w:rPr>
      </w:pPr>
      <w:bookmarkStart w:id="205" w:name="_Toc130454498"/>
      <w:r w:rsidRPr="0014116C">
        <w:rPr>
          <w:rFonts w:cs="Times New Roman"/>
        </w:rPr>
        <w:t xml:space="preserve">Finally, I note that </w:t>
      </w:r>
      <w:bookmarkEnd w:id="205"/>
      <w:r w:rsidRPr="0014116C">
        <w:rPr>
          <w:rFonts w:cs="Times New Roman"/>
        </w:rPr>
        <w:t xml:space="preserve">certain interveners are troubled by what they see as a judicial “pattern of neglect with respect to section 15” in challenges based on multiple </w:t>
      </w:r>
      <w:r w:rsidRPr="0014116C">
        <w:rPr>
          <w:rFonts w:cs="Times New Roman"/>
          <w:i/>
          <w:iCs/>
        </w:rPr>
        <w:t xml:space="preserve">Charter </w:t>
      </w:r>
      <w:r w:rsidRPr="0014116C">
        <w:rPr>
          <w:rFonts w:cs="Times New Roman"/>
        </w:rPr>
        <w:t xml:space="preserve">rights (I.F., David Asper Centre for Constitutional Rights, West Coast Legal Education and Action Fund Association and Women’s Legal Education and Action Fund Inc., at para. 13). One can well understand the concern: claims based on s. 15 are not secondary issues only to be reached after all other issues are considered. The </w:t>
      </w:r>
      <w:r w:rsidRPr="0014116C">
        <w:rPr>
          <w:rFonts w:cs="Times New Roman"/>
          <w:i/>
          <w:iCs/>
        </w:rPr>
        <w:t xml:space="preserve">Charter </w:t>
      </w:r>
      <w:r w:rsidRPr="0014116C">
        <w:rPr>
          <w:rFonts w:cs="Times New Roman"/>
          <w:iCs/>
        </w:rPr>
        <w:t xml:space="preserve">should not be treated as if it </w:t>
      </w:r>
      <w:r w:rsidRPr="0014116C">
        <w:rPr>
          <w:rFonts w:cs="Times New Roman"/>
        </w:rPr>
        <w:t xml:space="preserve">establishes a hierarchy of rights in which s. 15 occupies a lower tier. </w:t>
      </w:r>
    </w:p>
    <w:p w14:paraId="54BA86EA" w14:textId="77777777" w:rsidR="0014116C" w:rsidRPr="0014116C" w:rsidRDefault="0014116C" w:rsidP="0014116C">
      <w:pPr>
        <w:pStyle w:val="ParaNoNdepar-AltN"/>
        <w:rPr>
          <w:rFonts w:cs="Times New Roman"/>
        </w:rPr>
      </w:pPr>
      <w:r w:rsidRPr="0014116C">
        <w:rPr>
          <w:rFonts w:cs="Times New Roman"/>
        </w:rPr>
        <w:t>I would not fault the Federal Court judge here for exercising judicial restraint and not deciding the s. 15 claim. I recognize that the principle of judicial policy underlying such restraint is sound, as “[i]t is based on the realization that unnecessary constitutional pronouncements may prejudice future cases, the implications of which have not been foreseen” (</w:t>
      </w:r>
      <w:r w:rsidRPr="0014116C">
        <w:rPr>
          <w:rFonts w:cs="Times New Roman"/>
          <w:i/>
          <w:iCs/>
        </w:rPr>
        <w:t>Phillips v. Nova Scotia (Commission of Inquiry into the Westray Mine Tragedy)</w:t>
      </w:r>
      <w:r w:rsidRPr="0014116C">
        <w:rPr>
          <w:rFonts w:cs="Times New Roman"/>
        </w:rPr>
        <w:t xml:space="preserve">, [1995] 2 S.C.R. 97, at para. 9, </w:t>
      </w:r>
      <w:r w:rsidRPr="0014116C">
        <w:rPr>
          <w:rFonts w:cs="Times New Roman"/>
          <w:iCs/>
        </w:rPr>
        <w:t xml:space="preserve">per </w:t>
      </w:r>
      <w:r w:rsidRPr="0014116C">
        <w:rPr>
          <w:rFonts w:cs="Times New Roman"/>
        </w:rPr>
        <w:t>Sopinka J.). Even so, these judicial policy considerations are not always determinative. They must be weighed against other factors, such as the possibility of an appeal and fairness to the parties. While the proceeding at first instance remains the “main event” (</w:t>
      </w:r>
      <w:r w:rsidRPr="0014116C">
        <w:rPr>
          <w:rFonts w:cs="Times New Roman"/>
          <w:i/>
          <w:iCs/>
        </w:rPr>
        <w:t>Housen</w:t>
      </w:r>
      <w:r w:rsidRPr="0014116C">
        <w:rPr>
          <w:rFonts w:cs="Times New Roman"/>
        </w:rPr>
        <w:t xml:space="preserve">, at para. 13, quoting </w:t>
      </w:r>
      <w:r w:rsidRPr="0014116C">
        <w:rPr>
          <w:rFonts w:cs="Times New Roman"/>
          <w:i/>
        </w:rPr>
        <w:t>Anderson v. Bessemer City</w:t>
      </w:r>
      <w:r w:rsidRPr="0014116C">
        <w:rPr>
          <w:rFonts w:cs="Times New Roman"/>
        </w:rPr>
        <w:t>, 470 U.S. 564 (1985), at pp. 574</w:t>
      </w:r>
      <w:r w:rsidRPr="0014116C">
        <w:rPr>
          <w:rFonts w:cs="Times New Roman"/>
        </w:rPr>
        <w:noBreakHyphen/>
        <w:t>75), the possibility that further proceedings might require addressing alternative constitutional grounds should be considered. As in this case, when first instance judges decline to consider further constitutional issues, a false economy may arise if appellate courts have to remit claims.</w:t>
      </w:r>
    </w:p>
    <w:p w14:paraId="12D6A36A" w14:textId="77777777" w:rsidR="0014116C" w:rsidRPr="0014116C" w:rsidRDefault="0014116C" w:rsidP="0014116C">
      <w:pPr>
        <w:pStyle w:val="ParaNoNdepar-AltN"/>
        <w:rPr>
          <w:rFonts w:cs="Times New Roman"/>
        </w:rPr>
      </w:pPr>
      <w:r w:rsidRPr="0014116C">
        <w:rPr>
          <w:rFonts w:cs="Times New Roman"/>
        </w:rPr>
        <w:t xml:space="preserve">In sum, it is in the interests of justice to send the matter back to the Federal Court for determination, as the Federal Court of Appeal rightly recognized (para. 173). Nothing in these reasons should be taken to decide the factual or legal questions that will be relevant to the s. 15 challenge. </w:t>
      </w:r>
    </w:p>
    <w:p w14:paraId="4F47DC45" w14:textId="77777777" w:rsidR="0014116C" w:rsidRPr="0014116C" w:rsidRDefault="0014116C" w:rsidP="0014116C">
      <w:pPr>
        <w:pStyle w:val="Title1LevelTitre1Niveau-AltL"/>
        <w:rPr>
          <w:rFonts w:cs="Times New Roman"/>
        </w:rPr>
      </w:pPr>
      <w:bookmarkStart w:id="206" w:name="_Toc127267681"/>
      <w:bookmarkStart w:id="207" w:name="_Toc130454499"/>
      <w:bookmarkStart w:id="208" w:name="_Toc131401541"/>
      <w:bookmarkStart w:id="209" w:name="_Toc133824210"/>
      <w:bookmarkStart w:id="210" w:name="_Toc134173702"/>
      <w:bookmarkStart w:id="211" w:name="_Toc136424930"/>
      <w:r w:rsidRPr="0014116C">
        <w:rPr>
          <w:rFonts w:cs="Times New Roman"/>
        </w:rPr>
        <w:t>Conclusion</w:t>
      </w:r>
      <w:bookmarkEnd w:id="206"/>
      <w:bookmarkEnd w:id="207"/>
      <w:bookmarkEnd w:id="208"/>
      <w:bookmarkEnd w:id="209"/>
      <w:bookmarkEnd w:id="210"/>
      <w:bookmarkEnd w:id="211"/>
    </w:p>
    <w:p w14:paraId="12DA16D7" w14:textId="77777777" w:rsidR="0014116C" w:rsidRPr="0014116C" w:rsidRDefault="0014116C" w:rsidP="0014116C">
      <w:pPr>
        <w:pStyle w:val="ParaNoNdepar-AltN"/>
        <w:rPr>
          <w:rFonts w:cs="Times New Roman"/>
        </w:rPr>
      </w:pPr>
      <w:r w:rsidRPr="0014116C">
        <w:rPr>
          <w:rFonts w:cs="Times New Roman"/>
        </w:rPr>
        <w:t xml:space="preserve">I would answer the questions posed on appeal as follows. First, s. 159.3 of the </w:t>
      </w:r>
      <w:r w:rsidRPr="0014116C">
        <w:rPr>
          <w:rFonts w:cs="Times New Roman"/>
          <w:i/>
          <w:iCs/>
        </w:rPr>
        <w:t>IRPR</w:t>
      </w:r>
      <w:r w:rsidRPr="0014116C">
        <w:rPr>
          <w:rFonts w:cs="Times New Roman"/>
        </w:rPr>
        <w:t xml:space="preserve"> is not </w:t>
      </w:r>
      <w:r w:rsidRPr="0014116C">
        <w:rPr>
          <w:rFonts w:cs="Times New Roman"/>
          <w:i/>
          <w:iCs/>
        </w:rPr>
        <w:t>ultra vires</w:t>
      </w:r>
      <w:r w:rsidRPr="0014116C">
        <w:rPr>
          <w:rFonts w:cs="Times New Roman"/>
        </w:rPr>
        <w:t xml:space="preserve">. Second, s. 159.3 does not breach s. 7 of the </w:t>
      </w:r>
      <w:r w:rsidRPr="0014116C">
        <w:rPr>
          <w:rFonts w:cs="Times New Roman"/>
          <w:i/>
          <w:iCs/>
        </w:rPr>
        <w:t>Charter</w:t>
      </w:r>
      <w:r w:rsidRPr="0014116C">
        <w:rPr>
          <w:rFonts w:cs="Times New Roman"/>
        </w:rPr>
        <w:t xml:space="preserve">. Third, the challenge based on s. 15 of the </w:t>
      </w:r>
      <w:r w:rsidRPr="0014116C">
        <w:rPr>
          <w:rFonts w:cs="Times New Roman"/>
          <w:i/>
          <w:iCs/>
        </w:rPr>
        <w:t xml:space="preserve">Charter </w:t>
      </w:r>
      <w:r w:rsidRPr="0014116C">
        <w:rPr>
          <w:rFonts w:cs="Times New Roman"/>
        </w:rPr>
        <w:t xml:space="preserve">should be remitted to the Federal Court. </w:t>
      </w:r>
    </w:p>
    <w:p w14:paraId="53AAEC6D" w14:textId="77777777" w:rsidR="0014116C" w:rsidRPr="0014116C" w:rsidRDefault="0014116C" w:rsidP="0014116C">
      <w:pPr>
        <w:pStyle w:val="ParaNoNdepar-AltN"/>
        <w:rPr>
          <w:rFonts w:cs="Times New Roman"/>
        </w:rPr>
      </w:pPr>
      <w:r w:rsidRPr="0014116C">
        <w:rPr>
          <w:rFonts w:cs="Times New Roman"/>
        </w:rPr>
        <w:t xml:space="preserve">Because the Federal Court of Appeal allowed the appeal and dismissed the applications for judicial review in their entirety, certain aspects of its judgment should be set aside. In particular, the Court of Appeal erred in deciding that the challenge to s. 159.3 of the </w:t>
      </w:r>
      <w:r w:rsidRPr="0014116C">
        <w:rPr>
          <w:rFonts w:cs="Times New Roman"/>
          <w:i/>
        </w:rPr>
        <w:t>IRPR</w:t>
      </w:r>
      <w:r w:rsidRPr="0014116C">
        <w:rPr>
          <w:rFonts w:cs="Times New Roman"/>
        </w:rPr>
        <w:t xml:space="preserve"> based on s. 15 of the </w:t>
      </w:r>
      <w:r w:rsidRPr="0014116C">
        <w:rPr>
          <w:rFonts w:cs="Times New Roman"/>
          <w:i/>
        </w:rPr>
        <w:t>Charter</w:t>
      </w:r>
      <w:r w:rsidRPr="0014116C">
        <w:rPr>
          <w:rFonts w:cs="Times New Roman"/>
        </w:rPr>
        <w:t xml:space="preserve"> should be dismissed rather than remitted to the Federal Court. Accordingly, I would allow the appeal in part. Neither party sought costs. Like the courts below, I would make no order as to costs on the appeal or the application for leave to appeal.</w:t>
      </w:r>
    </w:p>
    <w:p w14:paraId="0EAAC775" w14:textId="0F2506FA" w:rsidR="009B57B3" w:rsidRPr="0014116C" w:rsidRDefault="00AD2A63" w:rsidP="00094FAC">
      <w:pPr>
        <w:pStyle w:val="SCCNormalDoubleSpacing"/>
        <w:spacing w:after="480"/>
        <w:rPr>
          <w:i/>
        </w:rPr>
      </w:pPr>
      <w:r w:rsidRPr="0014116C">
        <w:tab/>
      </w:r>
      <w:r w:rsidR="00656313" w:rsidRPr="0014116C">
        <w:rPr>
          <w:i/>
        </w:rPr>
        <w:t>Appeal</w:t>
      </w:r>
      <w:r w:rsidRPr="0014116C">
        <w:rPr>
          <w:i/>
        </w:rPr>
        <w:t xml:space="preserve"> </w:t>
      </w:r>
      <w:r w:rsidR="00C822C9" w:rsidRPr="0014116C">
        <w:rPr>
          <w:i/>
        </w:rPr>
        <w:t>allowed in part</w:t>
      </w:r>
      <w:r w:rsidRPr="0014116C">
        <w:rPr>
          <w:i/>
        </w:rPr>
        <w:t>.</w:t>
      </w:r>
    </w:p>
    <w:p w14:paraId="03CBBE8A" w14:textId="20D86817" w:rsidR="006575DF" w:rsidRPr="0014116C" w:rsidRDefault="00456A82" w:rsidP="00094FAC">
      <w:pPr>
        <w:pStyle w:val="SCCLawFirm"/>
        <w:spacing w:after="480"/>
      </w:pPr>
      <w:r w:rsidRPr="0014116C">
        <w:tab/>
      </w:r>
      <w:r w:rsidR="008719D2" w:rsidRPr="0014116C">
        <w:t>Solicitor</w:t>
      </w:r>
      <w:r w:rsidRPr="0014116C">
        <w:t xml:space="preserve"> for the appellant</w:t>
      </w:r>
      <w:r w:rsidR="008719D2" w:rsidRPr="0014116C">
        <w:t>s</w:t>
      </w:r>
      <w:r w:rsidR="00CD20E3" w:rsidRPr="0014116C">
        <w:t xml:space="preserve"> </w:t>
      </w:r>
      <w:r w:rsidR="00CD20E3" w:rsidRPr="0014116C">
        <w:rPr>
          <w:rStyle w:val="SCCCounselPartyRoleChar"/>
        </w:rPr>
        <w:t>the Canadian Council for Refugees, Amnesty International and the Canadian Council of Churches</w:t>
      </w:r>
      <w:r w:rsidRPr="0014116C">
        <w:t>: Refugee Law Office, Toronto.</w:t>
      </w:r>
    </w:p>
    <w:p w14:paraId="151EE3DF" w14:textId="627C3C3A" w:rsidR="006575DF" w:rsidRPr="0014116C" w:rsidRDefault="00456A82" w:rsidP="00094FAC">
      <w:pPr>
        <w:pStyle w:val="SCCLawFirm"/>
        <w:spacing w:after="480"/>
      </w:pPr>
      <w:r w:rsidRPr="0014116C">
        <w:tab/>
      </w:r>
      <w:r w:rsidR="008719D2" w:rsidRPr="0014116C">
        <w:t>Solicitor</w:t>
      </w:r>
      <w:r w:rsidRPr="0014116C">
        <w:t xml:space="preserve"> for the appellant</w:t>
      </w:r>
      <w:r w:rsidR="008719D2" w:rsidRPr="0014116C">
        <w:t>s</w:t>
      </w:r>
      <w:r w:rsidR="00CD20E3" w:rsidRPr="0014116C">
        <w:t xml:space="preserve"> </w:t>
      </w:r>
      <w:r w:rsidR="00CD20E3" w:rsidRPr="0014116C">
        <w:rPr>
          <w:rStyle w:val="SCCCounselPartyRoleChar"/>
        </w:rPr>
        <w:t>ABC, DE by her litigation guardian ABC, FG by her litigation guardian ABC</w:t>
      </w:r>
      <w:r w:rsidR="00FB5D4E" w:rsidRPr="0014116C">
        <w:rPr>
          <w:rStyle w:val="SCCCounselPartyRoleChar"/>
        </w:rPr>
        <w:t>,</w:t>
      </w:r>
      <w:r w:rsidR="00CD20E3" w:rsidRPr="0014116C">
        <w:rPr>
          <w:rStyle w:val="SCCCounselPartyRoleChar"/>
        </w:rPr>
        <w:t xml:space="preserve"> and </w:t>
      </w:r>
      <w:r w:rsidR="00CD20E3" w:rsidRPr="0014116C">
        <w:rPr>
          <w:lang w:val="en-US"/>
        </w:rPr>
        <w:t>Nedira Jemal Mustefa</w:t>
      </w:r>
      <w:r w:rsidRPr="0014116C">
        <w:t>: Downtown Legal Services, Toronto.</w:t>
      </w:r>
    </w:p>
    <w:p w14:paraId="742779F0" w14:textId="56520BD8" w:rsidR="006575DF" w:rsidRPr="0014116C" w:rsidRDefault="008719D2" w:rsidP="00094FAC">
      <w:pPr>
        <w:pStyle w:val="SCCLawFirm"/>
        <w:spacing w:after="480"/>
      </w:pPr>
      <w:r w:rsidRPr="0014116C">
        <w:tab/>
        <w:t>Solicitors</w:t>
      </w:r>
      <w:r w:rsidR="00456A82" w:rsidRPr="0014116C">
        <w:t xml:space="preserve"> for the appellant</w:t>
      </w:r>
      <w:r w:rsidRPr="0014116C">
        <w:t>s</w:t>
      </w:r>
      <w:r w:rsidR="00CD20E3" w:rsidRPr="0014116C">
        <w:t xml:space="preserve"> </w:t>
      </w:r>
      <w:r w:rsidR="00CD20E3" w:rsidRPr="0014116C">
        <w:rPr>
          <w:rStyle w:val="SCCCounselPartyRoleChar"/>
        </w:rPr>
        <w:t>Mohammad Majd Maher Homsi, Hala Maher Homsi, Karam Maher Homsi and Reda Yassin Al Nahass</w:t>
      </w:r>
      <w:r w:rsidR="00456A82" w:rsidRPr="0014116C">
        <w:t>: Jared Will &amp; Associates, Toronto.</w:t>
      </w:r>
    </w:p>
    <w:p w14:paraId="1450ADEB" w14:textId="4971D0FE" w:rsidR="006575DF" w:rsidRPr="0014116C" w:rsidRDefault="008719D2" w:rsidP="00094FAC">
      <w:pPr>
        <w:pStyle w:val="SCCLawFirm"/>
        <w:spacing w:after="480"/>
      </w:pPr>
      <w:r w:rsidRPr="0014116C">
        <w:tab/>
        <w:t>Solicitor</w:t>
      </w:r>
      <w:r w:rsidR="00FB5D4E" w:rsidRPr="0014116C">
        <w:t>s</w:t>
      </w:r>
      <w:r w:rsidR="00456A82" w:rsidRPr="0014116C">
        <w:t xml:space="preserve"> for the respondent</w:t>
      </w:r>
      <w:r w:rsidR="00295726" w:rsidRPr="0014116C">
        <w:t>s</w:t>
      </w:r>
      <w:r w:rsidR="00456A82" w:rsidRPr="0014116C">
        <w:t xml:space="preserve">: </w:t>
      </w:r>
      <w:r w:rsidR="009F62E8" w:rsidRPr="0014116C">
        <w:t xml:space="preserve">Department of Justice </w:t>
      </w:r>
      <w:r w:rsidR="009F62E8" w:rsidRPr="0014116C">
        <w:rPr>
          <w:lang w:val="en-US"/>
        </w:rPr>
        <w:t>— Ontario Regional Office, Toronto; Department of Justice — Quebec Regional Office</w:t>
      </w:r>
      <w:r w:rsidR="00456A82" w:rsidRPr="0014116C">
        <w:t xml:space="preserve">, </w:t>
      </w:r>
      <w:r w:rsidR="009F62E8" w:rsidRPr="0014116C">
        <w:t>Montréal</w:t>
      </w:r>
      <w:r w:rsidR="00456A82" w:rsidRPr="0014116C">
        <w:t>.</w:t>
      </w:r>
    </w:p>
    <w:p w14:paraId="2DAFF586" w14:textId="4944A991" w:rsidR="006575DF" w:rsidRPr="0014116C" w:rsidRDefault="00456A82" w:rsidP="00094FAC">
      <w:pPr>
        <w:pStyle w:val="SCCLawFirm"/>
        <w:spacing w:after="480"/>
        <w:rPr>
          <w:lang w:val="fr-CA"/>
        </w:rPr>
      </w:pPr>
      <w:r w:rsidRPr="0014116C">
        <w:tab/>
      </w:r>
      <w:r w:rsidR="009F62E8" w:rsidRPr="0014116C">
        <w:rPr>
          <w:lang w:val="fr-CA"/>
        </w:rPr>
        <w:t>Solicitors</w:t>
      </w:r>
      <w:r w:rsidRPr="0014116C">
        <w:rPr>
          <w:lang w:val="fr-CA"/>
        </w:rPr>
        <w:t xml:space="preserve"> for the intervener Association québécoise des avocats et avocates en droit de l</w:t>
      </w:r>
      <w:r w:rsidR="00A57DC1" w:rsidRPr="0014116C">
        <w:rPr>
          <w:lang w:val="fr-CA"/>
        </w:rPr>
        <w:t>’</w:t>
      </w:r>
      <w:r w:rsidRPr="0014116C">
        <w:rPr>
          <w:lang w:val="fr-CA"/>
        </w:rPr>
        <w:t>immigration: Cliche</w:t>
      </w:r>
      <w:r w:rsidR="00094FAC" w:rsidRPr="0014116C">
        <w:rPr>
          <w:lang w:val="fr-CA"/>
        </w:rPr>
        <w:noBreakHyphen/>
      </w:r>
      <w:r w:rsidRPr="0014116C">
        <w:rPr>
          <w:lang w:val="fr-CA"/>
        </w:rPr>
        <w:t>Rivard</w:t>
      </w:r>
      <w:r w:rsidR="009F62E8" w:rsidRPr="0014116C">
        <w:rPr>
          <w:lang w:val="fr-CA"/>
        </w:rPr>
        <w:t>,</w:t>
      </w:r>
      <w:r w:rsidRPr="0014116C">
        <w:rPr>
          <w:lang w:val="fr-CA"/>
        </w:rPr>
        <w:t xml:space="preserve"> Avocats et Avocates, Montréal.</w:t>
      </w:r>
    </w:p>
    <w:p w14:paraId="696E2A44" w14:textId="46D99EB9" w:rsidR="006575DF" w:rsidRPr="0014116C" w:rsidRDefault="00456A82" w:rsidP="00094FAC">
      <w:pPr>
        <w:pStyle w:val="SCCLawFirm"/>
        <w:spacing w:after="480"/>
      </w:pPr>
      <w:r w:rsidRPr="0014116C">
        <w:rPr>
          <w:lang w:val="fr-CA"/>
        </w:rPr>
        <w:tab/>
      </w:r>
      <w:r w:rsidR="009F62E8" w:rsidRPr="0014116C">
        <w:t>Solicitors</w:t>
      </w:r>
      <w:r w:rsidRPr="0014116C">
        <w:t xml:space="preserve"> for the intervener </w:t>
      </w:r>
      <w:r w:rsidR="009F62E8" w:rsidRPr="0014116C">
        <w:t xml:space="preserve">the </w:t>
      </w:r>
      <w:r w:rsidRPr="0014116C">
        <w:t xml:space="preserve">Canadian Civil Liberties Association: </w:t>
      </w:r>
      <w:r w:rsidR="009F62E8" w:rsidRPr="0014116C">
        <w:rPr>
          <w:color w:val="000000" w:themeColor="text1"/>
          <w:lang w:val="en-US"/>
        </w:rPr>
        <w:t>Landings, Toronto; Legal Aid Ontario — Refugee Law Office, Toronto; University of British Columbia Allard School of Law, Vancouver</w:t>
      </w:r>
      <w:r w:rsidRPr="0014116C">
        <w:t>.</w:t>
      </w:r>
    </w:p>
    <w:p w14:paraId="525A6CB3" w14:textId="7B6F30FB" w:rsidR="006575DF" w:rsidRPr="0014116C" w:rsidRDefault="0081258A" w:rsidP="00094FAC">
      <w:pPr>
        <w:pStyle w:val="SCCLawFirm"/>
        <w:spacing w:after="480"/>
      </w:pPr>
      <w:r w:rsidRPr="0014116C">
        <w:tab/>
        <w:t>Solicitors</w:t>
      </w:r>
      <w:r w:rsidR="00456A82" w:rsidRPr="0014116C">
        <w:t xml:space="preserve"> for the intervener </w:t>
      </w:r>
      <w:r w:rsidRPr="0014116C">
        <w:t xml:space="preserve">the </w:t>
      </w:r>
      <w:r w:rsidR="00456A82" w:rsidRPr="0014116C">
        <w:t>Canadian Association of Re</w:t>
      </w:r>
      <w:r w:rsidRPr="0014116C">
        <w:t>fugee Lawyers: Silcoff Shacter</w:t>
      </w:r>
      <w:r w:rsidR="00456A82" w:rsidRPr="0014116C">
        <w:t>, Toronto.</w:t>
      </w:r>
    </w:p>
    <w:p w14:paraId="652007E6" w14:textId="3BF85639" w:rsidR="006575DF" w:rsidRPr="0014116C" w:rsidRDefault="00EF068E" w:rsidP="00094FAC">
      <w:pPr>
        <w:pStyle w:val="SCCLawFirm"/>
        <w:spacing w:after="480"/>
      </w:pPr>
      <w:r w:rsidRPr="0014116C">
        <w:tab/>
        <w:t>Solicitors</w:t>
      </w:r>
      <w:r w:rsidR="00456A82" w:rsidRPr="0014116C">
        <w:t xml:space="preserve"> for the intervener</w:t>
      </w:r>
      <w:r w:rsidR="00572B71" w:rsidRPr="0014116C">
        <w:t>s</w:t>
      </w:r>
      <w:r w:rsidR="00456A82" w:rsidRPr="0014116C">
        <w:t xml:space="preserve"> </w:t>
      </w:r>
      <w:r w:rsidR="00572B71" w:rsidRPr="0014116C">
        <w:t xml:space="preserve">the </w:t>
      </w:r>
      <w:r w:rsidR="00572B71" w:rsidRPr="0014116C">
        <w:rPr>
          <w:rStyle w:val="SCCCounselPartyRoleChar"/>
        </w:rPr>
        <w:t>National Council of Canadian Muslims and the Canadian Muslim Lawyers Association</w:t>
      </w:r>
      <w:r w:rsidR="00456A82" w:rsidRPr="0014116C">
        <w:t xml:space="preserve">: </w:t>
      </w:r>
      <w:r w:rsidR="00572B71" w:rsidRPr="0014116C">
        <w:t xml:space="preserve">Mithoowani Waldman Immigration Law, Toronto; </w:t>
      </w:r>
      <w:r w:rsidR="00456A82" w:rsidRPr="0014116C">
        <w:t>National Council of Canadian Muslims, Ottawa.</w:t>
      </w:r>
    </w:p>
    <w:p w14:paraId="4615DB31" w14:textId="1A7FD42B" w:rsidR="006575DF" w:rsidRPr="0014116C" w:rsidRDefault="00CC01D6" w:rsidP="00094FAC">
      <w:pPr>
        <w:pStyle w:val="SCCLawFirm"/>
        <w:spacing w:after="480"/>
      </w:pPr>
      <w:r w:rsidRPr="0014116C">
        <w:tab/>
        <w:t>Solicitors</w:t>
      </w:r>
      <w:r w:rsidR="00456A82" w:rsidRPr="0014116C">
        <w:t xml:space="preserve"> for the intervener</w:t>
      </w:r>
      <w:r w:rsidRPr="0014116C">
        <w:t>s</w:t>
      </w:r>
      <w:r w:rsidR="00456A82" w:rsidRPr="0014116C">
        <w:t xml:space="preserve"> </w:t>
      </w:r>
      <w:r w:rsidRPr="0014116C">
        <w:t xml:space="preserve">the </w:t>
      </w:r>
      <w:r w:rsidR="00456A82" w:rsidRPr="0014116C">
        <w:t>Canadian Lawyers for International Human Rights and the Canadian Centre for Victims of Torture: Waldman &amp; Associates, Toronto.</w:t>
      </w:r>
    </w:p>
    <w:p w14:paraId="7DD2F9AE" w14:textId="7601FC4B" w:rsidR="006575DF" w:rsidRPr="0014116C" w:rsidRDefault="00456A82" w:rsidP="00094FAC">
      <w:pPr>
        <w:pStyle w:val="SCCLawFirm"/>
        <w:spacing w:after="480"/>
      </w:pPr>
      <w:r w:rsidRPr="0014116C">
        <w:tab/>
        <w:t>Sol</w:t>
      </w:r>
      <w:r w:rsidR="00CC01D6" w:rsidRPr="0014116C">
        <w:t>icitor</w:t>
      </w:r>
      <w:r w:rsidRPr="0014116C">
        <w:t xml:space="preserve"> for the intervener </w:t>
      </w:r>
      <w:r w:rsidR="00CC01D6" w:rsidRPr="0014116C">
        <w:t xml:space="preserve">the </w:t>
      </w:r>
      <w:r w:rsidRPr="0014116C">
        <w:t>Queen</w:t>
      </w:r>
      <w:r w:rsidR="00A57DC1" w:rsidRPr="0014116C">
        <w:t>’</w:t>
      </w:r>
      <w:r w:rsidRPr="0014116C">
        <w:t>s Prison Law Clinic: Alison M. Latimer, K.C., Vancouver.</w:t>
      </w:r>
    </w:p>
    <w:p w14:paraId="18619ED8" w14:textId="3EC5EF02" w:rsidR="006575DF" w:rsidRPr="0014116C" w:rsidRDefault="00EF77A8" w:rsidP="00094FAC">
      <w:pPr>
        <w:pStyle w:val="SCCLawFirm"/>
        <w:spacing w:after="480"/>
      </w:pPr>
      <w:r w:rsidRPr="0014116C">
        <w:tab/>
        <w:t>Solicitors</w:t>
      </w:r>
      <w:r w:rsidR="00456A82" w:rsidRPr="0014116C">
        <w:t xml:space="preserve"> for the intervener </w:t>
      </w:r>
      <w:r w:rsidRPr="0014116C">
        <w:t xml:space="preserve">the </w:t>
      </w:r>
      <w:r w:rsidR="00456A82" w:rsidRPr="0014116C">
        <w:t xml:space="preserve">Rainbow </w:t>
      </w:r>
      <w:r w:rsidRPr="0014116C">
        <w:t>Refugee Society: Pender Litigation</w:t>
      </w:r>
      <w:r w:rsidR="00456A82" w:rsidRPr="0014116C">
        <w:t>, Vancouver</w:t>
      </w:r>
      <w:r w:rsidRPr="0014116C">
        <w:t>; Vayeghan Litigation, Vancouver</w:t>
      </w:r>
      <w:r w:rsidR="00456A82" w:rsidRPr="0014116C">
        <w:t>.</w:t>
      </w:r>
    </w:p>
    <w:p w14:paraId="4535DB81" w14:textId="0E811B1C" w:rsidR="006575DF" w:rsidRPr="0014116C" w:rsidRDefault="00C04629" w:rsidP="00094FAC">
      <w:pPr>
        <w:pStyle w:val="SCCLawFirm"/>
        <w:spacing w:after="480"/>
      </w:pPr>
      <w:r w:rsidRPr="0014116C">
        <w:tab/>
        <w:t>Solicitors</w:t>
      </w:r>
      <w:r w:rsidR="00456A82" w:rsidRPr="0014116C">
        <w:t xml:space="preserve"> for the intervener </w:t>
      </w:r>
      <w:r w:rsidRPr="0014116C">
        <w:t xml:space="preserve">the </w:t>
      </w:r>
      <w:r w:rsidR="00456A82" w:rsidRPr="0014116C">
        <w:t>British Columbia Civil Liberties Associatio</w:t>
      </w:r>
      <w:r w:rsidRPr="0014116C">
        <w:t>n: Goldblatt Partners</w:t>
      </w:r>
      <w:r w:rsidR="00456A82" w:rsidRPr="0014116C">
        <w:t>, Toronto.</w:t>
      </w:r>
    </w:p>
    <w:p w14:paraId="3E679440" w14:textId="236445AC" w:rsidR="006575DF" w:rsidRPr="0014116C" w:rsidRDefault="00C04629" w:rsidP="00094FAC">
      <w:pPr>
        <w:pStyle w:val="SCCLawFirm"/>
        <w:spacing w:after="480"/>
      </w:pPr>
      <w:r w:rsidRPr="0014116C">
        <w:tab/>
        <w:t>Solicitors</w:t>
      </w:r>
      <w:r w:rsidR="00456A82" w:rsidRPr="0014116C">
        <w:t xml:space="preserve"> for the intervener </w:t>
      </w:r>
      <w:r w:rsidRPr="0014116C">
        <w:t xml:space="preserve">the </w:t>
      </w:r>
      <w:r w:rsidR="00456A82" w:rsidRPr="0014116C">
        <w:t>Advocates for the Ru</w:t>
      </w:r>
      <w:r w:rsidRPr="0014116C">
        <w:t>le of Law: McCarthy Tétrault</w:t>
      </w:r>
      <w:r w:rsidR="00456A82" w:rsidRPr="0014116C">
        <w:t>, Vancouver</w:t>
      </w:r>
      <w:r w:rsidRPr="0014116C">
        <w:t>; Jordan Honickman, Toronto</w:t>
      </w:r>
      <w:r w:rsidR="00456A82" w:rsidRPr="0014116C">
        <w:t>.</w:t>
      </w:r>
    </w:p>
    <w:p w14:paraId="2810A200" w14:textId="70728E28" w:rsidR="006575DF" w:rsidRPr="0014116C" w:rsidRDefault="0083454B" w:rsidP="00094FAC">
      <w:pPr>
        <w:pStyle w:val="SCCLawFirm"/>
        <w:spacing w:after="480"/>
      </w:pPr>
      <w:r w:rsidRPr="0014116C">
        <w:tab/>
        <w:t>Solicitors</w:t>
      </w:r>
      <w:r w:rsidR="00456A82" w:rsidRPr="0014116C">
        <w:t xml:space="preserve"> for the intervener</w:t>
      </w:r>
      <w:r w:rsidRPr="0014116C">
        <w:t>s</w:t>
      </w:r>
      <w:r w:rsidR="00456A82" w:rsidRPr="0014116C">
        <w:t xml:space="preserve"> </w:t>
      </w:r>
      <w:r w:rsidRPr="0014116C">
        <w:t xml:space="preserve">the </w:t>
      </w:r>
      <w:r w:rsidR="00456A82" w:rsidRPr="0014116C">
        <w:t xml:space="preserve">David Asper Centre for Constitutional Rights, </w:t>
      </w:r>
      <w:r w:rsidRPr="0014116C">
        <w:t xml:space="preserve">the </w:t>
      </w:r>
      <w:r w:rsidR="00456A82" w:rsidRPr="0014116C">
        <w:t xml:space="preserve">West Coast Legal Education and Action Fund Association and </w:t>
      </w:r>
      <w:r w:rsidRPr="0014116C">
        <w:t xml:space="preserve">the </w:t>
      </w:r>
      <w:r w:rsidR="00456A82" w:rsidRPr="0014116C">
        <w:t>Women</w:t>
      </w:r>
      <w:r w:rsidR="00A57DC1" w:rsidRPr="0014116C">
        <w:t>’</w:t>
      </w:r>
      <w:r w:rsidR="00456A82" w:rsidRPr="0014116C">
        <w:t>s Legal Education and Action Fund Inc.: University of Toronto,</w:t>
      </w:r>
      <w:r w:rsidRPr="0014116C">
        <w:t xml:space="preserve"> Faculty of Law,</w:t>
      </w:r>
      <w:r w:rsidR="00456A82" w:rsidRPr="0014116C">
        <w:t xml:space="preserve"> Toronto</w:t>
      </w:r>
      <w:r w:rsidRPr="0014116C">
        <w:t>; Jamie Liew, Ottawa</w:t>
      </w:r>
      <w:r w:rsidR="00456A82" w:rsidRPr="0014116C">
        <w:t>.</w:t>
      </w:r>
    </w:p>
    <w:p w14:paraId="6C420FA1" w14:textId="6FB37746" w:rsidR="006575DF" w:rsidRPr="0014116C" w:rsidRDefault="0083454B" w:rsidP="00094FAC">
      <w:pPr>
        <w:pStyle w:val="SCCLawFirm"/>
        <w:spacing w:after="480"/>
      </w:pPr>
      <w:r w:rsidRPr="0014116C">
        <w:tab/>
        <w:t>Solicitors</w:t>
      </w:r>
      <w:r w:rsidR="00456A82" w:rsidRPr="0014116C">
        <w:t xml:space="preserve"> for the intervener </w:t>
      </w:r>
      <w:r w:rsidRPr="0014116C">
        <w:t>the HIV &amp; AIDS Legal Clinic Ontario: Henein Hutchison</w:t>
      </w:r>
      <w:r w:rsidR="00456A82" w:rsidRPr="0014116C">
        <w:t>, Toronto.</w:t>
      </w:r>
    </w:p>
    <w:p w14:paraId="6BB47454" w14:textId="77A99CA4" w:rsidR="006575DF" w:rsidRDefault="0083454B" w:rsidP="00094FAC">
      <w:pPr>
        <w:pStyle w:val="SCCLawFirm"/>
        <w:spacing w:after="480"/>
      </w:pPr>
      <w:r w:rsidRPr="0014116C">
        <w:tab/>
        <w:t>Solicitors</w:t>
      </w:r>
      <w:r w:rsidR="00456A82" w:rsidRPr="0014116C">
        <w:t xml:space="preserve"> for the intervener </w:t>
      </w:r>
      <w:r w:rsidRPr="0014116C">
        <w:t xml:space="preserve">the </w:t>
      </w:r>
      <w:r w:rsidR="00456A82" w:rsidRPr="0014116C">
        <w:t>Rainbow Railroad: Battista Smith Migration Law Group, Toronto.</w:t>
      </w:r>
    </w:p>
    <w:sectPr w:rsidR="006575DF" w:rsidSect="000648CC">
      <w:headerReference w:type="even" r:id="rId14"/>
      <w:headerReference w:type="default" r:id="rId15"/>
      <w:footerReference w:type="even" r:id="rId16"/>
      <w:footerReference w:type="default" r:id="rId17"/>
      <w:headerReference w:type="first" r:id="rId18"/>
      <w:footerReference w:type="first" r:id="rId19"/>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B3C88" w14:textId="77777777" w:rsidR="0046211F" w:rsidRDefault="0046211F">
      <w:r>
        <w:separator/>
      </w:r>
    </w:p>
  </w:endnote>
  <w:endnote w:type="continuationSeparator" w:id="0">
    <w:p w14:paraId="404A9DF8" w14:textId="77777777" w:rsidR="0046211F" w:rsidRDefault="0046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CE76" w14:textId="77777777" w:rsidR="00FA6953" w:rsidRDefault="00FA69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85AE6" w14:textId="77777777" w:rsidR="00FA6953" w:rsidRDefault="00FA69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1DEC9" w14:textId="77777777" w:rsidR="00FA6953" w:rsidRDefault="00FA6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AFFF6" w14:textId="77777777" w:rsidR="0046211F" w:rsidRDefault="0046211F">
      <w:r>
        <w:separator/>
      </w:r>
    </w:p>
  </w:footnote>
  <w:footnote w:type="continuationSeparator" w:id="0">
    <w:p w14:paraId="5559E6F5" w14:textId="77777777" w:rsidR="0046211F" w:rsidRDefault="0046211F">
      <w:r>
        <w:continuationSeparator/>
      </w:r>
    </w:p>
  </w:footnote>
  <w:footnote w:id="1">
    <w:p w14:paraId="1A70AAE1" w14:textId="54B81AC9" w:rsidR="001A673F" w:rsidRPr="001A673F" w:rsidRDefault="001A673F">
      <w:pPr>
        <w:pStyle w:val="FootnoteText"/>
        <w:rPr>
          <w:lang w:val="en-US"/>
        </w:rPr>
      </w:pPr>
      <w:r w:rsidRPr="001A673F">
        <w:rPr>
          <w:rStyle w:val="FootnoteReference"/>
        </w:rPr>
        <w:sym w:font="Symbol" w:char="F02A"/>
      </w:r>
      <w:r w:rsidR="00EB4C88">
        <w:t> </w:t>
      </w:r>
      <w:r>
        <w:t>Brown J. did not participate in the final disposition of the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6FB7" w14:textId="77777777" w:rsidR="00FA6953" w:rsidRDefault="00FA69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4398" w14:textId="77777777" w:rsidR="00450352" w:rsidRPr="00C96FAE" w:rsidRDefault="00450352" w:rsidP="00C96F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1C08" w14:textId="77777777" w:rsidR="00FA6953" w:rsidRDefault="00FA6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1E09"/>
    <w:multiLevelType w:val="hybridMultilevel"/>
    <w:tmpl w:val="014ACDB0"/>
    <w:lvl w:ilvl="0" w:tplc="4DB0D370">
      <w:start w:val="1"/>
      <w:numFmt w:val="decimal"/>
      <w:lvlText w:val="(%1)"/>
      <w:lvlJc w:val="left"/>
      <w:pPr>
        <w:ind w:left="840" w:hanging="360"/>
      </w:pPr>
      <w:rPr>
        <w:rFonts w:hint="default"/>
        <w:u w:val="non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654762A"/>
    <w:multiLevelType w:val="hybridMultilevel"/>
    <w:tmpl w:val="AA88993C"/>
    <w:lvl w:ilvl="0" w:tplc="10090001">
      <w:start w:val="42"/>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907989"/>
    <w:multiLevelType w:val="hybridMultilevel"/>
    <w:tmpl w:val="0AFA686A"/>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B21E0D"/>
    <w:multiLevelType w:val="hybridMultilevel"/>
    <w:tmpl w:val="C7E67288"/>
    <w:lvl w:ilvl="0" w:tplc="272ADCE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E068B7"/>
    <w:multiLevelType w:val="hybridMultilevel"/>
    <w:tmpl w:val="0734ACDE"/>
    <w:lvl w:ilvl="0" w:tplc="EBCED1BE">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29B7A2B"/>
    <w:multiLevelType w:val="hybridMultilevel"/>
    <w:tmpl w:val="4D8C80CA"/>
    <w:lvl w:ilvl="0" w:tplc="4DB0D37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3071B15"/>
    <w:multiLevelType w:val="hybridMultilevel"/>
    <w:tmpl w:val="D46AA39A"/>
    <w:lvl w:ilvl="0" w:tplc="DFFEB4B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4603130A"/>
    <w:multiLevelType w:val="multilevel"/>
    <w:tmpl w:val="B87C25FC"/>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002"/>
        </w:tabs>
        <w:ind w:left="100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152"/>
        </w:tabs>
        <w:ind w:left="1152"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8" w15:restartNumberingAfterBreak="0">
    <w:nsid w:val="4BAA72FC"/>
    <w:multiLevelType w:val="hybridMultilevel"/>
    <w:tmpl w:val="119AA768"/>
    <w:lvl w:ilvl="0" w:tplc="3A3A24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E076F"/>
    <w:multiLevelType w:val="hybridMultilevel"/>
    <w:tmpl w:val="FB3E2472"/>
    <w:lvl w:ilvl="0" w:tplc="ADFE9E0E">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54226E78"/>
    <w:multiLevelType w:val="hybridMultilevel"/>
    <w:tmpl w:val="5DF4AECE"/>
    <w:lvl w:ilvl="0" w:tplc="4FCCCF7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283EE8"/>
    <w:multiLevelType w:val="hybridMultilevel"/>
    <w:tmpl w:val="10FC0BB2"/>
    <w:lvl w:ilvl="0" w:tplc="FD682254">
      <w:start w:val="1"/>
      <w:numFmt w:val="decimal"/>
      <w:pStyle w:val="ParaNoNdepar-AltN"/>
      <w:lvlText w:val="[%1]"/>
      <w:lvlJc w:val="left"/>
      <w:pPr>
        <w:tabs>
          <w:tab w:val="num" w:pos="1152"/>
        </w:tabs>
        <w:ind w:left="0" w:firstLine="0"/>
      </w:pPr>
      <w:rPr>
        <w:i w:val="0"/>
        <w:strike w:val="0"/>
        <w:sz w:val="24"/>
        <w:szCs w:val="24"/>
      </w:rPr>
    </w:lvl>
    <w:lvl w:ilvl="1" w:tplc="6DD26EDE">
      <w:start w:val="1"/>
      <w:numFmt w:val="lowerLetter"/>
      <w:lvlText w:val="%2)"/>
      <w:lvlJc w:val="left"/>
      <w:pPr>
        <w:ind w:left="720" w:hanging="360"/>
      </w:pPr>
    </w:lvl>
    <w:lvl w:ilvl="2" w:tplc="A0D24760">
      <w:start w:val="1"/>
      <w:numFmt w:val="lowerRoman"/>
      <w:lvlText w:val="%3)"/>
      <w:lvlJc w:val="left"/>
      <w:pPr>
        <w:ind w:left="1080" w:hanging="360"/>
      </w:pPr>
    </w:lvl>
    <w:lvl w:ilvl="3" w:tplc="AE28D860">
      <w:start w:val="1"/>
      <w:numFmt w:val="decimal"/>
      <w:lvlText w:val="(%4)"/>
      <w:lvlJc w:val="left"/>
      <w:pPr>
        <w:ind w:left="1440" w:hanging="360"/>
      </w:pPr>
    </w:lvl>
    <w:lvl w:ilvl="4" w:tplc="92E6E848">
      <w:start w:val="1"/>
      <w:numFmt w:val="lowerLetter"/>
      <w:lvlText w:val="(%5)"/>
      <w:lvlJc w:val="left"/>
      <w:pPr>
        <w:ind w:left="1800" w:hanging="360"/>
      </w:pPr>
    </w:lvl>
    <w:lvl w:ilvl="5" w:tplc="D598C500">
      <w:start w:val="1"/>
      <w:numFmt w:val="lowerRoman"/>
      <w:lvlText w:val="(%6)"/>
      <w:lvlJc w:val="left"/>
      <w:pPr>
        <w:ind w:left="2160" w:hanging="360"/>
      </w:pPr>
    </w:lvl>
    <w:lvl w:ilvl="6" w:tplc="362207FE">
      <w:start w:val="1"/>
      <w:numFmt w:val="decimal"/>
      <w:lvlText w:val="%7."/>
      <w:lvlJc w:val="left"/>
      <w:pPr>
        <w:ind w:left="2520" w:hanging="360"/>
      </w:pPr>
    </w:lvl>
    <w:lvl w:ilvl="7" w:tplc="031471AA">
      <w:start w:val="1"/>
      <w:numFmt w:val="lowerLetter"/>
      <w:lvlText w:val="%8."/>
      <w:lvlJc w:val="left"/>
      <w:pPr>
        <w:ind w:left="2880" w:hanging="360"/>
      </w:pPr>
    </w:lvl>
    <w:lvl w:ilvl="8" w:tplc="1C1CB64A">
      <w:start w:val="1"/>
      <w:numFmt w:val="lowerRoman"/>
      <w:lvlText w:val="%9."/>
      <w:lvlJc w:val="left"/>
      <w:pPr>
        <w:ind w:left="3240" w:hanging="360"/>
      </w:pPr>
    </w:lvl>
  </w:abstractNum>
  <w:abstractNum w:abstractNumId="12" w15:restartNumberingAfterBreak="0">
    <w:nsid w:val="5E3034A1"/>
    <w:multiLevelType w:val="hybridMultilevel"/>
    <w:tmpl w:val="587CEC1E"/>
    <w:lvl w:ilvl="0" w:tplc="74E4C6FC">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6A1E5E5D"/>
    <w:multiLevelType w:val="hybridMultilevel"/>
    <w:tmpl w:val="08F2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B4F2C"/>
    <w:multiLevelType w:val="hybridMultilevel"/>
    <w:tmpl w:val="49721F9A"/>
    <w:lvl w:ilvl="0" w:tplc="10090001">
      <w:start w:val="3"/>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1"/>
  </w:num>
  <w:num w:numId="5">
    <w:abstractNumId w:val="8"/>
  </w:num>
  <w:num w:numId="6">
    <w:abstractNumId w:val="13"/>
  </w:num>
  <w:num w:numId="7">
    <w:abstractNumId w:val="10"/>
  </w:num>
  <w:num w:numId="8">
    <w:abstractNumId w:val="3"/>
  </w:num>
  <w:num w:numId="9">
    <w:abstractNumId w:val="14"/>
  </w:num>
  <w:num w:numId="10">
    <w:abstractNumId w:val="2"/>
  </w:num>
  <w:num w:numId="11">
    <w:abstractNumId w:val="0"/>
  </w:num>
  <w:num w:numId="12">
    <w:abstractNumId w:val="9"/>
  </w:num>
  <w:num w:numId="13">
    <w:abstractNumId w:val="4"/>
  </w:num>
  <w:num w:numId="14">
    <w:abstractNumId w:val="12"/>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9F7"/>
    <w:rsid w:val="00000ED4"/>
    <w:rsid w:val="0000385D"/>
    <w:rsid w:val="00005FDE"/>
    <w:rsid w:val="000137D5"/>
    <w:rsid w:val="00020289"/>
    <w:rsid w:val="000246E9"/>
    <w:rsid w:val="00025198"/>
    <w:rsid w:val="00033637"/>
    <w:rsid w:val="00037FA0"/>
    <w:rsid w:val="00045C5E"/>
    <w:rsid w:val="00046082"/>
    <w:rsid w:val="00047572"/>
    <w:rsid w:val="000572EF"/>
    <w:rsid w:val="000578A3"/>
    <w:rsid w:val="00063ED5"/>
    <w:rsid w:val="000648CC"/>
    <w:rsid w:val="00073B9E"/>
    <w:rsid w:val="00076444"/>
    <w:rsid w:val="00085315"/>
    <w:rsid w:val="00094FAC"/>
    <w:rsid w:val="000A1BBA"/>
    <w:rsid w:val="000B1639"/>
    <w:rsid w:val="000C59B8"/>
    <w:rsid w:val="000C6AF0"/>
    <w:rsid w:val="000E6A36"/>
    <w:rsid w:val="000F4BC7"/>
    <w:rsid w:val="00104F33"/>
    <w:rsid w:val="00106A7E"/>
    <w:rsid w:val="00111DE2"/>
    <w:rsid w:val="00113924"/>
    <w:rsid w:val="00116B38"/>
    <w:rsid w:val="00117496"/>
    <w:rsid w:val="00135094"/>
    <w:rsid w:val="00135406"/>
    <w:rsid w:val="00135972"/>
    <w:rsid w:val="0014116C"/>
    <w:rsid w:val="00142658"/>
    <w:rsid w:val="001426A9"/>
    <w:rsid w:val="00144998"/>
    <w:rsid w:val="00154D7C"/>
    <w:rsid w:val="00155F00"/>
    <w:rsid w:val="001570B0"/>
    <w:rsid w:val="0015752C"/>
    <w:rsid w:val="00157737"/>
    <w:rsid w:val="00165277"/>
    <w:rsid w:val="00170592"/>
    <w:rsid w:val="0017257D"/>
    <w:rsid w:val="00180C70"/>
    <w:rsid w:val="001845E7"/>
    <w:rsid w:val="00186351"/>
    <w:rsid w:val="00195D83"/>
    <w:rsid w:val="001A00C1"/>
    <w:rsid w:val="001A5206"/>
    <w:rsid w:val="001A5E5A"/>
    <w:rsid w:val="001A673F"/>
    <w:rsid w:val="001B33E0"/>
    <w:rsid w:val="001B4573"/>
    <w:rsid w:val="001C779F"/>
    <w:rsid w:val="001D0281"/>
    <w:rsid w:val="001D2AC1"/>
    <w:rsid w:val="001D4E88"/>
    <w:rsid w:val="001D7B7D"/>
    <w:rsid w:val="001D7FC2"/>
    <w:rsid w:val="002029AF"/>
    <w:rsid w:val="00203E71"/>
    <w:rsid w:val="00215BB5"/>
    <w:rsid w:val="00216E4D"/>
    <w:rsid w:val="00220FC2"/>
    <w:rsid w:val="002222F4"/>
    <w:rsid w:val="00223577"/>
    <w:rsid w:val="00224FC0"/>
    <w:rsid w:val="00225EA4"/>
    <w:rsid w:val="00226EAF"/>
    <w:rsid w:val="00231F3A"/>
    <w:rsid w:val="0023265A"/>
    <w:rsid w:val="00234199"/>
    <w:rsid w:val="002406EE"/>
    <w:rsid w:val="00243EC8"/>
    <w:rsid w:val="002475F9"/>
    <w:rsid w:val="00250A84"/>
    <w:rsid w:val="00251D86"/>
    <w:rsid w:val="00261CEE"/>
    <w:rsid w:val="00266E86"/>
    <w:rsid w:val="00267210"/>
    <w:rsid w:val="00267AC9"/>
    <w:rsid w:val="00270D93"/>
    <w:rsid w:val="002745CC"/>
    <w:rsid w:val="00274844"/>
    <w:rsid w:val="00275A6B"/>
    <w:rsid w:val="00290B58"/>
    <w:rsid w:val="00295726"/>
    <w:rsid w:val="002A1383"/>
    <w:rsid w:val="002A75E8"/>
    <w:rsid w:val="002A78F7"/>
    <w:rsid w:val="002B49FC"/>
    <w:rsid w:val="002B7924"/>
    <w:rsid w:val="002B7CEF"/>
    <w:rsid w:val="002D28C3"/>
    <w:rsid w:val="002D39A4"/>
    <w:rsid w:val="002E6705"/>
    <w:rsid w:val="00301D08"/>
    <w:rsid w:val="0030329A"/>
    <w:rsid w:val="0031086F"/>
    <w:rsid w:val="0031414C"/>
    <w:rsid w:val="00314E01"/>
    <w:rsid w:val="0032089D"/>
    <w:rsid w:val="003310DE"/>
    <w:rsid w:val="003323B0"/>
    <w:rsid w:val="003331F9"/>
    <w:rsid w:val="00333F51"/>
    <w:rsid w:val="00336294"/>
    <w:rsid w:val="00337ECF"/>
    <w:rsid w:val="003408EE"/>
    <w:rsid w:val="0035169A"/>
    <w:rsid w:val="0035259D"/>
    <w:rsid w:val="0035261B"/>
    <w:rsid w:val="003567E5"/>
    <w:rsid w:val="00364B18"/>
    <w:rsid w:val="00370710"/>
    <w:rsid w:val="003800E4"/>
    <w:rsid w:val="00387A4F"/>
    <w:rsid w:val="00392A53"/>
    <w:rsid w:val="003A05E7"/>
    <w:rsid w:val="003A074F"/>
    <w:rsid w:val="003A125D"/>
    <w:rsid w:val="003A4C70"/>
    <w:rsid w:val="003A5943"/>
    <w:rsid w:val="003B0E7B"/>
    <w:rsid w:val="003B215F"/>
    <w:rsid w:val="003B4684"/>
    <w:rsid w:val="003C3CA9"/>
    <w:rsid w:val="003C3D8F"/>
    <w:rsid w:val="003C4E22"/>
    <w:rsid w:val="003C799C"/>
    <w:rsid w:val="003D0399"/>
    <w:rsid w:val="003D37EA"/>
    <w:rsid w:val="003E0303"/>
    <w:rsid w:val="003E170D"/>
    <w:rsid w:val="003E1C71"/>
    <w:rsid w:val="003E72D8"/>
    <w:rsid w:val="003F327B"/>
    <w:rsid w:val="003F759D"/>
    <w:rsid w:val="00401D7C"/>
    <w:rsid w:val="00402360"/>
    <w:rsid w:val="00406166"/>
    <w:rsid w:val="0040704B"/>
    <w:rsid w:val="00410A55"/>
    <w:rsid w:val="00411300"/>
    <w:rsid w:val="0041301C"/>
    <w:rsid w:val="00415417"/>
    <w:rsid w:val="00426659"/>
    <w:rsid w:val="00443544"/>
    <w:rsid w:val="0044430C"/>
    <w:rsid w:val="00445979"/>
    <w:rsid w:val="00450352"/>
    <w:rsid w:val="00450442"/>
    <w:rsid w:val="00454BDB"/>
    <w:rsid w:val="00456A82"/>
    <w:rsid w:val="0046211F"/>
    <w:rsid w:val="00464800"/>
    <w:rsid w:val="00465132"/>
    <w:rsid w:val="00472888"/>
    <w:rsid w:val="0047459D"/>
    <w:rsid w:val="00480C90"/>
    <w:rsid w:val="0048396F"/>
    <w:rsid w:val="0049029A"/>
    <w:rsid w:val="004917FD"/>
    <w:rsid w:val="00493C18"/>
    <w:rsid w:val="004A600C"/>
    <w:rsid w:val="004A6118"/>
    <w:rsid w:val="004C478D"/>
    <w:rsid w:val="004D6CC7"/>
    <w:rsid w:val="004E2C26"/>
    <w:rsid w:val="004F05E6"/>
    <w:rsid w:val="004F36FF"/>
    <w:rsid w:val="005033DC"/>
    <w:rsid w:val="00504342"/>
    <w:rsid w:val="00504BE3"/>
    <w:rsid w:val="005073D0"/>
    <w:rsid w:val="0051105C"/>
    <w:rsid w:val="005125A8"/>
    <w:rsid w:val="00521AE8"/>
    <w:rsid w:val="00527180"/>
    <w:rsid w:val="00530F40"/>
    <w:rsid w:val="00534BC3"/>
    <w:rsid w:val="005357C9"/>
    <w:rsid w:val="0053659F"/>
    <w:rsid w:val="005409ED"/>
    <w:rsid w:val="0054201E"/>
    <w:rsid w:val="00543944"/>
    <w:rsid w:val="00555291"/>
    <w:rsid w:val="005552C7"/>
    <w:rsid w:val="00566AD1"/>
    <w:rsid w:val="00567E26"/>
    <w:rsid w:val="00572B71"/>
    <w:rsid w:val="00575946"/>
    <w:rsid w:val="00583EDE"/>
    <w:rsid w:val="005873A9"/>
    <w:rsid w:val="00594A5A"/>
    <w:rsid w:val="005A6079"/>
    <w:rsid w:val="005D506C"/>
    <w:rsid w:val="005E3AEC"/>
    <w:rsid w:val="005E4698"/>
    <w:rsid w:val="00604461"/>
    <w:rsid w:val="00610539"/>
    <w:rsid w:val="00613969"/>
    <w:rsid w:val="00616179"/>
    <w:rsid w:val="006162BE"/>
    <w:rsid w:val="006175D2"/>
    <w:rsid w:val="00620A9A"/>
    <w:rsid w:val="00625C35"/>
    <w:rsid w:val="00636543"/>
    <w:rsid w:val="00656313"/>
    <w:rsid w:val="006565F4"/>
    <w:rsid w:val="006575DF"/>
    <w:rsid w:val="00662F88"/>
    <w:rsid w:val="00681D90"/>
    <w:rsid w:val="00684EEA"/>
    <w:rsid w:val="00693E01"/>
    <w:rsid w:val="0069689B"/>
    <w:rsid w:val="006A08DF"/>
    <w:rsid w:val="006A1551"/>
    <w:rsid w:val="006B58C6"/>
    <w:rsid w:val="006B5FF5"/>
    <w:rsid w:val="006B6BF9"/>
    <w:rsid w:val="006B7589"/>
    <w:rsid w:val="006C254E"/>
    <w:rsid w:val="006C36D0"/>
    <w:rsid w:val="006C4D73"/>
    <w:rsid w:val="006D316F"/>
    <w:rsid w:val="006D5370"/>
    <w:rsid w:val="006D6A66"/>
    <w:rsid w:val="006F30AF"/>
    <w:rsid w:val="00701759"/>
    <w:rsid w:val="007045F9"/>
    <w:rsid w:val="00705C15"/>
    <w:rsid w:val="00711448"/>
    <w:rsid w:val="00714148"/>
    <w:rsid w:val="0071600E"/>
    <w:rsid w:val="0071623B"/>
    <w:rsid w:val="0071758E"/>
    <w:rsid w:val="007208D1"/>
    <w:rsid w:val="007226D6"/>
    <w:rsid w:val="00747288"/>
    <w:rsid w:val="00747DD3"/>
    <w:rsid w:val="0075288A"/>
    <w:rsid w:val="007549C8"/>
    <w:rsid w:val="00754A0B"/>
    <w:rsid w:val="00766D14"/>
    <w:rsid w:val="00767A0F"/>
    <w:rsid w:val="007828D5"/>
    <w:rsid w:val="00783799"/>
    <w:rsid w:val="00786FAA"/>
    <w:rsid w:val="00791B1A"/>
    <w:rsid w:val="00796326"/>
    <w:rsid w:val="007976B3"/>
    <w:rsid w:val="007A05F6"/>
    <w:rsid w:val="007B4FAD"/>
    <w:rsid w:val="007B6F4A"/>
    <w:rsid w:val="007E1C47"/>
    <w:rsid w:val="007E2F2F"/>
    <w:rsid w:val="007E337A"/>
    <w:rsid w:val="007E3873"/>
    <w:rsid w:val="007E5C70"/>
    <w:rsid w:val="007F2FF5"/>
    <w:rsid w:val="007F3F08"/>
    <w:rsid w:val="00801180"/>
    <w:rsid w:val="00801BF7"/>
    <w:rsid w:val="00804CC6"/>
    <w:rsid w:val="0081258A"/>
    <w:rsid w:val="00817190"/>
    <w:rsid w:val="00820EE5"/>
    <w:rsid w:val="008260E2"/>
    <w:rsid w:val="008322BD"/>
    <w:rsid w:val="00833E0A"/>
    <w:rsid w:val="0083454B"/>
    <w:rsid w:val="00834F73"/>
    <w:rsid w:val="0085496B"/>
    <w:rsid w:val="0085513F"/>
    <w:rsid w:val="00864CF8"/>
    <w:rsid w:val="00866159"/>
    <w:rsid w:val="008719D2"/>
    <w:rsid w:val="00871CEA"/>
    <w:rsid w:val="00872819"/>
    <w:rsid w:val="008735E2"/>
    <w:rsid w:val="00874914"/>
    <w:rsid w:val="00875128"/>
    <w:rsid w:val="0088044D"/>
    <w:rsid w:val="0088397D"/>
    <w:rsid w:val="00891422"/>
    <w:rsid w:val="00892E1A"/>
    <w:rsid w:val="00893E07"/>
    <w:rsid w:val="0089713E"/>
    <w:rsid w:val="008A3F29"/>
    <w:rsid w:val="008A7387"/>
    <w:rsid w:val="008B3CAB"/>
    <w:rsid w:val="008B5F9E"/>
    <w:rsid w:val="008B660A"/>
    <w:rsid w:val="008B71BE"/>
    <w:rsid w:val="008C01DA"/>
    <w:rsid w:val="008D402A"/>
    <w:rsid w:val="008D7C63"/>
    <w:rsid w:val="008F0406"/>
    <w:rsid w:val="008F6C30"/>
    <w:rsid w:val="008F78E9"/>
    <w:rsid w:val="00911989"/>
    <w:rsid w:val="0091213C"/>
    <w:rsid w:val="0091754B"/>
    <w:rsid w:val="009179F9"/>
    <w:rsid w:val="00933E5E"/>
    <w:rsid w:val="00935218"/>
    <w:rsid w:val="009403F3"/>
    <w:rsid w:val="00952571"/>
    <w:rsid w:val="009555B7"/>
    <w:rsid w:val="009555B9"/>
    <w:rsid w:val="00956259"/>
    <w:rsid w:val="009567AA"/>
    <w:rsid w:val="00960694"/>
    <w:rsid w:val="00960C80"/>
    <w:rsid w:val="00967374"/>
    <w:rsid w:val="0097282F"/>
    <w:rsid w:val="009757F5"/>
    <w:rsid w:val="00985FBF"/>
    <w:rsid w:val="0098744F"/>
    <w:rsid w:val="00991B58"/>
    <w:rsid w:val="0099597A"/>
    <w:rsid w:val="009A04BF"/>
    <w:rsid w:val="009A343A"/>
    <w:rsid w:val="009B075D"/>
    <w:rsid w:val="009B2F23"/>
    <w:rsid w:val="009B57B3"/>
    <w:rsid w:val="009C4B9A"/>
    <w:rsid w:val="009C5B92"/>
    <w:rsid w:val="009D11BD"/>
    <w:rsid w:val="009D2920"/>
    <w:rsid w:val="009D5AEB"/>
    <w:rsid w:val="009D68D9"/>
    <w:rsid w:val="009D7539"/>
    <w:rsid w:val="009F0E33"/>
    <w:rsid w:val="009F430D"/>
    <w:rsid w:val="009F4A72"/>
    <w:rsid w:val="009F62E8"/>
    <w:rsid w:val="00A02326"/>
    <w:rsid w:val="00A030CE"/>
    <w:rsid w:val="00A049BE"/>
    <w:rsid w:val="00A1128B"/>
    <w:rsid w:val="00A149DF"/>
    <w:rsid w:val="00A14BBE"/>
    <w:rsid w:val="00A1755C"/>
    <w:rsid w:val="00A21B90"/>
    <w:rsid w:val="00A37DE7"/>
    <w:rsid w:val="00A41805"/>
    <w:rsid w:val="00A42DCD"/>
    <w:rsid w:val="00A463B3"/>
    <w:rsid w:val="00A52AFB"/>
    <w:rsid w:val="00A548CB"/>
    <w:rsid w:val="00A5521C"/>
    <w:rsid w:val="00A57DC1"/>
    <w:rsid w:val="00A62A9C"/>
    <w:rsid w:val="00A643E7"/>
    <w:rsid w:val="00A73C38"/>
    <w:rsid w:val="00A84AE5"/>
    <w:rsid w:val="00A853FD"/>
    <w:rsid w:val="00A86F40"/>
    <w:rsid w:val="00AA01DF"/>
    <w:rsid w:val="00AB0EFD"/>
    <w:rsid w:val="00AB112A"/>
    <w:rsid w:val="00AB670D"/>
    <w:rsid w:val="00AB7043"/>
    <w:rsid w:val="00AC767D"/>
    <w:rsid w:val="00AD2A63"/>
    <w:rsid w:val="00AE26C8"/>
    <w:rsid w:val="00AE4355"/>
    <w:rsid w:val="00AE4535"/>
    <w:rsid w:val="00AF03C5"/>
    <w:rsid w:val="00AF31FE"/>
    <w:rsid w:val="00B000D8"/>
    <w:rsid w:val="00B00F75"/>
    <w:rsid w:val="00B05265"/>
    <w:rsid w:val="00B145B6"/>
    <w:rsid w:val="00B259A1"/>
    <w:rsid w:val="00B279B1"/>
    <w:rsid w:val="00B279EB"/>
    <w:rsid w:val="00B462F3"/>
    <w:rsid w:val="00B50C81"/>
    <w:rsid w:val="00B530D0"/>
    <w:rsid w:val="00B557F8"/>
    <w:rsid w:val="00B6104D"/>
    <w:rsid w:val="00B661F3"/>
    <w:rsid w:val="00B73C36"/>
    <w:rsid w:val="00B815FC"/>
    <w:rsid w:val="00B9251B"/>
    <w:rsid w:val="00B93FBC"/>
    <w:rsid w:val="00B95CDA"/>
    <w:rsid w:val="00BA7DA0"/>
    <w:rsid w:val="00BA7FF8"/>
    <w:rsid w:val="00BB2DD9"/>
    <w:rsid w:val="00BB2EE4"/>
    <w:rsid w:val="00BB469D"/>
    <w:rsid w:val="00BC0986"/>
    <w:rsid w:val="00BC2108"/>
    <w:rsid w:val="00BD0D7C"/>
    <w:rsid w:val="00BD0E9E"/>
    <w:rsid w:val="00BD1BEC"/>
    <w:rsid w:val="00BD32FF"/>
    <w:rsid w:val="00BD5C04"/>
    <w:rsid w:val="00BF4499"/>
    <w:rsid w:val="00C02092"/>
    <w:rsid w:val="00C04629"/>
    <w:rsid w:val="00C04BE4"/>
    <w:rsid w:val="00C075D1"/>
    <w:rsid w:val="00C22BC2"/>
    <w:rsid w:val="00C24D91"/>
    <w:rsid w:val="00C34E14"/>
    <w:rsid w:val="00C47539"/>
    <w:rsid w:val="00C5154D"/>
    <w:rsid w:val="00C52D03"/>
    <w:rsid w:val="00C53F14"/>
    <w:rsid w:val="00C600CF"/>
    <w:rsid w:val="00C6084F"/>
    <w:rsid w:val="00C62A66"/>
    <w:rsid w:val="00C70213"/>
    <w:rsid w:val="00C71458"/>
    <w:rsid w:val="00C77613"/>
    <w:rsid w:val="00C821C1"/>
    <w:rsid w:val="00C82239"/>
    <w:rsid w:val="00C822C9"/>
    <w:rsid w:val="00C828E7"/>
    <w:rsid w:val="00C86719"/>
    <w:rsid w:val="00C921DD"/>
    <w:rsid w:val="00C9627F"/>
    <w:rsid w:val="00C96E5E"/>
    <w:rsid w:val="00C96FAE"/>
    <w:rsid w:val="00CA6391"/>
    <w:rsid w:val="00CB3976"/>
    <w:rsid w:val="00CC01D6"/>
    <w:rsid w:val="00CC10BE"/>
    <w:rsid w:val="00CC34BD"/>
    <w:rsid w:val="00CD20E3"/>
    <w:rsid w:val="00CD31BC"/>
    <w:rsid w:val="00CD3F88"/>
    <w:rsid w:val="00CD455A"/>
    <w:rsid w:val="00CD7860"/>
    <w:rsid w:val="00CE161A"/>
    <w:rsid w:val="00CE3171"/>
    <w:rsid w:val="00CF1601"/>
    <w:rsid w:val="00D0172F"/>
    <w:rsid w:val="00D049D1"/>
    <w:rsid w:val="00D068A7"/>
    <w:rsid w:val="00D17476"/>
    <w:rsid w:val="00D31F50"/>
    <w:rsid w:val="00D32086"/>
    <w:rsid w:val="00D33C9F"/>
    <w:rsid w:val="00D37A3F"/>
    <w:rsid w:val="00D4431D"/>
    <w:rsid w:val="00D4667A"/>
    <w:rsid w:val="00D53A6C"/>
    <w:rsid w:val="00D63A1C"/>
    <w:rsid w:val="00D7516F"/>
    <w:rsid w:val="00D8579F"/>
    <w:rsid w:val="00D95E4B"/>
    <w:rsid w:val="00D95F8E"/>
    <w:rsid w:val="00DA0590"/>
    <w:rsid w:val="00DA0EE3"/>
    <w:rsid w:val="00DA1ED3"/>
    <w:rsid w:val="00DA7AA8"/>
    <w:rsid w:val="00DA7CF8"/>
    <w:rsid w:val="00DB5958"/>
    <w:rsid w:val="00DB603C"/>
    <w:rsid w:val="00DB7BEA"/>
    <w:rsid w:val="00DC014D"/>
    <w:rsid w:val="00DC1739"/>
    <w:rsid w:val="00DC1788"/>
    <w:rsid w:val="00DC65F9"/>
    <w:rsid w:val="00DD7017"/>
    <w:rsid w:val="00DE319C"/>
    <w:rsid w:val="00DF0CA8"/>
    <w:rsid w:val="00DF2B48"/>
    <w:rsid w:val="00DF3B8B"/>
    <w:rsid w:val="00DF49A7"/>
    <w:rsid w:val="00E027C9"/>
    <w:rsid w:val="00E03674"/>
    <w:rsid w:val="00E04259"/>
    <w:rsid w:val="00E07EE2"/>
    <w:rsid w:val="00E07FD1"/>
    <w:rsid w:val="00E111A3"/>
    <w:rsid w:val="00E176D8"/>
    <w:rsid w:val="00E17771"/>
    <w:rsid w:val="00E17BDE"/>
    <w:rsid w:val="00E24351"/>
    <w:rsid w:val="00E24573"/>
    <w:rsid w:val="00E25E1E"/>
    <w:rsid w:val="00E27EE7"/>
    <w:rsid w:val="00E35404"/>
    <w:rsid w:val="00E37A9E"/>
    <w:rsid w:val="00E41D44"/>
    <w:rsid w:val="00E45109"/>
    <w:rsid w:val="00E47B7A"/>
    <w:rsid w:val="00E56A44"/>
    <w:rsid w:val="00E56F85"/>
    <w:rsid w:val="00E60269"/>
    <w:rsid w:val="00E77533"/>
    <w:rsid w:val="00E77932"/>
    <w:rsid w:val="00E81D97"/>
    <w:rsid w:val="00E86DDE"/>
    <w:rsid w:val="00E97830"/>
    <w:rsid w:val="00EA5446"/>
    <w:rsid w:val="00EA7547"/>
    <w:rsid w:val="00EB4C88"/>
    <w:rsid w:val="00EB72F2"/>
    <w:rsid w:val="00EB7856"/>
    <w:rsid w:val="00EC0381"/>
    <w:rsid w:val="00EC0798"/>
    <w:rsid w:val="00EC2EE2"/>
    <w:rsid w:val="00EC492D"/>
    <w:rsid w:val="00EE0EF2"/>
    <w:rsid w:val="00EE643C"/>
    <w:rsid w:val="00EF0683"/>
    <w:rsid w:val="00EF068E"/>
    <w:rsid w:val="00EF24D0"/>
    <w:rsid w:val="00EF69D2"/>
    <w:rsid w:val="00EF766E"/>
    <w:rsid w:val="00EF77A8"/>
    <w:rsid w:val="00F0070C"/>
    <w:rsid w:val="00F00EB7"/>
    <w:rsid w:val="00F01F66"/>
    <w:rsid w:val="00F125D9"/>
    <w:rsid w:val="00F21412"/>
    <w:rsid w:val="00F22907"/>
    <w:rsid w:val="00F31A1F"/>
    <w:rsid w:val="00F338A1"/>
    <w:rsid w:val="00F3491C"/>
    <w:rsid w:val="00F36AB6"/>
    <w:rsid w:val="00F37A09"/>
    <w:rsid w:val="00F40376"/>
    <w:rsid w:val="00F409CE"/>
    <w:rsid w:val="00F4379D"/>
    <w:rsid w:val="00F505B6"/>
    <w:rsid w:val="00F50D2D"/>
    <w:rsid w:val="00F53A32"/>
    <w:rsid w:val="00F56C8B"/>
    <w:rsid w:val="00F66810"/>
    <w:rsid w:val="00F71B04"/>
    <w:rsid w:val="00F83E51"/>
    <w:rsid w:val="00F846D9"/>
    <w:rsid w:val="00F84DF4"/>
    <w:rsid w:val="00F85C97"/>
    <w:rsid w:val="00FA45AD"/>
    <w:rsid w:val="00FA4663"/>
    <w:rsid w:val="00FA4B97"/>
    <w:rsid w:val="00FA6953"/>
    <w:rsid w:val="00FB37D2"/>
    <w:rsid w:val="00FB5D4E"/>
    <w:rsid w:val="00FC160D"/>
    <w:rsid w:val="00FC4EFB"/>
    <w:rsid w:val="00FD068D"/>
    <w:rsid w:val="00FD2398"/>
    <w:rsid w:val="00FD4F28"/>
    <w:rsid w:val="00FD61B6"/>
    <w:rsid w:val="00FD6A5C"/>
    <w:rsid w:val="00FE03D3"/>
    <w:rsid w:val="00FE082E"/>
    <w:rsid w:val="00FE4232"/>
    <w:rsid w:val="00FE6784"/>
    <w:rsid w:val="00FE6FF0"/>
    <w:rsid w:val="00FF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014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116C"/>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B73C36"/>
    <w:rPr>
      <w:sz w:val="16"/>
      <w:szCs w:val="16"/>
    </w:rPr>
  </w:style>
  <w:style w:type="paragraph" w:styleId="CommentText">
    <w:name w:val="annotation text"/>
    <w:basedOn w:val="Normal"/>
    <w:link w:val="CommentTextChar"/>
    <w:uiPriority w:val="99"/>
    <w:unhideWhenUsed/>
    <w:rsid w:val="00B73C36"/>
    <w:rPr>
      <w:sz w:val="20"/>
    </w:rPr>
  </w:style>
  <w:style w:type="character" w:customStyle="1" w:styleId="CommentTextChar">
    <w:name w:val="Comment Text Char"/>
    <w:basedOn w:val="DefaultParagraphFont"/>
    <w:link w:val="CommentText"/>
    <w:uiPriority w:val="99"/>
    <w:rsid w:val="00B73C36"/>
  </w:style>
  <w:style w:type="paragraph" w:styleId="CommentSubject">
    <w:name w:val="annotation subject"/>
    <w:basedOn w:val="CommentText"/>
    <w:next w:val="CommentText"/>
    <w:link w:val="CommentSubjectChar"/>
    <w:uiPriority w:val="99"/>
    <w:semiHidden/>
    <w:unhideWhenUsed/>
    <w:rsid w:val="00B73C36"/>
    <w:rPr>
      <w:b/>
      <w:bCs/>
    </w:rPr>
  </w:style>
  <w:style w:type="character" w:customStyle="1" w:styleId="CommentSubjectChar">
    <w:name w:val="Comment Subject Char"/>
    <w:basedOn w:val="CommentTextChar"/>
    <w:link w:val="CommentSubject"/>
    <w:uiPriority w:val="99"/>
    <w:semiHidden/>
    <w:rsid w:val="00B73C36"/>
    <w:rPr>
      <w:b/>
      <w:bCs/>
    </w:rPr>
  </w:style>
  <w:style w:type="character" w:styleId="Hyperlink">
    <w:name w:val="Hyperlink"/>
    <w:basedOn w:val="DefaultParagraphFont"/>
    <w:uiPriority w:val="99"/>
    <w:unhideWhenUsed/>
    <w:rsid w:val="002B7CEF"/>
    <w:rPr>
      <w:color w:val="660000"/>
      <w:u w:val="none"/>
    </w:rPr>
  </w:style>
  <w:style w:type="character" w:styleId="FollowedHyperlink">
    <w:name w:val="FollowedHyperlink"/>
    <w:basedOn w:val="DefaultParagraphFont"/>
    <w:uiPriority w:val="99"/>
    <w:semiHidden/>
    <w:unhideWhenUsed/>
    <w:rsid w:val="00337ECF"/>
    <w:rPr>
      <w:color w:val="800080" w:themeColor="followedHyperlink"/>
      <w:u w:val="single"/>
    </w:rPr>
  </w:style>
  <w:style w:type="character" w:customStyle="1" w:styleId="solexhl">
    <w:name w:val="solexhl"/>
    <w:basedOn w:val="DefaultParagraphFont"/>
    <w:rsid w:val="000F4BC7"/>
  </w:style>
  <w:style w:type="character" w:customStyle="1" w:styleId="ui-provider">
    <w:name w:val="ui-provider"/>
    <w:basedOn w:val="DefaultParagraphFont"/>
    <w:rsid w:val="008A7387"/>
  </w:style>
  <w:style w:type="paragraph" w:styleId="FootnoteText">
    <w:name w:val="footnote text"/>
    <w:basedOn w:val="Normal"/>
    <w:link w:val="FootnoteTextChar"/>
    <w:uiPriority w:val="99"/>
    <w:unhideWhenUsed/>
    <w:rsid w:val="001A673F"/>
    <w:rPr>
      <w:sz w:val="20"/>
    </w:rPr>
  </w:style>
  <w:style w:type="character" w:customStyle="1" w:styleId="FootnoteTextChar">
    <w:name w:val="Footnote Text Char"/>
    <w:basedOn w:val="DefaultParagraphFont"/>
    <w:link w:val="FootnoteText"/>
    <w:uiPriority w:val="99"/>
    <w:rsid w:val="001A673F"/>
  </w:style>
  <w:style w:type="character" w:styleId="FootnoteReference">
    <w:name w:val="footnote reference"/>
    <w:basedOn w:val="DefaultParagraphFont"/>
    <w:uiPriority w:val="99"/>
    <w:semiHidden/>
    <w:unhideWhenUsed/>
    <w:rsid w:val="001A673F"/>
    <w:rPr>
      <w:vertAlign w:val="superscript"/>
    </w:rPr>
  </w:style>
  <w:style w:type="paragraph" w:customStyle="1" w:styleId="ParaNoNdepar-AltN">
    <w:name w:val="Para. No. / Nº de par. - Alt N"/>
    <w:link w:val="ParaNoNdepar-AltNChar"/>
    <w:qFormat/>
    <w:rsid w:val="00033637"/>
    <w:pPr>
      <w:numPr>
        <w:numId w:val="1"/>
      </w:numPr>
      <w:tabs>
        <w:tab w:val="clear" w:pos="1152"/>
        <w:tab w:val="left" w:pos="1166"/>
      </w:tabs>
      <w:spacing w:before="480" w:after="480" w:line="480" w:lineRule="auto"/>
      <w:jc w:val="both"/>
    </w:pPr>
    <w:rPr>
      <w:rFonts w:cstheme="minorBidi"/>
      <w:sz w:val="24"/>
      <w:szCs w:val="22"/>
      <w:lang w:eastAsia="en-US"/>
    </w:rPr>
  </w:style>
  <w:style w:type="character" w:customStyle="1" w:styleId="ParaNoNdepar-AltNChar">
    <w:name w:val="Para. No. / Nº de par. - Alt N Char"/>
    <w:basedOn w:val="DefaultParagraphFont"/>
    <w:link w:val="ParaNoNdepar-AltN"/>
    <w:rsid w:val="00033637"/>
    <w:rPr>
      <w:rFonts w:cstheme="minorBidi"/>
      <w:sz w:val="24"/>
      <w:szCs w:val="22"/>
      <w:lang w:eastAsia="en-US"/>
    </w:rPr>
  </w:style>
  <w:style w:type="character" w:customStyle="1" w:styleId="Heading3Char">
    <w:name w:val="Heading 3 Char"/>
    <w:basedOn w:val="DefaultParagraphFont"/>
    <w:link w:val="Heading3"/>
    <w:uiPriority w:val="9"/>
    <w:semiHidden/>
    <w:rsid w:val="0014116C"/>
    <w:rPr>
      <w:rFonts w:asciiTheme="majorHAnsi" w:eastAsiaTheme="majorEastAsia" w:hAnsiTheme="majorHAnsi" w:cstheme="majorBidi"/>
      <w:color w:val="243F60" w:themeColor="accent1" w:themeShade="7F"/>
      <w:sz w:val="24"/>
      <w:szCs w:val="24"/>
    </w:rPr>
  </w:style>
  <w:style w:type="paragraph" w:customStyle="1" w:styleId="SCCLsocOtherPartyRoleSeparator">
    <w:name w:val="SCC.Lsoc.OtherPartyRoleSeparator"/>
    <w:basedOn w:val="Normal"/>
    <w:next w:val="Normal"/>
    <w:link w:val="SCCLsocOtherPartyRoleSeparatorChar"/>
    <w:rsid w:val="0014116C"/>
    <w:pPr>
      <w:spacing w:after="480"/>
    </w:pPr>
    <w:rPr>
      <w:rFonts w:eastAsiaTheme="minorHAnsi" w:cstheme="minorBidi"/>
      <w:szCs w:val="22"/>
      <w:lang w:eastAsia="en-US"/>
    </w:rPr>
  </w:style>
  <w:style w:type="paragraph" w:customStyle="1" w:styleId="SCCCoram">
    <w:name w:val="SCC.Coram"/>
    <w:basedOn w:val="Normal"/>
    <w:next w:val="Normal"/>
    <w:link w:val="SCCCoramChar"/>
    <w:rsid w:val="0014116C"/>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14116C"/>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14116C"/>
    <w:rPr>
      <w:rFonts w:eastAsiaTheme="minorHAnsi" w:cstheme="minorBidi"/>
      <w:sz w:val="24"/>
      <w:szCs w:val="22"/>
      <w:lang w:eastAsia="en-US"/>
    </w:rPr>
  </w:style>
  <w:style w:type="character" w:customStyle="1" w:styleId="SCCBanSummaryChar">
    <w:name w:val="SCC.BanSummary Char"/>
    <w:basedOn w:val="DefaultParagraphFont"/>
    <w:link w:val="SCCBanSummary"/>
    <w:rsid w:val="0014116C"/>
    <w:rPr>
      <w:b/>
      <w:sz w:val="24"/>
    </w:rPr>
  </w:style>
  <w:style w:type="table" w:styleId="TableGrid">
    <w:name w:val="Table Grid"/>
    <w:basedOn w:val="TableNormal"/>
    <w:uiPriority w:val="59"/>
    <w:rsid w:val="0014116C"/>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14116C"/>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14116C"/>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14116C"/>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14116C"/>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4116C"/>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4116C"/>
    <w:pPr>
      <w:numPr>
        <w:ilvl w:val="2"/>
      </w:numPr>
      <w:outlineLvl w:val="2"/>
    </w:pPr>
  </w:style>
  <w:style w:type="paragraph" w:customStyle="1" w:styleId="Title4LevelTitre4Niveau">
    <w:name w:val="Title 4 Level / Titre 4 Niveau"/>
    <w:basedOn w:val="Title3LevelTitre3Niveau"/>
    <w:next w:val="ParaNoNdepar-AltN"/>
    <w:uiPriority w:val="4"/>
    <w:qFormat/>
    <w:rsid w:val="0014116C"/>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14116C"/>
    <w:pPr>
      <w:numPr>
        <w:ilvl w:val="4"/>
      </w:numPr>
      <w:outlineLvl w:val="4"/>
    </w:pPr>
  </w:style>
  <w:style w:type="paragraph" w:styleId="TOC1">
    <w:name w:val="toc 1"/>
    <w:basedOn w:val="Normal"/>
    <w:next w:val="Normal"/>
    <w:autoRedefine/>
    <w:uiPriority w:val="39"/>
    <w:unhideWhenUsed/>
    <w:rsid w:val="0014116C"/>
    <w:pPr>
      <w:tabs>
        <w:tab w:val="left" w:pos="900"/>
        <w:tab w:val="right" w:leader="dot" w:pos="8270"/>
      </w:tabs>
      <w:spacing w:before="120" w:after="120"/>
    </w:pPr>
    <w:rPr>
      <w:noProof/>
      <w:u w:val="single"/>
    </w:rPr>
  </w:style>
  <w:style w:type="paragraph" w:styleId="TOC2">
    <w:name w:val="toc 2"/>
    <w:basedOn w:val="Normal"/>
    <w:next w:val="Normal"/>
    <w:autoRedefine/>
    <w:uiPriority w:val="39"/>
    <w:unhideWhenUsed/>
    <w:rsid w:val="0014116C"/>
    <w:pPr>
      <w:tabs>
        <w:tab w:val="left" w:pos="900"/>
        <w:tab w:val="right" w:leader="dot" w:pos="8270"/>
      </w:tabs>
      <w:spacing w:before="120" w:after="120"/>
      <w:ind w:left="900" w:hanging="900"/>
    </w:pPr>
    <w:rPr>
      <w:i/>
      <w:noProof/>
      <w:szCs w:val="24"/>
    </w:rPr>
  </w:style>
  <w:style w:type="paragraph" w:styleId="TOC3">
    <w:name w:val="toc 3"/>
    <w:basedOn w:val="Normal"/>
    <w:next w:val="Normal"/>
    <w:autoRedefine/>
    <w:uiPriority w:val="39"/>
    <w:unhideWhenUsed/>
    <w:rsid w:val="0014116C"/>
    <w:pPr>
      <w:tabs>
        <w:tab w:val="left" w:pos="1080"/>
        <w:tab w:val="right" w:leader="dot" w:pos="8270"/>
      </w:tabs>
      <w:spacing w:before="120" w:after="120"/>
      <w:ind w:left="1260" w:hanging="360"/>
    </w:pPr>
    <w:rPr>
      <w:noProof/>
      <w:u w:val="single"/>
    </w:rPr>
  </w:style>
  <w:style w:type="paragraph" w:styleId="TOC4">
    <w:name w:val="toc 4"/>
    <w:basedOn w:val="Normal"/>
    <w:next w:val="Normal"/>
    <w:autoRedefine/>
    <w:uiPriority w:val="39"/>
    <w:unhideWhenUsed/>
    <w:rsid w:val="0014116C"/>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14116C"/>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14116C"/>
    <w:pPr>
      <w:tabs>
        <w:tab w:val="left" w:pos="2160"/>
        <w:tab w:val="right" w:leader="dot" w:pos="8270"/>
      </w:tabs>
      <w:spacing w:after="100"/>
      <w:ind w:left="1800"/>
    </w:pPr>
    <w:rPr>
      <w:noProof/>
    </w:rPr>
  </w:style>
  <w:style w:type="table" w:customStyle="1" w:styleId="TableGrid1">
    <w:name w:val="Table Grid1"/>
    <w:basedOn w:val="TableNormal"/>
    <w:uiPriority w:val="59"/>
    <w:rsid w:val="0014116C"/>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14116C"/>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4116C"/>
    <w:pPr>
      <w:numPr>
        <w:ilvl w:val="5"/>
      </w:numPr>
      <w:outlineLvl w:val="5"/>
    </w:pPr>
    <w:rPr>
      <w:i/>
      <w:u w:val="none"/>
    </w:rPr>
  </w:style>
  <w:style w:type="paragraph" w:styleId="ListParagraph">
    <w:name w:val="List Paragraph"/>
    <w:basedOn w:val="Normal"/>
    <w:uiPriority w:val="34"/>
    <w:qFormat/>
    <w:rsid w:val="0014116C"/>
    <w:pPr>
      <w:spacing w:after="160" w:line="259" w:lineRule="auto"/>
      <w:ind w:left="720"/>
      <w:contextualSpacing/>
    </w:pPr>
    <w:rPr>
      <w:rFonts w:eastAsiaTheme="minorHAnsi" w:cstheme="minorBidi"/>
      <w:szCs w:val="22"/>
      <w:lang w:val="en-US" w:eastAsia="en-US"/>
    </w:rPr>
  </w:style>
  <w:style w:type="paragraph" w:styleId="Revision">
    <w:name w:val="Revision"/>
    <w:hidden/>
    <w:uiPriority w:val="99"/>
    <w:semiHidden/>
    <w:rsid w:val="0014116C"/>
    <w:rPr>
      <w:sz w:val="24"/>
      <w:szCs w:val="24"/>
    </w:rPr>
  </w:style>
  <w:style w:type="character" w:customStyle="1" w:styleId="Italic">
    <w:name w:val="Italic"/>
    <w:basedOn w:val="DefaultParagraphFont"/>
    <w:uiPriority w:val="1"/>
    <w:rsid w:val="0014116C"/>
    <w:rPr>
      <w:i/>
    </w:rPr>
  </w:style>
  <w:style w:type="paragraph" w:styleId="TOCHeading">
    <w:name w:val="TOC Heading"/>
    <w:basedOn w:val="Heading1"/>
    <w:next w:val="Normal"/>
    <w:uiPriority w:val="39"/>
    <w:unhideWhenUsed/>
    <w:qFormat/>
    <w:rsid w:val="0014116C"/>
    <w:pPr>
      <w:spacing w:before="240" w:after="0" w:line="259" w:lineRule="auto"/>
      <w:ind w:left="0" w:firstLine="0"/>
      <w:outlineLvl w:val="9"/>
    </w:pPr>
    <w:rPr>
      <w:b w:val="0"/>
      <w:bCs w:val="0"/>
      <w:sz w:val="32"/>
      <w:szCs w:val="32"/>
      <w:lang w:val="en-US" w:eastAsia="en-US"/>
    </w:rPr>
  </w:style>
  <w:style w:type="paragraph" w:styleId="NormalWeb">
    <w:name w:val="Normal (Web)"/>
    <w:basedOn w:val="Normal"/>
    <w:uiPriority w:val="99"/>
    <w:semiHidden/>
    <w:unhideWhenUsed/>
    <w:rsid w:val="0014116C"/>
    <w:pPr>
      <w:spacing w:before="100" w:beforeAutospacing="1" w:after="100" w:afterAutospacing="1"/>
    </w:pPr>
    <w:rPr>
      <w:szCs w:val="24"/>
    </w:rPr>
  </w:style>
  <w:style w:type="character" w:customStyle="1" w:styleId="UnresolvedMention1">
    <w:name w:val="Unresolved Mention1"/>
    <w:basedOn w:val="DefaultParagraphFont"/>
    <w:uiPriority w:val="99"/>
    <w:semiHidden/>
    <w:unhideWhenUsed/>
    <w:rsid w:val="0014116C"/>
    <w:rPr>
      <w:color w:val="605E5C"/>
      <w:shd w:val="clear" w:color="auto" w:fill="E1DFDD"/>
    </w:rPr>
  </w:style>
  <w:style w:type="table" w:customStyle="1" w:styleId="TableGrid2">
    <w:name w:val="Table Grid2"/>
    <w:basedOn w:val="TableNormal"/>
    <w:next w:val="TableGrid"/>
    <w:uiPriority w:val="59"/>
    <w:rsid w:val="0014116C"/>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9975">
      <w:bodyDiv w:val="1"/>
      <w:marLeft w:val="0"/>
      <w:marRight w:val="0"/>
      <w:marTop w:val="0"/>
      <w:marBottom w:val="0"/>
      <w:divBdr>
        <w:top w:val="none" w:sz="0" w:space="0" w:color="auto"/>
        <w:left w:val="none" w:sz="0" w:space="0" w:color="auto"/>
        <w:bottom w:val="none" w:sz="0" w:space="0" w:color="auto"/>
        <w:right w:val="none" w:sz="0" w:space="0" w:color="auto"/>
      </w:divBdr>
    </w:div>
    <w:div w:id="79566229">
      <w:bodyDiv w:val="1"/>
      <w:marLeft w:val="0"/>
      <w:marRight w:val="0"/>
      <w:marTop w:val="0"/>
      <w:marBottom w:val="0"/>
      <w:divBdr>
        <w:top w:val="none" w:sz="0" w:space="0" w:color="auto"/>
        <w:left w:val="none" w:sz="0" w:space="0" w:color="auto"/>
        <w:bottom w:val="none" w:sz="0" w:space="0" w:color="auto"/>
        <w:right w:val="none" w:sz="0" w:space="0" w:color="auto"/>
      </w:divBdr>
    </w:div>
    <w:div w:id="644243352">
      <w:bodyDiv w:val="1"/>
      <w:marLeft w:val="0"/>
      <w:marRight w:val="0"/>
      <w:marTop w:val="0"/>
      <w:marBottom w:val="0"/>
      <w:divBdr>
        <w:top w:val="none" w:sz="0" w:space="0" w:color="auto"/>
        <w:left w:val="none" w:sz="0" w:space="0" w:color="auto"/>
        <w:bottom w:val="none" w:sz="0" w:space="0" w:color="auto"/>
        <w:right w:val="none" w:sz="0" w:space="0" w:color="auto"/>
      </w:divBdr>
    </w:div>
    <w:div w:id="925721935">
      <w:bodyDiv w:val="1"/>
      <w:marLeft w:val="0"/>
      <w:marRight w:val="0"/>
      <w:marTop w:val="0"/>
      <w:marBottom w:val="0"/>
      <w:divBdr>
        <w:top w:val="none" w:sz="0" w:space="0" w:color="auto"/>
        <w:left w:val="none" w:sz="0" w:space="0" w:color="auto"/>
        <w:bottom w:val="none" w:sz="0" w:space="0" w:color="auto"/>
        <w:right w:val="none" w:sz="0" w:space="0" w:color="auto"/>
      </w:divBdr>
    </w:div>
    <w:div w:id="201151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ports.fja-cmf.gc.ca/fja-cmf/j/en/item/520965/index.d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c-csc.ca/cso-dce/2023SCC-CSC17_3_eng.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c-csc.ca/cso-dce/2023SCC-CSC17_2_eng.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scc-csc.ca/cso-dce/2023SCC-CSC17_1_eng.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E8249-8E00-44D1-ACF2-EE103BF03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112</Pages>
  <Words>28230</Words>
  <Characters>151369</Characters>
  <Application>Microsoft Office Word</Application>
  <DocSecurity>0</DocSecurity>
  <Lines>1261</Lines>
  <Paragraphs>358</Paragraphs>
  <ScaleCrop>false</ScaleCrop>
  <Company/>
  <LinksUpToDate>false</LinksUpToDate>
  <CharactersWithSpaces>179241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2023-06-16T00:01:00Z</dcterms:created>
  <dcterms:modified xsi:type="dcterms:W3CDTF">2023-06-19T18:51:00Z</dcterms:modified>
</cp:coreProperties>
</file>