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746949" w:rsidRPr="00746949" w14:paraId="0E9999DB" w14:textId="77777777" w:rsidTr="00B975C3">
        <w:trPr>
          <w:trHeight w:val="2103"/>
        </w:trPr>
        <w:tc>
          <w:tcPr>
            <w:tcW w:w="5000" w:type="pct"/>
            <w:gridSpan w:val="4"/>
          </w:tcPr>
          <w:p w14:paraId="6A43B10B" w14:textId="77777777" w:rsidR="00746949" w:rsidRPr="00746949" w:rsidRDefault="00746949" w:rsidP="00746949">
            <w:pPr>
              <w:jc w:val="center"/>
              <w:rPr>
                <w:b/>
              </w:rPr>
            </w:pPr>
            <w:r w:rsidRPr="00746949">
              <w:rPr>
                <w:b/>
                <w:noProof/>
              </w:rPr>
              <w:drawing>
                <wp:inline distT="0" distB="0" distL="0" distR="0" wp14:anchorId="48678D3C" wp14:editId="47A2228B">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41EBD00F" w14:textId="77777777" w:rsidR="00746949" w:rsidRPr="00746949" w:rsidRDefault="00746949" w:rsidP="00746949">
            <w:pPr>
              <w:spacing w:before="120" w:after="100" w:afterAutospacing="1"/>
              <w:jc w:val="center"/>
            </w:pPr>
            <w:r w:rsidRPr="00746949">
              <w:rPr>
                <w:b/>
              </w:rPr>
              <w:t>SUPREME COURT OF CANADA</w:t>
            </w:r>
          </w:p>
        </w:tc>
      </w:tr>
      <w:tr w:rsidR="00746949" w:rsidRPr="00746949" w14:paraId="797DC19C" w14:textId="77777777" w:rsidTr="00B975C3">
        <w:tblPrEx>
          <w:tblCellMar>
            <w:top w:w="58" w:type="dxa"/>
            <w:left w:w="58" w:type="dxa"/>
            <w:bottom w:w="58" w:type="dxa"/>
            <w:right w:w="58" w:type="dxa"/>
          </w:tblCellMar>
        </w:tblPrEx>
        <w:trPr>
          <w:cantSplit/>
        </w:trPr>
        <w:tc>
          <w:tcPr>
            <w:tcW w:w="2078" w:type="pct"/>
            <w:gridSpan w:val="2"/>
          </w:tcPr>
          <w:p w14:paraId="35B02832" w14:textId="77777777" w:rsidR="00746949" w:rsidRPr="00746949" w:rsidRDefault="00746949" w:rsidP="00746949">
            <w:pPr>
              <w:rPr>
                <w:b/>
                <w:smallCaps/>
                <w:lang w:val="fr-CA"/>
              </w:rPr>
            </w:pPr>
          </w:p>
          <w:p w14:paraId="4202E480" w14:textId="77777777" w:rsidR="00746949" w:rsidRPr="00746949" w:rsidRDefault="00746949" w:rsidP="00746949">
            <w:pPr>
              <w:rPr>
                <w:b/>
                <w:smallCaps/>
                <w:lang w:val="fr-CA"/>
              </w:rPr>
            </w:pPr>
            <w:r w:rsidRPr="00746949">
              <w:rPr>
                <w:b/>
                <w:smallCaps/>
                <w:lang w:val="fr-CA"/>
              </w:rPr>
              <w:t>Citation:</w:t>
            </w:r>
            <w:r w:rsidRPr="00746949">
              <w:rPr>
                <w:lang w:val="fr-CA"/>
              </w:rPr>
              <w:t xml:space="preserve"> R. </w:t>
            </w:r>
            <w:r w:rsidRPr="00746949">
              <w:rPr>
                <w:i/>
                <w:lang w:val="fr-CA"/>
              </w:rPr>
              <w:t>v.</w:t>
            </w:r>
            <w:r w:rsidRPr="00746949">
              <w:rPr>
                <w:lang w:val="fr-CA"/>
              </w:rPr>
              <w:t xml:space="preserve"> Basque, 2023 SCC 18</w:t>
            </w:r>
          </w:p>
        </w:tc>
        <w:tc>
          <w:tcPr>
            <w:tcW w:w="781" w:type="pct"/>
          </w:tcPr>
          <w:p w14:paraId="0404D048" w14:textId="77777777" w:rsidR="00746949" w:rsidRPr="00746949" w:rsidRDefault="00746949" w:rsidP="00746949">
            <w:pPr>
              <w:rPr>
                <w:lang w:val="fr-CA"/>
              </w:rPr>
            </w:pPr>
          </w:p>
        </w:tc>
        <w:tc>
          <w:tcPr>
            <w:tcW w:w="2141" w:type="pct"/>
          </w:tcPr>
          <w:p w14:paraId="47B6FC19" w14:textId="77777777" w:rsidR="00746949" w:rsidRPr="00746949" w:rsidRDefault="00746949" w:rsidP="00746949">
            <w:pPr>
              <w:rPr>
                <w:b/>
                <w:smallCaps/>
                <w:lang w:val="fr-CA"/>
              </w:rPr>
            </w:pPr>
          </w:p>
          <w:p w14:paraId="51F22FC9" w14:textId="77777777" w:rsidR="00746949" w:rsidRPr="00746949" w:rsidRDefault="00746949" w:rsidP="00746949">
            <w:pPr>
              <w:jc w:val="both"/>
            </w:pPr>
            <w:r w:rsidRPr="00746949">
              <w:rPr>
                <w:b/>
                <w:smallCaps/>
              </w:rPr>
              <w:t>Appeal Heard:</w:t>
            </w:r>
            <w:r w:rsidRPr="00746949">
              <w:t xml:space="preserve"> November 8, 2022</w:t>
            </w:r>
          </w:p>
          <w:p w14:paraId="532010A7" w14:textId="77777777" w:rsidR="00746949" w:rsidRPr="00746949" w:rsidRDefault="00746949" w:rsidP="00746949">
            <w:r w:rsidRPr="00746949">
              <w:rPr>
                <w:b/>
                <w:smallCaps/>
              </w:rPr>
              <w:t>Judgment Rendered:</w:t>
            </w:r>
            <w:r w:rsidRPr="00746949">
              <w:t xml:space="preserve"> June 30, 2023</w:t>
            </w:r>
          </w:p>
          <w:p w14:paraId="102BC052" w14:textId="77777777" w:rsidR="00746949" w:rsidRPr="00746949" w:rsidRDefault="00746949" w:rsidP="00746949">
            <w:r w:rsidRPr="00746949">
              <w:rPr>
                <w:b/>
                <w:smallCaps/>
              </w:rPr>
              <w:t>Docket:</w:t>
            </w:r>
            <w:r w:rsidRPr="00746949">
              <w:t xml:space="preserve"> 39997</w:t>
            </w:r>
          </w:p>
        </w:tc>
      </w:tr>
      <w:tr w:rsidR="00746949" w:rsidRPr="00746949" w14:paraId="44F8904F" w14:textId="77777777" w:rsidTr="00B975C3">
        <w:tblPrEx>
          <w:tblCellMar>
            <w:top w:w="58" w:type="dxa"/>
            <w:left w:w="58" w:type="dxa"/>
            <w:bottom w:w="58" w:type="dxa"/>
            <w:right w:w="58" w:type="dxa"/>
          </w:tblCellMar>
        </w:tblPrEx>
        <w:trPr>
          <w:cantSplit/>
        </w:trPr>
        <w:tc>
          <w:tcPr>
            <w:tcW w:w="5000" w:type="pct"/>
            <w:gridSpan w:val="4"/>
          </w:tcPr>
          <w:p w14:paraId="687963DF" w14:textId="77777777" w:rsidR="00746949" w:rsidRPr="00746949" w:rsidRDefault="00746949" w:rsidP="00746949"/>
          <w:p w14:paraId="13F958ED" w14:textId="77777777" w:rsidR="00746949" w:rsidRPr="00746949" w:rsidRDefault="00746949" w:rsidP="00746949">
            <w:pPr>
              <w:rPr>
                <w:b/>
                <w:smallCaps/>
              </w:rPr>
            </w:pPr>
            <w:r w:rsidRPr="00746949">
              <w:rPr>
                <w:b/>
                <w:smallCaps/>
              </w:rPr>
              <w:t>Between:</w:t>
            </w:r>
          </w:p>
          <w:p w14:paraId="5FD539B0" w14:textId="77777777" w:rsidR="00746949" w:rsidRPr="00746949" w:rsidRDefault="00746949" w:rsidP="00746949"/>
          <w:p w14:paraId="1212FA9E" w14:textId="77777777" w:rsidR="00746949" w:rsidRPr="00746949" w:rsidRDefault="00746949" w:rsidP="00746949">
            <w:pPr>
              <w:jc w:val="center"/>
              <w:rPr>
                <w:b/>
              </w:rPr>
            </w:pPr>
            <w:r w:rsidRPr="00746949">
              <w:rPr>
                <w:b/>
              </w:rPr>
              <w:t>Jennifer Basque</w:t>
            </w:r>
          </w:p>
          <w:p w14:paraId="7D254587" w14:textId="77777777" w:rsidR="00746949" w:rsidRPr="00746949" w:rsidRDefault="00746949" w:rsidP="00746949">
            <w:pPr>
              <w:jc w:val="center"/>
            </w:pPr>
            <w:r w:rsidRPr="00746949">
              <w:t>Appellant</w:t>
            </w:r>
          </w:p>
          <w:p w14:paraId="19E94CD9" w14:textId="77777777" w:rsidR="00746949" w:rsidRPr="00746949" w:rsidRDefault="00746949" w:rsidP="00746949"/>
          <w:p w14:paraId="2635DD9A" w14:textId="77777777" w:rsidR="00746949" w:rsidRPr="00746949" w:rsidRDefault="00746949" w:rsidP="00746949">
            <w:pPr>
              <w:jc w:val="center"/>
            </w:pPr>
            <w:r w:rsidRPr="00746949">
              <w:t>and</w:t>
            </w:r>
          </w:p>
          <w:p w14:paraId="7B831C55" w14:textId="77777777" w:rsidR="00746949" w:rsidRPr="00746949" w:rsidRDefault="00746949" w:rsidP="00746949"/>
          <w:p w14:paraId="6FE2DC57" w14:textId="77777777" w:rsidR="00746949" w:rsidRPr="00746949" w:rsidRDefault="00746949" w:rsidP="00746949">
            <w:pPr>
              <w:jc w:val="center"/>
              <w:rPr>
                <w:b/>
              </w:rPr>
            </w:pPr>
            <w:r w:rsidRPr="00746949">
              <w:rPr>
                <w:b/>
              </w:rPr>
              <w:t xml:space="preserve">His Majesty </w:t>
            </w:r>
            <w:proofErr w:type="gramStart"/>
            <w:r w:rsidRPr="00746949">
              <w:rPr>
                <w:b/>
              </w:rPr>
              <w:t>The</w:t>
            </w:r>
            <w:proofErr w:type="gramEnd"/>
            <w:r w:rsidRPr="00746949">
              <w:rPr>
                <w:b/>
              </w:rPr>
              <w:t xml:space="preserve"> King</w:t>
            </w:r>
          </w:p>
          <w:p w14:paraId="6D2BF25C" w14:textId="77777777" w:rsidR="00746949" w:rsidRPr="00746949" w:rsidRDefault="00746949" w:rsidP="00746949">
            <w:pPr>
              <w:jc w:val="center"/>
            </w:pPr>
            <w:r w:rsidRPr="00746949">
              <w:t>Respondent</w:t>
            </w:r>
          </w:p>
          <w:p w14:paraId="49FD9DE5" w14:textId="77777777" w:rsidR="00746949" w:rsidRPr="00746949" w:rsidRDefault="00746949" w:rsidP="00746949"/>
          <w:p w14:paraId="219F3861" w14:textId="77777777" w:rsidR="00746949" w:rsidRPr="00746949" w:rsidRDefault="00746949" w:rsidP="00746949">
            <w:pPr>
              <w:jc w:val="center"/>
            </w:pPr>
            <w:r w:rsidRPr="00746949">
              <w:t>- and -</w:t>
            </w:r>
          </w:p>
          <w:p w14:paraId="7442A113" w14:textId="77777777" w:rsidR="00746949" w:rsidRPr="00746949" w:rsidRDefault="00746949" w:rsidP="00746949"/>
          <w:p w14:paraId="3B2A4CD0" w14:textId="77777777" w:rsidR="00746949" w:rsidRPr="00746949" w:rsidRDefault="00746949" w:rsidP="00746949">
            <w:pPr>
              <w:jc w:val="center"/>
              <w:rPr>
                <w:b/>
              </w:rPr>
            </w:pPr>
            <w:r w:rsidRPr="00746949">
              <w:rPr>
                <w:b/>
              </w:rPr>
              <w:t>Attorney General of Alberta</w:t>
            </w:r>
          </w:p>
          <w:p w14:paraId="60D1AB97" w14:textId="77777777" w:rsidR="00746949" w:rsidRPr="00746949" w:rsidRDefault="00746949" w:rsidP="00746949">
            <w:pPr>
              <w:jc w:val="center"/>
            </w:pPr>
            <w:r w:rsidRPr="00746949">
              <w:t>Intervener</w:t>
            </w:r>
          </w:p>
          <w:p w14:paraId="66B0AC80" w14:textId="77777777" w:rsidR="00746949" w:rsidRPr="00746949" w:rsidRDefault="00746949" w:rsidP="00746949"/>
          <w:p w14:paraId="22D692E1" w14:textId="77777777" w:rsidR="00746949" w:rsidRPr="00746949" w:rsidRDefault="00746949" w:rsidP="00746949">
            <w:pPr>
              <w:jc w:val="center"/>
              <w:rPr>
                <w:b/>
                <w:smallCaps/>
              </w:rPr>
            </w:pPr>
            <w:r w:rsidRPr="00746949">
              <w:rPr>
                <w:b/>
                <w:smallCaps/>
              </w:rPr>
              <w:t>Official English Translation</w:t>
            </w:r>
          </w:p>
          <w:p w14:paraId="1CCD7631" w14:textId="77777777" w:rsidR="00746949" w:rsidRPr="00746949" w:rsidRDefault="00746949" w:rsidP="00746949"/>
          <w:p w14:paraId="113BEEF9" w14:textId="77777777" w:rsidR="00746949" w:rsidRPr="00746949" w:rsidRDefault="00746949" w:rsidP="00746949">
            <w:r w:rsidRPr="00746949">
              <w:rPr>
                <w:b/>
                <w:smallCaps/>
              </w:rPr>
              <w:t>Coram:</w:t>
            </w:r>
            <w:r w:rsidRPr="00746949">
              <w:t xml:space="preserve"> Wagner C.J. and Karakatsanis, Côté, </w:t>
            </w:r>
            <w:proofErr w:type="gramStart"/>
            <w:r w:rsidRPr="00746949">
              <w:t>Brown,</w:t>
            </w:r>
            <w:r w:rsidRPr="00746949">
              <w:rPr>
                <w:vertAlign w:val="superscript"/>
              </w:rPr>
              <w:t>*</w:t>
            </w:r>
            <w:proofErr w:type="gramEnd"/>
            <w:r w:rsidRPr="00746949">
              <w:t xml:space="preserve"> Rowe, Martin, Kasirer, Jamal and O’Bonsawin JJ.</w:t>
            </w:r>
          </w:p>
          <w:p w14:paraId="434B90A3" w14:textId="77777777" w:rsidR="00746949" w:rsidRPr="00746949" w:rsidRDefault="00746949" w:rsidP="00746949">
            <w:pPr>
              <w:rPr>
                <w:b/>
                <w:smallCaps/>
              </w:rPr>
            </w:pPr>
          </w:p>
        </w:tc>
      </w:tr>
      <w:tr w:rsidR="00746949" w:rsidRPr="00746949" w14:paraId="58428BEB" w14:textId="77777777" w:rsidTr="00B975C3">
        <w:tblPrEx>
          <w:tblCellMar>
            <w:top w:w="58" w:type="dxa"/>
            <w:left w:w="58" w:type="dxa"/>
            <w:bottom w:w="58" w:type="dxa"/>
            <w:right w:w="58" w:type="dxa"/>
          </w:tblCellMar>
        </w:tblPrEx>
        <w:trPr>
          <w:cantSplit/>
        </w:trPr>
        <w:tc>
          <w:tcPr>
            <w:tcW w:w="1231" w:type="pct"/>
          </w:tcPr>
          <w:p w14:paraId="0EC51167" w14:textId="77777777" w:rsidR="00746949" w:rsidRPr="00746949" w:rsidRDefault="00746949" w:rsidP="00746949">
            <w:pPr>
              <w:rPr>
                <w:smallCaps/>
              </w:rPr>
            </w:pPr>
            <w:r w:rsidRPr="00746949">
              <w:rPr>
                <w:b/>
                <w:smallCaps/>
              </w:rPr>
              <w:t>Reasons for Judgment:</w:t>
            </w:r>
            <w:r w:rsidRPr="00746949">
              <w:rPr>
                <w:smallCaps/>
              </w:rPr>
              <w:t xml:space="preserve"> </w:t>
            </w:r>
          </w:p>
          <w:p w14:paraId="393942B5" w14:textId="77777777" w:rsidR="00746949" w:rsidRPr="00746949" w:rsidRDefault="00746949" w:rsidP="00746949">
            <w:pPr>
              <w:rPr>
                <w:smallCaps/>
              </w:rPr>
            </w:pPr>
            <w:r w:rsidRPr="00746949">
              <w:t>(</w:t>
            </w:r>
            <w:proofErr w:type="gramStart"/>
            <w:r w:rsidRPr="00746949">
              <w:t>paras</w:t>
            </w:r>
            <w:proofErr w:type="gramEnd"/>
            <w:r w:rsidRPr="00746949">
              <w:t>. 1 to 78)</w:t>
            </w:r>
          </w:p>
        </w:tc>
        <w:tc>
          <w:tcPr>
            <w:tcW w:w="3769" w:type="pct"/>
            <w:gridSpan w:val="3"/>
          </w:tcPr>
          <w:p w14:paraId="64C0EC9F" w14:textId="77777777" w:rsidR="00746949" w:rsidRPr="00746949" w:rsidRDefault="00746949" w:rsidP="00746949">
            <w:r w:rsidRPr="00746949">
              <w:t xml:space="preserve">Kasirer J. (Wagner C.J. and Karakatsanis, Côté, Rowe, Martin, </w:t>
            </w:r>
            <w:proofErr w:type="gramStart"/>
            <w:r w:rsidRPr="00746949">
              <w:t>Jamal</w:t>
            </w:r>
            <w:proofErr w:type="gramEnd"/>
            <w:r w:rsidRPr="00746949">
              <w:t xml:space="preserve"> and O’Bonsawin JJ. concurring)</w:t>
            </w:r>
          </w:p>
        </w:tc>
      </w:tr>
    </w:tbl>
    <w:p w14:paraId="0BFE8F64" w14:textId="77777777" w:rsidR="00746949" w:rsidRPr="00746949" w:rsidRDefault="00746949" w:rsidP="00746949">
      <w:pPr>
        <w:rPr>
          <w:rFonts w:eastAsiaTheme="minorHAnsi" w:cstheme="minorBidi"/>
          <w:szCs w:val="24"/>
          <w:lang w:eastAsia="en-US"/>
        </w:rPr>
      </w:pPr>
    </w:p>
    <w:p w14:paraId="3FCF9AB6" w14:textId="77777777" w:rsidR="00746949" w:rsidRPr="00746949" w:rsidRDefault="00746949" w:rsidP="00746949">
      <w:pPr>
        <w:rPr>
          <w:rFonts w:eastAsiaTheme="minorHAnsi" w:cstheme="minorBidi"/>
          <w:szCs w:val="24"/>
          <w:lang w:eastAsia="en-US"/>
        </w:rPr>
      </w:pPr>
    </w:p>
    <w:p w14:paraId="1A6F187A" w14:textId="77777777" w:rsidR="00746949" w:rsidRPr="00746949" w:rsidRDefault="00746949" w:rsidP="00746949">
      <w:pPr>
        <w:rPr>
          <w:rFonts w:eastAsiaTheme="minorHAnsi" w:cstheme="minorBidi"/>
          <w:szCs w:val="24"/>
          <w:lang w:eastAsia="en-US"/>
        </w:rPr>
      </w:pPr>
      <w:r w:rsidRPr="00746949">
        <w:rPr>
          <w:rFonts w:eastAsiaTheme="minorHAnsi" w:cstheme="minorBidi"/>
          <w:b/>
          <w:smallCaps/>
          <w:szCs w:val="24"/>
          <w:lang w:eastAsia="en-US"/>
        </w:rPr>
        <w:lastRenderedPageBreak/>
        <w:t>Note:</w:t>
      </w:r>
      <w:r w:rsidRPr="00746949">
        <w:rPr>
          <w:rFonts w:eastAsiaTheme="minorHAnsi" w:cstheme="minorBidi"/>
          <w:b/>
          <w:szCs w:val="24"/>
          <w:lang w:eastAsia="en-US"/>
        </w:rPr>
        <w:t xml:space="preserve"> </w:t>
      </w:r>
      <w:r w:rsidRPr="00746949">
        <w:rPr>
          <w:rFonts w:eastAsiaTheme="minorHAnsi" w:cstheme="minorBidi"/>
          <w:szCs w:val="24"/>
          <w:lang w:eastAsia="en-US"/>
        </w:rPr>
        <w:t xml:space="preserve">This document is subject to editorial revision before its reproduction in final form in the </w:t>
      </w:r>
      <w:r w:rsidRPr="00746949">
        <w:rPr>
          <w:rFonts w:eastAsiaTheme="minorHAnsi" w:cstheme="minorBidi"/>
          <w:i/>
          <w:szCs w:val="24"/>
          <w:lang w:eastAsia="en-US"/>
        </w:rPr>
        <w:t>Canada Supreme Court Reports</w:t>
      </w:r>
      <w:r w:rsidRPr="00746949">
        <w:rPr>
          <w:rFonts w:eastAsiaTheme="minorHAnsi" w:cstheme="minorBidi"/>
          <w:szCs w:val="24"/>
          <w:lang w:eastAsia="en-US"/>
        </w:rPr>
        <w:t>.</w:t>
      </w:r>
    </w:p>
    <w:p w14:paraId="330ACA6D" w14:textId="77777777" w:rsidR="00746949" w:rsidRPr="00746949" w:rsidRDefault="00746949" w:rsidP="00746949">
      <w:pPr>
        <w:rPr>
          <w:rFonts w:eastAsiaTheme="minorHAnsi" w:cstheme="minorBidi"/>
          <w:szCs w:val="24"/>
          <w:lang w:eastAsia="en-US"/>
        </w:rPr>
      </w:pPr>
    </w:p>
    <w:p w14:paraId="400483BA" w14:textId="77777777" w:rsidR="00746949" w:rsidRPr="00746949" w:rsidRDefault="00746949" w:rsidP="00746949">
      <w:pPr>
        <w:rPr>
          <w:rFonts w:eastAsiaTheme="minorHAnsi" w:cstheme="minorBidi"/>
          <w:szCs w:val="24"/>
          <w:lang w:eastAsia="en-US"/>
        </w:rPr>
      </w:pPr>
    </w:p>
    <w:p w14:paraId="083E3F08" w14:textId="77777777" w:rsidR="00746949" w:rsidRPr="00746949" w:rsidRDefault="00746949" w:rsidP="00746949">
      <w:pPr>
        <w:rPr>
          <w:rFonts w:eastAsiaTheme="minorHAnsi" w:cstheme="minorBidi"/>
          <w:szCs w:val="24"/>
          <w:lang w:eastAsia="en-US"/>
        </w:rPr>
      </w:pPr>
      <w:r w:rsidRPr="00746949">
        <w:rPr>
          <w:rFonts w:eastAsiaTheme="minorHAnsi" w:cstheme="minorBidi"/>
          <w:szCs w:val="24"/>
          <w:vertAlign w:val="superscript"/>
          <w:lang w:val="en-US" w:eastAsia="en-US"/>
        </w:rPr>
        <w:t>*</w:t>
      </w:r>
      <w:r w:rsidRPr="00746949">
        <w:rPr>
          <w:rFonts w:eastAsiaTheme="minorHAnsi" w:cstheme="minorBidi"/>
          <w:szCs w:val="24"/>
          <w:lang w:val="en-US" w:eastAsia="en-US"/>
        </w:rPr>
        <w:t> </w:t>
      </w:r>
      <w:r w:rsidRPr="00746949">
        <w:rPr>
          <w:rFonts w:eastAsiaTheme="minorHAnsi" w:cstheme="minorBidi"/>
          <w:color w:val="000000"/>
          <w:szCs w:val="24"/>
          <w:lang w:val="en-US" w:eastAsia="en-US"/>
        </w:rPr>
        <w:t>Brown J. did not participate in the final disposition of the judgment.</w:t>
      </w:r>
    </w:p>
    <w:p w14:paraId="5704BBD2" w14:textId="77777777" w:rsidR="00746949" w:rsidRPr="00746949" w:rsidRDefault="00746949" w:rsidP="00746949">
      <w:pPr>
        <w:rPr>
          <w:rFonts w:eastAsiaTheme="minorHAnsi" w:cstheme="minorBidi"/>
          <w:szCs w:val="24"/>
          <w:lang w:eastAsia="en-US"/>
        </w:rPr>
      </w:pPr>
    </w:p>
    <w:p w14:paraId="6BA63DAE" w14:textId="77777777" w:rsidR="00746949" w:rsidRPr="00746949" w:rsidRDefault="00746949" w:rsidP="00746949">
      <w:pPr>
        <w:rPr>
          <w:rFonts w:eastAsiaTheme="minorHAnsi" w:cstheme="minorBidi"/>
          <w:szCs w:val="24"/>
          <w:lang w:eastAsia="en-US"/>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746949" w:rsidRPr="00746949" w14:paraId="02FD0EAB" w14:textId="77777777" w:rsidTr="00B975C3">
        <w:tc>
          <w:tcPr>
            <w:tcW w:w="1500" w:type="pct"/>
            <w:tcMar>
              <w:top w:w="284" w:type="dxa"/>
            </w:tcMar>
          </w:tcPr>
          <w:p w14:paraId="6399269B" w14:textId="77777777" w:rsidR="00746949" w:rsidRPr="00746949" w:rsidRDefault="00746949" w:rsidP="00746949"/>
        </w:tc>
        <w:tc>
          <w:tcPr>
            <w:tcW w:w="2000" w:type="pct"/>
            <w:tcBorders>
              <w:bottom w:val="single" w:sz="4" w:space="0" w:color="auto"/>
            </w:tcBorders>
            <w:tcMar>
              <w:top w:w="284" w:type="dxa"/>
            </w:tcMar>
          </w:tcPr>
          <w:p w14:paraId="056B05D1" w14:textId="77777777" w:rsidR="00746949" w:rsidRPr="00746949" w:rsidRDefault="00746949" w:rsidP="00746949"/>
        </w:tc>
        <w:tc>
          <w:tcPr>
            <w:tcW w:w="1500" w:type="pct"/>
            <w:tcMar>
              <w:top w:w="284" w:type="dxa"/>
            </w:tcMar>
          </w:tcPr>
          <w:p w14:paraId="75CADFEA" w14:textId="77777777" w:rsidR="00746949" w:rsidRPr="00746949" w:rsidRDefault="00746949" w:rsidP="00746949"/>
        </w:tc>
      </w:tr>
    </w:tbl>
    <w:p w14:paraId="412876EF" w14:textId="77777777" w:rsidR="00746949" w:rsidRPr="00746949" w:rsidRDefault="00746949" w:rsidP="00746949">
      <w:pPr>
        <w:rPr>
          <w:rFonts w:eastAsiaTheme="minorHAnsi" w:cstheme="minorBidi"/>
          <w:szCs w:val="24"/>
          <w:lang w:eastAsia="en-US"/>
        </w:rPr>
      </w:pPr>
    </w:p>
    <w:p w14:paraId="511B1F24" w14:textId="77777777" w:rsidR="00746949" w:rsidRDefault="00746949">
      <w:pPr>
        <w:rPr>
          <w:b/>
          <w:lang w:val="en-US"/>
        </w:rPr>
      </w:pPr>
      <w:r>
        <w:rPr>
          <w:lang w:val="en-US"/>
        </w:rPr>
        <w:br w:type="page"/>
      </w:r>
    </w:p>
    <w:p w14:paraId="34222681" w14:textId="56A69E7E" w:rsidR="00A23D40" w:rsidRPr="00146270" w:rsidRDefault="00EB172E">
      <w:pPr>
        <w:pStyle w:val="SCCLsocLastPartyInRole"/>
        <w:rPr>
          <w:lang w:val="en-US"/>
        </w:rPr>
      </w:pPr>
      <w:r w:rsidRPr="00146270">
        <w:rPr>
          <w:lang w:val="en-US"/>
        </w:rPr>
        <w:lastRenderedPageBreak/>
        <w:t>Jennifer Basque</w:t>
      </w:r>
      <w:r w:rsidRPr="00146270">
        <w:rPr>
          <w:rStyle w:val="SCCLsocPartyRole"/>
          <w:lang w:val="en-US"/>
        </w:rPr>
        <w:tab/>
        <w:t>Appellant</w:t>
      </w:r>
    </w:p>
    <w:p w14:paraId="1D2BF955" w14:textId="77777777" w:rsidR="00A23D40" w:rsidRPr="00146270" w:rsidRDefault="00EB172E">
      <w:pPr>
        <w:pStyle w:val="SCCLsocVersus"/>
        <w:rPr>
          <w:lang w:val="en-US"/>
        </w:rPr>
      </w:pPr>
      <w:r w:rsidRPr="00146270">
        <w:rPr>
          <w:lang w:val="en-US"/>
        </w:rPr>
        <w:t>v.</w:t>
      </w:r>
    </w:p>
    <w:p w14:paraId="3B08FCE2" w14:textId="77777777" w:rsidR="00A23D40" w:rsidRDefault="00DE7AF0">
      <w:pPr>
        <w:pStyle w:val="SCCLsocLastPartyInRole"/>
      </w:pPr>
      <w:r>
        <w:t xml:space="preserve">His Majesty </w:t>
      </w:r>
      <w:proofErr w:type="gramStart"/>
      <w:r>
        <w:t>T</w:t>
      </w:r>
      <w:r w:rsidR="00EB172E">
        <w:t>he</w:t>
      </w:r>
      <w:proofErr w:type="gramEnd"/>
      <w:r w:rsidR="00EB172E">
        <w:t xml:space="preserve"> King</w:t>
      </w:r>
      <w:r w:rsidR="00EB172E">
        <w:rPr>
          <w:rStyle w:val="SCCLsocPartyRole"/>
        </w:rPr>
        <w:tab/>
        <w:t>Respondent</w:t>
      </w:r>
    </w:p>
    <w:p w14:paraId="62DA3D1F" w14:textId="77777777" w:rsidR="00A23D40" w:rsidRDefault="00EB172E">
      <w:pPr>
        <w:pStyle w:val="SCCLsocOtherPartySeparator"/>
      </w:pPr>
      <w:r>
        <w:t>and</w:t>
      </w:r>
    </w:p>
    <w:p w14:paraId="6967B1FD" w14:textId="77777777" w:rsidR="00A23D40" w:rsidRDefault="00EB172E" w:rsidP="00C46863">
      <w:pPr>
        <w:pStyle w:val="SCCLsocLastPartyInRole"/>
      </w:pPr>
      <w:r>
        <w:t>Attorney General of Alberta</w:t>
      </w:r>
      <w:r>
        <w:rPr>
          <w:rStyle w:val="SCCLsocPartyRole"/>
        </w:rPr>
        <w:tab/>
        <w:t>Intervener</w:t>
      </w:r>
    </w:p>
    <w:p w14:paraId="4DC60EA2" w14:textId="77777777" w:rsidR="00426659" w:rsidRPr="00DE7AF0" w:rsidRDefault="00426659" w:rsidP="00C46863">
      <w:pPr>
        <w:spacing w:after="720"/>
        <w:jc w:val="both"/>
        <w:rPr>
          <w:b/>
        </w:rPr>
      </w:pPr>
      <w:r w:rsidRPr="00426659">
        <w:rPr>
          <w:b/>
        </w:rPr>
        <w:t>Indexed as:</w:t>
      </w:r>
      <w:r>
        <w:rPr>
          <w:b/>
        </w:rPr>
        <w:t xml:space="preserve"> </w:t>
      </w:r>
      <w:r w:rsidR="00DE7AF0">
        <w:rPr>
          <w:rStyle w:val="SCCRespondentForIndexChar"/>
        </w:rPr>
        <w:t>R.</w:t>
      </w:r>
      <w:r w:rsidRPr="00426659">
        <w:rPr>
          <w:b/>
        </w:rPr>
        <w:t xml:space="preserve"> </w:t>
      </w:r>
      <w:r w:rsidRPr="00426659">
        <w:rPr>
          <w:b/>
          <w:i/>
        </w:rPr>
        <w:t>v.</w:t>
      </w:r>
      <w:r w:rsidRPr="00426659">
        <w:rPr>
          <w:b/>
        </w:rPr>
        <w:t xml:space="preserve"> </w:t>
      </w:r>
      <w:r w:rsidR="00DE7AF0">
        <w:rPr>
          <w:rStyle w:val="SCCAppellantForIndexChar"/>
        </w:rPr>
        <w:t>Basque</w:t>
      </w:r>
    </w:p>
    <w:p w14:paraId="67662763" w14:textId="67E872D3" w:rsidR="00426659" w:rsidRPr="00C02092" w:rsidRDefault="00DE7AF0" w:rsidP="00C46863">
      <w:pPr>
        <w:pStyle w:val="SCCSystemYear"/>
        <w:spacing w:after="720"/>
        <w:jc w:val="both"/>
      </w:pPr>
      <w:r>
        <w:t>2023</w:t>
      </w:r>
      <w:r w:rsidR="003D0399">
        <w:t xml:space="preserve"> </w:t>
      </w:r>
      <w:r w:rsidR="00C46863">
        <w:t xml:space="preserve">SCC </w:t>
      </w:r>
      <w:r w:rsidR="00037F36" w:rsidRPr="00BE5A2C">
        <w:t>18</w:t>
      </w:r>
    </w:p>
    <w:p w14:paraId="12C15AFE" w14:textId="77777777" w:rsidR="008322BD" w:rsidRDefault="004338CA" w:rsidP="00C46863">
      <w:pPr>
        <w:spacing w:after="720"/>
        <w:jc w:val="both"/>
      </w:pPr>
      <w:r>
        <w:t xml:space="preserve">File No.: </w:t>
      </w:r>
      <w:r w:rsidR="009B57B3">
        <w:t>39997</w:t>
      </w:r>
      <w:r w:rsidR="009B57B3" w:rsidRPr="001426A9">
        <w:t>.</w:t>
      </w:r>
    </w:p>
    <w:p w14:paraId="1B1A7E9F" w14:textId="1886C771" w:rsidR="008322BD" w:rsidRDefault="00AE4535" w:rsidP="00C46863">
      <w:pPr>
        <w:spacing w:after="720"/>
        <w:jc w:val="both"/>
      </w:pPr>
      <w:r>
        <w:t>2022: November 8</w:t>
      </w:r>
      <w:r w:rsidR="009B57B3" w:rsidRPr="001426A9">
        <w:t>;</w:t>
      </w:r>
      <w:r w:rsidR="00444AA9">
        <w:t xml:space="preserve"> 2023:</w:t>
      </w:r>
      <w:r w:rsidR="009B57B3" w:rsidRPr="001426A9">
        <w:t xml:space="preserve"> </w:t>
      </w:r>
      <w:r w:rsidR="00DE5DDC">
        <w:t>June 30</w:t>
      </w:r>
      <w:r w:rsidR="009B57B3" w:rsidRPr="001426A9">
        <w:t>.</w:t>
      </w:r>
    </w:p>
    <w:p w14:paraId="061BA9DA" w14:textId="5FDABA47" w:rsidR="008322BD" w:rsidRDefault="00BC10A3" w:rsidP="00C46863">
      <w:pPr>
        <w:spacing w:after="720"/>
        <w:jc w:val="both"/>
      </w:pPr>
      <w:r>
        <w:t xml:space="preserve">Present: </w:t>
      </w:r>
      <w:r w:rsidR="009B57B3">
        <w:t>Wagner C.J. and Karakatsanis, Côté, Brown,</w:t>
      </w:r>
      <w:r w:rsidR="00065C59" w:rsidRPr="00DC001A">
        <w:rPr>
          <w:rStyle w:val="Hyperlink"/>
          <w:vertAlign w:val="superscript"/>
        </w:rPr>
        <w:footnoteReference w:customMarkFollows="1" w:id="1"/>
        <w:sym w:font="Symbol" w:char="F02A"/>
      </w:r>
      <w:r w:rsidR="009B57B3">
        <w:t xml:space="preserve"> Rowe, Martin, Kasirer, Jamal and O’Bonsawin JJ.</w:t>
      </w:r>
    </w:p>
    <w:p w14:paraId="784B9452" w14:textId="77777777" w:rsidR="008322BD" w:rsidRPr="001C779F" w:rsidRDefault="00656313" w:rsidP="00C46863">
      <w:pPr>
        <w:pStyle w:val="SCCLowerCourtNameLowercase"/>
        <w:spacing w:after="720" w:line="240" w:lineRule="auto"/>
      </w:pPr>
      <w:r>
        <w:t>o</w:t>
      </w:r>
      <w:r w:rsidR="00170592">
        <w:t>n</w:t>
      </w:r>
      <w:r w:rsidR="00224FC0">
        <w:t xml:space="preserve"> </w:t>
      </w:r>
      <w:r>
        <w:t>a</w:t>
      </w:r>
      <w:r w:rsidR="00170592">
        <w:t>ppeal</w:t>
      </w:r>
      <w:r w:rsidR="00224FC0">
        <w:t xml:space="preserve"> </w:t>
      </w:r>
      <w:r w:rsidR="00170592">
        <w:t>from</w:t>
      </w:r>
      <w:r w:rsidR="009567AA">
        <w:t xml:space="preserve"> the</w:t>
      </w:r>
      <w:r w:rsidR="00224FC0">
        <w:t xml:space="preserve"> </w:t>
      </w:r>
      <w:r w:rsidR="00DE7AF0">
        <w:t>court of appeal for</w:t>
      </w:r>
      <w:r w:rsidR="009B57B3">
        <w:t xml:space="preserve"> new brunswick</w:t>
      </w:r>
    </w:p>
    <w:p w14:paraId="106AF63B" w14:textId="77777777" w:rsidR="004C03E6" w:rsidRPr="007D351D" w:rsidRDefault="004C03E6" w:rsidP="00146270">
      <w:pPr>
        <w:pStyle w:val="SCCNormalDoubleSpacing"/>
        <w:spacing w:after="480"/>
      </w:pPr>
      <w:r w:rsidRPr="007D351D">
        <w:lastRenderedPageBreak/>
        <w:tab/>
      </w:r>
      <w:r w:rsidRPr="007D351D">
        <w:rPr>
          <w:i/>
          <w:iCs/>
          <w:color w:val="000000"/>
        </w:rPr>
        <w:t xml:space="preserve">Criminal law </w:t>
      </w:r>
      <w:r w:rsidRPr="007D351D">
        <w:rPr>
          <w:i/>
        </w:rPr>
        <w:t>—</w:t>
      </w:r>
      <w:r w:rsidRPr="007D351D">
        <w:rPr>
          <w:i/>
          <w:iCs/>
          <w:color w:val="000000"/>
        </w:rPr>
        <w:t xml:space="preserve"> Sentencing </w:t>
      </w:r>
      <w:r w:rsidRPr="007D351D">
        <w:rPr>
          <w:i/>
        </w:rPr>
        <w:t>—</w:t>
      </w:r>
      <w:r w:rsidRPr="007D351D">
        <w:rPr>
          <w:i/>
          <w:iCs/>
          <w:color w:val="000000"/>
        </w:rPr>
        <w:t xml:space="preserve"> Mandatory minimums </w:t>
      </w:r>
      <w:r w:rsidRPr="007D351D">
        <w:rPr>
          <w:i/>
        </w:rPr>
        <w:t>—</w:t>
      </w:r>
      <w:r w:rsidRPr="007D351D">
        <w:rPr>
          <w:i/>
          <w:iCs/>
          <w:color w:val="000000"/>
        </w:rPr>
        <w:t xml:space="preserve"> Credit for pre</w:t>
      </w:r>
      <w:r w:rsidRPr="007D351D">
        <w:rPr>
          <w:i/>
          <w:iCs/>
          <w:color w:val="000000"/>
        </w:rPr>
        <w:noBreakHyphen/>
        <w:t>sentence driving prohibition</w:t>
      </w:r>
      <w:r w:rsidRPr="007D351D">
        <w:rPr>
          <w:i/>
        </w:rPr>
        <w:t xml:space="preserve"> —</w:t>
      </w:r>
      <w:r w:rsidRPr="007D351D">
        <w:rPr>
          <w:i/>
          <w:iCs/>
          <w:color w:val="000000"/>
        </w:rPr>
        <w:t xml:space="preserve"> Offender charged with impaired driving released on undertaking not to operate motor vehicle while awaiting trial</w:t>
      </w:r>
      <w:r w:rsidRPr="007D351D">
        <w:rPr>
          <w:rFonts w:eastAsiaTheme="minorHAnsi"/>
          <w:i/>
        </w:rPr>
        <w:t xml:space="preserve"> </w:t>
      </w:r>
      <w:r w:rsidRPr="007D351D">
        <w:rPr>
          <w:i/>
        </w:rPr>
        <w:t xml:space="preserve">— Offence </w:t>
      </w:r>
      <w:r>
        <w:rPr>
          <w:i/>
        </w:rPr>
        <w:t xml:space="preserve">carrying mandatory </w:t>
      </w:r>
      <w:r w:rsidRPr="007D351D">
        <w:rPr>
          <w:i/>
        </w:rPr>
        <w:t>prohibition against</w:t>
      </w:r>
      <w:r w:rsidRPr="007D351D">
        <w:rPr>
          <w:rFonts w:eastAsiaTheme="minorHAnsi"/>
          <w:i/>
        </w:rPr>
        <w:t xml:space="preserve"> operating motor vehicle during period of not less than one year</w:t>
      </w:r>
      <w:r w:rsidRPr="007D351D">
        <w:rPr>
          <w:i/>
          <w:iCs/>
          <w:color w:val="000000"/>
        </w:rPr>
        <w:t xml:space="preserve"> </w:t>
      </w:r>
      <w:r w:rsidRPr="007D351D">
        <w:rPr>
          <w:i/>
        </w:rPr>
        <w:t>—</w:t>
      </w:r>
      <w:r w:rsidRPr="007D351D">
        <w:rPr>
          <w:i/>
          <w:iCs/>
          <w:color w:val="000000"/>
        </w:rPr>
        <w:t xml:space="preserve"> Whether sentencing judge could grant credit for driving prohibition period already served by offender while awaiting trial</w:t>
      </w:r>
      <w:r w:rsidRPr="007D351D">
        <w:rPr>
          <w:rFonts w:eastAsiaTheme="minorHAnsi"/>
          <w:i/>
        </w:rPr>
        <w:t xml:space="preserve"> </w:t>
      </w:r>
      <w:r w:rsidRPr="007D351D">
        <w:rPr>
          <w:i/>
        </w:rPr>
        <w:t>— Criminal Code, R.S.C. 1985, c. C</w:t>
      </w:r>
      <w:r w:rsidRPr="007D351D">
        <w:rPr>
          <w:i/>
        </w:rPr>
        <w:noBreakHyphen/>
        <w:t>46, ss. 259(1)(a), 719(1).</w:t>
      </w:r>
    </w:p>
    <w:p w14:paraId="7274F785" w14:textId="5B655407" w:rsidR="004C03E6" w:rsidRPr="007D351D" w:rsidRDefault="00146270" w:rsidP="00146270">
      <w:pPr>
        <w:pStyle w:val="SCCNormalDoubleSpacing"/>
        <w:spacing w:after="480"/>
      </w:pPr>
      <w:r>
        <w:rPr>
          <w:rFonts w:eastAsiaTheme="minorHAnsi"/>
        </w:rPr>
        <w:tab/>
      </w:r>
      <w:r w:rsidR="004C03E6" w:rsidRPr="007D351D">
        <w:rPr>
          <w:rFonts w:eastAsiaTheme="minorHAnsi"/>
        </w:rPr>
        <w:t>After being charged with a summary conviction impaired driving offence, the offender was released on an undertaking not to operate a motor vehicle while awaiting trial. She remained subject to that prohibi</w:t>
      </w:r>
      <w:r>
        <w:rPr>
          <w:rFonts w:eastAsiaTheme="minorHAnsi"/>
        </w:rPr>
        <w:t>tion until she was sentenced 21 </w:t>
      </w:r>
      <w:r w:rsidR="004C03E6" w:rsidRPr="007D351D">
        <w:rPr>
          <w:rFonts w:eastAsiaTheme="minorHAnsi"/>
        </w:rPr>
        <w:t xml:space="preserve">months later. At the time of the offence, s. 259(1)(a) of the </w:t>
      </w:r>
      <w:r w:rsidR="004C03E6" w:rsidRPr="007D351D">
        <w:rPr>
          <w:rFonts w:eastAsiaTheme="minorHAnsi"/>
          <w:i/>
        </w:rPr>
        <w:t>Criminal Code</w:t>
      </w:r>
      <w:r w:rsidR="004C03E6" w:rsidRPr="007D351D">
        <w:rPr>
          <w:rFonts w:eastAsiaTheme="minorHAnsi"/>
        </w:rPr>
        <w:t xml:space="preserve"> (“</w:t>
      </w:r>
      <w:r w:rsidR="004C03E6" w:rsidRPr="007D351D">
        <w:rPr>
          <w:rFonts w:eastAsiaTheme="minorHAnsi"/>
          <w:i/>
        </w:rPr>
        <w:t>Cr. C.</w:t>
      </w:r>
      <w:r w:rsidR="004C03E6" w:rsidRPr="007D351D">
        <w:rPr>
          <w:rFonts w:eastAsiaTheme="minorHAnsi"/>
        </w:rPr>
        <w:t xml:space="preserve">”) required the court to </w:t>
      </w:r>
      <w:r w:rsidR="004C03E6">
        <w:rPr>
          <w:rFonts w:eastAsiaTheme="minorHAnsi"/>
        </w:rPr>
        <w:t>make</w:t>
      </w:r>
      <w:r w:rsidR="004C03E6" w:rsidRPr="007D351D">
        <w:rPr>
          <w:rFonts w:eastAsiaTheme="minorHAnsi"/>
        </w:rPr>
        <w:t xml:space="preserve"> an order</w:t>
      </w:r>
      <w:r w:rsidR="004C03E6" w:rsidRPr="007D351D">
        <w:t xml:space="preserve"> </w:t>
      </w:r>
      <w:r w:rsidR="004C03E6" w:rsidRPr="007D351D">
        <w:rPr>
          <w:rFonts w:eastAsiaTheme="minorHAnsi"/>
        </w:rPr>
        <w:t xml:space="preserve">prohibiting an offender charged with a first impaired driving offence from operating a motor vehicle during a period of not less than one year. The sentencing judge </w:t>
      </w:r>
      <w:r w:rsidR="004C03E6">
        <w:rPr>
          <w:rFonts w:eastAsiaTheme="minorHAnsi"/>
        </w:rPr>
        <w:t>imposed a one</w:t>
      </w:r>
      <w:r w:rsidR="004C03E6">
        <w:rPr>
          <w:rFonts w:eastAsiaTheme="minorHAnsi"/>
        </w:rPr>
        <w:noBreakHyphen/>
        <w:t xml:space="preserve">year </w:t>
      </w:r>
      <w:r w:rsidR="004C03E6" w:rsidRPr="007D351D">
        <w:rPr>
          <w:rFonts w:eastAsiaTheme="minorHAnsi"/>
        </w:rPr>
        <w:t xml:space="preserve">driving prohibition </w:t>
      </w:r>
      <w:r w:rsidR="004C03E6">
        <w:rPr>
          <w:rFonts w:eastAsiaTheme="minorHAnsi"/>
        </w:rPr>
        <w:t xml:space="preserve">on the offender </w:t>
      </w:r>
      <w:r w:rsidR="004C03E6" w:rsidRPr="007D351D">
        <w:rPr>
          <w:rFonts w:eastAsiaTheme="minorHAnsi"/>
        </w:rPr>
        <w:t xml:space="preserve">and </w:t>
      </w:r>
      <w:r w:rsidR="004C03E6" w:rsidRPr="007D351D">
        <w:t>chose to backdate the order to the first day of the pre</w:t>
      </w:r>
      <w:r w:rsidR="004C03E6" w:rsidRPr="007D351D">
        <w:noBreakHyphen/>
        <w:t xml:space="preserve">sentence prohibition, which meant that the </w:t>
      </w:r>
      <w:r w:rsidR="004C03E6">
        <w:t>period prescribed by law</w:t>
      </w:r>
      <w:r w:rsidR="004C03E6" w:rsidRPr="007D351D">
        <w:t xml:space="preserve"> had been completed in full by the date of his decision.</w:t>
      </w:r>
    </w:p>
    <w:p w14:paraId="0C488B1A" w14:textId="5D996EE1" w:rsidR="004C03E6" w:rsidRPr="007D351D" w:rsidRDefault="00146270" w:rsidP="00146270">
      <w:pPr>
        <w:pStyle w:val="SCCNormalDoubleSpacing"/>
        <w:spacing w:after="480"/>
      </w:pPr>
      <w:r>
        <w:tab/>
      </w:r>
      <w:r w:rsidR="004C03E6" w:rsidRPr="007D351D">
        <w:t>The summary conviction appeal judge dismissed the Crown’s appeal</w:t>
      </w:r>
      <w:r w:rsidR="004C03E6">
        <w:t>. While noting that the sentencing judge had erred in backdating the prohibition, he found</w:t>
      </w:r>
      <w:r w:rsidR="004C03E6" w:rsidRPr="007D351D">
        <w:t xml:space="preserve"> that the sentencing judge could </w:t>
      </w:r>
      <w:r w:rsidR="004C03E6">
        <w:t xml:space="preserve">nevertheless </w:t>
      </w:r>
      <w:r w:rsidR="004C03E6" w:rsidRPr="007D351D">
        <w:t>give credit for a pre</w:t>
      </w:r>
      <w:r w:rsidR="004C03E6" w:rsidRPr="007D351D">
        <w:noBreakHyphen/>
        <w:t xml:space="preserve">sentence driving prohibition </w:t>
      </w:r>
      <w:proofErr w:type="gramStart"/>
      <w:r w:rsidR="004C03E6" w:rsidRPr="007D351D">
        <w:t>as long as</w:t>
      </w:r>
      <w:proofErr w:type="gramEnd"/>
      <w:r w:rsidR="004C03E6" w:rsidRPr="007D351D">
        <w:t xml:space="preserve"> such a prohibition was a condition of release and also </w:t>
      </w:r>
      <w:r w:rsidR="004C03E6" w:rsidRPr="007D351D">
        <w:lastRenderedPageBreak/>
        <w:t xml:space="preserve">part of the sentence later imposed. However, </w:t>
      </w:r>
      <w:proofErr w:type="gramStart"/>
      <w:r w:rsidR="004C03E6" w:rsidRPr="007D351D">
        <w:t>a majority of</w:t>
      </w:r>
      <w:proofErr w:type="gramEnd"/>
      <w:r w:rsidR="004C03E6" w:rsidRPr="007D351D">
        <w:t xml:space="preserve"> the Court of Appeal allowed the Crown’s subsequent appeal, </w:t>
      </w:r>
      <w:r w:rsidR="004C03E6">
        <w:t>holding</w:t>
      </w:r>
      <w:r w:rsidR="004C03E6" w:rsidRPr="007D351D">
        <w:t xml:space="preserve"> that there is no authority for giving credit so as to depart from </w:t>
      </w:r>
      <w:r w:rsidR="004C03E6">
        <w:t>a</w:t>
      </w:r>
      <w:r w:rsidR="004C03E6" w:rsidRPr="007D351D">
        <w:t xml:space="preserve"> mandatory minimum provided for by statute.</w:t>
      </w:r>
    </w:p>
    <w:p w14:paraId="560D1992" w14:textId="3858D447" w:rsidR="004C03E6" w:rsidRPr="007D351D" w:rsidRDefault="00146270" w:rsidP="00146270">
      <w:pPr>
        <w:pStyle w:val="SCCNormalDoubleSpacing"/>
        <w:spacing w:after="480"/>
      </w:pPr>
      <w:r>
        <w:rPr>
          <w:i/>
        </w:rPr>
        <w:tab/>
      </w:r>
      <w:r w:rsidR="004C03E6" w:rsidRPr="007D351D">
        <w:rPr>
          <w:i/>
        </w:rPr>
        <w:t>Held</w:t>
      </w:r>
      <w:r w:rsidR="004C03E6" w:rsidRPr="007D351D">
        <w:t>: The appeal should be allowed.</w:t>
      </w:r>
    </w:p>
    <w:p w14:paraId="4F9AC78F" w14:textId="25BC4AF7" w:rsidR="004C03E6" w:rsidRPr="007D351D" w:rsidRDefault="00146270" w:rsidP="00146270">
      <w:pPr>
        <w:pStyle w:val="SCCNormalDoubleSpacing"/>
        <w:spacing w:after="480"/>
      </w:pPr>
      <w:r>
        <w:tab/>
      </w:r>
      <w:r w:rsidR="004C03E6" w:rsidRPr="007D351D">
        <w:t xml:space="preserve">It was open to the sentencing judge to </w:t>
      </w:r>
      <w:proofErr w:type="gramStart"/>
      <w:r w:rsidR="004C03E6" w:rsidRPr="007D351D">
        <w:t>take into account</w:t>
      </w:r>
      <w:proofErr w:type="gramEnd"/>
      <w:r w:rsidR="004C03E6" w:rsidRPr="007D351D">
        <w:t xml:space="preserve"> the period of 21 months already served by the offender, as this would not undermine Parliament’s intent</w:t>
      </w:r>
      <w:r w:rsidR="004C03E6">
        <w:t xml:space="preserve"> in enacting the mandatory minimum</w:t>
      </w:r>
      <w:r w:rsidR="004C03E6" w:rsidRPr="007D351D">
        <w:t xml:space="preserve">. No conflict arises from the concurrent application of s. 259(1)(a) </w:t>
      </w:r>
      <w:r w:rsidR="004C03E6" w:rsidRPr="007D351D">
        <w:rPr>
          <w:i/>
        </w:rPr>
        <w:t>Cr. C.</w:t>
      </w:r>
      <w:r w:rsidR="004C03E6" w:rsidRPr="007D351D">
        <w:t xml:space="preserve"> and the common law rule that allows credit to be granted. At the time of sentencing, the court is required to impose the one</w:t>
      </w:r>
      <w:r w:rsidR="004C03E6" w:rsidRPr="007D351D">
        <w:noBreakHyphen/>
        <w:t xml:space="preserve">year mandatory minimum, but there is nothing in the statute that prevents it from then granting credit. Similarly, granting credit is not contrary to the rule set out in s. 719(1) </w:t>
      </w:r>
      <w:r w:rsidR="004C03E6" w:rsidRPr="007D351D">
        <w:rPr>
          <w:i/>
        </w:rPr>
        <w:t>Cr. C.</w:t>
      </w:r>
      <w:r w:rsidR="004C03E6" w:rsidRPr="007D351D">
        <w:t xml:space="preserve"> requiring that a sentence commence when it is imposed. Only the sentence </w:t>
      </w:r>
      <w:proofErr w:type="gramStart"/>
      <w:r w:rsidR="004C03E6" w:rsidRPr="007D351D">
        <w:t>has to</w:t>
      </w:r>
      <w:proofErr w:type="gramEnd"/>
      <w:r w:rsidR="004C03E6" w:rsidRPr="007D351D">
        <w:t xml:space="preserve"> commence when it is imposed, not the one</w:t>
      </w:r>
      <w:r w:rsidR="004C03E6" w:rsidRPr="007D351D">
        <w:noBreakHyphen/>
        <w:t xml:space="preserve">year </w:t>
      </w:r>
      <w:r w:rsidR="004C03E6">
        <w:t xml:space="preserve">mandatory </w:t>
      </w:r>
      <w:r w:rsidR="004C03E6" w:rsidRPr="00E02371">
        <w:t>minimum</w:t>
      </w:r>
      <w:r w:rsidR="004C03E6" w:rsidRPr="007D351D">
        <w:t xml:space="preserve"> served under s. 259(1)(a). These statutory provisions therefore do not displace the common law discretion of sentencing judges</w:t>
      </w:r>
      <w:r w:rsidR="004C03E6">
        <w:t xml:space="preserve">, </w:t>
      </w:r>
      <w:r w:rsidR="004C03E6" w:rsidRPr="007D351D">
        <w:t xml:space="preserve">recognized in </w:t>
      </w:r>
      <w:r w:rsidR="004C03E6" w:rsidRPr="007D351D">
        <w:rPr>
          <w:i/>
        </w:rPr>
        <w:t>R. v. Lacasse</w:t>
      </w:r>
      <w:r w:rsidR="004C03E6" w:rsidRPr="007D351D">
        <w:t>, 2015 SCC 64, [2015] 3 S.C.R. 1089</w:t>
      </w:r>
      <w:r w:rsidR="004C03E6">
        <w:t>,</w:t>
      </w:r>
      <w:r w:rsidR="004C03E6" w:rsidRPr="007D351D">
        <w:t xml:space="preserve"> to grant credit for</w:t>
      </w:r>
      <w:r w:rsidR="004C03E6">
        <w:t xml:space="preserve"> a</w:t>
      </w:r>
      <w:r w:rsidR="004C03E6" w:rsidRPr="007D351D">
        <w:t xml:space="preserve"> pre</w:t>
      </w:r>
      <w:r w:rsidR="004C03E6" w:rsidRPr="007D351D">
        <w:noBreakHyphen/>
        <w:t>sentence driving prohibition.</w:t>
      </w:r>
    </w:p>
    <w:p w14:paraId="7FE6AAC3" w14:textId="617B7AB1" w:rsidR="004C03E6" w:rsidRPr="007D351D" w:rsidRDefault="00146270" w:rsidP="00146270">
      <w:pPr>
        <w:pStyle w:val="SCCNormalDoubleSpacing"/>
        <w:spacing w:after="480"/>
      </w:pPr>
      <w:r>
        <w:tab/>
      </w:r>
      <w:r w:rsidR="004C03E6" w:rsidRPr="007D351D">
        <w:t xml:space="preserve">Canadian criminal law is made up of both statute law and common law principles. This coexistence of statute and common law is a feature of the law of sentencing. While the </w:t>
      </w:r>
      <w:r w:rsidR="004C03E6" w:rsidRPr="007D351D">
        <w:rPr>
          <w:i/>
        </w:rPr>
        <w:t xml:space="preserve">Criminal Code </w:t>
      </w:r>
      <w:r w:rsidR="004C03E6" w:rsidRPr="007D351D">
        <w:t xml:space="preserve">codifies the fundamental principles of sentencing, courts can also take account of other principles and factors arising from the common law. Although legislation may prevail over the common law, the latter remains </w:t>
      </w:r>
      <w:r w:rsidR="004C03E6" w:rsidRPr="007D351D">
        <w:lastRenderedPageBreak/>
        <w:t>applicable insofar as it has not been displaced expressly or by necessary implication, a principle justified by the importance of stability in the law. The two</w:t>
      </w:r>
      <w:r w:rsidR="004C03E6" w:rsidRPr="007D351D">
        <w:noBreakHyphen/>
        <w:t xml:space="preserve">step framework used to analyze the interaction between legislation and the common law is well settled. The first step is analyzing, </w:t>
      </w:r>
      <w:proofErr w:type="gramStart"/>
      <w:r w:rsidR="004C03E6" w:rsidRPr="007D351D">
        <w:t>identifying</w:t>
      </w:r>
      <w:proofErr w:type="gramEnd"/>
      <w:r w:rsidR="004C03E6" w:rsidRPr="007D351D">
        <w:t xml:space="preserve"> and setting out the applicable common law; and then,</w:t>
      </w:r>
      <w:r w:rsidR="004C03E6" w:rsidRPr="007D351D">
        <w:rPr>
          <w:szCs w:val="24"/>
        </w:rPr>
        <w:t xml:space="preserve"> at the second step, the statute law’s effect on the common law must be specified.</w:t>
      </w:r>
    </w:p>
    <w:p w14:paraId="4F31F7AB" w14:textId="03A274E8" w:rsidR="004C03E6" w:rsidRPr="007D351D" w:rsidRDefault="00146270" w:rsidP="00146270">
      <w:pPr>
        <w:pStyle w:val="SCCNormalDoubleSpacing"/>
        <w:spacing w:after="480"/>
      </w:pPr>
      <w:r>
        <w:tab/>
      </w:r>
      <w:proofErr w:type="gramStart"/>
      <w:r w:rsidR="004C03E6" w:rsidRPr="007D351D">
        <w:t>With regard to</w:t>
      </w:r>
      <w:proofErr w:type="gramEnd"/>
      <w:r w:rsidR="004C03E6" w:rsidRPr="007D351D">
        <w:t xml:space="preserve"> the first step of the analysis, the common law allows courts to grant credit for a pre</w:t>
      </w:r>
      <w:r w:rsidR="004C03E6" w:rsidRPr="007D351D">
        <w:noBreakHyphen/>
        <w:t>sentence driving prohibition imposed on an offender</w:t>
      </w:r>
      <w:r w:rsidR="004C03E6" w:rsidRPr="007D351D">
        <w:rPr>
          <w:lang w:bidi="en-US"/>
        </w:rPr>
        <w:t>. This common law discretion is a natural extension of an analogous principle that applies in the context of pre</w:t>
      </w:r>
      <w:r w:rsidR="004C03E6" w:rsidRPr="007D351D">
        <w:rPr>
          <w:lang w:bidi="en-US"/>
        </w:rPr>
        <w:noBreakHyphen/>
        <w:t>sentence custody</w:t>
      </w:r>
      <w:r w:rsidR="004C03E6">
        <w:rPr>
          <w:lang w:bidi="en-US"/>
        </w:rPr>
        <w:t>.</w:t>
      </w:r>
      <w:r w:rsidR="004C03E6" w:rsidRPr="007D351D">
        <w:rPr>
          <w:lang w:bidi="en-US"/>
        </w:rPr>
        <w:t xml:space="preserve"> </w:t>
      </w:r>
      <w:r w:rsidR="004C03E6">
        <w:rPr>
          <w:lang w:bidi="en-US"/>
        </w:rPr>
        <w:t>C</w:t>
      </w:r>
      <w:r w:rsidR="004C03E6" w:rsidRPr="007D351D">
        <w:rPr>
          <w:lang w:bidi="en-US"/>
        </w:rPr>
        <w:t>ourts hav</w:t>
      </w:r>
      <w:r w:rsidR="004C03E6">
        <w:rPr>
          <w:lang w:bidi="en-US"/>
        </w:rPr>
        <w:t>e</w:t>
      </w:r>
      <w:r w:rsidR="004C03E6" w:rsidRPr="007D351D">
        <w:rPr>
          <w:lang w:bidi="en-US"/>
        </w:rPr>
        <w:t xml:space="preserve"> long recognized that they can take into consideration, in imposing </w:t>
      </w:r>
      <w:r w:rsidR="00511B47">
        <w:rPr>
          <w:lang w:bidi="en-US"/>
        </w:rPr>
        <w:t xml:space="preserve">a </w:t>
      </w:r>
      <w:r w:rsidR="004C03E6" w:rsidRPr="007D351D">
        <w:rPr>
          <w:lang w:bidi="en-US"/>
        </w:rPr>
        <w:t xml:space="preserve">sentence, any period of incarceration </w:t>
      </w:r>
      <w:r w:rsidR="004C03E6">
        <w:rPr>
          <w:lang w:bidi="en-US"/>
        </w:rPr>
        <w:t>that</w:t>
      </w:r>
      <w:r w:rsidR="004C03E6" w:rsidRPr="007D351D">
        <w:rPr>
          <w:lang w:bidi="en-US"/>
        </w:rPr>
        <w:t xml:space="preserve"> the offender has already undergone between the date of arrest and the date of sentenc</w:t>
      </w:r>
      <w:r w:rsidR="004C03E6">
        <w:rPr>
          <w:lang w:bidi="en-US"/>
        </w:rPr>
        <w:t>ing</w:t>
      </w:r>
      <w:r w:rsidR="004C03E6" w:rsidRPr="007D351D">
        <w:t>. G</w:t>
      </w:r>
      <w:r w:rsidR="004C03E6" w:rsidRPr="007D351D">
        <w:rPr>
          <w:szCs w:val="24"/>
        </w:rPr>
        <w:t xml:space="preserve">iving credit for </w:t>
      </w:r>
      <w:r w:rsidR="004C03E6" w:rsidRPr="00BB43E6">
        <w:rPr>
          <w:szCs w:val="24"/>
        </w:rPr>
        <w:t xml:space="preserve">the </w:t>
      </w:r>
      <w:r w:rsidR="004C03E6" w:rsidRPr="00B2113B">
        <w:rPr>
          <w:szCs w:val="24"/>
        </w:rPr>
        <w:t xml:space="preserve">time </w:t>
      </w:r>
      <w:r w:rsidR="004C03E6" w:rsidRPr="00BB43E6">
        <w:rPr>
          <w:szCs w:val="24"/>
        </w:rPr>
        <w:t>an offender is subject to</w:t>
      </w:r>
      <w:r w:rsidR="004C03E6" w:rsidRPr="00BB43E6">
        <w:t xml:space="preserve"> pre</w:t>
      </w:r>
      <w:r w:rsidR="004C03E6" w:rsidRPr="00BB43E6">
        <w:noBreakHyphen/>
        <w:t>sent</w:t>
      </w:r>
      <w:r w:rsidR="004C03E6">
        <w:t xml:space="preserve">ence </w:t>
      </w:r>
      <w:r w:rsidR="00511B47">
        <w:t>custody</w:t>
      </w:r>
      <w:r w:rsidR="004C03E6">
        <w:t xml:space="preserve"> </w:t>
      </w:r>
      <w:r w:rsidR="004C03E6" w:rsidRPr="007D351D">
        <w:t>is part of the central principles of s</w:t>
      </w:r>
      <w:r w:rsidR="004C03E6" w:rsidRPr="00BB43E6">
        <w:t>entencing,</w:t>
      </w:r>
      <w:r w:rsidR="004C03E6" w:rsidRPr="00B2113B">
        <w:t xml:space="preserve"> although it is not statutorily expressed</w:t>
      </w:r>
      <w:r w:rsidR="004C03E6" w:rsidRPr="00BB43E6">
        <w:t>. Th</w:t>
      </w:r>
      <w:r w:rsidR="004C03E6" w:rsidRPr="007D351D">
        <w:t>e principle that credit can be granted for pre</w:t>
      </w:r>
      <w:r w:rsidR="004C03E6" w:rsidRPr="007D351D">
        <w:noBreakHyphen/>
        <w:t xml:space="preserve">sentence custody serves to mitigate certain injustices arising from the application of the principle that a sentence may not be backdated, now codified in s. 719(1). While Canadian law does not permit courts to backdate a sentence </w:t>
      </w:r>
      <w:proofErr w:type="gramStart"/>
      <w:r w:rsidR="004C03E6" w:rsidRPr="007D351D">
        <w:t>in order to</w:t>
      </w:r>
      <w:proofErr w:type="gramEnd"/>
      <w:r w:rsidR="004C03E6" w:rsidRPr="007D351D">
        <w:t xml:space="preserve"> reduce it, they may nevertheless consider the time spent in pre</w:t>
      </w:r>
      <w:r w:rsidR="004C03E6" w:rsidRPr="007D351D">
        <w:noBreakHyphen/>
        <w:t xml:space="preserve">sentence custody in determining the </w:t>
      </w:r>
      <w:r w:rsidR="004C03E6">
        <w:t>period</w:t>
      </w:r>
      <w:r w:rsidR="004C03E6" w:rsidRPr="007D351D">
        <w:t xml:space="preserve"> that must be served prospectively by an offender. The application of this common law rule allowing credit to be granted is therefore not equivalent to backdating a sentence.</w:t>
      </w:r>
    </w:p>
    <w:p w14:paraId="4AF74CA3" w14:textId="033041C4" w:rsidR="004C03E6" w:rsidRPr="007D351D" w:rsidRDefault="00146270" w:rsidP="00146270">
      <w:pPr>
        <w:pStyle w:val="SCCNormalDoubleSpacing"/>
        <w:spacing w:after="480"/>
        <w:rPr>
          <w:lang w:bidi="en-US"/>
        </w:rPr>
      </w:pPr>
      <w:r>
        <w:lastRenderedPageBreak/>
        <w:tab/>
      </w:r>
      <w:r w:rsidR="004C03E6" w:rsidRPr="007D351D">
        <w:t>Furthermore,</w:t>
      </w:r>
      <w:r w:rsidR="004C03E6" w:rsidRPr="007D351D">
        <w:rPr>
          <w:lang w:bidi="en-US"/>
        </w:rPr>
        <w:t xml:space="preserve"> the absence</w:t>
      </w:r>
      <w:r w:rsidR="004C03E6" w:rsidRPr="007D351D">
        <w:t xml:space="preserve"> </w:t>
      </w:r>
      <w:r w:rsidR="004C03E6" w:rsidRPr="007D351D">
        <w:rPr>
          <w:lang w:bidi="en-US"/>
        </w:rPr>
        <w:t xml:space="preserve">of a statutory provision </w:t>
      </w:r>
      <w:r w:rsidR="004C03E6" w:rsidRPr="007D351D">
        <w:t>for pre</w:t>
      </w:r>
      <w:r w:rsidR="004C03E6" w:rsidRPr="007D351D">
        <w:noBreakHyphen/>
        <w:t>sentence driving prohibitions</w:t>
      </w:r>
      <w:r w:rsidR="004C03E6" w:rsidRPr="007D351D">
        <w:rPr>
          <w:lang w:bidi="en-US"/>
        </w:rPr>
        <w:t xml:space="preserve"> </w:t>
      </w:r>
      <w:r w:rsidR="004C03E6">
        <w:rPr>
          <w:lang w:bidi="en-US"/>
        </w:rPr>
        <w:t xml:space="preserve">that is </w:t>
      </w:r>
      <w:r w:rsidR="004C03E6" w:rsidRPr="007D351D">
        <w:rPr>
          <w:lang w:bidi="en-US"/>
        </w:rPr>
        <w:t>equivalent to s. 719(3)</w:t>
      </w:r>
      <w:r w:rsidR="004C03E6">
        <w:rPr>
          <w:lang w:bidi="en-US"/>
        </w:rPr>
        <w:t xml:space="preserve"> </w:t>
      </w:r>
      <w:r w:rsidR="004C03E6">
        <w:rPr>
          <w:i/>
          <w:lang w:bidi="en-US"/>
        </w:rPr>
        <w:t>Cr. C.</w:t>
      </w:r>
      <w:r w:rsidR="004C03E6" w:rsidRPr="007D351D">
        <w:t>, which codifies the granting of credit in the case of pre</w:t>
      </w:r>
      <w:r w:rsidR="004C03E6" w:rsidRPr="007D351D">
        <w:noBreakHyphen/>
        <w:t xml:space="preserve">sentence custody, </w:t>
      </w:r>
      <w:r w:rsidR="004C03E6" w:rsidRPr="007D351D">
        <w:rPr>
          <w:lang w:bidi="en-US"/>
        </w:rPr>
        <w:t>does not have the effect of displacing or limiting the common law rule allowing credit to be granted.</w:t>
      </w:r>
      <w:r w:rsidR="004C03E6" w:rsidRPr="007D351D">
        <w:t xml:space="preserve"> A</w:t>
      </w:r>
      <w:r w:rsidR="004C03E6" w:rsidRPr="007D351D">
        <w:rPr>
          <w:lang w:bidi="en-US"/>
        </w:rPr>
        <w:t>bsent clear legislative intention to the contrary, a statute should not be interpreted as substantially changing the law, including the common law</w:t>
      </w:r>
      <w:r>
        <w:rPr>
          <w:lang w:bidi="en-US"/>
        </w:rPr>
        <w:t xml:space="preserve">. </w:t>
      </w:r>
      <w:r w:rsidR="004C03E6" w:rsidRPr="007D351D">
        <w:rPr>
          <w:lang w:bidi="en-US"/>
        </w:rPr>
        <w:t>Section 719(3) was enacted in the specific context of pre</w:t>
      </w:r>
      <w:r w:rsidR="004C03E6" w:rsidRPr="007D351D">
        <w:rPr>
          <w:lang w:bidi="en-US"/>
        </w:rPr>
        <w:noBreakHyphen/>
        <w:t>sentence custody</w:t>
      </w:r>
      <w:r w:rsidR="004C03E6">
        <w:rPr>
          <w:lang w:bidi="en-US"/>
        </w:rPr>
        <w:t>, and t</w:t>
      </w:r>
      <w:r w:rsidR="004C03E6" w:rsidRPr="007D351D">
        <w:rPr>
          <w:lang w:bidi="en-US"/>
        </w:rPr>
        <w:t>he legislative debates suggest that Parliament’s intention was to ensure that credit could still be granted when a mandatory minimum term of imprisonment was imposed. There is no indication that Parliament considered whether credit could be given for a pre</w:t>
      </w:r>
      <w:r w:rsidR="004C03E6" w:rsidRPr="007D351D">
        <w:rPr>
          <w:lang w:bidi="en-US"/>
        </w:rPr>
        <w:noBreakHyphen/>
        <w:t>sentence driving prohibition. There is also nothing in the legislative debates to support the position that Parliament sought to displace, whether expressly or by necessary implication, the common law rule applicable to such prohibitions. This is not a situation in which Parliament made clear its intention to displace or limit the applicable common law.</w:t>
      </w:r>
    </w:p>
    <w:p w14:paraId="0C43EA2D" w14:textId="6CF93F93" w:rsidR="004C03E6" w:rsidRPr="007D351D" w:rsidRDefault="00C32F80" w:rsidP="00C32F80">
      <w:pPr>
        <w:pStyle w:val="SCCNormalDoubleSpacing"/>
        <w:spacing w:after="480"/>
      </w:pPr>
      <w:r>
        <w:tab/>
      </w:r>
      <w:proofErr w:type="gramStart"/>
      <w:r w:rsidR="004C03E6" w:rsidRPr="007D351D">
        <w:t>With regard to</w:t>
      </w:r>
      <w:proofErr w:type="gramEnd"/>
      <w:r w:rsidR="004C03E6" w:rsidRPr="007D351D">
        <w:t xml:space="preserve"> the </w:t>
      </w:r>
      <w:r w:rsidR="004C03E6" w:rsidRPr="007D351D">
        <w:rPr>
          <w:lang w:bidi="en-US"/>
        </w:rPr>
        <w:t>second step in the analysis</w:t>
      </w:r>
      <w:r w:rsidR="004C03E6" w:rsidRPr="007D351D">
        <w:t>, s</w:t>
      </w:r>
      <w:bookmarkStart w:id="0" w:name="_Toc123830848"/>
      <w:bookmarkStart w:id="1" w:name="_Toc124075280"/>
      <w:bookmarkStart w:id="2" w:name="_Toc124075336"/>
      <w:r w:rsidR="004C03E6" w:rsidRPr="007D351D">
        <w:t>. 259(1)(a)</w:t>
      </w:r>
      <w:r w:rsidR="004C03E6">
        <w:t xml:space="preserve"> </w:t>
      </w:r>
      <w:r w:rsidR="004C03E6" w:rsidRPr="007D351D">
        <w:t>does not limit the scope of the common law rule that allows credit to be granted for a pre</w:t>
      </w:r>
      <w:r w:rsidR="004C03E6" w:rsidRPr="007D351D">
        <w:noBreakHyphen/>
        <w:t>sentence driving prohibition</w:t>
      </w:r>
      <w:bookmarkEnd w:id="0"/>
      <w:bookmarkEnd w:id="1"/>
      <w:bookmarkEnd w:id="2"/>
      <w:r w:rsidR="004C03E6" w:rsidRPr="007D351D">
        <w:t>. The discretionary authority to grant credit under the common law can coexist harmoniously with judicial adherence to a mandatory minimum established by statute. This coexistence rests on the well</w:t>
      </w:r>
      <w:r w:rsidR="004C03E6" w:rsidRPr="007D351D">
        <w:noBreakHyphen/>
        <w:t>known distinction between the concepts of “punishment”</w:t>
      </w:r>
      <w:r w:rsidR="004C03E6">
        <w:t>, understood as a deprivation,</w:t>
      </w:r>
      <w:r w:rsidR="004C03E6" w:rsidRPr="007D351D">
        <w:t xml:space="preserve"> and of “sentence”, </w:t>
      </w:r>
      <w:r w:rsidR="004C03E6">
        <w:t>understood as</w:t>
      </w:r>
      <w:r w:rsidR="004C03E6" w:rsidRPr="007D351D">
        <w:t xml:space="preserve"> a judicial decision (in French, the distinction between “</w:t>
      </w:r>
      <w:r w:rsidR="004C03E6" w:rsidRPr="007D351D">
        <w:rPr>
          <w:i/>
        </w:rPr>
        <w:t>punition</w:t>
      </w:r>
      <w:r w:rsidR="004C03E6" w:rsidRPr="007D351D">
        <w:t>” and “</w:t>
      </w:r>
      <w:r w:rsidR="004C03E6" w:rsidRPr="007D351D">
        <w:rPr>
          <w:i/>
        </w:rPr>
        <w:t>sentence</w:t>
      </w:r>
      <w:r w:rsidR="004C03E6" w:rsidRPr="007D351D">
        <w:t>”, where the term “</w:t>
      </w:r>
      <w:r w:rsidR="004C03E6" w:rsidRPr="007D351D">
        <w:rPr>
          <w:i/>
        </w:rPr>
        <w:t>peine</w:t>
      </w:r>
      <w:r w:rsidR="004C03E6" w:rsidRPr="007D351D">
        <w:t xml:space="preserve">” can also be used to convey both meanings). While the </w:t>
      </w:r>
      <w:r w:rsidR="00411089">
        <w:t xml:space="preserve">French </w:t>
      </w:r>
      <w:r w:rsidR="004C03E6" w:rsidRPr="007D351D">
        <w:t xml:space="preserve">term </w:t>
      </w:r>
      <w:r w:rsidR="004C03E6" w:rsidRPr="007D351D">
        <w:lastRenderedPageBreak/>
        <w:t>“</w:t>
      </w:r>
      <w:r w:rsidR="004C03E6" w:rsidRPr="007D351D">
        <w:rPr>
          <w:i/>
        </w:rPr>
        <w:t>peine</w:t>
      </w:r>
      <w:r w:rsidR="004C03E6" w:rsidRPr="007D351D">
        <w:t xml:space="preserve">” used in the sense of “punishment” refers to the total punishment imposed on an offender, the same word when used to mean “sentence” refers to the decision rendered by the court, which is always prospective </w:t>
      </w:r>
      <w:proofErr w:type="gramStart"/>
      <w:r w:rsidR="004C03E6" w:rsidRPr="007D351D">
        <w:t>in order to</w:t>
      </w:r>
      <w:proofErr w:type="gramEnd"/>
      <w:r w:rsidR="004C03E6" w:rsidRPr="007D351D">
        <w:t xml:space="preserve"> prevent the judicial practice of backdating sentences.</w:t>
      </w:r>
    </w:p>
    <w:p w14:paraId="247B7579" w14:textId="6C4D63A9" w:rsidR="004C03E6" w:rsidRPr="007D351D" w:rsidRDefault="00C32F80" w:rsidP="00C32F80">
      <w:pPr>
        <w:pStyle w:val="SCCNormalDoubleSpacing"/>
        <w:spacing w:after="480"/>
      </w:pPr>
      <w:r>
        <w:tab/>
      </w:r>
      <w:r w:rsidR="004C03E6" w:rsidRPr="00B2113B">
        <w:t>In accordance</w:t>
      </w:r>
      <w:r w:rsidR="004C03E6">
        <w:t xml:space="preserve"> </w:t>
      </w:r>
      <w:r w:rsidR="004C03E6" w:rsidRPr="00B2113B">
        <w:t>with th</w:t>
      </w:r>
      <w:r w:rsidR="004C03E6" w:rsidRPr="007D351D">
        <w:t xml:space="preserve">e modern approach to statutory interpretation, the reach of s. 259(1)(a) </w:t>
      </w:r>
      <w:r w:rsidR="004C03E6" w:rsidRPr="007D351D">
        <w:rPr>
          <w:i/>
        </w:rPr>
        <w:t>Cr. C.</w:t>
      </w:r>
      <w:r w:rsidR="004C03E6" w:rsidRPr="007D351D">
        <w:t xml:space="preserve"> must be determined by considering its text, </w:t>
      </w:r>
      <w:proofErr w:type="gramStart"/>
      <w:r w:rsidR="004C03E6" w:rsidRPr="007D351D">
        <w:t>context</w:t>
      </w:r>
      <w:proofErr w:type="gramEnd"/>
      <w:r w:rsidR="004C03E6" w:rsidRPr="007D351D">
        <w:t xml:space="preserve"> and purpose. Properly interpreted, </w:t>
      </w:r>
      <w:r w:rsidR="004C03E6" w:rsidRPr="007D351D">
        <w:rPr>
          <w:lang w:bidi="en-US"/>
        </w:rPr>
        <w:t>s. 259(1)(a) provides for a minimum punishment, not a minimum sentence</w:t>
      </w:r>
      <w:r w:rsidR="004C03E6" w:rsidRPr="007D351D">
        <w:t xml:space="preserve">. </w:t>
      </w:r>
      <w:r w:rsidR="00511B47">
        <w:t>Interpreting</w:t>
      </w:r>
      <w:r w:rsidR="004C03E6" w:rsidRPr="00B2113B">
        <w:rPr>
          <w:lang w:eastAsia="fr-CA"/>
        </w:rPr>
        <w:t xml:space="preserve"> s. 259(1)(a) </w:t>
      </w:r>
      <w:r w:rsidR="004C03E6" w:rsidRPr="00B2113B">
        <w:rPr>
          <w:i/>
          <w:lang w:eastAsia="fr-CA"/>
        </w:rPr>
        <w:t>Cr. C.</w:t>
      </w:r>
      <w:r w:rsidR="004C03E6" w:rsidRPr="00B2113B">
        <w:rPr>
          <w:lang w:eastAsia="fr-CA"/>
        </w:rPr>
        <w:t xml:space="preserve"> as providing for the impo</w:t>
      </w:r>
      <w:r w:rsidR="004C03E6" w:rsidRPr="007D351D">
        <w:rPr>
          <w:lang w:eastAsia="fr-CA"/>
        </w:rPr>
        <w:t>sition of a one</w:t>
      </w:r>
      <w:r w:rsidR="004C03E6" w:rsidRPr="007D351D">
        <w:rPr>
          <w:lang w:eastAsia="fr-CA"/>
        </w:rPr>
        <w:noBreakHyphen/>
        <w:t>year global punishment is perfectly in keeping with the objectives of deterrence and punishment that underlie the provision</w:t>
      </w:r>
      <w:r w:rsidR="004C03E6" w:rsidRPr="007D351D">
        <w:t>. Parliament’s intention is respected whether the punishment is served before or after the offender is sentenced, because the effect on the offender is the same in either case.</w:t>
      </w:r>
      <w:r w:rsidR="004C03E6" w:rsidRPr="007D351D">
        <w:rPr>
          <w:lang w:bidi="en-US"/>
        </w:rPr>
        <w:t xml:space="preserve"> </w:t>
      </w:r>
      <w:r w:rsidR="004C03E6">
        <w:rPr>
          <w:lang w:bidi="en-US"/>
        </w:rPr>
        <w:t xml:space="preserve">Though </w:t>
      </w:r>
      <w:r w:rsidR="004C03E6" w:rsidRPr="007D351D">
        <w:rPr>
          <w:lang w:bidi="en-US"/>
        </w:rPr>
        <w:t xml:space="preserve">silent with respect to credit, </w:t>
      </w:r>
      <w:r w:rsidR="004C03E6">
        <w:rPr>
          <w:lang w:bidi="en-US"/>
        </w:rPr>
        <w:t>the provision</w:t>
      </w:r>
      <w:r w:rsidR="004C03E6" w:rsidRPr="007D351D">
        <w:rPr>
          <w:lang w:bidi="en-US"/>
        </w:rPr>
        <w:t xml:space="preserve"> is not ambiguous: it</w:t>
      </w:r>
      <w:r w:rsidR="004C03E6" w:rsidRPr="007D351D">
        <w:t xml:space="preserve"> can be read in only one way, that is, as providing for the imposition of a mandatory minimum punishment. If s. 259(1)(a) </w:t>
      </w:r>
      <w:r w:rsidR="004C03E6" w:rsidRPr="007D351D">
        <w:rPr>
          <w:i/>
        </w:rPr>
        <w:t>Cr. C.</w:t>
      </w:r>
      <w:r w:rsidR="004C03E6" w:rsidRPr="007D351D">
        <w:t xml:space="preserve"> required that a minimum sentence be handed down, the appropriate difference between the punishments imposed on the most dangerous offenders and those imposed on the least dangerous offenders could be unduly eroded, and the precise gradation of minimum prohibition periods established by Parliament in s. 259(1) would be undermined. A</w:t>
      </w:r>
      <w:r w:rsidR="004C03E6" w:rsidRPr="007D351D">
        <w:rPr>
          <w:lang w:eastAsia="fr-CA"/>
        </w:rPr>
        <w:t>bsent a clear intention to this effect, it must be presumed that Parliament did not intend to produce such absurd results</w:t>
      </w:r>
      <w:r w:rsidR="004C03E6" w:rsidRPr="007D351D">
        <w:t xml:space="preserve">. In addition to leaving room for the exercise of the court’s discretion to grant credit, this interpretation of s. 259(1)(a) </w:t>
      </w:r>
      <w:r w:rsidR="004C03E6" w:rsidRPr="007D351D">
        <w:rPr>
          <w:i/>
        </w:rPr>
        <w:t>Cr. C.</w:t>
      </w:r>
      <w:r w:rsidR="004C03E6" w:rsidRPr="007D351D">
        <w:t xml:space="preserve"> is </w:t>
      </w:r>
      <w:r w:rsidR="004C03E6" w:rsidRPr="007D351D">
        <w:lastRenderedPageBreak/>
        <w:t>consistent with general principles of sentencing and does not offend the integrity of the criminal justice system.</w:t>
      </w:r>
    </w:p>
    <w:p w14:paraId="2F56747B" w14:textId="7B69E7B4" w:rsidR="004C03E6" w:rsidRPr="007D351D" w:rsidRDefault="00C32F80" w:rsidP="00C32F80">
      <w:pPr>
        <w:pStyle w:val="SCCNormalDoubleSpacing"/>
        <w:spacing w:after="480"/>
      </w:pPr>
      <w:r>
        <w:tab/>
      </w:r>
      <w:r w:rsidR="004C03E6" w:rsidRPr="007D351D">
        <w:t>In this case, the imposition of an additional one</w:t>
      </w:r>
      <w:r w:rsidR="004C03E6" w:rsidRPr="007D351D">
        <w:noBreakHyphen/>
        <w:t xml:space="preserve">year punishment would amount to a kind of double punishment, contrary to the most fundamental requirements of justice and fairness. By the time the sentencing </w:t>
      </w:r>
      <w:r w:rsidR="004C03E6">
        <w:t>decision</w:t>
      </w:r>
      <w:r w:rsidR="004C03E6" w:rsidRPr="007D351D">
        <w:t xml:space="preserve"> was rendered, it had been 21 months since the offender had essentially begun serving her sentence. Conscious of this fact, the sentencing judge ordered a one</w:t>
      </w:r>
      <w:r w:rsidR="004C03E6" w:rsidRPr="007D351D">
        <w:noBreakHyphen/>
        <w:t>year driving prohibition but found that the offender had already satisfied this condition. However, he backdated the offender’s sentence to achieve this result, which was an error. He could quite properly have imposed the one</w:t>
      </w:r>
      <w:r w:rsidR="004C03E6" w:rsidRPr="007D351D">
        <w:noBreakHyphen/>
        <w:t xml:space="preserve">year mandatory minimum punishment required by s. 259(1)(a) </w:t>
      </w:r>
      <w:r w:rsidR="004C03E6" w:rsidRPr="007D351D">
        <w:rPr>
          <w:i/>
        </w:rPr>
        <w:t>Cr. C.</w:t>
      </w:r>
      <w:r w:rsidR="004C03E6" w:rsidRPr="007D351D">
        <w:t xml:space="preserve">, stated that a sentence commences when it is imposed under s. 719(1) </w:t>
      </w:r>
      <w:r w:rsidR="004C03E6" w:rsidRPr="007D351D">
        <w:rPr>
          <w:i/>
        </w:rPr>
        <w:t>Cr. C.</w:t>
      </w:r>
      <w:r w:rsidR="004C03E6" w:rsidRPr="007D351D">
        <w:t>, and then granted credit for the pre</w:t>
      </w:r>
      <w:r w:rsidR="004C03E6" w:rsidRPr="007D351D">
        <w:noBreakHyphen/>
        <w:t xml:space="preserve">sentence driving prohibition period by exercising his common law discretion, which has not been displaced by the </w:t>
      </w:r>
      <w:r w:rsidR="004C03E6" w:rsidRPr="007D351D">
        <w:rPr>
          <w:i/>
        </w:rPr>
        <w:t>Criminal Code</w:t>
      </w:r>
      <w:r w:rsidR="004C03E6" w:rsidRPr="007D351D">
        <w:t>.</w:t>
      </w:r>
    </w:p>
    <w:p w14:paraId="35452BA5" w14:textId="77777777" w:rsidR="007E1C47" w:rsidRDefault="002E6705" w:rsidP="00C46863">
      <w:pPr>
        <w:pStyle w:val="SCCNormalDoubleSpacing"/>
        <w:widowControl w:val="0"/>
        <w:spacing w:after="720" w:line="240" w:lineRule="auto"/>
        <w:rPr>
          <w:b/>
        </w:rPr>
      </w:pPr>
      <w:r w:rsidRPr="00314E01">
        <w:rPr>
          <w:b/>
        </w:rPr>
        <w:t>Cases Cited</w:t>
      </w:r>
    </w:p>
    <w:p w14:paraId="055D6C93" w14:textId="096C8363" w:rsidR="004E2C26" w:rsidRPr="00504450" w:rsidRDefault="002E6705" w:rsidP="00C46863">
      <w:pPr>
        <w:pStyle w:val="SCCNormalDoubleSpacing"/>
        <w:widowControl w:val="0"/>
        <w:spacing w:after="480"/>
      </w:pPr>
      <w:r>
        <w:tab/>
      </w:r>
      <w:r w:rsidR="00D23AE6" w:rsidRPr="00D23AE6">
        <w:rPr>
          <w:b/>
        </w:rPr>
        <w:t xml:space="preserve">Applied: </w:t>
      </w:r>
      <w:r w:rsidR="00D23AE6">
        <w:rPr>
          <w:i/>
          <w:lang w:val="en-US"/>
        </w:rPr>
        <w:t>R. v</w:t>
      </w:r>
      <w:r w:rsidR="00D23AE6" w:rsidRPr="00332698">
        <w:rPr>
          <w:i/>
          <w:lang w:val="en-US"/>
        </w:rPr>
        <w:t>. Lacasse</w:t>
      </w:r>
      <w:r w:rsidR="00D23AE6" w:rsidRPr="00332698">
        <w:rPr>
          <w:lang w:val="en-US"/>
        </w:rPr>
        <w:t xml:space="preserve">, 2015 </w:t>
      </w:r>
      <w:r w:rsidR="00D23AE6">
        <w:rPr>
          <w:lang w:val="en-US"/>
        </w:rPr>
        <w:t>SCC</w:t>
      </w:r>
      <w:r w:rsidR="00D23AE6" w:rsidRPr="00332698">
        <w:rPr>
          <w:lang w:val="en-US"/>
        </w:rPr>
        <w:t xml:space="preserve"> 64, [2015] 3 </w:t>
      </w:r>
      <w:r w:rsidR="00D23AE6">
        <w:rPr>
          <w:lang w:val="en-US"/>
        </w:rPr>
        <w:t>S.C.</w:t>
      </w:r>
      <w:r w:rsidR="00D23AE6" w:rsidRPr="00332698">
        <w:rPr>
          <w:lang w:val="en-US"/>
        </w:rPr>
        <w:t>R. 1089</w:t>
      </w:r>
      <w:r w:rsidR="00D23AE6">
        <w:rPr>
          <w:lang w:val="en-US"/>
        </w:rPr>
        <w:t xml:space="preserve">; </w:t>
      </w:r>
      <w:r w:rsidR="00D23AE6" w:rsidRPr="00D23AE6">
        <w:rPr>
          <w:b/>
        </w:rPr>
        <w:t xml:space="preserve">considered: </w:t>
      </w:r>
      <w:r w:rsidR="00D23AE6">
        <w:rPr>
          <w:i/>
        </w:rPr>
        <w:t>R. v</w:t>
      </w:r>
      <w:r w:rsidR="00D23AE6" w:rsidRPr="00892FA4">
        <w:rPr>
          <w:i/>
        </w:rPr>
        <w:t>. Wust</w:t>
      </w:r>
      <w:r w:rsidR="00D23AE6" w:rsidRPr="00892FA4">
        <w:t xml:space="preserve">, 2000 </w:t>
      </w:r>
      <w:r w:rsidR="00D23AE6">
        <w:t>SC</w:t>
      </w:r>
      <w:r w:rsidR="00D23AE6" w:rsidRPr="00892FA4">
        <w:t xml:space="preserve">C 18, [2000] 1 </w:t>
      </w:r>
      <w:r w:rsidR="00D23AE6">
        <w:t>S.C.</w:t>
      </w:r>
      <w:r w:rsidR="00D23AE6" w:rsidRPr="00892FA4">
        <w:t>R. 455</w:t>
      </w:r>
      <w:r w:rsidR="00D23AE6">
        <w:t xml:space="preserve">; </w:t>
      </w:r>
      <w:r w:rsidR="00D23AE6">
        <w:rPr>
          <w:b/>
        </w:rPr>
        <w:t>r</w:t>
      </w:r>
      <w:r w:rsidRPr="00977338">
        <w:rPr>
          <w:b/>
        </w:rPr>
        <w:t>eferred to:</w:t>
      </w:r>
      <w:r w:rsidR="00BD0E9E" w:rsidRPr="00BD0E9E">
        <w:t xml:space="preserve"> </w:t>
      </w:r>
      <w:r w:rsidR="00E66365" w:rsidRPr="00E66365">
        <w:rPr>
          <w:i/>
          <w:lang w:val="en-US"/>
        </w:rPr>
        <w:t xml:space="preserve">R. </w:t>
      </w:r>
      <w:r w:rsidR="00E66365">
        <w:rPr>
          <w:i/>
          <w:lang w:val="en-US"/>
        </w:rPr>
        <w:t>v</w:t>
      </w:r>
      <w:r w:rsidR="00E66365" w:rsidRPr="00E66365">
        <w:rPr>
          <w:i/>
          <w:lang w:val="en-US"/>
        </w:rPr>
        <w:t>. McDonald</w:t>
      </w:r>
      <w:r w:rsidR="00E66365" w:rsidRPr="00E66365">
        <w:rPr>
          <w:lang w:val="en-US"/>
        </w:rPr>
        <w:t xml:space="preserve"> (1998), 40 O.R. (3d) 641;</w:t>
      </w:r>
      <w:r w:rsidR="0041666F">
        <w:rPr>
          <w:lang w:val="en-US"/>
        </w:rPr>
        <w:t xml:space="preserve"> </w:t>
      </w:r>
      <w:r w:rsidR="00D51233">
        <w:rPr>
          <w:i/>
        </w:rPr>
        <w:t>R. v</w:t>
      </w:r>
      <w:r w:rsidR="00D51233" w:rsidRPr="00E042DD">
        <w:rPr>
          <w:i/>
        </w:rPr>
        <w:t>. Sharma</w:t>
      </w:r>
      <w:r w:rsidR="00D51233" w:rsidRPr="00E042DD">
        <w:t xml:space="preserve">, [1992] 1 </w:t>
      </w:r>
      <w:r w:rsidR="00D51233">
        <w:t>S.C.</w:t>
      </w:r>
      <w:r w:rsidR="00D51233" w:rsidRPr="00E042DD">
        <w:t>R. 814</w:t>
      </w:r>
      <w:r w:rsidR="00D51233">
        <w:t xml:space="preserve">; </w:t>
      </w:r>
      <w:r w:rsidR="00F13FD5" w:rsidRPr="00F13FD5">
        <w:rPr>
          <w:i/>
        </w:rPr>
        <w:t xml:space="preserve">Lizotte </w:t>
      </w:r>
      <w:r w:rsidR="00F13FD5">
        <w:rPr>
          <w:i/>
        </w:rPr>
        <w:t>v</w:t>
      </w:r>
      <w:r w:rsidR="00F13FD5" w:rsidRPr="00F13FD5">
        <w:rPr>
          <w:i/>
        </w:rPr>
        <w:t>. Aviva Insurance Company of Canada</w:t>
      </w:r>
      <w:r w:rsidR="00F13FD5" w:rsidRPr="00F13FD5">
        <w:t xml:space="preserve">, 2016 </w:t>
      </w:r>
      <w:r w:rsidR="00F13FD5">
        <w:t>SCC</w:t>
      </w:r>
      <w:r w:rsidR="00F13FD5" w:rsidRPr="00F13FD5">
        <w:t xml:space="preserve"> 52, [2016] 2 </w:t>
      </w:r>
      <w:r w:rsidR="00F13FD5">
        <w:t>S.C.</w:t>
      </w:r>
      <w:r w:rsidR="00F13FD5" w:rsidRPr="00F13FD5">
        <w:t>R. 521</w:t>
      </w:r>
      <w:r w:rsidR="00F823FD">
        <w:t xml:space="preserve">; </w:t>
      </w:r>
      <w:r w:rsidR="00D30EC8">
        <w:rPr>
          <w:i/>
        </w:rPr>
        <w:t>R. v</w:t>
      </w:r>
      <w:r w:rsidR="00D30EC8" w:rsidRPr="008D0DFC">
        <w:rPr>
          <w:i/>
        </w:rPr>
        <w:t>. Bland</w:t>
      </w:r>
      <w:r w:rsidR="00D30EC8" w:rsidRPr="00D110C7">
        <w:t>, 2016 YKSC 61</w:t>
      </w:r>
      <w:r w:rsidR="00D30EC8">
        <w:t xml:space="preserve">, 3 M.V.R. (7th) 112; </w:t>
      </w:r>
      <w:r w:rsidR="00D30EC8" w:rsidRPr="006636D9">
        <w:rPr>
          <w:i/>
          <w:lang w:val="en-US"/>
        </w:rPr>
        <w:t xml:space="preserve">R. </w:t>
      </w:r>
      <w:r w:rsidR="00D30EC8">
        <w:rPr>
          <w:i/>
          <w:lang w:val="en-US"/>
        </w:rPr>
        <w:t>v</w:t>
      </w:r>
      <w:r w:rsidR="00D30EC8" w:rsidRPr="006636D9">
        <w:rPr>
          <w:i/>
          <w:lang w:val="en-US"/>
        </w:rPr>
        <w:t>. Edwards</w:t>
      </w:r>
      <w:r w:rsidR="00D30EC8" w:rsidRPr="006636D9">
        <w:rPr>
          <w:lang w:val="en-US"/>
        </w:rPr>
        <w:t xml:space="preserve"> (2016), 382 Nfld. &amp; P.E.I.R. 225; </w:t>
      </w:r>
      <w:r w:rsidR="009144F2" w:rsidRPr="00B24AF5">
        <w:rPr>
          <w:i/>
        </w:rPr>
        <w:t xml:space="preserve">R. </w:t>
      </w:r>
      <w:r w:rsidR="009144F2">
        <w:rPr>
          <w:i/>
        </w:rPr>
        <w:t>v</w:t>
      </w:r>
      <w:r w:rsidR="009144F2" w:rsidRPr="00B24AF5">
        <w:rPr>
          <w:i/>
        </w:rPr>
        <w:t>. Hilbach</w:t>
      </w:r>
      <w:r w:rsidR="009144F2" w:rsidRPr="00B24AF5">
        <w:t xml:space="preserve">, 2023 </w:t>
      </w:r>
      <w:r w:rsidR="009144F2">
        <w:t>SCC</w:t>
      </w:r>
      <w:r w:rsidR="009144F2" w:rsidRPr="00B24AF5">
        <w:t xml:space="preserve"> 3</w:t>
      </w:r>
      <w:r w:rsidR="009144F2">
        <w:t xml:space="preserve">; </w:t>
      </w:r>
      <w:r w:rsidR="006C4988">
        <w:rPr>
          <w:i/>
        </w:rPr>
        <w:t>R. v</w:t>
      </w:r>
      <w:r w:rsidR="006C4988" w:rsidRPr="0001127A">
        <w:rPr>
          <w:i/>
        </w:rPr>
        <w:t>. McIntosh</w:t>
      </w:r>
      <w:r w:rsidR="006C4988" w:rsidRPr="0001127A">
        <w:t xml:space="preserve">, [1995] 1 </w:t>
      </w:r>
      <w:r w:rsidR="006C4988">
        <w:t>S.C.</w:t>
      </w:r>
      <w:r w:rsidR="006C4988" w:rsidRPr="0001127A">
        <w:t>R. 686</w:t>
      </w:r>
      <w:r w:rsidR="006C4988">
        <w:t>;</w:t>
      </w:r>
      <w:r w:rsidR="00AB36C9" w:rsidRPr="00AB36C9">
        <w:rPr>
          <w:i/>
        </w:rPr>
        <w:t xml:space="preserve"> </w:t>
      </w:r>
      <w:r w:rsidR="00AB36C9" w:rsidRPr="00E042DD">
        <w:rPr>
          <w:i/>
        </w:rPr>
        <w:t xml:space="preserve">R. </w:t>
      </w:r>
      <w:r w:rsidR="00AB36C9">
        <w:rPr>
          <w:i/>
        </w:rPr>
        <w:t>v</w:t>
      </w:r>
      <w:r w:rsidR="00AB36C9" w:rsidRPr="00E042DD">
        <w:rPr>
          <w:i/>
        </w:rPr>
        <w:t>. D.L.W.</w:t>
      </w:r>
      <w:r w:rsidR="00AB36C9" w:rsidRPr="0001127A">
        <w:rPr>
          <w:lang w:bidi="en-US"/>
        </w:rPr>
        <w:t xml:space="preserve">, 2016 </w:t>
      </w:r>
      <w:r w:rsidR="00AB36C9">
        <w:rPr>
          <w:lang w:bidi="en-US"/>
        </w:rPr>
        <w:t>SC</w:t>
      </w:r>
      <w:r w:rsidR="00AB36C9" w:rsidRPr="0001127A">
        <w:rPr>
          <w:lang w:bidi="en-US"/>
        </w:rPr>
        <w:t>C 22</w:t>
      </w:r>
      <w:r w:rsidR="00AB36C9" w:rsidRPr="00E042DD">
        <w:t xml:space="preserve">, [2016] 1 </w:t>
      </w:r>
      <w:r w:rsidR="00AB36C9">
        <w:t>S.C.</w:t>
      </w:r>
      <w:r w:rsidR="00AB36C9" w:rsidRPr="00E042DD">
        <w:t>R. 402</w:t>
      </w:r>
      <w:r w:rsidR="00AB36C9">
        <w:t xml:space="preserve">; </w:t>
      </w:r>
      <w:r w:rsidR="00942C24" w:rsidRPr="00653262">
        <w:rPr>
          <w:i/>
        </w:rPr>
        <w:t xml:space="preserve">R. </w:t>
      </w:r>
      <w:r w:rsidR="00942C24">
        <w:rPr>
          <w:i/>
        </w:rPr>
        <w:t>v</w:t>
      </w:r>
      <w:r w:rsidR="00942C24" w:rsidRPr="00653262">
        <w:rPr>
          <w:i/>
        </w:rPr>
        <w:t>. Tim</w:t>
      </w:r>
      <w:r w:rsidR="00942C24">
        <w:t xml:space="preserve">, 2022 </w:t>
      </w:r>
      <w:r w:rsidR="00942C24" w:rsidRPr="00653262">
        <w:t>S</w:t>
      </w:r>
      <w:r w:rsidR="00942C24">
        <w:t>C</w:t>
      </w:r>
      <w:r w:rsidR="00942C24" w:rsidRPr="00653262">
        <w:t>C 12</w:t>
      </w:r>
      <w:r w:rsidR="00942C24">
        <w:t xml:space="preserve">; </w:t>
      </w:r>
      <w:r w:rsidR="00F12442" w:rsidRPr="00653262">
        <w:rPr>
          <w:i/>
        </w:rPr>
        <w:t xml:space="preserve">R. </w:t>
      </w:r>
      <w:r w:rsidR="00F12442">
        <w:rPr>
          <w:i/>
        </w:rPr>
        <w:t>v</w:t>
      </w:r>
      <w:r w:rsidR="00F12442" w:rsidRPr="00653262">
        <w:rPr>
          <w:i/>
        </w:rPr>
        <w:t>. Jobidon</w:t>
      </w:r>
      <w:r w:rsidR="00F12442" w:rsidRPr="00653262">
        <w:t xml:space="preserve">, [1991] 2 </w:t>
      </w:r>
      <w:r w:rsidR="00F12442">
        <w:t>S.C.</w:t>
      </w:r>
      <w:r w:rsidR="00F12442" w:rsidRPr="00653262">
        <w:t>R. 714</w:t>
      </w:r>
      <w:r w:rsidR="00F12442">
        <w:t xml:space="preserve">; </w:t>
      </w:r>
      <w:r w:rsidR="00C86DBF" w:rsidRPr="00653262">
        <w:rPr>
          <w:i/>
          <w:iCs/>
        </w:rPr>
        <w:t xml:space="preserve">R. </w:t>
      </w:r>
      <w:r w:rsidR="00C86DBF">
        <w:rPr>
          <w:i/>
          <w:iCs/>
        </w:rPr>
        <w:t>v</w:t>
      </w:r>
      <w:r w:rsidR="00C86DBF" w:rsidRPr="00653262">
        <w:rPr>
          <w:i/>
          <w:iCs/>
        </w:rPr>
        <w:t>. Gladue</w:t>
      </w:r>
      <w:r w:rsidR="00C86DBF" w:rsidRPr="00653262">
        <w:t xml:space="preserve">, </w:t>
      </w:r>
      <w:r w:rsidR="00C86DBF" w:rsidRPr="00653262">
        <w:lastRenderedPageBreak/>
        <w:t xml:space="preserve">[1999] 1 </w:t>
      </w:r>
      <w:r w:rsidR="00C86DBF">
        <w:t>S.C.</w:t>
      </w:r>
      <w:r w:rsidR="00C86DBF" w:rsidRPr="00653262">
        <w:t>R. 688</w:t>
      </w:r>
      <w:r w:rsidR="00C86DBF" w:rsidRPr="00F13FD5">
        <w:t>;</w:t>
      </w:r>
      <w:r w:rsidR="00C86DBF" w:rsidRPr="00AE1A69">
        <w:rPr>
          <w:i/>
        </w:rPr>
        <w:t xml:space="preserve"> </w:t>
      </w:r>
      <w:r w:rsidR="008077B8" w:rsidRPr="00BF375F">
        <w:rPr>
          <w:i/>
        </w:rPr>
        <w:t xml:space="preserve">R. </w:t>
      </w:r>
      <w:r w:rsidR="008077B8">
        <w:rPr>
          <w:i/>
        </w:rPr>
        <w:t>v</w:t>
      </w:r>
      <w:r w:rsidR="008077B8" w:rsidRPr="00BF375F">
        <w:rPr>
          <w:i/>
        </w:rPr>
        <w:t>. Skolnick</w:t>
      </w:r>
      <w:r w:rsidR="008077B8" w:rsidRPr="00BF375F">
        <w:t xml:space="preserve">, [1982] 2 </w:t>
      </w:r>
      <w:r w:rsidR="00E042E0">
        <w:t>S.C.</w:t>
      </w:r>
      <w:r w:rsidR="00E042E0" w:rsidRPr="00653262">
        <w:t>R.</w:t>
      </w:r>
      <w:r w:rsidR="00927D3D">
        <w:t xml:space="preserve"> </w:t>
      </w:r>
      <w:r w:rsidR="008077B8" w:rsidRPr="00BF375F">
        <w:t xml:space="preserve">47; </w:t>
      </w:r>
      <w:r w:rsidR="0080649E">
        <w:rPr>
          <w:i/>
          <w:szCs w:val="24"/>
        </w:rPr>
        <w:t>R. v</w:t>
      </w:r>
      <w:r w:rsidR="0080649E" w:rsidRPr="00653262">
        <w:rPr>
          <w:i/>
          <w:szCs w:val="24"/>
        </w:rPr>
        <w:t>. Pham</w:t>
      </w:r>
      <w:r w:rsidR="0080649E" w:rsidRPr="00653262">
        <w:rPr>
          <w:szCs w:val="24"/>
        </w:rPr>
        <w:t>, 2013 ONCJ 635</w:t>
      </w:r>
      <w:r w:rsidR="0080649E">
        <w:rPr>
          <w:szCs w:val="24"/>
        </w:rPr>
        <w:t>, 296 C.R.R. (2d) 178;</w:t>
      </w:r>
      <w:r w:rsidR="00C46863">
        <w:rPr>
          <w:i/>
          <w:szCs w:val="24"/>
          <w:lang w:val="en-US"/>
        </w:rPr>
        <w:t xml:space="preserve"> 2747</w:t>
      </w:r>
      <w:r w:rsidR="00C46863">
        <w:rPr>
          <w:i/>
          <w:szCs w:val="24"/>
          <w:lang w:val="en-US"/>
        </w:rPr>
        <w:noBreakHyphen/>
      </w:r>
      <w:r w:rsidR="00267AED" w:rsidRPr="00267AED">
        <w:rPr>
          <w:i/>
          <w:szCs w:val="24"/>
          <w:lang w:val="en-US"/>
        </w:rPr>
        <w:t xml:space="preserve">3174 Québec Inc. </w:t>
      </w:r>
      <w:r w:rsidR="00267AED">
        <w:rPr>
          <w:i/>
          <w:szCs w:val="24"/>
          <w:lang w:val="en-US"/>
        </w:rPr>
        <w:t>v. Que</w:t>
      </w:r>
      <w:r w:rsidR="00267AED" w:rsidRPr="00267AED">
        <w:rPr>
          <w:i/>
          <w:szCs w:val="24"/>
          <w:lang w:val="en-US"/>
        </w:rPr>
        <w:t>bec (Régie des permis d’alcool)</w:t>
      </w:r>
      <w:r w:rsidR="00267AED" w:rsidRPr="00267AED">
        <w:rPr>
          <w:szCs w:val="24"/>
          <w:lang w:val="en-US"/>
        </w:rPr>
        <w:t xml:space="preserve">, [1996] 3 </w:t>
      </w:r>
      <w:r w:rsidR="00267AED">
        <w:rPr>
          <w:szCs w:val="24"/>
          <w:lang w:val="en-US"/>
        </w:rPr>
        <w:t>S.C.</w:t>
      </w:r>
      <w:r w:rsidR="00267AED" w:rsidRPr="00267AED">
        <w:rPr>
          <w:szCs w:val="24"/>
          <w:lang w:val="en-US"/>
        </w:rPr>
        <w:t>R. 919;</w:t>
      </w:r>
      <w:r w:rsidR="0057796A" w:rsidRPr="0057796A">
        <w:rPr>
          <w:i/>
          <w:iCs/>
          <w:szCs w:val="24"/>
        </w:rPr>
        <w:t xml:space="preserve"> </w:t>
      </w:r>
      <w:r w:rsidR="0057796A" w:rsidRPr="00653262">
        <w:rPr>
          <w:i/>
          <w:iCs/>
          <w:szCs w:val="24"/>
        </w:rPr>
        <w:t>Zaida</w:t>
      </w:r>
      <w:r w:rsidR="0057796A">
        <w:rPr>
          <w:i/>
          <w:iCs/>
          <w:szCs w:val="24"/>
        </w:rPr>
        <w:t>n Group Ltd. v</w:t>
      </w:r>
      <w:r w:rsidR="0057796A" w:rsidRPr="00653262">
        <w:rPr>
          <w:i/>
          <w:iCs/>
          <w:szCs w:val="24"/>
        </w:rPr>
        <w:t>. London (</w:t>
      </w:r>
      <w:r w:rsidR="0057796A">
        <w:rPr>
          <w:i/>
          <w:iCs/>
          <w:szCs w:val="24"/>
        </w:rPr>
        <w:t>City</w:t>
      </w:r>
      <w:r w:rsidR="0057796A" w:rsidRPr="00653262">
        <w:rPr>
          <w:i/>
          <w:iCs/>
          <w:szCs w:val="24"/>
        </w:rPr>
        <w:t>)</w:t>
      </w:r>
      <w:r w:rsidR="0057796A" w:rsidRPr="00653262">
        <w:rPr>
          <w:szCs w:val="24"/>
        </w:rPr>
        <w:t xml:space="preserve">, [1991] 3 </w:t>
      </w:r>
      <w:r w:rsidR="0057796A">
        <w:rPr>
          <w:szCs w:val="24"/>
        </w:rPr>
        <w:t>S.C.</w:t>
      </w:r>
      <w:r w:rsidR="0057796A" w:rsidRPr="00653262">
        <w:rPr>
          <w:szCs w:val="24"/>
        </w:rPr>
        <w:t>R. 593</w:t>
      </w:r>
      <w:r w:rsidR="0057796A">
        <w:rPr>
          <w:szCs w:val="24"/>
        </w:rPr>
        <w:t xml:space="preserve">; </w:t>
      </w:r>
      <w:r w:rsidR="002E1AE1">
        <w:rPr>
          <w:i/>
          <w:iCs/>
          <w:szCs w:val="24"/>
        </w:rPr>
        <w:t>Frame v</w:t>
      </w:r>
      <w:r w:rsidR="002E1AE1" w:rsidRPr="00653262">
        <w:rPr>
          <w:i/>
          <w:iCs/>
          <w:szCs w:val="24"/>
        </w:rPr>
        <w:t>. Smith</w:t>
      </w:r>
      <w:r w:rsidR="002E1AE1" w:rsidRPr="00653262">
        <w:rPr>
          <w:szCs w:val="24"/>
        </w:rPr>
        <w:t xml:space="preserve">, [1987] 2 </w:t>
      </w:r>
      <w:r w:rsidR="002E1AE1">
        <w:rPr>
          <w:szCs w:val="24"/>
        </w:rPr>
        <w:t>S.C.</w:t>
      </w:r>
      <w:r w:rsidR="002E1AE1" w:rsidRPr="00653262">
        <w:rPr>
          <w:szCs w:val="24"/>
        </w:rPr>
        <w:t>R. 99</w:t>
      </w:r>
      <w:r w:rsidR="002E1AE1">
        <w:rPr>
          <w:szCs w:val="24"/>
        </w:rPr>
        <w:t xml:space="preserve">; </w:t>
      </w:r>
      <w:r w:rsidR="00891B2A" w:rsidRPr="00891B2A">
        <w:rPr>
          <w:i/>
          <w:lang w:val="en-US"/>
        </w:rPr>
        <w:t xml:space="preserve">Urban Mechanical Contracting Ltd. </w:t>
      </w:r>
      <w:r w:rsidR="00891B2A">
        <w:rPr>
          <w:i/>
          <w:lang w:val="en-US"/>
        </w:rPr>
        <w:t>v</w:t>
      </w:r>
      <w:r w:rsidR="00891B2A" w:rsidRPr="00891B2A">
        <w:rPr>
          <w:i/>
          <w:lang w:val="en-US"/>
        </w:rPr>
        <w:t>. Zurich</w:t>
      </w:r>
      <w:r w:rsidR="00891B2A" w:rsidRPr="00891B2A">
        <w:rPr>
          <w:lang w:val="en-US"/>
        </w:rPr>
        <w:t xml:space="preserve"> </w:t>
      </w:r>
      <w:r w:rsidR="00891B2A" w:rsidRPr="00891B2A">
        <w:rPr>
          <w:i/>
          <w:lang w:val="en-US"/>
        </w:rPr>
        <w:t>Insurance Co.</w:t>
      </w:r>
      <w:r w:rsidR="00891B2A" w:rsidRPr="00891B2A">
        <w:rPr>
          <w:lang w:val="en-US"/>
        </w:rPr>
        <w:t xml:space="preserve">, 2022 ONCA 589, </w:t>
      </w:r>
      <w:r w:rsidR="00891B2A" w:rsidRPr="00891B2A">
        <w:rPr>
          <w:szCs w:val="24"/>
          <w:lang w:val="en-US"/>
        </w:rPr>
        <w:t>163 O.R. (3d) 652;</w:t>
      </w:r>
      <w:r w:rsidR="000A7D7B" w:rsidRPr="000A7D7B">
        <w:rPr>
          <w:i/>
          <w:lang w:val="en-US" w:bidi="en-US"/>
        </w:rPr>
        <w:t xml:space="preserve"> R. </w:t>
      </w:r>
      <w:r w:rsidR="000A7D7B">
        <w:rPr>
          <w:i/>
          <w:lang w:val="en-US" w:bidi="en-US"/>
        </w:rPr>
        <w:t>v</w:t>
      </w:r>
      <w:r w:rsidR="000A7D7B" w:rsidRPr="000A7D7B">
        <w:rPr>
          <w:i/>
          <w:lang w:val="en-US" w:bidi="en-US"/>
        </w:rPr>
        <w:t>. Goulding</w:t>
      </w:r>
      <w:r w:rsidR="000A7D7B" w:rsidRPr="000A7D7B">
        <w:rPr>
          <w:lang w:val="en-US" w:bidi="en-US"/>
        </w:rPr>
        <w:t xml:space="preserve"> (1987), 81 N.S.R. (2d) 158;</w:t>
      </w:r>
      <w:r w:rsidR="000A7D7B">
        <w:rPr>
          <w:lang w:val="en-US" w:bidi="en-US"/>
        </w:rPr>
        <w:t xml:space="preserve"> </w:t>
      </w:r>
      <w:r w:rsidR="00677AB4">
        <w:rPr>
          <w:i/>
          <w:lang w:val="en-US" w:bidi="en-US"/>
        </w:rPr>
        <w:t>R. v</w:t>
      </w:r>
      <w:r w:rsidR="00677AB4" w:rsidRPr="008174B4">
        <w:rPr>
          <w:i/>
          <w:lang w:val="en-US" w:bidi="en-US"/>
        </w:rPr>
        <w:t>. Pellicore</w:t>
      </w:r>
      <w:r w:rsidR="00C46863">
        <w:rPr>
          <w:lang w:val="en-US" w:bidi="en-US"/>
        </w:rPr>
        <w:t>, [1997] O.J. No. </w:t>
      </w:r>
      <w:r w:rsidR="00677AB4" w:rsidRPr="008174B4">
        <w:rPr>
          <w:lang w:val="en-US" w:bidi="en-US"/>
        </w:rPr>
        <w:t xml:space="preserve">226 </w:t>
      </w:r>
      <w:r w:rsidR="00677AB4" w:rsidRPr="00653262">
        <w:rPr>
          <w:lang w:val="en-US" w:bidi="en-US"/>
        </w:rPr>
        <w:t>(QL)</w:t>
      </w:r>
      <w:r w:rsidR="00677AB4">
        <w:rPr>
          <w:lang w:val="en-US" w:bidi="en-US"/>
        </w:rPr>
        <w:t xml:space="preserve">, </w:t>
      </w:r>
      <w:r w:rsidR="00677AB4" w:rsidRPr="00F37F25">
        <w:rPr>
          <w:lang w:val="en-US" w:bidi="en-US"/>
        </w:rPr>
        <w:t>1997 CarswellOnt 246</w:t>
      </w:r>
      <w:r w:rsidR="00677AB4">
        <w:rPr>
          <w:lang w:val="en-US" w:bidi="en-US"/>
        </w:rPr>
        <w:t xml:space="preserve"> (WL); </w:t>
      </w:r>
      <w:r w:rsidR="0013361F">
        <w:rPr>
          <w:i/>
          <w:lang w:val="en-US" w:bidi="en-US"/>
        </w:rPr>
        <w:t>R. v</w:t>
      </w:r>
      <w:r w:rsidR="0013361F" w:rsidRPr="00653262">
        <w:rPr>
          <w:i/>
          <w:lang w:val="en-US" w:bidi="en-US"/>
        </w:rPr>
        <w:t>. Williams</w:t>
      </w:r>
      <w:r w:rsidR="00504450">
        <w:rPr>
          <w:lang w:val="en-US" w:bidi="en-US"/>
        </w:rPr>
        <w:t>, 2009 NB</w:t>
      </w:r>
      <w:r w:rsidR="0013361F" w:rsidRPr="00653262">
        <w:rPr>
          <w:lang w:val="en-US" w:bidi="en-US"/>
        </w:rPr>
        <w:t>P</w:t>
      </w:r>
      <w:r w:rsidR="00504450">
        <w:rPr>
          <w:lang w:val="en-US" w:bidi="en-US"/>
        </w:rPr>
        <w:t>C</w:t>
      </w:r>
      <w:r w:rsidR="0013361F" w:rsidRPr="00653262">
        <w:rPr>
          <w:lang w:val="en-US" w:bidi="en-US"/>
        </w:rPr>
        <w:t xml:space="preserve"> 16</w:t>
      </w:r>
      <w:r w:rsidR="0013361F">
        <w:rPr>
          <w:lang w:val="en-US" w:bidi="en-US"/>
        </w:rPr>
        <w:t>, 346 N.B.R. (2d) 164</w:t>
      </w:r>
      <w:r w:rsidR="0013361F" w:rsidRPr="00653262">
        <w:rPr>
          <w:lang w:val="en-US" w:bidi="en-US"/>
        </w:rPr>
        <w:t>;</w:t>
      </w:r>
      <w:r w:rsidR="002C0EEF" w:rsidRPr="002C0EEF">
        <w:rPr>
          <w:i/>
          <w:lang w:val="en-US" w:bidi="en-US"/>
        </w:rPr>
        <w:t xml:space="preserve"> </w:t>
      </w:r>
      <w:r w:rsidR="002C0EEF" w:rsidRPr="00653262">
        <w:rPr>
          <w:i/>
          <w:lang w:val="en-US" w:bidi="en-US"/>
        </w:rPr>
        <w:t xml:space="preserve">Bilodeau </w:t>
      </w:r>
      <w:r w:rsidR="002C0EEF">
        <w:rPr>
          <w:i/>
          <w:lang w:val="en-US" w:bidi="en-US"/>
        </w:rPr>
        <w:t>v</w:t>
      </w:r>
      <w:r w:rsidR="002C0EEF" w:rsidRPr="00653262">
        <w:rPr>
          <w:i/>
          <w:lang w:val="en-US" w:bidi="en-US"/>
        </w:rPr>
        <w:t>. R.</w:t>
      </w:r>
      <w:r w:rsidR="002C0EEF" w:rsidRPr="00653262">
        <w:rPr>
          <w:lang w:val="en-US" w:bidi="en-US"/>
        </w:rPr>
        <w:t>, 2013 QCCA 980;</w:t>
      </w:r>
      <w:r w:rsidR="00574AD6" w:rsidRPr="00574AD6">
        <w:rPr>
          <w:i/>
          <w:lang w:val="en-US" w:bidi="en-US"/>
        </w:rPr>
        <w:t xml:space="preserve"> R. </w:t>
      </w:r>
      <w:r w:rsidR="00574AD6">
        <w:rPr>
          <w:i/>
          <w:lang w:val="en-US" w:bidi="en-US"/>
        </w:rPr>
        <w:t>v</w:t>
      </w:r>
      <w:r w:rsidR="00574AD6" w:rsidRPr="00574AD6">
        <w:rPr>
          <w:i/>
          <w:lang w:val="en-US" w:bidi="en-US"/>
        </w:rPr>
        <w:t>. Sloan</w:t>
      </w:r>
      <w:r w:rsidR="00574AD6" w:rsidRPr="00574AD6">
        <w:rPr>
          <w:lang w:val="en-US" w:bidi="en-US"/>
        </w:rPr>
        <w:t xml:space="preserve"> (1947), 87 C.C.C. 198;</w:t>
      </w:r>
      <w:r w:rsidR="0021441D" w:rsidRPr="0021441D">
        <w:rPr>
          <w:i/>
          <w:lang w:val="en-US" w:bidi="en-US"/>
        </w:rPr>
        <w:t xml:space="preserve"> </w:t>
      </w:r>
      <w:r w:rsidR="0021441D">
        <w:rPr>
          <w:i/>
          <w:lang w:val="en-US" w:bidi="en-US"/>
        </w:rPr>
        <w:t>R. v</w:t>
      </w:r>
      <w:r w:rsidR="0021441D" w:rsidRPr="00653262">
        <w:rPr>
          <w:i/>
          <w:lang w:val="en-US" w:bidi="en-US"/>
        </w:rPr>
        <w:t xml:space="preserve">. Patterson </w:t>
      </w:r>
      <w:r w:rsidR="0021441D" w:rsidRPr="00653262">
        <w:rPr>
          <w:lang w:val="en-US" w:bidi="en-US"/>
        </w:rPr>
        <w:t>(1946), 87 C.C.C. 86</w:t>
      </w:r>
      <w:r w:rsidR="0021441D">
        <w:rPr>
          <w:lang w:val="en-US" w:bidi="en-US"/>
        </w:rPr>
        <w:t>;</w:t>
      </w:r>
      <w:r w:rsidR="00FD1C3A" w:rsidRPr="00FD1C3A">
        <w:rPr>
          <w:i/>
        </w:rPr>
        <w:t xml:space="preserve"> </w:t>
      </w:r>
      <w:r w:rsidR="00FD1C3A" w:rsidRPr="00653262">
        <w:rPr>
          <w:i/>
        </w:rPr>
        <w:t xml:space="preserve">R. </w:t>
      </w:r>
      <w:r w:rsidR="00FD1C3A">
        <w:rPr>
          <w:i/>
        </w:rPr>
        <w:t>v</w:t>
      </w:r>
      <w:r w:rsidR="00FD1C3A" w:rsidRPr="00653262">
        <w:rPr>
          <w:i/>
        </w:rPr>
        <w:t>. Wells</w:t>
      </w:r>
      <w:r w:rsidR="00FD1C3A" w:rsidRPr="00653262">
        <w:t xml:space="preserve"> (1969), 4 C.C.C. 25</w:t>
      </w:r>
      <w:r w:rsidR="00FD1C3A">
        <w:t xml:space="preserve">; </w:t>
      </w:r>
      <w:r w:rsidR="0003236F" w:rsidRPr="00653262">
        <w:rPr>
          <w:i/>
          <w:lang w:bidi="en-US"/>
        </w:rPr>
        <w:t xml:space="preserve">McClurg </w:t>
      </w:r>
      <w:r w:rsidR="0003236F">
        <w:rPr>
          <w:i/>
          <w:lang w:bidi="en-US"/>
        </w:rPr>
        <w:t>v</w:t>
      </w:r>
      <w:r w:rsidR="0003236F" w:rsidRPr="00653262">
        <w:rPr>
          <w:i/>
          <w:lang w:bidi="en-US"/>
        </w:rPr>
        <w:t>. Canada</w:t>
      </w:r>
      <w:r w:rsidR="0003236F" w:rsidRPr="00653262">
        <w:rPr>
          <w:lang w:bidi="en-US"/>
        </w:rPr>
        <w:t xml:space="preserve">, [1990] 3 </w:t>
      </w:r>
      <w:r w:rsidR="0003236F">
        <w:rPr>
          <w:lang w:bidi="en-US"/>
        </w:rPr>
        <w:t>S.C.</w:t>
      </w:r>
      <w:r w:rsidR="0003236F" w:rsidRPr="00653262">
        <w:rPr>
          <w:lang w:bidi="en-US"/>
        </w:rPr>
        <w:t>R. 1020</w:t>
      </w:r>
      <w:r w:rsidR="0003236F">
        <w:rPr>
          <w:lang w:bidi="en-US"/>
        </w:rPr>
        <w:t>;</w:t>
      </w:r>
      <w:r w:rsidR="006E549F" w:rsidRPr="006E549F">
        <w:rPr>
          <w:i/>
          <w:lang w:bidi="en-US"/>
        </w:rPr>
        <w:t xml:space="preserve"> </w:t>
      </w:r>
      <w:r w:rsidR="006E549F" w:rsidRPr="00653262">
        <w:rPr>
          <w:i/>
          <w:lang w:bidi="en-US"/>
        </w:rPr>
        <w:t xml:space="preserve">Turgeon </w:t>
      </w:r>
      <w:r w:rsidR="006E549F">
        <w:rPr>
          <w:i/>
          <w:lang w:bidi="en-US"/>
        </w:rPr>
        <w:t>v</w:t>
      </w:r>
      <w:r w:rsidR="006E549F" w:rsidRPr="00653262">
        <w:rPr>
          <w:i/>
          <w:lang w:bidi="en-US"/>
        </w:rPr>
        <w:t>. Dominion Bank</w:t>
      </w:r>
      <w:r w:rsidR="006E549F" w:rsidRPr="00653262">
        <w:rPr>
          <w:lang w:bidi="en-US"/>
        </w:rPr>
        <w:t xml:space="preserve">, [1930] </w:t>
      </w:r>
      <w:r w:rsidR="006E549F">
        <w:rPr>
          <w:lang w:bidi="en-US"/>
        </w:rPr>
        <w:t>S.C.</w:t>
      </w:r>
      <w:r w:rsidR="006E549F" w:rsidRPr="00653262">
        <w:rPr>
          <w:lang w:bidi="en-US"/>
        </w:rPr>
        <w:t>R. 67</w:t>
      </w:r>
      <w:r w:rsidR="006E549F">
        <w:rPr>
          <w:lang w:bidi="en-US"/>
        </w:rPr>
        <w:t xml:space="preserve">; </w:t>
      </w:r>
      <w:r w:rsidR="00C07970" w:rsidRPr="00653262">
        <w:rPr>
          <w:i/>
          <w:lang w:bidi="en-US"/>
        </w:rPr>
        <w:t>Rizzo &amp; Rizzo Shoes Ltd. (Re)</w:t>
      </w:r>
      <w:r w:rsidR="00C07970" w:rsidRPr="00653262">
        <w:rPr>
          <w:lang w:bidi="en-US"/>
        </w:rPr>
        <w:t xml:space="preserve">, [1998] 1 </w:t>
      </w:r>
      <w:r w:rsidR="007454CB">
        <w:rPr>
          <w:lang w:bidi="en-US"/>
        </w:rPr>
        <w:t>S.C.</w:t>
      </w:r>
      <w:r w:rsidR="00C07970" w:rsidRPr="00653262">
        <w:rPr>
          <w:lang w:bidi="en-US"/>
        </w:rPr>
        <w:t>R. 27</w:t>
      </w:r>
      <w:r w:rsidR="00C07970">
        <w:rPr>
          <w:lang w:bidi="en-US"/>
        </w:rPr>
        <w:t xml:space="preserve">; </w:t>
      </w:r>
      <w:r w:rsidR="00DE4339" w:rsidRPr="00653262">
        <w:rPr>
          <w:i/>
          <w:lang w:bidi="en-US"/>
        </w:rPr>
        <w:t xml:space="preserve">Bell ExpressVu Limited Partnership </w:t>
      </w:r>
      <w:r w:rsidR="00DE4339">
        <w:rPr>
          <w:i/>
          <w:lang w:bidi="en-US"/>
        </w:rPr>
        <w:t>v</w:t>
      </w:r>
      <w:r w:rsidR="00DE4339" w:rsidRPr="00653262">
        <w:rPr>
          <w:i/>
          <w:lang w:bidi="en-US"/>
        </w:rPr>
        <w:t>. Rex</w:t>
      </w:r>
      <w:r w:rsidR="00DE4339" w:rsidRPr="00653262">
        <w:rPr>
          <w:lang w:bidi="en-US"/>
        </w:rPr>
        <w:t xml:space="preserve">, 2002 </w:t>
      </w:r>
      <w:r w:rsidR="00DE4339">
        <w:rPr>
          <w:lang w:bidi="en-US"/>
        </w:rPr>
        <w:t>S</w:t>
      </w:r>
      <w:r w:rsidR="00DE4339" w:rsidRPr="00653262">
        <w:rPr>
          <w:lang w:bidi="en-US"/>
        </w:rPr>
        <w:t xml:space="preserve">CC 42, [2002] 2 </w:t>
      </w:r>
      <w:r w:rsidR="00DE4339">
        <w:rPr>
          <w:lang w:bidi="en-US"/>
        </w:rPr>
        <w:t>S.C.</w:t>
      </w:r>
      <w:r w:rsidR="00DE4339" w:rsidRPr="00653262">
        <w:rPr>
          <w:lang w:bidi="en-US"/>
        </w:rPr>
        <w:t>R. 559</w:t>
      </w:r>
      <w:r w:rsidR="00DE4339">
        <w:rPr>
          <w:lang w:bidi="en-US"/>
        </w:rPr>
        <w:t xml:space="preserve">; </w:t>
      </w:r>
      <w:r w:rsidR="00B329C5" w:rsidRPr="00653262">
        <w:rPr>
          <w:i/>
          <w:iCs/>
          <w:lang w:bidi="en-US"/>
        </w:rPr>
        <w:t xml:space="preserve">R. </w:t>
      </w:r>
      <w:r w:rsidR="00B329C5">
        <w:rPr>
          <w:i/>
          <w:iCs/>
          <w:lang w:bidi="en-US"/>
        </w:rPr>
        <w:t>v</w:t>
      </w:r>
      <w:r w:rsidR="00B329C5" w:rsidRPr="00653262">
        <w:rPr>
          <w:i/>
          <w:iCs/>
          <w:lang w:bidi="en-US"/>
        </w:rPr>
        <w:t>. Mathieu</w:t>
      </w:r>
      <w:r w:rsidR="00B329C5" w:rsidRPr="00653262">
        <w:rPr>
          <w:iCs/>
          <w:lang w:bidi="en-US"/>
        </w:rPr>
        <w:t xml:space="preserve">, 2008 </w:t>
      </w:r>
      <w:r w:rsidR="00B329C5">
        <w:rPr>
          <w:iCs/>
          <w:lang w:bidi="en-US"/>
        </w:rPr>
        <w:t>SCC</w:t>
      </w:r>
      <w:r w:rsidR="00B329C5" w:rsidRPr="00653262">
        <w:rPr>
          <w:iCs/>
          <w:lang w:bidi="en-US"/>
        </w:rPr>
        <w:t xml:space="preserve"> 21, [2008] 1 </w:t>
      </w:r>
      <w:r w:rsidR="00B329C5">
        <w:rPr>
          <w:iCs/>
          <w:lang w:bidi="en-US"/>
        </w:rPr>
        <w:t>S.C.</w:t>
      </w:r>
      <w:r w:rsidR="00B329C5" w:rsidRPr="00653262">
        <w:rPr>
          <w:iCs/>
          <w:lang w:bidi="en-US"/>
        </w:rPr>
        <w:t>R. 723</w:t>
      </w:r>
      <w:r w:rsidR="00B329C5">
        <w:rPr>
          <w:iCs/>
          <w:lang w:bidi="en-US"/>
        </w:rPr>
        <w:t xml:space="preserve">; </w:t>
      </w:r>
      <w:r w:rsidR="00B02AB7" w:rsidRPr="00653262">
        <w:rPr>
          <w:i/>
          <w:iCs/>
          <w:lang w:bidi="en-US"/>
        </w:rPr>
        <w:t xml:space="preserve">R. </w:t>
      </w:r>
      <w:r w:rsidR="00B02AB7">
        <w:rPr>
          <w:i/>
          <w:iCs/>
          <w:lang w:bidi="en-US"/>
        </w:rPr>
        <w:t>v</w:t>
      </w:r>
      <w:r w:rsidR="00B02AB7" w:rsidRPr="00653262">
        <w:rPr>
          <w:i/>
          <w:iCs/>
          <w:lang w:bidi="en-US"/>
        </w:rPr>
        <w:t>. Fice</w:t>
      </w:r>
      <w:r w:rsidR="00B02AB7" w:rsidRPr="00653262">
        <w:rPr>
          <w:iCs/>
          <w:lang w:bidi="en-US"/>
        </w:rPr>
        <w:t>, 2005 S</w:t>
      </w:r>
      <w:r w:rsidR="00B02AB7">
        <w:rPr>
          <w:iCs/>
          <w:lang w:bidi="en-US"/>
        </w:rPr>
        <w:t>C</w:t>
      </w:r>
      <w:r w:rsidR="00B02AB7" w:rsidRPr="00653262">
        <w:rPr>
          <w:iCs/>
          <w:lang w:bidi="en-US"/>
        </w:rPr>
        <w:t xml:space="preserve">C 32, [2005] 1 </w:t>
      </w:r>
      <w:r w:rsidR="00B02AB7">
        <w:rPr>
          <w:iCs/>
          <w:lang w:bidi="en-US"/>
        </w:rPr>
        <w:t>S.C.</w:t>
      </w:r>
      <w:r w:rsidR="00B02AB7" w:rsidRPr="00653262">
        <w:rPr>
          <w:iCs/>
          <w:lang w:bidi="en-US"/>
        </w:rPr>
        <w:t>R. 742</w:t>
      </w:r>
      <w:r w:rsidR="00B02AB7">
        <w:rPr>
          <w:iCs/>
          <w:lang w:bidi="en-US"/>
        </w:rPr>
        <w:t xml:space="preserve">; </w:t>
      </w:r>
      <w:r w:rsidR="0032525B" w:rsidRPr="00653262">
        <w:rPr>
          <w:i/>
          <w:lang w:bidi="en-US"/>
        </w:rPr>
        <w:t xml:space="preserve">R. </w:t>
      </w:r>
      <w:r w:rsidR="0032525B">
        <w:rPr>
          <w:i/>
          <w:lang w:bidi="en-US"/>
        </w:rPr>
        <w:t>v</w:t>
      </w:r>
      <w:r w:rsidR="0032525B" w:rsidRPr="00653262">
        <w:rPr>
          <w:i/>
          <w:lang w:bidi="en-US"/>
        </w:rPr>
        <w:t>. Walker</w:t>
      </w:r>
      <w:r w:rsidR="0032525B" w:rsidRPr="00653262">
        <w:rPr>
          <w:lang w:bidi="en-US"/>
        </w:rPr>
        <w:t>, 2017 ONCA 39</w:t>
      </w:r>
      <w:r w:rsidR="0032525B">
        <w:rPr>
          <w:lang w:bidi="en-US"/>
        </w:rPr>
        <w:t xml:space="preserve">, </w:t>
      </w:r>
      <w:r w:rsidR="0032525B" w:rsidRPr="00DE3BE6">
        <w:rPr>
          <w:iCs/>
          <w:lang w:bidi="en-US"/>
        </w:rPr>
        <w:t>345 C.C.C. (3d)</w:t>
      </w:r>
      <w:r w:rsidR="0032525B">
        <w:rPr>
          <w:iCs/>
          <w:lang w:bidi="en-US"/>
        </w:rPr>
        <w:t xml:space="preserve"> </w:t>
      </w:r>
      <w:r w:rsidR="0032525B" w:rsidRPr="00DE3BE6">
        <w:rPr>
          <w:iCs/>
          <w:lang w:bidi="en-US"/>
        </w:rPr>
        <w:t>497</w:t>
      </w:r>
      <w:r w:rsidR="0032525B">
        <w:rPr>
          <w:iCs/>
          <w:lang w:bidi="en-US"/>
        </w:rPr>
        <w:t xml:space="preserve">; </w:t>
      </w:r>
      <w:r w:rsidR="001B61CB">
        <w:rPr>
          <w:i/>
          <w:lang w:bidi="en-US"/>
        </w:rPr>
        <w:t>R. v</w:t>
      </w:r>
      <w:r w:rsidR="001B61CB" w:rsidRPr="00653262">
        <w:rPr>
          <w:i/>
          <w:lang w:bidi="en-US"/>
        </w:rPr>
        <w:t>. Severight</w:t>
      </w:r>
      <w:r w:rsidR="001B61CB" w:rsidRPr="00653262">
        <w:rPr>
          <w:lang w:bidi="en-US"/>
        </w:rPr>
        <w:t>, 2014 ABCA 25</w:t>
      </w:r>
      <w:r w:rsidR="001B61CB">
        <w:rPr>
          <w:lang w:bidi="en-US"/>
        </w:rPr>
        <w:t>, 566</w:t>
      </w:r>
      <w:r w:rsidR="001B61CB" w:rsidRPr="00176765">
        <w:rPr>
          <w:lang w:bidi="en-US"/>
        </w:rPr>
        <w:t xml:space="preserve"> A.R.</w:t>
      </w:r>
      <w:r w:rsidR="001B61CB">
        <w:rPr>
          <w:lang w:bidi="en-US"/>
        </w:rPr>
        <w:t xml:space="preserve"> </w:t>
      </w:r>
      <w:r w:rsidR="001B61CB" w:rsidRPr="00176765">
        <w:rPr>
          <w:lang w:bidi="en-US"/>
        </w:rPr>
        <w:t>344</w:t>
      </w:r>
      <w:r w:rsidR="001B61CB">
        <w:rPr>
          <w:lang w:bidi="en-US"/>
        </w:rPr>
        <w:t>;</w:t>
      </w:r>
      <w:r w:rsidR="002249D1" w:rsidRPr="002249D1">
        <w:rPr>
          <w:i/>
          <w:lang w:bidi="en-US"/>
        </w:rPr>
        <w:t xml:space="preserve"> </w:t>
      </w:r>
      <w:r w:rsidR="002249D1" w:rsidRPr="00653262">
        <w:rPr>
          <w:i/>
          <w:lang w:bidi="en-US"/>
        </w:rPr>
        <w:t xml:space="preserve">R. </w:t>
      </w:r>
      <w:r w:rsidR="002249D1">
        <w:rPr>
          <w:i/>
          <w:lang w:bidi="en-US"/>
        </w:rPr>
        <w:t>v</w:t>
      </w:r>
      <w:r w:rsidR="002249D1" w:rsidRPr="00653262">
        <w:rPr>
          <w:i/>
          <w:lang w:bidi="en-US"/>
        </w:rPr>
        <w:t>. LeBlanc</w:t>
      </w:r>
      <w:r w:rsidR="002249D1" w:rsidRPr="00653262">
        <w:rPr>
          <w:lang w:bidi="en-US"/>
        </w:rPr>
        <w:t>, 2005 NBCA 6</w:t>
      </w:r>
      <w:r w:rsidR="002249D1">
        <w:rPr>
          <w:lang w:bidi="en-US"/>
        </w:rPr>
        <w:t xml:space="preserve">, 279 </w:t>
      </w:r>
      <w:r w:rsidR="002249D1" w:rsidRPr="003E20FF">
        <w:rPr>
          <w:lang w:bidi="en-US"/>
        </w:rPr>
        <w:t>N.B.</w:t>
      </w:r>
      <w:r w:rsidR="002249D1">
        <w:rPr>
          <w:lang w:bidi="en-US"/>
        </w:rPr>
        <w:t xml:space="preserve">R. </w:t>
      </w:r>
      <w:r w:rsidR="002249D1" w:rsidRPr="003E20FF">
        <w:rPr>
          <w:lang w:bidi="en-US"/>
        </w:rPr>
        <w:t>(2</w:t>
      </w:r>
      <w:r w:rsidR="002249D1">
        <w:rPr>
          <w:lang w:bidi="en-US"/>
        </w:rPr>
        <w:t>d</w:t>
      </w:r>
      <w:r w:rsidR="002249D1" w:rsidRPr="003E20FF">
        <w:rPr>
          <w:lang w:bidi="en-US"/>
        </w:rPr>
        <w:t>) 121</w:t>
      </w:r>
      <w:r w:rsidR="008E551F">
        <w:rPr>
          <w:lang w:bidi="en-US"/>
        </w:rPr>
        <w:t xml:space="preserve">; </w:t>
      </w:r>
      <w:r w:rsidR="008E551F" w:rsidRPr="004D0FB1">
        <w:rPr>
          <w:i/>
        </w:rPr>
        <w:t xml:space="preserve">R. </w:t>
      </w:r>
      <w:r w:rsidR="008E551F">
        <w:rPr>
          <w:i/>
        </w:rPr>
        <w:t>v</w:t>
      </w:r>
      <w:r w:rsidR="008E551F" w:rsidRPr="004D0FB1">
        <w:rPr>
          <w:i/>
        </w:rPr>
        <w:t>. Hills</w:t>
      </w:r>
      <w:r w:rsidR="008E551F" w:rsidRPr="004D0FB1">
        <w:t xml:space="preserve">, 2023 </w:t>
      </w:r>
      <w:r w:rsidR="008E551F">
        <w:t>SCC</w:t>
      </w:r>
      <w:r w:rsidR="008E551F" w:rsidRPr="004D0FB1">
        <w:t xml:space="preserve"> 2</w:t>
      </w:r>
      <w:r w:rsidR="002249D1">
        <w:rPr>
          <w:lang w:bidi="en-US"/>
        </w:rPr>
        <w:t>;</w:t>
      </w:r>
      <w:r w:rsidR="004F1AC6" w:rsidRPr="004F1AC6">
        <w:rPr>
          <w:i/>
          <w:szCs w:val="24"/>
        </w:rPr>
        <w:t xml:space="preserve"> </w:t>
      </w:r>
      <w:r w:rsidR="00F923C8">
        <w:rPr>
          <w:i/>
          <w:szCs w:val="24"/>
        </w:rPr>
        <w:t>Schwartz v</w:t>
      </w:r>
      <w:r w:rsidR="004F1AC6" w:rsidRPr="00653262">
        <w:rPr>
          <w:i/>
          <w:szCs w:val="24"/>
        </w:rPr>
        <w:t>. Canada</w:t>
      </w:r>
      <w:r w:rsidR="004F1AC6" w:rsidRPr="00653262">
        <w:rPr>
          <w:szCs w:val="24"/>
        </w:rPr>
        <w:t xml:space="preserve">, [1996] 1 </w:t>
      </w:r>
      <w:r w:rsidR="00F923C8">
        <w:rPr>
          <w:szCs w:val="24"/>
        </w:rPr>
        <w:t>S.C.</w:t>
      </w:r>
      <w:r w:rsidR="004F1AC6" w:rsidRPr="00653262">
        <w:rPr>
          <w:szCs w:val="24"/>
        </w:rPr>
        <w:t>R. 254</w:t>
      </w:r>
      <w:r w:rsidR="004F1AC6">
        <w:rPr>
          <w:szCs w:val="24"/>
        </w:rPr>
        <w:t xml:space="preserve">; </w:t>
      </w:r>
      <w:r w:rsidR="000C1312" w:rsidRPr="00653262">
        <w:rPr>
          <w:i/>
        </w:rPr>
        <w:t xml:space="preserve">R. </w:t>
      </w:r>
      <w:r w:rsidR="004370CB">
        <w:rPr>
          <w:i/>
        </w:rPr>
        <w:t>v</w:t>
      </w:r>
      <w:r w:rsidR="000C1312" w:rsidRPr="00653262">
        <w:rPr>
          <w:i/>
        </w:rPr>
        <w:t>. Sohal</w:t>
      </w:r>
      <w:r w:rsidR="000C1312" w:rsidRPr="00653262">
        <w:t>, 2019 ABCA 293</w:t>
      </w:r>
      <w:r w:rsidR="000C1312">
        <w:t xml:space="preserve">, </w:t>
      </w:r>
      <w:r w:rsidR="000C1312" w:rsidRPr="006F63D7">
        <w:t>91 Alta. L.R. (6th</w:t>
      </w:r>
      <w:r w:rsidR="000C1312">
        <w:t xml:space="preserve">) </w:t>
      </w:r>
      <w:r w:rsidR="000C1312" w:rsidRPr="006F63D7">
        <w:t>48</w:t>
      </w:r>
      <w:r w:rsidR="000C1312">
        <w:t xml:space="preserve">; </w:t>
      </w:r>
      <w:r w:rsidR="00D37D31" w:rsidRPr="00653262">
        <w:rPr>
          <w:i/>
        </w:rPr>
        <w:t xml:space="preserve">R. </w:t>
      </w:r>
      <w:r w:rsidR="00D37D31">
        <w:rPr>
          <w:i/>
        </w:rPr>
        <w:t>v</w:t>
      </w:r>
      <w:r w:rsidR="00D37D31" w:rsidRPr="00653262">
        <w:rPr>
          <w:i/>
        </w:rPr>
        <w:t>. Fox</w:t>
      </w:r>
      <w:r w:rsidR="00D37D31" w:rsidRPr="00653262">
        <w:t>, 2022 ABQB 132</w:t>
      </w:r>
      <w:r w:rsidR="00D37D31">
        <w:t xml:space="preserve">, </w:t>
      </w:r>
      <w:r w:rsidR="00D37D31" w:rsidRPr="00882DBC">
        <w:t>89 M.V.R. (7th)</w:t>
      </w:r>
      <w:r w:rsidR="00D37D31">
        <w:t xml:space="preserve"> </w:t>
      </w:r>
      <w:r w:rsidR="00D37D31" w:rsidRPr="00882DBC">
        <w:t>23</w:t>
      </w:r>
      <w:r w:rsidR="00D37D31">
        <w:t xml:space="preserve">; </w:t>
      </w:r>
      <w:r w:rsidR="00642146" w:rsidRPr="00653262">
        <w:rPr>
          <w:i/>
        </w:rPr>
        <w:t xml:space="preserve">R. </w:t>
      </w:r>
      <w:r w:rsidR="00642146">
        <w:rPr>
          <w:i/>
        </w:rPr>
        <w:t>v</w:t>
      </w:r>
      <w:r w:rsidR="00642146" w:rsidRPr="00653262">
        <w:rPr>
          <w:i/>
        </w:rPr>
        <w:t>. Froese</w:t>
      </w:r>
      <w:r w:rsidR="00642146" w:rsidRPr="00653262">
        <w:t>, 2020 MBQB 11</w:t>
      </w:r>
      <w:r w:rsidR="00642146">
        <w:t xml:space="preserve">, </w:t>
      </w:r>
      <w:r w:rsidR="00642146" w:rsidRPr="00AA62EE">
        <w:t>461 C.R.R. (2d)</w:t>
      </w:r>
      <w:r w:rsidR="00642146">
        <w:t xml:space="preserve"> 1;</w:t>
      </w:r>
      <w:r w:rsidR="00181C78" w:rsidRPr="00181C78">
        <w:rPr>
          <w:i/>
        </w:rPr>
        <w:t xml:space="preserve"> </w:t>
      </w:r>
      <w:r w:rsidR="00181C78" w:rsidRPr="00653262">
        <w:rPr>
          <w:i/>
        </w:rPr>
        <w:t xml:space="preserve">R. </w:t>
      </w:r>
      <w:r w:rsidR="00181C78">
        <w:rPr>
          <w:i/>
        </w:rPr>
        <w:t>v</w:t>
      </w:r>
      <w:r w:rsidR="00181C78" w:rsidRPr="00653262">
        <w:rPr>
          <w:i/>
        </w:rPr>
        <w:t>. Osnach</w:t>
      </w:r>
      <w:r w:rsidR="00181C78" w:rsidRPr="00653262">
        <w:t>, 2019 MBPC 1</w:t>
      </w:r>
      <w:r w:rsidR="00181C78">
        <w:t xml:space="preserve">, </w:t>
      </w:r>
      <w:r w:rsidR="00181C78" w:rsidRPr="005C465F">
        <w:t>38 M</w:t>
      </w:r>
      <w:r w:rsidR="00181C78">
        <w:t>.</w:t>
      </w:r>
      <w:r w:rsidR="00181C78" w:rsidRPr="005C465F">
        <w:t>V.R. (7th)</w:t>
      </w:r>
      <w:r w:rsidR="00181C78">
        <w:t xml:space="preserve"> </w:t>
      </w:r>
      <w:r w:rsidR="00181C78" w:rsidRPr="005C465F">
        <w:t>257</w:t>
      </w:r>
      <w:r w:rsidR="00181C78">
        <w:t xml:space="preserve">; </w:t>
      </w:r>
      <w:r w:rsidR="00504450" w:rsidRPr="00504450">
        <w:rPr>
          <w:i/>
        </w:rPr>
        <w:t xml:space="preserve">R. </w:t>
      </w:r>
      <w:r w:rsidR="00504450">
        <w:rPr>
          <w:i/>
        </w:rPr>
        <w:t>v</w:t>
      </w:r>
      <w:r w:rsidR="00504450" w:rsidRPr="00504450">
        <w:rPr>
          <w:i/>
        </w:rPr>
        <w:t>. Bryden</w:t>
      </w:r>
      <w:r w:rsidR="00504450" w:rsidRPr="00504450">
        <w:t>, 2007 NB</w:t>
      </w:r>
      <w:r w:rsidR="00504450">
        <w:t>QB</w:t>
      </w:r>
      <w:r w:rsidR="00504450" w:rsidRPr="00504450">
        <w:t xml:space="preserve"> 316, 323 </w:t>
      </w:r>
      <w:r w:rsidR="00504450" w:rsidRPr="003E20FF">
        <w:rPr>
          <w:lang w:bidi="en-US"/>
        </w:rPr>
        <w:t>N.B.</w:t>
      </w:r>
      <w:r w:rsidR="00504450">
        <w:rPr>
          <w:lang w:bidi="en-US"/>
        </w:rPr>
        <w:t>R.</w:t>
      </w:r>
      <w:r w:rsidR="00504450" w:rsidRPr="00504450">
        <w:t xml:space="preserve"> (2</w:t>
      </w:r>
      <w:r w:rsidR="00504450">
        <w:t>d</w:t>
      </w:r>
      <w:r w:rsidR="00504450" w:rsidRPr="00504450">
        <w:t>) 119;</w:t>
      </w:r>
      <w:r w:rsidR="00504450" w:rsidRPr="00504450">
        <w:rPr>
          <w:i/>
        </w:rPr>
        <w:t xml:space="preserve"> </w:t>
      </w:r>
      <w:r w:rsidR="00504450" w:rsidRPr="00653262">
        <w:rPr>
          <w:i/>
        </w:rPr>
        <w:t xml:space="preserve">R. </w:t>
      </w:r>
      <w:r w:rsidR="00504450">
        <w:rPr>
          <w:i/>
        </w:rPr>
        <w:t>v</w:t>
      </w:r>
      <w:r w:rsidR="00504450" w:rsidRPr="00653262">
        <w:rPr>
          <w:i/>
        </w:rPr>
        <w:t>. Panday</w:t>
      </w:r>
      <w:r w:rsidR="00504450" w:rsidRPr="00653262">
        <w:t>, 2007 ONCA 598</w:t>
      </w:r>
      <w:r w:rsidR="00504450">
        <w:t xml:space="preserve">, </w:t>
      </w:r>
      <w:r w:rsidR="00504450" w:rsidRPr="003415F1">
        <w:t>87 O.R. (3d)</w:t>
      </w:r>
      <w:r w:rsidR="00504450">
        <w:t xml:space="preserve"> 1; </w:t>
      </w:r>
      <w:r w:rsidR="00172203" w:rsidRPr="00653262">
        <w:rPr>
          <w:i/>
        </w:rPr>
        <w:t xml:space="preserve">R. </w:t>
      </w:r>
      <w:r w:rsidR="00172203">
        <w:rPr>
          <w:i/>
        </w:rPr>
        <w:t>v</w:t>
      </w:r>
      <w:r w:rsidR="00172203" w:rsidRPr="00653262">
        <w:rPr>
          <w:i/>
        </w:rPr>
        <w:t>. K.R.J.</w:t>
      </w:r>
      <w:r w:rsidR="00172203" w:rsidRPr="00653262">
        <w:t xml:space="preserve">, 2016 </w:t>
      </w:r>
      <w:r w:rsidR="00172203">
        <w:t>SCC</w:t>
      </w:r>
      <w:r w:rsidR="00172203" w:rsidRPr="00653262">
        <w:t xml:space="preserve"> 31, [2016] 1 </w:t>
      </w:r>
      <w:r w:rsidR="00172203">
        <w:t>S.C.</w:t>
      </w:r>
      <w:r w:rsidR="00172203" w:rsidRPr="00653262">
        <w:t>R. 906</w:t>
      </w:r>
      <w:r w:rsidR="00172203">
        <w:t xml:space="preserve">; </w:t>
      </w:r>
      <w:r w:rsidR="009B0E08">
        <w:rPr>
          <w:i/>
          <w:lang w:eastAsia="fr-CA"/>
        </w:rPr>
        <w:t>R. v</w:t>
      </w:r>
      <w:r w:rsidR="009B0E08" w:rsidRPr="00653262">
        <w:rPr>
          <w:i/>
          <w:lang w:eastAsia="fr-CA"/>
        </w:rPr>
        <w:t xml:space="preserve">. </w:t>
      </w:r>
      <w:r w:rsidR="009B0E08">
        <w:rPr>
          <w:i/>
          <w:lang w:eastAsia="fr-CA"/>
        </w:rPr>
        <w:t>Rodgers</w:t>
      </w:r>
      <w:r w:rsidR="009B0E08" w:rsidRPr="00653262">
        <w:rPr>
          <w:lang w:eastAsia="fr-CA"/>
        </w:rPr>
        <w:t xml:space="preserve">, 2006 </w:t>
      </w:r>
      <w:r w:rsidR="009B0E08">
        <w:rPr>
          <w:lang w:eastAsia="fr-CA"/>
        </w:rPr>
        <w:t>SC</w:t>
      </w:r>
      <w:r w:rsidR="009B0E08" w:rsidRPr="00653262">
        <w:rPr>
          <w:lang w:eastAsia="fr-CA"/>
        </w:rPr>
        <w:t>C 15</w:t>
      </w:r>
      <w:r w:rsidR="009B0E08">
        <w:rPr>
          <w:lang w:eastAsia="fr-CA"/>
        </w:rPr>
        <w:t xml:space="preserve">, </w:t>
      </w:r>
      <w:r w:rsidR="009B0E08" w:rsidRPr="00DD7C03">
        <w:rPr>
          <w:lang w:eastAsia="fr-CA"/>
        </w:rPr>
        <w:t xml:space="preserve">[2006] 1 </w:t>
      </w:r>
      <w:r w:rsidR="009B0E08">
        <w:rPr>
          <w:lang w:eastAsia="fr-CA"/>
        </w:rPr>
        <w:t>S.C.</w:t>
      </w:r>
      <w:r w:rsidR="009B0E08" w:rsidRPr="00DD7C03">
        <w:rPr>
          <w:lang w:eastAsia="fr-CA"/>
        </w:rPr>
        <w:t>R.</w:t>
      </w:r>
      <w:r w:rsidR="009B0E08">
        <w:rPr>
          <w:lang w:eastAsia="fr-CA"/>
        </w:rPr>
        <w:t xml:space="preserve"> </w:t>
      </w:r>
      <w:r w:rsidR="009B0E08" w:rsidRPr="00DD7C03">
        <w:rPr>
          <w:lang w:eastAsia="fr-CA"/>
        </w:rPr>
        <w:t>554</w:t>
      </w:r>
      <w:r w:rsidR="009B0E08">
        <w:rPr>
          <w:lang w:eastAsia="fr-CA"/>
        </w:rPr>
        <w:t xml:space="preserve">; </w:t>
      </w:r>
      <w:r w:rsidR="00293EAE" w:rsidRPr="008A6402">
        <w:rPr>
          <w:i/>
          <w:lang w:eastAsia="fr-CA"/>
        </w:rPr>
        <w:t>Keatley Surveying</w:t>
      </w:r>
      <w:r w:rsidR="00293EAE">
        <w:rPr>
          <w:i/>
          <w:lang w:eastAsia="fr-CA"/>
        </w:rPr>
        <w:t xml:space="preserve"> Ltd.</w:t>
      </w:r>
      <w:r w:rsidR="00293EAE" w:rsidRPr="008A6402">
        <w:rPr>
          <w:i/>
        </w:rPr>
        <w:t xml:space="preserve"> </w:t>
      </w:r>
      <w:r w:rsidR="00293EAE">
        <w:rPr>
          <w:i/>
        </w:rPr>
        <w:t>v</w:t>
      </w:r>
      <w:r w:rsidR="00293EAE" w:rsidRPr="008A6402">
        <w:rPr>
          <w:i/>
          <w:lang w:eastAsia="fr-CA"/>
        </w:rPr>
        <w:t>. Teranet Inc.</w:t>
      </w:r>
      <w:r w:rsidR="00293EAE" w:rsidRPr="008A6402">
        <w:rPr>
          <w:lang w:eastAsia="fr-CA"/>
        </w:rPr>
        <w:t xml:space="preserve">, 2019 </w:t>
      </w:r>
      <w:r w:rsidR="00293EAE">
        <w:rPr>
          <w:lang w:eastAsia="fr-CA"/>
        </w:rPr>
        <w:t>SCC</w:t>
      </w:r>
      <w:r w:rsidR="00293EAE" w:rsidRPr="008A6402">
        <w:rPr>
          <w:lang w:eastAsia="fr-CA"/>
        </w:rPr>
        <w:t xml:space="preserve"> 43, [2019] 3 </w:t>
      </w:r>
      <w:r w:rsidR="00293EAE">
        <w:rPr>
          <w:lang w:eastAsia="fr-CA"/>
        </w:rPr>
        <w:t>S.C.</w:t>
      </w:r>
      <w:r w:rsidR="00293EAE" w:rsidRPr="008A6402">
        <w:rPr>
          <w:lang w:eastAsia="fr-CA"/>
        </w:rPr>
        <w:t>R. 418</w:t>
      </w:r>
      <w:r w:rsidR="00293EAE">
        <w:rPr>
          <w:lang w:eastAsia="fr-CA"/>
        </w:rPr>
        <w:t xml:space="preserve">; </w:t>
      </w:r>
      <w:r w:rsidR="003A55E3" w:rsidRPr="00653262">
        <w:rPr>
          <w:i/>
          <w:iCs/>
        </w:rPr>
        <w:t xml:space="preserve">Marcotte </w:t>
      </w:r>
      <w:r w:rsidR="003A55E3" w:rsidRPr="003A55E3">
        <w:rPr>
          <w:i/>
          <w:iCs/>
        </w:rPr>
        <w:t>v. Deputy Attorney General for Canada</w:t>
      </w:r>
      <w:r w:rsidR="003A55E3" w:rsidRPr="00653262">
        <w:rPr>
          <w:iCs/>
        </w:rPr>
        <w:t xml:space="preserve">, [1976] 1 </w:t>
      </w:r>
      <w:r w:rsidR="003A55E3">
        <w:rPr>
          <w:iCs/>
        </w:rPr>
        <w:t>S.C.</w:t>
      </w:r>
      <w:r w:rsidR="003A55E3" w:rsidRPr="00653262">
        <w:rPr>
          <w:iCs/>
        </w:rPr>
        <w:t>R. 108</w:t>
      </w:r>
      <w:r w:rsidR="003A55E3">
        <w:rPr>
          <w:iCs/>
        </w:rPr>
        <w:t xml:space="preserve">; </w:t>
      </w:r>
      <w:r w:rsidR="00ED0738" w:rsidRPr="00653262">
        <w:rPr>
          <w:i/>
        </w:rPr>
        <w:t>CanadianOxy Chemica</w:t>
      </w:r>
      <w:r w:rsidR="00ED0738">
        <w:rPr>
          <w:i/>
        </w:rPr>
        <w:t>ls Ltd. v</w:t>
      </w:r>
      <w:r w:rsidR="00ED0738" w:rsidRPr="00653262">
        <w:rPr>
          <w:i/>
        </w:rPr>
        <w:t>. Canada (</w:t>
      </w:r>
      <w:r w:rsidR="00024B52">
        <w:rPr>
          <w:i/>
          <w:iCs/>
        </w:rPr>
        <w:t xml:space="preserve">Attorney </w:t>
      </w:r>
      <w:r w:rsidR="00024B52" w:rsidRPr="003A55E3">
        <w:rPr>
          <w:i/>
          <w:iCs/>
        </w:rPr>
        <w:t>General</w:t>
      </w:r>
      <w:r w:rsidR="00ED0738" w:rsidRPr="00653262">
        <w:rPr>
          <w:i/>
        </w:rPr>
        <w:t>)</w:t>
      </w:r>
      <w:r w:rsidR="00ED0738" w:rsidRPr="00653262">
        <w:t xml:space="preserve">, [1999] 1 </w:t>
      </w:r>
      <w:r w:rsidR="00ED0738">
        <w:t>S.C.</w:t>
      </w:r>
      <w:r w:rsidR="00ED0738" w:rsidRPr="00653262">
        <w:t>R. 743</w:t>
      </w:r>
      <w:r w:rsidR="00785320">
        <w:t>.</w:t>
      </w:r>
    </w:p>
    <w:p w14:paraId="1147870C" w14:textId="77777777" w:rsidR="003B215F" w:rsidRPr="00F12442" w:rsidRDefault="002E6705" w:rsidP="00C46863">
      <w:pPr>
        <w:pStyle w:val="SCCNormalDoubleSpacing"/>
        <w:spacing w:after="720" w:line="240" w:lineRule="auto"/>
        <w:rPr>
          <w:lang w:val="en-US"/>
        </w:rPr>
      </w:pPr>
      <w:r w:rsidRPr="00F12442">
        <w:rPr>
          <w:b/>
          <w:lang w:val="en-US"/>
        </w:rPr>
        <w:lastRenderedPageBreak/>
        <w:t>Statutes and Regulations Cite</w:t>
      </w:r>
      <w:r w:rsidR="00A41805" w:rsidRPr="00F12442">
        <w:rPr>
          <w:b/>
          <w:lang w:val="en-US"/>
        </w:rPr>
        <w:t>d</w:t>
      </w:r>
    </w:p>
    <w:p w14:paraId="30F95014" w14:textId="5A93DAAB" w:rsidR="008630C1" w:rsidRPr="006A4B86" w:rsidRDefault="008630C1" w:rsidP="00C46863">
      <w:pPr>
        <w:pStyle w:val="SCCNormalDoubleSpacing"/>
        <w:spacing w:after="720" w:line="240" w:lineRule="auto"/>
        <w:ind w:left="547" w:hanging="547"/>
        <w:rPr>
          <w:lang w:val="en-US"/>
        </w:rPr>
      </w:pPr>
      <w:r w:rsidRPr="006A4B86">
        <w:rPr>
          <w:rFonts w:eastAsiaTheme="minorHAnsi"/>
          <w:i/>
          <w:lang w:val="en-US"/>
        </w:rPr>
        <w:t>Criminal Code</w:t>
      </w:r>
      <w:r w:rsidR="00C46863">
        <w:rPr>
          <w:rFonts w:eastAsiaTheme="minorHAnsi"/>
          <w:lang w:val="en-US"/>
        </w:rPr>
        <w:t>, R.S.C. 1985, c. C</w:t>
      </w:r>
      <w:r w:rsidR="00C46863">
        <w:rPr>
          <w:rFonts w:eastAsiaTheme="minorHAnsi"/>
          <w:lang w:val="en-US"/>
        </w:rPr>
        <w:noBreakHyphen/>
      </w:r>
      <w:r w:rsidRPr="006A4B86">
        <w:rPr>
          <w:rFonts w:eastAsiaTheme="minorHAnsi"/>
          <w:lang w:val="en-US"/>
        </w:rPr>
        <w:t>46, ss. </w:t>
      </w:r>
      <w:r w:rsidR="00A9766D" w:rsidRPr="00653262">
        <w:t>8(3)</w:t>
      </w:r>
      <w:r w:rsidR="00A9766D">
        <w:t xml:space="preserve">, </w:t>
      </w:r>
      <w:r w:rsidR="00A9766D" w:rsidRPr="00653262">
        <w:t>9</w:t>
      </w:r>
      <w:r w:rsidR="003A4C06">
        <w:t>(</w:t>
      </w:r>
      <w:r w:rsidR="00A9766D" w:rsidRPr="00653262">
        <w:t>a)</w:t>
      </w:r>
      <w:r w:rsidR="005865B1">
        <w:t xml:space="preserve">, </w:t>
      </w:r>
      <w:r w:rsidR="005865B1" w:rsidRPr="00653262">
        <w:t>109(2)</w:t>
      </w:r>
      <w:r w:rsidR="005865B1">
        <w:t>(</w:t>
      </w:r>
      <w:r w:rsidR="005865B1" w:rsidRPr="00653262">
        <w:t>a)</w:t>
      </w:r>
      <w:r w:rsidR="00A9766D">
        <w:t>,</w:t>
      </w:r>
      <w:r w:rsidR="00D45C40">
        <w:t xml:space="preserve"> </w:t>
      </w:r>
      <w:r w:rsidR="00CD4FBD" w:rsidRPr="00D110C7">
        <w:t>253(1)</w:t>
      </w:r>
      <w:r w:rsidR="00CD4FBD">
        <w:t>(</w:t>
      </w:r>
      <w:r w:rsidR="00CD4FBD" w:rsidRPr="00D110C7">
        <w:t>b</w:t>
      </w:r>
      <w:r w:rsidR="00CD4FBD" w:rsidRPr="00CD4FBD">
        <w:t>)</w:t>
      </w:r>
      <w:r w:rsidR="00CD4FBD" w:rsidRPr="00CD4FBD">
        <w:rPr>
          <w:rFonts w:eastAsiaTheme="minorHAnsi"/>
          <w:lang w:val="en-US"/>
        </w:rPr>
        <w:t xml:space="preserve"> </w:t>
      </w:r>
      <w:r w:rsidR="00CD4FBD" w:rsidRPr="006E2B9D">
        <w:rPr>
          <w:rFonts w:eastAsiaTheme="minorHAnsi"/>
          <w:lang w:val="en-US"/>
        </w:rPr>
        <w:t>[rep. S.C. 2018, c. 21, s. 14]</w:t>
      </w:r>
      <w:r w:rsidR="006C3819" w:rsidRPr="006E2B9D">
        <w:rPr>
          <w:rFonts w:eastAsiaTheme="minorHAnsi"/>
          <w:lang w:val="en-US"/>
        </w:rPr>
        <w:t xml:space="preserve">, </w:t>
      </w:r>
      <w:r w:rsidR="006C3819" w:rsidRPr="006E2B9D">
        <w:rPr>
          <w:lang w:val="en-US"/>
        </w:rPr>
        <w:t xml:space="preserve">255(5) </w:t>
      </w:r>
      <w:r w:rsidR="006C3819" w:rsidRPr="006E2B9D">
        <w:rPr>
          <w:rFonts w:eastAsiaTheme="minorHAnsi"/>
          <w:lang w:val="en-US"/>
        </w:rPr>
        <w:t>[</w:t>
      </w:r>
      <w:r w:rsidR="006C3819" w:rsidRPr="006E2B9D">
        <w:rPr>
          <w:i/>
          <w:iCs/>
          <w:lang w:val="en-US"/>
        </w:rPr>
        <w:t>idem</w:t>
      </w:r>
      <w:r w:rsidR="006C3819" w:rsidRPr="006E2B9D">
        <w:rPr>
          <w:rFonts w:eastAsiaTheme="minorHAnsi"/>
          <w:lang w:val="en-US"/>
        </w:rPr>
        <w:t>]</w:t>
      </w:r>
      <w:r w:rsidR="00CD4FBD" w:rsidRPr="006E2B9D">
        <w:t xml:space="preserve">, </w:t>
      </w:r>
      <w:r w:rsidR="00761E65" w:rsidRPr="006E2B9D">
        <w:rPr>
          <w:rFonts w:eastAsiaTheme="minorHAnsi"/>
          <w:lang w:val="en-US"/>
        </w:rPr>
        <w:t>259(1)</w:t>
      </w:r>
      <w:r w:rsidR="00CD4FBD" w:rsidRPr="006E2B9D">
        <w:rPr>
          <w:rFonts w:eastAsiaTheme="minorHAnsi"/>
          <w:lang w:val="en-US"/>
        </w:rPr>
        <w:t xml:space="preserve"> [</w:t>
      </w:r>
      <w:r w:rsidR="00CD4FBD" w:rsidRPr="006E2B9D">
        <w:rPr>
          <w:i/>
          <w:iCs/>
        </w:rPr>
        <w:t>idem</w:t>
      </w:r>
      <w:r w:rsidR="00CD4FBD" w:rsidRPr="006E2B9D">
        <w:rPr>
          <w:rFonts w:eastAsiaTheme="minorHAnsi"/>
          <w:lang w:val="en-US"/>
        </w:rPr>
        <w:t>]</w:t>
      </w:r>
      <w:r w:rsidR="006A4B86" w:rsidRPr="006E2B9D">
        <w:rPr>
          <w:rFonts w:eastAsiaTheme="minorHAnsi"/>
          <w:lang w:val="en-US"/>
        </w:rPr>
        <w:t xml:space="preserve">, </w:t>
      </w:r>
      <w:r w:rsidR="006A4B86" w:rsidRPr="006E2B9D">
        <w:rPr>
          <w:lang w:val="en-US"/>
        </w:rPr>
        <w:t xml:space="preserve">320.24(2) [ad. </w:t>
      </w:r>
      <w:r w:rsidR="006A4B86" w:rsidRPr="006E2B9D">
        <w:rPr>
          <w:i/>
          <w:iCs/>
        </w:rPr>
        <w:t>idem</w:t>
      </w:r>
      <w:r w:rsidR="006A4B86" w:rsidRPr="006E2B9D">
        <w:rPr>
          <w:rFonts w:eastAsiaTheme="minorHAnsi"/>
          <w:lang w:val="en-US"/>
        </w:rPr>
        <w:t>, s. 15]</w:t>
      </w:r>
      <w:r w:rsidR="00191029" w:rsidRPr="006E2B9D">
        <w:rPr>
          <w:rFonts w:eastAsiaTheme="minorHAnsi"/>
          <w:lang w:val="en-US"/>
        </w:rPr>
        <w:t>,</w:t>
      </w:r>
      <w:r w:rsidR="00191029">
        <w:rPr>
          <w:rFonts w:eastAsiaTheme="minorHAnsi"/>
          <w:lang w:val="en-US"/>
        </w:rPr>
        <w:t xml:space="preserve"> </w:t>
      </w:r>
      <w:r w:rsidR="00F26870">
        <w:rPr>
          <w:rFonts w:eastAsiaTheme="minorHAnsi"/>
          <w:lang w:val="en-US"/>
        </w:rPr>
        <w:t>P</w:t>
      </w:r>
      <w:r w:rsidR="00F26870" w:rsidRPr="00653262">
        <w:t>ar</w:t>
      </w:r>
      <w:r w:rsidR="00F26870">
        <w:t>t</w:t>
      </w:r>
      <w:r w:rsidR="0092007A">
        <w:t> </w:t>
      </w:r>
      <w:r w:rsidR="00F26870" w:rsidRPr="00653262">
        <w:t>XXIII</w:t>
      </w:r>
      <w:r w:rsidR="005C1F4B">
        <w:t xml:space="preserve">, </w:t>
      </w:r>
      <w:r w:rsidR="00E8302C" w:rsidRPr="006C4988">
        <w:rPr>
          <w:rFonts w:eastAsiaTheme="minorHAnsi"/>
          <w:szCs w:val="24"/>
          <w:lang w:val="en-US"/>
        </w:rPr>
        <w:t>718.3(2)</w:t>
      </w:r>
      <w:r w:rsidR="00EA2B4D">
        <w:rPr>
          <w:rFonts w:eastAsiaTheme="minorHAnsi"/>
          <w:lang w:val="en-US"/>
        </w:rPr>
        <w:t>,</w:t>
      </w:r>
      <w:r w:rsidR="00EA2B4D" w:rsidRPr="00332698">
        <w:rPr>
          <w:rFonts w:eastAsiaTheme="minorHAnsi"/>
          <w:lang w:val="en-US"/>
        </w:rPr>
        <w:t xml:space="preserve"> 719(1)</w:t>
      </w:r>
      <w:r w:rsidR="00696545">
        <w:rPr>
          <w:rFonts w:eastAsiaTheme="minorHAnsi"/>
          <w:lang w:val="en-US"/>
        </w:rPr>
        <w:t xml:space="preserve">, </w:t>
      </w:r>
      <w:r w:rsidR="00696545" w:rsidRPr="00CD4FBD">
        <w:rPr>
          <w:lang w:val="en-US"/>
        </w:rPr>
        <w:t>(3)</w:t>
      </w:r>
      <w:r w:rsidRPr="006A4B86">
        <w:rPr>
          <w:rFonts w:eastAsiaTheme="minorHAnsi"/>
          <w:lang w:val="en-US"/>
        </w:rPr>
        <w:t>.</w:t>
      </w:r>
    </w:p>
    <w:p w14:paraId="799CE0DF" w14:textId="77777777" w:rsidR="002E6705" w:rsidRDefault="002E6705" w:rsidP="00C46863">
      <w:pPr>
        <w:pStyle w:val="SCCNormalDoubleSpacing"/>
        <w:spacing w:after="720" w:line="240" w:lineRule="auto"/>
        <w:rPr>
          <w:b/>
        </w:rPr>
      </w:pPr>
      <w:r w:rsidRPr="00314E01">
        <w:rPr>
          <w:b/>
        </w:rPr>
        <w:t>Authors Cited</w:t>
      </w:r>
    </w:p>
    <w:p w14:paraId="49C20CEF" w14:textId="4EAF940B" w:rsidR="003218E2" w:rsidRDefault="003218E2" w:rsidP="00C46863">
      <w:pPr>
        <w:pStyle w:val="SCCNormalDoubleSpacing"/>
        <w:spacing w:after="240" w:line="240" w:lineRule="auto"/>
        <w:ind w:left="547" w:hanging="547"/>
      </w:pPr>
      <w:r w:rsidRPr="00D03BE2">
        <w:rPr>
          <w:lang w:val="en-US"/>
        </w:rPr>
        <w:t>Allen</w:t>
      </w:r>
      <w:r>
        <w:rPr>
          <w:lang w:val="en-US"/>
        </w:rPr>
        <w:t xml:space="preserve">, </w:t>
      </w:r>
      <w:r w:rsidRPr="00D03BE2">
        <w:rPr>
          <w:lang w:val="en-US"/>
        </w:rPr>
        <w:t>Carleton Kemp</w:t>
      </w:r>
      <w:r>
        <w:rPr>
          <w:lang w:val="en-US"/>
        </w:rPr>
        <w:t xml:space="preserve">. </w:t>
      </w:r>
      <w:r w:rsidRPr="00653262">
        <w:rPr>
          <w:i/>
          <w:lang w:val="en-US"/>
        </w:rPr>
        <w:t>Law in the Making</w:t>
      </w:r>
      <w:r w:rsidR="00725166">
        <w:rPr>
          <w:lang w:val="en-US"/>
        </w:rPr>
        <w:t>,</w:t>
      </w:r>
      <w:r w:rsidR="00725166" w:rsidRPr="00B446C3">
        <w:rPr>
          <w:lang w:val="en-US"/>
        </w:rPr>
        <w:t xml:space="preserve"> special ed.</w:t>
      </w:r>
      <w:r w:rsidR="00725166">
        <w:rPr>
          <w:lang w:val="en-US"/>
        </w:rPr>
        <w:t xml:space="preserve"> New York:</w:t>
      </w:r>
      <w:r>
        <w:rPr>
          <w:lang w:val="en-US"/>
        </w:rPr>
        <w:t xml:space="preserve"> Lega</w:t>
      </w:r>
      <w:r w:rsidRPr="00D03BE2">
        <w:rPr>
          <w:lang w:val="en-US"/>
        </w:rPr>
        <w:t>l Classics Library</w:t>
      </w:r>
      <w:r>
        <w:rPr>
          <w:lang w:val="en-US"/>
        </w:rPr>
        <w:t xml:space="preserve">, </w:t>
      </w:r>
      <w:r w:rsidRPr="00653262">
        <w:rPr>
          <w:lang w:val="en-US"/>
        </w:rPr>
        <w:t>19</w:t>
      </w:r>
      <w:r>
        <w:rPr>
          <w:lang w:val="en-US"/>
        </w:rPr>
        <w:t>92.</w:t>
      </w:r>
    </w:p>
    <w:p w14:paraId="57780036" w14:textId="77777777" w:rsidR="008113E9" w:rsidRDefault="008113E9" w:rsidP="00C46863">
      <w:pPr>
        <w:pStyle w:val="SCCNormalDoubleSpacing"/>
        <w:spacing w:after="240" w:line="240" w:lineRule="auto"/>
        <w:ind w:left="547" w:hanging="547"/>
      </w:pPr>
      <w:r w:rsidRPr="00653262">
        <w:t>Brown,</w:t>
      </w:r>
      <w:r>
        <w:t xml:space="preserve"> Desmond H.</w:t>
      </w:r>
      <w:r w:rsidRPr="00653262">
        <w:t xml:space="preserve"> </w:t>
      </w:r>
      <w:r w:rsidRPr="00653262">
        <w:rPr>
          <w:i/>
        </w:rPr>
        <w:t xml:space="preserve">The Genesis of the </w:t>
      </w:r>
      <w:r>
        <w:rPr>
          <w:i/>
        </w:rPr>
        <w:t xml:space="preserve">Canadian </w:t>
      </w:r>
      <w:r w:rsidRPr="00653262">
        <w:rPr>
          <w:i/>
        </w:rPr>
        <w:t>Criminal Code of 1892</w:t>
      </w:r>
      <w:r>
        <w:t>.</w:t>
      </w:r>
      <w:r w:rsidRPr="008113E9">
        <w:rPr>
          <w:color w:val="000000"/>
        </w:rPr>
        <w:t xml:space="preserve"> </w:t>
      </w:r>
      <w:r>
        <w:rPr>
          <w:color w:val="000000"/>
        </w:rPr>
        <w:t xml:space="preserve">Toronto: Osgoode Society, </w:t>
      </w:r>
      <w:r w:rsidRPr="00653262">
        <w:t>1989</w:t>
      </w:r>
      <w:r>
        <w:t>.</w:t>
      </w:r>
    </w:p>
    <w:p w14:paraId="52F44476" w14:textId="77777777" w:rsidR="003D4973" w:rsidRPr="003D4973" w:rsidRDefault="003D4973" w:rsidP="00C46863">
      <w:pPr>
        <w:pStyle w:val="SCCNormalDoubleSpacing"/>
        <w:spacing w:after="240" w:line="240" w:lineRule="auto"/>
        <w:ind w:left="547" w:hanging="547"/>
        <w:rPr>
          <w:lang w:val="en-US"/>
        </w:rPr>
      </w:pPr>
      <w:r w:rsidRPr="008113E9">
        <w:rPr>
          <w:lang w:val="en-US"/>
        </w:rPr>
        <w:t xml:space="preserve">Canada. </w:t>
      </w:r>
      <w:r w:rsidRPr="00783136">
        <w:rPr>
          <w:lang w:val="en-US"/>
        </w:rPr>
        <w:t>Canadian Sentencing Commission.</w:t>
      </w:r>
      <w:r w:rsidRPr="003D4973">
        <w:rPr>
          <w:i/>
          <w:iCs/>
          <w:lang w:val="en-US" w:bidi="en-US"/>
        </w:rPr>
        <w:t xml:space="preserve"> Sentencing Reform: A Canadian Approach</w:t>
      </w:r>
      <w:r>
        <w:rPr>
          <w:lang w:val="en-US"/>
        </w:rPr>
        <w:t>.</w:t>
      </w:r>
      <w:r w:rsidRPr="003D4973">
        <w:rPr>
          <w:lang w:val="en-US"/>
        </w:rPr>
        <w:t xml:space="preserve"> Ottawa, </w:t>
      </w:r>
      <w:r w:rsidRPr="003D4973">
        <w:rPr>
          <w:iCs/>
          <w:lang w:val="en-US" w:bidi="en-US"/>
        </w:rPr>
        <w:t>1987.</w:t>
      </w:r>
    </w:p>
    <w:p w14:paraId="2FE2EF25" w14:textId="77777777" w:rsidR="00783136" w:rsidRPr="006470DA" w:rsidRDefault="00783136" w:rsidP="00C46863">
      <w:pPr>
        <w:pStyle w:val="SCCNormalDoubleSpacing"/>
        <w:spacing w:after="240" w:line="240" w:lineRule="auto"/>
        <w:ind w:left="547" w:hanging="547"/>
        <w:rPr>
          <w:lang w:val="fr-CA"/>
        </w:rPr>
      </w:pPr>
      <w:r w:rsidRPr="008113E9">
        <w:rPr>
          <w:lang w:val="en-US"/>
        </w:rPr>
        <w:t xml:space="preserve">Canada. </w:t>
      </w:r>
      <w:r w:rsidRPr="00783136">
        <w:rPr>
          <w:lang w:val="en-US"/>
        </w:rPr>
        <w:t xml:space="preserve">Canadian Sentencing Commission. </w:t>
      </w:r>
      <w:r w:rsidRPr="00783136">
        <w:rPr>
          <w:i/>
          <w:lang w:val="en-US"/>
        </w:rPr>
        <w:t>Sentencing Structure in Canada</w:t>
      </w:r>
      <w:r>
        <w:rPr>
          <w:i/>
          <w:lang w:val="en-US"/>
        </w:rPr>
        <w:t>: H</w:t>
      </w:r>
      <w:r w:rsidRPr="00783136">
        <w:rPr>
          <w:i/>
          <w:lang w:val="en-US"/>
        </w:rPr>
        <w:t xml:space="preserve">istorical </w:t>
      </w:r>
      <w:r>
        <w:rPr>
          <w:i/>
          <w:lang w:val="en-US"/>
        </w:rPr>
        <w:t>P</w:t>
      </w:r>
      <w:r w:rsidRPr="00783136">
        <w:rPr>
          <w:i/>
          <w:lang w:val="en-US"/>
        </w:rPr>
        <w:t>erspectives</w:t>
      </w:r>
      <w:r w:rsidRPr="00783136">
        <w:rPr>
          <w:lang w:val="en-US"/>
        </w:rPr>
        <w:t xml:space="preserve">, </w:t>
      </w:r>
      <w:r>
        <w:rPr>
          <w:lang w:val="en-US"/>
        </w:rPr>
        <w:t>by</w:t>
      </w:r>
      <w:r w:rsidRPr="00783136">
        <w:rPr>
          <w:lang w:val="en-US"/>
        </w:rPr>
        <w:t xml:space="preserve"> Martin Friedland</w:t>
      </w:r>
      <w:r>
        <w:rPr>
          <w:lang w:val="en-US"/>
        </w:rPr>
        <w:t>.</w:t>
      </w:r>
      <w:r w:rsidRPr="00783136">
        <w:rPr>
          <w:lang w:val="en-US"/>
        </w:rPr>
        <w:t xml:space="preserve"> </w:t>
      </w:r>
      <w:r w:rsidRPr="006470DA">
        <w:rPr>
          <w:lang w:val="fr-CA"/>
        </w:rPr>
        <w:t>Ottawa,</w:t>
      </w:r>
      <w:r w:rsidRPr="006470DA">
        <w:rPr>
          <w:i/>
          <w:lang w:val="fr-CA"/>
        </w:rPr>
        <w:t xml:space="preserve"> </w:t>
      </w:r>
      <w:r w:rsidRPr="006470DA">
        <w:rPr>
          <w:lang w:val="fr-CA"/>
        </w:rPr>
        <w:t>1988.</w:t>
      </w:r>
    </w:p>
    <w:p w14:paraId="6EB89697" w14:textId="77777777" w:rsidR="0072767D" w:rsidRPr="00155F51" w:rsidRDefault="0072767D" w:rsidP="00C46863">
      <w:pPr>
        <w:pStyle w:val="SCCNormalDoubleSpacing"/>
        <w:spacing w:after="240" w:line="240" w:lineRule="auto"/>
        <w:ind w:left="547" w:hanging="547"/>
        <w:rPr>
          <w:lang w:val="fr-CA"/>
        </w:rPr>
      </w:pPr>
      <w:r w:rsidRPr="0073723A">
        <w:rPr>
          <w:szCs w:val="24"/>
          <w:lang w:val="fr-CA"/>
        </w:rPr>
        <w:t xml:space="preserve">Cornu, Gérard. </w:t>
      </w:r>
      <w:r w:rsidRPr="0073723A">
        <w:rPr>
          <w:i/>
          <w:szCs w:val="24"/>
          <w:lang w:val="fr-CA"/>
        </w:rPr>
        <w:t>Linguistique jurid</w:t>
      </w:r>
      <w:r w:rsidRPr="00155F51">
        <w:rPr>
          <w:i/>
          <w:szCs w:val="24"/>
          <w:lang w:val="fr-CA"/>
        </w:rPr>
        <w:t>ique</w:t>
      </w:r>
      <w:r>
        <w:rPr>
          <w:szCs w:val="24"/>
          <w:lang w:val="fr-CA"/>
        </w:rPr>
        <w:t xml:space="preserve">, </w:t>
      </w:r>
      <w:r w:rsidRPr="00155F51">
        <w:rPr>
          <w:szCs w:val="24"/>
          <w:lang w:val="fr-CA"/>
        </w:rPr>
        <w:t>3</w:t>
      </w:r>
      <w:r w:rsidRPr="00155F51">
        <w:rPr>
          <w:szCs w:val="24"/>
          <w:vertAlign w:val="superscript"/>
          <w:lang w:val="fr-CA"/>
        </w:rPr>
        <w:t>e</w:t>
      </w:r>
      <w:r w:rsidRPr="00155F51">
        <w:rPr>
          <w:szCs w:val="24"/>
          <w:lang w:val="fr-CA"/>
        </w:rPr>
        <w:t> éd.</w:t>
      </w:r>
      <w:r>
        <w:rPr>
          <w:szCs w:val="24"/>
          <w:lang w:val="fr-CA"/>
        </w:rPr>
        <w:t xml:space="preserve"> </w:t>
      </w:r>
      <w:r w:rsidRPr="00155F51">
        <w:rPr>
          <w:szCs w:val="24"/>
          <w:lang w:val="fr-CA"/>
        </w:rPr>
        <w:t>Paris</w:t>
      </w:r>
      <w:r>
        <w:rPr>
          <w:szCs w:val="24"/>
          <w:lang w:val="fr-CA"/>
        </w:rPr>
        <w:t xml:space="preserve">: </w:t>
      </w:r>
      <w:r w:rsidRPr="00155F51">
        <w:rPr>
          <w:szCs w:val="24"/>
          <w:lang w:val="fr-CA"/>
        </w:rPr>
        <w:t>Montchrestien</w:t>
      </w:r>
      <w:r>
        <w:rPr>
          <w:szCs w:val="24"/>
          <w:lang w:val="fr-CA"/>
        </w:rPr>
        <w:t>,</w:t>
      </w:r>
      <w:r w:rsidRPr="00155F51">
        <w:rPr>
          <w:szCs w:val="24"/>
          <w:lang w:val="fr-CA"/>
        </w:rPr>
        <w:t xml:space="preserve"> 2005</w:t>
      </w:r>
      <w:r>
        <w:rPr>
          <w:szCs w:val="24"/>
          <w:lang w:val="fr-CA"/>
        </w:rPr>
        <w:t>.</w:t>
      </w:r>
    </w:p>
    <w:p w14:paraId="5D22BBC5" w14:textId="1E75062E" w:rsidR="00552F8E" w:rsidRPr="006470DA" w:rsidRDefault="003D6840" w:rsidP="00C46863">
      <w:pPr>
        <w:pStyle w:val="SCCNormalDoubleSpacing"/>
        <w:spacing w:after="240" w:line="240" w:lineRule="auto"/>
        <w:ind w:left="547" w:hanging="547"/>
        <w:rPr>
          <w:lang w:val="en-US"/>
        </w:rPr>
      </w:pPr>
      <w:r w:rsidRPr="00246A3E">
        <w:rPr>
          <w:lang w:val="fr-CA"/>
        </w:rPr>
        <w:t>Côté</w:t>
      </w:r>
      <w:r>
        <w:rPr>
          <w:lang w:val="fr-CA"/>
        </w:rPr>
        <w:t xml:space="preserve">, </w:t>
      </w:r>
      <w:r w:rsidR="00C46863">
        <w:rPr>
          <w:lang w:val="fr-CA"/>
        </w:rPr>
        <w:t>Pierre</w:t>
      </w:r>
      <w:r w:rsidR="00C46863">
        <w:rPr>
          <w:lang w:val="fr-CA"/>
        </w:rPr>
        <w:noBreakHyphen/>
      </w:r>
      <w:r w:rsidRPr="00246A3E">
        <w:rPr>
          <w:lang w:val="fr-CA"/>
        </w:rPr>
        <w:t>André</w:t>
      </w:r>
      <w:r>
        <w:rPr>
          <w:lang w:val="fr-CA"/>
        </w:rPr>
        <w:t>,</w:t>
      </w:r>
      <w:r w:rsidR="00C46863">
        <w:rPr>
          <w:lang w:val="fr-CA"/>
        </w:rPr>
        <w:t xml:space="preserve"> et Mathieu </w:t>
      </w:r>
      <w:r w:rsidRPr="00246A3E">
        <w:rPr>
          <w:lang w:val="fr-CA"/>
        </w:rPr>
        <w:t>Devinat</w:t>
      </w:r>
      <w:r>
        <w:rPr>
          <w:lang w:val="fr-CA"/>
        </w:rPr>
        <w:t>.</w:t>
      </w:r>
      <w:r w:rsidRPr="00246A3E">
        <w:rPr>
          <w:lang w:val="fr-CA"/>
        </w:rPr>
        <w:t xml:space="preserve"> </w:t>
      </w:r>
      <w:r w:rsidRPr="00246A3E">
        <w:rPr>
          <w:i/>
          <w:lang w:val="fr-CA"/>
        </w:rPr>
        <w:t>Interprétation des lois</w:t>
      </w:r>
      <w:r>
        <w:rPr>
          <w:lang w:val="fr-CA"/>
        </w:rPr>
        <w:t xml:space="preserve">, </w:t>
      </w:r>
      <w:r w:rsidRPr="00246A3E">
        <w:rPr>
          <w:lang w:val="fr-CA"/>
        </w:rPr>
        <w:t>5</w:t>
      </w:r>
      <w:r w:rsidRPr="00246A3E">
        <w:rPr>
          <w:vertAlign w:val="superscript"/>
          <w:lang w:val="fr-CA"/>
        </w:rPr>
        <w:t>e</w:t>
      </w:r>
      <w:r w:rsidRPr="00246A3E">
        <w:rPr>
          <w:lang w:val="fr-CA"/>
        </w:rPr>
        <w:t xml:space="preserve"> éd.</w:t>
      </w:r>
      <w:r>
        <w:rPr>
          <w:lang w:val="fr-CA"/>
        </w:rPr>
        <w:t xml:space="preserve"> </w:t>
      </w:r>
      <w:r w:rsidRPr="006470DA">
        <w:rPr>
          <w:lang w:val="en-US"/>
        </w:rPr>
        <w:t>Montréal: Thémis, 2021.</w:t>
      </w:r>
    </w:p>
    <w:p w14:paraId="231C97E4" w14:textId="77777777" w:rsidR="00994004" w:rsidRDefault="00994004" w:rsidP="00C46863">
      <w:pPr>
        <w:pStyle w:val="SCCNormalDoubleSpacing"/>
        <w:spacing w:after="240" w:line="240" w:lineRule="auto"/>
        <w:ind w:left="547" w:hanging="547"/>
      </w:pPr>
      <w:r w:rsidRPr="00653262">
        <w:t>Cro</w:t>
      </w:r>
      <w:r>
        <w:t>u</w:t>
      </w:r>
      <w:r w:rsidRPr="00653262">
        <w:t>se,</w:t>
      </w:r>
      <w:r>
        <w:t xml:space="preserve"> George H. “</w:t>
      </w:r>
      <w:r w:rsidRPr="00653262">
        <w:t>A Critique of Canadian Criminal Legislation</w:t>
      </w:r>
      <w:r>
        <w:t>: Part One”</w:t>
      </w:r>
      <w:r w:rsidRPr="00653262">
        <w:t xml:space="preserve"> (1934)</w:t>
      </w:r>
      <w:r>
        <w:t>,</w:t>
      </w:r>
      <w:r w:rsidRPr="00653262">
        <w:t xml:space="preserve"> </w:t>
      </w:r>
      <w:r>
        <w:t xml:space="preserve">12 </w:t>
      </w:r>
      <w:r>
        <w:rPr>
          <w:i/>
        </w:rPr>
        <w:t>C</w:t>
      </w:r>
      <w:r w:rsidRPr="00AF5AE9">
        <w:rPr>
          <w:i/>
          <w:lang w:val="en-US"/>
        </w:rPr>
        <w:t>an.</w:t>
      </w:r>
      <w:r>
        <w:rPr>
          <w:i/>
          <w:lang w:val="en-US"/>
        </w:rPr>
        <w:t xml:space="preserve"> Bar Rev.</w:t>
      </w:r>
      <w:r w:rsidRPr="004E57F2">
        <w:rPr>
          <w:lang w:val="en-US"/>
        </w:rPr>
        <w:t xml:space="preserve"> </w:t>
      </w:r>
      <w:r w:rsidRPr="00653262">
        <w:t>545</w:t>
      </w:r>
      <w:r>
        <w:t>.</w:t>
      </w:r>
    </w:p>
    <w:p w14:paraId="0DB42372" w14:textId="23BB897B" w:rsidR="00A332E4" w:rsidRPr="00293EAE" w:rsidRDefault="00C46863" w:rsidP="00C46863">
      <w:pPr>
        <w:pStyle w:val="SCCNormalDoubleSpacing"/>
        <w:spacing w:after="240" w:line="240" w:lineRule="auto"/>
        <w:ind w:left="547" w:hanging="547"/>
        <w:rPr>
          <w:lang w:val="fr-CA"/>
        </w:rPr>
      </w:pPr>
      <w:r>
        <w:rPr>
          <w:lang w:val="en-US"/>
        </w:rPr>
        <w:t xml:space="preserve">Driedger, Elmer </w:t>
      </w:r>
      <w:r w:rsidR="00A332E4" w:rsidRPr="00543196">
        <w:rPr>
          <w:lang w:val="en-US"/>
        </w:rPr>
        <w:t xml:space="preserve">A. </w:t>
      </w:r>
      <w:r w:rsidR="00A332E4" w:rsidRPr="00543196">
        <w:rPr>
          <w:i/>
          <w:iCs/>
          <w:lang w:val="en-US"/>
        </w:rPr>
        <w:t>Construction of Statutes</w:t>
      </w:r>
      <w:r w:rsidR="00A332E4" w:rsidRPr="00543196">
        <w:rPr>
          <w:lang w:val="en-US"/>
        </w:rPr>
        <w:t xml:space="preserve">, 2nd ed. </w:t>
      </w:r>
      <w:r w:rsidR="00A332E4" w:rsidRPr="00293EAE">
        <w:rPr>
          <w:lang w:val="fr-CA"/>
        </w:rPr>
        <w:t>Toronto: Butterworth, 1983.</w:t>
      </w:r>
    </w:p>
    <w:p w14:paraId="3CE04C0C" w14:textId="77777777" w:rsidR="00A0095C" w:rsidRDefault="00A0095C" w:rsidP="00C46863">
      <w:pPr>
        <w:pStyle w:val="SCCNormalDoubleSpacing"/>
        <w:spacing w:after="240" w:line="240" w:lineRule="auto"/>
        <w:ind w:left="547" w:hanging="547"/>
        <w:rPr>
          <w:lang w:val="fr-CA"/>
        </w:rPr>
      </w:pPr>
      <w:r w:rsidRPr="004C1EE3">
        <w:rPr>
          <w:lang w:val="fr-CA"/>
        </w:rPr>
        <w:t xml:space="preserve">Dumont, </w:t>
      </w:r>
      <w:r>
        <w:rPr>
          <w:lang w:val="fr-CA"/>
        </w:rPr>
        <w:t>Hélène.</w:t>
      </w:r>
      <w:r w:rsidRPr="004C1EE3">
        <w:rPr>
          <w:lang w:val="fr-CA"/>
        </w:rPr>
        <w:t xml:space="preserve"> </w:t>
      </w:r>
      <w:r w:rsidRPr="004C1EE3">
        <w:rPr>
          <w:i/>
          <w:lang w:val="fr-CA"/>
        </w:rPr>
        <w:t xml:space="preserve">Pénologie: </w:t>
      </w:r>
      <w:r w:rsidRPr="00BB7DD9">
        <w:rPr>
          <w:i/>
          <w:lang w:val="fr-CA"/>
        </w:rPr>
        <w:t>Le droit canadien relatif aux peines et aux sentences</w:t>
      </w:r>
      <w:r>
        <w:rPr>
          <w:lang w:val="fr-CA"/>
        </w:rPr>
        <w:t xml:space="preserve">. Montréal: Thémis, </w:t>
      </w:r>
      <w:r w:rsidRPr="004C1EE3">
        <w:rPr>
          <w:lang w:val="fr-CA"/>
        </w:rPr>
        <w:t>1993</w:t>
      </w:r>
      <w:r>
        <w:rPr>
          <w:lang w:val="fr-CA"/>
        </w:rPr>
        <w:t>.</w:t>
      </w:r>
    </w:p>
    <w:p w14:paraId="30DB7763" w14:textId="518F1680" w:rsidR="005F553A" w:rsidRPr="00F12442" w:rsidRDefault="005F553A" w:rsidP="00C46863">
      <w:pPr>
        <w:pStyle w:val="SCCNormalDoubleSpacing"/>
        <w:spacing w:after="240" w:line="240" w:lineRule="auto"/>
        <w:ind w:left="547" w:hanging="547"/>
        <w:rPr>
          <w:lang w:val="en-US"/>
        </w:rPr>
      </w:pPr>
      <w:r w:rsidRPr="00FF7977">
        <w:rPr>
          <w:lang w:val="fr-CA"/>
        </w:rPr>
        <w:t>Fortin</w:t>
      </w:r>
      <w:r>
        <w:rPr>
          <w:lang w:val="fr-CA"/>
        </w:rPr>
        <w:t>, Jacques, et Louise</w:t>
      </w:r>
      <w:r w:rsidR="00C46863">
        <w:rPr>
          <w:lang w:val="fr-CA"/>
        </w:rPr>
        <w:t xml:space="preserve"> </w:t>
      </w:r>
      <w:r w:rsidRPr="00FF7977">
        <w:rPr>
          <w:lang w:val="fr-CA"/>
        </w:rPr>
        <w:t>Viau</w:t>
      </w:r>
      <w:r>
        <w:rPr>
          <w:lang w:val="fr-CA"/>
        </w:rPr>
        <w:t>.</w:t>
      </w:r>
      <w:r w:rsidRPr="00FF7977">
        <w:rPr>
          <w:lang w:val="fr-CA"/>
        </w:rPr>
        <w:t xml:space="preserve"> </w:t>
      </w:r>
      <w:r w:rsidRPr="00FF7977">
        <w:rPr>
          <w:i/>
          <w:lang w:val="fr-CA"/>
        </w:rPr>
        <w:t>Traité de droit pénal général</w:t>
      </w:r>
      <w:r>
        <w:rPr>
          <w:lang w:val="fr-CA"/>
        </w:rPr>
        <w:t xml:space="preserve">. </w:t>
      </w:r>
      <w:r w:rsidRPr="00F12442">
        <w:rPr>
          <w:lang w:val="en-US"/>
        </w:rPr>
        <w:t xml:space="preserve">Montréal: </w:t>
      </w:r>
      <w:r w:rsidR="00C34F1B" w:rsidRPr="00F12442">
        <w:rPr>
          <w:lang w:val="en-US"/>
        </w:rPr>
        <w:t>Thémis</w:t>
      </w:r>
      <w:r w:rsidRPr="00F12442">
        <w:rPr>
          <w:lang w:val="en-US"/>
        </w:rPr>
        <w:t>, 1982.</w:t>
      </w:r>
    </w:p>
    <w:p w14:paraId="39B67129" w14:textId="4EC4FACB" w:rsidR="007F0431" w:rsidRPr="00376F1D" w:rsidRDefault="007F0431" w:rsidP="00C46863">
      <w:pPr>
        <w:pStyle w:val="SCCNormalDoubleSpacing"/>
        <w:spacing w:after="240" w:line="240" w:lineRule="auto"/>
        <w:ind w:left="547" w:hanging="547"/>
        <w:rPr>
          <w:lang w:val="en-US"/>
        </w:rPr>
      </w:pPr>
      <w:r w:rsidRPr="00653262">
        <w:t>Manson,</w:t>
      </w:r>
      <w:r>
        <w:t xml:space="preserve"> Allan.</w:t>
      </w:r>
      <w:r w:rsidRPr="00653262">
        <w:t xml:space="preserve"> </w:t>
      </w:r>
      <w:r>
        <w:t>“</w:t>
      </w:r>
      <w:r w:rsidR="00C46863">
        <w:t>Pre</w:t>
      </w:r>
      <w:r w:rsidR="00C46863">
        <w:noBreakHyphen/>
      </w:r>
      <w:r w:rsidRPr="00653262">
        <w:t xml:space="preserve">Sentence Custody and the Determination of </w:t>
      </w:r>
      <w:r>
        <w:t xml:space="preserve">a </w:t>
      </w:r>
      <w:r w:rsidRPr="00653262">
        <w:t>Sentence (</w:t>
      </w:r>
      <w:r>
        <w:t>O</w:t>
      </w:r>
      <w:r w:rsidRPr="00653262">
        <w:t>r How to Make</w:t>
      </w:r>
      <w:r>
        <w:t xml:space="preserve"> a Mole Hill out of a Mountain)”</w:t>
      </w:r>
      <w:r w:rsidRPr="00653262">
        <w:t xml:space="preserve"> (2004), 49 </w:t>
      </w:r>
      <w:r w:rsidRPr="00F37F25">
        <w:rPr>
          <w:i/>
        </w:rPr>
        <w:t>C.L.Q.</w:t>
      </w:r>
      <w:r w:rsidRPr="00653262">
        <w:t xml:space="preserve"> 292</w:t>
      </w:r>
      <w:r>
        <w:t>.</w:t>
      </w:r>
    </w:p>
    <w:p w14:paraId="3A6A7946" w14:textId="1A4B544F" w:rsidR="00794B07" w:rsidRPr="00E41DC8" w:rsidRDefault="00794B07" w:rsidP="00C46863">
      <w:pPr>
        <w:pStyle w:val="SCCNormalDoubleSpacing"/>
        <w:spacing w:after="240" w:line="240" w:lineRule="auto"/>
        <w:ind w:left="547" w:hanging="547"/>
        <w:rPr>
          <w:lang w:val="fr-CA"/>
        </w:rPr>
      </w:pPr>
      <w:r w:rsidRPr="00CA694C">
        <w:rPr>
          <w:lang w:val="fr-CA" w:bidi="en-US"/>
        </w:rPr>
        <w:t xml:space="preserve">Mayrand, Albert. </w:t>
      </w:r>
      <w:r w:rsidR="00417F0E">
        <w:rPr>
          <w:i/>
          <w:lang w:val="fr-CA" w:bidi="en-US"/>
        </w:rPr>
        <w:t>Dictionnaire de maximes et locu</w:t>
      </w:r>
      <w:r w:rsidRPr="00E41DC8">
        <w:rPr>
          <w:i/>
          <w:lang w:val="fr-CA" w:bidi="en-US"/>
        </w:rPr>
        <w:t>tions latines utilisées en droit</w:t>
      </w:r>
      <w:r w:rsidRPr="00E41DC8">
        <w:rPr>
          <w:lang w:val="fr-CA" w:bidi="en-US"/>
        </w:rPr>
        <w:t>, 4</w:t>
      </w:r>
      <w:r w:rsidRPr="00E41DC8">
        <w:rPr>
          <w:vertAlign w:val="superscript"/>
          <w:lang w:val="fr-CA" w:bidi="en-US"/>
        </w:rPr>
        <w:t>e</w:t>
      </w:r>
      <w:r w:rsidRPr="00E41DC8">
        <w:rPr>
          <w:lang w:val="fr-CA" w:bidi="en-US"/>
        </w:rPr>
        <w:t> éd.</w:t>
      </w:r>
      <w:r>
        <w:rPr>
          <w:lang w:val="fr-CA" w:bidi="en-US"/>
        </w:rPr>
        <w:t xml:space="preserve"> </w:t>
      </w:r>
      <w:r w:rsidRPr="00E41DC8">
        <w:rPr>
          <w:lang w:val="fr-CA" w:bidi="en-US"/>
        </w:rPr>
        <w:t>Cowansville</w:t>
      </w:r>
      <w:r w:rsidR="001D5112">
        <w:rPr>
          <w:lang w:val="fr-CA" w:bidi="en-US"/>
        </w:rPr>
        <w:t xml:space="preserve">, </w:t>
      </w:r>
      <w:r w:rsidRPr="00E41DC8">
        <w:rPr>
          <w:lang w:val="fr-CA" w:bidi="en-US"/>
        </w:rPr>
        <w:t>Q</w:t>
      </w:r>
      <w:r w:rsidR="001D5112">
        <w:rPr>
          <w:lang w:val="fr-CA" w:bidi="en-US"/>
        </w:rPr>
        <w:t>ue. :</w:t>
      </w:r>
      <w:r w:rsidRPr="00E41DC8">
        <w:rPr>
          <w:lang w:val="fr-CA" w:bidi="en-US"/>
        </w:rPr>
        <w:t xml:space="preserve"> Yvon Blais, 2007</w:t>
      </w:r>
      <w:r>
        <w:rPr>
          <w:lang w:val="fr-CA" w:bidi="en-US"/>
        </w:rPr>
        <w:t xml:space="preserve">, </w:t>
      </w:r>
      <w:r w:rsidR="00B11744">
        <w:rPr>
          <w:lang w:val="fr-CA" w:bidi="en-US"/>
        </w:rPr>
        <w:t>“</w:t>
      </w:r>
      <w:r w:rsidRPr="00E41DC8">
        <w:rPr>
          <w:i/>
          <w:lang w:val="fr-CA" w:bidi="en-US"/>
        </w:rPr>
        <w:t xml:space="preserve">expressio unius </w:t>
      </w:r>
      <w:r w:rsidRPr="004B7DD1">
        <w:rPr>
          <w:i/>
          <w:lang w:val="fr-CA" w:bidi="en-US"/>
        </w:rPr>
        <w:t xml:space="preserve">est </w:t>
      </w:r>
      <w:r w:rsidRPr="004B7DD1">
        <w:rPr>
          <w:lang w:val="fr-CA" w:bidi="en-US"/>
        </w:rPr>
        <w:t>(ou fit)</w:t>
      </w:r>
      <w:r w:rsidRPr="00E41DC8">
        <w:rPr>
          <w:i/>
          <w:lang w:val="fr-CA" w:bidi="en-US"/>
        </w:rPr>
        <w:t xml:space="preserve"> exclusio alterius</w:t>
      </w:r>
      <w:r w:rsidR="00B11744">
        <w:rPr>
          <w:lang w:val="fr-CA" w:bidi="en-US"/>
        </w:rPr>
        <w:t>”</w:t>
      </w:r>
      <w:r w:rsidRPr="00E41DC8">
        <w:rPr>
          <w:lang w:val="fr-CA" w:bidi="en-US"/>
        </w:rPr>
        <w:t>.</w:t>
      </w:r>
    </w:p>
    <w:p w14:paraId="33D683AB" w14:textId="311A29C0" w:rsidR="00543196" w:rsidRPr="00543196" w:rsidRDefault="00543196" w:rsidP="00C46863">
      <w:pPr>
        <w:pStyle w:val="SCCNormalDoubleSpacing"/>
        <w:spacing w:after="240" w:line="240" w:lineRule="auto"/>
        <w:ind w:left="547" w:hanging="547"/>
        <w:rPr>
          <w:lang w:val="en-US"/>
        </w:rPr>
      </w:pPr>
      <w:r>
        <w:rPr>
          <w:rStyle w:val="solexhl"/>
          <w:rFonts w:eastAsiaTheme="majorEastAsia"/>
          <w:i/>
          <w:iCs/>
          <w:color w:val="000000"/>
        </w:rPr>
        <w:lastRenderedPageBreak/>
        <w:t>Oxford English Dictionary</w:t>
      </w:r>
      <w:r w:rsidR="00C46863">
        <w:rPr>
          <w:color w:val="000000"/>
        </w:rPr>
        <w:t xml:space="preserve"> </w:t>
      </w:r>
      <w:r>
        <w:rPr>
          <w:color w:val="000000"/>
        </w:rPr>
        <w:t xml:space="preserve">(online: https://www.oed.com/), </w:t>
      </w:r>
      <w:r w:rsidRPr="00F22FF4">
        <w:t>“order”</w:t>
      </w:r>
      <w:r>
        <w:t>.</w:t>
      </w:r>
    </w:p>
    <w:p w14:paraId="10446171" w14:textId="77777777" w:rsidR="00A149DF" w:rsidRPr="00293EAE" w:rsidRDefault="001F5442" w:rsidP="00C46863">
      <w:pPr>
        <w:pStyle w:val="SCCNormalDoubleSpacing"/>
        <w:spacing w:after="240" w:line="240" w:lineRule="auto"/>
        <w:ind w:left="547" w:hanging="547"/>
        <w:rPr>
          <w:lang w:val="fr-CA"/>
        </w:rPr>
      </w:pPr>
      <w:r w:rsidRPr="0039749F">
        <w:rPr>
          <w:lang w:val="en-US"/>
        </w:rPr>
        <w:t>Paciocco,</w:t>
      </w:r>
      <w:r>
        <w:rPr>
          <w:lang w:val="en-US"/>
        </w:rPr>
        <w:t xml:space="preserve"> David M.</w:t>
      </w:r>
      <w:r w:rsidRPr="0039749F">
        <w:rPr>
          <w:lang w:val="en-US"/>
        </w:rPr>
        <w:t xml:space="preserve"> </w:t>
      </w:r>
      <w:r>
        <w:rPr>
          <w:lang w:val="en-US"/>
        </w:rPr>
        <w:t>“</w:t>
      </w:r>
      <w:r w:rsidRPr="0039749F">
        <w:rPr>
          <w:lang w:val="en-US"/>
        </w:rPr>
        <w:t>The Law of Minimum Sentences: Judicia</w:t>
      </w:r>
      <w:r>
        <w:rPr>
          <w:lang w:val="en-US"/>
        </w:rPr>
        <w:t>l Responses and Responsibility”</w:t>
      </w:r>
      <w:r w:rsidRPr="0039749F">
        <w:rPr>
          <w:lang w:val="en-US"/>
        </w:rPr>
        <w:t xml:space="preserve"> (2015), 19 </w:t>
      </w:r>
      <w:r>
        <w:rPr>
          <w:i/>
          <w:lang w:val="en-US"/>
        </w:rPr>
        <w:t xml:space="preserve">Can. </w:t>
      </w:r>
      <w:r w:rsidRPr="00293EAE">
        <w:rPr>
          <w:i/>
          <w:lang w:val="fr-CA"/>
        </w:rPr>
        <w:t>Crim. L.R.</w:t>
      </w:r>
      <w:r w:rsidRPr="00293EAE">
        <w:rPr>
          <w:lang w:val="fr-CA"/>
        </w:rPr>
        <w:t xml:space="preserve"> 173.</w:t>
      </w:r>
    </w:p>
    <w:p w14:paraId="7CDBFD17" w14:textId="1C7A5D38" w:rsidR="005859E5" w:rsidRPr="0048192F" w:rsidRDefault="005859E5" w:rsidP="00C46863">
      <w:pPr>
        <w:pStyle w:val="SCCNormalDoubleSpacing"/>
        <w:spacing w:after="240" w:line="240" w:lineRule="auto"/>
        <w:ind w:left="547" w:hanging="547"/>
        <w:rPr>
          <w:lang w:val="fr-CA"/>
        </w:rPr>
      </w:pPr>
      <w:r w:rsidRPr="0048192F">
        <w:rPr>
          <w:lang w:val="fr-CA"/>
        </w:rPr>
        <w:t>Parent</w:t>
      </w:r>
      <w:r>
        <w:rPr>
          <w:lang w:val="fr-CA"/>
        </w:rPr>
        <w:t xml:space="preserve">, </w:t>
      </w:r>
      <w:r w:rsidRPr="0048192F">
        <w:rPr>
          <w:lang w:val="fr-CA"/>
        </w:rPr>
        <w:t>Hugues</w:t>
      </w:r>
      <w:r>
        <w:rPr>
          <w:lang w:val="fr-CA"/>
        </w:rPr>
        <w:t xml:space="preserve">, et </w:t>
      </w:r>
      <w:r w:rsidR="00C46863">
        <w:rPr>
          <w:lang w:val="fr-CA"/>
        </w:rPr>
        <w:t xml:space="preserve">Julie </w:t>
      </w:r>
      <w:r w:rsidRPr="0048192F">
        <w:rPr>
          <w:lang w:val="fr-CA"/>
        </w:rPr>
        <w:t>Desrosiers</w:t>
      </w:r>
      <w:r>
        <w:rPr>
          <w:lang w:val="fr-CA"/>
        </w:rPr>
        <w:t>.</w:t>
      </w:r>
      <w:r w:rsidRPr="0048192F">
        <w:rPr>
          <w:lang w:val="fr-CA"/>
        </w:rPr>
        <w:t xml:space="preserve"> </w:t>
      </w:r>
      <w:r w:rsidRPr="0048192F">
        <w:rPr>
          <w:i/>
          <w:lang w:val="fr-CA"/>
        </w:rPr>
        <w:t>Traité de droit criminel</w:t>
      </w:r>
      <w:r w:rsidRPr="0048192F">
        <w:rPr>
          <w:lang w:val="fr-CA"/>
        </w:rPr>
        <w:t xml:space="preserve">, t. III, </w:t>
      </w:r>
      <w:r w:rsidRPr="0048192F">
        <w:rPr>
          <w:i/>
          <w:lang w:val="fr-CA"/>
        </w:rPr>
        <w:t>La peine</w:t>
      </w:r>
      <w:r w:rsidR="00794B07">
        <w:rPr>
          <w:lang w:val="fr-CA"/>
        </w:rPr>
        <w:t>, 3</w:t>
      </w:r>
      <w:r w:rsidR="00794B07" w:rsidRPr="00794B07">
        <w:rPr>
          <w:vertAlign w:val="superscript"/>
          <w:lang w:val="fr-CA"/>
        </w:rPr>
        <w:t>e</w:t>
      </w:r>
      <w:r w:rsidR="00794B07">
        <w:rPr>
          <w:lang w:val="fr-CA"/>
        </w:rPr>
        <w:t xml:space="preserve"> ed</w:t>
      </w:r>
      <w:r>
        <w:rPr>
          <w:lang w:val="fr-CA"/>
        </w:rPr>
        <w:t xml:space="preserve">. </w:t>
      </w:r>
      <w:r w:rsidRPr="0048192F">
        <w:rPr>
          <w:lang w:val="fr-CA"/>
        </w:rPr>
        <w:t>Montréal</w:t>
      </w:r>
      <w:r>
        <w:rPr>
          <w:lang w:val="fr-CA"/>
        </w:rPr>
        <w:t>: Thémis,</w:t>
      </w:r>
      <w:r w:rsidRPr="0048192F">
        <w:rPr>
          <w:lang w:val="fr-CA"/>
        </w:rPr>
        <w:t xml:space="preserve"> 2020</w:t>
      </w:r>
      <w:r>
        <w:rPr>
          <w:lang w:val="fr-CA"/>
        </w:rPr>
        <w:t>.</w:t>
      </w:r>
    </w:p>
    <w:p w14:paraId="2C321568" w14:textId="0C15C175" w:rsidR="00BC2635" w:rsidRPr="000E6C4E" w:rsidRDefault="00BC2635" w:rsidP="00C46863">
      <w:pPr>
        <w:pStyle w:val="SCCNormalDoubleSpacing"/>
        <w:spacing w:after="240" w:line="240" w:lineRule="auto"/>
        <w:ind w:left="547" w:hanging="547"/>
        <w:rPr>
          <w:lang w:val="fr-CA"/>
        </w:rPr>
      </w:pPr>
      <w:r w:rsidRPr="000E6C4E">
        <w:rPr>
          <w:lang w:val="fr-CA"/>
        </w:rPr>
        <w:t>Picotte,</w:t>
      </w:r>
      <w:r>
        <w:rPr>
          <w:lang w:val="fr-CA"/>
        </w:rPr>
        <w:t xml:space="preserve"> </w:t>
      </w:r>
      <w:r w:rsidRPr="000E6C4E">
        <w:rPr>
          <w:lang w:val="fr-CA"/>
        </w:rPr>
        <w:t xml:space="preserve">Jacques. </w:t>
      </w:r>
      <w:r w:rsidRPr="000E6C4E">
        <w:rPr>
          <w:i/>
          <w:lang w:val="fr-CA"/>
        </w:rPr>
        <w:t>Juridictionnaire: Recueil des difficultés et des ressources du français juridique</w:t>
      </w:r>
      <w:r w:rsidRPr="000E6C4E">
        <w:rPr>
          <w:lang w:val="fr-CA"/>
        </w:rPr>
        <w:t>, 15 octobre 2018 (</w:t>
      </w:r>
      <w:r>
        <w:rPr>
          <w:lang w:val="fr-CA"/>
        </w:rPr>
        <w:t>online</w:t>
      </w:r>
      <w:r w:rsidRPr="000E6C4E">
        <w:rPr>
          <w:lang w:val="fr-CA"/>
        </w:rPr>
        <w:t>)</w:t>
      </w:r>
      <w:r w:rsidR="006C75F6">
        <w:rPr>
          <w:lang w:val="fr-CA"/>
        </w:rPr>
        <w:t xml:space="preserve">, </w:t>
      </w:r>
      <w:r w:rsidR="00B11744">
        <w:rPr>
          <w:lang w:val="fr-CA"/>
        </w:rPr>
        <w:t>“</w:t>
      </w:r>
      <w:r w:rsidR="006C75F6" w:rsidRPr="00BC2635">
        <w:rPr>
          <w:i/>
          <w:lang w:val="fr-CA"/>
        </w:rPr>
        <w:t>peine/sentence</w:t>
      </w:r>
      <w:r w:rsidR="00B11744">
        <w:rPr>
          <w:lang w:val="fr-CA"/>
        </w:rPr>
        <w:t>”</w:t>
      </w:r>
      <w:r>
        <w:rPr>
          <w:lang w:val="fr-CA"/>
        </w:rPr>
        <w:t>.</w:t>
      </w:r>
    </w:p>
    <w:p w14:paraId="005148C8" w14:textId="15628311" w:rsidR="001F3CA8" w:rsidRPr="006470DA" w:rsidRDefault="001F3CA8" w:rsidP="00C46863">
      <w:pPr>
        <w:pStyle w:val="SCCNormalDoubleSpacing"/>
        <w:spacing w:after="240" w:line="240" w:lineRule="auto"/>
        <w:ind w:left="547" w:hanging="547"/>
        <w:rPr>
          <w:lang w:val="en-US"/>
        </w:rPr>
      </w:pPr>
      <w:r>
        <w:rPr>
          <w:lang w:val="en-US"/>
        </w:rPr>
        <w:t xml:space="preserve">Quebec. Court of Appeal. </w:t>
      </w:r>
      <w:r w:rsidR="00A338DD" w:rsidRPr="006470DA">
        <w:rPr>
          <w:i/>
          <w:lang w:val="en-US"/>
        </w:rPr>
        <w:t>Lexique en droit pénal</w:t>
      </w:r>
      <w:r w:rsidRPr="006470DA">
        <w:rPr>
          <w:lang w:val="en-US"/>
        </w:rPr>
        <w:t xml:space="preserve"> (online</w:t>
      </w:r>
      <w:r w:rsidRPr="006470DA">
        <w:rPr>
          <w:color w:val="000000"/>
          <w:lang w:val="en-US"/>
        </w:rPr>
        <w:t>).</w:t>
      </w:r>
    </w:p>
    <w:p w14:paraId="46FA6635" w14:textId="2A715926" w:rsidR="000A5943" w:rsidRDefault="000A5943" w:rsidP="00C46863">
      <w:pPr>
        <w:pStyle w:val="SCCNormalDoubleSpacing"/>
        <w:spacing w:after="240" w:line="240" w:lineRule="auto"/>
        <w:ind w:left="547" w:hanging="547"/>
        <w:rPr>
          <w:lang w:val="en-US"/>
        </w:rPr>
      </w:pPr>
      <w:r w:rsidRPr="00653262">
        <w:t>Rose,</w:t>
      </w:r>
      <w:r>
        <w:t xml:space="preserve"> </w:t>
      </w:r>
      <w:r w:rsidRPr="005830B9">
        <w:t>David</w:t>
      </w:r>
      <w:r>
        <w:t>.</w:t>
      </w:r>
      <w:r w:rsidRPr="00653262">
        <w:t xml:space="preserve"> </w:t>
      </w:r>
      <w:r w:rsidRPr="00653262">
        <w:rPr>
          <w:i/>
          <w:iCs/>
        </w:rPr>
        <w:t>Quigley’s Criminal Procedure in Canada</w:t>
      </w:r>
      <w:r>
        <w:rPr>
          <w:iCs/>
        </w:rPr>
        <w:t xml:space="preserve">. </w:t>
      </w:r>
      <w:r w:rsidRPr="005830B9">
        <w:rPr>
          <w:iCs/>
        </w:rPr>
        <w:t>Toronto</w:t>
      </w:r>
      <w:r>
        <w:rPr>
          <w:iCs/>
        </w:rPr>
        <w:t>:</w:t>
      </w:r>
      <w:r w:rsidRPr="005830B9">
        <w:rPr>
          <w:iCs/>
        </w:rPr>
        <w:t xml:space="preserve"> </w:t>
      </w:r>
      <w:r w:rsidR="00E172FE" w:rsidRPr="00E172FE">
        <w:rPr>
          <w:iCs/>
        </w:rPr>
        <w:t>Thomson/Carswell</w:t>
      </w:r>
      <w:r>
        <w:rPr>
          <w:iCs/>
        </w:rPr>
        <w:t>,</w:t>
      </w:r>
      <w:r w:rsidRPr="00653262">
        <w:t xml:space="preserve"> </w:t>
      </w:r>
      <w:r>
        <w:t>2023 (</w:t>
      </w:r>
      <w:r w:rsidR="00C46863">
        <w:t>loose</w:t>
      </w:r>
      <w:r w:rsidR="00C46863">
        <w:noBreakHyphen/>
      </w:r>
      <w:r w:rsidRPr="005830B9">
        <w:t>leaf</w:t>
      </w:r>
      <w:r>
        <w:t xml:space="preserve"> </w:t>
      </w:r>
      <w:r w:rsidRPr="005830B9">
        <w:t>updated</w:t>
      </w:r>
      <w:r>
        <w:t xml:space="preserve"> February 2023, release 1).</w:t>
      </w:r>
    </w:p>
    <w:p w14:paraId="0C5B97E9" w14:textId="77777777" w:rsidR="0084532B" w:rsidRPr="00B329C5" w:rsidRDefault="0084532B" w:rsidP="00C46863">
      <w:pPr>
        <w:pStyle w:val="SCCNormalDoubleSpacing"/>
        <w:spacing w:after="240" w:line="240" w:lineRule="auto"/>
        <w:ind w:left="547" w:hanging="547"/>
        <w:rPr>
          <w:lang w:val="fr-CA"/>
        </w:rPr>
      </w:pPr>
      <w:r w:rsidRPr="00AE00F5">
        <w:t>Sullivan</w:t>
      </w:r>
      <w:r>
        <w:t xml:space="preserve">, </w:t>
      </w:r>
      <w:r w:rsidRPr="00AE00F5">
        <w:t>Ruth</w:t>
      </w:r>
      <w:r>
        <w:t xml:space="preserve">. </w:t>
      </w:r>
      <w:r w:rsidRPr="0001127A">
        <w:rPr>
          <w:i/>
          <w:lang w:val="en-US" w:bidi="en-US"/>
        </w:rPr>
        <w:t>The Construction of Statutes</w:t>
      </w:r>
      <w:r>
        <w:rPr>
          <w:lang w:val="en-US" w:bidi="en-US"/>
        </w:rPr>
        <w:t xml:space="preserve">, </w:t>
      </w:r>
      <w:r w:rsidRPr="0001127A">
        <w:rPr>
          <w:lang w:val="en-US" w:bidi="en-US"/>
        </w:rPr>
        <w:t>7</w:t>
      </w:r>
      <w:r>
        <w:rPr>
          <w:lang w:val="en-US" w:bidi="en-US"/>
        </w:rPr>
        <w:t>th</w:t>
      </w:r>
      <w:r w:rsidRPr="0001127A">
        <w:rPr>
          <w:lang w:val="en-US" w:bidi="en-US"/>
        </w:rPr>
        <w:t xml:space="preserve"> </w:t>
      </w:r>
      <w:r>
        <w:rPr>
          <w:lang w:val="en-US" w:bidi="en-US"/>
        </w:rPr>
        <w:t>e</w:t>
      </w:r>
      <w:r w:rsidRPr="0001127A">
        <w:rPr>
          <w:lang w:val="en-US" w:bidi="en-US"/>
        </w:rPr>
        <w:t>d.</w:t>
      </w:r>
      <w:r>
        <w:rPr>
          <w:lang w:val="en-US" w:bidi="en-US"/>
        </w:rPr>
        <w:t xml:space="preserve"> </w:t>
      </w:r>
      <w:r w:rsidRPr="00B329C5">
        <w:rPr>
          <w:lang w:val="fr-CA" w:bidi="en-US"/>
        </w:rPr>
        <w:t>Toronto: LexisNexis, 2022.</w:t>
      </w:r>
    </w:p>
    <w:p w14:paraId="0AABEF9D" w14:textId="77777777" w:rsidR="007F2BEC" w:rsidRPr="008113E9" w:rsidRDefault="007F2BEC" w:rsidP="00C46863">
      <w:pPr>
        <w:pStyle w:val="SCCNormalDoubleSpacing"/>
        <w:spacing w:after="720" w:line="240" w:lineRule="auto"/>
        <w:ind w:left="547" w:hanging="547"/>
        <w:rPr>
          <w:lang w:val="en-US"/>
        </w:rPr>
      </w:pPr>
      <w:r w:rsidRPr="008113E9">
        <w:rPr>
          <w:szCs w:val="24"/>
          <w:lang w:val="fr-CA"/>
        </w:rPr>
        <w:t>Vaucla</w:t>
      </w:r>
      <w:r w:rsidRPr="00C07D3C">
        <w:rPr>
          <w:szCs w:val="24"/>
          <w:lang w:val="fr-CA"/>
        </w:rPr>
        <w:t>ir</w:t>
      </w:r>
      <w:r>
        <w:rPr>
          <w:szCs w:val="24"/>
          <w:lang w:val="fr-CA"/>
        </w:rPr>
        <w:t>, Martin, et Tristan Desjardins</w:t>
      </w:r>
      <w:r w:rsidRPr="009B52CD">
        <w:rPr>
          <w:szCs w:val="24"/>
          <w:lang w:val="fr-CA"/>
        </w:rPr>
        <w:t>, avec la collaboration de P</w:t>
      </w:r>
      <w:r>
        <w:rPr>
          <w:szCs w:val="24"/>
          <w:lang w:val="fr-CA"/>
        </w:rPr>
        <w:t>auline</w:t>
      </w:r>
      <w:r w:rsidRPr="009B52CD">
        <w:rPr>
          <w:szCs w:val="24"/>
          <w:lang w:val="fr-CA"/>
        </w:rPr>
        <w:t xml:space="preserve"> Lachance</w:t>
      </w:r>
      <w:r>
        <w:rPr>
          <w:szCs w:val="24"/>
          <w:lang w:val="fr-CA"/>
        </w:rPr>
        <w:t>.</w:t>
      </w:r>
      <w:r w:rsidRPr="00C07D3C">
        <w:rPr>
          <w:szCs w:val="24"/>
          <w:lang w:val="fr-CA"/>
        </w:rPr>
        <w:t xml:space="preserve"> </w:t>
      </w:r>
      <w:r w:rsidRPr="00C07D3C">
        <w:rPr>
          <w:i/>
          <w:szCs w:val="24"/>
          <w:lang w:val="fr-CA"/>
        </w:rPr>
        <w:t>Traité général de preuve et de procédure pénales</w:t>
      </w:r>
      <w:r>
        <w:rPr>
          <w:i/>
          <w:szCs w:val="24"/>
          <w:lang w:val="fr-CA"/>
        </w:rPr>
        <w:t xml:space="preserve"> 2022</w:t>
      </w:r>
      <w:r>
        <w:rPr>
          <w:szCs w:val="24"/>
          <w:lang w:val="fr-CA"/>
        </w:rPr>
        <w:t xml:space="preserve">, </w:t>
      </w:r>
      <w:r w:rsidRPr="00C07D3C">
        <w:rPr>
          <w:szCs w:val="24"/>
          <w:lang w:val="fr-CA"/>
        </w:rPr>
        <w:t>29</w:t>
      </w:r>
      <w:r w:rsidRPr="00C07D3C">
        <w:rPr>
          <w:szCs w:val="24"/>
          <w:vertAlign w:val="superscript"/>
          <w:lang w:val="fr-CA"/>
        </w:rPr>
        <w:t>e</w:t>
      </w:r>
      <w:r w:rsidRPr="00C07D3C">
        <w:rPr>
          <w:szCs w:val="24"/>
          <w:lang w:val="fr-CA"/>
        </w:rPr>
        <w:t xml:space="preserve"> éd.</w:t>
      </w:r>
      <w:r>
        <w:rPr>
          <w:szCs w:val="24"/>
          <w:lang w:val="fr-CA"/>
        </w:rPr>
        <w:t xml:space="preserve"> </w:t>
      </w:r>
      <w:r w:rsidRPr="008113E9">
        <w:rPr>
          <w:szCs w:val="24"/>
          <w:lang w:val="en-US"/>
        </w:rPr>
        <w:t>Montréal</w:t>
      </w:r>
      <w:r w:rsidR="00D41040" w:rsidRPr="008113E9">
        <w:rPr>
          <w:szCs w:val="24"/>
          <w:lang w:val="en-US"/>
        </w:rPr>
        <w:t>:</w:t>
      </w:r>
      <w:r w:rsidRPr="008113E9">
        <w:rPr>
          <w:szCs w:val="24"/>
          <w:lang w:val="en-US"/>
        </w:rPr>
        <w:t xml:space="preserve"> Yvon Blais, 2022.</w:t>
      </w:r>
    </w:p>
    <w:p w14:paraId="3779E7D2" w14:textId="0F43D52D" w:rsidR="00656313" w:rsidRDefault="00BC10A3" w:rsidP="00C46863">
      <w:pPr>
        <w:pStyle w:val="SCCNormalDoubleSpacing"/>
        <w:spacing w:after="480"/>
      </w:pPr>
      <w:r w:rsidRPr="008113E9">
        <w:rPr>
          <w:lang w:val="en-US"/>
        </w:rPr>
        <w:tab/>
      </w:r>
      <w:r w:rsidR="009B57B3" w:rsidRPr="001426A9">
        <w:t xml:space="preserve">APPEAL from a judgment of the </w:t>
      </w:r>
      <w:r>
        <w:t xml:space="preserve">New Brunswick </w:t>
      </w:r>
      <w:r w:rsidR="009B57B3">
        <w:t xml:space="preserve">Court of Appeal </w:t>
      </w:r>
      <w:r>
        <w:t>(</w:t>
      </w:r>
      <w:r w:rsidR="00344A81">
        <w:t>Richard</w:t>
      </w:r>
      <w:r w:rsidR="00CF5663">
        <w:t xml:space="preserve"> C.J. and</w:t>
      </w:r>
      <w:r w:rsidR="00344A81">
        <w:t xml:space="preserve"> Baird and French</w:t>
      </w:r>
      <w:r>
        <w:t xml:space="preserve"> JJ.A.), </w:t>
      </w:r>
      <w:hyperlink r:id="rId10" w:history="1">
        <w:r w:rsidR="00344A81" w:rsidRPr="005B1AAE">
          <w:rPr>
            <w:rStyle w:val="Hyperlink"/>
          </w:rPr>
          <w:t>2021 NBCA 50</w:t>
        </w:r>
      </w:hyperlink>
      <w:r w:rsidR="00344A81">
        <w:t xml:space="preserve">, 410 C.C.C. (3d) 228, 84 M.V.R. (7th) 1, </w:t>
      </w:r>
      <w:r w:rsidR="00BC631D">
        <w:t xml:space="preserve">[2021] N.B.J. No. 288 (QL), 2021 CarswellNB </w:t>
      </w:r>
      <w:r w:rsidR="004C7F98" w:rsidRPr="004C7F98">
        <w:t>564</w:t>
      </w:r>
      <w:r w:rsidR="00BC631D">
        <w:t xml:space="preserve"> (WL), </w:t>
      </w:r>
      <w:r w:rsidR="003C5C22" w:rsidRPr="00002CF7">
        <w:t xml:space="preserve">setting aside a decision of Dysart J., </w:t>
      </w:r>
      <w:r w:rsidR="00D53920" w:rsidRPr="00002CF7">
        <w:rPr>
          <w:lang w:val="en-US"/>
        </w:rPr>
        <w:t>2020 NBQB 130, 65 M.V.R. (7th) 208, [2020] N.B.J. No. 194 (QL), 2020 CarswellNB 385 (WL)</w:t>
      </w:r>
      <w:r w:rsidR="00123B38">
        <w:rPr>
          <w:lang w:val="en-US"/>
        </w:rPr>
        <w:t>, affirming the sentence imposed on the offender by McCarroll Prov. Ct. J</w:t>
      </w:r>
      <w:r w:rsidR="00D53920" w:rsidRPr="00002CF7">
        <w:rPr>
          <w:lang w:val="en-US"/>
        </w:rPr>
        <w:t xml:space="preserve">. </w:t>
      </w:r>
      <w:r w:rsidRPr="00002CF7">
        <w:t xml:space="preserve">Appeal </w:t>
      </w:r>
      <w:r w:rsidR="0031487A" w:rsidRPr="00002CF7">
        <w:rPr>
          <w:lang w:val="en-US"/>
        </w:rPr>
        <w:t>allowed</w:t>
      </w:r>
      <w:r>
        <w:t>.</w:t>
      </w:r>
    </w:p>
    <w:p w14:paraId="71A51A2E" w14:textId="77777777" w:rsidR="00A23D40" w:rsidRDefault="00976A56" w:rsidP="00C46863">
      <w:pPr>
        <w:pStyle w:val="SCCNormalDoubleSpacing"/>
        <w:spacing w:after="480"/>
      </w:pPr>
      <w:r>
        <w:rPr>
          <w:rStyle w:val="SCCCounselNameChar"/>
        </w:rPr>
        <w:tab/>
        <w:t>Robert K. McK</w:t>
      </w:r>
      <w:r w:rsidR="00EB172E">
        <w:rPr>
          <w:rStyle w:val="SCCCounselNameChar"/>
        </w:rPr>
        <w:t>ee</w:t>
      </w:r>
      <w:r w:rsidR="00EB172E">
        <w:rPr>
          <w:rStyle w:val="SCCCounselPartyRoleChar"/>
        </w:rPr>
        <w:t>, for the appellant.</w:t>
      </w:r>
    </w:p>
    <w:p w14:paraId="68EFEDF2" w14:textId="77777777" w:rsidR="00A23D40" w:rsidRDefault="00EB172E" w:rsidP="00C46863">
      <w:pPr>
        <w:pStyle w:val="SCCNormalDoubleSpacing"/>
        <w:spacing w:after="480"/>
      </w:pPr>
      <w:r>
        <w:rPr>
          <w:rStyle w:val="SCCCounselNameChar"/>
        </w:rPr>
        <w:tab/>
        <w:t>Patrick McGuinty</w:t>
      </w:r>
      <w:r w:rsidR="00976A56">
        <w:rPr>
          <w:rStyle w:val="SCCCounselNameChar"/>
          <w:i w:val="0"/>
        </w:rPr>
        <w:t xml:space="preserve"> and </w:t>
      </w:r>
      <w:r w:rsidR="00976A56">
        <w:rPr>
          <w:rStyle w:val="SCCCounselNameChar"/>
        </w:rPr>
        <w:t>Pierre Gionet</w:t>
      </w:r>
      <w:r>
        <w:rPr>
          <w:rStyle w:val="SCCCounselPartyRoleChar"/>
        </w:rPr>
        <w:t>, for the respondent.</w:t>
      </w:r>
    </w:p>
    <w:p w14:paraId="20643362" w14:textId="77777777" w:rsidR="00A23D40" w:rsidRDefault="00EB172E" w:rsidP="00C46863">
      <w:pPr>
        <w:pStyle w:val="SCCNormalDoubleSpacing"/>
        <w:spacing w:after="480"/>
      </w:pPr>
      <w:r>
        <w:rPr>
          <w:rStyle w:val="SCCCounselNameChar"/>
        </w:rPr>
        <w:tab/>
        <w:t>Elisa Frank</w:t>
      </w:r>
      <w:r>
        <w:rPr>
          <w:rStyle w:val="SCCCounselPartyRoleChar"/>
        </w:rPr>
        <w:t>, for the intervener.</w:t>
      </w:r>
    </w:p>
    <w:p w14:paraId="3FB9819B" w14:textId="77777777" w:rsidR="00746949" w:rsidRDefault="00746949" w:rsidP="00746949">
      <w:pPr>
        <w:tabs>
          <w:tab w:val="left" w:pos="1134"/>
        </w:tabs>
        <w:jc w:val="both"/>
      </w:pPr>
      <w:r w:rsidRPr="00145B55">
        <w:rPr>
          <w:lang w:val="en-US"/>
        </w:rPr>
        <w:lastRenderedPageBreak/>
        <w:tab/>
      </w:r>
      <w:r w:rsidRPr="00173A02">
        <w:t>English version of the judgment of the Court delivered by</w:t>
      </w:r>
    </w:p>
    <w:p w14:paraId="4AADDCB1" w14:textId="77777777" w:rsidR="00746949" w:rsidRPr="00A60FE5" w:rsidRDefault="00746949" w:rsidP="00746949">
      <w:pPr>
        <w:tabs>
          <w:tab w:val="left" w:pos="1134"/>
        </w:tabs>
        <w:jc w:val="both"/>
      </w:pPr>
    </w:p>
    <w:p w14:paraId="00EAD861" w14:textId="77777777" w:rsidR="00746949" w:rsidRPr="00E00EBC" w:rsidRDefault="00746949" w:rsidP="00F27296">
      <w:pPr>
        <w:pStyle w:val="JudgeJuge"/>
        <w:tabs>
          <w:tab w:val="clear" w:pos="1166"/>
          <w:tab w:val="left" w:pos="1134"/>
        </w:tabs>
        <w:spacing w:before="240"/>
        <w:rPr>
          <w:lang w:val="en-CA"/>
        </w:rPr>
      </w:pPr>
      <w:r w:rsidRPr="00E00EBC">
        <w:rPr>
          <w:lang w:val="en-CA"/>
        </w:rPr>
        <w:tab/>
        <w:t xml:space="preserve">Kasirer J. — </w:t>
      </w:r>
    </w:p>
    <w:p w14:paraId="4C7BC20D" w14:textId="77777777" w:rsidR="00746949" w:rsidRPr="00E00EBC" w:rsidRDefault="00746949" w:rsidP="00746949">
      <w:pPr>
        <w:pStyle w:val="Title1LevelTitre1Niveau-AltL"/>
        <w:widowControl w:val="0"/>
        <w:numPr>
          <w:ilvl w:val="0"/>
          <w:numId w:val="10"/>
        </w:numPr>
        <w:spacing w:before="0"/>
        <w:rPr>
          <w:rFonts w:cs="Times New Roman"/>
        </w:rPr>
      </w:pPr>
      <w:bookmarkStart w:id="3" w:name="_Toc123734872"/>
      <w:bookmarkStart w:id="4" w:name="_Toc123830834"/>
      <w:bookmarkStart w:id="5" w:name="_Toc124075268"/>
      <w:bookmarkStart w:id="6" w:name="_Toc124075324"/>
      <w:r w:rsidRPr="00E00EBC">
        <w:rPr>
          <w:rFonts w:cs="Times New Roman"/>
        </w:rPr>
        <w:t>Overview</w:t>
      </w:r>
      <w:bookmarkEnd w:id="3"/>
      <w:bookmarkEnd w:id="4"/>
      <w:bookmarkEnd w:id="5"/>
      <w:bookmarkEnd w:id="6"/>
    </w:p>
    <w:p w14:paraId="42D04B22" w14:textId="77777777" w:rsidR="00746949" w:rsidRPr="00E00EBC" w:rsidRDefault="00746949" w:rsidP="00746949">
      <w:pPr>
        <w:pStyle w:val="ParaNoNdepar-AltN"/>
        <w:spacing w:before="0"/>
        <w:rPr>
          <w:rFonts w:cs="Times New Roman"/>
          <w:lang w:val="en-CA"/>
        </w:rPr>
      </w:pPr>
      <w:r w:rsidRPr="00E00EBC">
        <w:rPr>
          <w:rFonts w:eastAsiaTheme="minorHAnsi" w:cs="Times New Roman"/>
          <w:lang w:val="en-CA"/>
        </w:rPr>
        <w:t xml:space="preserve">After being charged with a summary conviction impaired driving offence in 2017, the appellant, Jennifer Basque, was released on an undertaking not to operate a motor vehicle while awaiting trial. She remained subject to that prohibition until she was sentenced 21 months later. At the time of the offence, s. 259(1)(a) of the </w:t>
      </w:r>
      <w:r w:rsidRPr="00E00EBC">
        <w:rPr>
          <w:rFonts w:eastAsiaTheme="minorHAnsi" w:cs="Times New Roman"/>
          <w:i/>
          <w:lang w:val="en-CA"/>
        </w:rPr>
        <w:t>Criminal Code</w:t>
      </w:r>
      <w:r w:rsidRPr="00E00EBC">
        <w:rPr>
          <w:rFonts w:eastAsiaTheme="minorHAnsi" w:cs="Times New Roman"/>
          <w:lang w:val="en-CA"/>
        </w:rPr>
        <w:t>, R.S.C. 1985, c. C</w:t>
      </w:r>
      <w:r w:rsidRPr="00E00EBC">
        <w:rPr>
          <w:rFonts w:eastAsiaTheme="minorHAnsi" w:cs="Times New Roman"/>
          <w:lang w:val="en-CA"/>
        </w:rPr>
        <w:noBreakHyphen/>
        <w:t>46 (“</w:t>
      </w:r>
      <w:r w:rsidRPr="00E00EBC">
        <w:rPr>
          <w:rFonts w:eastAsiaTheme="minorHAnsi" w:cs="Times New Roman"/>
          <w:i/>
          <w:lang w:val="en-CA"/>
        </w:rPr>
        <w:t>Cr. C.</w:t>
      </w:r>
      <w:r w:rsidRPr="00E00EBC">
        <w:rPr>
          <w:rFonts w:eastAsiaTheme="minorHAnsi" w:cs="Times New Roman"/>
          <w:lang w:val="en-CA"/>
        </w:rPr>
        <w:t>”), required the court to make an “order</w:t>
      </w:r>
      <w:r w:rsidRPr="00E00EBC">
        <w:rPr>
          <w:rFonts w:cs="Times New Roman"/>
          <w:lang w:val="en-CA"/>
        </w:rPr>
        <w:t xml:space="preserve"> </w:t>
      </w:r>
      <w:r w:rsidRPr="00E00EBC">
        <w:rPr>
          <w:rFonts w:eastAsiaTheme="minorHAnsi" w:cs="Times New Roman"/>
          <w:lang w:val="en-CA"/>
        </w:rPr>
        <w:t>prohibiting the offender from operating a motor vehicle . . . during a period of . . . not less than one year”.</w:t>
      </w:r>
      <w:r w:rsidRPr="00DC001A">
        <w:rPr>
          <w:rStyle w:val="Hyperlink"/>
          <w:vertAlign w:val="superscript"/>
        </w:rPr>
        <w:footnoteReference w:id="2"/>
      </w:r>
    </w:p>
    <w:p w14:paraId="4BDF378F" w14:textId="77777777" w:rsidR="00746949" w:rsidRPr="00E00EBC" w:rsidRDefault="00746949" w:rsidP="00746949">
      <w:pPr>
        <w:pStyle w:val="ParaNoNdepar-AltN"/>
        <w:spacing w:before="0"/>
        <w:rPr>
          <w:rFonts w:cs="Times New Roman"/>
          <w:lang w:val="en-CA"/>
        </w:rPr>
      </w:pPr>
      <w:r w:rsidRPr="00E00EBC">
        <w:rPr>
          <w:rFonts w:eastAsiaTheme="minorHAnsi" w:cs="Times New Roman"/>
          <w:lang w:val="en-CA"/>
        </w:rPr>
        <w:t>Could the sentencing judge credit Ms. Basque for the driving prohibition period already served, notwithstanding the combined effect of that one</w:t>
      </w:r>
      <w:r w:rsidRPr="00E00EBC">
        <w:rPr>
          <w:rFonts w:eastAsiaTheme="minorHAnsi" w:cs="Times New Roman"/>
          <w:lang w:val="en-CA"/>
        </w:rPr>
        <w:noBreakHyphen/>
        <w:t xml:space="preserve">year mandatory minimum prohibition and the direction — codified in s. 719(1) </w:t>
      </w:r>
      <w:r w:rsidRPr="00E00EBC">
        <w:rPr>
          <w:rFonts w:eastAsiaTheme="minorHAnsi" w:cs="Times New Roman"/>
          <w:i/>
          <w:lang w:val="en-CA"/>
        </w:rPr>
        <w:t>Cr. C.</w:t>
      </w:r>
      <w:r w:rsidRPr="00E00EBC">
        <w:rPr>
          <w:rFonts w:eastAsiaTheme="minorHAnsi" w:cs="Times New Roman"/>
          <w:lang w:val="en-CA"/>
        </w:rPr>
        <w:t xml:space="preserve"> — that except where otherwise provided, a sentence commences when it is imposed?</w:t>
      </w:r>
    </w:p>
    <w:p w14:paraId="4D634B7B" w14:textId="77777777" w:rsidR="00746949" w:rsidRPr="00E00EBC" w:rsidRDefault="00746949" w:rsidP="00746949">
      <w:pPr>
        <w:pStyle w:val="ParaNoNdepar-AltN"/>
        <w:spacing w:before="0"/>
        <w:rPr>
          <w:rFonts w:cs="Times New Roman"/>
          <w:lang w:val="en-CA"/>
        </w:rPr>
      </w:pPr>
      <w:r w:rsidRPr="00E00EBC">
        <w:rPr>
          <w:rFonts w:eastAsiaTheme="minorHAnsi" w:cs="Times New Roman"/>
          <w:lang w:val="en-CA"/>
        </w:rPr>
        <w:t>If not for the requirement in s. 259(1)(a), granting credit would undoubtedly be possible. Indeed, in</w:t>
      </w:r>
      <w:r w:rsidRPr="00E00EBC">
        <w:rPr>
          <w:rFonts w:cs="Times New Roman"/>
          <w:lang w:val="en-CA"/>
        </w:rPr>
        <w:t xml:space="preserve"> </w:t>
      </w:r>
      <w:r w:rsidRPr="00E00EBC">
        <w:rPr>
          <w:rFonts w:cs="Times New Roman"/>
          <w:i/>
          <w:lang w:val="en-CA"/>
        </w:rPr>
        <w:t>R. v. Lacasse</w:t>
      </w:r>
      <w:r w:rsidRPr="00E00EBC">
        <w:rPr>
          <w:rFonts w:cs="Times New Roman"/>
          <w:lang w:val="en-CA"/>
        </w:rPr>
        <w:t xml:space="preserve">, 2015 SCC 64, [2015] 3 S.C.R. 1089 — a case that did not concern a mandatory minimum prohibition — this Court </w:t>
      </w:r>
      <w:r w:rsidRPr="00E00EBC">
        <w:rPr>
          <w:rFonts w:cs="Times New Roman"/>
          <w:lang w:val="en-CA"/>
        </w:rPr>
        <w:lastRenderedPageBreak/>
        <w:t>confirmed that there is a common law judicial discretion to grant credit for a pre</w:t>
      </w:r>
      <w:r w:rsidRPr="00E00EBC">
        <w:rPr>
          <w:rFonts w:cs="Times New Roman"/>
          <w:lang w:val="en-CA"/>
        </w:rPr>
        <w:noBreakHyphen/>
        <w:t>sentence driving prohibition. This discretion is a natural extension of the longstanding practice of crediting offenders for periods of pre</w:t>
      </w:r>
      <w:r w:rsidRPr="00E00EBC">
        <w:rPr>
          <w:rFonts w:cs="Times New Roman"/>
          <w:lang w:val="en-CA"/>
        </w:rPr>
        <w:noBreakHyphen/>
        <w:t>sentence custody.</w:t>
      </w:r>
    </w:p>
    <w:p w14:paraId="7553820D" w14:textId="77777777" w:rsidR="00746949" w:rsidRPr="00E00EBC" w:rsidRDefault="00746949" w:rsidP="00746949">
      <w:pPr>
        <w:pStyle w:val="ParaNoNdepar-AltN"/>
        <w:spacing w:before="0"/>
        <w:rPr>
          <w:rFonts w:cs="Times New Roman"/>
          <w:lang w:val="en-CA"/>
        </w:rPr>
      </w:pPr>
      <w:r w:rsidRPr="00E00EBC">
        <w:rPr>
          <w:rFonts w:cs="Times New Roman"/>
          <w:lang w:val="en-CA"/>
        </w:rPr>
        <w:t>Provided that Parliament respects the relevant constitutional constraints, it can, of course, enact legislation that displaces the common law rule allowing credit to be granted for a pre</w:t>
      </w:r>
      <w:r w:rsidRPr="00E00EBC">
        <w:rPr>
          <w:rFonts w:cs="Times New Roman"/>
          <w:lang w:val="en-CA"/>
        </w:rPr>
        <w:noBreakHyphen/>
        <w:t>sentence driving prohibition. Ms. Basque does not challenge the constitutionality of s. 259(1)(a) but argues that her request for credit is not limited in any way by the imposition of the mandatory minimum prohibition. The respondent Crown, relying on the majority reasons of the Court of Appeal, argues instead that granting credit in this case would conflict with the application of the one</w:t>
      </w:r>
      <w:r w:rsidRPr="00E00EBC">
        <w:rPr>
          <w:rFonts w:cs="Times New Roman"/>
          <w:lang w:val="en-CA"/>
        </w:rPr>
        <w:noBreakHyphen/>
        <w:t>year minimum prohibition, even though the relevant statutory provision is silent on crediting.</w:t>
      </w:r>
    </w:p>
    <w:p w14:paraId="1FB11ACB" w14:textId="77777777" w:rsidR="00746949" w:rsidRPr="00E00EBC" w:rsidRDefault="00746949" w:rsidP="00746949">
      <w:pPr>
        <w:pStyle w:val="ParaNoNdepar-AltN"/>
        <w:spacing w:before="0"/>
        <w:rPr>
          <w:rFonts w:cs="Times New Roman"/>
          <w:lang w:val="en-CA"/>
        </w:rPr>
      </w:pPr>
      <w:r w:rsidRPr="00E00EBC">
        <w:rPr>
          <w:rFonts w:cs="Times New Roman"/>
          <w:lang w:val="en-CA"/>
        </w:rPr>
        <w:t xml:space="preserve">Respectfully, I believe that the respondent is mistaken. In my view, granting credit based on the common law discretion recognized in </w:t>
      </w:r>
      <w:r w:rsidRPr="00E00EBC">
        <w:rPr>
          <w:rFonts w:cs="Times New Roman"/>
          <w:i/>
          <w:lang w:val="en-CA"/>
        </w:rPr>
        <w:t>Lacasse</w:t>
      </w:r>
      <w:r w:rsidRPr="00E00EBC">
        <w:rPr>
          <w:rFonts w:cs="Times New Roman"/>
          <w:lang w:val="en-CA"/>
        </w:rPr>
        <w:t xml:space="preserve"> is perfectly consistent with the application of the minimum prohibition in s. 259(1)(a) </w:t>
      </w:r>
      <w:r w:rsidRPr="00E00EBC">
        <w:rPr>
          <w:rFonts w:cs="Times New Roman"/>
          <w:i/>
          <w:lang w:val="en-CA"/>
        </w:rPr>
        <w:t>Cr. C.</w:t>
      </w:r>
      <w:r w:rsidRPr="00E00EBC">
        <w:rPr>
          <w:rFonts w:cs="Times New Roman"/>
          <w:lang w:val="en-CA"/>
        </w:rPr>
        <w:t xml:space="preserve"> and with the rule requiring that a sentence commence when it is imposed in s. 719(1) </w:t>
      </w:r>
      <w:r w:rsidRPr="00E00EBC">
        <w:rPr>
          <w:rFonts w:cs="Times New Roman"/>
          <w:i/>
          <w:lang w:val="en-CA"/>
        </w:rPr>
        <w:t>Cr. C.</w:t>
      </w:r>
      <w:r w:rsidRPr="00E00EBC">
        <w:rPr>
          <w:rFonts w:cs="Times New Roman"/>
          <w:lang w:val="en-CA"/>
        </w:rPr>
        <w:t xml:space="preserve"> It was therefore open to the sentencing judge to </w:t>
      </w:r>
      <w:proofErr w:type="gramStart"/>
      <w:r w:rsidRPr="00E00EBC">
        <w:rPr>
          <w:rFonts w:cs="Times New Roman"/>
          <w:lang w:val="en-CA"/>
        </w:rPr>
        <w:t>take into account</w:t>
      </w:r>
      <w:proofErr w:type="gramEnd"/>
      <w:r w:rsidRPr="00E00EBC">
        <w:rPr>
          <w:rFonts w:cs="Times New Roman"/>
          <w:lang w:val="en-CA"/>
        </w:rPr>
        <w:t xml:space="preserve"> the period of 21 months already served by Ms. Basque, as this would not undermine Parliament’s intent.</w:t>
      </w:r>
    </w:p>
    <w:p w14:paraId="685DB124" w14:textId="77777777" w:rsidR="00746949" w:rsidRPr="00E00EBC" w:rsidRDefault="00746949" w:rsidP="00746949">
      <w:pPr>
        <w:pStyle w:val="ParaNoNdepar-AltN"/>
        <w:rPr>
          <w:rFonts w:cs="Times New Roman"/>
          <w:lang w:val="en-US"/>
        </w:rPr>
      </w:pPr>
      <w:r w:rsidRPr="00E00EBC">
        <w:rPr>
          <w:rFonts w:cs="Times New Roman"/>
          <w:lang w:val="en-US"/>
        </w:rPr>
        <w:t>The discretionary authority to grant credit under the common law can coexist harmoniously with judicial adherence to a mandatory minimum established by statute. This coexistence rests on the well</w:t>
      </w:r>
      <w:r w:rsidRPr="00E00EBC">
        <w:rPr>
          <w:rFonts w:cs="Times New Roman"/>
          <w:lang w:val="en-US"/>
        </w:rPr>
        <w:noBreakHyphen/>
        <w:t xml:space="preserve">known distinction between the concepts of </w:t>
      </w:r>
      <w:r w:rsidRPr="00E00EBC">
        <w:rPr>
          <w:rFonts w:cs="Times New Roman"/>
          <w:lang w:val="en-US"/>
        </w:rPr>
        <w:lastRenderedPageBreak/>
        <w:t>“punishment”, understood as a deprivation, and of “sentence”, understood as a judicial decision (in French, the distinction between “</w:t>
      </w:r>
      <w:r w:rsidRPr="00E00EBC">
        <w:rPr>
          <w:rFonts w:cs="Times New Roman"/>
          <w:i/>
          <w:lang w:val="en-US"/>
        </w:rPr>
        <w:t>punition</w:t>
      </w:r>
      <w:r w:rsidRPr="00E00EBC">
        <w:rPr>
          <w:rFonts w:cs="Times New Roman"/>
          <w:lang w:val="en-US"/>
        </w:rPr>
        <w:t>” and “</w:t>
      </w:r>
      <w:r w:rsidRPr="00E00EBC">
        <w:rPr>
          <w:rFonts w:cs="Times New Roman"/>
          <w:i/>
          <w:lang w:val="en-US"/>
        </w:rPr>
        <w:t>sentence</w:t>
      </w:r>
      <w:r w:rsidRPr="00E00EBC">
        <w:rPr>
          <w:rFonts w:cs="Times New Roman"/>
          <w:lang w:val="en-US"/>
        </w:rPr>
        <w:t>”, where the term “</w:t>
      </w:r>
      <w:r w:rsidRPr="00E00EBC">
        <w:rPr>
          <w:rFonts w:cs="Times New Roman"/>
          <w:i/>
          <w:lang w:val="en-US"/>
        </w:rPr>
        <w:t>peine</w:t>
      </w:r>
      <w:r w:rsidRPr="00E00EBC">
        <w:rPr>
          <w:rFonts w:cs="Times New Roman"/>
          <w:lang w:val="en-US"/>
        </w:rPr>
        <w:t>” can also be used to convey both meanings). This distinction, considered by Rosenberg J.A. in the context of credit for pre</w:t>
      </w:r>
      <w:r w:rsidRPr="00E00EBC">
        <w:rPr>
          <w:rFonts w:cs="Times New Roman"/>
          <w:lang w:val="en-US"/>
        </w:rPr>
        <w:noBreakHyphen/>
        <w:t xml:space="preserve">sentence custody in </w:t>
      </w:r>
      <w:r w:rsidRPr="00E00EBC">
        <w:rPr>
          <w:rFonts w:cs="Times New Roman"/>
          <w:i/>
          <w:lang w:val="en-US"/>
        </w:rPr>
        <w:t>R. v. McDonald</w:t>
      </w:r>
      <w:r w:rsidRPr="00E00EBC">
        <w:rPr>
          <w:rFonts w:cs="Times New Roman"/>
          <w:lang w:val="en-US"/>
        </w:rPr>
        <w:t xml:space="preserve"> (1998), 40 O.R. (3d) 641 (C.A.), was taken up by Arbour J. of this Court in </w:t>
      </w:r>
      <w:r w:rsidRPr="00E00EBC">
        <w:rPr>
          <w:rFonts w:cs="Times New Roman"/>
          <w:i/>
          <w:lang w:val="en-US"/>
        </w:rPr>
        <w:t>R. v. Wust</w:t>
      </w:r>
      <w:r w:rsidRPr="00E00EBC">
        <w:rPr>
          <w:rFonts w:cs="Times New Roman"/>
          <w:lang w:val="en-US"/>
        </w:rPr>
        <w:t>, 2000 SCC 18, [2000] 1 S.C.R. 455, at paras. 35</w:t>
      </w:r>
      <w:r w:rsidRPr="00E00EBC">
        <w:rPr>
          <w:rFonts w:cs="Times New Roman"/>
          <w:lang w:val="en-US"/>
        </w:rPr>
        <w:noBreakHyphen/>
        <w:t>37, with particular attention to the multiple meanings of the French term “</w:t>
      </w:r>
      <w:r w:rsidRPr="00E00EBC">
        <w:rPr>
          <w:rFonts w:cs="Times New Roman"/>
          <w:i/>
          <w:lang w:val="en-US"/>
        </w:rPr>
        <w:t>peine</w:t>
      </w:r>
      <w:r w:rsidRPr="00E00EBC">
        <w:rPr>
          <w:rFonts w:cs="Times New Roman"/>
          <w:lang w:val="en-US"/>
        </w:rPr>
        <w:t>”. From this perspective, Arbour J. explained that while the term “</w:t>
      </w:r>
      <w:r w:rsidRPr="00E00EBC">
        <w:rPr>
          <w:rFonts w:cs="Times New Roman"/>
          <w:i/>
          <w:lang w:val="en-US"/>
        </w:rPr>
        <w:t>peine</w:t>
      </w:r>
      <w:r w:rsidRPr="00E00EBC">
        <w:rPr>
          <w:rFonts w:cs="Times New Roman"/>
          <w:lang w:val="en-US"/>
        </w:rPr>
        <w:t xml:space="preserve">” used in the sense of “punishment” refers to the total punishment imposed on an offender, the same word when used to mean “sentence” refers to the decision rendered by the court. It bears noting that a sentence is always prospective </w:t>
      </w:r>
      <w:proofErr w:type="gramStart"/>
      <w:r w:rsidRPr="00E00EBC">
        <w:rPr>
          <w:rFonts w:cs="Times New Roman"/>
          <w:lang w:val="en-US"/>
        </w:rPr>
        <w:t>in order to</w:t>
      </w:r>
      <w:proofErr w:type="gramEnd"/>
      <w:r w:rsidRPr="00E00EBC">
        <w:rPr>
          <w:rFonts w:cs="Times New Roman"/>
          <w:lang w:val="en-US"/>
        </w:rPr>
        <w:t xml:space="preserve"> prevent the judicial practice of backdating sentences (see s. 719(1) </w:t>
      </w:r>
      <w:r w:rsidRPr="00E00EBC">
        <w:rPr>
          <w:rFonts w:cs="Times New Roman"/>
          <w:i/>
          <w:lang w:val="en-US"/>
        </w:rPr>
        <w:t>Cr. C.</w:t>
      </w:r>
      <w:r w:rsidRPr="00E00EBC">
        <w:rPr>
          <w:rFonts w:cs="Times New Roman"/>
          <w:lang w:val="en-US"/>
        </w:rPr>
        <w:t>).</w:t>
      </w:r>
    </w:p>
    <w:p w14:paraId="6D619249" w14:textId="77777777" w:rsidR="00746949" w:rsidRPr="00E00EBC" w:rsidRDefault="00746949" w:rsidP="00746949">
      <w:pPr>
        <w:pStyle w:val="ParaNoNdepar-AltN"/>
        <w:spacing w:before="0"/>
        <w:rPr>
          <w:rFonts w:cs="Times New Roman"/>
          <w:lang w:val="en-CA"/>
        </w:rPr>
      </w:pPr>
      <w:proofErr w:type="gramStart"/>
      <w:r w:rsidRPr="00E00EBC">
        <w:rPr>
          <w:rFonts w:cs="Times New Roman"/>
          <w:lang w:val="en-CA"/>
        </w:rPr>
        <w:t>As a general rule</w:t>
      </w:r>
      <w:proofErr w:type="gramEnd"/>
      <w:r w:rsidRPr="00E00EBC">
        <w:rPr>
          <w:rFonts w:cs="Times New Roman"/>
          <w:lang w:val="en-CA"/>
        </w:rPr>
        <w:t xml:space="preserve">, the purpose of a mandatory minimum is to impose on an offender an effective </w:t>
      </w:r>
      <w:r w:rsidRPr="00E00EBC">
        <w:rPr>
          <w:rFonts w:cs="Times New Roman"/>
          <w:i/>
          <w:lang w:val="en-CA"/>
        </w:rPr>
        <w:t>punishment</w:t>
      </w:r>
      <w:r w:rsidRPr="00E00EBC">
        <w:rPr>
          <w:rFonts w:cs="Times New Roman"/>
          <w:lang w:val="en-CA"/>
        </w:rPr>
        <w:t xml:space="preserve"> of a specified minimum length. This is so because the objectives underlying a minimum punishment are achieved equally well whether the punishment is served before or after the offender is sentenced. In the instant case, the mandatory minimum provided for in s. 259(1)(a) is no exception to this rule.</w:t>
      </w:r>
    </w:p>
    <w:p w14:paraId="5335DD0D" w14:textId="77777777" w:rsidR="00746949" w:rsidRPr="00E00EBC" w:rsidRDefault="00746949" w:rsidP="00746949">
      <w:pPr>
        <w:pStyle w:val="ParaNoNdepar-AltN"/>
        <w:tabs>
          <w:tab w:val="clear" w:pos="1152"/>
          <w:tab w:val="left" w:pos="1166"/>
        </w:tabs>
        <w:spacing w:before="0"/>
        <w:rPr>
          <w:rFonts w:cs="Times New Roman"/>
          <w:lang w:val="en-CA"/>
        </w:rPr>
      </w:pPr>
      <w:r w:rsidRPr="00E00EBC">
        <w:rPr>
          <w:rFonts w:cs="Times New Roman"/>
          <w:lang w:val="en-CA"/>
        </w:rPr>
        <w:t xml:space="preserve">Properly interpreted, s. 259(1)(a) requires the court to impose a total </w:t>
      </w:r>
      <w:r w:rsidRPr="00E00EBC">
        <w:rPr>
          <w:rFonts w:cs="Times New Roman"/>
          <w:i/>
          <w:lang w:val="en-CA"/>
        </w:rPr>
        <w:t>punishment</w:t>
      </w:r>
      <w:r w:rsidRPr="00E00EBC">
        <w:rPr>
          <w:rFonts w:cs="Times New Roman"/>
          <w:lang w:val="en-CA"/>
        </w:rPr>
        <w:t xml:space="preserve"> of one year to be served by the offender, not to hand down a </w:t>
      </w:r>
      <w:r w:rsidRPr="00E00EBC">
        <w:rPr>
          <w:rFonts w:cs="Times New Roman"/>
          <w:i/>
          <w:lang w:val="en-CA"/>
        </w:rPr>
        <w:t>sentence</w:t>
      </w:r>
      <w:r w:rsidRPr="00E00EBC">
        <w:rPr>
          <w:rFonts w:cs="Times New Roman"/>
          <w:lang w:val="en-CA"/>
        </w:rPr>
        <w:t xml:space="preserve"> imposing a one</w:t>
      </w:r>
      <w:r w:rsidRPr="00E00EBC">
        <w:rPr>
          <w:rFonts w:cs="Times New Roman"/>
          <w:lang w:val="en-CA"/>
        </w:rPr>
        <w:noBreakHyphen/>
        <w:t xml:space="preserve">year prohibition that must necessarily be served prospectively. As Rosenberg J.A. noted in </w:t>
      </w:r>
      <w:r w:rsidRPr="00E00EBC">
        <w:rPr>
          <w:rFonts w:cs="Times New Roman"/>
          <w:i/>
          <w:lang w:val="en-CA"/>
        </w:rPr>
        <w:t>McDonald</w:t>
      </w:r>
      <w:r w:rsidRPr="00E00EBC">
        <w:rPr>
          <w:rFonts w:cs="Times New Roman"/>
          <w:lang w:val="en-CA"/>
        </w:rPr>
        <w:t xml:space="preserve">, Parliament’s intention is respected whether the </w:t>
      </w:r>
      <w:r w:rsidRPr="00E00EBC">
        <w:rPr>
          <w:rFonts w:cs="Times New Roman"/>
          <w:lang w:val="en-CA"/>
        </w:rPr>
        <w:lastRenderedPageBreak/>
        <w:t xml:space="preserve">punishment is served before or after the offender is sentenced, because the effect on the offender is the same in either case. Interpreted in this way, s. 259(1)(a) did not prohibit the sentencing judge from “reducing” the </w:t>
      </w:r>
      <w:r w:rsidRPr="00E00EBC">
        <w:rPr>
          <w:rFonts w:cs="Times New Roman"/>
          <w:i/>
          <w:lang w:val="en-CA"/>
        </w:rPr>
        <w:t>sentence</w:t>
      </w:r>
      <w:r w:rsidRPr="00E00EBC">
        <w:rPr>
          <w:rFonts w:cs="Times New Roman"/>
          <w:lang w:val="en-CA"/>
        </w:rPr>
        <w:t xml:space="preserve"> by granting credit for the pre</w:t>
      </w:r>
      <w:r w:rsidRPr="00E00EBC">
        <w:rPr>
          <w:rFonts w:cs="Times New Roman"/>
          <w:lang w:val="en-CA"/>
        </w:rPr>
        <w:noBreakHyphen/>
        <w:t xml:space="preserve">sentence driving prohibition period, as long as the total </w:t>
      </w:r>
      <w:r w:rsidRPr="00E00EBC">
        <w:rPr>
          <w:rFonts w:cs="Times New Roman"/>
          <w:i/>
          <w:lang w:val="en-CA"/>
        </w:rPr>
        <w:t>punishment</w:t>
      </w:r>
      <w:r w:rsidRPr="00E00EBC">
        <w:rPr>
          <w:rFonts w:cs="Times New Roman"/>
          <w:lang w:val="en-CA"/>
        </w:rPr>
        <w:t xml:space="preserve"> remained consistent with the minimum prescribed by Parliament.</w:t>
      </w:r>
    </w:p>
    <w:p w14:paraId="546E102A" w14:textId="77777777" w:rsidR="00746949" w:rsidRPr="00E00EBC" w:rsidRDefault="00746949" w:rsidP="00746949">
      <w:pPr>
        <w:pStyle w:val="ParaNoNdepar-AltN"/>
        <w:spacing w:before="0"/>
        <w:rPr>
          <w:rFonts w:cs="Times New Roman"/>
          <w:lang w:val="en-CA"/>
        </w:rPr>
      </w:pPr>
      <w:r w:rsidRPr="00E00EBC">
        <w:rPr>
          <w:rFonts w:cs="Times New Roman"/>
          <w:lang w:val="en-CA"/>
        </w:rPr>
        <w:t xml:space="preserve">By the time the trial judgment was rendered in this case, it had been 21 months since Ms. Basque had essentially “begun serving [her] sentence” (see </w:t>
      </w:r>
      <w:r w:rsidRPr="00E00EBC">
        <w:rPr>
          <w:rFonts w:cs="Times New Roman"/>
          <w:i/>
          <w:lang w:val="en-CA"/>
        </w:rPr>
        <w:t>R. v. Sharma</w:t>
      </w:r>
      <w:r w:rsidRPr="00E00EBC">
        <w:rPr>
          <w:rFonts w:cs="Times New Roman"/>
          <w:lang w:val="en-CA"/>
        </w:rPr>
        <w:t xml:space="preserve">, [1992] 1 S.C.R. 814, at p. 818, cited with approval by Wagner J., as he then was, in </w:t>
      </w:r>
      <w:r w:rsidRPr="00E00EBC">
        <w:rPr>
          <w:rFonts w:cs="Times New Roman"/>
          <w:i/>
          <w:lang w:val="en-CA"/>
        </w:rPr>
        <w:t>Lacasse</w:t>
      </w:r>
      <w:r w:rsidRPr="00E00EBC">
        <w:rPr>
          <w:rFonts w:cs="Times New Roman"/>
          <w:lang w:val="en-CA"/>
        </w:rPr>
        <w:t>, at para. 113). When considered from this perspective, the objectives of the minimum punishment set out in s. 259(1)(a) had already been met — and even surpassed. In such a context, granting credit to “reduce” the length of the prohibition imposed on Ms. Basque does not conflict with s. 259(1)(a) because she has already served a driving prohibition period exceeding the one</w:t>
      </w:r>
      <w:r w:rsidRPr="00E00EBC">
        <w:rPr>
          <w:rFonts w:cs="Times New Roman"/>
          <w:lang w:val="en-CA"/>
        </w:rPr>
        <w:noBreakHyphen/>
        <w:t xml:space="preserve">year minimum required by that provision. Crediting also addresses the considerations of fairness and justice touched on in </w:t>
      </w:r>
      <w:r w:rsidRPr="00E00EBC">
        <w:rPr>
          <w:rFonts w:cs="Times New Roman"/>
          <w:i/>
          <w:lang w:val="en-CA"/>
        </w:rPr>
        <w:t>Wust</w:t>
      </w:r>
      <w:r w:rsidRPr="00E00EBC">
        <w:rPr>
          <w:rFonts w:cs="Times New Roman"/>
          <w:lang w:val="en-CA"/>
        </w:rPr>
        <w:t xml:space="preserve">, including what Paciocco J.A. usefully described in an academic paper as “the aversion to double punishment” (D. M. Paciocco, “The Law of Minimum Sentences: Judicial Responses and Responsibility” (2015), 19 </w:t>
      </w:r>
      <w:r w:rsidRPr="00E00EBC">
        <w:rPr>
          <w:rFonts w:cs="Times New Roman"/>
          <w:i/>
          <w:lang w:val="en-CA"/>
        </w:rPr>
        <w:t>Can. Crim. L.R.</w:t>
      </w:r>
      <w:r w:rsidRPr="00E00EBC">
        <w:rPr>
          <w:rFonts w:cs="Times New Roman"/>
          <w:lang w:val="en-CA"/>
        </w:rPr>
        <w:t xml:space="preserve"> 173, at p. 211).</w:t>
      </w:r>
    </w:p>
    <w:p w14:paraId="1D6F104C" w14:textId="77777777" w:rsidR="00746949" w:rsidRPr="00E00EBC" w:rsidRDefault="00746949" w:rsidP="00746949">
      <w:pPr>
        <w:pStyle w:val="ParaNoNdepar-AltN"/>
        <w:spacing w:before="0"/>
        <w:rPr>
          <w:rFonts w:cs="Times New Roman"/>
          <w:lang w:val="en-CA"/>
        </w:rPr>
      </w:pPr>
      <w:r w:rsidRPr="00E00EBC">
        <w:rPr>
          <w:rFonts w:cs="Times New Roman"/>
          <w:lang w:val="en-CA"/>
        </w:rPr>
        <w:t>In short, no conflict arises from the concurrent application of s. 259(1)(a) and the common law rule that allows credit to be granted. At the time of sentencing, the court is required to impose the one</w:t>
      </w:r>
      <w:r w:rsidRPr="00E00EBC">
        <w:rPr>
          <w:rFonts w:cs="Times New Roman"/>
          <w:lang w:val="en-CA"/>
        </w:rPr>
        <w:noBreakHyphen/>
        <w:t xml:space="preserve">year mandatory minimum punishment, but there </w:t>
      </w:r>
      <w:r w:rsidRPr="00E00EBC">
        <w:rPr>
          <w:rFonts w:cs="Times New Roman"/>
          <w:lang w:val="en-CA"/>
        </w:rPr>
        <w:lastRenderedPageBreak/>
        <w:t xml:space="preserve">is nothing in the statute that prevents it from then granting credit. Similarly, granting credit is not contrary to the requirement set out in s. 719(1) </w:t>
      </w:r>
      <w:r w:rsidRPr="00E00EBC">
        <w:rPr>
          <w:rFonts w:cs="Times New Roman"/>
          <w:i/>
          <w:lang w:val="en-CA"/>
        </w:rPr>
        <w:t>Cr. C.</w:t>
      </w:r>
      <w:r w:rsidRPr="00E00EBC">
        <w:rPr>
          <w:rFonts w:cs="Times New Roman"/>
          <w:lang w:val="en-CA"/>
        </w:rPr>
        <w:t xml:space="preserve"> because only the sentence </w:t>
      </w:r>
      <w:proofErr w:type="gramStart"/>
      <w:r w:rsidRPr="00E00EBC">
        <w:rPr>
          <w:rFonts w:cs="Times New Roman"/>
          <w:lang w:val="en-CA"/>
        </w:rPr>
        <w:t>has to</w:t>
      </w:r>
      <w:proofErr w:type="gramEnd"/>
      <w:r w:rsidRPr="00E00EBC">
        <w:rPr>
          <w:rFonts w:cs="Times New Roman"/>
          <w:lang w:val="en-CA"/>
        </w:rPr>
        <w:t xml:space="preserve"> commence when it is imposed, not the one</w:t>
      </w:r>
      <w:r w:rsidRPr="00E00EBC">
        <w:rPr>
          <w:rFonts w:cs="Times New Roman"/>
          <w:lang w:val="en-CA"/>
        </w:rPr>
        <w:noBreakHyphen/>
        <w:t xml:space="preserve">year minimum punishment served under s. 259(1)(a). These statutory provisions therefore do not displace the discretion of sentencing judges that was recognized in </w:t>
      </w:r>
      <w:r w:rsidRPr="00E00EBC">
        <w:rPr>
          <w:rFonts w:cs="Times New Roman"/>
          <w:i/>
          <w:lang w:val="en-CA"/>
        </w:rPr>
        <w:t>Lacasse</w:t>
      </w:r>
      <w:r w:rsidRPr="00E00EBC">
        <w:rPr>
          <w:rFonts w:cs="Times New Roman"/>
          <w:lang w:val="en-CA"/>
        </w:rPr>
        <w:t>. Of course, Parliament remains free, within the constraints imposed by the Constitution, to limit this discretion, but it must do so through a “clear provision to that effect” (</w:t>
      </w:r>
      <w:r w:rsidRPr="00E00EBC">
        <w:rPr>
          <w:rFonts w:cs="Times New Roman"/>
          <w:i/>
          <w:lang w:val="en-CA"/>
        </w:rPr>
        <w:t>Lizotte v. Aviva Insurance Company of Canada</w:t>
      </w:r>
      <w:r w:rsidRPr="00E00EBC">
        <w:rPr>
          <w:rFonts w:cs="Times New Roman"/>
          <w:lang w:val="en-CA"/>
        </w:rPr>
        <w:t>, 2016 SCC 52, [2016] 2 S.C.R. 521, at para. 56). There is no such provision here, as s. 259(1)(a) is silent regarding the granting of credit.</w:t>
      </w:r>
    </w:p>
    <w:p w14:paraId="48D102CF" w14:textId="77777777" w:rsidR="00746949" w:rsidRPr="00E00EBC" w:rsidRDefault="00746949" w:rsidP="00746949">
      <w:pPr>
        <w:pStyle w:val="ParaNoNdepar-AltN"/>
        <w:spacing w:before="0"/>
        <w:rPr>
          <w:rFonts w:cs="Times New Roman"/>
          <w:lang w:val="en-CA"/>
        </w:rPr>
      </w:pPr>
      <w:r w:rsidRPr="00E00EBC">
        <w:rPr>
          <w:rFonts w:cs="Times New Roman"/>
          <w:lang w:val="en-CA"/>
        </w:rPr>
        <w:t>Furthermore, the codification of the discretion to give credit for pre</w:t>
      </w:r>
      <w:r w:rsidRPr="00E00EBC">
        <w:rPr>
          <w:rFonts w:cs="Times New Roman"/>
          <w:lang w:val="en-CA"/>
        </w:rPr>
        <w:noBreakHyphen/>
        <w:t xml:space="preserve">sentence custody in s. 719(3) </w:t>
      </w:r>
      <w:r w:rsidRPr="00E00EBC">
        <w:rPr>
          <w:rFonts w:cs="Times New Roman"/>
          <w:i/>
          <w:lang w:val="en-CA"/>
        </w:rPr>
        <w:t>Cr. C.</w:t>
      </w:r>
      <w:r w:rsidRPr="00E00EBC">
        <w:rPr>
          <w:rFonts w:cs="Times New Roman"/>
          <w:lang w:val="en-CA"/>
        </w:rPr>
        <w:t xml:space="preserve"> has no impact on this appeal. Like s. 259(1)(a), s. 719(3) is unambiguous, and it is also silent with respect to driving prohibitions. Here, the absence of an analogous provision for driving prohibitions does not signify a positive intention by Parliament to eliminate the discretion recognized in </w:t>
      </w:r>
      <w:r w:rsidRPr="00E00EBC">
        <w:rPr>
          <w:rFonts w:cs="Times New Roman"/>
          <w:i/>
          <w:lang w:val="en-CA"/>
        </w:rPr>
        <w:t>Lacasse</w:t>
      </w:r>
      <w:r w:rsidRPr="00E00EBC">
        <w:rPr>
          <w:rFonts w:cs="Times New Roman"/>
          <w:lang w:val="en-CA"/>
        </w:rPr>
        <w:t>, a case which, I should add, was decided after s. 719(3) was enacted.</w:t>
      </w:r>
    </w:p>
    <w:p w14:paraId="156598D1" w14:textId="77777777" w:rsidR="00746949" w:rsidRPr="00E00EBC" w:rsidRDefault="00746949" w:rsidP="00746949">
      <w:pPr>
        <w:pStyle w:val="ParaNoNdepar-AltN"/>
        <w:spacing w:before="0"/>
        <w:rPr>
          <w:rFonts w:cs="Times New Roman"/>
          <w:lang w:val="en-CA"/>
        </w:rPr>
      </w:pPr>
      <w:r w:rsidRPr="00E00EBC">
        <w:rPr>
          <w:rFonts w:cs="Times New Roman"/>
          <w:lang w:val="en-CA"/>
        </w:rPr>
        <w:t xml:space="preserve">In light of the </w:t>
      </w:r>
      <w:proofErr w:type="gramStart"/>
      <w:r w:rsidRPr="00E00EBC">
        <w:rPr>
          <w:rFonts w:cs="Times New Roman"/>
          <w:lang w:val="en-CA"/>
        </w:rPr>
        <w:t>foregoing, and</w:t>
      </w:r>
      <w:proofErr w:type="gramEnd"/>
      <w:r w:rsidRPr="00E00EBC">
        <w:rPr>
          <w:rFonts w:cs="Times New Roman"/>
          <w:lang w:val="en-CA"/>
        </w:rPr>
        <w:t xml:space="preserve"> given that Ms. Basque has already been prohibited from driving for 21 months, the imposition of an additional one</w:t>
      </w:r>
      <w:r w:rsidRPr="00E00EBC">
        <w:rPr>
          <w:rFonts w:cs="Times New Roman"/>
          <w:lang w:val="en-CA"/>
        </w:rPr>
        <w:noBreakHyphen/>
        <w:t>year prohibition period would amount to a kind of double punishment, contrary to the most fundamental requirements of justice and fairness. Conscious of this fact, the sentencing judge ordered a one</w:t>
      </w:r>
      <w:r w:rsidRPr="00E00EBC">
        <w:rPr>
          <w:rFonts w:cs="Times New Roman"/>
          <w:lang w:val="en-CA"/>
        </w:rPr>
        <w:noBreakHyphen/>
        <w:t xml:space="preserve">year driving prohibition but found that Ms. Basque had already satisfied this condition. However, he backdated Ms. Basque’s sentence to achieve this </w:t>
      </w:r>
      <w:r w:rsidRPr="00E00EBC">
        <w:rPr>
          <w:rFonts w:cs="Times New Roman"/>
          <w:lang w:val="en-CA"/>
        </w:rPr>
        <w:lastRenderedPageBreak/>
        <w:t>result. With respect, this was an error. He could quite properly have imposed the one</w:t>
      </w:r>
      <w:r w:rsidRPr="00E00EBC">
        <w:rPr>
          <w:rFonts w:cs="Times New Roman"/>
          <w:lang w:val="en-CA"/>
        </w:rPr>
        <w:noBreakHyphen/>
        <w:t xml:space="preserve">year mandatory minimum punishment required by s. 259(1)(a) </w:t>
      </w:r>
      <w:r w:rsidRPr="00E00EBC">
        <w:rPr>
          <w:rFonts w:cs="Times New Roman"/>
          <w:i/>
          <w:lang w:val="en-CA"/>
        </w:rPr>
        <w:t>Cr. C.</w:t>
      </w:r>
      <w:r w:rsidRPr="00E00EBC">
        <w:rPr>
          <w:rFonts w:cs="Times New Roman"/>
          <w:lang w:val="en-CA"/>
        </w:rPr>
        <w:t xml:space="preserve">, stated that a sentence commences when it is imposed under s. 719(1) </w:t>
      </w:r>
      <w:r w:rsidRPr="00E00EBC">
        <w:rPr>
          <w:rFonts w:cs="Times New Roman"/>
          <w:i/>
          <w:lang w:val="en-CA"/>
        </w:rPr>
        <w:t>Cr. C.</w:t>
      </w:r>
      <w:r w:rsidRPr="00E00EBC">
        <w:rPr>
          <w:rFonts w:cs="Times New Roman"/>
          <w:lang w:val="en-CA"/>
        </w:rPr>
        <w:t>, and then granted credit for the pre</w:t>
      </w:r>
      <w:r w:rsidRPr="00E00EBC">
        <w:rPr>
          <w:rFonts w:cs="Times New Roman"/>
          <w:lang w:val="en-CA"/>
        </w:rPr>
        <w:noBreakHyphen/>
        <w:t xml:space="preserve">sentence driving prohibition period by exercising his common law discretion, which has not been displaced by the </w:t>
      </w:r>
      <w:r w:rsidRPr="00E00EBC">
        <w:rPr>
          <w:rFonts w:cs="Times New Roman"/>
          <w:i/>
          <w:lang w:val="en-CA"/>
        </w:rPr>
        <w:t>Criminal Code</w:t>
      </w:r>
      <w:r w:rsidRPr="00E00EBC">
        <w:rPr>
          <w:rFonts w:cs="Times New Roman"/>
          <w:lang w:val="en-CA"/>
        </w:rPr>
        <w:t>.</w:t>
      </w:r>
    </w:p>
    <w:p w14:paraId="75A446B1" w14:textId="77777777" w:rsidR="00746949" w:rsidRPr="00E00EBC" w:rsidRDefault="00746949" w:rsidP="00746949">
      <w:pPr>
        <w:pStyle w:val="ParaNoNdepar-AltN"/>
        <w:tabs>
          <w:tab w:val="clear" w:pos="1152"/>
          <w:tab w:val="left" w:pos="1166"/>
        </w:tabs>
        <w:spacing w:before="0"/>
        <w:rPr>
          <w:rFonts w:cs="Times New Roman"/>
          <w:lang w:val="en-CA"/>
        </w:rPr>
      </w:pPr>
      <w:proofErr w:type="gramStart"/>
      <w:r w:rsidRPr="00E00EBC">
        <w:rPr>
          <w:rFonts w:cs="Times New Roman"/>
          <w:lang w:val="en-CA"/>
        </w:rPr>
        <w:t>For the reasons that</w:t>
      </w:r>
      <w:proofErr w:type="gramEnd"/>
      <w:r w:rsidRPr="00E00EBC">
        <w:rPr>
          <w:rFonts w:cs="Times New Roman"/>
          <w:lang w:val="en-CA"/>
        </w:rPr>
        <w:t xml:space="preserve"> follow, I would allow the appeal and set aside the judgment of the New Brunswick Court of Appeal. I would restore the judgment of the summary conviction appeal court and reinstate the sentencing judge’s conclusions in part, for different reasons. I would specify that the appellant has already served the mandatory minimum prohibition provided for in s. 259(1)(a) </w:t>
      </w:r>
      <w:r w:rsidRPr="00E00EBC">
        <w:rPr>
          <w:rFonts w:cs="Times New Roman"/>
          <w:i/>
          <w:lang w:val="en-CA"/>
        </w:rPr>
        <w:t>Cr. C.</w:t>
      </w:r>
    </w:p>
    <w:p w14:paraId="3A38DA0E" w14:textId="77777777" w:rsidR="00746949" w:rsidRPr="00E00EBC" w:rsidRDefault="00746949" w:rsidP="00746949">
      <w:pPr>
        <w:pStyle w:val="Title1LevelTitre1Niveau-AltL"/>
        <w:numPr>
          <w:ilvl w:val="0"/>
          <w:numId w:val="10"/>
        </w:numPr>
        <w:spacing w:before="0"/>
        <w:rPr>
          <w:rFonts w:cs="Times New Roman"/>
        </w:rPr>
      </w:pPr>
      <w:bookmarkStart w:id="7" w:name="_Toc122713947"/>
      <w:bookmarkStart w:id="8" w:name="_Toc123734873"/>
      <w:bookmarkStart w:id="9" w:name="_Toc123830835"/>
      <w:bookmarkStart w:id="10" w:name="_Toc124075269"/>
      <w:bookmarkStart w:id="11" w:name="_Toc124075325"/>
      <w:r w:rsidRPr="00E00EBC">
        <w:rPr>
          <w:rFonts w:cs="Times New Roman"/>
        </w:rPr>
        <w:t>Facts</w:t>
      </w:r>
      <w:bookmarkEnd w:id="7"/>
      <w:bookmarkEnd w:id="8"/>
      <w:bookmarkEnd w:id="9"/>
      <w:bookmarkEnd w:id="10"/>
      <w:bookmarkEnd w:id="11"/>
    </w:p>
    <w:p w14:paraId="32121857" w14:textId="77777777" w:rsidR="00746949" w:rsidRPr="00E00EBC" w:rsidRDefault="00746949" w:rsidP="00746949">
      <w:pPr>
        <w:pStyle w:val="ParaNoNdepar-AltN"/>
        <w:spacing w:before="0"/>
        <w:rPr>
          <w:rFonts w:cs="Times New Roman"/>
          <w:lang w:val="en-CA"/>
        </w:rPr>
      </w:pPr>
      <w:r w:rsidRPr="00E00EBC">
        <w:rPr>
          <w:rFonts w:cs="Times New Roman"/>
          <w:lang w:val="en-CA"/>
        </w:rPr>
        <w:t>On the night of October 7, 2017, the appellant was driving her vehicle in downtown Moncton, New Brunswick. Constable Richard, who was patrolling the area, noticed that the vehicle was being driven erratically and stopped it. The interaction between the appellant and the police officer took place in French in keeping with the preference expressed by Ms. Basque. The constable had her take a breathalyzer test, which showed a blood alcohol level above the legal limit. Ms. Basque was then arrested for operating a motor vehicle with a blood alcohol level exceeding 80 mg of alcohol in 100 ml of blood.</w:t>
      </w:r>
    </w:p>
    <w:p w14:paraId="7B3C7F7E" w14:textId="77777777" w:rsidR="00746949" w:rsidRPr="00E00EBC" w:rsidRDefault="00746949" w:rsidP="00746949">
      <w:pPr>
        <w:pStyle w:val="ParaNoNdepar-AltN"/>
        <w:tabs>
          <w:tab w:val="clear" w:pos="1152"/>
          <w:tab w:val="left" w:pos="1166"/>
        </w:tabs>
        <w:spacing w:before="0"/>
        <w:rPr>
          <w:rFonts w:cs="Times New Roman"/>
          <w:lang w:val="en-CA"/>
        </w:rPr>
      </w:pPr>
      <w:r w:rsidRPr="00E00EBC">
        <w:rPr>
          <w:rFonts w:cs="Times New Roman"/>
          <w:lang w:val="en-CA"/>
        </w:rPr>
        <w:lastRenderedPageBreak/>
        <w:t xml:space="preserve">On November 30, Ms. Basque was released on an undertaking not to operate a motor vehicle. She was later charged with impaired driving under the former s. 253(1)(b) </w:t>
      </w:r>
      <w:r w:rsidRPr="00E00EBC">
        <w:rPr>
          <w:rFonts w:cs="Times New Roman"/>
          <w:i/>
          <w:lang w:val="en-CA"/>
        </w:rPr>
        <w:t>Cr. C.</w:t>
      </w:r>
    </w:p>
    <w:p w14:paraId="5AF40653" w14:textId="77777777" w:rsidR="00746949" w:rsidRPr="00E00EBC" w:rsidRDefault="00746949" w:rsidP="00746949">
      <w:pPr>
        <w:pStyle w:val="ParaNoNdepar-AltN"/>
        <w:tabs>
          <w:tab w:val="clear" w:pos="1152"/>
          <w:tab w:val="left" w:pos="1166"/>
        </w:tabs>
        <w:spacing w:before="0"/>
        <w:rPr>
          <w:rFonts w:cs="Times New Roman"/>
          <w:lang w:val="en-CA"/>
        </w:rPr>
      </w:pPr>
      <w:r w:rsidRPr="00E00EBC">
        <w:rPr>
          <w:rFonts w:cs="Times New Roman"/>
          <w:lang w:val="en-CA"/>
        </w:rPr>
        <w:t xml:space="preserve">Ms. Basque initially pleaded not guilty to the charge brought against her. The trial was scheduled for June 2018 but was later adjourned at her request. In October of that year, Ms. Basque pleaded guilty and stated that she intended to apply for a conditional discharge under s. 255(5) </w:t>
      </w:r>
      <w:r w:rsidRPr="00E00EBC">
        <w:rPr>
          <w:rFonts w:cs="Times New Roman"/>
          <w:i/>
          <w:lang w:val="en-CA"/>
        </w:rPr>
        <w:t>Cr. C.</w:t>
      </w:r>
      <w:r w:rsidRPr="00E00EBC">
        <w:rPr>
          <w:rFonts w:cs="Times New Roman"/>
          <w:lang w:val="en-CA"/>
        </w:rPr>
        <w:t xml:space="preserve"> (now repealed).</w:t>
      </w:r>
    </w:p>
    <w:p w14:paraId="5EA37A3D" w14:textId="77777777" w:rsidR="00746949" w:rsidRPr="00E00EBC" w:rsidRDefault="00746949" w:rsidP="00746949">
      <w:pPr>
        <w:pStyle w:val="ParaNoNdepar-AltN"/>
        <w:tabs>
          <w:tab w:val="clear" w:pos="1152"/>
          <w:tab w:val="left" w:pos="1166"/>
        </w:tabs>
        <w:spacing w:before="0"/>
        <w:rPr>
          <w:rFonts w:cs="Times New Roman"/>
          <w:lang w:val="en-CA"/>
        </w:rPr>
      </w:pPr>
      <w:r w:rsidRPr="00E00EBC">
        <w:rPr>
          <w:rFonts w:cs="Times New Roman"/>
          <w:lang w:val="en-CA"/>
        </w:rPr>
        <w:t xml:space="preserve">At the sentencing hearing in the Provincial Court — delayed by adjournments — Ms. Basque waived her right to proceed in French and abandoned her application for a conditional discharge. </w:t>
      </w:r>
      <w:proofErr w:type="gramStart"/>
      <w:r w:rsidRPr="00E00EBC">
        <w:rPr>
          <w:rFonts w:cs="Times New Roman"/>
          <w:lang w:val="en-CA"/>
        </w:rPr>
        <w:t>Following discussion of her criminal history, it</w:t>
      </w:r>
      <w:proofErr w:type="gramEnd"/>
      <w:r w:rsidRPr="00E00EBC">
        <w:rPr>
          <w:rFonts w:cs="Times New Roman"/>
          <w:lang w:val="en-CA"/>
        </w:rPr>
        <w:t xml:space="preserve"> was determined that a prohibition applicable to a first offence was to be imposed on her under s. 259(1)(a). The Crown did not seek a term of imprisonment, and the parties reached an agreement on the amount of the fine to be set in her case.</w:t>
      </w:r>
    </w:p>
    <w:p w14:paraId="40955911" w14:textId="77777777" w:rsidR="00746949" w:rsidRPr="00E00EBC" w:rsidRDefault="00746949" w:rsidP="00746949">
      <w:pPr>
        <w:pStyle w:val="ParaNoNdepar-AltN"/>
        <w:tabs>
          <w:tab w:val="clear" w:pos="1152"/>
          <w:tab w:val="left" w:pos="1166"/>
        </w:tabs>
        <w:spacing w:before="0"/>
        <w:rPr>
          <w:rFonts w:cs="Times New Roman"/>
          <w:lang w:val="en-CA"/>
        </w:rPr>
      </w:pPr>
      <w:r w:rsidRPr="00E00EBC">
        <w:rPr>
          <w:rFonts w:cs="Times New Roman"/>
          <w:lang w:val="en-CA"/>
        </w:rPr>
        <w:t xml:space="preserve">Between her initial appearance and the </w:t>
      </w:r>
      <w:proofErr w:type="gramStart"/>
      <w:r w:rsidRPr="00E00EBC">
        <w:rPr>
          <w:rFonts w:cs="Times New Roman"/>
          <w:lang w:val="en-CA"/>
        </w:rPr>
        <w:t>date</w:t>
      </w:r>
      <w:proofErr w:type="gramEnd"/>
      <w:r w:rsidRPr="00E00EBC">
        <w:rPr>
          <w:rFonts w:cs="Times New Roman"/>
          <w:lang w:val="en-CA"/>
        </w:rPr>
        <w:t xml:space="preserve"> she was sentenced, Ms. Basque was subject to a driving prohibition for 21 months.</w:t>
      </w:r>
    </w:p>
    <w:p w14:paraId="3C86B206" w14:textId="77777777" w:rsidR="00746949" w:rsidRPr="00E00EBC" w:rsidRDefault="00746949" w:rsidP="00746949">
      <w:pPr>
        <w:pStyle w:val="Title1LevelTitre1Niveau-AltL"/>
        <w:numPr>
          <w:ilvl w:val="0"/>
          <w:numId w:val="10"/>
        </w:numPr>
        <w:spacing w:before="0"/>
        <w:rPr>
          <w:rFonts w:cs="Times New Roman"/>
        </w:rPr>
      </w:pPr>
      <w:bookmarkStart w:id="12" w:name="_Toc122713948"/>
      <w:bookmarkStart w:id="13" w:name="_Toc123734874"/>
      <w:bookmarkStart w:id="14" w:name="_Toc123830836"/>
      <w:bookmarkStart w:id="15" w:name="_Toc124075270"/>
      <w:bookmarkStart w:id="16" w:name="_Toc124075326"/>
      <w:r w:rsidRPr="00E00EBC">
        <w:rPr>
          <w:rFonts w:cs="Times New Roman"/>
        </w:rPr>
        <w:t>Judicial History</w:t>
      </w:r>
      <w:bookmarkEnd w:id="12"/>
      <w:bookmarkEnd w:id="13"/>
      <w:bookmarkEnd w:id="14"/>
      <w:bookmarkEnd w:id="15"/>
      <w:bookmarkEnd w:id="16"/>
    </w:p>
    <w:p w14:paraId="166869A6" w14:textId="77777777" w:rsidR="00746949" w:rsidRPr="00E00EBC" w:rsidRDefault="00746949" w:rsidP="00746949">
      <w:pPr>
        <w:pStyle w:val="Title2LevelTitre2Niveau"/>
        <w:numPr>
          <w:ilvl w:val="1"/>
          <w:numId w:val="10"/>
        </w:numPr>
        <w:spacing w:before="0"/>
        <w:rPr>
          <w:rFonts w:cs="Times New Roman"/>
        </w:rPr>
      </w:pPr>
      <w:bookmarkStart w:id="17" w:name="_Toc122713949"/>
      <w:bookmarkStart w:id="18" w:name="_Toc123734875"/>
      <w:bookmarkStart w:id="19" w:name="_Toc123830837"/>
      <w:bookmarkStart w:id="20" w:name="_Toc124075271"/>
      <w:bookmarkStart w:id="21" w:name="_Toc124075327"/>
      <w:r w:rsidRPr="00E00EBC">
        <w:rPr>
          <w:rFonts w:cs="Times New Roman"/>
        </w:rPr>
        <w:t>New Brunswick Provincial Court</w:t>
      </w:r>
      <w:bookmarkEnd w:id="17"/>
      <w:r w:rsidRPr="00E00EBC">
        <w:rPr>
          <w:rFonts w:cs="Times New Roman"/>
        </w:rPr>
        <w:t xml:space="preserve"> (McCarroll Prov. Ct. J.)</w:t>
      </w:r>
      <w:bookmarkEnd w:id="18"/>
      <w:bookmarkEnd w:id="19"/>
      <w:bookmarkEnd w:id="20"/>
      <w:bookmarkEnd w:id="21"/>
    </w:p>
    <w:p w14:paraId="3EA9B423" w14:textId="77777777" w:rsidR="00746949" w:rsidRPr="00E00EBC" w:rsidRDefault="00746949" w:rsidP="00746949">
      <w:pPr>
        <w:pStyle w:val="ParaNoNdepar-AltN"/>
        <w:spacing w:before="0"/>
        <w:rPr>
          <w:rFonts w:cs="Times New Roman"/>
          <w:lang w:val="en-CA"/>
        </w:rPr>
      </w:pPr>
      <w:r w:rsidRPr="00E00EBC">
        <w:rPr>
          <w:rFonts w:cs="Times New Roman"/>
          <w:lang w:val="en-CA"/>
        </w:rPr>
        <w:lastRenderedPageBreak/>
        <w:t xml:space="preserve">The sentencing judge acknowledged Ms. Basque’s difficult past, which included a very abusive childhood. He also noted that driving her vehicle was important to her. She had to travel to Fredericton to take part in hearings concerning the custody of her children, and the use of public transportation for that purpose placed her in a financially precarious position. Mindful of this </w:t>
      </w:r>
      <w:proofErr w:type="gramStart"/>
      <w:r w:rsidRPr="00E00EBC">
        <w:rPr>
          <w:rFonts w:cs="Times New Roman"/>
          <w:lang w:val="en-CA"/>
        </w:rPr>
        <w:t>reality, and</w:t>
      </w:r>
      <w:proofErr w:type="gramEnd"/>
      <w:r w:rsidRPr="00E00EBC">
        <w:rPr>
          <w:rFonts w:cs="Times New Roman"/>
          <w:lang w:val="en-CA"/>
        </w:rPr>
        <w:t xml:space="preserve"> taking account of the fact that Ms. Basque had been subject to a pre</w:t>
      </w:r>
      <w:r w:rsidRPr="00E00EBC">
        <w:rPr>
          <w:rFonts w:cs="Times New Roman"/>
          <w:lang w:val="en-CA"/>
        </w:rPr>
        <w:noBreakHyphen/>
        <w:t>sentence driving prohibition for 21 months, the judge granted her uncontested request that he not impose any further prohibition.</w:t>
      </w:r>
    </w:p>
    <w:p w14:paraId="0F706A59" w14:textId="77777777" w:rsidR="00746949" w:rsidRPr="00E00EBC" w:rsidRDefault="00746949" w:rsidP="00746949">
      <w:pPr>
        <w:pStyle w:val="ParaNoNdepar-AltN"/>
        <w:spacing w:before="0"/>
        <w:rPr>
          <w:rFonts w:cs="Times New Roman"/>
          <w:lang w:val="en-CA"/>
        </w:rPr>
      </w:pPr>
      <w:r w:rsidRPr="00E00EBC">
        <w:rPr>
          <w:rFonts w:cs="Times New Roman"/>
          <w:lang w:val="en-CA"/>
        </w:rPr>
        <w:t>At the hearing, the judge commented as follows on the possible terms of the order he had to make: “. . . I’m not sure of whether to word it, driving prohibition one year which has been completed because of her two years of – of prohibited driving [</w:t>
      </w:r>
      <w:proofErr w:type="gramStart"/>
      <w:r w:rsidRPr="00E00EBC">
        <w:rPr>
          <w:rFonts w:cs="Times New Roman"/>
          <w:lang w:val="en-CA"/>
        </w:rPr>
        <w:t>as a result of</w:t>
      </w:r>
      <w:proofErr w:type="gramEnd"/>
      <w:r w:rsidRPr="00E00EBC">
        <w:rPr>
          <w:rFonts w:cs="Times New Roman"/>
          <w:lang w:val="en-CA"/>
        </w:rPr>
        <w:t xml:space="preserve"> the pre</w:t>
      </w:r>
      <w:r w:rsidRPr="00E00EBC">
        <w:rPr>
          <w:rFonts w:cs="Times New Roman"/>
          <w:lang w:val="en-CA"/>
        </w:rPr>
        <w:noBreakHyphen/>
        <w:t>sentence prohibition], or simply say, no driving prohibition. I’m inclined to take the first approach because the law obliges me to – to order [the prohibition] – but I think it might be safer to back – to order it and then back</w:t>
      </w:r>
      <w:r w:rsidRPr="00E00EBC">
        <w:rPr>
          <w:rFonts w:cs="Times New Roman"/>
          <w:lang w:val="en-CA"/>
        </w:rPr>
        <w:noBreakHyphen/>
        <w:t>date it and say, you know, she’s already been without the licence by a court order for – for over two years” (A.R., vol. I, at p. 16). In the end, the judge chose to backdate the order prohibiting Ms. Basque from operating a vehicle to November 30, 2017 — the first day of the pre</w:t>
      </w:r>
      <w:r w:rsidRPr="00E00EBC">
        <w:rPr>
          <w:rFonts w:cs="Times New Roman"/>
          <w:lang w:val="en-CA"/>
        </w:rPr>
        <w:noBreakHyphen/>
        <w:t>sentence prohibition — which meant that the prohibition had been completed in full by the date of the decision. He also imposed the minimum fine of $1,000.</w:t>
      </w:r>
    </w:p>
    <w:p w14:paraId="66ACA4AF" w14:textId="77777777" w:rsidR="00746949" w:rsidRPr="00E00EBC" w:rsidRDefault="00746949" w:rsidP="00746949">
      <w:pPr>
        <w:pStyle w:val="Title2LevelTitre2Niveau"/>
        <w:numPr>
          <w:ilvl w:val="1"/>
          <w:numId w:val="10"/>
        </w:numPr>
        <w:spacing w:before="0"/>
        <w:rPr>
          <w:rFonts w:cs="Times New Roman"/>
        </w:rPr>
      </w:pPr>
      <w:bookmarkStart w:id="22" w:name="_Toc122713950"/>
      <w:bookmarkStart w:id="23" w:name="_Toc123734876"/>
      <w:bookmarkStart w:id="24" w:name="_Toc123830838"/>
      <w:bookmarkStart w:id="25" w:name="_Toc124075272"/>
      <w:bookmarkStart w:id="26" w:name="_Toc124075328"/>
      <w:r w:rsidRPr="00E00EBC">
        <w:rPr>
          <w:rFonts w:cs="Times New Roman"/>
        </w:rPr>
        <w:t>New Brunswick Court of Queen’s Bench</w:t>
      </w:r>
      <w:bookmarkEnd w:id="22"/>
      <w:r w:rsidRPr="00E00EBC">
        <w:rPr>
          <w:rFonts w:cs="Times New Roman"/>
        </w:rPr>
        <w:t>, 2020 NBQB 130, 65 M.V.R. (7th) 208 (Dysart J.)</w:t>
      </w:r>
      <w:bookmarkEnd w:id="23"/>
      <w:bookmarkEnd w:id="24"/>
      <w:bookmarkEnd w:id="25"/>
      <w:bookmarkEnd w:id="26"/>
    </w:p>
    <w:p w14:paraId="0836AAF0" w14:textId="77777777" w:rsidR="00746949" w:rsidRPr="00E00EBC" w:rsidRDefault="00746949" w:rsidP="00746949">
      <w:pPr>
        <w:pStyle w:val="ParaNoNdepar-AltN"/>
        <w:spacing w:before="0"/>
        <w:rPr>
          <w:rFonts w:cs="Times New Roman"/>
          <w:lang w:val="en-CA"/>
        </w:rPr>
      </w:pPr>
      <w:r w:rsidRPr="00E00EBC">
        <w:rPr>
          <w:rFonts w:cs="Times New Roman"/>
          <w:lang w:val="en-CA"/>
        </w:rPr>
        <w:lastRenderedPageBreak/>
        <w:t xml:space="preserve">The summary conviction appeal judge heard an appeal by the Crown, which argued that the sentencing judge had erred in law in backdating the sentence. Relying on the principles laid down by this Court in </w:t>
      </w:r>
      <w:r w:rsidRPr="00E00EBC">
        <w:rPr>
          <w:rFonts w:cs="Times New Roman"/>
          <w:i/>
          <w:lang w:val="en-CA"/>
        </w:rPr>
        <w:t xml:space="preserve">Lacasse </w:t>
      </w:r>
      <w:r w:rsidRPr="00E00EBC">
        <w:rPr>
          <w:rFonts w:cs="Times New Roman"/>
          <w:lang w:val="en-CA"/>
        </w:rPr>
        <w:t xml:space="preserve">and </w:t>
      </w:r>
      <w:r w:rsidRPr="00E00EBC">
        <w:rPr>
          <w:rFonts w:cs="Times New Roman"/>
          <w:i/>
          <w:lang w:val="en-CA"/>
        </w:rPr>
        <w:t>Wust</w:t>
      </w:r>
      <w:r w:rsidRPr="00E00EBC">
        <w:rPr>
          <w:rFonts w:cs="Times New Roman"/>
          <w:lang w:val="en-CA"/>
        </w:rPr>
        <w:t>, the appeal judge dismissed the appeal, finding that the sentencing judge could give credit for a pre</w:t>
      </w:r>
      <w:r w:rsidRPr="00E00EBC">
        <w:rPr>
          <w:rFonts w:cs="Times New Roman"/>
          <w:lang w:val="en-CA"/>
        </w:rPr>
        <w:noBreakHyphen/>
        <w:t xml:space="preserve">sentence driving prohibition </w:t>
      </w:r>
      <w:proofErr w:type="gramStart"/>
      <w:r w:rsidRPr="00E00EBC">
        <w:rPr>
          <w:rFonts w:cs="Times New Roman"/>
          <w:lang w:val="en-CA"/>
        </w:rPr>
        <w:t>as long as</w:t>
      </w:r>
      <w:proofErr w:type="gramEnd"/>
      <w:r w:rsidRPr="00E00EBC">
        <w:rPr>
          <w:rFonts w:cs="Times New Roman"/>
          <w:lang w:val="en-CA"/>
        </w:rPr>
        <w:t xml:space="preserve"> such a prohibition was a condition of release and also part of the sentence later imposed (para. 28).</w:t>
      </w:r>
    </w:p>
    <w:p w14:paraId="3448791A" w14:textId="77777777" w:rsidR="00746949" w:rsidRPr="00E00EBC" w:rsidRDefault="00746949" w:rsidP="00746949">
      <w:pPr>
        <w:pStyle w:val="ParaNoNdepar-AltN"/>
        <w:spacing w:before="0"/>
        <w:rPr>
          <w:rFonts w:cs="Times New Roman"/>
          <w:lang w:val="en-CA"/>
        </w:rPr>
      </w:pPr>
      <w:r w:rsidRPr="00E00EBC">
        <w:rPr>
          <w:rFonts w:cs="Times New Roman"/>
          <w:lang w:val="en-CA"/>
        </w:rPr>
        <w:t xml:space="preserve">Illustrating his point using two decisions that relied on </w:t>
      </w:r>
      <w:r w:rsidRPr="00E00EBC">
        <w:rPr>
          <w:rFonts w:cs="Times New Roman"/>
          <w:i/>
          <w:lang w:val="en-CA"/>
        </w:rPr>
        <w:t>Lacasse</w:t>
      </w:r>
      <w:r w:rsidRPr="00E00EBC">
        <w:rPr>
          <w:rFonts w:cs="Times New Roman"/>
          <w:lang w:val="en-CA"/>
        </w:rPr>
        <w:t xml:space="preserve"> — </w:t>
      </w:r>
      <w:r w:rsidRPr="00E00EBC">
        <w:rPr>
          <w:rFonts w:cs="Times New Roman"/>
          <w:i/>
          <w:lang w:val="en-CA"/>
        </w:rPr>
        <w:t>R. v. Bland</w:t>
      </w:r>
      <w:r w:rsidRPr="00E00EBC">
        <w:rPr>
          <w:rFonts w:cs="Times New Roman"/>
          <w:lang w:val="en-CA"/>
        </w:rPr>
        <w:t xml:space="preserve">, 2016 YKSC 61, 3 M.V.R. (7th) 112, and </w:t>
      </w:r>
      <w:r w:rsidRPr="00E00EBC">
        <w:rPr>
          <w:rFonts w:cs="Times New Roman"/>
          <w:i/>
          <w:lang w:val="en-CA"/>
        </w:rPr>
        <w:t>R. v. Edwards</w:t>
      </w:r>
      <w:r w:rsidRPr="00E00EBC">
        <w:rPr>
          <w:rFonts w:cs="Times New Roman"/>
          <w:lang w:val="en-CA"/>
        </w:rPr>
        <w:t xml:space="preserve"> (2016), 382 Nfld. &amp; P.E.I.R. 225 (N.L. Prov. Ct.) — the appeal judge noted that the sentencing judge had not imposed a prohibition period that was less than the minimum provided for in the </w:t>
      </w:r>
      <w:r w:rsidRPr="00E00EBC">
        <w:rPr>
          <w:rFonts w:cs="Times New Roman"/>
          <w:i/>
          <w:lang w:val="en-CA"/>
        </w:rPr>
        <w:t>Criminal Code</w:t>
      </w:r>
      <w:r w:rsidRPr="00E00EBC">
        <w:rPr>
          <w:rFonts w:cs="Times New Roman"/>
          <w:lang w:val="en-CA"/>
        </w:rPr>
        <w:t xml:space="preserve">. Through his decision, the sentencing judge had imposed a driving prohibition on Ms. Basque for a total of one year, in accordance with s. 259(1)(a) </w:t>
      </w:r>
      <w:r w:rsidRPr="00E00EBC">
        <w:rPr>
          <w:rFonts w:cs="Times New Roman"/>
          <w:i/>
          <w:lang w:val="en-CA"/>
        </w:rPr>
        <w:t>Cr. C.</w:t>
      </w:r>
      <w:r w:rsidRPr="00E00EBC">
        <w:rPr>
          <w:rFonts w:cs="Times New Roman"/>
          <w:lang w:val="en-CA"/>
        </w:rPr>
        <w:t>, and then credited her for the pre</w:t>
      </w:r>
      <w:r w:rsidRPr="00E00EBC">
        <w:rPr>
          <w:rFonts w:cs="Times New Roman"/>
          <w:lang w:val="en-CA"/>
        </w:rPr>
        <w:noBreakHyphen/>
        <w:t>sentence prohibition to which she had been subject (para. 29). It was not an error of law to do so. Finally, the appeal judge noted that the error of backdating the sentence had not affected the decision rendered, as no further driving prohibition was indicated in this case (para. 30).</w:t>
      </w:r>
    </w:p>
    <w:p w14:paraId="5B5AB1F6" w14:textId="77777777" w:rsidR="00746949" w:rsidRPr="00E00EBC" w:rsidRDefault="00746949" w:rsidP="00746949">
      <w:pPr>
        <w:pStyle w:val="Title2LevelTitre2Niveau"/>
        <w:numPr>
          <w:ilvl w:val="1"/>
          <w:numId w:val="10"/>
        </w:numPr>
        <w:spacing w:before="0"/>
        <w:rPr>
          <w:rFonts w:cs="Times New Roman"/>
        </w:rPr>
      </w:pPr>
      <w:bookmarkStart w:id="27" w:name="_Toc122713951"/>
      <w:bookmarkStart w:id="28" w:name="_Toc123734877"/>
      <w:bookmarkStart w:id="29" w:name="_Toc123830839"/>
      <w:bookmarkStart w:id="30" w:name="_Toc124075273"/>
      <w:bookmarkStart w:id="31" w:name="_Toc124075329"/>
      <w:r w:rsidRPr="00E00EBC">
        <w:rPr>
          <w:rFonts w:cs="Times New Roman"/>
        </w:rPr>
        <w:t>New Brunswick Court of Appeal</w:t>
      </w:r>
      <w:bookmarkEnd w:id="27"/>
      <w:r w:rsidRPr="00E00EBC">
        <w:rPr>
          <w:rFonts w:cs="Times New Roman"/>
        </w:rPr>
        <w:t>, 2021 NBCA 50, 84 M.V.R. (7th) 1 (Richard C.J., Baird J.A. concurring; French J.A., dissenting)</w:t>
      </w:r>
      <w:bookmarkEnd w:id="28"/>
      <w:bookmarkEnd w:id="29"/>
      <w:bookmarkEnd w:id="30"/>
      <w:bookmarkEnd w:id="31"/>
    </w:p>
    <w:p w14:paraId="416A0A33" w14:textId="77777777" w:rsidR="00746949" w:rsidRPr="00E00EBC" w:rsidRDefault="00746949" w:rsidP="00746949">
      <w:pPr>
        <w:pStyle w:val="ParaNoNdepar-AltN"/>
        <w:spacing w:before="0"/>
        <w:rPr>
          <w:rFonts w:cs="Times New Roman"/>
          <w:lang w:val="en-CA"/>
        </w:rPr>
      </w:pPr>
      <w:r w:rsidRPr="00E00EBC">
        <w:rPr>
          <w:rFonts w:cs="Times New Roman"/>
          <w:lang w:val="en-CA"/>
        </w:rPr>
        <w:t>The issue before the Court of Appeal was framed as follows: “Did the summary appeal court judge err by affirming the Provincial Court Judge’s jurisdiction to reduce the s. 259(</w:t>
      </w:r>
      <w:proofErr w:type="gramStart"/>
      <w:r w:rsidRPr="00E00EBC">
        <w:rPr>
          <w:rFonts w:cs="Times New Roman"/>
          <w:lang w:val="en-CA"/>
        </w:rPr>
        <w:t>1)[</w:t>
      </w:r>
      <w:proofErr w:type="gramEnd"/>
      <w:r w:rsidRPr="00E00EBC">
        <w:rPr>
          <w:rFonts w:cs="Times New Roman"/>
          <w:lang w:val="en-CA"/>
        </w:rPr>
        <w:t xml:space="preserve">(a)] (now s. 320.24(2)(a)) mandatory driving prohibition below </w:t>
      </w:r>
      <w:r w:rsidRPr="00E00EBC">
        <w:rPr>
          <w:rFonts w:cs="Times New Roman"/>
          <w:lang w:val="en-CA"/>
        </w:rPr>
        <w:lastRenderedPageBreak/>
        <w:t>its one year minimum by giving credit for the time during which a pre</w:t>
      </w:r>
      <w:r w:rsidRPr="00E00EBC">
        <w:rPr>
          <w:rFonts w:cs="Times New Roman"/>
          <w:lang w:val="en-CA"/>
        </w:rPr>
        <w:noBreakHyphen/>
        <w:t>sentence prohibition was served by the Respondent (‘Basque’) as a release undertaking?” (</w:t>
      </w:r>
      <w:proofErr w:type="gramStart"/>
      <w:r w:rsidRPr="00E00EBC">
        <w:rPr>
          <w:rFonts w:cs="Times New Roman"/>
          <w:lang w:val="en-CA"/>
        </w:rPr>
        <w:t>para</w:t>
      </w:r>
      <w:proofErr w:type="gramEnd"/>
      <w:r w:rsidRPr="00E00EBC">
        <w:rPr>
          <w:rFonts w:cs="Times New Roman"/>
          <w:lang w:val="en-CA"/>
        </w:rPr>
        <w:t>. 10). Richard C.J. stated that the question was not whether the pre</w:t>
      </w:r>
      <w:r w:rsidRPr="00E00EBC">
        <w:rPr>
          <w:rFonts w:cs="Times New Roman"/>
          <w:lang w:val="en-CA"/>
        </w:rPr>
        <w:noBreakHyphen/>
        <w:t>sentence prohibition period could reduce the post</w:t>
      </w:r>
      <w:r w:rsidRPr="00E00EBC">
        <w:rPr>
          <w:rFonts w:cs="Times New Roman"/>
          <w:lang w:val="en-CA"/>
        </w:rPr>
        <w:noBreakHyphen/>
        <w:t xml:space="preserve">trial prohibition period, “but rather whether it may </w:t>
      </w:r>
      <w:r w:rsidRPr="00E00EBC">
        <w:rPr>
          <w:rFonts w:cs="Times New Roman"/>
          <w:i/>
          <w:lang w:val="en-CA"/>
        </w:rPr>
        <w:t>reduce this period below the one</w:t>
      </w:r>
      <w:r w:rsidRPr="00E00EBC">
        <w:rPr>
          <w:rFonts w:cs="Times New Roman"/>
          <w:i/>
          <w:lang w:val="en-CA"/>
        </w:rPr>
        <w:noBreakHyphen/>
        <w:t>year minimum</w:t>
      </w:r>
      <w:r w:rsidRPr="00E00EBC">
        <w:rPr>
          <w:rFonts w:cs="Times New Roman"/>
          <w:lang w:val="en-CA"/>
        </w:rPr>
        <w:t>” (para. 12 (emphasis in original)).</w:t>
      </w:r>
    </w:p>
    <w:p w14:paraId="1C162C95" w14:textId="77777777" w:rsidR="00746949" w:rsidRPr="00E00EBC" w:rsidRDefault="00746949" w:rsidP="00746949">
      <w:pPr>
        <w:pStyle w:val="ParaNoNdepar-AltN"/>
        <w:spacing w:before="0"/>
        <w:rPr>
          <w:rFonts w:cs="Times New Roman"/>
          <w:lang w:val="en-CA"/>
        </w:rPr>
      </w:pPr>
      <w:r w:rsidRPr="00E00EBC">
        <w:rPr>
          <w:rFonts w:cs="Times New Roman"/>
          <w:lang w:val="en-CA"/>
        </w:rPr>
        <w:t>The Court of Appeal was divided on this question. The majority, in reasons written by the Chief Justice, granted the Crown’s application for leave to appeal and allowed the appeal. While it is indeed possible to give credit for a pre</w:t>
      </w:r>
      <w:r w:rsidRPr="00E00EBC">
        <w:rPr>
          <w:rFonts w:cs="Times New Roman"/>
          <w:lang w:val="en-CA"/>
        </w:rPr>
        <w:noBreakHyphen/>
        <w:t xml:space="preserve">sentence driving prohibition in certain circumstances, the majority wrote, there is no authority for giving such credit </w:t>
      </w:r>
      <w:proofErr w:type="gramStart"/>
      <w:r w:rsidRPr="00E00EBC">
        <w:rPr>
          <w:rFonts w:cs="Times New Roman"/>
          <w:lang w:val="en-CA"/>
        </w:rPr>
        <w:t>so as to</w:t>
      </w:r>
      <w:proofErr w:type="gramEnd"/>
      <w:r w:rsidRPr="00E00EBC">
        <w:rPr>
          <w:rFonts w:cs="Times New Roman"/>
          <w:lang w:val="en-CA"/>
        </w:rPr>
        <w:t xml:space="preserve"> depart from a mandatory minimum provided for by statute. The majority stated that </w:t>
      </w:r>
      <w:r w:rsidRPr="00E00EBC">
        <w:rPr>
          <w:rFonts w:cs="Times New Roman"/>
          <w:i/>
          <w:lang w:val="en-CA"/>
        </w:rPr>
        <w:t>Lacasse</w:t>
      </w:r>
      <w:r w:rsidRPr="00E00EBC">
        <w:rPr>
          <w:rFonts w:cs="Times New Roman"/>
          <w:lang w:val="en-CA"/>
        </w:rPr>
        <w:t xml:space="preserve"> could not offer guidance in this case because it dealt with a “discretionary” driving prohibition that was not subject to a mandatory minimum (paras. 18</w:t>
      </w:r>
      <w:r w:rsidRPr="00E00EBC">
        <w:rPr>
          <w:rFonts w:cs="Times New Roman"/>
          <w:lang w:val="en-CA"/>
        </w:rPr>
        <w:noBreakHyphen/>
        <w:t xml:space="preserve">19). The purpose of a mandatory minimum is precisely to limit judicial discretion. The appeal before the Court of Appeal was also fundamentally different from </w:t>
      </w:r>
      <w:r w:rsidRPr="00E00EBC">
        <w:rPr>
          <w:rFonts w:cs="Times New Roman"/>
          <w:i/>
          <w:lang w:val="en-CA"/>
        </w:rPr>
        <w:t>Wust</w:t>
      </w:r>
      <w:r w:rsidRPr="00E00EBC">
        <w:rPr>
          <w:rFonts w:cs="Times New Roman"/>
          <w:lang w:val="en-CA"/>
        </w:rPr>
        <w:t>, which concerned the possibility of granting credit for pre</w:t>
      </w:r>
      <w:r w:rsidRPr="00E00EBC">
        <w:rPr>
          <w:rFonts w:cs="Times New Roman"/>
          <w:lang w:val="en-CA"/>
        </w:rPr>
        <w:noBreakHyphen/>
        <w:t>sentence custody under s. 719(3). However, there is no equivalent to s. 719(3) for driving prohibitions.</w:t>
      </w:r>
    </w:p>
    <w:p w14:paraId="19B912BE" w14:textId="77777777" w:rsidR="00746949" w:rsidRPr="00E00EBC" w:rsidRDefault="00746949" w:rsidP="00746949">
      <w:pPr>
        <w:pStyle w:val="ParaNoNdepar-AltN"/>
        <w:spacing w:before="0"/>
        <w:rPr>
          <w:rFonts w:cs="Times New Roman"/>
          <w:lang w:val="en-US"/>
        </w:rPr>
      </w:pPr>
      <w:r w:rsidRPr="00E00EBC">
        <w:rPr>
          <w:rFonts w:cs="Times New Roman"/>
          <w:lang w:val="en-US"/>
        </w:rPr>
        <w:t xml:space="preserve">Section 259(1)(a) is not ambiguous when interpreted in accordance with the modern approach to statutory interpretation, the majority stated, and no credit can be granted to make the prohibition imposed less than </w:t>
      </w:r>
      <w:r w:rsidRPr="00E00EBC">
        <w:rPr>
          <w:rFonts w:cs="Times New Roman"/>
          <w:lang w:val="en-CA"/>
        </w:rPr>
        <w:t>the minimum period provided for by that provision</w:t>
      </w:r>
      <w:r w:rsidRPr="00E00EBC">
        <w:rPr>
          <w:rFonts w:cs="Times New Roman"/>
          <w:lang w:val="en-US"/>
        </w:rPr>
        <w:t xml:space="preserve">. Moreover, the interpretation proposed by Ms. Basque would render s. 719(3) meaningless because the exception it creates would then apply to all </w:t>
      </w:r>
      <w:r w:rsidRPr="00E00EBC">
        <w:rPr>
          <w:rFonts w:cs="Times New Roman"/>
          <w:lang w:val="en-US"/>
        </w:rPr>
        <w:lastRenderedPageBreak/>
        <w:t>mandatory minimums and no longer solely to custodial sanctions as stated in the provision (para. </w:t>
      </w:r>
      <w:r w:rsidRPr="00746949">
        <w:rPr>
          <w:rFonts w:cs="Times New Roman"/>
          <w:lang w:val="en-US"/>
        </w:rPr>
        <w:t xml:space="preserve">27). </w:t>
      </w:r>
      <w:r w:rsidRPr="00E00EBC">
        <w:rPr>
          <w:rFonts w:cs="Times New Roman"/>
          <w:lang w:val="en-US"/>
        </w:rPr>
        <w:t>The majority rejected the argument that the unavailability of credit would lead to absurd results, noting that “[w]hile mandatory minimums are sometimes unfair, it is not for this Court to call them absurd” (para. </w:t>
      </w:r>
      <w:r w:rsidRPr="00746949">
        <w:rPr>
          <w:rFonts w:cs="Times New Roman"/>
          <w:lang w:val="en-US"/>
        </w:rPr>
        <w:t xml:space="preserve">31). </w:t>
      </w:r>
      <w:r w:rsidRPr="00E00EBC">
        <w:rPr>
          <w:rFonts w:cs="Times New Roman"/>
          <w:lang w:val="en-US"/>
        </w:rPr>
        <w:t>Since a sentence begins on the day it is imposed, such credit cannot be granted “[b]arring a successful constitutional challenge or clear direction from the Supreme Court” (para. </w:t>
      </w:r>
      <w:r w:rsidRPr="00746949">
        <w:rPr>
          <w:rFonts w:cs="Times New Roman"/>
          <w:lang w:val="en-US"/>
        </w:rPr>
        <w:t xml:space="preserve">39). </w:t>
      </w:r>
      <w:r w:rsidRPr="00E00EBC">
        <w:rPr>
          <w:rFonts w:cs="Times New Roman"/>
          <w:lang w:val="en-US"/>
        </w:rPr>
        <w:t>In the circumstances, the summary conviction appeal judge had erred in crediting Ms. Basque for the length of her pre</w:t>
      </w:r>
      <w:r w:rsidRPr="00E00EBC">
        <w:rPr>
          <w:rFonts w:cs="Times New Roman"/>
          <w:lang w:val="en-US"/>
        </w:rPr>
        <w:noBreakHyphen/>
        <w:t>sentence driving prohibition, thereby failing to impose the mandatory minimum.</w:t>
      </w:r>
    </w:p>
    <w:p w14:paraId="6C10C8DB" w14:textId="77777777" w:rsidR="00746949" w:rsidRPr="00E00EBC" w:rsidRDefault="00746949" w:rsidP="00746949">
      <w:pPr>
        <w:pStyle w:val="ParaNoNdepar-AltN"/>
        <w:spacing w:before="0"/>
        <w:rPr>
          <w:rFonts w:cs="Times New Roman"/>
          <w:lang w:val="en-CA"/>
        </w:rPr>
      </w:pPr>
      <w:r w:rsidRPr="00E00EBC">
        <w:rPr>
          <w:rFonts w:cs="Times New Roman"/>
          <w:lang w:val="en-CA"/>
        </w:rPr>
        <w:t>French J.A., dissenting, wrote that there is no doubt that the law requires a driving prohibition to be imposed for not less than the applicable minimum period. However, he was of the view that the prohibition may be reduced “to less than the applicable minimum” by granting credit for a pre</w:t>
      </w:r>
      <w:r w:rsidRPr="00E00EBC">
        <w:rPr>
          <w:rFonts w:cs="Times New Roman"/>
          <w:lang w:val="en-CA"/>
        </w:rPr>
        <w:noBreakHyphen/>
        <w:t xml:space="preserve">sentence prohibition period, </w:t>
      </w:r>
      <w:proofErr w:type="gramStart"/>
      <w:r w:rsidRPr="00E00EBC">
        <w:rPr>
          <w:rFonts w:cs="Times New Roman"/>
          <w:lang w:val="en-CA"/>
        </w:rPr>
        <w:t>as long as</w:t>
      </w:r>
      <w:proofErr w:type="gramEnd"/>
      <w:r w:rsidRPr="00E00EBC">
        <w:rPr>
          <w:rFonts w:cs="Times New Roman"/>
          <w:lang w:val="en-CA"/>
        </w:rPr>
        <w:t xml:space="preserve"> the total driving prohibition still exceeds the mandatory minimum (para. 58).</w:t>
      </w:r>
    </w:p>
    <w:p w14:paraId="5AF65E7C" w14:textId="77777777" w:rsidR="00746949" w:rsidRPr="00E00EBC" w:rsidRDefault="00746949" w:rsidP="00746949">
      <w:pPr>
        <w:pStyle w:val="ParaNoNdepar-AltN"/>
        <w:spacing w:before="0"/>
        <w:rPr>
          <w:rFonts w:cs="Times New Roman"/>
          <w:lang w:val="en-CA"/>
        </w:rPr>
      </w:pPr>
      <w:r w:rsidRPr="00E00EBC">
        <w:rPr>
          <w:rFonts w:cs="Times New Roman"/>
          <w:lang w:val="en-CA"/>
        </w:rPr>
        <w:t xml:space="preserve">The dissenting judge found that while the language of s. 259(1)(a) is generally clear, it is ambiguous with respect to the possibility of granting credit. Quoting </w:t>
      </w:r>
      <w:r w:rsidRPr="00E00EBC">
        <w:rPr>
          <w:rFonts w:cs="Times New Roman"/>
          <w:i/>
          <w:lang w:val="en-CA"/>
        </w:rPr>
        <w:t>McDonald</w:t>
      </w:r>
      <w:r w:rsidRPr="00E00EBC">
        <w:rPr>
          <w:rFonts w:cs="Times New Roman"/>
          <w:lang w:val="en-CA"/>
        </w:rPr>
        <w:t xml:space="preserve">, and drawing an analogy with </w:t>
      </w:r>
      <w:r w:rsidRPr="00E00EBC">
        <w:rPr>
          <w:rFonts w:cs="Times New Roman"/>
          <w:i/>
          <w:lang w:val="en-CA"/>
        </w:rPr>
        <w:t>Wust</w:t>
      </w:r>
      <w:r w:rsidRPr="00E00EBC">
        <w:rPr>
          <w:rFonts w:cs="Times New Roman"/>
          <w:lang w:val="en-CA"/>
        </w:rPr>
        <w:t xml:space="preserve">, he noted that absurd results would flow from interpreting s. 259(1)(a) as preventing credit from being granted. Moreover, the absence of a provision equivalent to s. 719(3) </w:t>
      </w:r>
      <w:r w:rsidRPr="00E00EBC">
        <w:rPr>
          <w:rFonts w:cs="Times New Roman"/>
          <w:i/>
          <w:lang w:val="en-CA"/>
        </w:rPr>
        <w:t>Cr. C.</w:t>
      </w:r>
      <w:r w:rsidRPr="00E00EBC">
        <w:rPr>
          <w:rFonts w:cs="Times New Roman"/>
          <w:lang w:val="en-CA"/>
        </w:rPr>
        <w:t xml:space="preserve"> for driving prohibitions does not mean that Parliament intended to prohibit the granting of such credit. In fact, this Court in </w:t>
      </w:r>
      <w:r w:rsidRPr="00E00EBC">
        <w:rPr>
          <w:rFonts w:cs="Times New Roman"/>
          <w:i/>
          <w:lang w:val="en-CA"/>
        </w:rPr>
        <w:t>Lacasse</w:t>
      </w:r>
      <w:r w:rsidRPr="00E00EBC">
        <w:rPr>
          <w:rFonts w:cs="Times New Roman"/>
          <w:lang w:val="en-CA"/>
        </w:rPr>
        <w:t xml:space="preserve"> expressly recognized that it is possible to grant </w:t>
      </w:r>
      <w:r w:rsidRPr="00E00EBC">
        <w:rPr>
          <w:rFonts w:cs="Times New Roman"/>
          <w:lang w:val="en-CA"/>
        </w:rPr>
        <w:lastRenderedPageBreak/>
        <w:t>such credit in the context of a pre</w:t>
      </w:r>
      <w:r w:rsidRPr="00E00EBC">
        <w:rPr>
          <w:rFonts w:cs="Times New Roman"/>
          <w:lang w:val="en-CA"/>
        </w:rPr>
        <w:noBreakHyphen/>
        <w:t>sentence driving prohibition and that this principle “applies generally” (para. 121).</w:t>
      </w:r>
    </w:p>
    <w:p w14:paraId="3893AEA9" w14:textId="77777777" w:rsidR="00746949" w:rsidRPr="00E00EBC" w:rsidRDefault="00746949" w:rsidP="00746949">
      <w:pPr>
        <w:pStyle w:val="ParaNoNdepar-AltN"/>
        <w:spacing w:before="0"/>
        <w:rPr>
          <w:rFonts w:cs="Times New Roman"/>
          <w:lang w:val="en-CA"/>
        </w:rPr>
      </w:pPr>
      <w:r w:rsidRPr="00E00EBC">
        <w:rPr>
          <w:rFonts w:cs="Times New Roman"/>
          <w:lang w:val="en-CA"/>
        </w:rPr>
        <w:t>Finally, both the majority and the dissenting judge agreed that the execution of the order pertaining to Ms. Basque should be stayed. The release conditions in this case were unreasonable, even if she had not initially challenged them. The result of the pre</w:t>
      </w:r>
      <w:r w:rsidRPr="00E00EBC">
        <w:rPr>
          <w:rFonts w:cs="Times New Roman"/>
          <w:lang w:val="en-CA"/>
        </w:rPr>
        <w:noBreakHyphen/>
        <w:t xml:space="preserve">sentence prohibition was that Ms. Basque had </w:t>
      </w:r>
      <w:proofErr w:type="gramStart"/>
      <w:r w:rsidRPr="00E00EBC">
        <w:rPr>
          <w:rFonts w:cs="Times New Roman"/>
          <w:lang w:val="en-CA"/>
        </w:rPr>
        <w:t>actually been</w:t>
      </w:r>
      <w:proofErr w:type="gramEnd"/>
      <w:r w:rsidRPr="00E00EBC">
        <w:rPr>
          <w:rFonts w:cs="Times New Roman"/>
          <w:lang w:val="en-CA"/>
        </w:rPr>
        <w:t xml:space="preserve"> treated more harshly before being sentenced than after. In the </w:t>
      </w:r>
      <w:proofErr w:type="gramStart"/>
      <w:r w:rsidRPr="00E00EBC">
        <w:rPr>
          <w:rFonts w:cs="Times New Roman"/>
          <w:lang w:val="en-CA"/>
        </w:rPr>
        <w:t>particular circumstances</w:t>
      </w:r>
      <w:proofErr w:type="gramEnd"/>
      <w:r w:rsidRPr="00E00EBC">
        <w:rPr>
          <w:rFonts w:cs="Times New Roman"/>
          <w:lang w:val="en-CA"/>
        </w:rPr>
        <w:t xml:space="preserve"> of this case, and in order to avoid committing an injustice and “disproportionately punish[ing]” Ms. Basque, the Court of Appeal held that the execution of any further prohibition should be stayed (majority reasons, at para. 54; see also the dissenting judge’s reasons, at para. 132).</w:t>
      </w:r>
    </w:p>
    <w:p w14:paraId="14A06DA7" w14:textId="77777777" w:rsidR="00746949" w:rsidRPr="00E00EBC" w:rsidRDefault="00746949" w:rsidP="00746949">
      <w:pPr>
        <w:pStyle w:val="Title1LevelTitre1Niveau-AltL"/>
        <w:numPr>
          <w:ilvl w:val="0"/>
          <w:numId w:val="10"/>
        </w:numPr>
        <w:spacing w:before="0"/>
        <w:rPr>
          <w:rFonts w:cs="Times New Roman"/>
        </w:rPr>
      </w:pPr>
      <w:bookmarkStart w:id="32" w:name="_Toc122713952"/>
      <w:bookmarkStart w:id="33" w:name="_Toc123734878"/>
      <w:bookmarkStart w:id="34" w:name="_Toc123830840"/>
      <w:bookmarkStart w:id="35" w:name="_Toc124075274"/>
      <w:bookmarkStart w:id="36" w:name="_Toc124075330"/>
      <w:r w:rsidRPr="00E00EBC">
        <w:rPr>
          <w:rFonts w:cs="Times New Roman"/>
        </w:rPr>
        <w:t>Issue</w:t>
      </w:r>
      <w:bookmarkEnd w:id="32"/>
      <w:bookmarkEnd w:id="33"/>
      <w:bookmarkEnd w:id="34"/>
      <w:bookmarkEnd w:id="35"/>
      <w:bookmarkEnd w:id="36"/>
    </w:p>
    <w:p w14:paraId="699B547D" w14:textId="77777777" w:rsidR="00746949" w:rsidRPr="00E00EBC" w:rsidRDefault="00746949" w:rsidP="00746949">
      <w:pPr>
        <w:pStyle w:val="ParaNoNdepar-AltN"/>
        <w:spacing w:before="0"/>
        <w:rPr>
          <w:rFonts w:cs="Times New Roman"/>
          <w:lang w:val="en-CA"/>
        </w:rPr>
      </w:pPr>
      <w:r w:rsidRPr="00E00EBC">
        <w:rPr>
          <w:rFonts w:cs="Times New Roman"/>
          <w:lang w:val="en-CA"/>
        </w:rPr>
        <w:t xml:space="preserve">Ms. Basque raises </w:t>
      </w:r>
      <w:proofErr w:type="gramStart"/>
      <w:r w:rsidRPr="00E00EBC">
        <w:rPr>
          <w:rFonts w:cs="Times New Roman"/>
          <w:lang w:val="en-CA"/>
        </w:rPr>
        <w:t>a number of</w:t>
      </w:r>
      <w:proofErr w:type="gramEnd"/>
      <w:r w:rsidRPr="00E00EBC">
        <w:rPr>
          <w:rFonts w:cs="Times New Roman"/>
          <w:lang w:val="en-CA"/>
        </w:rPr>
        <w:t xml:space="preserve"> issues in this Court. They can be summarized in the following manner: Can the appellant be granted credit for the time she spent subject to a pre</w:t>
      </w:r>
      <w:r w:rsidRPr="00E00EBC">
        <w:rPr>
          <w:rFonts w:cs="Times New Roman"/>
          <w:lang w:val="en-CA"/>
        </w:rPr>
        <w:noBreakHyphen/>
        <w:t>sentence driving prohibition notwithstanding the one</w:t>
      </w:r>
      <w:r w:rsidRPr="00E00EBC">
        <w:rPr>
          <w:rFonts w:cs="Times New Roman"/>
          <w:lang w:val="en-CA"/>
        </w:rPr>
        <w:noBreakHyphen/>
        <w:t xml:space="preserve">year mandatory minimum prohibition period set forth in s. 259(1)(a) </w:t>
      </w:r>
      <w:r w:rsidRPr="00E00EBC">
        <w:rPr>
          <w:rFonts w:cs="Times New Roman"/>
          <w:i/>
          <w:lang w:val="en-CA"/>
        </w:rPr>
        <w:t>Cr. C.</w:t>
      </w:r>
      <w:r w:rsidRPr="00E00EBC">
        <w:rPr>
          <w:rFonts w:cs="Times New Roman"/>
          <w:lang w:val="en-CA"/>
        </w:rPr>
        <w:t>?</w:t>
      </w:r>
    </w:p>
    <w:p w14:paraId="070541CA" w14:textId="77777777" w:rsidR="00746949" w:rsidRPr="00E00EBC" w:rsidRDefault="00746949" w:rsidP="00746949">
      <w:pPr>
        <w:pStyle w:val="Title1LevelTitre1Niveau-AltL"/>
        <w:numPr>
          <w:ilvl w:val="0"/>
          <w:numId w:val="10"/>
        </w:numPr>
        <w:spacing w:before="0"/>
        <w:rPr>
          <w:rFonts w:cs="Times New Roman"/>
        </w:rPr>
      </w:pPr>
      <w:bookmarkStart w:id="37" w:name="_Toc122713953"/>
      <w:bookmarkStart w:id="38" w:name="_Toc123734879"/>
      <w:bookmarkStart w:id="39" w:name="_Toc123830841"/>
      <w:bookmarkStart w:id="40" w:name="_Toc124075275"/>
      <w:bookmarkStart w:id="41" w:name="_Toc124075331"/>
      <w:r w:rsidRPr="00E00EBC">
        <w:rPr>
          <w:rFonts w:cs="Times New Roman"/>
        </w:rPr>
        <w:t>Analysis</w:t>
      </w:r>
      <w:bookmarkEnd w:id="37"/>
      <w:bookmarkEnd w:id="38"/>
      <w:bookmarkEnd w:id="39"/>
      <w:bookmarkEnd w:id="40"/>
      <w:bookmarkEnd w:id="41"/>
    </w:p>
    <w:p w14:paraId="6FB997F4" w14:textId="77777777" w:rsidR="00746949" w:rsidRPr="00E00EBC" w:rsidRDefault="00746949" w:rsidP="00746949">
      <w:pPr>
        <w:pStyle w:val="Title2LevelTitre2Niveau"/>
        <w:numPr>
          <w:ilvl w:val="1"/>
          <w:numId w:val="10"/>
        </w:numPr>
        <w:spacing w:before="0"/>
        <w:rPr>
          <w:rFonts w:cs="Times New Roman"/>
        </w:rPr>
      </w:pPr>
      <w:bookmarkStart w:id="42" w:name="_Toc123830842"/>
      <w:bookmarkStart w:id="43" w:name="_Toc124075276"/>
      <w:bookmarkStart w:id="44" w:name="_Toc124075332"/>
      <w:bookmarkStart w:id="45" w:name="_Toc123734880"/>
      <w:bookmarkStart w:id="46" w:name="_Toc122713954"/>
      <w:r w:rsidRPr="00E00EBC">
        <w:rPr>
          <w:rFonts w:cs="Times New Roman"/>
        </w:rPr>
        <w:t>Key Statutory Provisions</w:t>
      </w:r>
      <w:bookmarkEnd w:id="42"/>
      <w:bookmarkEnd w:id="43"/>
      <w:bookmarkEnd w:id="44"/>
      <w:bookmarkEnd w:id="45"/>
    </w:p>
    <w:p w14:paraId="3E0766F9" w14:textId="77777777" w:rsidR="00746949" w:rsidRPr="00E00EBC" w:rsidRDefault="00746949" w:rsidP="00746949">
      <w:pPr>
        <w:pStyle w:val="ParaNoNdepar-AltN"/>
        <w:tabs>
          <w:tab w:val="clear" w:pos="1152"/>
          <w:tab w:val="left" w:pos="1166"/>
        </w:tabs>
        <w:spacing w:before="0"/>
        <w:rPr>
          <w:rFonts w:cs="Times New Roman"/>
          <w:lang w:val="en-CA"/>
        </w:rPr>
      </w:pPr>
      <w:bookmarkStart w:id="47" w:name="_Toc123734881"/>
      <w:bookmarkStart w:id="48" w:name="_Toc123830843"/>
      <w:r w:rsidRPr="00E00EBC">
        <w:rPr>
          <w:rFonts w:eastAsiaTheme="minorHAnsi" w:cs="Times New Roman"/>
          <w:szCs w:val="24"/>
          <w:lang w:val="en-CA"/>
        </w:rPr>
        <w:lastRenderedPageBreak/>
        <w:t xml:space="preserve">At the time of the events, the former s. 259(1) </w:t>
      </w:r>
      <w:r w:rsidRPr="00E00EBC">
        <w:rPr>
          <w:rFonts w:eastAsiaTheme="minorHAnsi" w:cs="Times New Roman"/>
          <w:i/>
          <w:szCs w:val="24"/>
          <w:lang w:val="en-CA"/>
        </w:rPr>
        <w:t>Cr. C.</w:t>
      </w:r>
      <w:r w:rsidRPr="00E00EBC">
        <w:rPr>
          <w:rFonts w:eastAsiaTheme="minorHAnsi" w:cs="Times New Roman"/>
          <w:szCs w:val="24"/>
          <w:lang w:val="en-CA"/>
        </w:rPr>
        <w:t xml:space="preserve"> made a driving prohibition order mandatory for certain impaired driving offences, including the summary conviction offence relevant to this case (similarly, see the current s. 320.24(2) </w:t>
      </w:r>
      <w:r w:rsidRPr="00E00EBC">
        <w:rPr>
          <w:rFonts w:eastAsiaTheme="minorHAnsi" w:cs="Times New Roman"/>
          <w:i/>
          <w:szCs w:val="24"/>
          <w:lang w:val="en-CA"/>
        </w:rPr>
        <w:t>Cr. C.</w:t>
      </w:r>
      <w:r w:rsidRPr="00E00EBC">
        <w:rPr>
          <w:rFonts w:eastAsiaTheme="minorHAnsi" w:cs="Times New Roman"/>
          <w:szCs w:val="24"/>
          <w:lang w:val="en-CA"/>
        </w:rPr>
        <w:t xml:space="preserve">, enacted by S.C. 2018, c. 21). Paragraphs (a), (b) and (c) of s. 259(1) established a gradation of mandatory minimum prohibition periods that </w:t>
      </w:r>
      <w:proofErr w:type="gramStart"/>
      <w:r w:rsidRPr="00E00EBC">
        <w:rPr>
          <w:rFonts w:eastAsiaTheme="minorHAnsi" w:cs="Times New Roman"/>
          <w:szCs w:val="24"/>
          <w:lang w:val="en-CA"/>
        </w:rPr>
        <w:t>took into account</w:t>
      </w:r>
      <w:proofErr w:type="gramEnd"/>
      <w:r w:rsidRPr="00E00EBC">
        <w:rPr>
          <w:rFonts w:eastAsiaTheme="minorHAnsi" w:cs="Times New Roman"/>
          <w:szCs w:val="24"/>
          <w:lang w:val="en-CA"/>
        </w:rPr>
        <w:t xml:space="preserve"> the offender’s previous convictions for such offences:</w:t>
      </w:r>
    </w:p>
    <w:tbl>
      <w:tblPr>
        <w:tblW w:w="4297" w:type="pct"/>
        <w:tblInd w:w="1169" w:type="dxa"/>
        <w:tblLayout w:type="fixed"/>
        <w:tblCellMar>
          <w:top w:w="115" w:type="dxa"/>
          <w:left w:w="216" w:type="dxa"/>
          <w:bottom w:w="58" w:type="dxa"/>
          <w:right w:w="216" w:type="dxa"/>
        </w:tblCellMar>
        <w:tblLook w:val="0000" w:firstRow="0" w:lastRow="0" w:firstColumn="0" w:lastColumn="0" w:noHBand="0" w:noVBand="0"/>
      </w:tblPr>
      <w:tblGrid>
        <w:gridCol w:w="3557"/>
        <w:gridCol w:w="3559"/>
      </w:tblGrid>
      <w:tr w:rsidR="00746949" w:rsidRPr="0061071F" w14:paraId="2602466F" w14:textId="77777777" w:rsidTr="00B975C3">
        <w:trPr>
          <w:trHeight w:val="475"/>
        </w:trPr>
        <w:tc>
          <w:tcPr>
            <w:tcW w:w="2499" w:type="pct"/>
          </w:tcPr>
          <w:p w14:paraId="3D0637B2" w14:textId="77777777" w:rsidR="00746949" w:rsidRPr="00E00EBC" w:rsidRDefault="00746949" w:rsidP="00B975C3">
            <w:pPr>
              <w:rPr>
                <w:b/>
                <w:szCs w:val="24"/>
              </w:rPr>
            </w:pPr>
            <w:r w:rsidRPr="00E00EBC">
              <w:rPr>
                <w:b/>
                <w:szCs w:val="24"/>
              </w:rPr>
              <w:t>Mandatory order of prohibition</w:t>
            </w:r>
          </w:p>
          <w:p w14:paraId="32938E51" w14:textId="77777777" w:rsidR="00746949" w:rsidRPr="00E00EBC" w:rsidRDefault="00746949" w:rsidP="00B975C3">
            <w:pPr>
              <w:jc w:val="both"/>
              <w:rPr>
                <w:szCs w:val="24"/>
              </w:rPr>
            </w:pPr>
            <w:r w:rsidRPr="00E00EBC">
              <w:rPr>
                <w:b/>
                <w:szCs w:val="24"/>
              </w:rPr>
              <w:t>259 (1)</w:t>
            </w:r>
            <w:r w:rsidRPr="00E00EBC">
              <w:rPr>
                <w:szCs w:val="24"/>
              </w:rPr>
              <w:t xml:space="preserve"> When an offender is convicted of an offence committed under section 253 or 254 . . ., the court that sentences the offender shall, in addition to any other punishment that may be imposed for that offence, make an order prohibiting the offender from operating a motor vehicle on any street, road, highway or other public place, or from operating a vessel or an aircraft or railway equipment, as the case may be,</w:t>
            </w:r>
          </w:p>
          <w:p w14:paraId="61C78D6B" w14:textId="77777777" w:rsidR="00746949" w:rsidRPr="00E00EBC" w:rsidRDefault="00746949" w:rsidP="00B975C3">
            <w:pPr>
              <w:jc w:val="both"/>
              <w:rPr>
                <w:szCs w:val="24"/>
              </w:rPr>
            </w:pPr>
          </w:p>
        </w:tc>
        <w:tc>
          <w:tcPr>
            <w:tcW w:w="2501" w:type="pct"/>
          </w:tcPr>
          <w:p w14:paraId="3F893376" w14:textId="77777777" w:rsidR="00746949" w:rsidRPr="00E00EBC" w:rsidRDefault="00746949" w:rsidP="00B975C3">
            <w:pPr>
              <w:rPr>
                <w:b/>
                <w:szCs w:val="24"/>
                <w:lang w:val="fr-CA"/>
              </w:rPr>
            </w:pPr>
            <w:r w:rsidRPr="00E00EBC">
              <w:rPr>
                <w:b/>
                <w:szCs w:val="24"/>
                <w:lang w:val="fr-CA"/>
              </w:rPr>
              <w:t>Ordonnance d’interdiction obligatoire</w:t>
            </w:r>
          </w:p>
          <w:p w14:paraId="0D881DCC" w14:textId="77777777" w:rsidR="00746949" w:rsidRPr="00E00EBC" w:rsidRDefault="00746949" w:rsidP="00B975C3">
            <w:pPr>
              <w:jc w:val="both"/>
              <w:rPr>
                <w:szCs w:val="24"/>
                <w:lang w:val="fr-CA"/>
              </w:rPr>
            </w:pPr>
            <w:r w:rsidRPr="00E00EBC">
              <w:rPr>
                <w:b/>
                <w:szCs w:val="24"/>
                <w:lang w:val="fr-CA"/>
              </w:rPr>
              <w:t>259 (1)</w:t>
            </w:r>
            <w:r w:rsidRPr="00E00EBC">
              <w:rPr>
                <w:szCs w:val="24"/>
                <w:lang w:val="fr-CA"/>
              </w:rPr>
              <w:t xml:space="preserve"> Lorsqu’un contrevenant est déclaré coupable d’une infraction prévue aux articles 253 ou 254 . . ., le tribunal qui lui inflige une peine doit, en plus de toute autre peine applicable à cette infraction, rendre une ordonnance lui interdisant de conduire un véhicule à moteur dans une rue, sur un chemin ou une grande route ou dans tout autre lieu public, un bateau, un aéronef ou du matériel ferroviaire :</w:t>
            </w:r>
          </w:p>
          <w:p w14:paraId="39EBCC1D" w14:textId="77777777" w:rsidR="00746949" w:rsidRPr="00E00EBC" w:rsidRDefault="00746949" w:rsidP="00B975C3">
            <w:pPr>
              <w:jc w:val="both"/>
              <w:rPr>
                <w:szCs w:val="24"/>
                <w:lang w:val="fr-CA"/>
              </w:rPr>
            </w:pPr>
          </w:p>
        </w:tc>
      </w:tr>
      <w:tr w:rsidR="00746949" w:rsidRPr="0061071F" w14:paraId="69F54FCB" w14:textId="77777777" w:rsidTr="00B975C3">
        <w:trPr>
          <w:trHeight w:val="475"/>
        </w:trPr>
        <w:tc>
          <w:tcPr>
            <w:tcW w:w="2499" w:type="pct"/>
          </w:tcPr>
          <w:p w14:paraId="4054D841" w14:textId="77777777" w:rsidR="00746949" w:rsidRPr="00E00EBC" w:rsidRDefault="00746949" w:rsidP="00B975C3">
            <w:pPr>
              <w:jc w:val="both"/>
              <w:rPr>
                <w:szCs w:val="24"/>
              </w:rPr>
            </w:pPr>
            <w:r w:rsidRPr="00E00EBC">
              <w:rPr>
                <w:b/>
                <w:szCs w:val="24"/>
              </w:rPr>
              <w:t>(a)</w:t>
            </w:r>
            <w:r w:rsidRPr="00E00EBC">
              <w:rPr>
                <w:szCs w:val="24"/>
              </w:rPr>
              <w:t xml:space="preserve"> for a first offence, during a period of not more than three years plus any period to which the offender is sentenced to imprisonment, and not less than one </w:t>
            </w:r>
            <w:proofErr w:type="gramStart"/>
            <w:r w:rsidRPr="00E00EBC">
              <w:rPr>
                <w:szCs w:val="24"/>
              </w:rPr>
              <w:t>year;</w:t>
            </w:r>
            <w:proofErr w:type="gramEnd"/>
          </w:p>
          <w:p w14:paraId="11F91DD7" w14:textId="77777777" w:rsidR="00746949" w:rsidRPr="00E00EBC" w:rsidRDefault="00746949" w:rsidP="00B975C3">
            <w:pPr>
              <w:jc w:val="both"/>
              <w:rPr>
                <w:szCs w:val="24"/>
              </w:rPr>
            </w:pPr>
          </w:p>
        </w:tc>
        <w:tc>
          <w:tcPr>
            <w:tcW w:w="2501" w:type="pct"/>
          </w:tcPr>
          <w:p w14:paraId="1CFA8DFC" w14:textId="77777777" w:rsidR="00746949" w:rsidRPr="00E00EBC" w:rsidRDefault="00746949" w:rsidP="00B975C3">
            <w:pPr>
              <w:jc w:val="both"/>
              <w:rPr>
                <w:szCs w:val="24"/>
                <w:lang w:val="fr-CA"/>
              </w:rPr>
            </w:pPr>
            <w:r w:rsidRPr="00E00EBC">
              <w:rPr>
                <w:b/>
                <w:szCs w:val="24"/>
                <w:lang w:val="fr-CA"/>
              </w:rPr>
              <w:t>a)</w:t>
            </w:r>
            <w:r w:rsidRPr="00E00EBC">
              <w:rPr>
                <w:szCs w:val="24"/>
                <w:lang w:val="fr-CA"/>
              </w:rPr>
              <w:t xml:space="preserve"> pour une première infraction, durant une période minimale d’un an et maximale de trois ans, en plus de la période d’emprisonnement à laquelle il est condamné;</w:t>
            </w:r>
          </w:p>
          <w:p w14:paraId="5325BDF5" w14:textId="77777777" w:rsidR="00746949" w:rsidRPr="00E00EBC" w:rsidRDefault="00746949" w:rsidP="00B975C3">
            <w:pPr>
              <w:jc w:val="both"/>
              <w:rPr>
                <w:szCs w:val="24"/>
                <w:lang w:val="fr-CA"/>
              </w:rPr>
            </w:pPr>
          </w:p>
        </w:tc>
      </w:tr>
      <w:tr w:rsidR="00746949" w:rsidRPr="0061071F" w14:paraId="152A2DDC" w14:textId="77777777" w:rsidTr="00B975C3">
        <w:trPr>
          <w:trHeight w:val="475"/>
        </w:trPr>
        <w:tc>
          <w:tcPr>
            <w:tcW w:w="2499" w:type="pct"/>
          </w:tcPr>
          <w:p w14:paraId="03031F41" w14:textId="77777777" w:rsidR="00746949" w:rsidRPr="00E00EBC" w:rsidRDefault="00746949" w:rsidP="00B975C3">
            <w:pPr>
              <w:jc w:val="both"/>
              <w:rPr>
                <w:szCs w:val="24"/>
              </w:rPr>
            </w:pPr>
            <w:r w:rsidRPr="00E00EBC">
              <w:rPr>
                <w:b/>
                <w:szCs w:val="24"/>
              </w:rPr>
              <w:t>(b)</w:t>
            </w:r>
            <w:r w:rsidRPr="00E00EBC">
              <w:rPr>
                <w:szCs w:val="24"/>
              </w:rPr>
              <w:t xml:space="preserve"> for a second offence, during a period of not more than five years plus any period to which the offender is sentenced to imprisonment, and not less than two years; and</w:t>
            </w:r>
          </w:p>
          <w:p w14:paraId="29D2A16F" w14:textId="77777777" w:rsidR="00746949" w:rsidRPr="00E00EBC" w:rsidRDefault="00746949" w:rsidP="00B975C3">
            <w:pPr>
              <w:jc w:val="both"/>
              <w:rPr>
                <w:szCs w:val="24"/>
              </w:rPr>
            </w:pPr>
          </w:p>
        </w:tc>
        <w:tc>
          <w:tcPr>
            <w:tcW w:w="2501" w:type="pct"/>
          </w:tcPr>
          <w:p w14:paraId="1087E83C" w14:textId="77777777" w:rsidR="00746949" w:rsidRPr="00E00EBC" w:rsidRDefault="00746949" w:rsidP="00B975C3">
            <w:pPr>
              <w:jc w:val="both"/>
              <w:rPr>
                <w:szCs w:val="24"/>
                <w:lang w:val="fr-CA"/>
              </w:rPr>
            </w:pPr>
            <w:r w:rsidRPr="00E00EBC">
              <w:rPr>
                <w:b/>
                <w:szCs w:val="24"/>
                <w:lang w:val="fr-CA"/>
              </w:rPr>
              <w:lastRenderedPageBreak/>
              <w:t>b)</w:t>
            </w:r>
            <w:r w:rsidRPr="00E00EBC">
              <w:rPr>
                <w:szCs w:val="24"/>
                <w:lang w:val="fr-CA"/>
              </w:rPr>
              <w:t xml:space="preserve"> pour une deuxième infraction, durant une période minimale de deux ans et maximale de cinq ans, en plus de la période d’emprisonnement à laquelle il est condamné;</w:t>
            </w:r>
          </w:p>
          <w:p w14:paraId="48E50629" w14:textId="77777777" w:rsidR="00746949" w:rsidRPr="00E00EBC" w:rsidRDefault="00746949" w:rsidP="00B975C3">
            <w:pPr>
              <w:jc w:val="both"/>
              <w:rPr>
                <w:szCs w:val="24"/>
                <w:lang w:val="fr-CA"/>
              </w:rPr>
            </w:pPr>
          </w:p>
        </w:tc>
      </w:tr>
      <w:tr w:rsidR="00746949" w:rsidRPr="0061071F" w14:paraId="135FAE51" w14:textId="77777777" w:rsidTr="00B975C3">
        <w:trPr>
          <w:trHeight w:val="475"/>
        </w:trPr>
        <w:tc>
          <w:tcPr>
            <w:tcW w:w="2499" w:type="pct"/>
          </w:tcPr>
          <w:p w14:paraId="0E2E1808" w14:textId="77777777" w:rsidR="00746949" w:rsidRPr="00E00EBC" w:rsidRDefault="00746949" w:rsidP="00B975C3">
            <w:pPr>
              <w:jc w:val="both"/>
              <w:rPr>
                <w:szCs w:val="24"/>
              </w:rPr>
            </w:pPr>
            <w:r w:rsidRPr="00E00EBC">
              <w:rPr>
                <w:b/>
                <w:szCs w:val="24"/>
              </w:rPr>
              <w:lastRenderedPageBreak/>
              <w:t>(c)</w:t>
            </w:r>
            <w:r w:rsidRPr="00E00EBC">
              <w:rPr>
                <w:szCs w:val="24"/>
              </w:rPr>
              <w:t xml:space="preserve"> for each subsequent offence, during a period of not less than three years plus any period to which the offender is sentenced to imprisonment.</w:t>
            </w:r>
          </w:p>
        </w:tc>
        <w:tc>
          <w:tcPr>
            <w:tcW w:w="2501" w:type="pct"/>
          </w:tcPr>
          <w:p w14:paraId="195CACD9" w14:textId="77777777" w:rsidR="00746949" w:rsidRPr="00E00EBC" w:rsidRDefault="00746949" w:rsidP="00B975C3">
            <w:pPr>
              <w:jc w:val="both"/>
              <w:rPr>
                <w:szCs w:val="24"/>
                <w:lang w:val="fr-CA"/>
              </w:rPr>
            </w:pPr>
            <w:r w:rsidRPr="00E00EBC">
              <w:rPr>
                <w:b/>
                <w:szCs w:val="24"/>
                <w:lang w:val="fr-CA"/>
              </w:rPr>
              <w:t>c)</w:t>
            </w:r>
            <w:r w:rsidRPr="00E00EBC">
              <w:rPr>
                <w:szCs w:val="24"/>
                <w:lang w:val="fr-CA"/>
              </w:rPr>
              <w:t xml:space="preserve"> pour chaque infraction subséquente, durant une période minimale de trois ans, en plus de la période d’emprisonnement à laquelle il est condamné.</w:t>
            </w:r>
          </w:p>
        </w:tc>
      </w:tr>
    </w:tbl>
    <w:p w14:paraId="58AF16B7" w14:textId="77777777" w:rsidR="00746949" w:rsidRPr="00E00EBC" w:rsidRDefault="00746949" w:rsidP="00746949">
      <w:pPr>
        <w:pStyle w:val="ParaNoNdepar-AltN"/>
        <w:rPr>
          <w:rFonts w:cs="Times New Roman"/>
          <w:lang w:val="en-CA"/>
        </w:rPr>
      </w:pPr>
      <w:r w:rsidRPr="00E00EBC">
        <w:rPr>
          <w:rFonts w:eastAsiaTheme="minorHAnsi" w:cs="Times New Roman"/>
          <w:lang w:val="en-CA"/>
        </w:rPr>
        <w:t xml:space="preserve">Section 718.3(2), which is in the division of the </w:t>
      </w:r>
      <w:r w:rsidRPr="00E00EBC">
        <w:rPr>
          <w:rFonts w:eastAsiaTheme="minorHAnsi" w:cs="Times New Roman"/>
          <w:i/>
          <w:lang w:val="en-CA"/>
        </w:rPr>
        <w:t>Criminal Code</w:t>
      </w:r>
      <w:r w:rsidRPr="00E00EBC">
        <w:rPr>
          <w:rFonts w:eastAsiaTheme="minorHAnsi" w:cs="Times New Roman"/>
          <w:lang w:val="en-CA"/>
        </w:rPr>
        <w:t xml:space="preserve"> dealing with “Punishment Generally”, provides that the punishment to be imposed (“</w:t>
      </w:r>
      <w:r w:rsidRPr="00E00EBC">
        <w:rPr>
          <w:rFonts w:eastAsiaTheme="minorHAnsi" w:cs="Times New Roman"/>
          <w:i/>
          <w:lang w:val="en-CA"/>
        </w:rPr>
        <w:t>peine à infliger</w:t>
      </w:r>
      <w:r w:rsidRPr="00E00EBC">
        <w:rPr>
          <w:rFonts w:eastAsiaTheme="minorHAnsi" w:cs="Times New Roman"/>
          <w:lang w:val="en-CA"/>
        </w:rPr>
        <w:t xml:space="preserve">” in French) is </w:t>
      </w:r>
      <w:r w:rsidRPr="00E00EBC">
        <w:rPr>
          <w:rFonts w:eastAsiaTheme="minorHAnsi" w:cs="Times New Roman"/>
          <w:szCs w:val="24"/>
          <w:lang w:val="en-CA"/>
        </w:rPr>
        <w:t>in the court’s discretion</w:t>
      </w:r>
      <w:r w:rsidRPr="00E00EBC">
        <w:rPr>
          <w:rFonts w:eastAsiaTheme="minorHAnsi" w:cs="Times New Roman"/>
          <w:lang w:val="en-CA"/>
        </w:rPr>
        <w:t>, subject to the limitations set out in the enactment prescribing the punishment in question:</w:t>
      </w:r>
    </w:p>
    <w:tbl>
      <w:tblPr>
        <w:tblW w:w="4429" w:type="pct"/>
        <w:tblInd w:w="1170" w:type="dxa"/>
        <w:tblLayout w:type="fixed"/>
        <w:tblCellMar>
          <w:top w:w="115" w:type="dxa"/>
          <w:left w:w="216" w:type="dxa"/>
          <w:bottom w:w="58" w:type="dxa"/>
          <w:right w:w="216" w:type="dxa"/>
        </w:tblCellMar>
        <w:tblLook w:val="0000" w:firstRow="0" w:lastRow="0" w:firstColumn="0" w:lastColumn="0" w:noHBand="0" w:noVBand="0"/>
      </w:tblPr>
      <w:tblGrid>
        <w:gridCol w:w="3556"/>
        <w:gridCol w:w="3778"/>
      </w:tblGrid>
      <w:tr w:rsidR="00746949" w:rsidRPr="0061071F" w14:paraId="530E0EC7" w14:textId="77777777" w:rsidTr="00B975C3">
        <w:trPr>
          <w:trHeight w:val="475"/>
        </w:trPr>
        <w:tc>
          <w:tcPr>
            <w:tcW w:w="2424" w:type="pct"/>
          </w:tcPr>
          <w:p w14:paraId="50075AA6" w14:textId="77777777" w:rsidR="00746949" w:rsidRPr="00E00EBC" w:rsidRDefault="00746949" w:rsidP="00B975C3">
            <w:pPr>
              <w:rPr>
                <w:b/>
                <w:szCs w:val="24"/>
              </w:rPr>
            </w:pPr>
            <w:r w:rsidRPr="00E00EBC">
              <w:rPr>
                <w:b/>
                <w:szCs w:val="24"/>
              </w:rPr>
              <w:t xml:space="preserve">Discretion respecting </w:t>
            </w:r>
            <w:proofErr w:type="gramStart"/>
            <w:r w:rsidRPr="00E00EBC">
              <w:rPr>
                <w:b/>
                <w:szCs w:val="24"/>
              </w:rPr>
              <w:t>punishment</w:t>
            </w:r>
            <w:proofErr w:type="gramEnd"/>
          </w:p>
          <w:p w14:paraId="452D68EC" w14:textId="77777777" w:rsidR="00746949" w:rsidRPr="00E00EBC" w:rsidRDefault="00746949" w:rsidP="00B975C3">
            <w:pPr>
              <w:jc w:val="both"/>
              <w:rPr>
                <w:szCs w:val="24"/>
              </w:rPr>
            </w:pPr>
            <w:r w:rsidRPr="00E00EBC">
              <w:rPr>
                <w:b/>
                <w:szCs w:val="24"/>
              </w:rPr>
              <w:t>[</w:t>
            </w:r>
            <w:proofErr w:type="gramStart"/>
            <w:r w:rsidRPr="00E00EBC">
              <w:rPr>
                <w:b/>
                <w:szCs w:val="24"/>
              </w:rPr>
              <w:t>718.3](</w:t>
            </w:r>
            <w:proofErr w:type="gramEnd"/>
            <w:r w:rsidRPr="00E00EBC">
              <w:rPr>
                <w:b/>
                <w:szCs w:val="24"/>
              </w:rPr>
              <w:t>2)</w:t>
            </w:r>
            <w:r w:rsidRPr="00E00EBC">
              <w:rPr>
                <w:szCs w:val="24"/>
              </w:rPr>
              <w:t xml:space="preserve"> Where an enactment prescribes a punishment in respect of an offence, the punishment to be imposed is, subject to the limitations prescribed in the enactment, in the discretion of the court that convicts a person who commits the offence, but no punishment is a minimum punishment unless it is declared to be a minimum punishment.</w:t>
            </w:r>
          </w:p>
          <w:p w14:paraId="7A1EFEAC" w14:textId="77777777" w:rsidR="00746949" w:rsidRPr="00E00EBC" w:rsidRDefault="00746949" w:rsidP="00B975C3">
            <w:pPr>
              <w:jc w:val="both"/>
              <w:rPr>
                <w:szCs w:val="24"/>
              </w:rPr>
            </w:pPr>
          </w:p>
        </w:tc>
        <w:tc>
          <w:tcPr>
            <w:tcW w:w="2576" w:type="pct"/>
          </w:tcPr>
          <w:p w14:paraId="62C4B827" w14:textId="6C011FB7" w:rsidR="00057621" w:rsidRPr="00E00EBC" w:rsidRDefault="00746949" w:rsidP="00057621">
            <w:pPr>
              <w:rPr>
                <w:b/>
                <w:szCs w:val="24"/>
                <w:lang w:val="fr-CA"/>
              </w:rPr>
            </w:pPr>
            <w:r w:rsidRPr="00E00EBC">
              <w:rPr>
                <w:b/>
                <w:szCs w:val="24"/>
                <w:lang w:val="fr-CA"/>
              </w:rPr>
              <w:t>Appréciation du tribunal</w:t>
            </w:r>
          </w:p>
          <w:p w14:paraId="7D3AC7C0" w14:textId="77777777" w:rsidR="00746949" w:rsidRPr="00E00EBC" w:rsidRDefault="00746949" w:rsidP="00B975C3">
            <w:pPr>
              <w:jc w:val="both"/>
              <w:rPr>
                <w:szCs w:val="24"/>
                <w:lang w:val="fr-CA"/>
              </w:rPr>
            </w:pPr>
            <w:r w:rsidRPr="00E00EBC">
              <w:rPr>
                <w:b/>
                <w:szCs w:val="24"/>
                <w:lang w:val="fr-CA"/>
              </w:rPr>
              <w:t>[</w:t>
            </w:r>
            <w:proofErr w:type="gramStart"/>
            <w:r w:rsidRPr="00E00EBC">
              <w:rPr>
                <w:b/>
                <w:szCs w:val="24"/>
                <w:lang w:val="fr-CA"/>
              </w:rPr>
              <w:t>718.3](</w:t>
            </w:r>
            <w:proofErr w:type="gramEnd"/>
            <w:r w:rsidRPr="00E00EBC">
              <w:rPr>
                <w:b/>
                <w:szCs w:val="24"/>
                <w:lang w:val="fr-CA"/>
              </w:rPr>
              <w:t>2)</w:t>
            </w:r>
            <w:r w:rsidRPr="00E00EBC">
              <w:rPr>
                <w:szCs w:val="24"/>
                <w:lang w:val="fr-CA"/>
              </w:rPr>
              <w:t xml:space="preserve"> Lorsqu’une disposition prescrit une peine à l’égard d’une infraction, la peine à infliger est, sous réserve des restrictions contenues dans la disposition, laissée à l’appréciation du tribunal qui condamne l’auteur de l’infraction, mais nulle peine n’est une peine minimale à moins qu’elle ne soit déclarée telle.</w:t>
            </w:r>
          </w:p>
        </w:tc>
      </w:tr>
    </w:tbl>
    <w:p w14:paraId="5D59D636" w14:textId="77777777" w:rsidR="00746949" w:rsidRPr="00E00EBC" w:rsidRDefault="00746949" w:rsidP="00746949">
      <w:pPr>
        <w:pStyle w:val="ParaNoNdepar-AltN"/>
        <w:tabs>
          <w:tab w:val="clear" w:pos="1152"/>
          <w:tab w:val="left" w:pos="1166"/>
        </w:tabs>
        <w:rPr>
          <w:rFonts w:cs="Times New Roman"/>
          <w:lang w:val="en-CA"/>
        </w:rPr>
      </w:pPr>
      <w:r w:rsidRPr="00E00EBC">
        <w:rPr>
          <w:rFonts w:cs="Times New Roman"/>
          <w:lang w:val="en-CA"/>
        </w:rPr>
        <w:t>The parties also focused attention on s. 719. Its first subsection is entitled “Commencement of sentence” (in French, the word “</w:t>
      </w:r>
      <w:r w:rsidRPr="00E00EBC">
        <w:rPr>
          <w:rFonts w:cs="Times New Roman"/>
          <w:i/>
          <w:lang w:val="en-CA"/>
        </w:rPr>
        <w:t>peine</w:t>
      </w:r>
      <w:r w:rsidRPr="00E00EBC">
        <w:rPr>
          <w:rFonts w:cs="Times New Roman"/>
          <w:lang w:val="en-CA"/>
        </w:rPr>
        <w:t>” is used as the parallel term to “sentence” in this context). Section 719(3) is entitled “Determination of sentence” (“</w:t>
      </w:r>
      <w:r w:rsidRPr="00E00EBC">
        <w:rPr>
          <w:rFonts w:cs="Times New Roman"/>
          <w:i/>
          <w:lang w:val="en-CA"/>
        </w:rPr>
        <w:t>Infliction de la peine</w:t>
      </w:r>
      <w:r w:rsidRPr="00E00EBC">
        <w:rPr>
          <w:rFonts w:cs="Times New Roman"/>
          <w:lang w:val="en-CA"/>
        </w:rPr>
        <w:t>” in French). These provisions read as follows:</w:t>
      </w:r>
    </w:p>
    <w:tbl>
      <w:tblPr>
        <w:tblW w:w="4295" w:type="pct"/>
        <w:tblInd w:w="1170" w:type="dxa"/>
        <w:tblLayout w:type="fixed"/>
        <w:tblCellMar>
          <w:top w:w="115" w:type="dxa"/>
          <w:left w:w="216" w:type="dxa"/>
          <w:bottom w:w="58" w:type="dxa"/>
          <w:right w:w="216" w:type="dxa"/>
        </w:tblCellMar>
        <w:tblLook w:val="0000" w:firstRow="0" w:lastRow="0" w:firstColumn="0" w:lastColumn="0" w:noHBand="0" w:noVBand="0"/>
      </w:tblPr>
      <w:tblGrid>
        <w:gridCol w:w="3556"/>
        <w:gridCol w:w="3557"/>
      </w:tblGrid>
      <w:tr w:rsidR="00746949" w:rsidRPr="0061071F" w14:paraId="332B0D05" w14:textId="77777777" w:rsidTr="00B975C3">
        <w:trPr>
          <w:trHeight w:val="475"/>
        </w:trPr>
        <w:tc>
          <w:tcPr>
            <w:tcW w:w="2500" w:type="pct"/>
          </w:tcPr>
          <w:p w14:paraId="5A7BC15D" w14:textId="77777777" w:rsidR="00746949" w:rsidRPr="00E00EBC" w:rsidRDefault="00746949" w:rsidP="00B975C3">
            <w:pPr>
              <w:jc w:val="both"/>
              <w:rPr>
                <w:b/>
                <w:szCs w:val="24"/>
                <w:lang w:bidi="en-US"/>
              </w:rPr>
            </w:pPr>
            <w:r w:rsidRPr="00E00EBC">
              <w:rPr>
                <w:b/>
                <w:szCs w:val="24"/>
                <w:lang w:bidi="en-US"/>
              </w:rPr>
              <w:lastRenderedPageBreak/>
              <w:t>Commencement of sentence</w:t>
            </w:r>
          </w:p>
          <w:p w14:paraId="58B5EE44" w14:textId="77777777" w:rsidR="00746949" w:rsidRDefault="00746949" w:rsidP="00EA0E2F">
            <w:pPr>
              <w:spacing w:after="240"/>
              <w:jc w:val="both"/>
              <w:rPr>
                <w:szCs w:val="24"/>
                <w:lang w:bidi="en-US"/>
              </w:rPr>
            </w:pPr>
            <w:r w:rsidRPr="00E00EBC">
              <w:rPr>
                <w:b/>
                <w:szCs w:val="24"/>
                <w:lang w:bidi="en-US"/>
              </w:rPr>
              <w:t>719 (1)</w:t>
            </w:r>
            <w:r w:rsidRPr="00E00EBC">
              <w:rPr>
                <w:szCs w:val="24"/>
                <w:lang w:bidi="en-US"/>
              </w:rPr>
              <w:t xml:space="preserve"> A sentence commences when it is imposed, except where a relevant enactment otherwise provides.</w:t>
            </w:r>
          </w:p>
          <w:p w14:paraId="56828C9B" w14:textId="77777777" w:rsidR="00746949" w:rsidRPr="00E00EBC" w:rsidRDefault="00746949" w:rsidP="00B975C3">
            <w:pPr>
              <w:spacing w:after="240"/>
              <w:jc w:val="center"/>
              <w:rPr>
                <w:szCs w:val="24"/>
                <w:lang w:bidi="en-US"/>
              </w:rPr>
            </w:pPr>
            <w:r w:rsidRPr="00E00EBC">
              <w:rPr>
                <w:szCs w:val="24"/>
                <w:lang w:bidi="en-US"/>
              </w:rPr>
              <w:t>. . .</w:t>
            </w:r>
          </w:p>
          <w:p w14:paraId="6958F158" w14:textId="77777777" w:rsidR="00746949" w:rsidRPr="00E00EBC" w:rsidRDefault="00746949" w:rsidP="00B975C3">
            <w:pPr>
              <w:jc w:val="both"/>
              <w:rPr>
                <w:b/>
                <w:szCs w:val="24"/>
                <w:lang w:bidi="en-US"/>
              </w:rPr>
            </w:pPr>
            <w:r w:rsidRPr="00E00EBC">
              <w:rPr>
                <w:b/>
                <w:szCs w:val="24"/>
                <w:lang w:bidi="en-US"/>
              </w:rPr>
              <w:t>Determination of sentence</w:t>
            </w:r>
          </w:p>
          <w:p w14:paraId="142FB169" w14:textId="1BC8B2A5" w:rsidR="0061071F" w:rsidRPr="00E00EBC" w:rsidRDefault="00746949" w:rsidP="00B975C3">
            <w:pPr>
              <w:jc w:val="both"/>
              <w:rPr>
                <w:szCs w:val="24"/>
                <w:lang w:bidi="en-US"/>
              </w:rPr>
            </w:pPr>
            <w:r w:rsidRPr="00E00EBC">
              <w:rPr>
                <w:b/>
                <w:szCs w:val="24"/>
                <w:lang w:bidi="en-US"/>
              </w:rPr>
              <w:t>(3)</w:t>
            </w:r>
            <w:r w:rsidRPr="00E00EBC">
              <w:rPr>
                <w:szCs w:val="24"/>
                <w:lang w:bidi="en-US"/>
              </w:rPr>
              <w:t xml:space="preserve"> In determining the sentence to be imposed on a person convicted of an offence, a court may take into account any time spent in custody by the person as a result of the </w:t>
            </w:r>
            <w:proofErr w:type="gramStart"/>
            <w:r w:rsidRPr="00E00EBC">
              <w:rPr>
                <w:szCs w:val="24"/>
                <w:lang w:bidi="en-US"/>
              </w:rPr>
              <w:t>offence</w:t>
            </w:r>
            <w:proofErr w:type="gramEnd"/>
            <w:r w:rsidRPr="00E00EBC">
              <w:rPr>
                <w:szCs w:val="24"/>
                <w:lang w:bidi="en-US"/>
              </w:rPr>
              <w:t xml:space="preserve"> but the court shall limit any credit for that time to a maximum of one day for each day spent in custody.</w:t>
            </w:r>
          </w:p>
        </w:tc>
        <w:tc>
          <w:tcPr>
            <w:tcW w:w="2500" w:type="pct"/>
          </w:tcPr>
          <w:p w14:paraId="04B5C6F7" w14:textId="77777777" w:rsidR="00746949" w:rsidRPr="00E00EBC" w:rsidRDefault="00746949" w:rsidP="00B975C3">
            <w:pPr>
              <w:jc w:val="both"/>
              <w:rPr>
                <w:b/>
                <w:szCs w:val="24"/>
                <w:lang w:val="fr-CA" w:bidi="en-US"/>
              </w:rPr>
            </w:pPr>
            <w:r w:rsidRPr="00E00EBC">
              <w:rPr>
                <w:b/>
                <w:szCs w:val="24"/>
                <w:lang w:val="fr-CA" w:bidi="en-US"/>
              </w:rPr>
              <w:t>Début de la peine</w:t>
            </w:r>
          </w:p>
          <w:p w14:paraId="4C9E9F96" w14:textId="77777777" w:rsidR="00746949" w:rsidRPr="00E00EBC" w:rsidRDefault="00746949" w:rsidP="00B975C3">
            <w:pPr>
              <w:spacing w:after="240"/>
              <w:jc w:val="both"/>
              <w:rPr>
                <w:szCs w:val="24"/>
                <w:lang w:val="fr-CA" w:bidi="en-US"/>
              </w:rPr>
            </w:pPr>
            <w:r w:rsidRPr="00E00EBC">
              <w:rPr>
                <w:b/>
                <w:szCs w:val="24"/>
                <w:lang w:val="fr-CA" w:bidi="en-US"/>
              </w:rPr>
              <w:t>719 (1)</w:t>
            </w:r>
            <w:r w:rsidRPr="00E00EBC">
              <w:rPr>
                <w:szCs w:val="24"/>
                <w:lang w:val="fr-CA" w:bidi="en-US"/>
              </w:rPr>
              <w:t xml:space="preserve"> La peine commence au moment où elle est infligée, sauf lorsque le texte législatif applicable y pourvoit de façon différente.</w:t>
            </w:r>
          </w:p>
          <w:p w14:paraId="7C5D1D9F" w14:textId="77777777" w:rsidR="00746949" w:rsidRPr="00E00EBC" w:rsidRDefault="00746949" w:rsidP="00B975C3">
            <w:pPr>
              <w:spacing w:after="240"/>
              <w:jc w:val="center"/>
              <w:rPr>
                <w:szCs w:val="24"/>
                <w:lang w:val="fr-CA" w:bidi="en-US"/>
              </w:rPr>
            </w:pPr>
            <w:r w:rsidRPr="00E00EBC">
              <w:rPr>
                <w:szCs w:val="24"/>
                <w:lang w:val="fr-CA" w:bidi="en-US"/>
              </w:rPr>
              <w:t>. . .</w:t>
            </w:r>
          </w:p>
          <w:p w14:paraId="1B465EB1" w14:textId="77777777" w:rsidR="00746949" w:rsidRPr="00E00EBC" w:rsidRDefault="00746949" w:rsidP="00B975C3">
            <w:pPr>
              <w:jc w:val="both"/>
              <w:rPr>
                <w:b/>
                <w:szCs w:val="24"/>
                <w:lang w:val="fr-CA" w:bidi="en-US"/>
              </w:rPr>
            </w:pPr>
            <w:r w:rsidRPr="00E00EBC">
              <w:rPr>
                <w:b/>
                <w:szCs w:val="24"/>
                <w:lang w:val="fr-CA" w:bidi="en-US"/>
              </w:rPr>
              <w:t>Infliction de la peine</w:t>
            </w:r>
          </w:p>
          <w:p w14:paraId="4A81808D" w14:textId="77777777" w:rsidR="00746949" w:rsidRDefault="00746949" w:rsidP="0061071F">
            <w:pPr>
              <w:jc w:val="both"/>
              <w:rPr>
                <w:szCs w:val="24"/>
                <w:lang w:val="fr-CA" w:bidi="en-US"/>
              </w:rPr>
            </w:pPr>
            <w:r w:rsidRPr="00E00EBC">
              <w:rPr>
                <w:b/>
                <w:szCs w:val="24"/>
                <w:lang w:val="fr-CA" w:bidi="en-US"/>
              </w:rPr>
              <w:t>(3)</w:t>
            </w:r>
            <w:r w:rsidRPr="00E00EBC">
              <w:rPr>
                <w:szCs w:val="24"/>
                <w:lang w:val="fr-CA" w:bidi="en-US"/>
              </w:rPr>
              <w:t xml:space="preserve"> Pour fixer la peine à infliger à une personne déclarée coupable d’une infraction, le tribunal peut prendre en compte toute période que la personne a passée sous garde par suite de l’infraction; il doit, le cas échéant, restreindre le temps alloué pour cette période à un maximum d’un jour pour chaque jour </w:t>
            </w:r>
            <w:proofErr w:type="gramStart"/>
            <w:r w:rsidRPr="00E00EBC">
              <w:rPr>
                <w:szCs w:val="24"/>
                <w:lang w:val="fr-CA" w:bidi="en-US"/>
              </w:rPr>
              <w:t>passé</w:t>
            </w:r>
            <w:proofErr w:type="gramEnd"/>
            <w:r w:rsidRPr="00E00EBC">
              <w:rPr>
                <w:szCs w:val="24"/>
                <w:lang w:val="fr-CA" w:bidi="en-US"/>
              </w:rPr>
              <w:t xml:space="preserve"> sous garde.</w:t>
            </w:r>
          </w:p>
          <w:p w14:paraId="4A582909" w14:textId="7E0A3248" w:rsidR="0061071F" w:rsidRPr="00E00EBC" w:rsidRDefault="0061071F" w:rsidP="0061071F">
            <w:pPr>
              <w:jc w:val="both"/>
              <w:rPr>
                <w:szCs w:val="24"/>
                <w:lang w:val="fr-CA" w:bidi="en-US"/>
              </w:rPr>
            </w:pPr>
          </w:p>
        </w:tc>
      </w:tr>
    </w:tbl>
    <w:p w14:paraId="159F4EFD" w14:textId="77777777" w:rsidR="00746949" w:rsidRPr="00E00EBC" w:rsidRDefault="00746949" w:rsidP="00746949">
      <w:pPr>
        <w:pStyle w:val="ParaNoNdepar-AltN"/>
        <w:rPr>
          <w:rFonts w:cs="Times New Roman"/>
        </w:rPr>
      </w:pPr>
      <w:r w:rsidRPr="00E00EBC">
        <w:rPr>
          <w:rFonts w:cs="Times New Roman"/>
          <w:lang w:val="en-US"/>
        </w:rPr>
        <w:t xml:space="preserve">It is appropriate at the outset to recognize that linguistic usage in this area of sentencing is often uneven, be it in legislation, </w:t>
      </w:r>
      <w:proofErr w:type="gramStart"/>
      <w:r w:rsidRPr="00E00EBC">
        <w:rPr>
          <w:rFonts w:cs="Times New Roman"/>
          <w:lang w:val="en-US"/>
        </w:rPr>
        <w:t>jurisprudence</w:t>
      </w:r>
      <w:proofErr w:type="gramEnd"/>
      <w:r w:rsidRPr="00E00EBC">
        <w:rPr>
          <w:rFonts w:cs="Times New Roman"/>
          <w:lang w:val="en-US"/>
        </w:rPr>
        <w:t xml:space="preserve"> or scholarship. In the title for s. 259(1) </w:t>
      </w:r>
      <w:r w:rsidRPr="00E00EBC">
        <w:rPr>
          <w:rFonts w:cs="Times New Roman"/>
          <w:i/>
          <w:lang w:val="en-US"/>
        </w:rPr>
        <w:t>Cr. C.</w:t>
      </w:r>
      <w:r w:rsidRPr="00E00EBC">
        <w:rPr>
          <w:rFonts w:cs="Times New Roman"/>
          <w:lang w:val="en-US"/>
        </w:rPr>
        <w:t>, Parliament spoke of a “mandatory order of prohibition” / “</w:t>
      </w:r>
      <w:r w:rsidRPr="00E00EBC">
        <w:rPr>
          <w:rFonts w:cs="Times New Roman"/>
          <w:i/>
          <w:lang w:val="en-US"/>
        </w:rPr>
        <w:t>ordonnance d’interdiction obligatoire</w:t>
      </w:r>
      <w:r w:rsidRPr="00E00EBC">
        <w:rPr>
          <w:rFonts w:cs="Times New Roman"/>
          <w:lang w:val="en-US"/>
        </w:rPr>
        <w:t>”. In the English</w:t>
      </w:r>
      <w:r w:rsidRPr="00E00EBC">
        <w:rPr>
          <w:rFonts w:cs="Times New Roman"/>
          <w:lang w:val="en-US"/>
        </w:rPr>
        <w:noBreakHyphen/>
        <w:t>language reasons of the Court of Appeal in this case, the terms “mandatory minimum”, “mandatory minimum sentence” and “mandatory driving prohibition” are used. In the French</w:t>
      </w:r>
      <w:r w:rsidRPr="00E00EBC">
        <w:rPr>
          <w:rFonts w:cs="Times New Roman"/>
          <w:lang w:val="en-US"/>
        </w:rPr>
        <w:noBreakHyphen/>
        <w:t>language version of the reasons, “</w:t>
      </w:r>
      <w:r w:rsidRPr="00E00EBC">
        <w:rPr>
          <w:rFonts w:cs="Times New Roman"/>
          <w:i/>
          <w:lang w:val="en-US"/>
        </w:rPr>
        <w:t>peine minimale obligatoire</w:t>
      </w:r>
      <w:r w:rsidRPr="00E00EBC">
        <w:rPr>
          <w:rFonts w:cs="Times New Roman"/>
          <w:lang w:val="en-US"/>
        </w:rPr>
        <w:t>” and “</w:t>
      </w:r>
      <w:r w:rsidRPr="00E00EBC">
        <w:rPr>
          <w:rFonts w:cs="Times New Roman"/>
          <w:i/>
          <w:lang w:val="en-US"/>
        </w:rPr>
        <w:t>période minimale d’interdiction</w:t>
      </w:r>
      <w:r w:rsidRPr="00E00EBC">
        <w:rPr>
          <w:rFonts w:cs="Times New Roman"/>
          <w:lang w:val="en-US"/>
        </w:rPr>
        <w:t xml:space="preserve">” predominate. In </w:t>
      </w:r>
      <w:r w:rsidRPr="0061071F">
        <w:rPr>
          <w:rFonts w:cs="Times New Roman"/>
          <w:lang w:val="en-US"/>
        </w:rPr>
        <w:t xml:space="preserve">the </w:t>
      </w:r>
      <w:r w:rsidRPr="0061071F">
        <w:rPr>
          <w:rFonts w:cs="Times New Roman"/>
          <w:i/>
          <w:lang w:val="en-US"/>
        </w:rPr>
        <w:t>Criminal Code</w:t>
      </w:r>
      <w:r w:rsidRPr="0061071F">
        <w:rPr>
          <w:rFonts w:cs="Times New Roman"/>
          <w:lang w:val="en-US"/>
        </w:rPr>
        <w:t xml:space="preserve"> more</w:t>
      </w:r>
      <w:r w:rsidRPr="00E00EBC">
        <w:rPr>
          <w:rFonts w:cs="Times New Roman"/>
          <w:lang w:val="en-US"/>
        </w:rPr>
        <w:t xml:space="preserve"> broadly, the terms “minimum punishment” / “</w:t>
      </w:r>
      <w:r w:rsidRPr="00E00EBC">
        <w:rPr>
          <w:rFonts w:cs="Times New Roman"/>
          <w:i/>
          <w:lang w:val="en-US"/>
        </w:rPr>
        <w:t>peine minimale</w:t>
      </w:r>
      <w:r w:rsidRPr="00E00EBC">
        <w:rPr>
          <w:rFonts w:cs="Times New Roman"/>
          <w:lang w:val="en-US"/>
        </w:rPr>
        <w:t xml:space="preserve">” are frequently used as equivalents (see, e.g., </w:t>
      </w:r>
      <w:r w:rsidRPr="00E00EBC">
        <w:rPr>
          <w:rFonts w:cs="Times New Roman"/>
          <w:i/>
          <w:lang w:val="en-US"/>
        </w:rPr>
        <w:t>R. v. Hilbach</w:t>
      </w:r>
      <w:r w:rsidRPr="00E00EBC">
        <w:rPr>
          <w:rFonts w:cs="Times New Roman"/>
          <w:lang w:val="en-US"/>
        </w:rPr>
        <w:t xml:space="preserve">, 2023 SCC 3, at paras. 2 and 12, interpreting s. 344(1) </w:t>
      </w:r>
      <w:r w:rsidRPr="00E00EBC">
        <w:rPr>
          <w:rFonts w:cs="Times New Roman"/>
          <w:i/>
          <w:lang w:val="en-US"/>
        </w:rPr>
        <w:t>Cr. C.</w:t>
      </w:r>
      <w:r w:rsidRPr="00E00EBC">
        <w:rPr>
          <w:rFonts w:cs="Times New Roman"/>
          <w:lang w:val="en-US"/>
        </w:rPr>
        <w:t xml:space="preserve"> and using both “mandatory minimum sentence” / “</w:t>
      </w:r>
      <w:r w:rsidRPr="00E00EBC">
        <w:rPr>
          <w:rFonts w:cs="Times New Roman"/>
          <w:i/>
          <w:lang w:val="en-US"/>
        </w:rPr>
        <w:t>peine minimale obligatoire</w:t>
      </w:r>
      <w:r w:rsidRPr="00E00EBC">
        <w:rPr>
          <w:rFonts w:cs="Times New Roman"/>
          <w:lang w:val="en-US"/>
        </w:rPr>
        <w:t xml:space="preserve">” and “mandatory </w:t>
      </w:r>
      <w:r w:rsidRPr="00E00EBC">
        <w:rPr>
          <w:rFonts w:cs="Times New Roman"/>
          <w:lang w:val="en-US"/>
        </w:rPr>
        <w:lastRenderedPageBreak/>
        <w:t>minimum punishment” / “</w:t>
      </w:r>
      <w:r w:rsidRPr="00E00EBC">
        <w:rPr>
          <w:rFonts w:cs="Times New Roman"/>
          <w:i/>
          <w:lang w:val="en-US"/>
        </w:rPr>
        <w:t>peine minimale obligatoire</w:t>
      </w:r>
      <w:r w:rsidRPr="00E00EBC">
        <w:rPr>
          <w:rFonts w:cs="Times New Roman"/>
          <w:lang w:val="en-US"/>
        </w:rPr>
        <w:t xml:space="preserve">”). That said, as Arbour J. wrote in </w:t>
      </w:r>
      <w:r w:rsidRPr="00E00EBC">
        <w:rPr>
          <w:rFonts w:cs="Times New Roman"/>
          <w:i/>
          <w:lang w:val="en-US"/>
        </w:rPr>
        <w:t>Wust</w:t>
      </w:r>
      <w:r w:rsidRPr="00E00EBC">
        <w:rPr>
          <w:rFonts w:cs="Times New Roman"/>
          <w:lang w:val="en-US"/>
        </w:rPr>
        <w:t>, “[w]hat is fundamental is less the words chosen, in the French or English version, but the concepts that they carry” (para. </w:t>
      </w:r>
      <w:r w:rsidRPr="00E00EBC">
        <w:rPr>
          <w:rFonts w:cs="Times New Roman"/>
        </w:rPr>
        <w:t>36).</w:t>
      </w:r>
    </w:p>
    <w:p w14:paraId="1BA5EF0B" w14:textId="77777777" w:rsidR="00746949" w:rsidRPr="00E00EBC" w:rsidRDefault="00746949" w:rsidP="00746949">
      <w:pPr>
        <w:pStyle w:val="Title2LevelTitre2Niveau"/>
        <w:widowControl w:val="0"/>
        <w:numPr>
          <w:ilvl w:val="1"/>
          <w:numId w:val="10"/>
        </w:numPr>
        <w:spacing w:before="0"/>
        <w:rPr>
          <w:rFonts w:cs="Times New Roman"/>
        </w:rPr>
      </w:pPr>
      <w:r w:rsidRPr="00E00EBC">
        <w:rPr>
          <w:rFonts w:cs="Times New Roman"/>
        </w:rPr>
        <w:t>Grounds of Appeal</w:t>
      </w:r>
      <w:bookmarkEnd w:id="47"/>
      <w:bookmarkEnd w:id="48"/>
    </w:p>
    <w:p w14:paraId="47D03623" w14:textId="77777777" w:rsidR="00746949" w:rsidRPr="00E00EBC" w:rsidRDefault="00746949" w:rsidP="00746949">
      <w:pPr>
        <w:pStyle w:val="ParaNoNdepar-AltN"/>
        <w:widowControl w:val="0"/>
        <w:tabs>
          <w:tab w:val="clear" w:pos="1152"/>
          <w:tab w:val="left" w:pos="1166"/>
        </w:tabs>
        <w:spacing w:before="0"/>
        <w:rPr>
          <w:rFonts w:cs="Times New Roman"/>
          <w:lang w:val="en-CA"/>
        </w:rPr>
      </w:pPr>
      <w:r w:rsidRPr="00E00EBC">
        <w:rPr>
          <w:rFonts w:cs="Times New Roman"/>
          <w:lang w:val="en-CA"/>
        </w:rPr>
        <w:t xml:space="preserve">In this Court, the appellant concedes that the sentencing judge erred in backdating her sentence; she acknowledges that he should have made the sentence commence when it was imposed in accordance with s. 719(1) </w:t>
      </w:r>
      <w:r w:rsidRPr="00E00EBC">
        <w:rPr>
          <w:rFonts w:cs="Times New Roman"/>
          <w:i/>
          <w:lang w:val="en-CA"/>
        </w:rPr>
        <w:t>Cr. C.</w:t>
      </w:r>
      <w:r w:rsidRPr="00E00EBC">
        <w:rPr>
          <w:rFonts w:cs="Times New Roman"/>
          <w:lang w:val="en-CA"/>
        </w:rPr>
        <w:t xml:space="preserve"> She also acknowledges that s. 259(1)(a) provides that a driving prohibition must be imposed for a period of not less than one year. However, she submits — essentially adopting the summary conviction appeal judge’s position — that the prohibition imposed by the sentencing judge was not below the mandatory minimum. Based on the principles laid down by this Court in </w:t>
      </w:r>
      <w:r w:rsidRPr="00E00EBC">
        <w:rPr>
          <w:rFonts w:cs="Times New Roman"/>
          <w:i/>
          <w:lang w:val="en-CA"/>
        </w:rPr>
        <w:t>Lacasse</w:t>
      </w:r>
      <w:r w:rsidRPr="00E00EBC">
        <w:rPr>
          <w:rFonts w:cs="Times New Roman"/>
          <w:lang w:val="en-CA"/>
        </w:rPr>
        <w:t>, the appellant takes the view that credit for the prohibition period served prior to sentencing could be granted in this case.</w:t>
      </w:r>
    </w:p>
    <w:p w14:paraId="19B9BEF3" w14:textId="77777777" w:rsidR="00746949" w:rsidRPr="00E00EBC" w:rsidRDefault="00746949" w:rsidP="00746949">
      <w:pPr>
        <w:pStyle w:val="ParaNoNdepar-AltN"/>
        <w:tabs>
          <w:tab w:val="clear" w:pos="1152"/>
          <w:tab w:val="left" w:pos="1166"/>
        </w:tabs>
        <w:spacing w:before="0"/>
        <w:rPr>
          <w:rFonts w:cs="Times New Roman"/>
          <w:lang w:val="en-CA"/>
        </w:rPr>
      </w:pPr>
      <w:r w:rsidRPr="00E00EBC">
        <w:rPr>
          <w:rFonts w:cs="Times New Roman"/>
          <w:lang w:val="en-CA"/>
        </w:rPr>
        <w:t>The appellant’s main argument is one of statutory interpretation. She submits that s. 259(1)(a) is silent about the possibility of granting credit for a pre</w:t>
      </w:r>
      <w:r w:rsidRPr="00E00EBC">
        <w:rPr>
          <w:rFonts w:cs="Times New Roman"/>
          <w:lang w:val="en-CA"/>
        </w:rPr>
        <w:noBreakHyphen/>
        <w:t>sentence driving prohibition period. Further, the common law judicial discretion to apply such credit has not been displaced by the relevant statutory provisions. Moreover, she says, the interpretation espoused by the majority of the Court of Appeal produces absurd results, including the imposition of prohibition periods that do not take account of the gradation established in s. 259(1), which could not be what Parliament had intended.</w:t>
      </w:r>
    </w:p>
    <w:p w14:paraId="05DF28C7" w14:textId="77777777" w:rsidR="00746949" w:rsidRPr="00E00EBC" w:rsidRDefault="00746949" w:rsidP="00746949">
      <w:pPr>
        <w:pStyle w:val="ParaNoNdepar-AltN"/>
        <w:spacing w:before="0"/>
        <w:rPr>
          <w:rFonts w:cs="Times New Roman"/>
          <w:lang w:val="en-CA"/>
        </w:rPr>
      </w:pPr>
      <w:r w:rsidRPr="00E00EBC">
        <w:rPr>
          <w:rFonts w:cs="Times New Roman"/>
          <w:lang w:val="en-CA"/>
        </w:rPr>
        <w:lastRenderedPageBreak/>
        <w:t xml:space="preserve">The respondent Crown, relying </w:t>
      </w:r>
      <w:proofErr w:type="gramStart"/>
      <w:r w:rsidRPr="00E00EBC">
        <w:rPr>
          <w:rFonts w:cs="Times New Roman"/>
          <w:lang w:val="en-CA"/>
        </w:rPr>
        <w:t>in particular on</w:t>
      </w:r>
      <w:proofErr w:type="gramEnd"/>
      <w:r w:rsidRPr="00E00EBC">
        <w:rPr>
          <w:rFonts w:cs="Times New Roman"/>
          <w:lang w:val="en-CA"/>
        </w:rPr>
        <w:t xml:space="preserve"> </w:t>
      </w:r>
      <w:r w:rsidRPr="00E00EBC">
        <w:rPr>
          <w:rFonts w:cs="Times New Roman"/>
          <w:i/>
          <w:lang w:val="en-CA"/>
        </w:rPr>
        <w:t>R. v. McIntosh</w:t>
      </w:r>
      <w:r w:rsidRPr="00E00EBC">
        <w:rPr>
          <w:rFonts w:cs="Times New Roman"/>
          <w:lang w:val="en-CA"/>
        </w:rPr>
        <w:t>, [1995] 1 S.C.R. 686, argues that courts must carry out the clear intent of Parliament even if this leads to “uncomfortable or absurd result[s]” (respondent’s condensed book, at p. 1). In its view, there is no ambiguity in ss. 259(1)(a) and 719(1): Parliament has told judges that they must impose a one</w:t>
      </w:r>
      <w:r w:rsidRPr="00E00EBC">
        <w:rPr>
          <w:rFonts w:cs="Times New Roman"/>
          <w:lang w:val="en-CA"/>
        </w:rPr>
        <w:noBreakHyphen/>
        <w:t>year minimum prohibition period that must commence when the offender is sentenced. Absent a constitutional challenge to the applicable provisions, courts must give effect to Parliament’s intent.</w:t>
      </w:r>
    </w:p>
    <w:p w14:paraId="5D2C0C1E" w14:textId="77777777" w:rsidR="00746949" w:rsidRPr="00E00EBC" w:rsidRDefault="00746949" w:rsidP="00746949">
      <w:pPr>
        <w:pStyle w:val="ParaNoNdepar-AltN"/>
        <w:tabs>
          <w:tab w:val="clear" w:pos="1152"/>
          <w:tab w:val="left" w:pos="1166"/>
        </w:tabs>
        <w:spacing w:before="0"/>
        <w:rPr>
          <w:rFonts w:cs="Times New Roman"/>
          <w:lang w:val="en-CA"/>
        </w:rPr>
      </w:pPr>
      <w:r w:rsidRPr="00E00EBC">
        <w:rPr>
          <w:rFonts w:cs="Times New Roman"/>
          <w:lang w:val="en-CA"/>
        </w:rPr>
        <w:t>The respondent also points out that Parliament is presumed to know the necessary context for the implementation of its legislation. Here, it should be presumed that Parliament was aware that some accused persons are subject to pre</w:t>
      </w:r>
      <w:r w:rsidRPr="00E00EBC">
        <w:rPr>
          <w:rFonts w:cs="Times New Roman"/>
          <w:lang w:val="en-CA"/>
        </w:rPr>
        <w:noBreakHyphen/>
        <w:t>sentence driving prohibitions. According to the respondent, there is every indication that Parliament, in enacting s. 259(1)(a), chose not to adopt a provision equivalent to s. 719(3) for driving prohibitions. In this context, the respondent adds, the argument that Parliament’s silence implies that the common law discretion remains intact should be rejected. It is clear from reading ss. 259(1)(a), 718.3(2), 719(1) and 719(3) that this common law discretion has been displaced through the combined effect of the mandatory minimum and the rule that a sentence commences when it is imposed.</w:t>
      </w:r>
    </w:p>
    <w:p w14:paraId="7DD9D314" w14:textId="77777777" w:rsidR="00746949" w:rsidRPr="00E00EBC" w:rsidRDefault="00746949" w:rsidP="00746949">
      <w:pPr>
        <w:pStyle w:val="ParaNoNdepar-AltN"/>
        <w:tabs>
          <w:tab w:val="clear" w:pos="1152"/>
          <w:tab w:val="left" w:pos="1166"/>
        </w:tabs>
        <w:spacing w:before="0"/>
        <w:rPr>
          <w:rFonts w:cs="Times New Roman"/>
          <w:lang w:val="en-CA"/>
        </w:rPr>
      </w:pPr>
      <w:r w:rsidRPr="00E00EBC">
        <w:rPr>
          <w:rFonts w:cs="Times New Roman"/>
          <w:lang w:val="en-CA"/>
        </w:rPr>
        <w:t xml:space="preserve">Without taking a position on the outcome of the appeal, the Attorney General of Alberta intervenes in support of the interpretation advanced by the respondent. The intervener submits that Parliament’s silence with respect to the possibility of granting credit cannot negate its clear intent to impose a mandatory </w:t>
      </w:r>
      <w:r w:rsidRPr="00E00EBC">
        <w:rPr>
          <w:rFonts w:cs="Times New Roman"/>
          <w:lang w:val="en-CA"/>
        </w:rPr>
        <w:lastRenderedPageBreak/>
        <w:t xml:space="preserve">minimum commencing on the day the offender is sentenced. The Attorney General says that </w:t>
      </w:r>
      <w:r w:rsidRPr="00E00EBC">
        <w:rPr>
          <w:rFonts w:cs="Times New Roman"/>
          <w:i/>
          <w:lang w:val="en-CA"/>
        </w:rPr>
        <w:t>Lacasse</w:t>
      </w:r>
      <w:r w:rsidRPr="00E00EBC">
        <w:rPr>
          <w:rFonts w:cs="Times New Roman"/>
          <w:lang w:val="en-CA"/>
        </w:rPr>
        <w:t xml:space="preserve"> is of no assistance in this case because it did not concern a mandatory minimum.</w:t>
      </w:r>
    </w:p>
    <w:p w14:paraId="2883B3F5" w14:textId="77777777" w:rsidR="00746949" w:rsidRPr="00E00EBC" w:rsidRDefault="00746949" w:rsidP="00746949">
      <w:pPr>
        <w:pStyle w:val="Title2LevelTitre2Niveau"/>
        <w:numPr>
          <w:ilvl w:val="1"/>
          <w:numId w:val="10"/>
        </w:numPr>
        <w:spacing w:before="0"/>
        <w:rPr>
          <w:rFonts w:cs="Times New Roman"/>
        </w:rPr>
      </w:pPr>
      <w:bookmarkStart w:id="49" w:name="_Toc123734882"/>
      <w:bookmarkStart w:id="50" w:name="_Toc123830844"/>
      <w:bookmarkStart w:id="51" w:name="_Toc124075278"/>
      <w:bookmarkStart w:id="52" w:name="_Toc124075334"/>
      <w:r w:rsidRPr="00E00EBC">
        <w:rPr>
          <w:rFonts w:cs="Times New Roman"/>
        </w:rPr>
        <w:t>Analytical Framework: Coexistence of the Common Law and Legislation</w:t>
      </w:r>
      <w:bookmarkEnd w:id="46"/>
      <w:bookmarkEnd w:id="49"/>
      <w:bookmarkEnd w:id="50"/>
      <w:bookmarkEnd w:id="51"/>
      <w:bookmarkEnd w:id="52"/>
      <w:r w:rsidRPr="00E00EBC">
        <w:rPr>
          <w:rFonts w:cs="Times New Roman"/>
        </w:rPr>
        <w:t xml:space="preserve"> in Matters of Sentencing</w:t>
      </w:r>
    </w:p>
    <w:p w14:paraId="5F9B840F" w14:textId="77777777" w:rsidR="00746949" w:rsidRPr="00E00EBC" w:rsidRDefault="00746949" w:rsidP="00746949">
      <w:pPr>
        <w:pStyle w:val="ParaNoNdepar-AltN"/>
        <w:tabs>
          <w:tab w:val="clear" w:pos="1152"/>
          <w:tab w:val="left" w:pos="1166"/>
        </w:tabs>
        <w:spacing w:before="0"/>
        <w:rPr>
          <w:rFonts w:cs="Times New Roman"/>
          <w:lang w:val="en-CA"/>
        </w:rPr>
      </w:pPr>
      <w:r w:rsidRPr="00E00EBC">
        <w:rPr>
          <w:rFonts w:cs="Times New Roman"/>
          <w:lang w:val="en-CA"/>
        </w:rPr>
        <w:t>Both parties agree that sentencing judges have a discretion to grant credit for a pre</w:t>
      </w:r>
      <w:r w:rsidRPr="00E00EBC">
        <w:rPr>
          <w:rFonts w:cs="Times New Roman"/>
          <w:lang w:val="en-CA"/>
        </w:rPr>
        <w:noBreakHyphen/>
        <w:t xml:space="preserve">sentence driving prohibition period. However, contrary to the appellant, the Crown argues that Parliament limited or displaced this common law discretion when it enacted the mandatory minimum set out in s. 259(1)(a) </w:t>
      </w:r>
      <w:r w:rsidRPr="00E00EBC">
        <w:rPr>
          <w:rFonts w:cs="Times New Roman"/>
          <w:i/>
          <w:lang w:val="en-CA"/>
        </w:rPr>
        <w:t>Cr. C.</w:t>
      </w:r>
      <w:r w:rsidRPr="00E00EBC">
        <w:rPr>
          <w:rFonts w:cs="Times New Roman"/>
          <w:lang w:val="en-CA"/>
        </w:rPr>
        <w:t xml:space="preserve"> This appeal therefore raises the question of whether, as the appellant maintains, the common law rule can coexist in harmony with the mandatory minimum laid down by the </w:t>
      </w:r>
      <w:r w:rsidRPr="00E00EBC">
        <w:rPr>
          <w:rFonts w:cs="Times New Roman"/>
          <w:i/>
          <w:lang w:val="en-CA"/>
        </w:rPr>
        <w:t>Criminal Code</w:t>
      </w:r>
      <w:r w:rsidRPr="00E00EBC">
        <w:rPr>
          <w:rFonts w:cs="Times New Roman"/>
          <w:lang w:val="en-CA"/>
        </w:rPr>
        <w:t>.</w:t>
      </w:r>
    </w:p>
    <w:p w14:paraId="6C262D48" w14:textId="77777777" w:rsidR="00746949" w:rsidRPr="00E00EBC" w:rsidRDefault="00746949" w:rsidP="00746949">
      <w:pPr>
        <w:pStyle w:val="ParaNoNdepar-AltN"/>
        <w:spacing w:before="0"/>
        <w:rPr>
          <w:rFonts w:cs="Times New Roman"/>
          <w:lang w:val="en-CA"/>
        </w:rPr>
      </w:pPr>
      <w:r w:rsidRPr="00E00EBC">
        <w:rPr>
          <w:rFonts w:cs="Times New Roman"/>
          <w:lang w:val="en-CA"/>
        </w:rPr>
        <w:t xml:space="preserve">This question requires the Court to consider the </w:t>
      </w:r>
      <w:proofErr w:type="gramStart"/>
      <w:r w:rsidRPr="00E00EBC">
        <w:rPr>
          <w:rFonts w:cs="Times New Roman"/>
          <w:lang w:val="en-CA"/>
        </w:rPr>
        <w:t>sometimes complex</w:t>
      </w:r>
      <w:proofErr w:type="gramEnd"/>
      <w:r w:rsidRPr="00E00EBC">
        <w:rPr>
          <w:rFonts w:cs="Times New Roman"/>
          <w:lang w:val="en-CA"/>
        </w:rPr>
        <w:t xml:space="preserve"> interactions that characterize the relationship between the common law and legislation. While legislation may prevail over the common law, the latter remains applicable insofar as it has not been displaced expressly or by necessary implication, a principle often justified by the importance of “stability in the law” (</w:t>
      </w:r>
      <w:r w:rsidRPr="00E00EBC">
        <w:rPr>
          <w:rFonts w:cs="Times New Roman"/>
          <w:i/>
          <w:lang w:val="en-CA"/>
        </w:rPr>
        <w:t>R. v. D.L.W.</w:t>
      </w:r>
      <w:r w:rsidRPr="00E00EBC">
        <w:rPr>
          <w:rFonts w:cs="Times New Roman"/>
          <w:lang w:val="en-CA"/>
        </w:rPr>
        <w:t xml:space="preserve">, 2016 SCC 22, [2016] 1 S.C.R. 402, at para. 21, per Cromwell J.). In </w:t>
      </w:r>
      <w:r w:rsidRPr="00E00EBC">
        <w:rPr>
          <w:rFonts w:cs="Times New Roman"/>
          <w:i/>
          <w:lang w:val="en-CA" w:bidi="en-US"/>
        </w:rPr>
        <w:t>Lizotte</w:t>
      </w:r>
      <w:r w:rsidRPr="00E00EBC">
        <w:rPr>
          <w:rFonts w:cs="Times New Roman"/>
          <w:lang w:val="en-CA" w:bidi="en-US"/>
        </w:rPr>
        <w:t xml:space="preserve">, </w:t>
      </w:r>
      <w:r w:rsidRPr="00E00EBC">
        <w:rPr>
          <w:rFonts w:cs="Times New Roman"/>
          <w:lang w:val="en-CA"/>
        </w:rPr>
        <w:t>Gascon J., writing for a unanimous Court, reiterated the general principle that applies to legislative departures from common law rules: “This Court has held that it must be presumed that a legislature does not intend to change existing common law rules in the absence of a clear provision to that effect . . .” (</w:t>
      </w:r>
      <w:r w:rsidRPr="00E00EBC">
        <w:rPr>
          <w:rFonts w:cs="Times New Roman"/>
          <w:lang w:val="en-CA" w:bidi="en-US"/>
        </w:rPr>
        <w:t>para. 56)</w:t>
      </w:r>
      <w:r w:rsidRPr="00E00EBC">
        <w:rPr>
          <w:rFonts w:cs="Times New Roman"/>
          <w:lang w:val="en-CA"/>
        </w:rPr>
        <w:t xml:space="preserve">. Professor Ruth Sullivan has written that this presumption </w:t>
      </w:r>
      <w:r w:rsidRPr="00E00EBC">
        <w:rPr>
          <w:rFonts w:cs="Times New Roman"/>
          <w:lang w:val="en-CA"/>
        </w:rPr>
        <w:lastRenderedPageBreak/>
        <w:t>“</w:t>
      </w:r>
      <w:r w:rsidRPr="00E00EBC">
        <w:rPr>
          <w:rFonts w:cs="Times New Roman"/>
          <w:lang w:val="en-CA" w:bidi="en-US"/>
        </w:rPr>
        <w:t>permits courts to insist on precise and explicit direction from the legislature before accepting any change. The common law is thus shielded from unclear or inadvertent legislative encroachment” (</w:t>
      </w:r>
      <w:r w:rsidRPr="00E00EBC">
        <w:rPr>
          <w:rFonts w:cs="Times New Roman"/>
          <w:i/>
          <w:lang w:val="en-CA" w:bidi="en-US"/>
        </w:rPr>
        <w:t>The Construction of Statutes</w:t>
      </w:r>
      <w:r w:rsidRPr="00E00EBC">
        <w:rPr>
          <w:rFonts w:cs="Times New Roman"/>
          <w:lang w:val="en-CA" w:bidi="en-US"/>
        </w:rPr>
        <w:t xml:space="preserve"> (7th ed. 2022), at § 17.</w:t>
      </w:r>
      <w:proofErr w:type="gramStart"/>
      <w:r w:rsidRPr="00E00EBC">
        <w:rPr>
          <w:rFonts w:cs="Times New Roman"/>
          <w:lang w:val="en-CA" w:bidi="en-US"/>
        </w:rPr>
        <w:t>01.Pt</w:t>
      </w:r>
      <w:proofErr w:type="gramEnd"/>
      <w:r w:rsidRPr="00E00EBC">
        <w:rPr>
          <w:rFonts w:cs="Times New Roman"/>
          <w:lang w:val="en-CA" w:bidi="en-US"/>
        </w:rPr>
        <w:t xml:space="preserve">1[2]; see also </w:t>
      </w:r>
      <w:r w:rsidRPr="00E00EBC">
        <w:rPr>
          <w:rFonts w:cs="Times New Roman"/>
          <w:lang w:val="en-CA"/>
        </w:rPr>
        <w:t>P.</w:t>
      </w:r>
      <w:r w:rsidRPr="00E00EBC">
        <w:rPr>
          <w:rFonts w:cs="Times New Roman"/>
          <w:lang w:val="en-CA"/>
        </w:rPr>
        <w:noBreakHyphen/>
        <w:t xml:space="preserve">A. Côté and M. Devinat, </w:t>
      </w:r>
      <w:r w:rsidRPr="00E00EBC">
        <w:rPr>
          <w:rFonts w:cs="Times New Roman"/>
          <w:i/>
          <w:lang w:val="en-CA"/>
        </w:rPr>
        <w:t>Interprétation des lois</w:t>
      </w:r>
      <w:r w:rsidRPr="00E00EBC">
        <w:rPr>
          <w:rFonts w:cs="Times New Roman"/>
          <w:lang w:val="en-CA"/>
        </w:rPr>
        <w:t xml:space="preserve"> (5th ed. 2021), at Nos. 180</w:t>
      </w:r>
      <w:r w:rsidRPr="00E00EBC">
        <w:rPr>
          <w:rFonts w:cs="Times New Roman"/>
          <w:lang w:val="en-CA"/>
        </w:rPr>
        <w:noBreakHyphen/>
        <w:t>92).</w:t>
      </w:r>
    </w:p>
    <w:p w14:paraId="0FA40A56" w14:textId="77777777" w:rsidR="00746949" w:rsidRPr="00E00EBC" w:rsidRDefault="00746949" w:rsidP="00746949">
      <w:pPr>
        <w:pStyle w:val="ParaNoNdepar-AltN"/>
        <w:spacing w:before="0"/>
        <w:rPr>
          <w:rFonts w:cs="Times New Roman"/>
          <w:lang w:val="en-CA"/>
        </w:rPr>
      </w:pPr>
      <w:r w:rsidRPr="00E00EBC">
        <w:rPr>
          <w:rFonts w:cs="Times New Roman"/>
          <w:lang w:val="en-CA"/>
        </w:rPr>
        <w:t xml:space="preserve">Canadian criminal law is made up of both statute law and common law principles (M. Vauclair and T. Desjardins, in collaboration with P. Lachance, </w:t>
      </w:r>
      <w:r w:rsidRPr="00E00EBC">
        <w:rPr>
          <w:rFonts w:cs="Times New Roman"/>
          <w:i/>
          <w:lang w:val="en-CA"/>
        </w:rPr>
        <w:t>Traité général de preuve et de procédure pénales 2022</w:t>
      </w:r>
      <w:r w:rsidRPr="00E00EBC">
        <w:rPr>
          <w:rFonts w:cs="Times New Roman"/>
          <w:lang w:val="en-CA"/>
        </w:rPr>
        <w:t xml:space="preserve"> (29th ed. 2022), at Nos. 1.17</w:t>
      </w:r>
      <w:r w:rsidRPr="00E00EBC">
        <w:rPr>
          <w:rFonts w:cs="Times New Roman"/>
          <w:lang w:val="en-CA"/>
        </w:rPr>
        <w:noBreakHyphen/>
        <w:t xml:space="preserve">1.24, citing, among others, </w:t>
      </w:r>
      <w:r w:rsidRPr="00E00EBC">
        <w:rPr>
          <w:rFonts w:cs="Times New Roman"/>
          <w:i/>
          <w:lang w:val="en-CA"/>
        </w:rPr>
        <w:t>D.L.W.</w:t>
      </w:r>
      <w:r w:rsidRPr="00E00EBC">
        <w:rPr>
          <w:rFonts w:cs="Times New Roman"/>
          <w:lang w:val="en-CA"/>
        </w:rPr>
        <w:t>, at paras. 3, 15 and 57</w:t>
      </w:r>
      <w:r w:rsidRPr="00E00EBC">
        <w:rPr>
          <w:rFonts w:cs="Times New Roman"/>
          <w:lang w:val="en-CA"/>
        </w:rPr>
        <w:noBreakHyphen/>
        <w:t xml:space="preserve">59). The enactment of a criminal code in this country in 1892 did not have the effect of systematically displacing the common law as a source of law (D. H. Brown, </w:t>
      </w:r>
      <w:r w:rsidRPr="00E00EBC">
        <w:rPr>
          <w:rFonts w:cs="Times New Roman"/>
          <w:i/>
          <w:lang w:val="en-CA"/>
        </w:rPr>
        <w:t>The Genesis of the Canadian Criminal Code of 1892</w:t>
      </w:r>
      <w:r w:rsidRPr="00E00EBC">
        <w:rPr>
          <w:rFonts w:cs="Times New Roman"/>
          <w:lang w:val="en-CA"/>
        </w:rPr>
        <w:t xml:space="preserve"> (1989), at p. 126; G. H. Crouse, “A Critique of Canadian Criminal Legislation: Part One” (1934), 12 </w:t>
      </w:r>
      <w:r w:rsidRPr="00E00EBC">
        <w:rPr>
          <w:rFonts w:cs="Times New Roman"/>
          <w:i/>
          <w:lang w:val="en-CA"/>
        </w:rPr>
        <w:t>Can. Bar Rev.</w:t>
      </w:r>
      <w:r w:rsidRPr="00E00EBC">
        <w:rPr>
          <w:rFonts w:cs="Times New Roman"/>
          <w:lang w:val="en-CA"/>
        </w:rPr>
        <w:t xml:space="preserve"> 545, at p. 565: “One fundamental principle of the Canadian Codification is that the common law is not superseded.”). Today, the </w:t>
      </w:r>
      <w:r w:rsidRPr="00E00EBC">
        <w:rPr>
          <w:rFonts w:cs="Times New Roman"/>
          <w:i/>
          <w:lang w:val="en-CA"/>
        </w:rPr>
        <w:t>Criminal Code</w:t>
      </w:r>
      <w:r w:rsidRPr="00E00EBC">
        <w:rPr>
          <w:rFonts w:cs="Times New Roman"/>
          <w:lang w:val="en-CA"/>
        </w:rPr>
        <w:t xml:space="preserve"> provides that, </w:t>
      </w:r>
      <w:proofErr w:type="gramStart"/>
      <w:r w:rsidRPr="00E00EBC">
        <w:rPr>
          <w:rFonts w:cs="Times New Roman"/>
          <w:lang w:val="en-CA"/>
        </w:rPr>
        <w:t>as a general rule</w:t>
      </w:r>
      <w:proofErr w:type="gramEnd"/>
      <w:r w:rsidRPr="00E00EBC">
        <w:rPr>
          <w:rFonts w:cs="Times New Roman"/>
          <w:lang w:val="en-CA"/>
        </w:rPr>
        <w:t xml:space="preserve">, the common law is no longer a source of offences in Canada (s. 9(a)). It states, however, that common law defences continue in force except insofar as they are altered by statute (s. 8(3); </w:t>
      </w:r>
      <w:r w:rsidRPr="00E00EBC">
        <w:rPr>
          <w:rFonts w:cs="Times New Roman"/>
          <w:i/>
          <w:lang w:val="en-CA"/>
        </w:rPr>
        <w:t>R. v. Tim</w:t>
      </w:r>
      <w:r w:rsidRPr="00E00EBC">
        <w:rPr>
          <w:rFonts w:cs="Times New Roman"/>
          <w:lang w:val="en-CA"/>
        </w:rPr>
        <w:t xml:space="preserve">, 2022 SCC 12, at para. 27; see also J. Fortin and L. Viau, </w:t>
      </w:r>
      <w:r w:rsidRPr="00E00EBC">
        <w:rPr>
          <w:rFonts w:cs="Times New Roman"/>
          <w:i/>
          <w:lang w:val="en-CA"/>
        </w:rPr>
        <w:t>Traité de droit pénal général</w:t>
      </w:r>
      <w:r w:rsidRPr="00E00EBC">
        <w:rPr>
          <w:rFonts w:cs="Times New Roman"/>
          <w:lang w:val="en-CA"/>
        </w:rPr>
        <w:t xml:space="preserve"> (1982), at p. 18). As Vauclair and Desjardins explain, reference may be made to the common law to interpret</w:t>
      </w:r>
      <w:r w:rsidRPr="00E00EBC">
        <w:rPr>
          <w:rFonts w:cs="Times New Roman"/>
          <w:i/>
          <w:lang w:val="en-CA"/>
        </w:rPr>
        <w:t xml:space="preserve"> </w:t>
      </w:r>
      <w:r w:rsidRPr="00E00EBC">
        <w:rPr>
          <w:rFonts w:cs="Times New Roman"/>
          <w:lang w:val="en-CA"/>
        </w:rPr>
        <w:t xml:space="preserve">a criminal provision codifying a common law offence (No. 3.20, citing </w:t>
      </w:r>
      <w:r w:rsidRPr="00E00EBC">
        <w:rPr>
          <w:rFonts w:cs="Times New Roman"/>
          <w:i/>
          <w:lang w:val="en-CA"/>
        </w:rPr>
        <w:t>R. v. Jobidon</w:t>
      </w:r>
      <w:r w:rsidRPr="00E00EBC">
        <w:rPr>
          <w:rFonts w:cs="Times New Roman"/>
          <w:lang w:val="en-CA"/>
        </w:rPr>
        <w:t>, [1991] 2 S.C.R. 714).</w:t>
      </w:r>
    </w:p>
    <w:p w14:paraId="232D3D5E" w14:textId="77777777" w:rsidR="00746949" w:rsidRPr="00E00EBC" w:rsidRDefault="00746949" w:rsidP="00746949">
      <w:pPr>
        <w:pStyle w:val="ParaNoNdepar-AltN"/>
        <w:spacing w:before="0"/>
        <w:rPr>
          <w:rFonts w:cs="Times New Roman"/>
          <w:lang w:val="en-CA"/>
        </w:rPr>
      </w:pPr>
      <w:r w:rsidRPr="00E00EBC">
        <w:rPr>
          <w:rFonts w:cs="Times New Roman"/>
          <w:lang w:val="en-CA"/>
        </w:rPr>
        <w:lastRenderedPageBreak/>
        <w:t xml:space="preserve">This coexistence of statute and common law is a feature of the law of sentencing (see Canadian Sentencing Commission, </w:t>
      </w:r>
      <w:r w:rsidRPr="00E00EBC">
        <w:rPr>
          <w:rFonts w:cs="Times New Roman"/>
          <w:i/>
          <w:lang w:val="en-CA"/>
        </w:rPr>
        <w:t>Sentencing Structure in Canada: Historical Perspectives</w:t>
      </w:r>
      <w:r w:rsidRPr="00E00EBC">
        <w:rPr>
          <w:rFonts w:cs="Times New Roman"/>
          <w:lang w:val="en-CA"/>
        </w:rPr>
        <w:t xml:space="preserve"> (1988), at p. 35). While Part XXIII of the </w:t>
      </w:r>
      <w:r w:rsidRPr="00E00EBC">
        <w:rPr>
          <w:rFonts w:cs="Times New Roman"/>
          <w:i/>
          <w:lang w:val="en-CA"/>
        </w:rPr>
        <w:t xml:space="preserve">Criminal Code </w:t>
      </w:r>
      <w:r w:rsidRPr="00E00EBC">
        <w:rPr>
          <w:rFonts w:cs="Times New Roman"/>
          <w:lang w:val="en-CA"/>
        </w:rPr>
        <w:t>codifies “the fundamental . . . principles of sentencing” (</w:t>
      </w:r>
      <w:r w:rsidRPr="00E00EBC">
        <w:rPr>
          <w:rFonts w:cs="Times New Roman"/>
          <w:i/>
          <w:iCs/>
          <w:lang w:val="en-CA"/>
        </w:rPr>
        <w:t>R. v. Gladue</w:t>
      </w:r>
      <w:r w:rsidRPr="00E00EBC">
        <w:rPr>
          <w:rFonts w:cs="Times New Roman"/>
          <w:lang w:val="en-CA"/>
        </w:rPr>
        <w:t xml:space="preserve">, [1999] 1 S.C.R. 688, at para. 1), courts can also take account of “other principles and factors arising from the common law” (D. Rose, </w:t>
      </w:r>
      <w:r w:rsidRPr="00E00EBC">
        <w:rPr>
          <w:rFonts w:cs="Times New Roman"/>
          <w:i/>
          <w:iCs/>
          <w:lang w:val="en-CA"/>
        </w:rPr>
        <w:t>Quigley’s Criminal Procedure in Canada</w:t>
      </w:r>
      <w:r w:rsidRPr="00E00EBC">
        <w:rPr>
          <w:rFonts w:cs="Times New Roman"/>
          <w:lang w:val="en-CA"/>
        </w:rPr>
        <w:t xml:space="preserve"> (loose</w:t>
      </w:r>
      <w:r w:rsidRPr="00E00EBC">
        <w:rPr>
          <w:rFonts w:cs="Times New Roman"/>
          <w:lang w:val="en-CA"/>
        </w:rPr>
        <w:noBreakHyphen/>
        <w:t xml:space="preserve">leaf), at § 23:6). Legislation also prevails over the common law in this area if Parliament displaces it expressly or by necessary implication (see, e.g., </w:t>
      </w:r>
      <w:r w:rsidRPr="00E00EBC">
        <w:rPr>
          <w:rFonts w:cs="Times New Roman"/>
          <w:i/>
          <w:lang w:val="en-CA"/>
        </w:rPr>
        <w:t>R. v. Skolnick</w:t>
      </w:r>
      <w:r w:rsidRPr="00E00EBC">
        <w:rPr>
          <w:rFonts w:cs="Times New Roman"/>
          <w:lang w:val="en-CA"/>
        </w:rPr>
        <w:t>, [1982] 2 S.C.R. 47, at p. 58).</w:t>
      </w:r>
    </w:p>
    <w:p w14:paraId="1997F480" w14:textId="77777777" w:rsidR="00746949" w:rsidRPr="00E00EBC" w:rsidRDefault="00746949" w:rsidP="00746949">
      <w:pPr>
        <w:pStyle w:val="ParaNoNdepar-AltN"/>
        <w:spacing w:before="0"/>
        <w:rPr>
          <w:rFonts w:cs="Times New Roman"/>
          <w:lang w:val="en-CA"/>
        </w:rPr>
      </w:pPr>
      <w:r w:rsidRPr="00E00EBC">
        <w:rPr>
          <w:rFonts w:cs="Times New Roman"/>
          <w:lang w:val="en-CA"/>
        </w:rPr>
        <w:t xml:space="preserve">In </w:t>
      </w:r>
      <w:r w:rsidRPr="00E00EBC">
        <w:rPr>
          <w:rFonts w:cs="Times New Roman"/>
          <w:i/>
          <w:lang w:val="en-CA"/>
        </w:rPr>
        <w:t>Lacasse</w:t>
      </w:r>
      <w:r w:rsidRPr="00E00EBC">
        <w:rPr>
          <w:rFonts w:cs="Times New Roman"/>
          <w:lang w:val="en-CA"/>
        </w:rPr>
        <w:t>, this Court reiterated that courts must take account of a pre</w:t>
      </w:r>
      <w:r w:rsidRPr="00E00EBC">
        <w:rPr>
          <w:rFonts w:cs="Times New Roman"/>
          <w:lang w:val="en-CA"/>
        </w:rPr>
        <w:noBreakHyphen/>
        <w:t>sentence driving prohibition period in exercising their discretion to give credit (paras. 111</w:t>
      </w:r>
      <w:r w:rsidRPr="00E00EBC">
        <w:rPr>
          <w:rFonts w:cs="Times New Roman"/>
          <w:lang w:val="en-CA"/>
        </w:rPr>
        <w:noBreakHyphen/>
        <w:t>14, per Wagner J.; see also paras. 176</w:t>
      </w:r>
      <w:r w:rsidRPr="00E00EBC">
        <w:rPr>
          <w:rFonts w:cs="Times New Roman"/>
          <w:lang w:val="en-CA"/>
        </w:rPr>
        <w:noBreakHyphen/>
        <w:t xml:space="preserve">78, per Gascon J., dissenting, but not on this point). It is true that </w:t>
      </w:r>
      <w:r w:rsidRPr="00E00EBC">
        <w:rPr>
          <w:rFonts w:cs="Times New Roman"/>
          <w:i/>
          <w:lang w:val="en-CA"/>
        </w:rPr>
        <w:t>Lacasse</w:t>
      </w:r>
      <w:r w:rsidRPr="00E00EBC">
        <w:rPr>
          <w:rFonts w:cs="Times New Roman"/>
          <w:lang w:val="en-CA"/>
        </w:rPr>
        <w:t xml:space="preserve"> did not concern a mandatory minimum and that, under s. 259(</w:t>
      </w:r>
      <w:proofErr w:type="gramStart"/>
      <w:r w:rsidRPr="00E00EBC">
        <w:rPr>
          <w:rFonts w:cs="Times New Roman"/>
          <w:lang w:val="en-CA"/>
        </w:rPr>
        <w:t>2)(</w:t>
      </w:r>
      <w:proofErr w:type="gramEnd"/>
      <w:r w:rsidRPr="00E00EBC">
        <w:rPr>
          <w:rFonts w:cs="Times New Roman"/>
          <w:lang w:val="en-CA"/>
        </w:rPr>
        <w:t xml:space="preserve">a.1) </w:t>
      </w:r>
      <w:r w:rsidRPr="00E00EBC">
        <w:rPr>
          <w:rFonts w:cs="Times New Roman"/>
          <w:i/>
          <w:lang w:val="en-CA"/>
        </w:rPr>
        <w:t>Cr. C.</w:t>
      </w:r>
      <w:r w:rsidRPr="00E00EBC">
        <w:rPr>
          <w:rFonts w:cs="Times New Roman"/>
          <w:lang w:val="en-CA"/>
        </w:rPr>
        <w:t>, the sentence had begun at the end of the offender’s incarceration. However, the judgment can guide us in this case, with the necessary modifications.</w:t>
      </w:r>
    </w:p>
    <w:p w14:paraId="758B9290" w14:textId="77777777" w:rsidR="00746949" w:rsidRPr="00E00EBC" w:rsidRDefault="00746949" w:rsidP="00746949">
      <w:pPr>
        <w:pStyle w:val="ParaNoNdepar-AltN"/>
        <w:spacing w:before="0"/>
        <w:rPr>
          <w:rFonts w:cs="Times New Roman"/>
          <w:lang w:val="en-CA"/>
        </w:rPr>
      </w:pPr>
      <w:r w:rsidRPr="00E00EBC">
        <w:rPr>
          <w:rFonts w:cs="Times New Roman"/>
          <w:lang w:val="en-CA"/>
        </w:rPr>
        <w:t>The granting of such credit is anchored in the common law; it is one example, in the context of a driving prohibition, of what Arbour J. called the “</w:t>
      </w:r>
      <w:r w:rsidRPr="00E00EBC">
        <w:rPr>
          <w:rFonts w:cs="Times New Roman"/>
          <w:szCs w:val="24"/>
          <w:lang w:val="en-CA"/>
        </w:rPr>
        <w:t>well</w:t>
      </w:r>
      <w:r w:rsidRPr="00E00EBC">
        <w:rPr>
          <w:rFonts w:cs="Times New Roman"/>
          <w:szCs w:val="24"/>
          <w:lang w:val="en-CA"/>
        </w:rPr>
        <w:noBreakHyphen/>
        <w:t>established practice of sentencing judges [giving] credit for time served”</w:t>
      </w:r>
      <w:r w:rsidRPr="00E00EBC">
        <w:rPr>
          <w:rFonts w:cs="Times New Roman"/>
          <w:lang w:val="en-CA"/>
        </w:rPr>
        <w:t xml:space="preserve"> (</w:t>
      </w:r>
      <w:r w:rsidRPr="00E00EBC">
        <w:rPr>
          <w:rFonts w:cs="Times New Roman"/>
          <w:i/>
          <w:lang w:val="en-CA"/>
        </w:rPr>
        <w:t>Wust</w:t>
      </w:r>
      <w:r w:rsidRPr="00E00EBC">
        <w:rPr>
          <w:rFonts w:cs="Times New Roman"/>
          <w:lang w:val="en-CA"/>
        </w:rPr>
        <w:t xml:space="preserve">, at para. 31). In the words of Paciocco J., as he then was, this rule is part of the “central principles of sentencing not statutorily expressed but still vibrant as ‘general principles </w:t>
      </w:r>
      <w:r w:rsidRPr="00E00EBC">
        <w:rPr>
          <w:rFonts w:cs="Times New Roman"/>
          <w:lang w:val="en-CA"/>
        </w:rPr>
        <w:lastRenderedPageBreak/>
        <w:t>of sentencing’” (</w:t>
      </w:r>
      <w:r w:rsidRPr="00E00EBC">
        <w:rPr>
          <w:rFonts w:cs="Times New Roman"/>
          <w:i/>
          <w:lang w:val="en-CA"/>
        </w:rPr>
        <w:t>R. v. Pham</w:t>
      </w:r>
      <w:r w:rsidRPr="00E00EBC">
        <w:rPr>
          <w:rFonts w:cs="Times New Roman"/>
          <w:lang w:val="en-CA"/>
        </w:rPr>
        <w:t xml:space="preserve">, 2013 ONCJ 635, 296 C.R.R. (2d) 178, at para. 18). As Wagner J. later noted in </w:t>
      </w:r>
      <w:r w:rsidRPr="00E00EBC">
        <w:rPr>
          <w:rFonts w:cs="Times New Roman"/>
          <w:i/>
          <w:lang w:val="en-CA"/>
        </w:rPr>
        <w:t>Lacasse</w:t>
      </w:r>
      <w:r w:rsidRPr="00E00EBC">
        <w:rPr>
          <w:rFonts w:cs="Times New Roman"/>
          <w:lang w:val="en-CA"/>
        </w:rPr>
        <w:t xml:space="preserve">, this principle has not been codified. Although s. 719(3) </w:t>
      </w:r>
      <w:r w:rsidRPr="00E00EBC">
        <w:rPr>
          <w:rFonts w:cs="Times New Roman"/>
          <w:i/>
          <w:lang w:val="en-CA"/>
        </w:rPr>
        <w:t>Cr. C.</w:t>
      </w:r>
      <w:r w:rsidRPr="00E00EBC">
        <w:rPr>
          <w:rFonts w:cs="Times New Roman"/>
          <w:lang w:val="en-CA"/>
        </w:rPr>
        <w:t xml:space="preserve"> does codify the principle that credit can be granted in the case of pre</w:t>
      </w:r>
      <w:r w:rsidRPr="00E00EBC">
        <w:rPr>
          <w:rFonts w:cs="Times New Roman"/>
          <w:lang w:val="en-CA"/>
        </w:rPr>
        <w:noBreakHyphen/>
        <w:t>sentence custody, that provision has no statutory equivalent relating to pre</w:t>
      </w:r>
      <w:r w:rsidRPr="00E00EBC">
        <w:rPr>
          <w:rFonts w:cs="Times New Roman"/>
          <w:lang w:val="en-CA"/>
        </w:rPr>
        <w:noBreakHyphen/>
        <w:t xml:space="preserve">sentence driving prohibitions. The respondent takes the position here that the principle to which the Court referred in </w:t>
      </w:r>
      <w:r w:rsidRPr="00E00EBC">
        <w:rPr>
          <w:rFonts w:cs="Times New Roman"/>
          <w:i/>
          <w:lang w:val="en-CA"/>
        </w:rPr>
        <w:t xml:space="preserve">Lacasse </w:t>
      </w:r>
      <w:r w:rsidRPr="00E00EBC">
        <w:rPr>
          <w:rFonts w:cs="Times New Roman"/>
          <w:lang w:val="en-CA"/>
        </w:rPr>
        <w:t>was displaced by Parliament’s enactment of the mandatory minimum, a consideration that did not arise on the facts of that case.</w:t>
      </w:r>
    </w:p>
    <w:p w14:paraId="068283C5" w14:textId="77777777" w:rsidR="00746949" w:rsidRPr="00E00EBC" w:rsidRDefault="00746949" w:rsidP="00746949">
      <w:pPr>
        <w:pStyle w:val="ParaNoNdepar-AltN"/>
        <w:spacing w:before="0"/>
        <w:rPr>
          <w:rFonts w:cs="Times New Roman"/>
          <w:lang w:val="en-CA"/>
        </w:rPr>
      </w:pPr>
      <w:r w:rsidRPr="00E00EBC">
        <w:rPr>
          <w:rFonts w:cs="Times New Roman"/>
          <w:lang w:val="en-CA"/>
        </w:rPr>
        <w:t>The interaction between legislation and the common law in matters of sentencing and punishment is therefore at the heart of this appeal. The two</w:t>
      </w:r>
      <w:r w:rsidRPr="00E00EBC">
        <w:rPr>
          <w:rFonts w:cs="Times New Roman"/>
          <w:lang w:val="en-CA"/>
        </w:rPr>
        <w:noBreakHyphen/>
        <w:t>step framework used to analyze this interaction is well settled. The first step is “analysing, identifying and setting out the applicable common law”; and then,</w:t>
      </w:r>
      <w:r w:rsidRPr="00E00EBC">
        <w:rPr>
          <w:rFonts w:cs="Times New Roman"/>
          <w:szCs w:val="24"/>
          <w:lang w:val="en-CA"/>
        </w:rPr>
        <w:t xml:space="preserve"> at the second step, “the statute law’s effect on the common law must be specified” </w:t>
      </w:r>
      <w:r w:rsidRPr="00E00EBC">
        <w:rPr>
          <w:rFonts w:cs="Times New Roman"/>
          <w:lang w:val="en-CA"/>
        </w:rPr>
        <w:t>(</w:t>
      </w:r>
      <w:r w:rsidRPr="00E00EBC">
        <w:rPr>
          <w:rFonts w:cs="Times New Roman"/>
          <w:i/>
          <w:lang w:val="en-CA"/>
        </w:rPr>
        <w:t>2747</w:t>
      </w:r>
      <w:r w:rsidRPr="00E00EBC">
        <w:rPr>
          <w:rFonts w:cs="Times New Roman"/>
          <w:i/>
          <w:lang w:val="en-CA"/>
        </w:rPr>
        <w:noBreakHyphen/>
        <w:t>3174 Québec Inc. v. Quebec (Régie des permis d’alcool)</w:t>
      </w:r>
      <w:r w:rsidRPr="00E00EBC">
        <w:rPr>
          <w:rFonts w:cs="Times New Roman"/>
          <w:lang w:val="en-CA"/>
        </w:rPr>
        <w:t>, [1996] 3 S.C.R. 919, at para. 97, per L’Heureux</w:t>
      </w:r>
      <w:r w:rsidRPr="00E00EBC">
        <w:rPr>
          <w:rFonts w:cs="Times New Roman"/>
          <w:lang w:val="en-CA"/>
        </w:rPr>
        <w:noBreakHyphen/>
        <w:t xml:space="preserve">Dubé J., citing </w:t>
      </w:r>
      <w:r w:rsidRPr="00E00EBC">
        <w:rPr>
          <w:rFonts w:cs="Times New Roman"/>
          <w:i/>
          <w:iCs/>
          <w:lang w:val="en-CA"/>
        </w:rPr>
        <w:t>Zaidan Group Ltd. v. London (City)</w:t>
      </w:r>
      <w:r w:rsidRPr="00E00EBC">
        <w:rPr>
          <w:rFonts w:cs="Times New Roman"/>
          <w:lang w:val="en-CA"/>
        </w:rPr>
        <w:t xml:space="preserve">, [1991] 3 S.C.R. 593, and </w:t>
      </w:r>
      <w:r w:rsidRPr="00E00EBC">
        <w:rPr>
          <w:rFonts w:cs="Times New Roman"/>
          <w:i/>
          <w:iCs/>
          <w:lang w:val="en-CA"/>
        </w:rPr>
        <w:t>Frame v. Smith</w:t>
      </w:r>
      <w:r w:rsidRPr="00E00EBC">
        <w:rPr>
          <w:rFonts w:cs="Times New Roman"/>
          <w:lang w:val="en-CA"/>
        </w:rPr>
        <w:t xml:space="preserve">, [1987] 2 S.C.R. 99; see also </w:t>
      </w:r>
      <w:r w:rsidRPr="00E00EBC">
        <w:rPr>
          <w:rFonts w:cs="Times New Roman"/>
          <w:i/>
          <w:lang w:val="en-CA"/>
        </w:rPr>
        <w:t>Urban Mechanical Contracting Ltd. v. Zurich Insurance Co.</w:t>
      </w:r>
      <w:r w:rsidRPr="00E00EBC">
        <w:rPr>
          <w:rFonts w:cs="Times New Roman"/>
          <w:lang w:val="en-CA"/>
        </w:rPr>
        <w:t>, 2022 ONCA 589, 163 O.R. (3d) 652, at para. 45). I therefore begin by determining the content of the common law rule that allows credit to be granted for a pre</w:t>
      </w:r>
      <w:r w:rsidRPr="00E00EBC">
        <w:rPr>
          <w:rFonts w:cs="Times New Roman"/>
          <w:lang w:val="en-CA"/>
        </w:rPr>
        <w:noBreakHyphen/>
        <w:t xml:space="preserve">sentence driving prohibition. I then turn to interpreting s. 259(1)(a) </w:t>
      </w:r>
      <w:r w:rsidRPr="00E00EBC">
        <w:rPr>
          <w:rFonts w:cs="Times New Roman"/>
          <w:i/>
          <w:lang w:val="en-CA"/>
        </w:rPr>
        <w:t>Cr. C.</w:t>
      </w:r>
      <w:r w:rsidRPr="00E00EBC">
        <w:rPr>
          <w:rFonts w:cs="Times New Roman"/>
          <w:lang w:val="en-CA"/>
        </w:rPr>
        <w:t xml:space="preserve">, taking s. 719(3) into account, </w:t>
      </w:r>
      <w:proofErr w:type="gramStart"/>
      <w:r w:rsidRPr="00E00EBC">
        <w:rPr>
          <w:rFonts w:cs="Times New Roman"/>
          <w:lang w:val="en-CA"/>
        </w:rPr>
        <w:t>in order to</w:t>
      </w:r>
      <w:proofErr w:type="gramEnd"/>
      <w:r w:rsidRPr="00E00EBC">
        <w:rPr>
          <w:rFonts w:cs="Times New Roman"/>
          <w:lang w:val="en-CA"/>
        </w:rPr>
        <w:t xml:space="preserve"> determine whether s. 259(1)(a) either expressly or by necessary implication has the effect of limiting or displacing the common law rule.</w:t>
      </w:r>
    </w:p>
    <w:p w14:paraId="5805CDF1" w14:textId="77777777" w:rsidR="00746949" w:rsidRPr="00E00EBC" w:rsidRDefault="00746949" w:rsidP="00746949">
      <w:pPr>
        <w:pStyle w:val="Title3LevelTitre3Niveau"/>
        <w:numPr>
          <w:ilvl w:val="2"/>
          <w:numId w:val="10"/>
        </w:numPr>
        <w:spacing w:before="0"/>
        <w:rPr>
          <w:rFonts w:cs="Times New Roman"/>
        </w:rPr>
      </w:pPr>
      <w:bookmarkStart w:id="53" w:name="_Toc122713955"/>
      <w:bookmarkStart w:id="54" w:name="_Toc123734883"/>
      <w:bookmarkStart w:id="55" w:name="_Toc123830845"/>
      <w:bookmarkStart w:id="56" w:name="_Toc124075279"/>
      <w:bookmarkStart w:id="57" w:name="_Toc124075335"/>
      <w:r w:rsidRPr="00E00EBC">
        <w:rPr>
          <w:rFonts w:cs="Times New Roman"/>
        </w:rPr>
        <w:lastRenderedPageBreak/>
        <w:t xml:space="preserve">The Common Law Allows Credit </w:t>
      </w:r>
      <w:proofErr w:type="gramStart"/>
      <w:r w:rsidRPr="00E00EBC">
        <w:rPr>
          <w:rFonts w:cs="Times New Roman"/>
        </w:rPr>
        <w:t>To</w:t>
      </w:r>
      <w:proofErr w:type="gramEnd"/>
      <w:r w:rsidRPr="00E00EBC">
        <w:rPr>
          <w:rFonts w:cs="Times New Roman"/>
        </w:rPr>
        <w:t xml:space="preserve"> Be Granted for a Pre</w:t>
      </w:r>
      <w:r w:rsidRPr="00E00EBC">
        <w:rPr>
          <w:rFonts w:cs="Times New Roman"/>
        </w:rPr>
        <w:noBreakHyphen/>
        <w:t>sentence Driving Prohibition</w:t>
      </w:r>
      <w:bookmarkEnd w:id="53"/>
      <w:bookmarkEnd w:id="54"/>
      <w:bookmarkEnd w:id="55"/>
      <w:bookmarkEnd w:id="56"/>
      <w:bookmarkEnd w:id="57"/>
    </w:p>
    <w:p w14:paraId="71BA8B49" w14:textId="77777777" w:rsidR="00746949" w:rsidRPr="00E00EBC" w:rsidRDefault="00746949" w:rsidP="00746949">
      <w:pPr>
        <w:pStyle w:val="ParaNoNdepar-AltN"/>
        <w:spacing w:before="0"/>
        <w:rPr>
          <w:rFonts w:cs="Times New Roman"/>
          <w:lang w:val="en-CA"/>
        </w:rPr>
      </w:pPr>
      <w:bookmarkStart w:id="58" w:name="_Toc123734884"/>
      <w:bookmarkEnd w:id="58"/>
      <w:r w:rsidRPr="00E00EBC">
        <w:rPr>
          <w:rFonts w:cs="Times New Roman"/>
          <w:lang w:val="en-CA"/>
        </w:rPr>
        <w:t>It is well settled that the common law allows courts to grant credit for a pre</w:t>
      </w:r>
      <w:r w:rsidRPr="00E00EBC">
        <w:rPr>
          <w:rFonts w:cs="Times New Roman"/>
          <w:lang w:val="en-CA"/>
        </w:rPr>
        <w:noBreakHyphen/>
        <w:t xml:space="preserve">sentence driving prohibition imposed on an offender (see, e.g., </w:t>
      </w:r>
      <w:r w:rsidRPr="00E00EBC">
        <w:rPr>
          <w:rFonts w:cs="Times New Roman"/>
          <w:i/>
          <w:lang w:val="en-CA" w:bidi="en-US"/>
        </w:rPr>
        <w:t>R. v. Goulding</w:t>
      </w:r>
      <w:r w:rsidRPr="00E00EBC">
        <w:rPr>
          <w:rFonts w:cs="Times New Roman"/>
          <w:lang w:val="en-CA" w:bidi="en-US"/>
        </w:rPr>
        <w:t xml:space="preserve"> (1987), 81 N.S.R. (2d) 158 (S.C. (App. Div.)); </w:t>
      </w:r>
      <w:r w:rsidRPr="00E00EBC">
        <w:rPr>
          <w:rFonts w:cs="Times New Roman"/>
          <w:i/>
          <w:lang w:val="en-CA" w:bidi="en-US"/>
        </w:rPr>
        <w:t>R. v. Pellicore</w:t>
      </w:r>
      <w:r w:rsidRPr="00E00EBC">
        <w:rPr>
          <w:rFonts w:cs="Times New Roman"/>
          <w:lang w:val="en-CA" w:bidi="en-US"/>
        </w:rPr>
        <w:t xml:space="preserve">, [1997] O.J. No. 226 (QL), 1997 CarswellOnt 246 (WL) (C.A.); </w:t>
      </w:r>
      <w:r w:rsidRPr="00E00EBC">
        <w:rPr>
          <w:rFonts w:cs="Times New Roman"/>
          <w:i/>
          <w:lang w:val="en-CA" w:bidi="en-US"/>
        </w:rPr>
        <w:t>R. v. Williams</w:t>
      </w:r>
      <w:r w:rsidRPr="00E00EBC">
        <w:rPr>
          <w:rFonts w:cs="Times New Roman"/>
          <w:lang w:val="en-CA" w:bidi="en-US"/>
        </w:rPr>
        <w:t>, 2009 NBPC 16, 346 N.B.R. (2d) 164;</w:t>
      </w:r>
      <w:r w:rsidRPr="00E00EBC">
        <w:rPr>
          <w:rFonts w:cs="Times New Roman"/>
          <w:i/>
          <w:lang w:val="en-CA" w:bidi="en-US"/>
        </w:rPr>
        <w:t xml:space="preserve"> Bilodeau v. R.</w:t>
      </w:r>
      <w:r w:rsidRPr="00E00EBC">
        <w:rPr>
          <w:rFonts w:cs="Times New Roman"/>
          <w:lang w:val="en-CA" w:bidi="en-US"/>
        </w:rPr>
        <w:t xml:space="preserve">, 2013 QCCA 980; </w:t>
      </w:r>
      <w:r w:rsidRPr="00E00EBC">
        <w:rPr>
          <w:rFonts w:cs="Times New Roman"/>
          <w:i/>
          <w:lang w:val="en-CA" w:bidi="en-US"/>
        </w:rPr>
        <w:t>Lacasse</w:t>
      </w:r>
      <w:r w:rsidRPr="00E00EBC">
        <w:rPr>
          <w:rFonts w:cs="Times New Roman"/>
          <w:lang w:val="en-CA" w:bidi="en-US"/>
        </w:rPr>
        <w:t>). This common law discretion is a natural extension of an analogous principle that applies in the context of pre</w:t>
      </w:r>
      <w:r w:rsidRPr="00E00EBC">
        <w:rPr>
          <w:rFonts w:cs="Times New Roman"/>
          <w:lang w:val="en-CA" w:bidi="en-US"/>
        </w:rPr>
        <w:noBreakHyphen/>
        <w:t>sentence custody. Courts have long recognized that they can “take into consideration, in imposing sentence, any period of incarceration which the accused has already undergone between the date of his arrest and the date of the sentence” (</w:t>
      </w:r>
      <w:r w:rsidRPr="00E00EBC">
        <w:rPr>
          <w:rFonts w:cs="Times New Roman"/>
          <w:i/>
          <w:lang w:val="en-CA" w:bidi="en-US"/>
        </w:rPr>
        <w:t>R. v. Sloan</w:t>
      </w:r>
      <w:r w:rsidRPr="00E00EBC">
        <w:rPr>
          <w:rFonts w:cs="Times New Roman"/>
          <w:lang w:val="en-CA" w:bidi="en-US"/>
        </w:rPr>
        <w:t xml:space="preserve"> (1947), 87 C.C.C. 198 (Ont. C.A.), at pp. 198</w:t>
      </w:r>
      <w:r w:rsidRPr="00E00EBC">
        <w:rPr>
          <w:rFonts w:cs="Times New Roman"/>
          <w:lang w:val="en-CA" w:bidi="en-US"/>
        </w:rPr>
        <w:noBreakHyphen/>
        <w:t xml:space="preserve">99, citing </w:t>
      </w:r>
      <w:r w:rsidRPr="00E00EBC">
        <w:rPr>
          <w:rFonts w:cs="Times New Roman"/>
          <w:i/>
          <w:lang w:val="en-CA" w:bidi="en-US"/>
        </w:rPr>
        <w:t xml:space="preserve">R. v. Patterson </w:t>
      </w:r>
      <w:r w:rsidRPr="00E00EBC">
        <w:rPr>
          <w:rFonts w:cs="Times New Roman"/>
          <w:lang w:val="en-CA" w:bidi="en-US"/>
        </w:rPr>
        <w:t>(1946), 87 C.C.C. 86 (Ont. C.A.)).</w:t>
      </w:r>
    </w:p>
    <w:p w14:paraId="1C7E6F93" w14:textId="77777777" w:rsidR="00746949" w:rsidRPr="00E00EBC" w:rsidRDefault="00746949" w:rsidP="00746949">
      <w:pPr>
        <w:pStyle w:val="ParaNoNdepar-AltN"/>
        <w:tabs>
          <w:tab w:val="clear" w:pos="1152"/>
          <w:tab w:val="left" w:pos="1166"/>
        </w:tabs>
        <w:spacing w:before="0"/>
        <w:rPr>
          <w:rFonts w:cs="Times New Roman"/>
          <w:lang w:val="en-CA"/>
        </w:rPr>
      </w:pPr>
      <w:r w:rsidRPr="00E00EBC">
        <w:rPr>
          <w:rFonts w:cs="Times New Roman"/>
          <w:lang w:val="en-CA"/>
        </w:rPr>
        <w:t>The principle that credit can be granted for pre</w:t>
      </w:r>
      <w:r w:rsidRPr="00E00EBC">
        <w:rPr>
          <w:rFonts w:cs="Times New Roman"/>
          <w:lang w:val="en-CA"/>
        </w:rPr>
        <w:noBreakHyphen/>
        <w:t>sentence custody serves to mitigate certain injustices arising from the application of the principle that a sentence may not be backdated, now codified in s. 719(1). While Canadian law does not permit courts to backdate a sentence in order to reduce it, courts may nevertheless consider the time spent in pre</w:t>
      </w:r>
      <w:r w:rsidRPr="00E00EBC">
        <w:rPr>
          <w:rFonts w:cs="Times New Roman"/>
          <w:lang w:val="en-CA"/>
        </w:rPr>
        <w:noBreakHyphen/>
        <w:t>sentence custody in determining the period that must be served prospectively by an offender (</w:t>
      </w:r>
      <w:r w:rsidRPr="00E00EBC">
        <w:rPr>
          <w:rFonts w:cs="Times New Roman"/>
          <w:i/>
          <w:lang w:val="en-CA" w:bidi="en-US"/>
        </w:rPr>
        <w:t>Sloan</w:t>
      </w:r>
      <w:r w:rsidRPr="00E00EBC">
        <w:rPr>
          <w:rFonts w:cs="Times New Roman"/>
          <w:lang w:val="en-CA" w:bidi="en-US"/>
        </w:rPr>
        <w:t>, at pp. 198</w:t>
      </w:r>
      <w:r w:rsidRPr="00E00EBC">
        <w:rPr>
          <w:rFonts w:cs="Times New Roman"/>
          <w:lang w:val="en-CA" w:bidi="en-US"/>
        </w:rPr>
        <w:noBreakHyphen/>
        <w:t>99; see also</w:t>
      </w:r>
      <w:r w:rsidRPr="00E00EBC">
        <w:rPr>
          <w:rFonts w:cs="Times New Roman"/>
          <w:lang w:val="en-CA"/>
        </w:rPr>
        <w:t xml:space="preserve"> </w:t>
      </w:r>
      <w:r w:rsidRPr="00E00EBC">
        <w:rPr>
          <w:rFonts w:cs="Times New Roman"/>
          <w:i/>
          <w:lang w:val="en-CA" w:bidi="en-US"/>
        </w:rPr>
        <w:t>Patterson</w:t>
      </w:r>
      <w:r w:rsidRPr="00E00EBC">
        <w:rPr>
          <w:rFonts w:cs="Times New Roman"/>
          <w:lang w:val="en-CA" w:bidi="en-US"/>
        </w:rPr>
        <w:t xml:space="preserve">; </w:t>
      </w:r>
      <w:r w:rsidRPr="00E00EBC">
        <w:rPr>
          <w:rFonts w:cs="Times New Roman"/>
          <w:i/>
          <w:lang w:val="en-CA"/>
        </w:rPr>
        <w:t>R. v. Wells</w:t>
      </w:r>
      <w:r w:rsidRPr="00E00EBC">
        <w:rPr>
          <w:rFonts w:cs="Times New Roman"/>
          <w:lang w:val="en-CA"/>
        </w:rPr>
        <w:t xml:space="preserve"> (1969), 4 C.C.C. 25 (B.C.C.A.), at pp. 36</w:t>
      </w:r>
      <w:r w:rsidRPr="00E00EBC">
        <w:rPr>
          <w:rFonts w:cs="Times New Roman"/>
          <w:lang w:val="en-CA"/>
        </w:rPr>
        <w:noBreakHyphen/>
        <w:t>37, per Bull J.A., dissenting; A. Manson, “Pre</w:t>
      </w:r>
      <w:r w:rsidRPr="00E00EBC">
        <w:rPr>
          <w:rFonts w:cs="Times New Roman"/>
          <w:lang w:val="en-CA"/>
        </w:rPr>
        <w:noBreakHyphen/>
        <w:t xml:space="preserve">Sentence Custody and the Determination of a Sentence (Or How to Make a Mole </w:t>
      </w:r>
      <w:r w:rsidRPr="00E00EBC">
        <w:rPr>
          <w:rFonts w:cs="Times New Roman"/>
          <w:lang w:val="en-CA"/>
        </w:rPr>
        <w:lastRenderedPageBreak/>
        <w:t xml:space="preserve">Hill out of a Mountain)” (2004), 49 </w:t>
      </w:r>
      <w:r w:rsidRPr="00E00EBC">
        <w:rPr>
          <w:rFonts w:cs="Times New Roman"/>
          <w:i/>
          <w:lang w:val="en-CA"/>
        </w:rPr>
        <w:t>C.L.Q.</w:t>
      </w:r>
      <w:r w:rsidRPr="00E00EBC">
        <w:rPr>
          <w:rFonts w:cs="Times New Roman"/>
          <w:lang w:val="en-CA"/>
        </w:rPr>
        <w:t xml:space="preserve"> 292). The application of this common law rule allowing credit to be granted is therefore not equivalent to backdating a sentence.</w:t>
      </w:r>
    </w:p>
    <w:p w14:paraId="398B1E37" w14:textId="77777777" w:rsidR="00746949" w:rsidRPr="00E00EBC" w:rsidRDefault="00746949" w:rsidP="00746949">
      <w:pPr>
        <w:pStyle w:val="ParaNoNdepar-AltN"/>
        <w:tabs>
          <w:tab w:val="clear" w:pos="1152"/>
          <w:tab w:val="left" w:pos="1166"/>
        </w:tabs>
        <w:spacing w:before="0"/>
        <w:rPr>
          <w:rFonts w:cs="Times New Roman"/>
          <w:lang w:val="en-CA"/>
        </w:rPr>
      </w:pPr>
      <w:r w:rsidRPr="00E00EBC">
        <w:rPr>
          <w:rFonts w:cs="Times New Roman"/>
          <w:lang w:val="en-CA"/>
        </w:rPr>
        <w:t>While it is true that the rule allowing credit for pre</w:t>
      </w:r>
      <w:r w:rsidRPr="00E00EBC">
        <w:rPr>
          <w:rFonts w:cs="Times New Roman"/>
          <w:lang w:val="en-CA"/>
        </w:rPr>
        <w:noBreakHyphen/>
        <w:t>sentence custody has now been codified, there is no statutory provision equivalent to s. 719(3) for pre</w:t>
      </w:r>
      <w:r w:rsidRPr="00E00EBC">
        <w:rPr>
          <w:rFonts w:cs="Times New Roman"/>
          <w:lang w:val="en-CA"/>
        </w:rPr>
        <w:noBreakHyphen/>
        <w:t>sentence driving prohibitions. The respondent argues that the fact that Parliament did not enact a provision equivalent to s. 719(3) for pre</w:t>
      </w:r>
      <w:r w:rsidRPr="00E00EBC">
        <w:rPr>
          <w:rFonts w:cs="Times New Roman"/>
          <w:lang w:val="en-CA"/>
        </w:rPr>
        <w:noBreakHyphen/>
        <w:t>sentence driving prohibitions was deliberate and reflects its intention to displace the common law rule allowing for credit in this context</w:t>
      </w:r>
      <w:r w:rsidRPr="00E00EBC">
        <w:rPr>
          <w:rFonts w:cs="Times New Roman"/>
          <w:lang w:val="en-CA" w:bidi="en-US"/>
        </w:rPr>
        <w:t>. Specifically, the respondent submits that Parliament “turned [its] mind” to the possibility of recognizing an analogous exception for driving and implicitly rejected it (transcript, at p. 28). With respect, I do not share the respondent’s view. The absence of a statutory provision equivalent to s. 719(3) for pre</w:t>
      </w:r>
      <w:r w:rsidRPr="00E00EBC">
        <w:rPr>
          <w:rFonts w:cs="Times New Roman"/>
          <w:lang w:val="en-CA" w:bidi="en-US"/>
        </w:rPr>
        <w:noBreakHyphen/>
        <w:t>sentence prohibitions does not have the effect of displacing or limiting the common law rule allowing credit to be granted in such a context.</w:t>
      </w:r>
    </w:p>
    <w:p w14:paraId="2912E638" w14:textId="77777777" w:rsidR="00746949" w:rsidRPr="00E00EBC" w:rsidRDefault="00746949" w:rsidP="00746949">
      <w:pPr>
        <w:pStyle w:val="ParaNoNdepar-AltN"/>
        <w:spacing w:before="0"/>
        <w:rPr>
          <w:rFonts w:cs="Times New Roman"/>
          <w:lang w:val="en-CA" w:bidi="en-US"/>
        </w:rPr>
      </w:pPr>
      <w:r w:rsidRPr="00E00EBC">
        <w:rPr>
          <w:rFonts w:cs="Times New Roman"/>
          <w:lang w:val="en-CA"/>
        </w:rPr>
        <w:t xml:space="preserve">The view that Parliament may codify one common law rule in order to implicitly exclude another calls to mind the maxim of interpretation </w:t>
      </w:r>
      <w:r w:rsidRPr="00E00EBC">
        <w:rPr>
          <w:rFonts w:cs="Times New Roman"/>
          <w:i/>
          <w:lang w:val="en-CA" w:bidi="en-US"/>
        </w:rPr>
        <w:t>expressio unius est exclusio alterius</w:t>
      </w:r>
      <w:r w:rsidRPr="00E00EBC">
        <w:rPr>
          <w:rFonts w:cs="Times New Roman"/>
          <w:lang w:val="en-CA" w:bidi="en-US"/>
        </w:rPr>
        <w:t>, that is, “to express one thing is to exclude another”</w:t>
      </w:r>
      <w:r w:rsidRPr="00E00EBC">
        <w:rPr>
          <w:rFonts w:cs="Times New Roman"/>
          <w:lang w:val="en-CA"/>
        </w:rPr>
        <w:t xml:space="preserve"> </w:t>
      </w:r>
      <w:r w:rsidRPr="00E00EBC">
        <w:rPr>
          <w:rFonts w:cs="Times New Roman"/>
          <w:lang w:val="en-CA" w:bidi="en-US"/>
        </w:rPr>
        <w:t xml:space="preserve">(Sullivan (2022), at § 8.09; see also A. Mayrand, </w:t>
      </w:r>
      <w:r w:rsidRPr="00E00EBC">
        <w:rPr>
          <w:rFonts w:cs="Times New Roman"/>
          <w:i/>
          <w:lang w:val="en-CA" w:bidi="en-US"/>
        </w:rPr>
        <w:t>Dictionnaire de maximes et locutions latines utilisées en droit</w:t>
      </w:r>
      <w:r w:rsidRPr="00E00EBC">
        <w:rPr>
          <w:rFonts w:cs="Times New Roman"/>
          <w:lang w:val="en-CA" w:bidi="en-US"/>
        </w:rPr>
        <w:t xml:space="preserve"> (4th ed. 2007), at p. 170; </w:t>
      </w:r>
      <w:r w:rsidRPr="00E00EBC">
        <w:rPr>
          <w:rFonts w:cs="Times New Roman"/>
          <w:i/>
          <w:lang w:val="en-CA" w:bidi="en-US"/>
        </w:rPr>
        <w:t>McClurg v. Canada</w:t>
      </w:r>
      <w:r w:rsidRPr="00E00EBC">
        <w:rPr>
          <w:rFonts w:cs="Times New Roman"/>
          <w:lang w:val="en-CA" w:bidi="en-US"/>
        </w:rPr>
        <w:t xml:space="preserve">, [1990] 3 S.C.R. 1020). However, courts are cautious about accepting such arguments based on Parliament’s intention to implicitly exclude a common law rule since the context does not always permit assumptions to be made about </w:t>
      </w:r>
      <w:r w:rsidRPr="00E00EBC">
        <w:rPr>
          <w:rFonts w:cs="Times New Roman"/>
          <w:lang w:val="en-CA"/>
        </w:rPr>
        <w:t>a legislature’s unexpressed thinking (</w:t>
      </w:r>
      <w:r w:rsidRPr="00E00EBC">
        <w:rPr>
          <w:rFonts w:cs="Times New Roman"/>
          <w:lang w:val="en-CA" w:bidi="en-US"/>
        </w:rPr>
        <w:t xml:space="preserve">Sullivan (2022), at </w:t>
      </w:r>
      <w:r w:rsidRPr="00E00EBC">
        <w:rPr>
          <w:rFonts w:cs="Times New Roman"/>
          <w:lang w:val="en-CA" w:bidi="en-US"/>
        </w:rPr>
        <w:lastRenderedPageBreak/>
        <w:t>§ 17.</w:t>
      </w:r>
      <w:proofErr w:type="gramStart"/>
      <w:r w:rsidRPr="00E00EBC">
        <w:rPr>
          <w:rFonts w:cs="Times New Roman"/>
          <w:lang w:val="en-CA" w:bidi="en-US"/>
        </w:rPr>
        <w:t>01.Pt</w:t>
      </w:r>
      <w:proofErr w:type="gramEnd"/>
      <w:r w:rsidRPr="00E00EBC">
        <w:rPr>
          <w:rFonts w:cs="Times New Roman"/>
          <w:lang w:val="en-CA" w:bidi="en-US"/>
        </w:rPr>
        <w:t>1[2]</w:t>
      </w:r>
      <w:r w:rsidRPr="00E00EBC">
        <w:rPr>
          <w:rFonts w:cs="Times New Roman"/>
          <w:lang w:val="en-CA"/>
        </w:rPr>
        <w:t xml:space="preserve">). In </w:t>
      </w:r>
      <w:r w:rsidRPr="00E00EBC">
        <w:rPr>
          <w:rFonts w:cs="Times New Roman"/>
          <w:i/>
          <w:lang w:val="en-CA" w:bidi="en-US"/>
        </w:rPr>
        <w:t>Turgeon v. Dominion Bank</w:t>
      </w:r>
      <w:r w:rsidRPr="00E00EBC">
        <w:rPr>
          <w:rFonts w:cs="Times New Roman"/>
          <w:lang w:val="en-CA" w:bidi="en-US"/>
        </w:rPr>
        <w:t xml:space="preserve">, [1930] S.C.R. 67, Newcombe J. warned that if this rule </w:t>
      </w:r>
      <w:proofErr w:type="gramStart"/>
      <w:r w:rsidRPr="00E00EBC">
        <w:rPr>
          <w:rFonts w:cs="Times New Roman"/>
          <w:lang w:val="en-CA" w:bidi="en-US"/>
        </w:rPr>
        <w:t>is considered to be</w:t>
      </w:r>
      <w:proofErr w:type="gramEnd"/>
      <w:r w:rsidRPr="00E00EBC">
        <w:rPr>
          <w:rFonts w:cs="Times New Roman"/>
          <w:lang w:val="en-CA" w:bidi="en-US"/>
        </w:rPr>
        <w:t xml:space="preserve"> a principle of general application, it may be “a dangerous master to follow” because its usefulness depends on the context and it “is not always in the mind of a draughtsman” (p. 71</w:t>
      </w:r>
      <w:r w:rsidRPr="00E00EBC">
        <w:rPr>
          <w:rFonts w:cs="Times New Roman"/>
          <w:lang w:val="en-CA"/>
        </w:rPr>
        <w:t>)</w:t>
      </w:r>
      <w:r w:rsidRPr="00E00EBC">
        <w:rPr>
          <w:rFonts w:cs="Times New Roman"/>
          <w:lang w:val="en-CA" w:bidi="en-US"/>
        </w:rPr>
        <w:t>. Accordingly, Cromwell J. wrote that “[a]bsent clear legislative intention to the contrary, a statute should not be interpreted as substantially changing the law, including the common law” (</w:t>
      </w:r>
      <w:r w:rsidRPr="00E00EBC">
        <w:rPr>
          <w:rFonts w:cs="Times New Roman"/>
          <w:i/>
          <w:lang w:val="en-CA" w:bidi="en-US"/>
        </w:rPr>
        <w:t>D.L.W.</w:t>
      </w:r>
      <w:r w:rsidRPr="00E00EBC">
        <w:rPr>
          <w:rFonts w:cs="Times New Roman"/>
          <w:lang w:val="en-CA" w:bidi="en-US"/>
        </w:rPr>
        <w:t xml:space="preserve">, at para. 21). This recalls the principle stated by Professor C. K. Allen: “. . . the Courts will not, if they can help it, allow any enactment to overrule existing Common Law </w:t>
      </w:r>
      <w:r w:rsidRPr="00E00EBC">
        <w:rPr>
          <w:rFonts w:cs="Times New Roman"/>
          <w:i/>
          <w:lang w:val="en-CA" w:bidi="en-US"/>
        </w:rPr>
        <w:t xml:space="preserve">by inference </w:t>
      </w:r>
      <w:r w:rsidRPr="00E00EBC">
        <w:rPr>
          <w:rFonts w:cs="Times New Roman"/>
          <w:lang w:val="en-CA" w:bidi="en-US"/>
        </w:rPr>
        <w:t>merely”, but “[i]t is quite otherwise when the provision of the statute is express, or when there is a general clear intention to change the law” (</w:t>
      </w:r>
      <w:r w:rsidRPr="00E00EBC">
        <w:rPr>
          <w:rFonts w:cs="Times New Roman"/>
          <w:i/>
          <w:lang w:val="en-CA"/>
        </w:rPr>
        <w:t>Law in the Making</w:t>
      </w:r>
      <w:r w:rsidRPr="00E00EBC">
        <w:rPr>
          <w:rFonts w:cs="Times New Roman"/>
          <w:lang w:val="en-CA"/>
        </w:rPr>
        <w:t xml:space="preserve"> (1992), at pp. 258</w:t>
      </w:r>
      <w:r w:rsidRPr="00E00EBC">
        <w:rPr>
          <w:rFonts w:cs="Times New Roman"/>
          <w:lang w:val="en-CA"/>
        </w:rPr>
        <w:noBreakHyphen/>
        <w:t>59 (emphasis in original))</w:t>
      </w:r>
      <w:r w:rsidRPr="00E00EBC">
        <w:rPr>
          <w:rFonts w:cs="Times New Roman"/>
          <w:lang w:val="en-CA" w:bidi="en-US"/>
        </w:rPr>
        <w:t>.</w:t>
      </w:r>
    </w:p>
    <w:p w14:paraId="5516BBB3" w14:textId="77777777" w:rsidR="00746949" w:rsidRPr="00E00EBC" w:rsidRDefault="00746949" w:rsidP="00746949">
      <w:pPr>
        <w:pStyle w:val="ParaNoNdepar-AltN"/>
        <w:rPr>
          <w:rFonts w:cs="Times New Roman"/>
          <w:i/>
          <w:lang w:val="en-CA" w:bidi="en-US"/>
        </w:rPr>
      </w:pPr>
      <w:r w:rsidRPr="00E00EBC">
        <w:rPr>
          <w:rFonts w:cs="Times New Roman"/>
          <w:lang w:val="en-CA" w:bidi="en-US"/>
        </w:rPr>
        <w:t>Here, s. 719(3) was enacted in the specific context of pre</w:t>
      </w:r>
      <w:r w:rsidRPr="00E00EBC">
        <w:rPr>
          <w:rFonts w:cs="Times New Roman"/>
          <w:lang w:val="en-CA" w:bidi="en-US"/>
        </w:rPr>
        <w:noBreakHyphen/>
        <w:t>sentence custody. The legislative debates suggest that Parliament’s intention in enacting this provision was to ensure that credit could still be granted when a mandatory minimum term of imprisonment was imposed (</w:t>
      </w:r>
      <w:r w:rsidRPr="00E00EBC">
        <w:rPr>
          <w:rFonts w:cs="Times New Roman"/>
          <w:i/>
          <w:lang w:val="en-CA" w:bidi="en-US"/>
        </w:rPr>
        <w:t>Wust</w:t>
      </w:r>
      <w:r w:rsidRPr="00E00EBC">
        <w:rPr>
          <w:rFonts w:cs="Times New Roman"/>
          <w:lang w:val="en-CA" w:bidi="en-US"/>
        </w:rPr>
        <w:t xml:space="preserve">, at para. 31, quoting </w:t>
      </w:r>
      <w:r w:rsidRPr="00E00EBC">
        <w:rPr>
          <w:rFonts w:cs="Times New Roman"/>
          <w:i/>
          <w:lang w:val="en-CA" w:bidi="en-US"/>
        </w:rPr>
        <w:t>House of Commons Debates</w:t>
      </w:r>
      <w:r w:rsidRPr="00E00EBC">
        <w:rPr>
          <w:rFonts w:cs="Times New Roman"/>
          <w:lang w:val="en-CA" w:bidi="en-US"/>
        </w:rPr>
        <w:t>, vol. 3, 3rd Sess., 28th Parl., February 5, 1971, at p. 3118). There is no indication that Parliament considered whether credit could be given for a pre</w:t>
      </w:r>
      <w:r w:rsidRPr="00E00EBC">
        <w:rPr>
          <w:rFonts w:cs="Times New Roman"/>
          <w:lang w:val="en-CA" w:bidi="en-US"/>
        </w:rPr>
        <w:noBreakHyphen/>
        <w:t>sentence driving prohibition. There is also nothing in the legislative debates to support the position that Parliament sought to displace, whether expressly or by necessary implication, the common law rule applicable to such prohibitions. In short, this is not a situation in which Parliament made clear its intention to displace or limit the applicable common law.</w:t>
      </w:r>
    </w:p>
    <w:p w14:paraId="642B9532" w14:textId="77777777" w:rsidR="00746949" w:rsidRPr="00E00EBC" w:rsidRDefault="00746949" w:rsidP="00746949">
      <w:pPr>
        <w:pStyle w:val="ParaNoNdepar-AltN"/>
        <w:spacing w:before="0"/>
        <w:rPr>
          <w:rFonts w:cs="Times New Roman"/>
          <w:lang w:val="en-CA"/>
        </w:rPr>
      </w:pPr>
      <w:proofErr w:type="gramStart"/>
      <w:r w:rsidRPr="00E00EBC">
        <w:rPr>
          <w:rFonts w:cs="Times New Roman"/>
          <w:lang w:val="en-CA"/>
        </w:rPr>
        <w:lastRenderedPageBreak/>
        <w:t>In light of</w:t>
      </w:r>
      <w:proofErr w:type="gramEnd"/>
      <w:r w:rsidRPr="00E00EBC">
        <w:rPr>
          <w:rFonts w:cs="Times New Roman"/>
          <w:lang w:val="en-CA"/>
        </w:rPr>
        <w:t xml:space="preserve"> the foregoing, I am of the view that the enactment of s. 719(3) </w:t>
      </w:r>
      <w:r w:rsidRPr="00E00EBC">
        <w:rPr>
          <w:rFonts w:cs="Times New Roman"/>
          <w:i/>
          <w:lang w:val="en-CA"/>
        </w:rPr>
        <w:t>Cr. C.</w:t>
      </w:r>
      <w:r w:rsidRPr="00E00EBC">
        <w:rPr>
          <w:rFonts w:cs="Times New Roman"/>
          <w:lang w:val="en-CA"/>
        </w:rPr>
        <w:t xml:space="preserve"> did not have the effect of limiting the common law rule that allows credit to be granted for a pre</w:t>
      </w:r>
      <w:r w:rsidRPr="00E00EBC">
        <w:rPr>
          <w:rFonts w:cs="Times New Roman"/>
          <w:lang w:val="en-CA"/>
        </w:rPr>
        <w:noBreakHyphen/>
        <w:t xml:space="preserve">sentence driving prohibition. This rule thus continues to be part of the positive law of sentencing. This being so, what remains to be determined is whether the rule has been displaced or limited by s. 259(1) </w:t>
      </w:r>
      <w:r w:rsidRPr="00E00EBC">
        <w:rPr>
          <w:rFonts w:cs="Times New Roman"/>
          <w:i/>
          <w:lang w:val="en-CA"/>
        </w:rPr>
        <w:t>Cr. C.</w:t>
      </w:r>
      <w:r w:rsidRPr="00E00EBC">
        <w:rPr>
          <w:rFonts w:cs="Times New Roman"/>
          <w:lang w:val="en-CA"/>
        </w:rPr>
        <w:t>, which, as the respondent points out, establishes mandatory maximum and minimum prohibition periods.</w:t>
      </w:r>
    </w:p>
    <w:p w14:paraId="770790D4" w14:textId="77777777" w:rsidR="00746949" w:rsidRPr="00E00EBC" w:rsidRDefault="00746949" w:rsidP="00746949">
      <w:pPr>
        <w:pStyle w:val="Title3LevelTitre3Niveau"/>
        <w:numPr>
          <w:ilvl w:val="2"/>
          <w:numId w:val="10"/>
        </w:numPr>
        <w:spacing w:before="0"/>
        <w:rPr>
          <w:rFonts w:cs="Times New Roman"/>
        </w:rPr>
      </w:pPr>
      <w:r w:rsidRPr="00E00EBC">
        <w:rPr>
          <w:rFonts w:cs="Times New Roman"/>
        </w:rPr>
        <w:t xml:space="preserve">Section 259(1)(a) </w:t>
      </w:r>
      <w:r w:rsidRPr="00E00EBC">
        <w:rPr>
          <w:rFonts w:cs="Times New Roman"/>
          <w:i/>
        </w:rPr>
        <w:t>Cr. C.</w:t>
      </w:r>
      <w:r w:rsidRPr="00E00EBC">
        <w:rPr>
          <w:rFonts w:cs="Times New Roman"/>
        </w:rPr>
        <w:t xml:space="preserve"> Does Not Limit the Scope of the Common Law Rule That Allows Credit </w:t>
      </w:r>
      <w:proofErr w:type="gramStart"/>
      <w:r w:rsidRPr="00E00EBC">
        <w:rPr>
          <w:rFonts w:cs="Times New Roman"/>
        </w:rPr>
        <w:t>To</w:t>
      </w:r>
      <w:proofErr w:type="gramEnd"/>
      <w:r w:rsidRPr="00E00EBC">
        <w:rPr>
          <w:rFonts w:cs="Times New Roman"/>
        </w:rPr>
        <w:t xml:space="preserve"> Be Granted for a Pre</w:t>
      </w:r>
      <w:r w:rsidRPr="00E00EBC">
        <w:rPr>
          <w:rFonts w:cs="Times New Roman"/>
        </w:rPr>
        <w:noBreakHyphen/>
        <w:t>sentence Driving Prohibition</w:t>
      </w:r>
    </w:p>
    <w:p w14:paraId="784C03E8" w14:textId="77777777" w:rsidR="00746949" w:rsidRPr="00E00EBC" w:rsidRDefault="00746949" w:rsidP="00746949">
      <w:pPr>
        <w:pStyle w:val="ParaNoNdepar-AltN"/>
        <w:tabs>
          <w:tab w:val="clear" w:pos="1152"/>
          <w:tab w:val="left" w:pos="1166"/>
        </w:tabs>
        <w:spacing w:before="0"/>
        <w:rPr>
          <w:rFonts w:cs="Times New Roman"/>
          <w:lang w:val="en-CA"/>
        </w:rPr>
      </w:pPr>
      <w:r w:rsidRPr="00E00EBC">
        <w:rPr>
          <w:rFonts w:cs="Times New Roman"/>
          <w:lang w:val="en-CA" w:bidi="en-US"/>
        </w:rPr>
        <w:t>Once the common law rule has been identified, the second step in the analysis is to consider the effect of the relevant statutory provision on that rule (</w:t>
      </w:r>
      <w:r w:rsidRPr="00E00EBC">
        <w:rPr>
          <w:rFonts w:cs="Times New Roman"/>
          <w:i/>
          <w:lang w:val="en-CA" w:bidi="en-US"/>
        </w:rPr>
        <w:t>2747</w:t>
      </w:r>
      <w:r w:rsidRPr="00E00EBC">
        <w:rPr>
          <w:rFonts w:cs="Times New Roman"/>
          <w:i/>
          <w:lang w:val="en-CA" w:bidi="en-US"/>
        </w:rPr>
        <w:noBreakHyphen/>
        <w:t>3174 Québec Inc.</w:t>
      </w:r>
      <w:r w:rsidRPr="00E00EBC">
        <w:rPr>
          <w:rFonts w:cs="Times New Roman"/>
          <w:lang w:val="en-CA" w:bidi="en-US"/>
        </w:rPr>
        <w:t xml:space="preserve">, at para. 97). For this purpose, the reach of s. 259(1)(a) </w:t>
      </w:r>
      <w:r w:rsidRPr="00E00EBC">
        <w:rPr>
          <w:rFonts w:cs="Times New Roman"/>
          <w:i/>
          <w:lang w:val="en-CA" w:bidi="en-US"/>
        </w:rPr>
        <w:t>Cr. C.</w:t>
      </w:r>
      <w:r w:rsidRPr="00E00EBC">
        <w:rPr>
          <w:rFonts w:cs="Times New Roman"/>
          <w:lang w:val="en-CA" w:bidi="en-US"/>
        </w:rPr>
        <w:t xml:space="preserve"> must be understood using the modern approach to statutory interpretation (</w:t>
      </w:r>
      <w:r w:rsidRPr="00E00EBC">
        <w:rPr>
          <w:rFonts w:cs="Times New Roman"/>
          <w:i/>
          <w:lang w:val="en-CA" w:bidi="en-US"/>
        </w:rPr>
        <w:t>Rizzo &amp; Rizzo Shoes Ltd. (Re)</w:t>
      </w:r>
      <w:r w:rsidRPr="00E00EBC">
        <w:rPr>
          <w:rFonts w:cs="Times New Roman"/>
          <w:lang w:val="en-CA" w:bidi="en-US"/>
        </w:rPr>
        <w:t xml:space="preserve">, [1998] 1 S.C.R. 27; </w:t>
      </w:r>
      <w:r w:rsidRPr="00E00EBC">
        <w:rPr>
          <w:rFonts w:cs="Times New Roman"/>
          <w:i/>
          <w:lang w:val="en-CA" w:bidi="en-US"/>
        </w:rPr>
        <w:t>Bell ExpressVu Limited Partnership v. Rex</w:t>
      </w:r>
      <w:r w:rsidRPr="00E00EBC">
        <w:rPr>
          <w:rFonts w:cs="Times New Roman"/>
          <w:lang w:val="en-CA" w:bidi="en-US"/>
        </w:rPr>
        <w:t>, 2002 SCC 42, [2002] 2 S.C.R. 559). Then it must be determined whether this provision has the effect of limiting or displacing the common law rule.</w:t>
      </w:r>
    </w:p>
    <w:p w14:paraId="173ED4E5" w14:textId="77777777" w:rsidR="00746949" w:rsidRPr="00E00EBC" w:rsidRDefault="00746949" w:rsidP="00746949">
      <w:pPr>
        <w:pStyle w:val="ParaNoNdepar-AltN"/>
        <w:spacing w:before="0"/>
        <w:rPr>
          <w:rFonts w:cs="Times New Roman"/>
          <w:lang w:val="en-CA"/>
        </w:rPr>
      </w:pPr>
      <w:r w:rsidRPr="00E00EBC">
        <w:rPr>
          <w:rFonts w:cs="Times New Roman"/>
          <w:lang w:val="en-CA" w:bidi="en-US"/>
        </w:rPr>
        <w:t xml:space="preserve">Before undertaking this analysis, it is important to have a clear understanding of the distinction, first accepted by this Court in </w:t>
      </w:r>
      <w:r w:rsidRPr="00E00EBC">
        <w:rPr>
          <w:rFonts w:cs="Times New Roman"/>
          <w:i/>
          <w:lang w:val="en-CA" w:bidi="en-US"/>
        </w:rPr>
        <w:t>Wust</w:t>
      </w:r>
      <w:r w:rsidRPr="00E00EBC">
        <w:rPr>
          <w:rFonts w:cs="Times New Roman"/>
          <w:lang w:val="en-CA" w:bidi="en-US"/>
        </w:rPr>
        <w:t>, between the concepts of punishment and sentence. This distinction, which is at the heart of this appeal, is essential to a proper interpretation of the reach of s. 259(1)(a).</w:t>
      </w:r>
    </w:p>
    <w:p w14:paraId="607A012C" w14:textId="77777777" w:rsidR="00746949" w:rsidRPr="00E00EBC" w:rsidRDefault="00746949" w:rsidP="00746949">
      <w:pPr>
        <w:pStyle w:val="Title4LevelTitre4Niveau"/>
        <w:numPr>
          <w:ilvl w:val="3"/>
          <w:numId w:val="10"/>
        </w:numPr>
        <w:spacing w:before="0"/>
        <w:rPr>
          <w:rFonts w:cs="Times New Roman"/>
        </w:rPr>
      </w:pPr>
      <w:bookmarkStart w:id="59" w:name="_Toc123830849"/>
      <w:bookmarkStart w:id="60" w:name="_Toc124075337"/>
      <w:r w:rsidRPr="00E00EBC">
        <w:rPr>
          <w:rFonts w:cs="Times New Roman"/>
        </w:rPr>
        <w:t>Distinction Between the Concepts of Punishment and Sentence</w:t>
      </w:r>
      <w:bookmarkEnd w:id="59"/>
      <w:bookmarkEnd w:id="60"/>
    </w:p>
    <w:p w14:paraId="438BE6BA" w14:textId="77777777" w:rsidR="00746949" w:rsidRPr="00E00EBC" w:rsidRDefault="00746949" w:rsidP="00746949">
      <w:pPr>
        <w:pStyle w:val="ParaNoNdepar-AltN"/>
        <w:spacing w:before="0"/>
        <w:rPr>
          <w:rFonts w:cs="Times New Roman"/>
          <w:lang w:val="en-CA"/>
        </w:rPr>
      </w:pPr>
      <w:r w:rsidRPr="00E00EBC">
        <w:rPr>
          <w:rFonts w:cs="Times New Roman"/>
          <w:lang w:val="en-CA"/>
        </w:rPr>
        <w:lastRenderedPageBreak/>
        <w:t xml:space="preserve">The question before the Court in </w:t>
      </w:r>
      <w:r w:rsidRPr="00E00EBC">
        <w:rPr>
          <w:rFonts w:cs="Times New Roman"/>
          <w:i/>
          <w:lang w:val="en-CA"/>
        </w:rPr>
        <w:t>Wust</w:t>
      </w:r>
      <w:r w:rsidRPr="00E00EBC">
        <w:rPr>
          <w:rFonts w:cs="Times New Roman"/>
          <w:lang w:val="en-CA"/>
        </w:rPr>
        <w:t xml:space="preserve"> was whether an offender could be credited for pre</w:t>
      </w:r>
      <w:r w:rsidRPr="00E00EBC">
        <w:rPr>
          <w:rFonts w:cs="Times New Roman"/>
          <w:lang w:val="en-CA"/>
        </w:rPr>
        <w:noBreakHyphen/>
        <w:t>sentence custody if doing so meant that the sentence imposed would be shorter in length than the mandatory minimum provided for in the former s. 344(a) (now s. 344(1)(a)). Writing for a unanimous Court, Arbour J. answered that question in the affirmative. She noted at the outset that s. 719(3) had been enacted for the specific purpose of authorizing such credit in the context of a mandatory minimum. In addition, and importantly, she stated that no conflict resulted from the concurrent application of ss. 719(3) and 344(a). She explained that this absence of conflict flowed from the conceptual distinction between a punishment and a sentence.</w:t>
      </w:r>
    </w:p>
    <w:p w14:paraId="691F3D11" w14:textId="77777777" w:rsidR="00746949" w:rsidRPr="00E00EBC" w:rsidRDefault="00746949" w:rsidP="00746949">
      <w:pPr>
        <w:pStyle w:val="ParaNoNdepar-AltN"/>
        <w:spacing w:before="0"/>
        <w:rPr>
          <w:rFonts w:cs="Times New Roman"/>
          <w:lang w:val="en-US"/>
        </w:rPr>
      </w:pPr>
      <w:r w:rsidRPr="00E00EBC">
        <w:rPr>
          <w:rFonts w:cs="Times New Roman"/>
          <w:lang w:val="en-US"/>
        </w:rPr>
        <w:t xml:space="preserve">This distinction was considered </w:t>
      </w:r>
      <w:r w:rsidRPr="00E00EBC">
        <w:rPr>
          <w:rFonts w:cs="Times New Roman"/>
          <w:lang w:val="en-CA"/>
        </w:rPr>
        <w:t>from the perspective of the English</w:t>
      </w:r>
      <w:r w:rsidRPr="00E00EBC">
        <w:rPr>
          <w:rFonts w:cs="Times New Roman"/>
          <w:lang w:val="en-CA"/>
        </w:rPr>
        <w:noBreakHyphen/>
        <w:t xml:space="preserve">language terms “punishment” and “sentence” </w:t>
      </w:r>
      <w:r w:rsidRPr="00E00EBC">
        <w:rPr>
          <w:rFonts w:cs="Times New Roman"/>
          <w:lang w:val="en-US"/>
        </w:rPr>
        <w:t xml:space="preserve">in </w:t>
      </w:r>
      <w:r w:rsidRPr="00E00EBC">
        <w:rPr>
          <w:rFonts w:cs="Times New Roman"/>
          <w:i/>
          <w:lang w:val="en-US"/>
        </w:rPr>
        <w:t>McDonald</w:t>
      </w:r>
      <w:r w:rsidRPr="00E00EBC">
        <w:rPr>
          <w:rFonts w:cs="Times New Roman"/>
          <w:lang w:val="en-US"/>
        </w:rPr>
        <w:t xml:space="preserve"> by Rosenberg J.A., who relied on the work of the Canadian Sentencing Commission. The Commission clarified that the term “punishment” refers to “the imposition of severe deprivation on a person guilty of wrongdoing” (</w:t>
      </w:r>
      <w:r w:rsidRPr="00E00EBC">
        <w:rPr>
          <w:rFonts w:cs="Times New Roman"/>
          <w:i/>
          <w:lang w:val="en-US"/>
        </w:rPr>
        <w:t>Sentencing Reform: A Canadian Approach</w:t>
      </w:r>
      <w:r w:rsidRPr="00E00EBC">
        <w:rPr>
          <w:rFonts w:cs="Times New Roman"/>
          <w:lang w:val="en-US"/>
        </w:rPr>
        <w:t xml:space="preserve"> (1987)</w:t>
      </w:r>
      <w:r w:rsidRPr="00E00EBC">
        <w:rPr>
          <w:rFonts w:cs="Times New Roman"/>
          <w:iCs/>
          <w:lang w:val="en-US" w:bidi="en-US"/>
        </w:rPr>
        <w:t xml:space="preserve">, at p. 109). It then stated that the word “sentence” — which comes from the Latin </w:t>
      </w:r>
      <w:r w:rsidRPr="00E00EBC">
        <w:rPr>
          <w:rFonts w:cs="Times New Roman"/>
          <w:i/>
          <w:iCs/>
          <w:lang w:val="en-US" w:bidi="en-US"/>
        </w:rPr>
        <w:t>sententia</w:t>
      </w:r>
      <w:r w:rsidRPr="00E00EBC">
        <w:rPr>
          <w:rFonts w:cs="Times New Roman"/>
          <w:iCs/>
          <w:lang w:val="en-US" w:bidi="en-US"/>
        </w:rPr>
        <w:t>, meaning “opinion or the expression of an opinion” — refers to a judicial statement ordering the imposition of a sanction and determining what it should be (p. 111).</w:t>
      </w:r>
    </w:p>
    <w:p w14:paraId="6E76AAA9" w14:textId="77777777" w:rsidR="00746949" w:rsidRPr="00E00EBC" w:rsidRDefault="00746949" w:rsidP="00746949">
      <w:pPr>
        <w:pStyle w:val="ParaNoNdepar-AltN"/>
        <w:spacing w:before="0"/>
        <w:rPr>
          <w:rFonts w:cs="Times New Roman"/>
          <w:lang w:val="en-CA"/>
        </w:rPr>
      </w:pPr>
      <w:r w:rsidRPr="00E00EBC">
        <w:rPr>
          <w:rFonts w:cs="Times New Roman"/>
          <w:iCs/>
          <w:lang w:val="en-CA" w:bidi="en-US"/>
        </w:rPr>
        <w:t xml:space="preserve">It can therefore be said that the concept of punishment is fundamentally different from that of sentence, since the former reflects the global punishment imposed on an offender whereas the latter concerns only the portion of the punishment that the </w:t>
      </w:r>
      <w:r w:rsidRPr="00E00EBC">
        <w:rPr>
          <w:rFonts w:cs="Times New Roman"/>
          <w:iCs/>
          <w:lang w:val="en-CA" w:bidi="en-US"/>
        </w:rPr>
        <w:lastRenderedPageBreak/>
        <w:t xml:space="preserve">offender must serve after judgment is rendered. Nothing in the jurisprudence precludes this distinction from being applied in this case. I note that in </w:t>
      </w:r>
      <w:r w:rsidRPr="00E00EBC">
        <w:rPr>
          <w:rFonts w:cs="Times New Roman"/>
          <w:i/>
          <w:iCs/>
          <w:lang w:val="en-CA" w:bidi="en-US"/>
        </w:rPr>
        <w:t>R. v. Mathieu</w:t>
      </w:r>
      <w:r w:rsidRPr="00E00EBC">
        <w:rPr>
          <w:rFonts w:cs="Times New Roman"/>
          <w:iCs/>
          <w:lang w:val="en-CA" w:bidi="en-US"/>
        </w:rPr>
        <w:t>, 2008 SCC 21, [2008] 1 S.C.R. 723, a case concerning parole eligibility following time spent in pre</w:t>
      </w:r>
      <w:r w:rsidRPr="00E00EBC">
        <w:rPr>
          <w:rFonts w:cs="Times New Roman"/>
          <w:iCs/>
          <w:lang w:val="en-CA" w:bidi="en-US"/>
        </w:rPr>
        <w:noBreakHyphen/>
        <w:t xml:space="preserve">sentence custody, the Court held that only the period after sentencing is to be considered in determining such eligibility, although it acknowledged that it had dealt with the question differently in </w:t>
      </w:r>
      <w:r w:rsidRPr="00E00EBC">
        <w:rPr>
          <w:rFonts w:cs="Times New Roman"/>
          <w:i/>
          <w:iCs/>
          <w:lang w:val="en-CA" w:bidi="en-US"/>
        </w:rPr>
        <w:t>Wust</w:t>
      </w:r>
      <w:r w:rsidRPr="00E00EBC">
        <w:rPr>
          <w:rFonts w:cs="Times New Roman"/>
          <w:iCs/>
          <w:lang w:val="en-CA" w:bidi="en-US"/>
        </w:rPr>
        <w:t xml:space="preserve"> (para. 7). For the purposes of a conditional sentence, on the other hand, what must be considered is the global punishment imposed on the offender, including the pre</w:t>
      </w:r>
      <w:r w:rsidRPr="00E00EBC">
        <w:rPr>
          <w:rFonts w:cs="Times New Roman"/>
          <w:iCs/>
          <w:lang w:val="en-CA" w:bidi="en-US"/>
        </w:rPr>
        <w:noBreakHyphen/>
        <w:t>sentence period (</w:t>
      </w:r>
      <w:r w:rsidRPr="00E00EBC">
        <w:rPr>
          <w:rFonts w:cs="Times New Roman"/>
          <w:i/>
          <w:iCs/>
          <w:lang w:val="en-CA" w:bidi="en-US"/>
        </w:rPr>
        <w:t>R. v. Fice</w:t>
      </w:r>
      <w:r w:rsidRPr="00E00EBC">
        <w:rPr>
          <w:rFonts w:cs="Times New Roman"/>
          <w:iCs/>
          <w:lang w:val="en-CA" w:bidi="en-US"/>
        </w:rPr>
        <w:t>, 2005 SCC 32, [2005] 1 S.C.R. 742).</w:t>
      </w:r>
      <w:r w:rsidRPr="00E00EBC">
        <w:rPr>
          <w:rFonts w:cs="Times New Roman"/>
          <w:lang w:val="en-CA"/>
        </w:rPr>
        <w:t xml:space="preserve"> Similarly, where courts have had to determine the effect of a period of pre</w:t>
      </w:r>
      <w:r w:rsidRPr="00E00EBC">
        <w:rPr>
          <w:rFonts w:cs="Times New Roman"/>
          <w:lang w:val="en-CA"/>
        </w:rPr>
        <w:noBreakHyphen/>
        <w:t xml:space="preserve">sentence custody in cases involving a statutory maximum term of imprisonment, some </w:t>
      </w:r>
      <w:r w:rsidRPr="00E00EBC">
        <w:rPr>
          <w:rFonts w:cs="Times New Roman"/>
          <w:iCs/>
          <w:lang w:val="en-CA" w:bidi="en-US"/>
        </w:rPr>
        <w:t xml:space="preserve">provincial appellate courts have found, like </w:t>
      </w:r>
      <w:r w:rsidRPr="00E00EBC">
        <w:rPr>
          <w:rFonts w:cs="Times New Roman"/>
          <w:lang w:val="en-CA"/>
        </w:rPr>
        <w:t xml:space="preserve">this Court in </w:t>
      </w:r>
      <w:r w:rsidRPr="00E00EBC">
        <w:rPr>
          <w:rFonts w:cs="Times New Roman"/>
          <w:i/>
          <w:iCs/>
          <w:lang w:val="en-CA" w:bidi="en-US"/>
        </w:rPr>
        <w:t>Wust</w:t>
      </w:r>
      <w:r w:rsidRPr="00E00EBC">
        <w:rPr>
          <w:rFonts w:cs="Times New Roman"/>
          <w:iCs/>
          <w:lang w:val="en-CA" w:bidi="en-US"/>
        </w:rPr>
        <w:t xml:space="preserve"> and </w:t>
      </w:r>
      <w:r w:rsidRPr="00E00EBC">
        <w:rPr>
          <w:rFonts w:cs="Times New Roman"/>
          <w:i/>
          <w:iCs/>
          <w:lang w:val="en-CA" w:bidi="en-US"/>
        </w:rPr>
        <w:t>Fice</w:t>
      </w:r>
      <w:r w:rsidRPr="00E00EBC">
        <w:rPr>
          <w:rFonts w:cs="Times New Roman"/>
          <w:iCs/>
          <w:lang w:val="en-CA" w:bidi="en-US"/>
        </w:rPr>
        <w:t>, that the relevant consideration is the global punishment, not the sentence imposed (</w:t>
      </w:r>
      <w:r w:rsidRPr="00E00EBC">
        <w:rPr>
          <w:rFonts w:cs="Times New Roman"/>
          <w:i/>
          <w:iCs/>
          <w:lang w:val="en-CA" w:bidi="en-US"/>
        </w:rPr>
        <w:t>R. v. Walker</w:t>
      </w:r>
      <w:r w:rsidRPr="00E00EBC">
        <w:rPr>
          <w:rFonts w:cs="Times New Roman"/>
          <w:iCs/>
          <w:lang w:val="en-CA" w:bidi="en-US"/>
        </w:rPr>
        <w:t>, 2017 ONCA 39, 345 C.C.C. (3d) 497, at paras. 20</w:t>
      </w:r>
      <w:r w:rsidRPr="00E00EBC">
        <w:rPr>
          <w:rFonts w:cs="Times New Roman"/>
          <w:iCs/>
          <w:lang w:val="en-CA" w:bidi="en-US"/>
        </w:rPr>
        <w:noBreakHyphen/>
        <w:t xml:space="preserve">26; </w:t>
      </w:r>
      <w:r w:rsidRPr="00E00EBC">
        <w:rPr>
          <w:rFonts w:cs="Times New Roman"/>
          <w:i/>
          <w:iCs/>
          <w:lang w:val="en-CA" w:bidi="en-US"/>
        </w:rPr>
        <w:t>R. v. Severight</w:t>
      </w:r>
      <w:r w:rsidRPr="00E00EBC">
        <w:rPr>
          <w:rFonts w:cs="Times New Roman"/>
          <w:iCs/>
          <w:lang w:val="en-CA" w:bidi="en-US"/>
        </w:rPr>
        <w:t xml:space="preserve">, 2014 ABCA 25, 566 A.R. 344, at para. 32; </w:t>
      </w:r>
      <w:r w:rsidRPr="00E00EBC">
        <w:rPr>
          <w:rFonts w:cs="Times New Roman"/>
          <w:i/>
          <w:iCs/>
          <w:lang w:val="en-CA" w:bidi="en-US"/>
        </w:rPr>
        <w:t>R. v. LeBlanc</w:t>
      </w:r>
      <w:r w:rsidRPr="00E00EBC">
        <w:rPr>
          <w:rFonts w:cs="Times New Roman"/>
          <w:iCs/>
          <w:lang w:val="en-CA" w:bidi="en-US"/>
        </w:rPr>
        <w:t>, 2005 NBCA 6, 279 N.B.R. (2d) 121, at para. 63).</w:t>
      </w:r>
    </w:p>
    <w:p w14:paraId="597E0E67" w14:textId="77777777" w:rsidR="00746949" w:rsidRPr="00E00EBC" w:rsidRDefault="00746949" w:rsidP="00746949">
      <w:pPr>
        <w:pStyle w:val="ParaNoNdepar-AltN"/>
        <w:spacing w:before="0"/>
        <w:rPr>
          <w:rFonts w:cs="Times New Roman"/>
          <w:lang w:val="en-CA"/>
        </w:rPr>
      </w:pPr>
      <w:r w:rsidRPr="00E00EBC">
        <w:rPr>
          <w:rFonts w:cs="Times New Roman"/>
          <w:lang w:val="en-CA"/>
        </w:rPr>
        <w:t>The distinction between “</w:t>
      </w:r>
      <w:r w:rsidRPr="00E00EBC">
        <w:rPr>
          <w:rFonts w:cs="Times New Roman"/>
          <w:i/>
          <w:lang w:val="en-CA"/>
        </w:rPr>
        <w:t>peine</w:t>
      </w:r>
      <w:r w:rsidRPr="00E00EBC">
        <w:rPr>
          <w:rFonts w:cs="Times New Roman"/>
          <w:lang w:val="en-CA"/>
        </w:rPr>
        <w:t>” in the sense of punishment and “</w:t>
      </w:r>
      <w:r w:rsidRPr="00E00EBC">
        <w:rPr>
          <w:rFonts w:cs="Times New Roman"/>
          <w:i/>
          <w:lang w:val="en-CA"/>
        </w:rPr>
        <w:t>peine</w:t>
      </w:r>
      <w:r w:rsidRPr="00E00EBC">
        <w:rPr>
          <w:rFonts w:cs="Times New Roman"/>
          <w:lang w:val="en-CA"/>
        </w:rPr>
        <w:t xml:space="preserve">” in the sense of a sentence is recognized in the French lexicon of Canadian law, </w:t>
      </w:r>
      <w:proofErr w:type="gramStart"/>
      <w:r w:rsidRPr="00E00EBC">
        <w:rPr>
          <w:rFonts w:cs="Times New Roman"/>
          <w:lang w:val="en-CA"/>
        </w:rPr>
        <w:t>taking into account</w:t>
      </w:r>
      <w:proofErr w:type="gramEnd"/>
      <w:r w:rsidRPr="00E00EBC">
        <w:rPr>
          <w:rFonts w:cs="Times New Roman"/>
          <w:lang w:val="en-CA"/>
        </w:rPr>
        <w:t xml:space="preserve"> the polysemy of the term “</w:t>
      </w:r>
      <w:r w:rsidRPr="00E00EBC">
        <w:rPr>
          <w:rFonts w:cs="Times New Roman"/>
          <w:i/>
          <w:lang w:val="en-CA"/>
        </w:rPr>
        <w:t>peine</w:t>
      </w:r>
      <w:r w:rsidRPr="00E00EBC">
        <w:rPr>
          <w:rFonts w:cs="Times New Roman"/>
          <w:lang w:val="en-CA"/>
        </w:rPr>
        <w:t xml:space="preserve">” (Canadian Sentencing </w:t>
      </w:r>
      <w:r w:rsidRPr="00E00EBC">
        <w:rPr>
          <w:rFonts w:cs="Times New Roman"/>
          <w:lang w:val="en-CA" w:bidi="en-US"/>
        </w:rPr>
        <w:t>Commission (1987), at pp. 108 and 111)</w:t>
      </w:r>
      <w:r w:rsidRPr="00E00EBC">
        <w:rPr>
          <w:rFonts w:cs="Times New Roman"/>
          <w:lang w:val="en-CA"/>
        </w:rPr>
        <w:t xml:space="preserve">. Indeed, depending on the context, this term may refer either to the global punishment imposed on an offender or to the sentence handed down to an offender (see the Quebec Court of Appeal’s </w:t>
      </w:r>
      <w:r w:rsidRPr="00E00EBC">
        <w:rPr>
          <w:rFonts w:cs="Times New Roman"/>
          <w:i/>
          <w:lang w:val="en-CA"/>
        </w:rPr>
        <w:t>Lexique en droit pénal</w:t>
      </w:r>
      <w:r w:rsidRPr="00E00EBC">
        <w:rPr>
          <w:rFonts w:cs="Times New Roman"/>
          <w:lang w:val="en-CA"/>
        </w:rPr>
        <w:t xml:space="preserve"> (online)). This prompted the Commission to observe the fundamental difference between </w:t>
      </w:r>
      <w:r w:rsidRPr="00E00EBC">
        <w:rPr>
          <w:rFonts w:cs="Times New Roman"/>
          <w:lang w:val="en-CA" w:bidi="en-US"/>
        </w:rPr>
        <w:t>“</w:t>
      </w:r>
      <w:r w:rsidRPr="00E00EBC">
        <w:rPr>
          <w:rFonts w:cs="Times New Roman"/>
          <w:i/>
          <w:lang w:val="en-CA" w:bidi="en-US"/>
        </w:rPr>
        <w:t>peine</w:t>
      </w:r>
      <w:r w:rsidRPr="00E00EBC">
        <w:rPr>
          <w:rFonts w:cs="Times New Roman"/>
          <w:lang w:val="en-CA" w:bidi="en-US"/>
        </w:rPr>
        <w:t xml:space="preserve">”, in </w:t>
      </w:r>
      <w:r w:rsidRPr="00E00EBC">
        <w:rPr>
          <w:rFonts w:cs="Times New Roman"/>
          <w:lang w:val="en-CA" w:bidi="en-US"/>
        </w:rPr>
        <w:lastRenderedPageBreak/>
        <w:t xml:space="preserve">the sense of punishment, and sentence. </w:t>
      </w:r>
      <w:r w:rsidRPr="00E00EBC">
        <w:rPr>
          <w:rFonts w:cs="Times New Roman"/>
          <w:lang w:val="en-CA"/>
        </w:rPr>
        <w:t xml:space="preserve">The </w:t>
      </w:r>
      <w:r w:rsidRPr="00E00EBC">
        <w:rPr>
          <w:rFonts w:cs="Times New Roman"/>
          <w:i/>
          <w:lang w:val="en-CA"/>
        </w:rPr>
        <w:t>Juridictionnaire</w:t>
      </w:r>
      <w:r w:rsidRPr="00E00EBC">
        <w:rPr>
          <w:rFonts w:cs="Times New Roman"/>
          <w:lang w:val="en-CA"/>
        </w:rPr>
        <w:t>, a Canadian jurilinguistic study published by the Centre de traduction et de terminologie juridiques of the Université de Moncton, also draws this distinction, noting that [</w:t>
      </w:r>
      <w:r w:rsidRPr="00E00EBC">
        <w:rPr>
          <w:rFonts w:cs="Times New Roman"/>
          <w:smallCaps/>
          <w:lang w:val="en-CA"/>
        </w:rPr>
        <w:t>translation</w:t>
      </w:r>
      <w:r w:rsidRPr="00E00EBC">
        <w:rPr>
          <w:rFonts w:cs="Times New Roman"/>
          <w:lang w:val="en-CA"/>
        </w:rPr>
        <w:t xml:space="preserve">] “[t]he </w:t>
      </w:r>
      <w:r w:rsidRPr="00E00EBC">
        <w:rPr>
          <w:rFonts w:cs="Times New Roman"/>
          <w:i/>
          <w:lang w:val="en-CA"/>
        </w:rPr>
        <w:t>peine</w:t>
      </w:r>
      <w:r w:rsidRPr="00E00EBC">
        <w:rPr>
          <w:rFonts w:cs="Times New Roman"/>
          <w:lang w:val="en-CA"/>
        </w:rPr>
        <w:t xml:space="preserve"> [in the sense of “punishment”] is the sanction </w:t>
      </w:r>
      <w:r w:rsidRPr="00E00EBC">
        <w:rPr>
          <w:rFonts w:cs="Times New Roman"/>
          <w:i/>
          <w:lang w:val="en-CA"/>
        </w:rPr>
        <w:t>incurred</w:t>
      </w:r>
      <w:r w:rsidRPr="00E00EBC">
        <w:rPr>
          <w:rFonts w:cs="Times New Roman"/>
          <w:lang w:val="en-CA"/>
        </w:rPr>
        <w:t xml:space="preserve">, whereas the </w:t>
      </w:r>
      <w:r w:rsidRPr="00E00EBC">
        <w:rPr>
          <w:rFonts w:cs="Times New Roman"/>
          <w:i/>
          <w:lang w:val="en-CA"/>
        </w:rPr>
        <w:t>sentence</w:t>
      </w:r>
      <w:r w:rsidRPr="00E00EBC">
        <w:rPr>
          <w:rFonts w:cs="Times New Roman"/>
          <w:lang w:val="en-CA"/>
        </w:rPr>
        <w:t xml:space="preserve"> is the judicial decision </w:t>
      </w:r>
      <w:r w:rsidRPr="00E00EBC">
        <w:rPr>
          <w:rFonts w:cs="Times New Roman"/>
          <w:i/>
          <w:lang w:val="en-CA"/>
        </w:rPr>
        <w:t>imposing a punishment</w:t>
      </w:r>
      <w:r w:rsidRPr="00E00EBC">
        <w:rPr>
          <w:rFonts w:cs="Times New Roman"/>
          <w:lang w:val="en-CA"/>
        </w:rPr>
        <w:t xml:space="preserve">” (J. Picotte, </w:t>
      </w:r>
      <w:r w:rsidRPr="00E00EBC">
        <w:rPr>
          <w:rFonts w:cs="Times New Roman"/>
          <w:i/>
          <w:lang w:val="en-CA"/>
        </w:rPr>
        <w:t>Juridictionnaire: Recueil des difficultés et des ressources du français juridique</w:t>
      </w:r>
      <w:r w:rsidRPr="00E00EBC">
        <w:rPr>
          <w:rFonts w:cs="Times New Roman"/>
          <w:lang w:val="en-CA"/>
        </w:rPr>
        <w:t>, October 15, 2018 (online), at p. 2035, para. 24 (emphasis in original)). In other words, whereas a sentence commences when it is handed down by a court, punishment encompasses [</w:t>
      </w:r>
      <w:r w:rsidRPr="00E00EBC">
        <w:rPr>
          <w:rFonts w:cs="Times New Roman"/>
          <w:smallCaps/>
          <w:lang w:val="en-CA"/>
        </w:rPr>
        <w:t>translation</w:t>
      </w:r>
      <w:r w:rsidRPr="00E00EBC">
        <w:rPr>
          <w:rFonts w:cs="Times New Roman"/>
          <w:lang w:val="en-CA"/>
        </w:rPr>
        <w:t xml:space="preserve">] “[a]ny sanction imposed by a judicial authority in the application of a criminal statute” (H. Dumont, </w:t>
      </w:r>
      <w:r w:rsidRPr="00E00EBC">
        <w:rPr>
          <w:rFonts w:cs="Times New Roman"/>
          <w:i/>
          <w:lang w:val="en-CA"/>
        </w:rPr>
        <w:t>Pénologie: Le droit canadien relatif aux peines et aux sentences</w:t>
      </w:r>
      <w:r w:rsidRPr="00E00EBC">
        <w:rPr>
          <w:rFonts w:cs="Times New Roman"/>
          <w:lang w:val="en-CA"/>
        </w:rPr>
        <w:t xml:space="preserve"> (1993), at p. 47).</w:t>
      </w:r>
    </w:p>
    <w:p w14:paraId="53FB6CBE" w14:textId="77777777" w:rsidR="00746949" w:rsidRPr="00E00EBC" w:rsidRDefault="00746949" w:rsidP="00746949">
      <w:pPr>
        <w:pStyle w:val="ParaNoNdepar-AltN"/>
        <w:spacing w:before="0"/>
        <w:rPr>
          <w:rFonts w:cs="Times New Roman"/>
          <w:lang w:bidi="en-US"/>
        </w:rPr>
      </w:pPr>
      <w:r w:rsidRPr="00E00EBC">
        <w:rPr>
          <w:rFonts w:cs="Times New Roman"/>
          <w:lang w:val="en-US"/>
        </w:rPr>
        <w:t>The double meaning of the French term “</w:t>
      </w:r>
      <w:r w:rsidRPr="00E00EBC">
        <w:rPr>
          <w:rFonts w:cs="Times New Roman"/>
          <w:i/>
          <w:lang w:val="en-US"/>
        </w:rPr>
        <w:t>peine</w:t>
      </w:r>
      <w:r w:rsidRPr="00E00EBC">
        <w:rPr>
          <w:rFonts w:cs="Times New Roman"/>
          <w:lang w:val="en-US"/>
        </w:rPr>
        <w:t xml:space="preserve">” is illustrated in several places in the </w:t>
      </w:r>
      <w:r w:rsidRPr="00E00EBC">
        <w:rPr>
          <w:rFonts w:cs="Times New Roman"/>
          <w:i/>
          <w:lang w:val="en-US"/>
        </w:rPr>
        <w:t>Criminal Code</w:t>
      </w:r>
      <w:r w:rsidRPr="00E00EBC">
        <w:rPr>
          <w:rFonts w:cs="Times New Roman"/>
          <w:lang w:val="en-US"/>
        </w:rPr>
        <w:t>. For example, s. 718.3(2), which limits judicial discretion where a mandatory minimum punishment exists, uses the term “</w:t>
      </w:r>
      <w:r w:rsidRPr="00E00EBC">
        <w:rPr>
          <w:rFonts w:cs="Times New Roman"/>
          <w:i/>
          <w:lang w:val="en-US"/>
        </w:rPr>
        <w:t>peine</w:t>
      </w:r>
      <w:r w:rsidRPr="00E00EBC">
        <w:rPr>
          <w:rFonts w:cs="Times New Roman"/>
          <w:lang w:val="en-US"/>
        </w:rPr>
        <w:t>” as the equivalent of the English “punishment”. In contrast, s. 719(1), which states that “</w:t>
      </w:r>
      <w:r w:rsidRPr="00E00EBC">
        <w:rPr>
          <w:rFonts w:cs="Times New Roman"/>
          <w:lang w:val="en-US" w:bidi="en-US"/>
        </w:rPr>
        <w:t>[a]</w:t>
      </w:r>
      <w:r w:rsidRPr="00E00EBC">
        <w:rPr>
          <w:rFonts w:cs="Times New Roman"/>
          <w:lang w:val="en-US"/>
        </w:rPr>
        <w:t xml:space="preserve"> </w:t>
      </w:r>
      <w:r w:rsidRPr="00E00EBC">
        <w:rPr>
          <w:rFonts w:cs="Times New Roman"/>
          <w:lang w:val="en-US" w:bidi="en-US"/>
        </w:rPr>
        <w:t>sentence commences when it is imposed”, also uses the term “</w:t>
      </w:r>
      <w:r w:rsidRPr="00E00EBC">
        <w:rPr>
          <w:rFonts w:cs="Times New Roman"/>
          <w:i/>
          <w:lang w:val="en-US" w:bidi="en-US"/>
        </w:rPr>
        <w:t>peine</w:t>
      </w:r>
      <w:r w:rsidRPr="00E00EBC">
        <w:rPr>
          <w:rFonts w:cs="Times New Roman"/>
          <w:lang w:val="en-US" w:bidi="en-US"/>
        </w:rPr>
        <w:t>” in French, but this time</w:t>
      </w:r>
      <w:r w:rsidRPr="00E00EBC">
        <w:rPr>
          <w:rFonts w:cs="Times New Roman"/>
          <w:lang w:val="en-US"/>
        </w:rPr>
        <w:t xml:space="preserve"> as the parallel to the English term “sentence”. The identification of the exact English equivalent of the term “</w:t>
      </w:r>
      <w:r w:rsidRPr="00E00EBC">
        <w:rPr>
          <w:rFonts w:cs="Times New Roman"/>
          <w:i/>
          <w:lang w:val="en-US"/>
        </w:rPr>
        <w:t>peine</w:t>
      </w:r>
      <w:r w:rsidRPr="00E00EBC">
        <w:rPr>
          <w:rFonts w:cs="Times New Roman"/>
          <w:lang w:val="en-US"/>
        </w:rPr>
        <w:t xml:space="preserve">” (be it “punishment” or “sentence”) depends on the context; this doublet may therefore give rise to interpretative difficulties in Canadian criminal law, where the rules for interpreting the bilingual legislative lexicon give each language version of an enactment an equal role in stating the law. </w:t>
      </w:r>
      <w:r w:rsidRPr="00E00EBC">
        <w:rPr>
          <w:rFonts w:cs="Times New Roman"/>
          <w:lang w:val="en-CA"/>
        </w:rPr>
        <w:t xml:space="preserve">Of course, this is not to say that the English word “sentence” is exclusively used to refer to the </w:t>
      </w:r>
      <w:r w:rsidRPr="00E00EBC">
        <w:rPr>
          <w:rFonts w:cs="Times New Roman"/>
          <w:lang w:val="en-CA"/>
        </w:rPr>
        <w:lastRenderedPageBreak/>
        <w:t>judicial decision imposing a punishment. By way of example, the phrase “fit sentence” (often stated in French as “</w:t>
      </w:r>
      <w:r w:rsidRPr="00E00EBC">
        <w:rPr>
          <w:rFonts w:cs="Times New Roman"/>
          <w:i/>
          <w:lang w:val="en-CA"/>
        </w:rPr>
        <w:t>peine juste</w:t>
      </w:r>
      <w:r w:rsidRPr="00E00EBC">
        <w:rPr>
          <w:rFonts w:cs="Times New Roman"/>
          <w:lang w:val="en-CA"/>
        </w:rPr>
        <w:t xml:space="preserve">”) typically refers to the idea of an appropriate global punishment (see, e.g., </w:t>
      </w:r>
      <w:r w:rsidRPr="00E00EBC">
        <w:rPr>
          <w:rFonts w:cs="Times New Roman"/>
          <w:i/>
          <w:lang w:val="en-CA"/>
        </w:rPr>
        <w:t>R. v. Hills</w:t>
      </w:r>
      <w:r w:rsidRPr="00E00EBC">
        <w:rPr>
          <w:rFonts w:cs="Times New Roman"/>
          <w:lang w:val="en-CA"/>
        </w:rPr>
        <w:t>, 2023 SCC 2, at para. 45).</w:t>
      </w:r>
    </w:p>
    <w:p w14:paraId="6F87A15E" w14:textId="77777777" w:rsidR="00746949" w:rsidRPr="00E00EBC" w:rsidRDefault="00746949" w:rsidP="00746949">
      <w:pPr>
        <w:pStyle w:val="ParaNoNdepar-AltN"/>
        <w:spacing w:before="0"/>
        <w:rPr>
          <w:rFonts w:cs="Times New Roman"/>
          <w:lang w:val="en-US" w:bidi="en-US"/>
        </w:rPr>
      </w:pPr>
      <w:proofErr w:type="gramStart"/>
      <w:r w:rsidRPr="00E00EBC">
        <w:rPr>
          <w:rFonts w:cs="Times New Roman"/>
          <w:lang w:val="en-US"/>
        </w:rPr>
        <w:t>In light of</w:t>
      </w:r>
      <w:proofErr w:type="gramEnd"/>
      <w:r w:rsidRPr="00E00EBC">
        <w:rPr>
          <w:rFonts w:cs="Times New Roman"/>
          <w:lang w:val="en-US"/>
        </w:rPr>
        <w:t xml:space="preserve"> this reality, and beyond the terminology used, particular attention should be paid to the purpose and context of the relevant provisions (</w:t>
      </w:r>
      <w:r w:rsidRPr="00E00EBC">
        <w:rPr>
          <w:rFonts w:cs="Times New Roman"/>
          <w:i/>
          <w:lang w:val="en-US"/>
        </w:rPr>
        <w:t>Wust</w:t>
      </w:r>
      <w:r w:rsidRPr="00E00EBC">
        <w:rPr>
          <w:rFonts w:cs="Times New Roman"/>
          <w:lang w:val="en-US"/>
        </w:rPr>
        <w:t>, at para. </w:t>
      </w:r>
      <w:r w:rsidRPr="00145B55">
        <w:rPr>
          <w:rFonts w:cs="Times New Roman"/>
          <w:lang w:val="en-US"/>
        </w:rPr>
        <w:t>36).</w:t>
      </w:r>
      <w:r w:rsidRPr="00145B55">
        <w:rPr>
          <w:rFonts w:cs="Times New Roman"/>
          <w:lang w:val="en-US" w:bidi="en-US"/>
        </w:rPr>
        <w:t xml:space="preserve"> </w:t>
      </w:r>
      <w:r w:rsidRPr="00E00EBC">
        <w:rPr>
          <w:rFonts w:cs="Times New Roman"/>
          <w:lang w:val="en-US" w:bidi="en-US"/>
        </w:rPr>
        <w:t>It is true that</w:t>
      </w:r>
      <w:r w:rsidRPr="00E00EBC">
        <w:rPr>
          <w:rFonts w:cs="Times New Roman"/>
          <w:szCs w:val="24"/>
          <w:lang w:val="en-US"/>
        </w:rPr>
        <w:t xml:space="preserve">, </w:t>
      </w:r>
      <w:proofErr w:type="gramStart"/>
      <w:r w:rsidRPr="00E00EBC">
        <w:rPr>
          <w:rFonts w:cs="Times New Roman"/>
          <w:szCs w:val="24"/>
          <w:lang w:val="en-US"/>
        </w:rPr>
        <w:t>as a general rule</w:t>
      </w:r>
      <w:proofErr w:type="gramEnd"/>
      <w:r w:rsidRPr="00E00EBC">
        <w:rPr>
          <w:rFonts w:cs="Times New Roman"/>
          <w:szCs w:val="24"/>
          <w:lang w:val="en-US"/>
        </w:rPr>
        <w:t>, Parliament can be expected to exercise [</w:t>
      </w:r>
      <w:r w:rsidRPr="00E00EBC">
        <w:rPr>
          <w:rFonts w:cs="Times New Roman"/>
          <w:smallCaps/>
          <w:szCs w:val="24"/>
          <w:lang w:val="en-US"/>
        </w:rPr>
        <w:t>translation</w:t>
      </w:r>
      <w:r w:rsidRPr="00E00EBC">
        <w:rPr>
          <w:rFonts w:cs="Times New Roman"/>
          <w:szCs w:val="24"/>
          <w:lang w:val="en-US"/>
        </w:rPr>
        <w:t xml:space="preserve">] “discipline” in legislative expression by not giving the same word different meanings in the same statute (G. Cornu, </w:t>
      </w:r>
      <w:r w:rsidRPr="00E00EBC">
        <w:rPr>
          <w:rFonts w:cs="Times New Roman"/>
          <w:i/>
          <w:szCs w:val="24"/>
          <w:lang w:val="en-US"/>
        </w:rPr>
        <w:t>Linguistique juridique</w:t>
      </w:r>
      <w:r w:rsidRPr="00E00EBC">
        <w:rPr>
          <w:rFonts w:cs="Times New Roman"/>
          <w:szCs w:val="24"/>
          <w:lang w:val="en-US"/>
        </w:rPr>
        <w:t xml:space="preserve"> (3rd ed. 2005), at p. 105). In this vein, Professors Côté and Devinat refer to the [</w:t>
      </w:r>
      <w:r w:rsidRPr="00E00EBC">
        <w:rPr>
          <w:rFonts w:cs="Times New Roman"/>
          <w:smallCaps/>
          <w:szCs w:val="24"/>
          <w:lang w:val="en-US"/>
        </w:rPr>
        <w:t>translation</w:t>
      </w:r>
      <w:r w:rsidRPr="00E00EBC">
        <w:rPr>
          <w:rFonts w:cs="Times New Roman"/>
          <w:szCs w:val="24"/>
          <w:lang w:val="en-US"/>
        </w:rPr>
        <w:t>] “principle of uniformity of expression” with which Parliament strives to comply and which, in statutory interpretation, justifies a presumption that “a word has the same meaning throughout” a statute (Nos. 1142</w:t>
      </w:r>
      <w:r w:rsidRPr="00E00EBC">
        <w:rPr>
          <w:rFonts w:cs="Times New Roman"/>
          <w:szCs w:val="24"/>
          <w:lang w:val="en-US"/>
        </w:rPr>
        <w:noBreakHyphen/>
        <w:t>43). They recognize, however, that this presumption [</w:t>
      </w:r>
      <w:r w:rsidRPr="00E00EBC">
        <w:rPr>
          <w:rFonts w:cs="Times New Roman"/>
          <w:smallCaps/>
          <w:szCs w:val="24"/>
          <w:lang w:val="en-US"/>
        </w:rPr>
        <w:t>translation</w:t>
      </w:r>
      <w:r w:rsidRPr="00E00EBC">
        <w:rPr>
          <w:rFonts w:cs="Times New Roman"/>
          <w:szCs w:val="24"/>
          <w:lang w:val="en-US"/>
        </w:rPr>
        <w:t xml:space="preserve">] “must give way when circumstances demonstrate that such was not the intention pursued by Parliament” (No. 1146, quoting </w:t>
      </w:r>
      <w:r w:rsidRPr="00E00EBC">
        <w:rPr>
          <w:rFonts w:cs="Times New Roman"/>
          <w:i/>
          <w:szCs w:val="24"/>
          <w:lang w:val="en-US"/>
        </w:rPr>
        <w:t>Schwartz v. Canada</w:t>
      </w:r>
      <w:r w:rsidRPr="00E00EBC">
        <w:rPr>
          <w:rFonts w:cs="Times New Roman"/>
          <w:szCs w:val="24"/>
          <w:lang w:val="en-US"/>
        </w:rPr>
        <w:t>, [1996] 1 S.C.R. 254, at para. 61). In my view, this is such a case. The word “</w:t>
      </w:r>
      <w:r w:rsidRPr="00E00EBC">
        <w:rPr>
          <w:rFonts w:cs="Times New Roman"/>
          <w:i/>
          <w:szCs w:val="24"/>
          <w:lang w:val="en-US"/>
        </w:rPr>
        <w:t>peine</w:t>
      </w:r>
      <w:r w:rsidRPr="00E00EBC">
        <w:rPr>
          <w:rFonts w:cs="Times New Roman"/>
          <w:szCs w:val="24"/>
          <w:lang w:val="en-US"/>
        </w:rPr>
        <w:t xml:space="preserve">” is used in different ways in the </w:t>
      </w:r>
      <w:r w:rsidRPr="00E00EBC">
        <w:rPr>
          <w:rFonts w:cs="Times New Roman"/>
          <w:i/>
          <w:szCs w:val="24"/>
          <w:lang w:val="en-US"/>
        </w:rPr>
        <w:t>Criminal Code</w:t>
      </w:r>
      <w:r w:rsidRPr="00E00EBC">
        <w:rPr>
          <w:rFonts w:cs="Times New Roman"/>
          <w:szCs w:val="24"/>
          <w:lang w:val="en-US"/>
        </w:rPr>
        <w:t xml:space="preserve">, sometimes to refer to a sentence, that is, a judicial decision, and sometimes to refer to a punishment. </w:t>
      </w:r>
      <w:r w:rsidRPr="00E00EBC">
        <w:rPr>
          <w:rFonts w:cs="Times New Roman"/>
          <w:szCs w:val="24"/>
          <w:lang w:val="en-CA"/>
        </w:rPr>
        <w:t>I note that most cases not involving pre</w:t>
      </w:r>
      <w:r w:rsidRPr="00E00EBC">
        <w:rPr>
          <w:rFonts w:cs="Times New Roman"/>
          <w:szCs w:val="24"/>
          <w:lang w:val="en-CA"/>
        </w:rPr>
        <w:noBreakHyphen/>
        <w:t>sentence prohibition orders or custody do not hinge on the conceptual distinction between “sentence” and “punishment”.</w:t>
      </w:r>
    </w:p>
    <w:p w14:paraId="41468604" w14:textId="77777777" w:rsidR="00746949" w:rsidRPr="00E00EBC" w:rsidRDefault="00746949" w:rsidP="00746949">
      <w:pPr>
        <w:pStyle w:val="ParaNoNdepar-AltN"/>
        <w:tabs>
          <w:tab w:val="clear" w:pos="1152"/>
          <w:tab w:val="left" w:pos="1166"/>
        </w:tabs>
        <w:spacing w:before="0"/>
        <w:rPr>
          <w:rFonts w:cs="Times New Roman"/>
          <w:lang w:val="en-CA" w:bidi="en-US"/>
        </w:rPr>
      </w:pPr>
      <w:r w:rsidRPr="00E00EBC">
        <w:rPr>
          <w:rFonts w:cs="Times New Roman"/>
          <w:lang w:val="en-CA" w:bidi="en-US"/>
        </w:rPr>
        <w:t>With this distinction in mind, I observe that the appellant’s position as set out in her factum could be a source of confusion.</w:t>
      </w:r>
      <w:r w:rsidRPr="00E00EBC">
        <w:rPr>
          <w:rFonts w:cs="Times New Roman"/>
          <w:lang w:val="en-CA"/>
        </w:rPr>
        <w:t xml:space="preserve"> She suggests that granting credit </w:t>
      </w:r>
      <w:r w:rsidRPr="00E00EBC">
        <w:rPr>
          <w:rFonts w:cs="Times New Roman"/>
          <w:lang w:val="en-CA"/>
        </w:rPr>
        <w:lastRenderedPageBreak/>
        <w:t xml:space="preserve">results in the imposition of a prohibition period that is less than the statutory minimum. This approach reflects a line of cases, exemplified by </w:t>
      </w:r>
      <w:r w:rsidRPr="00E00EBC">
        <w:rPr>
          <w:rFonts w:cs="Times New Roman"/>
          <w:i/>
          <w:lang w:val="en-CA"/>
        </w:rPr>
        <w:t>R. v. Sohal</w:t>
      </w:r>
      <w:r w:rsidRPr="00E00EBC">
        <w:rPr>
          <w:rFonts w:cs="Times New Roman"/>
          <w:lang w:val="en-CA"/>
        </w:rPr>
        <w:t xml:space="preserve">, 2019 ABCA 293, 91 Alta. L.R. (6th) 48, in which courts appear not to distinguish between the concepts of punishment and sentence. This approach suggests, mistakenly in my respectful view, that the enactment of a mandatory minimum by Parliament requires a court to hand down a minimum </w:t>
      </w:r>
      <w:r w:rsidRPr="00E00EBC">
        <w:rPr>
          <w:rFonts w:cs="Times New Roman"/>
          <w:i/>
          <w:lang w:val="en-CA"/>
        </w:rPr>
        <w:t>sentence</w:t>
      </w:r>
      <w:r w:rsidRPr="00E00EBC">
        <w:rPr>
          <w:rFonts w:cs="Times New Roman"/>
          <w:lang w:val="en-CA"/>
        </w:rPr>
        <w:t xml:space="preserve"> (see also </w:t>
      </w:r>
      <w:r w:rsidRPr="00E00EBC">
        <w:rPr>
          <w:rFonts w:cs="Times New Roman"/>
          <w:i/>
          <w:lang w:val="en-CA"/>
        </w:rPr>
        <w:t>R. v. Fox</w:t>
      </w:r>
      <w:r w:rsidRPr="00E00EBC">
        <w:rPr>
          <w:rFonts w:cs="Times New Roman"/>
          <w:lang w:val="en-CA"/>
        </w:rPr>
        <w:t xml:space="preserve">, 2022 ABQB 132, 89 M.V.R. (7th) 23; </w:t>
      </w:r>
      <w:r w:rsidRPr="00E00EBC">
        <w:rPr>
          <w:rFonts w:cs="Times New Roman"/>
          <w:i/>
          <w:lang w:val="en-CA"/>
        </w:rPr>
        <w:t>R. v. Froese</w:t>
      </w:r>
      <w:r w:rsidRPr="00E00EBC">
        <w:rPr>
          <w:rFonts w:cs="Times New Roman"/>
          <w:lang w:val="en-CA"/>
        </w:rPr>
        <w:t xml:space="preserve">, 2020 MBQB 11, 461 C.R.R. (2d) 1; </w:t>
      </w:r>
      <w:r w:rsidRPr="00E00EBC">
        <w:rPr>
          <w:rFonts w:cs="Times New Roman"/>
          <w:i/>
          <w:lang w:val="en-CA"/>
        </w:rPr>
        <w:t>R. v. Osnach</w:t>
      </w:r>
      <w:r w:rsidRPr="00E00EBC">
        <w:rPr>
          <w:rFonts w:cs="Times New Roman"/>
          <w:lang w:val="en-CA"/>
        </w:rPr>
        <w:t>, 2019 MBPC 1, 38 M.V.R. (7th) 257;</w:t>
      </w:r>
      <w:r w:rsidRPr="00E00EBC">
        <w:rPr>
          <w:rFonts w:cs="Times New Roman"/>
          <w:i/>
          <w:lang w:val="en-CA"/>
        </w:rPr>
        <w:t xml:space="preserve"> R. v. Bryden</w:t>
      </w:r>
      <w:r w:rsidRPr="00E00EBC">
        <w:rPr>
          <w:rFonts w:cs="Times New Roman"/>
          <w:lang w:val="en-CA"/>
        </w:rPr>
        <w:t>, 2007 NBQB 316, 323 N.B.R. (2d) 119). According to this approach, there is no legal basis for reducing a mandatory minimum sentence because “[t]he inherent discretion of the court must yield to statutory language” (</w:t>
      </w:r>
      <w:r w:rsidRPr="00E00EBC">
        <w:rPr>
          <w:rFonts w:cs="Times New Roman"/>
          <w:i/>
          <w:lang w:val="en-CA"/>
        </w:rPr>
        <w:t>Sohal</w:t>
      </w:r>
      <w:r w:rsidRPr="00E00EBC">
        <w:rPr>
          <w:rFonts w:cs="Times New Roman"/>
          <w:lang w:val="en-CA"/>
        </w:rPr>
        <w:t>, at para. 15).</w:t>
      </w:r>
    </w:p>
    <w:p w14:paraId="49900C76" w14:textId="77777777" w:rsidR="00746949" w:rsidRPr="00E00EBC" w:rsidRDefault="00746949" w:rsidP="00746949">
      <w:pPr>
        <w:pStyle w:val="ParaNoNdepar-AltN"/>
        <w:tabs>
          <w:tab w:val="clear" w:pos="1152"/>
          <w:tab w:val="left" w:pos="1166"/>
        </w:tabs>
        <w:spacing w:before="0"/>
        <w:rPr>
          <w:rFonts w:cs="Times New Roman"/>
          <w:lang w:val="en-CA" w:bidi="en-US"/>
        </w:rPr>
      </w:pPr>
      <w:r w:rsidRPr="00E00EBC">
        <w:rPr>
          <w:rFonts w:cs="Times New Roman"/>
          <w:lang w:val="en-CA"/>
        </w:rPr>
        <w:t xml:space="preserve">However, when the appellant clarified her position at the hearing, she rightly recognized — as did the dissenting judge in this case — that a court has no choice but to impose the mandatory minimum prohibition expressly provided for in s. 259(1)(a). But the imposition of that minimum does not prevent the court, under the common law rule, from </w:t>
      </w:r>
      <w:proofErr w:type="gramStart"/>
      <w:r w:rsidRPr="00E00EBC">
        <w:rPr>
          <w:rFonts w:cs="Times New Roman"/>
          <w:lang w:val="en-CA"/>
        </w:rPr>
        <w:t>taking into account</w:t>
      </w:r>
      <w:proofErr w:type="gramEnd"/>
      <w:r w:rsidRPr="00E00EBC">
        <w:rPr>
          <w:rFonts w:cs="Times New Roman"/>
          <w:lang w:val="en-CA"/>
        </w:rPr>
        <w:t xml:space="preserve"> the pre</w:t>
      </w:r>
      <w:r w:rsidRPr="00E00EBC">
        <w:rPr>
          <w:rFonts w:cs="Times New Roman"/>
          <w:lang w:val="en-CA"/>
        </w:rPr>
        <w:noBreakHyphen/>
        <w:t>sentence prohibition period. Depending on the circumstances and at the sentencing judge’s discretion, this period may form part of the punishment if the effect of the prohibition is “the same” before and after the offender is sentenced (</w:t>
      </w:r>
      <w:r w:rsidRPr="00E00EBC">
        <w:rPr>
          <w:rFonts w:cs="Times New Roman"/>
          <w:i/>
          <w:lang w:val="en-CA"/>
        </w:rPr>
        <w:t>Lacasse</w:t>
      </w:r>
      <w:r w:rsidRPr="00E00EBC">
        <w:rPr>
          <w:rFonts w:cs="Times New Roman"/>
          <w:lang w:val="en-CA"/>
        </w:rPr>
        <w:t xml:space="preserve">, at para. 113). Otherwise, if the effect is not the same, the court may consider it only as a mitigating factor, not as a period that can be credited pursuant to the common law discretion (see MacPherson J.A.’s </w:t>
      </w:r>
      <w:r w:rsidRPr="00E00EBC">
        <w:rPr>
          <w:rFonts w:cs="Times New Roman"/>
          <w:lang w:val="en-CA"/>
        </w:rPr>
        <w:lastRenderedPageBreak/>
        <w:t xml:space="preserve">reasoning on this point in </w:t>
      </w:r>
      <w:r w:rsidRPr="00E00EBC">
        <w:rPr>
          <w:rFonts w:cs="Times New Roman"/>
          <w:i/>
          <w:lang w:val="en-CA"/>
        </w:rPr>
        <w:t>R. v. Panday</w:t>
      </w:r>
      <w:r w:rsidRPr="00E00EBC">
        <w:rPr>
          <w:rFonts w:cs="Times New Roman"/>
          <w:lang w:val="en-CA"/>
        </w:rPr>
        <w:t>, 2007 ONCA 598, 87 O.R. (3d) 1, at paras. 32</w:t>
      </w:r>
      <w:r w:rsidRPr="00E00EBC">
        <w:rPr>
          <w:rFonts w:cs="Times New Roman"/>
          <w:lang w:val="en-CA"/>
        </w:rPr>
        <w:noBreakHyphen/>
        <w:t>35).</w:t>
      </w:r>
    </w:p>
    <w:p w14:paraId="363AEFDF" w14:textId="77777777" w:rsidR="00746949" w:rsidRPr="00E00EBC" w:rsidRDefault="00746949" w:rsidP="00746949">
      <w:pPr>
        <w:pStyle w:val="ParaNoNdepar-AltN"/>
        <w:spacing w:before="0"/>
        <w:rPr>
          <w:rFonts w:cs="Times New Roman"/>
          <w:lang w:val="en-CA"/>
        </w:rPr>
      </w:pPr>
      <w:r w:rsidRPr="00E00EBC">
        <w:rPr>
          <w:rFonts w:cs="Times New Roman"/>
          <w:lang w:val="en-CA" w:bidi="en-US"/>
        </w:rPr>
        <w:t xml:space="preserve">In this appeal, </w:t>
      </w:r>
      <w:proofErr w:type="gramStart"/>
      <w:r w:rsidRPr="00E00EBC">
        <w:rPr>
          <w:rFonts w:cs="Times New Roman"/>
          <w:lang w:val="en-CA" w:bidi="en-US"/>
        </w:rPr>
        <w:t>in light of</w:t>
      </w:r>
      <w:proofErr w:type="gramEnd"/>
      <w:r w:rsidRPr="00E00EBC">
        <w:rPr>
          <w:rFonts w:cs="Times New Roman"/>
          <w:lang w:val="en-CA" w:bidi="en-US"/>
        </w:rPr>
        <w:t xml:space="preserve"> the distinction reiterated by Arbour J. in </w:t>
      </w:r>
      <w:r w:rsidRPr="00E00EBC">
        <w:rPr>
          <w:rFonts w:cs="Times New Roman"/>
          <w:i/>
          <w:lang w:val="en-CA" w:bidi="en-US"/>
        </w:rPr>
        <w:t>Wust</w:t>
      </w:r>
      <w:r w:rsidRPr="00E00EBC">
        <w:rPr>
          <w:rFonts w:cs="Times New Roman"/>
          <w:lang w:val="en-CA" w:bidi="en-US"/>
        </w:rPr>
        <w:t xml:space="preserve">, it is therefore important to determine whether s. 259(1)(a) requires that a minimum </w:t>
      </w:r>
      <w:r w:rsidRPr="00E00EBC">
        <w:rPr>
          <w:rFonts w:cs="Times New Roman"/>
          <w:i/>
          <w:lang w:val="en-CA" w:bidi="en-US"/>
        </w:rPr>
        <w:t>punishment</w:t>
      </w:r>
      <w:r w:rsidRPr="00E00EBC">
        <w:rPr>
          <w:rFonts w:cs="Times New Roman"/>
          <w:lang w:val="en-CA" w:bidi="en-US"/>
        </w:rPr>
        <w:t xml:space="preserve"> be imposed or that a minimum </w:t>
      </w:r>
      <w:r w:rsidRPr="00E00EBC">
        <w:rPr>
          <w:rFonts w:cs="Times New Roman"/>
          <w:i/>
          <w:lang w:val="en-CA" w:bidi="en-US"/>
        </w:rPr>
        <w:t>sentence</w:t>
      </w:r>
      <w:r w:rsidRPr="00E00EBC">
        <w:rPr>
          <w:rFonts w:cs="Times New Roman"/>
          <w:lang w:val="en-CA" w:bidi="en-US"/>
        </w:rPr>
        <w:t xml:space="preserve"> be handed down. This interpretative exercise is what will decide the outcome of the appeal. If the minimum driving prohibition in s. 259(1)(a) is a minimum punishment, this section will not affect the applicability of the common law rule. Ms. Basque’s pre</w:t>
      </w:r>
      <w:r w:rsidRPr="00E00EBC">
        <w:rPr>
          <w:rFonts w:cs="Times New Roman"/>
          <w:lang w:val="en-CA" w:bidi="en-US"/>
        </w:rPr>
        <w:noBreakHyphen/>
        <w:t>sentence driving prohibition can then “reduce” the ultimate length of her sentence in a manner consistent with Parliament’s direction that the minimum punishment must be for one year. Conversely, if s. 259(1)(a) provides for a one</w:t>
      </w:r>
      <w:r w:rsidRPr="00E00EBC">
        <w:rPr>
          <w:rFonts w:cs="Times New Roman"/>
          <w:lang w:val="en-CA" w:bidi="en-US"/>
        </w:rPr>
        <w:noBreakHyphen/>
        <w:t>year minimum sentence, Ms. Basque will have to serve an additional one</w:t>
      </w:r>
      <w:r w:rsidRPr="00E00EBC">
        <w:rPr>
          <w:rFonts w:cs="Times New Roman"/>
          <w:lang w:val="en-CA" w:bidi="en-US"/>
        </w:rPr>
        <w:noBreakHyphen/>
        <w:t xml:space="preserve">year driving prohibition since this mandatory sentence will necessarily be prospective (s. 719(1) </w:t>
      </w:r>
      <w:r w:rsidRPr="00E00EBC">
        <w:rPr>
          <w:rFonts w:cs="Times New Roman"/>
          <w:i/>
          <w:lang w:val="en-CA" w:bidi="en-US"/>
        </w:rPr>
        <w:t>Cr. C.</w:t>
      </w:r>
      <w:r w:rsidRPr="00E00EBC">
        <w:rPr>
          <w:rFonts w:cs="Times New Roman"/>
          <w:lang w:val="en-CA" w:bidi="en-US"/>
        </w:rPr>
        <w:t>).</w:t>
      </w:r>
    </w:p>
    <w:p w14:paraId="0E111229" w14:textId="77777777" w:rsidR="00746949" w:rsidRPr="00E00EBC" w:rsidRDefault="00746949" w:rsidP="00746949">
      <w:pPr>
        <w:pStyle w:val="Title4LevelTitre4Niveau"/>
        <w:numPr>
          <w:ilvl w:val="3"/>
          <w:numId w:val="10"/>
        </w:numPr>
        <w:spacing w:before="0"/>
        <w:rPr>
          <w:rFonts w:cs="Times New Roman"/>
        </w:rPr>
      </w:pPr>
      <w:bookmarkStart w:id="61" w:name="_Toc124075338"/>
      <w:r w:rsidRPr="00E00EBC">
        <w:rPr>
          <w:rFonts w:cs="Times New Roman"/>
        </w:rPr>
        <w:t xml:space="preserve">Section 259(1)(a) Provides for a Minimum Punishment, </w:t>
      </w:r>
      <w:proofErr w:type="gramStart"/>
      <w:r w:rsidRPr="00E00EBC">
        <w:rPr>
          <w:rFonts w:cs="Times New Roman"/>
        </w:rPr>
        <w:t>Not</w:t>
      </w:r>
      <w:proofErr w:type="gramEnd"/>
      <w:r w:rsidRPr="00E00EBC">
        <w:rPr>
          <w:rFonts w:cs="Times New Roman"/>
        </w:rPr>
        <w:t xml:space="preserve"> a Minimum Sentence</w:t>
      </w:r>
      <w:bookmarkEnd w:id="61"/>
    </w:p>
    <w:p w14:paraId="3FF261B2" w14:textId="77777777" w:rsidR="00746949" w:rsidRPr="00E00EBC" w:rsidRDefault="00746949" w:rsidP="00746949">
      <w:pPr>
        <w:pStyle w:val="ParaNoNdepar-AltN"/>
        <w:spacing w:before="0"/>
        <w:rPr>
          <w:rFonts w:cs="Times New Roman"/>
          <w:lang w:val="en-CA"/>
        </w:rPr>
      </w:pPr>
      <w:r w:rsidRPr="00E00EBC">
        <w:rPr>
          <w:rFonts w:cs="Times New Roman"/>
          <w:lang w:val="en-CA"/>
        </w:rPr>
        <w:t xml:space="preserve">In accordance with the modern approach to statutory interpretation, the meaning of s. 259(1)(a) </w:t>
      </w:r>
      <w:r w:rsidRPr="00E00EBC">
        <w:rPr>
          <w:rFonts w:cs="Times New Roman"/>
          <w:i/>
          <w:lang w:val="en-CA"/>
        </w:rPr>
        <w:t>Cr. C.</w:t>
      </w:r>
      <w:r w:rsidRPr="00E00EBC">
        <w:rPr>
          <w:rFonts w:cs="Times New Roman"/>
          <w:lang w:val="en-CA"/>
        </w:rPr>
        <w:t xml:space="preserve"> must be determined by considering its text, </w:t>
      </w:r>
      <w:proofErr w:type="gramStart"/>
      <w:r w:rsidRPr="00E00EBC">
        <w:rPr>
          <w:rFonts w:cs="Times New Roman"/>
          <w:lang w:val="en-CA"/>
        </w:rPr>
        <w:t>context</w:t>
      </w:r>
      <w:proofErr w:type="gramEnd"/>
      <w:r w:rsidRPr="00E00EBC">
        <w:rPr>
          <w:rFonts w:cs="Times New Roman"/>
          <w:lang w:val="en-CA"/>
        </w:rPr>
        <w:t xml:space="preserve"> and purpose (</w:t>
      </w:r>
      <w:r w:rsidRPr="00E00EBC">
        <w:rPr>
          <w:rFonts w:cs="Times New Roman"/>
          <w:i/>
          <w:lang w:val="en-CA"/>
        </w:rPr>
        <w:t>Rizzo</w:t>
      </w:r>
      <w:r w:rsidRPr="00E00EBC">
        <w:rPr>
          <w:rFonts w:cs="Times New Roman"/>
          <w:lang w:val="en-CA"/>
        </w:rPr>
        <w:t xml:space="preserve">, at para. 21; </w:t>
      </w:r>
      <w:r w:rsidRPr="00E00EBC">
        <w:rPr>
          <w:rFonts w:cs="Times New Roman"/>
          <w:i/>
          <w:lang w:val="en-CA"/>
        </w:rPr>
        <w:t>Bell ExpressVu</w:t>
      </w:r>
      <w:r w:rsidRPr="00E00EBC">
        <w:rPr>
          <w:rFonts w:cs="Times New Roman"/>
          <w:lang w:val="en-CA"/>
        </w:rPr>
        <w:t>, at para. 26; Côté and Devinat, at Nos. 165</w:t>
      </w:r>
      <w:r w:rsidRPr="00E00EBC">
        <w:rPr>
          <w:rFonts w:cs="Times New Roman"/>
          <w:lang w:val="en-CA"/>
        </w:rPr>
        <w:noBreakHyphen/>
        <w:t xml:space="preserve">70; E. A. Driedger, </w:t>
      </w:r>
      <w:r w:rsidRPr="00E00EBC">
        <w:rPr>
          <w:rFonts w:cs="Times New Roman"/>
          <w:i/>
          <w:iCs/>
          <w:lang w:val="en-CA"/>
        </w:rPr>
        <w:t>Construction of Statutes</w:t>
      </w:r>
      <w:r w:rsidRPr="00E00EBC">
        <w:rPr>
          <w:rFonts w:cs="Times New Roman"/>
          <w:lang w:val="en-CA"/>
        </w:rPr>
        <w:t xml:space="preserve"> (2nd ed. 1983), at p. 87). I propose to proceed as the Court did in </w:t>
      </w:r>
      <w:r w:rsidRPr="00E00EBC">
        <w:rPr>
          <w:rFonts w:cs="Times New Roman"/>
          <w:i/>
          <w:lang w:val="en-CA"/>
        </w:rPr>
        <w:t>Bell ExpressVu</w:t>
      </w:r>
      <w:r w:rsidRPr="00E00EBC">
        <w:rPr>
          <w:rFonts w:cs="Times New Roman"/>
          <w:lang w:val="en-CA"/>
        </w:rPr>
        <w:t xml:space="preserve">, that is, by looking first at the </w:t>
      </w:r>
      <w:r w:rsidRPr="00E00EBC">
        <w:rPr>
          <w:rFonts w:cs="Times New Roman"/>
          <w:lang w:val="en-CA"/>
        </w:rPr>
        <w:lastRenderedPageBreak/>
        <w:t>grammatical and ordinary meaning of the words used in s. 259(1)(a) and then considering the provision’s context and purpose.</w:t>
      </w:r>
    </w:p>
    <w:p w14:paraId="509AC959" w14:textId="77777777" w:rsidR="00746949" w:rsidRPr="00E00EBC" w:rsidRDefault="00746949" w:rsidP="00746949">
      <w:pPr>
        <w:pStyle w:val="ParaNoNdepar-AltN"/>
        <w:spacing w:before="0"/>
        <w:rPr>
          <w:rFonts w:cs="Times New Roman"/>
          <w:lang w:val="en-CA"/>
        </w:rPr>
      </w:pPr>
      <w:proofErr w:type="gramStart"/>
      <w:r w:rsidRPr="00E00EBC">
        <w:rPr>
          <w:rFonts w:cs="Times New Roman"/>
          <w:lang w:val="en-CA"/>
        </w:rPr>
        <w:t>First of all</w:t>
      </w:r>
      <w:proofErr w:type="gramEnd"/>
      <w:r w:rsidRPr="00E00EBC">
        <w:rPr>
          <w:rFonts w:cs="Times New Roman"/>
          <w:lang w:val="en-CA"/>
        </w:rPr>
        <w:t>, the text of s. 259(1)(a) is silent about whether a pre</w:t>
      </w:r>
      <w:r w:rsidRPr="00E00EBC">
        <w:rPr>
          <w:rFonts w:cs="Times New Roman"/>
          <w:lang w:val="en-CA"/>
        </w:rPr>
        <w:noBreakHyphen/>
        <w:t>sentence driving prohibition period can be taken into account (</w:t>
      </w:r>
      <w:r w:rsidRPr="00E00EBC">
        <w:rPr>
          <w:rFonts w:cs="Times New Roman"/>
          <w:i/>
          <w:lang w:val="en-CA"/>
        </w:rPr>
        <w:t>Bland</w:t>
      </w:r>
      <w:r w:rsidRPr="00E00EBC">
        <w:rPr>
          <w:rFonts w:cs="Times New Roman"/>
          <w:lang w:val="en-CA"/>
        </w:rPr>
        <w:t>, at para. 22). It also does not clearly indicate whether the minimum driving prohibition it provides for is a punishment or a sentence. In this regard, I note that the word “order” used in s. 259(1) is defined as a “decision of a court or judge” (</w:t>
      </w:r>
      <w:r w:rsidRPr="00E00EBC">
        <w:rPr>
          <w:rFonts w:cs="Times New Roman"/>
          <w:i/>
          <w:lang w:val="en-CA"/>
        </w:rPr>
        <w:t>Oxford English Dictionary</w:t>
      </w:r>
      <w:r w:rsidRPr="00E00EBC">
        <w:rPr>
          <w:rFonts w:cs="Times New Roman"/>
          <w:lang w:val="en-CA"/>
        </w:rPr>
        <w:t xml:space="preserve"> (online)). </w:t>
      </w:r>
      <w:r w:rsidRPr="00E00EBC">
        <w:rPr>
          <w:rFonts w:cs="Times New Roman"/>
          <w:i/>
          <w:lang w:val="en-CA"/>
        </w:rPr>
        <w:t>A priori</w:t>
      </w:r>
      <w:r w:rsidRPr="00E00EBC">
        <w:rPr>
          <w:rFonts w:cs="Times New Roman"/>
          <w:lang w:val="en-CA"/>
        </w:rPr>
        <w:t>, this distinction may seem to link the word “order” to the concept of “sentence” (</w:t>
      </w:r>
      <w:r w:rsidRPr="00E00EBC">
        <w:rPr>
          <w:rFonts w:cs="Times New Roman"/>
          <w:i/>
          <w:lang w:val="en-CA"/>
        </w:rPr>
        <w:t>Pham</w:t>
      </w:r>
      <w:r w:rsidRPr="00E00EBC">
        <w:rPr>
          <w:rFonts w:cs="Times New Roman"/>
          <w:lang w:val="en-CA"/>
        </w:rPr>
        <w:t>, at para. 9).</w:t>
      </w:r>
    </w:p>
    <w:p w14:paraId="5D2B3372" w14:textId="77777777" w:rsidR="00746949" w:rsidRPr="00E00EBC" w:rsidRDefault="00746949" w:rsidP="00746949">
      <w:pPr>
        <w:pStyle w:val="ParaNoNdepar-AltN"/>
        <w:spacing w:before="0"/>
        <w:rPr>
          <w:rFonts w:cs="Times New Roman"/>
          <w:lang w:val="en-CA"/>
        </w:rPr>
      </w:pPr>
      <w:r w:rsidRPr="00E00EBC">
        <w:rPr>
          <w:rFonts w:cs="Times New Roman"/>
          <w:lang w:val="en-CA"/>
        </w:rPr>
        <w:t xml:space="preserve">However, I would point out that the word “punishment” appears in s. 259(1), which provides that “the court that sentences the offender shall, </w:t>
      </w:r>
      <w:r w:rsidRPr="00E00EBC">
        <w:rPr>
          <w:rFonts w:cs="Times New Roman"/>
          <w:u w:val="single"/>
          <w:lang w:val="en-CA"/>
        </w:rPr>
        <w:t>in addition to any other punishment that may be imposed for that offence</w:t>
      </w:r>
      <w:r w:rsidRPr="00E00EBC">
        <w:rPr>
          <w:rFonts w:cs="Times New Roman"/>
          <w:lang w:val="en-CA"/>
        </w:rPr>
        <w:t>, make an order prohibiting the offender from operating a motor vehicle”. It may be noted that the French version uses the word “</w:t>
      </w:r>
      <w:r w:rsidRPr="00E00EBC">
        <w:rPr>
          <w:rFonts w:cs="Times New Roman"/>
          <w:i/>
          <w:lang w:val="en-CA"/>
        </w:rPr>
        <w:t>peine</w:t>
      </w:r>
      <w:r w:rsidRPr="00E00EBC">
        <w:rPr>
          <w:rFonts w:cs="Times New Roman"/>
          <w:lang w:val="en-CA"/>
        </w:rPr>
        <w:t>” as the parallel term for “punishment” in this context. The wording of the provision in both languages thus suggests the view that the order to be made under s. 259(1)(a) is a punishment and not a sentence.</w:t>
      </w:r>
    </w:p>
    <w:p w14:paraId="5D618DA1" w14:textId="77777777" w:rsidR="00746949" w:rsidRPr="00E00EBC" w:rsidRDefault="00746949" w:rsidP="00746949">
      <w:pPr>
        <w:pStyle w:val="ParaNoNdepar-AltN"/>
        <w:spacing w:before="0"/>
        <w:rPr>
          <w:rFonts w:cs="Times New Roman"/>
          <w:lang w:val="en-CA"/>
        </w:rPr>
      </w:pPr>
      <w:r w:rsidRPr="00E00EBC">
        <w:rPr>
          <w:rFonts w:cs="Times New Roman"/>
          <w:lang w:val="en-CA"/>
        </w:rPr>
        <w:t>In any event, the modern approach to interpretation cannot be focused solely on the words of the provision (</w:t>
      </w:r>
      <w:r w:rsidRPr="00E00EBC">
        <w:rPr>
          <w:rFonts w:cs="Times New Roman"/>
          <w:i/>
          <w:lang w:val="en-CA"/>
        </w:rPr>
        <w:t>Rizzo</w:t>
      </w:r>
      <w:r w:rsidRPr="00E00EBC">
        <w:rPr>
          <w:rFonts w:cs="Times New Roman"/>
          <w:lang w:val="en-CA"/>
        </w:rPr>
        <w:t xml:space="preserve">, at para. 21; </w:t>
      </w:r>
      <w:r w:rsidRPr="00E00EBC">
        <w:rPr>
          <w:rFonts w:cs="Times New Roman"/>
          <w:i/>
          <w:lang w:val="en-CA"/>
        </w:rPr>
        <w:t>Bell ExpressVu</w:t>
      </w:r>
      <w:r w:rsidRPr="00E00EBC">
        <w:rPr>
          <w:rFonts w:cs="Times New Roman"/>
          <w:lang w:val="en-CA"/>
        </w:rPr>
        <w:t>, at para. 26). As Professors Côté and Devinat say, the text [</w:t>
      </w:r>
      <w:r w:rsidRPr="00E00EBC">
        <w:rPr>
          <w:rFonts w:cs="Times New Roman"/>
          <w:smallCaps/>
          <w:lang w:val="en-CA"/>
        </w:rPr>
        <w:t>translation</w:t>
      </w:r>
      <w:r w:rsidRPr="00E00EBC">
        <w:rPr>
          <w:rFonts w:cs="Times New Roman"/>
          <w:lang w:val="en-CA"/>
        </w:rPr>
        <w:t>] “must be construed in the light of the other indicia relevant to interpretation” (No. 167). I now turn to an analysis of the context and purpose of s. 259(1)(a).</w:t>
      </w:r>
    </w:p>
    <w:p w14:paraId="028344F1" w14:textId="77777777" w:rsidR="00746949" w:rsidRPr="00E00EBC" w:rsidRDefault="00746949" w:rsidP="00746949">
      <w:pPr>
        <w:pStyle w:val="ParaNoNdepar-AltN"/>
        <w:spacing w:before="0"/>
        <w:rPr>
          <w:rFonts w:cs="Times New Roman"/>
          <w:lang w:val="en-CA"/>
        </w:rPr>
      </w:pPr>
      <w:proofErr w:type="gramStart"/>
      <w:r w:rsidRPr="00E00EBC">
        <w:rPr>
          <w:rFonts w:cs="Times New Roman"/>
          <w:lang w:val="en-CA"/>
        </w:rPr>
        <w:lastRenderedPageBreak/>
        <w:t>With regard to</w:t>
      </w:r>
      <w:proofErr w:type="gramEnd"/>
      <w:r w:rsidRPr="00E00EBC">
        <w:rPr>
          <w:rFonts w:cs="Times New Roman"/>
          <w:lang w:val="en-CA"/>
        </w:rPr>
        <w:t xml:space="preserve"> the context of this provision, I note that Parliament used different language in s. 109(2)(a) </w:t>
      </w:r>
      <w:r w:rsidRPr="00E00EBC">
        <w:rPr>
          <w:rFonts w:cs="Times New Roman"/>
          <w:i/>
          <w:lang w:val="en-CA"/>
        </w:rPr>
        <w:t>Cr. C.</w:t>
      </w:r>
      <w:r w:rsidRPr="00E00EBC">
        <w:rPr>
          <w:rFonts w:cs="Times New Roman"/>
          <w:lang w:val="en-CA"/>
        </w:rPr>
        <w:t xml:space="preserve">, which deals with a prohibition against the possession of firearms. This latter provision states that “[a]n order made under subsection (1) shall . . . prohibit the person from possessing . . . any firearm . . . </w:t>
      </w:r>
      <w:r w:rsidRPr="00E00EBC">
        <w:rPr>
          <w:rFonts w:cs="Times New Roman"/>
          <w:u w:val="single"/>
          <w:lang w:val="en-CA"/>
        </w:rPr>
        <w:t>during the period that</w:t>
      </w:r>
      <w:r w:rsidRPr="00E00EBC">
        <w:rPr>
          <w:rFonts w:cs="Times New Roman"/>
          <w:lang w:val="en-CA"/>
        </w:rPr>
        <w:t xml:space="preserve"> (i) </w:t>
      </w:r>
      <w:r w:rsidRPr="00E00EBC">
        <w:rPr>
          <w:rFonts w:cs="Times New Roman"/>
          <w:u w:val="single"/>
          <w:lang w:val="en-CA"/>
        </w:rPr>
        <w:t>begins on the day on which the order is made</w:t>
      </w:r>
      <w:r w:rsidRPr="00E00EBC">
        <w:rPr>
          <w:rFonts w:cs="Times New Roman"/>
          <w:lang w:val="en-CA"/>
        </w:rPr>
        <w:t>, and (ii) ends not earlier than ten years after the person’s release from imprisonment after conviction for the offence or, if the person is not then imprisoned or subject to imprisonment, after the person’s conviction for or discharge from the offence” (emphasis added). In enacting s. 109(2)(a), Parliament chose to specify the date on which the order ends in the plainest of terms, thereby limiting the court’s discretion to “reduce” the prohibition period going forward to less than the minimum period referred to in s. 109(2)(a). Moreover, the underlined passage shows that when Parliament wishes to impose a prospective prohibition for a specific length of time, it expresses this intention in clear language. However, there is nothing of the sort in s. 259(1)(a), which sets out neither a start date nor an end date for the one</w:t>
      </w:r>
      <w:r w:rsidRPr="00E00EBC">
        <w:rPr>
          <w:rFonts w:cs="Times New Roman"/>
          <w:lang w:val="en-CA"/>
        </w:rPr>
        <w:noBreakHyphen/>
        <w:t>year minimum driving prohibition.</w:t>
      </w:r>
    </w:p>
    <w:p w14:paraId="00F870CD" w14:textId="77777777" w:rsidR="00746949" w:rsidRPr="00E00EBC" w:rsidRDefault="00746949" w:rsidP="00746949">
      <w:pPr>
        <w:pStyle w:val="ParaNoNdepar-AltN"/>
        <w:spacing w:before="0"/>
        <w:rPr>
          <w:rFonts w:eastAsia="Times New Roman" w:cs="Times New Roman"/>
          <w:lang w:val="en-CA" w:eastAsia="fr-CA"/>
        </w:rPr>
      </w:pPr>
      <w:r w:rsidRPr="00E00EBC">
        <w:rPr>
          <w:rFonts w:cs="Times New Roman"/>
          <w:lang w:val="en-CA"/>
        </w:rPr>
        <w:t xml:space="preserve">The purpose of s. 259(1)(a) </w:t>
      </w:r>
      <w:r w:rsidRPr="00E00EBC">
        <w:rPr>
          <w:rFonts w:cs="Times New Roman"/>
          <w:i/>
          <w:lang w:val="en-CA"/>
        </w:rPr>
        <w:t>Cr. C.</w:t>
      </w:r>
      <w:r w:rsidRPr="00E00EBC">
        <w:rPr>
          <w:rFonts w:cs="Times New Roman"/>
          <w:lang w:val="en-CA"/>
        </w:rPr>
        <w:t xml:space="preserve"> also reinforces the idea that this provision establishes a minimum </w:t>
      </w:r>
      <w:r w:rsidRPr="00E00EBC">
        <w:rPr>
          <w:rFonts w:cs="Times New Roman"/>
          <w:i/>
          <w:lang w:val="en-CA"/>
        </w:rPr>
        <w:t>punishment</w:t>
      </w:r>
      <w:r w:rsidRPr="00E00EBC">
        <w:rPr>
          <w:rFonts w:cs="Times New Roman"/>
          <w:lang w:val="en-CA"/>
        </w:rPr>
        <w:t xml:space="preserve"> and not a minimum </w:t>
      </w:r>
      <w:r w:rsidRPr="00E00EBC">
        <w:rPr>
          <w:rFonts w:cs="Times New Roman"/>
          <w:i/>
          <w:lang w:val="en-CA"/>
        </w:rPr>
        <w:t>sentence</w:t>
      </w:r>
      <w:r w:rsidRPr="00E00EBC">
        <w:rPr>
          <w:rFonts w:cs="Times New Roman"/>
          <w:lang w:val="en-CA"/>
        </w:rPr>
        <w:t xml:space="preserve">. </w:t>
      </w:r>
      <w:proofErr w:type="gramStart"/>
      <w:r w:rsidRPr="00E00EBC">
        <w:rPr>
          <w:rFonts w:cs="Times New Roman"/>
          <w:lang w:val="en-CA"/>
        </w:rPr>
        <w:t>Generally speaking, Parliament</w:t>
      </w:r>
      <w:proofErr w:type="gramEnd"/>
      <w:r w:rsidRPr="00E00EBC">
        <w:rPr>
          <w:rFonts w:cs="Times New Roman"/>
          <w:lang w:val="en-CA"/>
        </w:rPr>
        <w:t xml:space="preserve"> enacts mandatory minimums principally in order to deter and punish (see H. Parent and J. Desrosiers, </w:t>
      </w:r>
      <w:r w:rsidRPr="00E00EBC">
        <w:rPr>
          <w:rFonts w:cs="Times New Roman"/>
          <w:i/>
          <w:lang w:val="en-CA"/>
        </w:rPr>
        <w:t>Traité de droit criminel</w:t>
      </w:r>
      <w:r w:rsidRPr="00E00EBC">
        <w:rPr>
          <w:rFonts w:cs="Times New Roman"/>
          <w:lang w:val="en-CA"/>
        </w:rPr>
        <w:t xml:space="preserve">, t. III, </w:t>
      </w:r>
      <w:r w:rsidRPr="00E00EBC">
        <w:rPr>
          <w:rFonts w:cs="Times New Roman"/>
          <w:i/>
          <w:lang w:val="en-CA"/>
        </w:rPr>
        <w:t>La peine</w:t>
      </w:r>
      <w:r w:rsidRPr="00E00EBC">
        <w:rPr>
          <w:rFonts w:cs="Times New Roman"/>
          <w:lang w:val="en-CA"/>
        </w:rPr>
        <w:t xml:space="preserve"> (3rd ed. 2020), at pp. 507</w:t>
      </w:r>
      <w:r w:rsidRPr="00E00EBC">
        <w:rPr>
          <w:rFonts w:cs="Times New Roman"/>
          <w:lang w:val="en-CA"/>
        </w:rPr>
        <w:noBreakHyphen/>
        <w:t>8; see also Paciocco, at p. 177). A</w:t>
      </w:r>
      <w:r w:rsidRPr="00E00EBC">
        <w:rPr>
          <w:rFonts w:eastAsia="Times New Roman" w:cs="Times New Roman"/>
          <w:lang w:val="en-CA" w:eastAsia="fr-CA"/>
        </w:rPr>
        <w:t xml:space="preserve">fter setting out a detailed typology of punishments in Canadian criminal law, </w:t>
      </w:r>
      <w:r w:rsidRPr="00E00EBC">
        <w:rPr>
          <w:rFonts w:cs="Times New Roman"/>
          <w:lang w:val="en-CA"/>
        </w:rPr>
        <w:t>Professor</w:t>
      </w:r>
      <w:r w:rsidRPr="00E00EBC">
        <w:rPr>
          <w:rFonts w:eastAsia="Times New Roman" w:cs="Times New Roman"/>
          <w:lang w:val="en-CA" w:eastAsia="fr-CA"/>
        </w:rPr>
        <w:t xml:space="preserve"> Dumont states that [</w:t>
      </w:r>
      <w:r w:rsidRPr="00E00EBC">
        <w:rPr>
          <w:rFonts w:eastAsia="Times New Roman" w:cs="Times New Roman"/>
          <w:smallCaps/>
          <w:lang w:val="en-CA" w:eastAsia="fr-CA"/>
        </w:rPr>
        <w:t>translation</w:t>
      </w:r>
      <w:r w:rsidRPr="00E00EBC">
        <w:rPr>
          <w:rFonts w:eastAsia="Times New Roman" w:cs="Times New Roman"/>
          <w:lang w:val="en-CA" w:eastAsia="fr-CA"/>
        </w:rPr>
        <w:t xml:space="preserve">] “any coercive measure that affects a person’s life, integrity, security, </w:t>
      </w:r>
      <w:r w:rsidRPr="00E00EBC">
        <w:rPr>
          <w:rFonts w:eastAsia="Times New Roman" w:cs="Times New Roman"/>
          <w:lang w:val="en-CA" w:eastAsia="fr-CA"/>
        </w:rPr>
        <w:lastRenderedPageBreak/>
        <w:t xml:space="preserve">liberty or reputation or that interferes with the person’s property and rights . . . is capable of being [a punishment] in the criminal law system” (p. 489). As was stated in </w:t>
      </w:r>
      <w:r w:rsidRPr="00E00EBC">
        <w:rPr>
          <w:rFonts w:cs="Times New Roman"/>
          <w:i/>
          <w:lang w:val="en-CA"/>
        </w:rPr>
        <w:t>R. v. K.R.J.</w:t>
      </w:r>
      <w:r w:rsidRPr="00E00EBC">
        <w:rPr>
          <w:rFonts w:cs="Times New Roman"/>
          <w:lang w:val="en-CA"/>
        </w:rPr>
        <w:t xml:space="preserve">, 2016 SCC 31, [2016] 1 S.C.R. 906, for a coercive measure to constitute punishment, it must, among other things, have “a significant impact on an offender’s liberty or security interests” and be “a consequence of conviction” (para. 41). </w:t>
      </w:r>
      <w:r w:rsidRPr="00E00EBC">
        <w:rPr>
          <w:rFonts w:eastAsia="Times New Roman" w:cs="Times New Roman"/>
          <w:lang w:val="en-CA" w:eastAsia="fr-CA"/>
        </w:rPr>
        <w:t>This typology includes measures such as [</w:t>
      </w:r>
      <w:r w:rsidRPr="00E00EBC">
        <w:rPr>
          <w:rFonts w:eastAsia="Times New Roman" w:cs="Times New Roman"/>
          <w:smallCaps/>
          <w:lang w:val="en-CA" w:eastAsia="fr-CA"/>
        </w:rPr>
        <w:t>translation</w:t>
      </w:r>
      <w:r w:rsidRPr="00E00EBC">
        <w:rPr>
          <w:rFonts w:eastAsia="Times New Roman" w:cs="Times New Roman"/>
          <w:lang w:val="en-CA" w:eastAsia="fr-CA"/>
        </w:rPr>
        <w:t xml:space="preserve">] “victim compensation for certain crimes, </w:t>
      </w:r>
      <w:r w:rsidRPr="00E00EBC">
        <w:rPr>
          <w:rFonts w:eastAsia="Times New Roman" w:cs="Times New Roman"/>
          <w:u w:val="single"/>
          <w:lang w:val="en-CA" w:eastAsia="fr-CA"/>
        </w:rPr>
        <w:t>a prohibition against driving</w:t>
      </w:r>
      <w:r w:rsidRPr="00E00EBC">
        <w:rPr>
          <w:rFonts w:eastAsia="Times New Roman" w:cs="Times New Roman"/>
          <w:lang w:val="en-CA" w:eastAsia="fr-CA"/>
        </w:rPr>
        <w:t xml:space="preserve"> or possessing a firearm [and] an inability to hold office or enter into a contract with the state” (Dumont, at p. 489 (emphasis added)). I agree with the view expressed by Paciocco J. in this regard in </w:t>
      </w:r>
      <w:r w:rsidRPr="00E00EBC">
        <w:rPr>
          <w:rFonts w:eastAsia="Times New Roman" w:cs="Times New Roman"/>
          <w:i/>
          <w:lang w:val="en-CA" w:eastAsia="fr-CA"/>
        </w:rPr>
        <w:t>Pham</w:t>
      </w:r>
      <w:r w:rsidRPr="00E00EBC">
        <w:rPr>
          <w:rFonts w:eastAsia="Times New Roman" w:cs="Times New Roman"/>
          <w:lang w:val="en-CA" w:eastAsia="fr-CA"/>
        </w:rPr>
        <w:t xml:space="preserve">: a driving prohibition is a form of punishment because it “is one of the </w:t>
      </w:r>
      <w:proofErr w:type="gramStart"/>
      <w:r w:rsidRPr="00E00EBC">
        <w:rPr>
          <w:rFonts w:eastAsia="Times New Roman" w:cs="Times New Roman"/>
          <w:lang w:val="en-CA" w:eastAsia="fr-CA"/>
        </w:rPr>
        <w:t>arsenal</w:t>
      </w:r>
      <w:proofErr w:type="gramEnd"/>
      <w:r w:rsidRPr="00E00EBC">
        <w:rPr>
          <w:rFonts w:eastAsia="Times New Roman" w:cs="Times New Roman"/>
          <w:lang w:val="en-CA" w:eastAsia="fr-CA"/>
        </w:rPr>
        <w:t xml:space="preserve"> of sanctions to which the accused may be liable upon conviction for a particular offence” (para. 22, referring to </w:t>
      </w:r>
      <w:r w:rsidRPr="00E00EBC">
        <w:rPr>
          <w:rFonts w:eastAsia="Times New Roman" w:cs="Times New Roman"/>
          <w:i/>
          <w:lang w:val="en-CA" w:eastAsia="fr-CA"/>
        </w:rPr>
        <w:t>R. v. Rodgers</w:t>
      </w:r>
      <w:r w:rsidRPr="00E00EBC">
        <w:rPr>
          <w:rFonts w:eastAsia="Times New Roman" w:cs="Times New Roman"/>
          <w:lang w:val="en-CA" w:eastAsia="fr-CA"/>
        </w:rPr>
        <w:t>, 2006 SCC 15, [2006] 1 S.C.R. 554, at paras. 62</w:t>
      </w:r>
      <w:r w:rsidRPr="00E00EBC">
        <w:rPr>
          <w:rFonts w:eastAsia="Times New Roman" w:cs="Times New Roman"/>
          <w:lang w:val="en-CA" w:eastAsia="fr-CA"/>
        </w:rPr>
        <w:noBreakHyphen/>
        <w:t>63).</w:t>
      </w:r>
    </w:p>
    <w:p w14:paraId="560C1222" w14:textId="77777777" w:rsidR="00746949" w:rsidRPr="00E00EBC" w:rsidRDefault="00746949" w:rsidP="00746949">
      <w:pPr>
        <w:pStyle w:val="ParaNoNdepar-AltN"/>
        <w:spacing w:before="0"/>
        <w:rPr>
          <w:rFonts w:eastAsia="Times New Roman" w:cs="Times New Roman"/>
          <w:lang w:val="en-CA" w:eastAsia="fr-CA"/>
        </w:rPr>
      </w:pPr>
      <w:r w:rsidRPr="00E00EBC">
        <w:rPr>
          <w:rFonts w:cs="Times New Roman"/>
          <w:lang w:val="en-CA"/>
        </w:rPr>
        <w:t>While pre</w:t>
      </w:r>
      <w:r w:rsidRPr="00E00EBC">
        <w:rPr>
          <w:rFonts w:cs="Times New Roman"/>
          <w:lang w:val="en-CA"/>
        </w:rPr>
        <w:noBreakHyphen/>
        <w:t>sentence custody or a pre</w:t>
      </w:r>
      <w:r w:rsidRPr="00E00EBC">
        <w:rPr>
          <w:rFonts w:cs="Times New Roman"/>
          <w:lang w:val="en-CA"/>
        </w:rPr>
        <w:noBreakHyphen/>
        <w:t>sentence driving prohibition may initially be based on a desire to protect the public, post</w:t>
      </w:r>
      <w:r w:rsidRPr="00E00EBC">
        <w:rPr>
          <w:rFonts w:cs="Times New Roman"/>
          <w:lang w:val="en-CA"/>
        </w:rPr>
        <w:noBreakHyphen/>
        <w:t xml:space="preserve">conviction, this sanction can nevertheless ultimately have a punitive and deterrent effect on the offender and thus form part of the offender’s punishment. On this point, Arbour J. wrote in </w:t>
      </w:r>
      <w:r w:rsidRPr="00E00EBC">
        <w:rPr>
          <w:rFonts w:cs="Times New Roman"/>
          <w:i/>
          <w:lang w:val="en-CA"/>
        </w:rPr>
        <w:t>Wust</w:t>
      </w:r>
      <w:r w:rsidRPr="00E00EBC">
        <w:rPr>
          <w:rFonts w:cs="Times New Roman"/>
          <w:lang w:val="en-CA"/>
        </w:rPr>
        <w:t xml:space="preserve"> that “[t]o </w:t>
      </w:r>
      <w:proofErr w:type="gramStart"/>
      <w:r w:rsidRPr="00E00EBC">
        <w:rPr>
          <w:rFonts w:cs="Times New Roman"/>
          <w:lang w:val="en-CA"/>
        </w:rPr>
        <w:t>maintain</w:t>
      </w:r>
      <w:proofErr w:type="gramEnd"/>
      <w:r w:rsidRPr="00E00EBC">
        <w:rPr>
          <w:rFonts w:cs="Times New Roman"/>
          <w:lang w:val="en-CA"/>
        </w:rPr>
        <w:t xml:space="preserve"> that pre</w:t>
      </w:r>
      <w:r w:rsidRPr="00E00EBC">
        <w:rPr>
          <w:rFonts w:cs="Times New Roman"/>
          <w:lang w:val="en-CA"/>
        </w:rPr>
        <w:noBreakHyphen/>
        <w:t xml:space="preserve">sentencing custody can never be </w:t>
      </w:r>
      <w:r w:rsidRPr="00E00EBC">
        <w:rPr>
          <w:rFonts w:cs="Times New Roman"/>
          <w:u w:val="single"/>
          <w:lang w:val="en-CA"/>
        </w:rPr>
        <w:t>deemed</w:t>
      </w:r>
      <w:r w:rsidRPr="00E00EBC">
        <w:rPr>
          <w:rFonts w:cs="Times New Roman"/>
          <w:lang w:val="en-CA"/>
        </w:rPr>
        <w:t xml:space="preserve"> punishment following conviction because the legal system does not punish innocent people is an exercise in semantics that does not acknowledge the reality of pre</w:t>
      </w:r>
      <w:r w:rsidRPr="00E00EBC">
        <w:rPr>
          <w:rFonts w:cs="Times New Roman"/>
          <w:lang w:val="en-CA"/>
        </w:rPr>
        <w:noBreakHyphen/>
        <w:t>sentencing custody”</w:t>
      </w:r>
      <w:r w:rsidRPr="00E00EBC">
        <w:rPr>
          <w:rFonts w:eastAsia="Times New Roman" w:cs="Times New Roman"/>
          <w:lang w:val="en-CA" w:eastAsia="fr-CA"/>
        </w:rPr>
        <w:t xml:space="preserve"> (para. 41 (emphasis in original)). She found that “while pre</w:t>
      </w:r>
      <w:r w:rsidRPr="00E00EBC">
        <w:rPr>
          <w:rFonts w:eastAsia="Times New Roman" w:cs="Times New Roman"/>
          <w:lang w:val="en-CA" w:eastAsia="fr-CA"/>
        </w:rPr>
        <w:noBreakHyphen/>
        <w:t>trial detention is not intended as punishment when it is imposed, it is, in effect, deemed part of the punishment following the offender’s conviction” (para. 41).</w:t>
      </w:r>
    </w:p>
    <w:p w14:paraId="282092E4" w14:textId="77777777" w:rsidR="00746949" w:rsidRPr="00E00EBC" w:rsidRDefault="00746949" w:rsidP="00746949">
      <w:pPr>
        <w:pStyle w:val="ParaNoNdepar-AltN"/>
        <w:spacing w:before="0"/>
        <w:rPr>
          <w:rFonts w:eastAsia="Times New Roman" w:cs="Times New Roman"/>
          <w:lang w:val="en-CA" w:eastAsia="fr-CA"/>
        </w:rPr>
      </w:pPr>
      <w:r w:rsidRPr="00E00EBC">
        <w:rPr>
          <w:rFonts w:eastAsia="Times New Roman" w:cs="Times New Roman"/>
          <w:lang w:val="en-CA" w:eastAsia="fr-CA"/>
        </w:rPr>
        <w:lastRenderedPageBreak/>
        <w:t xml:space="preserve">These observations echo what Lamer C.J. said in </w:t>
      </w:r>
      <w:r w:rsidRPr="00E00EBC">
        <w:rPr>
          <w:rFonts w:eastAsia="Times New Roman" w:cs="Times New Roman"/>
          <w:i/>
          <w:lang w:val="en-CA" w:eastAsia="fr-CA"/>
        </w:rPr>
        <w:t>Sharma</w:t>
      </w:r>
      <w:r w:rsidRPr="00E00EBC">
        <w:rPr>
          <w:rFonts w:eastAsia="Times New Roman" w:cs="Times New Roman"/>
          <w:lang w:val="en-CA" w:eastAsia="fr-CA"/>
        </w:rPr>
        <w:t>, namely that the pre</w:t>
      </w:r>
      <w:r w:rsidRPr="00E00EBC">
        <w:rPr>
          <w:rFonts w:eastAsia="Times New Roman" w:cs="Times New Roman"/>
          <w:lang w:val="en-CA" w:eastAsia="fr-CA"/>
        </w:rPr>
        <w:noBreakHyphen/>
        <w:t>sentence driving prohibition imposed on the offender had interfered with his liberty, such that he had essentially already begun serving his sentence (pp. 817</w:t>
      </w:r>
      <w:r w:rsidRPr="00E00EBC">
        <w:rPr>
          <w:rFonts w:eastAsia="Times New Roman" w:cs="Times New Roman"/>
          <w:lang w:val="en-CA" w:eastAsia="fr-CA"/>
        </w:rPr>
        <w:noBreakHyphen/>
        <w:t xml:space="preserve">18; see also </w:t>
      </w:r>
      <w:r w:rsidRPr="00E00EBC">
        <w:rPr>
          <w:rFonts w:eastAsia="Times New Roman" w:cs="Times New Roman"/>
          <w:i/>
          <w:lang w:val="en-CA" w:eastAsia="fr-CA"/>
        </w:rPr>
        <w:t>Lacasse</w:t>
      </w:r>
      <w:r w:rsidRPr="00E00EBC">
        <w:rPr>
          <w:rFonts w:eastAsia="Times New Roman" w:cs="Times New Roman"/>
          <w:lang w:val="en-CA" w:eastAsia="fr-CA"/>
        </w:rPr>
        <w:t xml:space="preserve">, at para. 113). </w:t>
      </w:r>
      <w:proofErr w:type="gramStart"/>
      <w:r w:rsidRPr="00E00EBC">
        <w:rPr>
          <w:rFonts w:eastAsia="Times New Roman" w:cs="Times New Roman"/>
          <w:lang w:val="en-CA" w:eastAsia="fr-CA"/>
        </w:rPr>
        <w:t>In reality, in</w:t>
      </w:r>
      <w:proofErr w:type="gramEnd"/>
      <w:r w:rsidRPr="00E00EBC">
        <w:rPr>
          <w:rFonts w:eastAsia="Times New Roman" w:cs="Times New Roman"/>
          <w:lang w:val="en-CA" w:eastAsia="fr-CA"/>
        </w:rPr>
        <w:t xml:space="preserve"> Ms. Basque’s case, the pre</w:t>
      </w:r>
      <w:r w:rsidRPr="00E00EBC">
        <w:rPr>
          <w:rFonts w:eastAsia="Times New Roman" w:cs="Times New Roman"/>
          <w:lang w:val="en-CA" w:eastAsia="fr-CA"/>
        </w:rPr>
        <w:noBreakHyphen/>
        <w:t xml:space="preserve">sentence driving prohibition had the same punitive and deterrent effects as if it had been served after she was sentenced. Accordingly, viewing s. 259(1)(a) </w:t>
      </w:r>
      <w:r w:rsidRPr="00E00EBC">
        <w:rPr>
          <w:rFonts w:eastAsia="Times New Roman" w:cs="Times New Roman"/>
          <w:i/>
          <w:lang w:val="en-CA" w:eastAsia="fr-CA"/>
        </w:rPr>
        <w:t>Cr. C.</w:t>
      </w:r>
      <w:r w:rsidRPr="00E00EBC">
        <w:rPr>
          <w:rFonts w:eastAsia="Times New Roman" w:cs="Times New Roman"/>
          <w:lang w:val="en-CA" w:eastAsia="fr-CA"/>
        </w:rPr>
        <w:t xml:space="preserve"> as requiring the imposition of a one</w:t>
      </w:r>
      <w:r w:rsidRPr="00E00EBC">
        <w:rPr>
          <w:rFonts w:eastAsia="Times New Roman" w:cs="Times New Roman"/>
          <w:lang w:val="en-CA" w:eastAsia="fr-CA"/>
        </w:rPr>
        <w:noBreakHyphen/>
        <w:t>year punishment — that is, a global punishment, including the pre</w:t>
      </w:r>
      <w:r w:rsidRPr="00E00EBC">
        <w:rPr>
          <w:rFonts w:eastAsia="Times New Roman" w:cs="Times New Roman"/>
          <w:lang w:val="en-CA" w:eastAsia="fr-CA"/>
        </w:rPr>
        <w:noBreakHyphen/>
        <w:t xml:space="preserve">sentence period — is perfectly in keeping with the objectives of deterrence and punishment that underlie this provision (on this point, see </w:t>
      </w:r>
      <w:r w:rsidRPr="00E00EBC">
        <w:rPr>
          <w:rFonts w:eastAsia="Times New Roman" w:cs="Times New Roman"/>
          <w:i/>
          <w:lang w:val="en-CA" w:eastAsia="fr-CA"/>
        </w:rPr>
        <w:t>Pham</w:t>
      </w:r>
      <w:r w:rsidRPr="00E00EBC">
        <w:rPr>
          <w:rFonts w:eastAsia="Times New Roman" w:cs="Times New Roman"/>
          <w:lang w:val="en-CA" w:eastAsia="fr-CA"/>
        </w:rPr>
        <w:t xml:space="preserve">, at paras. 10 and 28). </w:t>
      </w:r>
      <w:r w:rsidRPr="00E00EBC">
        <w:rPr>
          <w:rFonts w:cs="Times New Roman"/>
          <w:lang w:val="en-CA"/>
        </w:rPr>
        <w:t xml:space="preserve">I note, moreover, that Parliament uses the word “punishment” in s. 718.3(2) </w:t>
      </w:r>
      <w:r w:rsidRPr="00E00EBC">
        <w:rPr>
          <w:rFonts w:cs="Times New Roman"/>
          <w:i/>
          <w:lang w:val="en-CA"/>
        </w:rPr>
        <w:t>Cr. C.</w:t>
      </w:r>
      <w:r w:rsidRPr="00E00EBC">
        <w:rPr>
          <w:rFonts w:cs="Times New Roman"/>
          <w:lang w:val="en-CA"/>
        </w:rPr>
        <w:t xml:space="preserve"> in delineating the court’s discretion.</w:t>
      </w:r>
    </w:p>
    <w:p w14:paraId="04AFF4D2" w14:textId="77777777" w:rsidR="00746949" w:rsidRPr="00E00EBC" w:rsidRDefault="00746949" w:rsidP="00746949">
      <w:pPr>
        <w:pStyle w:val="ParaNoNdepar-AltN"/>
        <w:spacing w:before="0"/>
        <w:rPr>
          <w:rFonts w:eastAsia="Times New Roman" w:cs="Times New Roman"/>
          <w:lang w:val="en-CA" w:eastAsia="fr-CA"/>
        </w:rPr>
      </w:pPr>
      <w:r w:rsidRPr="00E00EBC">
        <w:rPr>
          <w:rFonts w:cs="Times New Roman"/>
          <w:lang w:val="en-CA"/>
        </w:rPr>
        <w:t xml:space="preserve">If s. 259(1)(a) </w:t>
      </w:r>
      <w:r w:rsidRPr="00E00EBC">
        <w:rPr>
          <w:rFonts w:cs="Times New Roman"/>
          <w:i/>
          <w:lang w:val="en-CA"/>
        </w:rPr>
        <w:t>Cr. C.</w:t>
      </w:r>
      <w:r w:rsidRPr="00E00EBC">
        <w:rPr>
          <w:rFonts w:cs="Times New Roman"/>
          <w:lang w:val="en-CA"/>
        </w:rPr>
        <w:t xml:space="preserve"> required that a minimum sentence be handed down, the results could well be counterintuitive, if not absurd. For example, the imposition of an additional driving prohibition for a minimum of one year would amount to double punishment for an offender who had already served all or part of the minimum driving prohibition period while awaiting trial. Such a result would be contrary to the most fundamental interests of justice, raising the spectre of double punishment “without the clearest of evidence to show that Parliament wanted to achieve such an outcome” (</w:t>
      </w:r>
      <w:r w:rsidRPr="00E00EBC">
        <w:rPr>
          <w:rFonts w:cs="Times New Roman"/>
          <w:i/>
          <w:lang w:val="en-CA"/>
        </w:rPr>
        <w:t>Pham</w:t>
      </w:r>
      <w:r w:rsidRPr="00E00EBC">
        <w:rPr>
          <w:rFonts w:cs="Times New Roman"/>
          <w:lang w:val="en-CA"/>
        </w:rPr>
        <w:t>, at para. 10).</w:t>
      </w:r>
    </w:p>
    <w:p w14:paraId="6D4FD468" w14:textId="77777777" w:rsidR="00746949" w:rsidRPr="00E00EBC" w:rsidRDefault="00746949" w:rsidP="00746949">
      <w:pPr>
        <w:pStyle w:val="ParaNoNdepar-AltN"/>
        <w:spacing w:before="0"/>
        <w:rPr>
          <w:rFonts w:eastAsia="Times New Roman" w:cs="Times New Roman"/>
          <w:lang w:val="en-CA" w:eastAsia="fr-CA"/>
        </w:rPr>
      </w:pPr>
      <w:r w:rsidRPr="00E00EBC">
        <w:rPr>
          <w:rFonts w:cs="Times New Roman"/>
          <w:lang w:val="en-CA"/>
        </w:rPr>
        <w:t xml:space="preserve">In addition, by analogy to what Arbour J. said in </w:t>
      </w:r>
      <w:r w:rsidRPr="00E00EBC">
        <w:rPr>
          <w:rFonts w:cs="Times New Roman"/>
          <w:i/>
          <w:lang w:val="en-CA"/>
        </w:rPr>
        <w:t>Wust</w:t>
      </w:r>
      <w:r w:rsidRPr="00E00EBC">
        <w:rPr>
          <w:rFonts w:cs="Times New Roman"/>
          <w:lang w:val="en-CA"/>
        </w:rPr>
        <w:t xml:space="preserve">, the appropriate difference between the punishments imposed on the most dangerous offenders and </w:t>
      </w:r>
      <w:r w:rsidRPr="00E00EBC">
        <w:rPr>
          <w:rFonts w:cs="Times New Roman"/>
          <w:lang w:val="en-CA"/>
        </w:rPr>
        <w:lastRenderedPageBreak/>
        <w:t>those imposed on the least dangerous offenders could be unduly eroded. A hardened offender “whose sentence exceeded the minimum would benefit from pre</w:t>
      </w:r>
      <w:r w:rsidRPr="00E00EBC">
        <w:rPr>
          <w:rFonts w:cs="Times New Roman"/>
          <w:lang w:val="en-CA"/>
        </w:rPr>
        <w:noBreakHyphen/>
        <w:t xml:space="preserve">sentencing credit, while the </w:t>
      </w:r>
      <w:proofErr w:type="gramStart"/>
      <w:r w:rsidRPr="00E00EBC">
        <w:rPr>
          <w:rFonts w:cs="Times New Roman"/>
          <w:lang w:val="en-CA"/>
        </w:rPr>
        <w:t>first time</w:t>
      </w:r>
      <w:proofErr w:type="gramEnd"/>
      <w:r w:rsidRPr="00E00EBC">
        <w:rPr>
          <w:rFonts w:cs="Times New Roman"/>
          <w:lang w:val="en-CA"/>
        </w:rPr>
        <w:t xml:space="preserve"> offender whose sentence would be set at the minimum, would not receive credit for his or her pre</w:t>
      </w:r>
      <w:r w:rsidRPr="00E00EBC">
        <w:rPr>
          <w:rFonts w:cs="Times New Roman"/>
          <w:lang w:val="en-CA"/>
        </w:rPr>
        <w:noBreakHyphen/>
        <w:t xml:space="preserve">sentencing detention” (para. 42). Drawing on Arbour J.’s comments, I am of the view that any interpretation “that would reward the worst offender and penalize the least offender” (para. 42) must be avoided in this case. Finally, if s. 259(1)(a) </w:t>
      </w:r>
      <w:r w:rsidRPr="00E00EBC">
        <w:rPr>
          <w:rFonts w:cs="Times New Roman"/>
          <w:i/>
          <w:lang w:val="en-CA"/>
        </w:rPr>
        <w:t>Cr. C.</w:t>
      </w:r>
      <w:r w:rsidRPr="00E00EBC">
        <w:rPr>
          <w:rFonts w:cs="Times New Roman"/>
          <w:lang w:val="en-CA"/>
        </w:rPr>
        <w:t xml:space="preserve"> required a minimum </w:t>
      </w:r>
      <w:r w:rsidRPr="00E00EBC">
        <w:rPr>
          <w:rFonts w:cs="Times New Roman"/>
          <w:i/>
          <w:lang w:val="en-CA"/>
        </w:rPr>
        <w:t>sentence</w:t>
      </w:r>
      <w:r w:rsidRPr="00E00EBC">
        <w:rPr>
          <w:rFonts w:cs="Times New Roman"/>
          <w:lang w:val="en-CA"/>
        </w:rPr>
        <w:t xml:space="preserve"> to be handed down, it would undermine the precise gradation of minimum prohibition periods established by Parliament in s. 259(1)(a), (b) and (c), which French J.A., dissenting, noted (see C.A. reasons, at paras. 93</w:t>
      </w:r>
      <w:r w:rsidRPr="00E00EBC">
        <w:rPr>
          <w:rFonts w:cs="Times New Roman"/>
          <w:lang w:val="en-CA"/>
        </w:rPr>
        <w:noBreakHyphen/>
        <w:t>94 and 129). Indeed, an offender who merited only the one</w:t>
      </w:r>
      <w:r w:rsidRPr="00E00EBC">
        <w:rPr>
          <w:rFonts w:cs="Times New Roman"/>
          <w:lang w:val="en-CA"/>
        </w:rPr>
        <w:noBreakHyphen/>
        <w:t>year minimum punishment imposed for a first offence could, like Ms. Basque, be subject to the same deprivation of liberty as a chronic offender who was not prohibited from driving while awaiting trial.</w:t>
      </w:r>
    </w:p>
    <w:p w14:paraId="2A949BDC" w14:textId="77777777" w:rsidR="00746949" w:rsidRPr="00E00EBC" w:rsidRDefault="00746949" w:rsidP="00746949">
      <w:pPr>
        <w:pStyle w:val="ParaNoNdepar-AltN"/>
        <w:spacing w:before="0"/>
        <w:rPr>
          <w:rFonts w:cs="Times New Roman"/>
          <w:lang w:val="en-CA"/>
        </w:rPr>
      </w:pPr>
      <w:r w:rsidRPr="00E00EBC">
        <w:rPr>
          <w:rFonts w:eastAsia="Times New Roman" w:cs="Times New Roman"/>
          <w:lang w:val="en-CA" w:eastAsia="fr-CA"/>
        </w:rPr>
        <w:t>In keeping with the principles established by this Court, absent a clear intention to this effect, it must be presumed that Parliament did not intend to produce such absurd results (</w:t>
      </w:r>
      <w:r w:rsidRPr="00E00EBC">
        <w:rPr>
          <w:rFonts w:eastAsia="Times New Roman" w:cs="Times New Roman"/>
          <w:i/>
          <w:lang w:val="en-CA" w:eastAsia="fr-CA"/>
        </w:rPr>
        <w:t>Rizzo</w:t>
      </w:r>
      <w:r w:rsidRPr="00E00EBC">
        <w:rPr>
          <w:rFonts w:eastAsia="Times New Roman" w:cs="Times New Roman"/>
          <w:lang w:val="en-CA" w:eastAsia="fr-CA"/>
        </w:rPr>
        <w:t xml:space="preserve">, at para. 27, citing R. Sullivan, </w:t>
      </w:r>
      <w:r w:rsidRPr="00E00EBC">
        <w:rPr>
          <w:rFonts w:eastAsia="Times New Roman" w:cs="Times New Roman"/>
          <w:i/>
          <w:lang w:val="en-CA" w:eastAsia="fr-CA"/>
        </w:rPr>
        <w:t>Driedger on the Construction of Statutes</w:t>
      </w:r>
      <w:r w:rsidRPr="00E00EBC">
        <w:rPr>
          <w:rFonts w:eastAsia="Times New Roman" w:cs="Times New Roman"/>
          <w:lang w:val="en-CA" w:eastAsia="fr-CA"/>
        </w:rPr>
        <w:t xml:space="preserve"> (3rd ed. 1994), at p. 88; </w:t>
      </w:r>
      <w:r w:rsidRPr="00E00EBC">
        <w:rPr>
          <w:rFonts w:eastAsia="Times New Roman" w:cs="Times New Roman"/>
          <w:i/>
          <w:lang w:val="en-CA" w:eastAsia="fr-CA"/>
        </w:rPr>
        <w:t>Keatley Surveying Ltd. v. Teranet Inc.</w:t>
      </w:r>
      <w:r w:rsidRPr="00E00EBC">
        <w:rPr>
          <w:rFonts w:eastAsia="Times New Roman" w:cs="Times New Roman"/>
          <w:lang w:val="en-CA" w:eastAsia="fr-CA"/>
        </w:rPr>
        <w:t>, 2019 SCC 43, [2019] 3 S.C.R. 418, at para. 96, per Côté and Brown JJ., concurring).</w:t>
      </w:r>
    </w:p>
    <w:p w14:paraId="222C06FD" w14:textId="77777777" w:rsidR="00746949" w:rsidRPr="00E00EBC" w:rsidRDefault="00746949" w:rsidP="00746949">
      <w:pPr>
        <w:pStyle w:val="Title4LevelTitre4Niveau"/>
        <w:numPr>
          <w:ilvl w:val="3"/>
          <w:numId w:val="10"/>
        </w:numPr>
        <w:spacing w:before="0"/>
        <w:rPr>
          <w:rFonts w:cs="Times New Roman"/>
        </w:rPr>
      </w:pPr>
      <w:bookmarkStart w:id="62" w:name="_Toc122713962"/>
      <w:bookmarkStart w:id="63" w:name="_Toc123830850"/>
      <w:bookmarkStart w:id="64" w:name="_Toc124075339"/>
      <w:r w:rsidRPr="00E00EBC">
        <w:rPr>
          <w:rFonts w:cs="Times New Roman"/>
        </w:rPr>
        <w:t xml:space="preserve">Section 259(1)(a) Does Not Limit the Common Law Rule </w:t>
      </w:r>
      <w:bookmarkEnd w:id="62"/>
      <w:r w:rsidRPr="00E00EBC">
        <w:rPr>
          <w:rFonts w:cs="Times New Roman"/>
        </w:rPr>
        <w:t xml:space="preserve">That Allows Credit </w:t>
      </w:r>
      <w:proofErr w:type="gramStart"/>
      <w:r w:rsidRPr="00E00EBC">
        <w:rPr>
          <w:rFonts w:cs="Times New Roman"/>
        </w:rPr>
        <w:t>To</w:t>
      </w:r>
      <w:proofErr w:type="gramEnd"/>
      <w:r w:rsidRPr="00E00EBC">
        <w:rPr>
          <w:rFonts w:cs="Times New Roman"/>
        </w:rPr>
        <w:t xml:space="preserve"> Be Granted for a Pre</w:t>
      </w:r>
      <w:r w:rsidRPr="00E00EBC">
        <w:rPr>
          <w:rFonts w:cs="Times New Roman"/>
        </w:rPr>
        <w:noBreakHyphen/>
        <w:t>Sentence Driving Prohibition</w:t>
      </w:r>
      <w:bookmarkEnd w:id="63"/>
      <w:bookmarkEnd w:id="64"/>
    </w:p>
    <w:p w14:paraId="0E14D701" w14:textId="77777777" w:rsidR="00746949" w:rsidRPr="00E00EBC" w:rsidRDefault="00746949" w:rsidP="00746949">
      <w:pPr>
        <w:pStyle w:val="ParaNoNdepar-AltN"/>
        <w:spacing w:before="0"/>
        <w:rPr>
          <w:rFonts w:cs="Times New Roman"/>
          <w:lang w:val="en-CA" w:bidi="en-US"/>
        </w:rPr>
      </w:pPr>
      <w:r w:rsidRPr="00E00EBC">
        <w:rPr>
          <w:rFonts w:cs="Times New Roman"/>
          <w:lang w:val="en-CA" w:bidi="en-US"/>
        </w:rPr>
        <w:lastRenderedPageBreak/>
        <w:t xml:space="preserve">There is every indication that s. 259(1)(a) provides for a minimum punishment, not a minimum sentence. There is no ambiguity in this provision, which is silent with respect to credit. In </w:t>
      </w:r>
      <w:r w:rsidRPr="00E00EBC">
        <w:rPr>
          <w:rFonts w:cs="Times New Roman"/>
          <w:i/>
          <w:lang w:val="en-CA"/>
        </w:rPr>
        <w:t>Bell ExpressVu</w:t>
      </w:r>
      <w:r w:rsidRPr="00E00EBC">
        <w:rPr>
          <w:rFonts w:cs="Times New Roman"/>
          <w:lang w:val="en-CA"/>
        </w:rPr>
        <w:t xml:space="preserve">, this Court reiterated that an ambiguity must be “real”, in the sense that the provision must be reasonably capable of more than one meaning (para. 29, quoting </w:t>
      </w:r>
      <w:r w:rsidRPr="00E00EBC">
        <w:rPr>
          <w:rFonts w:cs="Times New Roman"/>
          <w:i/>
          <w:iCs/>
          <w:lang w:val="en-CA"/>
        </w:rPr>
        <w:t>Marcotte v. Deputy Attorney General for Canada</w:t>
      </w:r>
      <w:r w:rsidRPr="00E00EBC">
        <w:rPr>
          <w:rFonts w:cs="Times New Roman"/>
          <w:iCs/>
          <w:lang w:val="en-CA"/>
        </w:rPr>
        <w:t>, [1976] 1 S.C.R. 108, at p. 115</w:t>
      </w:r>
      <w:r w:rsidRPr="00E00EBC">
        <w:rPr>
          <w:rFonts w:cs="Times New Roman"/>
          <w:lang w:val="en-CA"/>
        </w:rPr>
        <w:t>). Reaching this conclusion requires a consideration of the entire context of the provision to ascertain whether there are “two or more plausible readings, each equally in accordance with the intentions of the statute” (</w:t>
      </w:r>
      <w:r w:rsidRPr="00E00EBC">
        <w:rPr>
          <w:rFonts w:cs="Times New Roman"/>
          <w:i/>
          <w:lang w:val="en-CA"/>
        </w:rPr>
        <w:t>CanadianOxy Chemicals Ltd. v. Canada (Attorney General)</w:t>
      </w:r>
      <w:r w:rsidRPr="00E00EBC">
        <w:rPr>
          <w:rFonts w:cs="Times New Roman"/>
          <w:lang w:val="en-CA"/>
        </w:rPr>
        <w:t xml:space="preserve">, [1999] 1 S.C.R. 743, at para. 14). In this case, s. 259(1)(a) can be read in only one way: it provides for the imposition of a mandatory minimum </w:t>
      </w:r>
      <w:r w:rsidRPr="00E00EBC">
        <w:rPr>
          <w:rFonts w:cs="Times New Roman"/>
          <w:i/>
          <w:lang w:val="en-CA"/>
        </w:rPr>
        <w:t xml:space="preserve">punishment </w:t>
      </w:r>
      <w:r w:rsidRPr="00E00EBC">
        <w:rPr>
          <w:rFonts w:cs="Times New Roman"/>
          <w:lang w:val="en-CA"/>
        </w:rPr>
        <w:t>(in French “</w:t>
      </w:r>
      <w:r w:rsidRPr="00E00EBC">
        <w:rPr>
          <w:rFonts w:cs="Times New Roman"/>
          <w:i/>
          <w:lang w:val="en-CA"/>
        </w:rPr>
        <w:t>peine</w:t>
      </w:r>
      <w:r w:rsidRPr="00E00EBC">
        <w:rPr>
          <w:rFonts w:cs="Times New Roman"/>
          <w:lang w:val="en-CA"/>
        </w:rPr>
        <w:t>”, used in this latter sense).</w:t>
      </w:r>
    </w:p>
    <w:p w14:paraId="5088F297" w14:textId="77777777" w:rsidR="00746949" w:rsidRPr="00E00EBC" w:rsidRDefault="00746949" w:rsidP="00746949">
      <w:pPr>
        <w:pStyle w:val="ParaNoNdepar-AltN"/>
        <w:spacing w:before="0"/>
        <w:rPr>
          <w:rFonts w:cs="Times New Roman"/>
          <w:lang w:val="en-CA" w:bidi="en-US"/>
        </w:rPr>
      </w:pPr>
      <w:r w:rsidRPr="00E00EBC">
        <w:rPr>
          <w:rFonts w:cs="Times New Roman"/>
          <w:lang w:val="en-CA"/>
        </w:rPr>
        <w:t xml:space="preserve">Not only does this interpretation of s. 259(1)(a) </w:t>
      </w:r>
      <w:r w:rsidRPr="00E00EBC">
        <w:rPr>
          <w:rFonts w:cs="Times New Roman"/>
          <w:i/>
          <w:lang w:val="en-CA"/>
        </w:rPr>
        <w:t>Cr. C.</w:t>
      </w:r>
      <w:r w:rsidRPr="00E00EBC">
        <w:rPr>
          <w:rFonts w:cs="Times New Roman"/>
          <w:lang w:val="en-CA"/>
        </w:rPr>
        <w:t xml:space="preserve"> leave room for the exercise of the court’s discretion to grant credit, but it is also in line with the recommendation made by Arbour J. in </w:t>
      </w:r>
      <w:r w:rsidRPr="00E00EBC">
        <w:rPr>
          <w:rFonts w:cs="Times New Roman"/>
          <w:i/>
          <w:lang w:val="en-CA"/>
        </w:rPr>
        <w:t>Wust</w:t>
      </w:r>
      <w:r w:rsidRPr="00E00EBC">
        <w:rPr>
          <w:rFonts w:cs="Times New Roman"/>
          <w:lang w:val="en-CA"/>
        </w:rPr>
        <w:t xml:space="preserve"> that “it is important to interpret legislation which deals . . . with mandatory minimum sentences, in a manner that is consistent with general principles of sentencing, and that does not offend the integrity of the criminal justice system” (para. 22).</w:t>
      </w:r>
    </w:p>
    <w:p w14:paraId="30CF71A9" w14:textId="77777777" w:rsidR="00746949" w:rsidRPr="00E00EBC" w:rsidRDefault="00746949" w:rsidP="00746949">
      <w:pPr>
        <w:pStyle w:val="ParaNoNdepar-AltN"/>
        <w:spacing w:before="0"/>
        <w:rPr>
          <w:rFonts w:cs="Times New Roman"/>
          <w:lang w:val="en-CA" w:bidi="en-US"/>
        </w:rPr>
      </w:pPr>
      <w:r w:rsidRPr="00E00EBC">
        <w:rPr>
          <w:rFonts w:cs="Times New Roman"/>
          <w:lang w:val="en-CA" w:bidi="en-US"/>
        </w:rPr>
        <w:t xml:space="preserve">Because s. 259(1)(a) requires that an order be made prohibiting the offender from driving during a period of not less than one year, the sentencing judge was able to satisfy this requirement by making an order imposing a punishment for a total of one year. Granting credit does not negate the imposition of the minimum </w:t>
      </w:r>
      <w:r w:rsidRPr="00E00EBC">
        <w:rPr>
          <w:rFonts w:cs="Times New Roman"/>
          <w:lang w:val="en-CA" w:bidi="en-US"/>
        </w:rPr>
        <w:lastRenderedPageBreak/>
        <w:t>punishment required by this provision. In this case, since the punishment had already been served in its entirety at the time of sentencing, no further prohibition was required.</w:t>
      </w:r>
    </w:p>
    <w:p w14:paraId="21481BF7" w14:textId="77777777" w:rsidR="00746949" w:rsidRPr="00E00EBC" w:rsidRDefault="00746949" w:rsidP="00746949">
      <w:pPr>
        <w:pStyle w:val="Title2LevelTitre2Niveau"/>
        <w:widowControl w:val="0"/>
        <w:numPr>
          <w:ilvl w:val="1"/>
          <w:numId w:val="10"/>
        </w:numPr>
        <w:spacing w:before="0"/>
        <w:rPr>
          <w:rFonts w:cs="Times New Roman"/>
        </w:rPr>
      </w:pPr>
      <w:bookmarkStart w:id="65" w:name="_Toc123830851"/>
      <w:bookmarkStart w:id="66" w:name="_Toc124075281"/>
      <w:bookmarkStart w:id="67" w:name="_Toc124075340"/>
      <w:r w:rsidRPr="00E00EBC">
        <w:rPr>
          <w:rFonts w:cs="Times New Roman"/>
        </w:rPr>
        <w:t>Court of Appeal’s Stay of Execution of the Sentence</w:t>
      </w:r>
      <w:bookmarkEnd w:id="65"/>
      <w:bookmarkEnd w:id="66"/>
      <w:bookmarkEnd w:id="67"/>
    </w:p>
    <w:p w14:paraId="666595B7" w14:textId="77777777" w:rsidR="00746949" w:rsidRPr="00E00EBC" w:rsidRDefault="00746949" w:rsidP="00746949">
      <w:pPr>
        <w:pStyle w:val="ParaNoNdepar-AltN"/>
        <w:widowControl w:val="0"/>
        <w:spacing w:before="0"/>
        <w:rPr>
          <w:rFonts w:cs="Times New Roman"/>
          <w:lang w:val="en-CA"/>
        </w:rPr>
      </w:pPr>
      <w:r w:rsidRPr="00E00EBC">
        <w:rPr>
          <w:rFonts w:cs="Times New Roman"/>
          <w:lang w:val="en-CA"/>
        </w:rPr>
        <w:t xml:space="preserve">While not necessary </w:t>
      </w:r>
      <w:proofErr w:type="gramStart"/>
      <w:r w:rsidRPr="00E00EBC">
        <w:rPr>
          <w:rFonts w:cs="Times New Roman"/>
          <w:lang w:val="en-CA"/>
        </w:rPr>
        <w:t>in order to</w:t>
      </w:r>
      <w:proofErr w:type="gramEnd"/>
      <w:r w:rsidRPr="00E00EBC">
        <w:rPr>
          <w:rFonts w:cs="Times New Roman"/>
          <w:lang w:val="en-CA"/>
        </w:rPr>
        <w:t xml:space="preserve"> decide this appeal, I take note of the Crown’s concession that it was inappropriate to ask that Ms. Basque’s release be accompanied by a driving prohibition. The Court of Appeal was correct in its unanimous view that the release conditions imposed on Ms. Basque were unreasonable. She was ultimately prohibited from driving for 21 months and was thus treated more harshly than another offender not subject to a pre</w:t>
      </w:r>
      <w:r w:rsidRPr="00E00EBC">
        <w:rPr>
          <w:rFonts w:cs="Times New Roman"/>
          <w:lang w:val="en-CA"/>
        </w:rPr>
        <w:noBreakHyphen/>
        <w:t>sentence driving prohibition in otherwise similar, or more serious, circumstances. It is therefore understandable that the Court of Appeal was concerned about justice and fairness when it stayed the execution of the sentence imposed on Ms. Basque. The same preoccupation finds expression in the lower courts’ judgments, even though they decided the case differently. The unanimous concern of the Court of Appeal aligns, in substance if not in law, with the solution proposed here. But with all due respect for the contrary view, reaching this solution does not require staying the execution of Ms. Basque’s sentence. From a legal standpoint, she has served the mandatory minimum punishment provided for in s. 259(1)(a).</w:t>
      </w:r>
    </w:p>
    <w:p w14:paraId="622D7627" w14:textId="77777777" w:rsidR="00746949" w:rsidRPr="00E00EBC" w:rsidRDefault="00746949" w:rsidP="00746949">
      <w:pPr>
        <w:pStyle w:val="Title1LevelTitre1Niveau-AltL"/>
        <w:numPr>
          <w:ilvl w:val="0"/>
          <w:numId w:val="10"/>
        </w:numPr>
        <w:spacing w:before="0"/>
        <w:rPr>
          <w:rFonts w:cs="Times New Roman"/>
          <w:szCs w:val="24"/>
        </w:rPr>
      </w:pPr>
      <w:bookmarkStart w:id="68" w:name="_Toc122713963"/>
      <w:bookmarkStart w:id="69" w:name="_Toc123734893"/>
      <w:bookmarkStart w:id="70" w:name="_Toc123830852"/>
      <w:bookmarkStart w:id="71" w:name="_Toc124075282"/>
      <w:bookmarkStart w:id="72" w:name="_Toc124075341"/>
      <w:r w:rsidRPr="00E00EBC">
        <w:rPr>
          <w:rFonts w:cs="Times New Roman"/>
        </w:rPr>
        <w:t>Dispositi</w:t>
      </w:r>
      <w:bookmarkEnd w:id="68"/>
      <w:bookmarkEnd w:id="69"/>
      <w:bookmarkEnd w:id="70"/>
      <w:bookmarkEnd w:id="71"/>
      <w:bookmarkEnd w:id="72"/>
      <w:r w:rsidRPr="00E00EBC">
        <w:rPr>
          <w:rFonts w:cs="Times New Roman"/>
        </w:rPr>
        <w:t>on</w:t>
      </w:r>
    </w:p>
    <w:p w14:paraId="051AACDC" w14:textId="77777777" w:rsidR="00746949" w:rsidRPr="00E00EBC" w:rsidRDefault="00746949" w:rsidP="00746949">
      <w:pPr>
        <w:pStyle w:val="ParaNoNdepar-AltN"/>
        <w:spacing w:before="0"/>
        <w:rPr>
          <w:rFonts w:cs="Times New Roman"/>
          <w:szCs w:val="24"/>
          <w:lang w:val="en-CA"/>
        </w:rPr>
      </w:pPr>
      <w:r w:rsidRPr="00E00EBC">
        <w:rPr>
          <w:rFonts w:cs="Times New Roman"/>
          <w:szCs w:val="24"/>
          <w:lang w:val="en-CA"/>
        </w:rPr>
        <w:lastRenderedPageBreak/>
        <w:t xml:space="preserve">I would allow the appeal and set aside the judgment of the Court of Appeal. I would </w:t>
      </w:r>
      <w:r w:rsidRPr="00E00EBC">
        <w:rPr>
          <w:rFonts w:cs="Times New Roman"/>
          <w:lang w:val="en-CA"/>
        </w:rPr>
        <w:t xml:space="preserve">restore the judgment of the summary conviction appeal court and reinstate </w:t>
      </w:r>
      <w:r w:rsidRPr="00E00EBC">
        <w:rPr>
          <w:rFonts w:cs="Times New Roman"/>
          <w:szCs w:val="24"/>
          <w:lang w:val="en-CA"/>
        </w:rPr>
        <w:t>the Provincial Court’s conclusions in part, while specifying that Ms. Basque’s sentence should not be backdated. By the time she was sentenced, she had already served, on a pre</w:t>
      </w:r>
      <w:r w:rsidRPr="00E00EBC">
        <w:rPr>
          <w:rFonts w:cs="Times New Roman"/>
          <w:szCs w:val="24"/>
          <w:lang w:val="en-CA"/>
        </w:rPr>
        <w:noBreakHyphen/>
        <w:t>sentence basis, the minimum driving prohibition set out in s. 259(1)</w:t>
      </w:r>
      <w:r w:rsidRPr="00E00EBC">
        <w:rPr>
          <w:rFonts w:cs="Times New Roman"/>
          <w:lang w:val="en-CA"/>
        </w:rPr>
        <w:t>(a). As a result, no further prohibition is needed in this case.</w:t>
      </w:r>
    </w:p>
    <w:p w14:paraId="6407583F" w14:textId="2D587740" w:rsidR="009B57B3" w:rsidRPr="00691F40" w:rsidRDefault="00691F40" w:rsidP="00C46863">
      <w:pPr>
        <w:pStyle w:val="SCCNormalDoubleSpacing"/>
        <w:spacing w:after="480"/>
        <w:rPr>
          <w:i/>
        </w:rPr>
      </w:pPr>
      <w:r>
        <w:tab/>
      </w:r>
      <w:r w:rsidR="00656313" w:rsidRPr="00002CF7">
        <w:rPr>
          <w:i/>
        </w:rPr>
        <w:t>Appeal</w:t>
      </w:r>
      <w:r w:rsidRPr="00002CF7">
        <w:rPr>
          <w:i/>
        </w:rPr>
        <w:t xml:space="preserve"> </w:t>
      </w:r>
      <w:r w:rsidR="0031487A" w:rsidRPr="00002CF7">
        <w:rPr>
          <w:i/>
          <w:lang w:val="en-US"/>
        </w:rPr>
        <w:t>allowed</w:t>
      </w:r>
      <w:r w:rsidRPr="00002CF7">
        <w:rPr>
          <w:i/>
        </w:rPr>
        <w:t>.</w:t>
      </w:r>
    </w:p>
    <w:p w14:paraId="6326FB22" w14:textId="77777777" w:rsidR="00A23D40" w:rsidRDefault="004A4CA9" w:rsidP="00C46863">
      <w:pPr>
        <w:pStyle w:val="SCCLawFirm"/>
        <w:spacing w:after="480"/>
      </w:pPr>
      <w:r>
        <w:tab/>
        <w:t>Solicitors</w:t>
      </w:r>
      <w:r w:rsidR="00EB172E">
        <w:t xml:space="preserve"> for the appellant: Fowler Law P.C. Inc</w:t>
      </w:r>
      <w:r>
        <w:t>.</w:t>
      </w:r>
      <w:r w:rsidR="00EB172E">
        <w:t>, Moncton.</w:t>
      </w:r>
    </w:p>
    <w:p w14:paraId="009764AB" w14:textId="77777777" w:rsidR="00A23D40" w:rsidRDefault="004A4CA9" w:rsidP="00C46863">
      <w:pPr>
        <w:pStyle w:val="SCCLawFirm"/>
        <w:spacing w:after="480"/>
      </w:pPr>
      <w:r>
        <w:tab/>
        <w:t>Solicitor</w:t>
      </w:r>
      <w:r w:rsidR="00EB172E">
        <w:t xml:space="preserve"> for the respondent: Public Prosecution Service of New Brunswick, </w:t>
      </w:r>
      <w:r>
        <w:t xml:space="preserve">Office of the Attorney General, </w:t>
      </w:r>
      <w:r w:rsidR="00EB172E">
        <w:t>Fredericton.</w:t>
      </w:r>
    </w:p>
    <w:p w14:paraId="7D1C8C65" w14:textId="77777777" w:rsidR="009B57B3" w:rsidRPr="00691F40" w:rsidRDefault="00304A3E" w:rsidP="00C46863">
      <w:pPr>
        <w:pStyle w:val="SCCLawFirm"/>
        <w:spacing w:after="480"/>
      </w:pPr>
      <w:r>
        <w:tab/>
        <w:t>Solicitor</w:t>
      </w:r>
      <w:r w:rsidR="00EB172E">
        <w:t xml:space="preserve"> for the intervener: Alberta </w:t>
      </w:r>
      <w:r>
        <w:t>Crown Prosecution Service, Appeals and Specialized Prosecutions Office</w:t>
      </w:r>
      <w:r w:rsidR="00EB172E">
        <w:t>, Calgary.</w:t>
      </w:r>
    </w:p>
    <w:sectPr w:rsidR="009B57B3" w:rsidRPr="00691F40"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5A30B" w14:textId="77777777" w:rsidR="00C72FDA" w:rsidRDefault="00C72FDA">
      <w:r>
        <w:separator/>
      </w:r>
    </w:p>
  </w:endnote>
  <w:endnote w:type="continuationSeparator" w:id="0">
    <w:p w14:paraId="6E5DC857" w14:textId="77777777" w:rsidR="00C72FDA" w:rsidRDefault="00C72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4C9D" w14:textId="77777777" w:rsidR="00EE2E5E" w:rsidRDefault="00EE2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EEF3D" w14:textId="77777777" w:rsidR="00EE2E5E" w:rsidRDefault="00EE2E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4637B" w14:textId="77777777" w:rsidR="00EE2E5E" w:rsidRDefault="00EE2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E3C74" w14:textId="77777777" w:rsidR="00C72FDA" w:rsidRDefault="00C72FDA">
      <w:r>
        <w:separator/>
      </w:r>
    </w:p>
  </w:footnote>
  <w:footnote w:type="continuationSeparator" w:id="0">
    <w:p w14:paraId="57EA70E4" w14:textId="77777777" w:rsidR="00C72FDA" w:rsidRDefault="00C72FDA">
      <w:r>
        <w:continuationSeparator/>
      </w:r>
    </w:p>
  </w:footnote>
  <w:footnote w:id="1">
    <w:p w14:paraId="25C9570E" w14:textId="35DA48AF" w:rsidR="00065C59" w:rsidRPr="00266F83" w:rsidRDefault="00065C59" w:rsidP="00065C59">
      <w:pPr>
        <w:pStyle w:val="FootnoteText"/>
        <w:rPr>
          <w:lang w:val="en-US"/>
        </w:rPr>
      </w:pPr>
      <w:r w:rsidRPr="00266F83">
        <w:rPr>
          <w:rStyle w:val="FootnoteReference"/>
        </w:rPr>
        <w:sym w:font="Symbol" w:char="F02A"/>
      </w:r>
      <w:r w:rsidR="00AD50CD">
        <w:t> </w:t>
      </w:r>
      <w:r w:rsidRPr="00701DA9">
        <w:rPr>
          <w:color w:val="000000"/>
          <w:lang w:val="en-US"/>
        </w:rPr>
        <w:t>Brown J. did not participate in the final disposition of the judgment.</w:t>
      </w:r>
    </w:p>
  </w:footnote>
  <w:footnote w:id="2">
    <w:p w14:paraId="6B661C9B" w14:textId="77777777" w:rsidR="00746949" w:rsidRPr="00601A2C" w:rsidRDefault="00746949" w:rsidP="00145B55">
      <w:pPr>
        <w:pStyle w:val="FootnoteText"/>
        <w:tabs>
          <w:tab w:val="left" w:pos="180"/>
        </w:tabs>
        <w:ind w:left="187" w:hanging="187"/>
        <w:jc w:val="both"/>
      </w:pPr>
      <w:r w:rsidRPr="00601A2C">
        <w:rPr>
          <w:rStyle w:val="FootnoteReference"/>
        </w:rPr>
        <w:footnoteRef/>
      </w:r>
      <w:r>
        <w:t>  This provision was repealed and replaced by s. </w:t>
      </w:r>
      <w:r w:rsidRPr="00601A2C">
        <w:t>320.24(2)</w:t>
      </w:r>
      <w:r>
        <w:t>(</w:t>
      </w:r>
      <w:r w:rsidRPr="00601A2C">
        <w:t xml:space="preserve">a) </w:t>
      </w:r>
      <w:r w:rsidRPr="00601A2C">
        <w:rPr>
          <w:i/>
        </w:rPr>
        <w:t>C</w:t>
      </w:r>
      <w:r>
        <w:rPr>
          <w:i/>
        </w:rPr>
        <w:t>r</w:t>
      </w:r>
      <w:r w:rsidRPr="00601A2C">
        <w:rPr>
          <w:i/>
        </w:rPr>
        <w:t>.</w:t>
      </w:r>
      <w:r>
        <w:rPr>
          <w:i/>
        </w:rPr>
        <w:t> C</w:t>
      </w:r>
      <w:r w:rsidRPr="00601A2C">
        <w:rPr>
          <w:i/>
        </w:rPr>
        <w:t>.</w:t>
      </w:r>
      <w:r w:rsidRPr="00601A2C">
        <w:t xml:space="preserve"> (</w:t>
      </w:r>
      <w:r>
        <w:t>S</w:t>
      </w:r>
      <w:r w:rsidRPr="00601A2C">
        <w:t>.C. 2018, c.</w:t>
      </w:r>
      <w:r>
        <w:t> </w:t>
      </w:r>
      <w:r w:rsidRPr="00601A2C">
        <w:t xml:space="preserve">21), </w:t>
      </w:r>
      <w:r>
        <w:t>which is “</w:t>
      </w:r>
      <w:r w:rsidRPr="009C6C52">
        <w:t>almost identical</w:t>
      </w:r>
      <w:r>
        <w:t>” to s. </w:t>
      </w:r>
      <w:r w:rsidRPr="00601A2C">
        <w:t>259(1)</w:t>
      </w:r>
      <w:r>
        <w:t>(</w:t>
      </w:r>
      <w:r w:rsidRPr="00601A2C">
        <w:t xml:space="preserve">a), </w:t>
      </w:r>
      <w:r>
        <w:t>as the majority of the Court of Ap</w:t>
      </w:r>
      <w:r w:rsidRPr="00D7235C">
        <w:t>peal noted (2021 NBCA 50, 84 M.V.R. (7th) 1, at para. 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7D14" w14:textId="77777777" w:rsidR="00EE2E5E" w:rsidRDefault="00EE2E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2B3C" w14:textId="77777777" w:rsidR="00450352" w:rsidRPr="00C27D9F" w:rsidRDefault="00450352" w:rsidP="00C27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5A08" w14:textId="77777777" w:rsidR="00EE2E5E" w:rsidRDefault="00EE2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32A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4BB2D6F"/>
    <w:multiLevelType w:val="hybridMultilevel"/>
    <w:tmpl w:val="CDB411B6"/>
    <w:lvl w:ilvl="0" w:tplc="DBA623DE">
      <w:start w:val="3"/>
      <w:numFmt w:val="upperLetter"/>
      <w:lvlText w:val="%1."/>
      <w:lvlJc w:val="left"/>
      <w:pPr>
        <w:ind w:left="720" w:hanging="360"/>
      </w:pPr>
      <w:rPr>
        <w:rFonts w:hint="default"/>
        <w:i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19358B1"/>
    <w:multiLevelType w:val="hybridMultilevel"/>
    <w:tmpl w:val="AF20E3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6" w15:restartNumberingAfterBreak="0">
    <w:nsid w:val="4ACA77A8"/>
    <w:multiLevelType w:val="hybridMultilevel"/>
    <w:tmpl w:val="F20A259A"/>
    <w:lvl w:ilvl="0" w:tplc="6AACA95C">
      <w:start w:val="10"/>
      <w:numFmt w:val="bullet"/>
      <w:pStyle w:val="ListParagraph"/>
      <w:lvlText w:val=""/>
      <w:lvlJc w:val="left"/>
      <w:pPr>
        <w:ind w:left="1526" w:hanging="360"/>
      </w:pPr>
      <w:rPr>
        <w:rFonts w:ascii="Symbol" w:eastAsia="Times New Roman" w:hAnsi="Symbol" w:cs="Times New Roman" w:hint="default"/>
      </w:rPr>
    </w:lvl>
    <w:lvl w:ilvl="1" w:tplc="FD369C00">
      <w:start w:val="1"/>
      <w:numFmt w:val="bullet"/>
      <w:pStyle w:val="TOCHeading"/>
      <w:lvlText w:val="o"/>
      <w:lvlJc w:val="left"/>
      <w:pPr>
        <w:ind w:left="2246" w:hanging="360"/>
      </w:pPr>
      <w:rPr>
        <w:rFonts w:ascii="Courier New" w:hAnsi="Courier New" w:cs="Courier New" w:hint="default"/>
      </w:rPr>
    </w:lvl>
    <w:lvl w:ilvl="2" w:tplc="10B662B8">
      <w:start w:val="1"/>
      <w:numFmt w:val="bullet"/>
      <w:pStyle w:val="Subtitle"/>
      <w:lvlText w:val=""/>
      <w:lvlJc w:val="left"/>
      <w:pPr>
        <w:ind w:left="2966" w:hanging="360"/>
      </w:pPr>
    </w:lvl>
    <w:lvl w:ilvl="3" w:tplc="10090001">
      <w:start w:val="1"/>
      <w:numFmt w:val="bullet"/>
      <w:lvlText w:val=""/>
      <w:lvlJc w:val="left"/>
      <w:pPr>
        <w:ind w:left="3686" w:hanging="360"/>
      </w:pPr>
      <w:rPr>
        <w:rFonts w:ascii="Symbol" w:hAnsi="Symbol" w:hint="default"/>
      </w:rPr>
    </w:lvl>
    <w:lvl w:ilvl="4" w:tplc="10090003">
      <w:start w:val="1"/>
      <w:numFmt w:val="bullet"/>
      <w:lvlText w:val="o"/>
      <w:lvlJc w:val="left"/>
      <w:pPr>
        <w:ind w:left="4406" w:hanging="360"/>
      </w:pPr>
      <w:rPr>
        <w:rFonts w:ascii="Courier New" w:hAnsi="Courier New" w:cs="Courier New" w:hint="default"/>
      </w:rPr>
    </w:lvl>
    <w:lvl w:ilvl="5" w:tplc="10090005">
      <w:start w:val="1"/>
      <w:numFmt w:val="bullet"/>
      <w:lvlText w:val=""/>
      <w:lvlJc w:val="left"/>
      <w:pPr>
        <w:ind w:left="5126" w:hanging="360"/>
      </w:pPr>
      <w:rPr>
        <w:rFonts w:ascii="Wingdings" w:hAnsi="Wingdings" w:hint="default"/>
      </w:rPr>
    </w:lvl>
    <w:lvl w:ilvl="6" w:tplc="10090001">
      <w:start w:val="1"/>
      <w:numFmt w:val="bullet"/>
      <w:lvlText w:val=""/>
      <w:lvlJc w:val="left"/>
      <w:pPr>
        <w:ind w:left="5846" w:hanging="360"/>
      </w:pPr>
      <w:rPr>
        <w:rFonts w:ascii="Symbol" w:hAnsi="Symbol" w:hint="default"/>
      </w:rPr>
    </w:lvl>
    <w:lvl w:ilvl="7" w:tplc="10090003">
      <w:start w:val="1"/>
      <w:numFmt w:val="bullet"/>
      <w:lvlText w:val="o"/>
      <w:lvlJc w:val="left"/>
      <w:pPr>
        <w:ind w:left="6566" w:hanging="360"/>
      </w:pPr>
      <w:rPr>
        <w:rFonts w:ascii="Courier New" w:hAnsi="Courier New" w:cs="Courier New" w:hint="default"/>
      </w:rPr>
    </w:lvl>
    <w:lvl w:ilvl="8" w:tplc="10090005">
      <w:start w:val="1"/>
      <w:numFmt w:val="bullet"/>
      <w:lvlText w:val=""/>
      <w:lvlJc w:val="left"/>
      <w:pPr>
        <w:ind w:left="7286" w:hanging="360"/>
      </w:pPr>
      <w:rPr>
        <w:rFonts w:ascii="Wingdings" w:hAnsi="Wingdings" w:hint="default"/>
      </w:rPr>
    </w:lvl>
  </w:abstractNum>
  <w:abstractNum w:abstractNumId="7"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8"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4283EE8"/>
    <w:multiLevelType w:val="multilevel"/>
    <w:tmpl w:val="8B54AC2E"/>
    <w:lvl w:ilvl="0">
      <w:start w:val="1"/>
      <w:numFmt w:val="decimal"/>
      <w:pStyle w:val="ParaNoNdepar-AltN"/>
      <w:lvlText w:val="[%1]"/>
      <w:lvlJc w:val="left"/>
      <w:pPr>
        <w:tabs>
          <w:tab w:val="num" w:pos="1152"/>
        </w:tabs>
        <w:ind w:left="0" w:firstLine="0"/>
      </w:pPr>
      <w:rPr>
        <w:rFonts w:ascii="Times New Roman" w:hAnsi="Times New Roman" w:hint="default"/>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42872733">
    <w:abstractNumId w:val="9"/>
  </w:num>
  <w:num w:numId="2" w16cid:durableId="26108700">
    <w:abstractNumId w:val="10"/>
  </w:num>
  <w:num w:numId="3" w16cid:durableId="116148091">
    <w:abstractNumId w:val="2"/>
  </w:num>
  <w:num w:numId="4" w16cid:durableId="947393628">
    <w:abstractNumId w:val="1"/>
  </w:num>
  <w:num w:numId="5" w16cid:durableId="764575513">
    <w:abstractNumId w:val="7"/>
  </w:num>
  <w:num w:numId="6" w16cid:durableId="956177389">
    <w:abstractNumId w:val="8"/>
  </w:num>
  <w:num w:numId="7" w16cid:durableId="227300580">
    <w:abstractNumId w:val="5"/>
  </w:num>
  <w:num w:numId="8" w16cid:durableId="1783066540">
    <w:abstractNumId w:val="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16cid:durableId="947271232">
    <w:abstractNumId w:val="0"/>
  </w:num>
  <w:num w:numId="10" w16cid:durableId="15440976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97534586">
    <w:abstractNumId w:val="6"/>
  </w:num>
  <w:num w:numId="12" w16cid:durableId="7839619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52904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912526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119108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36680157">
    <w:abstractNumId w:val="4"/>
  </w:num>
  <w:num w:numId="17" w16cid:durableId="671139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014727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56307958">
    <w:abstractNumId w:val="3"/>
  </w:num>
  <w:num w:numId="20" w16cid:durableId="9578806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492376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14980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260465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68651856">
    <w:abstractNumId w:val="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25" w16cid:durableId="1467238996">
    <w:abstractNumId w:val="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14C"/>
    <w:rsid w:val="00000ED4"/>
    <w:rsid w:val="00002CF7"/>
    <w:rsid w:val="00024B52"/>
    <w:rsid w:val="00025198"/>
    <w:rsid w:val="0003236F"/>
    <w:rsid w:val="00037F36"/>
    <w:rsid w:val="00057621"/>
    <w:rsid w:val="000578A3"/>
    <w:rsid w:val="000648CC"/>
    <w:rsid w:val="00065C59"/>
    <w:rsid w:val="000A5943"/>
    <w:rsid w:val="000A7D7B"/>
    <w:rsid w:val="000B5AD9"/>
    <w:rsid w:val="000C1312"/>
    <w:rsid w:val="000C59B8"/>
    <w:rsid w:val="000C6AF0"/>
    <w:rsid w:val="000D5480"/>
    <w:rsid w:val="00104F33"/>
    <w:rsid w:val="00111DE2"/>
    <w:rsid w:val="00116B38"/>
    <w:rsid w:val="00123B38"/>
    <w:rsid w:val="0013361F"/>
    <w:rsid w:val="00135406"/>
    <w:rsid w:val="00135972"/>
    <w:rsid w:val="001426A9"/>
    <w:rsid w:val="00145B55"/>
    <w:rsid w:val="00146270"/>
    <w:rsid w:val="00154D7C"/>
    <w:rsid w:val="001570B0"/>
    <w:rsid w:val="0015752C"/>
    <w:rsid w:val="00157737"/>
    <w:rsid w:val="00165277"/>
    <w:rsid w:val="00170592"/>
    <w:rsid w:val="00172203"/>
    <w:rsid w:val="00181C78"/>
    <w:rsid w:val="00186351"/>
    <w:rsid w:val="00191029"/>
    <w:rsid w:val="00195D83"/>
    <w:rsid w:val="00196665"/>
    <w:rsid w:val="001A00C1"/>
    <w:rsid w:val="001A724F"/>
    <w:rsid w:val="001B33E0"/>
    <w:rsid w:val="001B4573"/>
    <w:rsid w:val="001B61CB"/>
    <w:rsid w:val="001C779F"/>
    <w:rsid w:val="001D2AC1"/>
    <w:rsid w:val="001D4E88"/>
    <w:rsid w:val="001D5112"/>
    <w:rsid w:val="001E6E91"/>
    <w:rsid w:val="001F3CA8"/>
    <w:rsid w:val="001F5442"/>
    <w:rsid w:val="00201F07"/>
    <w:rsid w:val="002064A9"/>
    <w:rsid w:val="0021441D"/>
    <w:rsid w:val="00220FC2"/>
    <w:rsid w:val="002222F4"/>
    <w:rsid w:val="002249D1"/>
    <w:rsid w:val="00224FC0"/>
    <w:rsid w:val="00225EA4"/>
    <w:rsid w:val="00226EAF"/>
    <w:rsid w:val="00231F3A"/>
    <w:rsid w:val="002326A5"/>
    <w:rsid w:val="00234199"/>
    <w:rsid w:val="002406EE"/>
    <w:rsid w:val="00243EC8"/>
    <w:rsid w:val="0025127F"/>
    <w:rsid w:val="00266F83"/>
    <w:rsid w:val="00267AED"/>
    <w:rsid w:val="00270D93"/>
    <w:rsid w:val="00271B01"/>
    <w:rsid w:val="002745CC"/>
    <w:rsid w:val="00293EAE"/>
    <w:rsid w:val="002B7924"/>
    <w:rsid w:val="002C0EEF"/>
    <w:rsid w:val="002D28C3"/>
    <w:rsid w:val="002D39A4"/>
    <w:rsid w:val="002E1AE1"/>
    <w:rsid w:val="002E6705"/>
    <w:rsid w:val="00301D08"/>
    <w:rsid w:val="0030329A"/>
    <w:rsid w:val="00304A3E"/>
    <w:rsid w:val="0031086F"/>
    <w:rsid w:val="0031414C"/>
    <w:rsid w:val="0031487A"/>
    <w:rsid w:val="00314E01"/>
    <w:rsid w:val="0032089D"/>
    <w:rsid w:val="003218E2"/>
    <w:rsid w:val="0032525B"/>
    <w:rsid w:val="003310DE"/>
    <w:rsid w:val="003323B0"/>
    <w:rsid w:val="00332698"/>
    <w:rsid w:val="00344A81"/>
    <w:rsid w:val="003459FB"/>
    <w:rsid w:val="0035169A"/>
    <w:rsid w:val="0035259D"/>
    <w:rsid w:val="00355ED2"/>
    <w:rsid w:val="00364B18"/>
    <w:rsid w:val="00381F22"/>
    <w:rsid w:val="003A125D"/>
    <w:rsid w:val="003A2AE3"/>
    <w:rsid w:val="003A4C06"/>
    <w:rsid w:val="003A4C70"/>
    <w:rsid w:val="003A55E3"/>
    <w:rsid w:val="003B215F"/>
    <w:rsid w:val="003C5C22"/>
    <w:rsid w:val="003C799C"/>
    <w:rsid w:val="003D0399"/>
    <w:rsid w:val="003D4973"/>
    <w:rsid w:val="003D6840"/>
    <w:rsid w:val="003E1C71"/>
    <w:rsid w:val="003F327B"/>
    <w:rsid w:val="00406166"/>
    <w:rsid w:val="0040704B"/>
    <w:rsid w:val="00410A55"/>
    <w:rsid w:val="00411089"/>
    <w:rsid w:val="00411300"/>
    <w:rsid w:val="00415417"/>
    <w:rsid w:val="0041666F"/>
    <w:rsid w:val="00417F0E"/>
    <w:rsid w:val="0042322C"/>
    <w:rsid w:val="00426659"/>
    <w:rsid w:val="004338CA"/>
    <w:rsid w:val="004370CB"/>
    <w:rsid w:val="00442DE3"/>
    <w:rsid w:val="00444AA9"/>
    <w:rsid w:val="00450352"/>
    <w:rsid w:val="00454BDB"/>
    <w:rsid w:val="00464800"/>
    <w:rsid w:val="00465132"/>
    <w:rsid w:val="00480C90"/>
    <w:rsid w:val="0048396F"/>
    <w:rsid w:val="004864C2"/>
    <w:rsid w:val="004865D9"/>
    <w:rsid w:val="00493C18"/>
    <w:rsid w:val="004A4CA9"/>
    <w:rsid w:val="004A600C"/>
    <w:rsid w:val="004A6118"/>
    <w:rsid w:val="004B7DD1"/>
    <w:rsid w:val="004C03E6"/>
    <w:rsid w:val="004C478D"/>
    <w:rsid w:val="004C7D83"/>
    <w:rsid w:val="004C7F98"/>
    <w:rsid w:val="004E2C26"/>
    <w:rsid w:val="004E7301"/>
    <w:rsid w:val="004F1AC6"/>
    <w:rsid w:val="004F36FF"/>
    <w:rsid w:val="00504450"/>
    <w:rsid w:val="00511B47"/>
    <w:rsid w:val="005125A8"/>
    <w:rsid w:val="00521AE8"/>
    <w:rsid w:val="00527180"/>
    <w:rsid w:val="0054201E"/>
    <w:rsid w:val="00543196"/>
    <w:rsid w:val="00551938"/>
    <w:rsid w:val="00552F8E"/>
    <w:rsid w:val="00555291"/>
    <w:rsid w:val="00566AD1"/>
    <w:rsid w:val="00574AD6"/>
    <w:rsid w:val="0057796A"/>
    <w:rsid w:val="00583EDE"/>
    <w:rsid w:val="005859E5"/>
    <w:rsid w:val="005865B1"/>
    <w:rsid w:val="005A6079"/>
    <w:rsid w:val="005A7A6F"/>
    <w:rsid w:val="005B1AAE"/>
    <w:rsid w:val="005C1F4B"/>
    <w:rsid w:val="005D37A7"/>
    <w:rsid w:val="005E4036"/>
    <w:rsid w:val="005E4698"/>
    <w:rsid w:val="005F553A"/>
    <w:rsid w:val="00606937"/>
    <w:rsid w:val="00610539"/>
    <w:rsid w:val="0061071F"/>
    <w:rsid w:val="00613947"/>
    <w:rsid w:val="00613969"/>
    <w:rsid w:val="00625C35"/>
    <w:rsid w:val="00642146"/>
    <w:rsid w:val="00644FB3"/>
    <w:rsid w:val="006470DA"/>
    <w:rsid w:val="00655EA5"/>
    <w:rsid w:val="00656313"/>
    <w:rsid w:val="006565F4"/>
    <w:rsid w:val="006574AF"/>
    <w:rsid w:val="006636D9"/>
    <w:rsid w:val="00666574"/>
    <w:rsid w:val="00677AB4"/>
    <w:rsid w:val="0068286C"/>
    <w:rsid w:val="00684EEA"/>
    <w:rsid w:val="00691F40"/>
    <w:rsid w:val="006951E8"/>
    <w:rsid w:val="00696545"/>
    <w:rsid w:val="0069689B"/>
    <w:rsid w:val="006A1551"/>
    <w:rsid w:val="006A4B86"/>
    <w:rsid w:val="006B5FF5"/>
    <w:rsid w:val="006C3819"/>
    <w:rsid w:val="006C4988"/>
    <w:rsid w:val="006C75F6"/>
    <w:rsid w:val="006E2B9D"/>
    <w:rsid w:val="006E3DAC"/>
    <w:rsid w:val="006E549F"/>
    <w:rsid w:val="006F284F"/>
    <w:rsid w:val="006F30AF"/>
    <w:rsid w:val="00701759"/>
    <w:rsid w:val="00705C15"/>
    <w:rsid w:val="0071600E"/>
    <w:rsid w:val="007208D1"/>
    <w:rsid w:val="00725166"/>
    <w:rsid w:val="007256AD"/>
    <w:rsid w:val="0072767D"/>
    <w:rsid w:val="0073723A"/>
    <w:rsid w:val="007454CB"/>
    <w:rsid w:val="00746949"/>
    <w:rsid w:val="00747288"/>
    <w:rsid w:val="00747DD3"/>
    <w:rsid w:val="007506C1"/>
    <w:rsid w:val="007549C8"/>
    <w:rsid w:val="00754A0B"/>
    <w:rsid w:val="00761E65"/>
    <w:rsid w:val="00765DC6"/>
    <w:rsid w:val="0076673D"/>
    <w:rsid w:val="00766D14"/>
    <w:rsid w:val="00767A0F"/>
    <w:rsid w:val="00783136"/>
    <w:rsid w:val="00785320"/>
    <w:rsid w:val="00794B07"/>
    <w:rsid w:val="007A05F6"/>
    <w:rsid w:val="007A2EE8"/>
    <w:rsid w:val="007B6F4A"/>
    <w:rsid w:val="007C459E"/>
    <w:rsid w:val="007D321E"/>
    <w:rsid w:val="007E1C47"/>
    <w:rsid w:val="007E337A"/>
    <w:rsid w:val="007E5C70"/>
    <w:rsid w:val="007F0431"/>
    <w:rsid w:val="007F2BEC"/>
    <w:rsid w:val="007F2FF5"/>
    <w:rsid w:val="007F3F08"/>
    <w:rsid w:val="00804CC6"/>
    <w:rsid w:val="0080649E"/>
    <w:rsid w:val="008077B8"/>
    <w:rsid w:val="008113E9"/>
    <w:rsid w:val="00817190"/>
    <w:rsid w:val="00820EE5"/>
    <w:rsid w:val="008260E2"/>
    <w:rsid w:val="008322BD"/>
    <w:rsid w:val="00833E0A"/>
    <w:rsid w:val="00834F73"/>
    <w:rsid w:val="0084532B"/>
    <w:rsid w:val="008630C1"/>
    <w:rsid w:val="00864CF8"/>
    <w:rsid w:val="00872819"/>
    <w:rsid w:val="00874914"/>
    <w:rsid w:val="00891422"/>
    <w:rsid w:val="00891B2A"/>
    <w:rsid w:val="00892E1A"/>
    <w:rsid w:val="008A3F29"/>
    <w:rsid w:val="008B660A"/>
    <w:rsid w:val="008B6B71"/>
    <w:rsid w:val="008C01DA"/>
    <w:rsid w:val="008C149E"/>
    <w:rsid w:val="008E18E3"/>
    <w:rsid w:val="008E551F"/>
    <w:rsid w:val="008F78E9"/>
    <w:rsid w:val="00911989"/>
    <w:rsid w:val="009139B5"/>
    <w:rsid w:val="009144F2"/>
    <w:rsid w:val="009179F9"/>
    <w:rsid w:val="0092007A"/>
    <w:rsid w:val="00927D3D"/>
    <w:rsid w:val="00931370"/>
    <w:rsid w:val="00933E5E"/>
    <w:rsid w:val="00935218"/>
    <w:rsid w:val="009403F3"/>
    <w:rsid w:val="0094296A"/>
    <w:rsid w:val="00942C24"/>
    <w:rsid w:val="009555B7"/>
    <w:rsid w:val="009567AA"/>
    <w:rsid w:val="0096460A"/>
    <w:rsid w:val="00967374"/>
    <w:rsid w:val="00976A56"/>
    <w:rsid w:val="00977338"/>
    <w:rsid w:val="0098753D"/>
    <w:rsid w:val="00994004"/>
    <w:rsid w:val="009A343A"/>
    <w:rsid w:val="009B0E08"/>
    <w:rsid w:val="009B2F23"/>
    <w:rsid w:val="009B57B3"/>
    <w:rsid w:val="009C5B92"/>
    <w:rsid w:val="009D2920"/>
    <w:rsid w:val="009D5AEB"/>
    <w:rsid w:val="009F0E33"/>
    <w:rsid w:val="009F5670"/>
    <w:rsid w:val="00A0095C"/>
    <w:rsid w:val="00A030CE"/>
    <w:rsid w:val="00A149DF"/>
    <w:rsid w:val="00A1755C"/>
    <w:rsid w:val="00A2125C"/>
    <w:rsid w:val="00A21B90"/>
    <w:rsid w:val="00A23D40"/>
    <w:rsid w:val="00A24CB4"/>
    <w:rsid w:val="00A332E4"/>
    <w:rsid w:val="00A338DD"/>
    <w:rsid w:val="00A34FBE"/>
    <w:rsid w:val="00A41805"/>
    <w:rsid w:val="00A41AA0"/>
    <w:rsid w:val="00A42DCD"/>
    <w:rsid w:val="00A52AFB"/>
    <w:rsid w:val="00A548CB"/>
    <w:rsid w:val="00A5521C"/>
    <w:rsid w:val="00A643E7"/>
    <w:rsid w:val="00A73C38"/>
    <w:rsid w:val="00A9766D"/>
    <w:rsid w:val="00AA6D84"/>
    <w:rsid w:val="00AB36C9"/>
    <w:rsid w:val="00AB670D"/>
    <w:rsid w:val="00AC6326"/>
    <w:rsid w:val="00AD50CD"/>
    <w:rsid w:val="00AD6A5F"/>
    <w:rsid w:val="00AE1A69"/>
    <w:rsid w:val="00AE4535"/>
    <w:rsid w:val="00AF03C5"/>
    <w:rsid w:val="00AF6CCB"/>
    <w:rsid w:val="00B000D8"/>
    <w:rsid w:val="00B00F75"/>
    <w:rsid w:val="00B02AB7"/>
    <w:rsid w:val="00B11744"/>
    <w:rsid w:val="00B145B6"/>
    <w:rsid w:val="00B279EB"/>
    <w:rsid w:val="00B329C5"/>
    <w:rsid w:val="00B446C3"/>
    <w:rsid w:val="00B46B0E"/>
    <w:rsid w:val="00B50C81"/>
    <w:rsid w:val="00B51B88"/>
    <w:rsid w:val="00B557F8"/>
    <w:rsid w:val="00B762CC"/>
    <w:rsid w:val="00B815FC"/>
    <w:rsid w:val="00B82259"/>
    <w:rsid w:val="00B93FBC"/>
    <w:rsid w:val="00BA1323"/>
    <w:rsid w:val="00BA7DA0"/>
    <w:rsid w:val="00BB2EE4"/>
    <w:rsid w:val="00BB4E23"/>
    <w:rsid w:val="00BC10A3"/>
    <w:rsid w:val="00BC2108"/>
    <w:rsid w:val="00BC2635"/>
    <w:rsid w:val="00BC631D"/>
    <w:rsid w:val="00BD0E9E"/>
    <w:rsid w:val="00BD1BEC"/>
    <w:rsid w:val="00BD325B"/>
    <w:rsid w:val="00BD32FF"/>
    <w:rsid w:val="00BE5A2C"/>
    <w:rsid w:val="00BF22FF"/>
    <w:rsid w:val="00BF375F"/>
    <w:rsid w:val="00BF3768"/>
    <w:rsid w:val="00C02092"/>
    <w:rsid w:val="00C07970"/>
    <w:rsid w:val="00C206CE"/>
    <w:rsid w:val="00C24D91"/>
    <w:rsid w:val="00C27D9F"/>
    <w:rsid w:val="00C32F80"/>
    <w:rsid w:val="00C34F1B"/>
    <w:rsid w:val="00C35806"/>
    <w:rsid w:val="00C37D7A"/>
    <w:rsid w:val="00C46863"/>
    <w:rsid w:val="00C53F14"/>
    <w:rsid w:val="00C600CF"/>
    <w:rsid w:val="00C6084F"/>
    <w:rsid w:val="00C62A66"/>
    <w:rsid w:val="00C71458"/>
    <w:rsid w:val="00C72FDA"/>
    <w:rsid w:val="00C77613"/>
    <w:rsid w:val="00C828E7"/>
    <w:rsid w:val="00C84B01"/>
    <w:rsid w:val="00C86719"/>
    <w:rsid w:val="00C86DBF"/>
    <w:rsid w:val="00C921DD"/>
    <w:rsid w:val="00CA6391"/>
    <w:rsid w:val="00CC34BD"/>
    <w:rsid w:val="00CD4FBD"/>
    <w:rsid w:val="00CE161A"/>
    <w:rsid w:val="00CE17B3"/>
    <w:rsid w:val="00CE3171"/>
    <w:rsid w:val="00CE5545"/>
    <w:rsid w:val="00CF1601"/>
    <w:rsid w:val="00CF5663"/>
    <w:rsid w:val="00D0172F"/>
    <w:rsid w:val="00D068A7"/>
    <w:rsid w:val="00D17476"/>
    <w:rsid w:val="00D224A0"/>
    <w:rsid w:val="00D23AE6"/>
    <w:rsid w:val="00D25DF1"/>
    <w:rsid w:val="00D30EC8"/>
    <w:rsid w:val="00D31AB1"/>
    <w:rsid w:val="00D32086"/>
    <w:rsid w:val="00D37A3F"/>
    <w:rsid w:val="00D37D31"/>
    <w:rsid w:val="00D41040"/>
    <w:rsid w:val="00D4431D"/>
    <w:rsid w:val="00D45C40"/>
    <w:rsid w:val="00D4667A"/>
    <w:rsid w:val="00D50046"/>
    <w:rsid w:val="00D51233"/>
    <w:rsid w:val="00D53920"/>
    <w:rsid w:val="00D63A1C"/>
    <w:rsid w:val="00D7516F"/>
    <w:rsid w:val="00D8579F"/>
    <w:rsid w:val="00D95F8E"/>
    <w:rsid w:val="00DA0590"/>
    <w:rsid w:val="00DB7BEA"/>
    <w:rsid w:val="00DB7E52"/>
    <w:rsid w:val="00DC001A"/>
    <w:rsid w:val="00DC1739"/>
    <w:rsid w:val="00DC1788"/>
    <w:rsid w:val="00DE319C"/>
    <w:rsid w:val="00DE4339"/>
    <w:rsid w:val="00DE5DDC"/>
    <w:rsid w:val="00DE7AF0"/>
    <w:rsid w:val="00DF0CA8"/>
    <w:rsid w:val="00DF2B48"/>
    <w:rsid w:val="00DF49A7"/>
    <w:rsid w:val="00DF5228"/>
    <w:rsid w:val="00E042E0"/>
    <w:rsid w:val="00E05386"/>
    <w:rsid w:val="00E07EE2"/>
    <w:rsid w:val="00E07FD1"/>
    <w:rsid w:val="00E172FE"/>
    <w:rsid w:val="00E176D8"/>
    <w:rsid w:val="00E24573"/>
    <w:rsid w:val="00E25E1E"/>
    <w:rsid w:val="00E27EE7"/>
    <w:rsid w:val="00E35404"/>
    <w:rsid w:val="00E45109"/>
    <w:rsid w:val="00E47B7A"/>
    <w:rsid w:val="00E56A44"/>
    <w:rsid w:val="00E60269"/>
    <w:rsid w:val="00E6441E"/>
    <w:rsid w:val="00E66365"/>
    <w:rsid w:val="00E77932"/>
    <w:rsid w:val="00E8302C"/>
    <w:rsid w:val="00E97830"/>
    <w:rsid w:val="00EA0E2F"/>
    <w:rsid w:val="00EA2B4D"/>
    <w:rsid w:val="00EA3B41"/>
    <w:rsid w:val="00EB172E"/>
    <w:rsid w:val="00ED0738"/>
    <w:rsid w:val="00EE2E5E"/>
    <w:rsid w:val="00EE643C"/>
    <w:rsid w:val="00EF0683"/>
    <w:rsid w:val="00EF48C5"/>
    <w:rsid w:val="00EF69D2"/>
    <w:rsid w:val="00EF766E"/>
    <w:rsid w:val="00F0070C"/>
    <w:rsid w:val="00F00EB7"/>
    <w:rsid w:val="00F12442"/>
    <w:rsid w:val="00F13FD5"/>
    <w:rsid w:val="00F26870"/>
    <w:rsid w:val="00F27296"/>
    <w:rsid w:val="00F36AB6"/>
    <w:rsid w:val="00F37A09"/>
    <w:rsid w:val="00F409CE"/>
    <w:rsid w:val="00F4379D"/>
    <w:rsid w:val="00F50D2D"/>
    <w:rsid w:val="00F5165E"/>
    <w:rsid w:val="00F52A0E"/>
    <w:rsid w:val="00F53BAA"/>
    <w:rsid w:val="00F56C8B"/>
    <w:rsid w:val="00F66810"/>
    <w:rsid w:val="00F77952"/>
    <w:rsid w:val="00F823FD"/>
    <w:rsid w:val="00F846D9"/>
    <w:rsid w:val="00F84DF4"/>
    <w:rsid w:val="00F85C97"/>
    <w:rsid w:val="00F923C8"/>
    <w:rsid w:val="00FB37D2"/>
    <w:rsid w:val="00FB623A"/>
    <w:rsid w:val="00FB6DDE"/>
    <w:rsid w:val="00FB7138"/>
    <w:rsid w:val="00FC0A2B"/>
    <w:rsid w:val="00FC4EFB"/>
    <w:rsid w:val="00FD068D"/>
    <w:rsid w:val="00FD1C3A"/>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BCB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1A"/>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46949"/>
    <w:pPr>
      <w:keepNext/>
      <w:keepLines/>
      <w:spacing w:before="40" w:line="276" w:lineRule="auto"/>
      <w:outlineLvl w:val="5"/>
    </w:pPr>
    <w:rPr>
      <w:rFonts w:asciiTheme="majorHAnsi" w:eastAsiaTheme="majorEastAsia" w:hAnsiTheme="majorHAnsi" w:cstheme="majorBidi"/>
      <w:color w:val="243F60" w:themeColor="accent1" w:themeShade="7F"/>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D224A0"/>
    <w:rPr>
      <w:color w:val="660000"/>
      <w:u w:val="none"/>
    </w:rPr>
  </w:style>
  <w:style w:type="character" w:styleId="FollowedHyperlink">
    <w:name w:val="FollowedHyperlink"/>
    <w:basedOn w:val="DefaultParagraphFont"/>
    <w:uiPriority w:val="99"/>
    <w:semiHidden/>
    <w:unhideWhenUsed/>
    <w:rsid w:val="005B1AAE"/>
    <w:rPr>
      <w:color w:val="800080" w:themeColor="followedHyperlink"/>
      <w:u w:val="single"/>
    </w:rPr>
  </w:style>
  <w:style w:type="character" w:customStyle="1" w:styleId="solexhl">
    <w:name w:val="solexhl"/>
    <w:basedOn w:val="DefaultParagraphFont"/>
    <w:rsid w:val="001F3CA8"/>
  </w:style>
  <w:style w:type="character" w:styleId="CommentReference">
    <w:name w:val="annotation reference"/>
    <w:basedOn w:val="DefaultParagraphFont"/>
    <w:uiPriority w:val="99"/>
    <w:semiHidden/>
    <w:unhideWhenUsed/>
    <w:rsid w:val="00CE17B3"/>
    <w:rPr>
      <w:sz w:val="16"/>
      <w:szCs w:val="16"/>
    </w:rPr>
  </w:style>
  <w:style w:type="paragraph" w:styleId="CommentText">
    <w:name w:val="annotation text"/>
    <w:basedOn w:val="Normal"/>
    <w:link w:val="CommentTextChar"/>
    <w:uiPriority w:val="99"/>
    <w:unhideWhenUsed/>
    <w:rsid w:val="00CE17B3"/>
    <w:rPr>
      <w:sz w:val="20"/>
    </w:rPr>
  </w:style>
  <w:style w:type="character" w:customStyle="1" w:styleId="CommentTextChar">
    <w:name w:val="Comment Text Char"/>
    <w:basedOn w:val="DefaultParagraphFont"/>
    <w:link w:val="CommentText"/>
    <w:uiPriority w:val="99"/>
    <w:rsid w:val="00CE17B3"/>
  </w:style>
  <w:style w:type="paragraph" w:styleId="CommentSubject">
    <w:name w:val="annotation subject"/>
    <w:basedOn w:val="CommentText"/>
    <w:next w:val="CommentText"/>
    <w:link w:val="CommentSubjectChar"/>
    <w:uiPriority w:val="99"/>
    <w:semiHidden/>
    <w:unhideWhenUsed/>
    <w:rsid w:val="004C7D83"/>
    <w:rPr>
      <w:b/>
      <w:bCs/>
    </w:rPr>
  </w:style>
  <w:style w:type="character" w:customStyle="1" w:styleId="CommentSubjectChar">
    <w:name w:val="Comment Subject Char"/>
    <w:basedOn w:val="CommentTextChar"/>
    <w:link w:val="CommentSubject"/>
    <w:uiPriority w:val="99"/>
    <w:semiHidden/>
    <w:rsid w:val="004C7D83"/>
    <w:rPr>
      <w:b/>
      <w:bCs/>
    </w:rPr>
  </w:style>
  <w:style w:type="paragraph" w:styleId="FootnoteText">
    <w:name w:val="footnote text"/>
    <w:basedOn w:val="Normal"/>
    <w:link w:val="FootnoteTextChar"/>
    <w:uiPriority w:val="99"/>
    <w:unhideWhenUsed/>
    <w:rsid w:val="00266F83"/>
    <w:rPr>
      <w:sz w:val="20"/>
    </w:rPr>
  </w:style>
  <w:style w:type="character" w:customStyle="1" w:styleId="FootnoteTextChar">
    <w:name w:val="Footnote Text Char"/>
    <w:basedOn w:val="DefaultParagraphFont"/>
    <w:link w:val="FootnoteText"/>
    <w:uiPriority w:val="99"/>
    <w:rsid w:val="00266F83"/>
  </w:style>
  <w:style w:type="character" w:styleId="FootnoteReference">
    <w:name w:val="footnote reference"/>
    <w:basedOn w:val="DefaultParagraphFont"/>
    <w:uiPriority w:val="99"/>
    <w:semiHidden/>
    <w:unhideWhenUsed/>
    <w:rsid w:val="00266F83"/>
    <w:rPr>
      <w:vertAlign w:val="superscript"/>
    </w:rPr>
  </w:style>
  <w:style w:type="paragraph" w:customStyle="1" w:styleId="ParaNoNdepar-AltN">
    <w:name w:val="Para. No. / Nº de par. - Alt N"/>
    <w:link w:val="ParaNoNdepar-AltNChar"/>
    <w:qFormat/>
    <w:rsid w:val="004C03E6"/>
    <w:pPr>
      <w:numPr>
        <w:numId w:val="1"/>
      </w:numPr>
      <w:spacing w:before="480" w:after="480" w:line="480" w:lineRule="auto"/>
      <w:jc w:val="both"/>
    </w:pPr>
    <w:rPr>
      <w:rFonts w:eastAsiaTheme="minorEastAsia" w:cstheme="minorBidi"/>
      <w:sz w:val="24"/>
      <w:szCs w:val="22"/>
      <w:lang w:val="fr-CA" w:eastAsia="en-US"/>
    </w:rPr>
  </w:style>
  <w:style w:type="character" w:customStyle="1" w:styleId="ParaNoNdepar-AltNChar">
    <w:name w:val="Para. No. / Nº de par. - Alt N Char"/>
    <w:basedOn w:val="DefaultParagraphFont"/>
    <w:link w:val="ParaNoNdepar-AltN"/>
    <w:locked/>
    <w:rsid w:val="004C03E6"/>
    <w:rPr>
      <w:rFonts w:eastAsiaTheme="minorEastAsia" w:cstheme="minorBidi"/>
      <w:sz w:val="24"/>
      <w:szCs w:val="22"/>
      <w:lang w:val="fr-CA" w:eastAsia="en-US"/>
    </w:rPr>
  </w:style>
  <w:style w:type="character" w:customStyle="1" w:styleId="Heading6Char">
    <w:name w:val="Heading 6 Char"/>
    <w:basedOn w:val="DefaultParagraphFont"/>
    <w:link w:val="Heading6"/>
    <w:uiPriority w:val="9"/>
    <w:semiHidden/>
    <w:rsid w:val="00746949"/>
    <w:rPr>
      <w:rFonts w:asciiTheme="majorHAnsi" w:eastAsiaTheme="majorEastAsia" w:hAnsiTheme="majorHAnsi" w:cstheme="majorBidi"/>
      <w:color w:val="243F60" w:themeColor="accent1" w:themeShade="7F"/>
      <w:sz w:val="24"/>
      <w:szCs w:val="22"/>
      <w:lang w:eastAsia="en-US"/>
    </w:rPr>
  </w:style>
  <w:style w:type="paragraph" w:styleId="NoSpacing">
    <w:name w:val="No Spacing"/>
    <w:uiPriority w:val="1"/>
    <w:rsid w:val="00746949"/>
    <w:rPr>
      <w:sz w:val="24"/>
    </w:rPr>
  </w:style>
  <w:style w:type="paragraph" w:customStyle="1" w:styleId="SCCLsocOtherPartyRoleSeparator">
    <w:name w:val="SCC.Lsoc.OtherPartyRoleSeparator"/>
    <w:basedOn w:val="Normal"/>
    <w:next w:val="Normal"/>
    <w:link w:val="SCCLsocOtherPartyRoleSeparatorChar"/>
    <w:rsid w:val="00746949"/>
    <w:pPr>
      <w:spacing w:after="480"/>
    </w:pPr>
    <w:rPr>
      <w:rFonts w:eastAsiaTheme="minorHAnsi" w:cstheme="minorBidi"/>
      <w:szCs w:val="22"/>
      <w:lang w:eastAsia="en-US"/>
    </w:rPr>
  </w:style>
  <w:style w:type="paragraph" w:customStyle="1" w:styleId="SCCCoram">
    <w:name w:val="SCC.Coram"/>
    <w:basedOn w:val="Normal"/>
    <w:next w:val="Normal"/>
    <w:link w:val="SCCCoramChar"/>
    <w:rsid w:val="00746949"/>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746949"/>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746949"/>
    <w:rPr>
      <w:rFonts w:eastAsiaTheme="minorHAnsi" w:cstheme="minorBidi"/>
      <w:sz w:val="24"/>
      <w:szCs w:val="22"/>
      <w:lang w:eastAsia="en-US"/>
    </w:rPr>
  </w:style>
  <w:style w:type="character" w:customStyle="1" w:styleId="SCCBanSummaryChar">
    <w:name w:val="SCC.BanSummary Char"/>
    <w:basedOn w:val="DefaultParagraphFont"/>
    <w:link w:val="SCCBanSummary"/>
    <w:rsid w:val="00746949"/>
    <w:rPr>
      <w:b/>
      <w:sz w:val="24"/>
    </w:rPr>
  </w:style>
  <w:style w:type="table" w:styleId="TableGrid">
    <w:name w:val="Table Grid"/>
    <w:basedOn w:val="TableNormal"/>
    <w:uiPriority w:val="59"/>
    <w:rsid w:val="007469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746949"/>
    <w:pPr>
      <w:spacing w:after="720"/>
      <w:ind w:left="1166"/>
      <w:contextualSpacing/>
      <w:jc w:val="both"/>
    </w:pPr>
    <w:rPr>
      <w:sz w:val="24"/>
      <w:lang w:val="fr-CA"/>
    </w:rPr>
  </w:style>
  <w:style w:type="paragraph" w:customStyle="1" w:styleId="ContinueParaSuitedupar-AltP">
    <w:name w:val="Continue Para. / Suite du par. - Alt P"/>
    <w:next w:val="ParaNoNdepar-AltN"/>
    <w:uiPriority w:val="1"/>
    <w:qFormat/>
    <w:rsid w:val="00746949"/>
    <w:pPr>
      <w:spacing w:before="480" w:after="480" w:line="480" w:lineRule="auto"/>
      <w:jc w:val="both"/>
    </w:pPr>
    <w:rPr>
      <w:rFonts w:eastAsiaTheme="minorHAnsi" w:cstheme="minorBidi"/>
      <w:sz w:val="24"/>
      <w:szCs w:val="22"/>
      <w:lang w:val="fr-CA" w:eastAsia="en-US"/>
    </w:rPr>
  </w:style>
  <w:style w:type="paragraph" w:customStyle="1" w:styleId="JudgeJuge">
    <w:name w:val="Judge / Juge"/>
    <w:uiPriority w:val="3"/>
    <w:rsid w:val="00746949"/>
    <w:pPr>
      <w:tabs>
        <w:tab w:val="left" w:pos="1166"/>
      </w:tabs>
      <w:spacing w:after="480" w:line="480" w:lineRule="auto"/>
    </w:pPr>
    <w:rPr>
      <w:smallCaps/>
      <w:sz w:val="24"/>
      <w:lang w:val="fr-CA"/>
    </w:rPr>
  </w:style>
  <w:style w:type="paragraph" w:customStyle="1" w:styleId="Title1LevelTitre1Niveau-AltL">
    <w:name w:val="Title 1 Level / Titre 1 Niveau - Alt L"/>
    <w:next w:val="ParaNoNdepar-AltN"/>
    <w:uiPriority w:val="4"/>
    <w:qFormat/>
    <w:rsid w:val="00746949"/>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746949"/>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746949"/>
    <w:pPr>
      <w:numPr>
        <w:ilvl w:val="2"/>
      </w:numPr>
      <w:outlineLvl w:val="2"/>
    </w:pPr>
  </w:style>
  <w:style w:type="paragraph" w:customStyle="1" w:styleId="Title4LevelTitre4Niveau">
    <w:name w:val="Title 4 Level / Titre 4 Niveau"/>
    <w:basedOn w:val="Title3LevelTitre3Niveau"/>
    <w:next w:val="ParaNoNdepar-AltN"/>
    <w:uiPriority w:val="4"/>
    <w:qFormat/>
    <w:rsid w:val="00746949"/>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746949"/>
    <w:pPr>
      <w:numPr>
        <w:ilvl w:val="4"/>
      </w:numPr>
      <w:outlineLvl w:val="4"/>
    </w:pPr>
  </w:style>
  <w:style w:type="paragraph" w:customStyle="1" w:styleId="TitleTitre-AltT">
    <w:name w:val="Title / Titre - Alt T"/>
    <w:next w:val="ParaNoNdepar-AltN"/>
    <w:uiPriority w:val="3"/>
    <w:qFormat/>
    <w:rsid w:val="00746949"/>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746949"/>
    <w:pPr>
      <w:numPr>
        <w:ilvl w:val="5"/>
      </w:numPr>
      <w:outlineLvl w:val="5"/>
    </w:pPr>
    <w:rPr>
      <w:i/>
      <w:u w:val="none"/>
    </w:rPr>
  </w:style>
  <w:style w:type="character" w:styleId="Emphasis">
    <w:name w:val="Emphasis"/>
    <w:basedOn w:val="DefaultParagraphFont"/>
    <w:uiPriority w:val="20"/>
    <w:qFormat/>
    <w:rsid w:val="00746949"/>
    <w:rPr>
      <w:i/>
      <w:iCs/>
    </w:rPr>
  </w:style>
  <w:style w:type="character" w:customStyle="1" w:styleId="Italic">
    <w:name w:val="Italic"/>
    <w:basedOn w:val="DefaultParagraphFont"/>
    <w:uiPriority w:val="1"/>
    <w:rsid w:val="00746949"/>
    <w:rPr>
      <w:i/>
    </w:rPr>
  </w:style>
  <w:style w:type="paragraph" w:styleId="ListParagraph">
    <w:name w:val="List Paragraph"/>
    <w:basedOn w:val="Normal"/>
    <w:uiPriority w:val="34"/>
    <w:qFormat/>
    <w:rsid w:val="00746949"/>
    <w:pPr>
      <w:numPr>
        <w:numId w:val="11"/>
      </w:numPr>
      <w:spacing w:after="200" w:line="360" w:lineRule="auto"/>
      <w:ind w:left="1134" w:hanging="425"/>
      <w:jc w:val="both"/>
    </w:pPr>
    <w:rPr>
      <w:rFonts w:eastAsiaTheme="minorHAnsi"/>
      <w:szCs w:val="22"/>
      <w:lang w:eastAsia="en-US"/>
    </w:rPr>
  </w:style>
  <w:style w:type="paragraph" w:styleId="ListBullet">
    <w:name w:val="List Bullet"/>
    <w:basedOn w:val="Normal"/>
    <w:uiPriority w:val="99"/>
    <w:unhideWhenUsed/>
    <w:rsid w:val="00746949"/>
    <w:pPr>
      <w:numPr>
        <w:numId w:val="9"/>
      </w:numPr>
      <w:spacing w:after="200" w:line="276" w:lineRule="auto"/>
      <w:contextualSpacing/>
    </w:pPr>
    <w:rPr>
      <w:rFonts w:eastAsiaTheme="minorHAnsi" w:cstheme="minorBidi"/>
      <w:szCs w:val="22"/>
      <w:lang w:eastAsia="en-US"/>
    </w:rPr>
  </w:style>
  <w:style w:type="paragraph" w:styleId="TOCHeading">
    <w:name w:val="TOC Heading"/>
    <w:basedOn w:val="ListParagraph"/>
    <w:next w:val="Normal"/>
    <w:uiPriority w:val="39"/>
    <w:unhideWhenUsed/>
    <w:qFormat/>
    <w:rsid w:val="00746949"/>
    <w:pPr>
      <w:numPr>
        <w:ilvl w:val="1"/>
      </w:numPr>
      <w:ind w:left="1701" w:hanging="425"/>
    </w:pPr>
  </w:style>
  <w:style w:type="paragraph" w:styleId="TOC1">
    <w:name w:val="toc 1"/>
    <w:basedOn w:val="Normal"/>
    <w:next w:val="Normal"/>
    <w:autoRedefine/>
    <w:uiPriority w:val="39"/>
    <w:unhideWhenUsed/>
    <w:rsid w:val="00746949"/>
    <w:pPr>
      <w:spacing w:after="100" w:line="276" w:lineRule="auto"/>
    </w:pPr>
    <w:rPr>
      <w:rFonts w:eastAsiaTheme="minorHAnsi" w:cstheme="minorBidi"/>
      <w:szCs w:val="22"/>
      <w:lang w:eastAsia="en-US"/>
    </w:rPr>
  </w:style>
  <w:style w:type="paragraph" w:styleId="TOC2">
    <w:name w:val="toc 2"/>
    <w:basedOn w:val="Normal"/>
    <w:next w:val="Normal"/>
    <w:autoRedefine/>
    <w:uiPriority w:val="39"/>
    <w:unhideWhenUsed/>
    <w:rsid w:val="00746949"/>
    <w:pPr>
      <w:spacing w:after="100" w:line="276" w:lineRule="auto"/>
      <w:ind w:left="240"/>
    </w:pPr>
    <w:rPr>
      <w:rFonts w:eastAsiaTheme="minorHAnsi" w:cstheme="minorBidi"/>
      <w:szCs w:val="22"/>
      <w:lang w:eastAsia="en-US"/>
    </w:rPr>
  </w:style>
  <w:style w:type="character" w:styleId="BookTitle">
    <w:name w:val="Book Title"/>
    <w:uiPriority w:val="33"/>
    <w:qFormat/>
    <w:rsid w:val="00746949"/>
    <w:rPr>
      <w:rFonts w:ascii="Wingdings" w:hAnsi="Wingdings"/>
    </w:rPr>
  </w:style>
  <w:style w:type="character" w:styleId="IntenseReference">
    <w:name w:val="Intense Reference"/>
    <w:uiPriority w:val="32"/>
    <w:qFormat/>
    <w:rsid w:val="00746949"/>
  </w:style>
  <w:style w:type="paragraph" w:styleId="Subtitle">
    <w:name w:val="Subtitle"/>
    <w:basedOn w:val="TOCHeading"/>
    <w:next w:val="Normal"/>
    <w:link w:val="SubtitleChar"/>
    <w:uiPriority w:val="11"/>
    <w:qFormat/>
    <w:rsid w:val="00746949"/>
    <w:pPr>
      <w:numPr>
        <w:ilvl w:val="2"/>
      </w:numPr>
      <w:ind w:left="2410" w:hanging="425"/>
    </w:pPr>
  </w:style>
  <w:style w:type="character" w:customStyle="1" w:styleId="SubtitleChar">
    <w:name w:val="Subtitle Char"/>
    <w:basedOn w:val="DefaultParagraphFont"/>
    <w:link w:val="Subtitle"/>
    <w:uiPriority w:val="11"/>
    <w:rsid w:val="00746949"/>
    <w:rPr>
      <w:rFonts w:eastAsiaTheme="minorHAnsi"/>
      <w:sz w:val="24"/>
      <w:szCs w:val="22"/>
      <w:lang w:eastAsia="en-US"/>
    </w:rPr>
  </w:style>
  <w:style w:type="paragraph" w:styleId="TOC3">
    <w:name w:val="toc 3"/>
    <w:basedOn w:val="Normal"/>
    <w:next w:val="Normal"/>
    <w:autoRedefine/>
    <w:uiPriority w:val="39"/>
    <w:unhideWhenUsed/>
    <w:rsid w:val="00746949"/>
    <w:pPr>
      <w:spacing w:after="100" w:line="276" w:lineRule="auto"/>
      <w:ind w:left="480"/>
    </w:pPr>
    <w:rPr>
      <w:rFonts w:eastAsiaTheme="minorHAnsi" w:cstheme="minorBidi"/>
      <w:szCs w:val="22"/>
      <w:lang w:eastAsia="en-US"/>
    </w:rPr>
  </w:style>
  <w:style w:type="character" w:customStyle="1" w:styleId="reflex2-link">
    <w:name w:val="reflex2-link"/>
    <w:basedOn w:val="DefaultParagraphFont"/>
    <w:rsid w:val="00746949"/>
  </w:style>
  <w:style w:type="paragraph" w:styleId="TOC4">
    <w:name w:val="toc 4"/>
    <w:basedOn w:val="Normal"/>
    <w:next w:val="Normal"/>
    <w:autoRedefine/>
    <w:uiPriority w:val="39"/>
    <w:unhideWhenUsed/>
    <w:rsid w:val="00746949"/>
    <w:pPr>
      <w:spacing w:after="100" w:line="276" w:lineRule="auto"/>
      <w:ind w:left="720"/>
    </w:pPr>
    <w:rPr>
      <w:rFonts w:eastAsiaTheme="minorHAnsi" w:cstheme="minorBidi"/>
      <w:szCs w:val="22"/>
      <w:lang w:eastAsia="en-US"/>
    </w:rPr>
  </w:style>
  <w:style w:type="table" w:customStyle="1" w:styleId="TableGrid1">
    <w:name w:val="Table Grid1"/>
    <w:basedOn w:val="TableNormal"/>
    <w:next w:val="TableGrid"/>
    <w:uiPriority w:val="59"/>
    <w:rsid w:val="00746949"/>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ourtsnb-coursnb.ca/content/dam/courts/pdf/appeal-appel/decisions/2021/11/2021-11-10-r-v-basque-2021-nbca-50.pdf"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5453D-825E-4924-A76E-7EC4D961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12848</Words>
  <Characters>65890</Characters>
  <Application>Microsoft Office Word</Application>
  <DocSecurity>0</DocSecurity>
  <Lines>549</Lines>
  <Paragraphs>157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2023-06-29T19:35:00Z</dcterms:created>
  <dcterms:modified xsi:type="dcterms:W3CDTF">2023-06-30T15:41:00Z</dcterms:modified>
</cp:coreProperties>
</file>