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69"/>
        <w:gridCol w:w="1561"/>
        <w:gridCol w:w="1439"/>
        <w:gridCol w:w="3945"/>
      </w:tblGrid>
      <w:tr w:rsidR="00EF72F1" w:rsidRPr="00B77561" w:rsidTr="009B58B8">
        <w:trPr>
          <w:trHeight w:val="2103"/>
        </w:trPr>
        <w:tc>
          <w:tcPr>
            <w:tcW w:w="5000" w:type="pct"/>
            <w:gridSpan w:val="4"/>
          </w:tcPr>
          <w:p w:rsidR="00EF72F1" w:rsidRPr="00B77561" w:rsidRDefault="00EF72F1" w:rsidP="001F3E0C">
            <w:pPr>
              <w:pStyle w:val="SCCBold"/>
              <w:jc w:val="center"/>
            </w:pPr>
            <w:r w:rsidRPr="00B77561">
              <w:rPr>
                <w:noProof/>
                <w:lang w:val="fr-CA" w:eastAsia="fr-CA"/>
              </w:rPr>
              <w:drawing>
                <wp:inline distT="0" distB="0" distL="0" distR="0" wp14:anchorId="1B25E650" wp14:editId="180151F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EF72F1" w:rsidRPr="00B77561" w:rsidRDefault="00EF72F1" w:rsidP="009764CA">
            <w:pPr>
              <w:spacing w:before="120" w:after="100" w:afterAutospacing="1"/>
              <w:jc w:val="center"/>
              <w:rPr>
                <w:rFonts w:eastAsia="Calibri"/>
              </w:rPr>
            </w:pPr>
            <w:r w:rsidRPr="00B77561">
              <w:rPr>
                <w:rFonts w:eastAsia="Calibri"/>
                <w:b/>
              </w:rPr>
              <w:t>SUPREME COURT OF CANADA</w:t>
            </w:r>
          </w:p>
        </w:tc>
      </w:tr>
      <w:tr w:rsidR="00EF72F1" w:rsidRPr="00B77561" w:rsidTr="009B58B8">
        <w:tblPrEx>
          <w:tblCellMar>
            <w:top w:w="58" w:type="dxa"/>
            <w:left w:w="58" w:type="dxa"/>
            <w:bottom w:w="58" w:type="dxa"/>
            <w:right w:w="58" w:type="dxa"/>
          </w:tblCellMar>
        </w:tblPrEx>
        <w:trPr>
          <w:cantSplit/>
        </w:trPr>
        <w:tc>
          <w:tcPr>
            <w:tcW w:w="2078" w:type="pct"/>
            <w:gridSpan w:val="2"/>
          </w:tcPr>
          <w:p w:rsidR="00EF72F1" w:rsidRPr="00B77561" w:rsidRDefault="00EF72F1" w:rsidP="00FC2782">
            <w:pPr>
              <w:rPr>
                <w:b/>
                <w:smallCaps/>
                <w:lang w:val="fr-CA"/>
              </w:rPr>
            </w:pPr>
          </w:p>
          <w:p w:rsidR="003F4DC8" w:rsidRPr="00B77561" w:rsidRDefault="00EF72F1" w:rsidP="003F4DC8">
            <w:pPr>
              <w:rPr>
                <w:lang w:val="fr-CA"/>
              </w:rPr>
            </w:pPr>
            <w:r w:rsidRPr="00B77561">
              <w:rPr>
                <w:b/>
                <w:smallCaps/>
                <w:lang w:val="fr-CA"/>
              </w:rPr>
              <w:t>Citation:</w:t>
            </w:r>
            <w:r w:rsidRPr="00B77561">
              <w:rPr>
                <w:lang w:val="fr-CA"/>
              </w:rPr>
              <w:t xml:space="preserve"> </w:t>
            </w:r>
            <w:r w:rsidR="003F4DC8" w:rsidRPr="00B77561">
              <w:rPr>
                <w:lang w:val="fr-CA"/>
              </w:rPr>
              <w:t xml:space="preserve">R. </w:t>
            </w:r>
            <w:r w:rsidR="003F4DC8" w:rsidRPr="00B77561">
              <w:rPr>
                <w:i/>
                <w:lang w:val="fr-CA"/>
              </w:rPr>
              <w:t>v.</w:t>
            </w:r>
            <w:r w:rsidR="003F4DC8" w:rsidRPr="00B77561">
              <w:rPr>
                <w:lang w:val="fr-CA"/>
              </w:rPr>
              <w:t xml:space="preserve"> Johnson, 2023 SCC 24</w:t>
            </w:r>
          </w:p>
          <w:p w:rsidR="00EF72F1" w:rsidRPr="00B77561" w:rsidRDefault="00EF72F1" w:rsidP="00FC2782">
            <w:pPr>
              <w:rPr>
                <w:b/>
                <w:smallCaps/>
                <w:lang w:val="fr-CA"/>
              </w:rPr>
            </w:pPr>
          </w:p>
        </w:tc>
        <w:tc>
          <w:tcPr>
            <w:tcW w:w="781" w:type="pct"/>
          </w:tcPr>
          <w:p w:rsidR="00EF72F1" w:rsidRPr="00B77561" w:rsidRDefault="00EF72F1" w:rsidP="00FC2782">
            <w:pPr>
              <w:rPr>
                <w:lang w:val="fr-CA"/>
              </w:rPr>
            </w:pPr>
          </w:p>
        </w:tc>
        <w:tc>
          <w:tcPr>
            <w:tcW w:w="2141" w:type="pct"/>
          </w:tcPr>
          <w:p w:rsidR="00EF72F1" w:rsidRPr="00B77561" w:rsidRDefault="00EF72F1" w:rsidP="00451668">
            <w:pPr>
              <w:rPr>
                <w:b/>
                <w:smallCaps/>
                <w:lang w:val="fr-CA"/>
              </w:rPr>
            </w:pPr>
          </w:p>
          <w:p w:rsidR="00EF72F1" w:rsidRPr="00B77561" w:rsidRDefault="00EF72F1" w:rsidP="00EA6DB9">
            <w:pPr>
              <w:jc w:val="both"/>
            </w:pPr>
            <w:r w:rsidRPr="00B77561">
              <w:rPr>
                <w:b/>
                <w:smallCaps/>
              </w:rPr>
              <w:t>Appeal Heard:</w:t>
            </w:r>
            <w:r w:rsidRPr="00B77561">
              <w:t xml:space="preserve"> </w:t>
            </w:r>
            <w:r w:rsidR="003F4DC8" w:rsidRPr="00B77561">
              <w:t xml:space="preserve">October 13, </w:t>
            </w:r>
            <w:r w:rsidRPr="00B77561">
              <w:t>2023</w:t>
            </w:r>
          </w:p>
          <w:p w:rsidR="00EF72F1" w:rsidRPr="00B77561" w:rsidRDefault="00EF72F1">
            <w:r w:rsidRPr="00B77561">
              <w:rPr>
                <w:b/>
                <w:smallCaps/>
              </w:rPr>
              <w:t>Judgment Rendered:</w:t>
            </w:r>
            <w:r w:rsidRPr="00B77561">
              <w:t xml:space="preserve"> </w:t>
            </w:r>
            <w:r w:rsidR="003F4DC8" w:rsidRPr="00B77561">
              <w:t>October 13, 2023</w:t>
            </w:r>
          </w:p>
          <w:p w:rsidR="00EF72F1" w:rsidRPr="00B77561" w:rsidRDefault="00EF72F1" w:rsidP="00540106">
            <w:r w:rsidRPr="00B77561">
              <w:rPr>
                <w:b/>
                <w:smallCaps/>
              </w:rPr>
              <w:t>Docket:</w:t>
            </w:r>
            <w:r w:rsidRPr="00B77561">
              <w:t xml:space="preserve"> 40330</w:t>
            </w:r>
          </w:p>
        </w:tc>
      </w:tr>
      <w:tr w:rsidR="00EF72F1" w:rsidRPr="00B77561" w:rsidTr="009B58B8">
        <w:tblPrEx>
          <w:tblCellMar>
            <w:top w:w="58" w:type="dxa"/>
            <w:left w:w="58" w:type="dxa"/>
            <w:bottom w:w="58" w:type="dxa"/>
            <w:right w:w="58" w:type="dxa"/>
          </w:tblCellMar>
        </w:tblPrEx>
        <w:trPr>
          <w:cantSplit/>
        </w:trPr>
        <w:tc>
          <w:tcPr>
            <w:tcW w:w="5000" w:type="pct"/>
            <w:gridSpan w:val="4"/>
          </w:tcPr>
          <w:p w:rsidR="00EF72F1" w:rsidRPr="00B77561" w:rsidRDefault="00EF72F1" w:rsidP="00EF72F1"/>
          <w:p w:rsidR="00462476" w:rsidRPr="00B77561" w:rsidRDefault="009B0160">
            <w:pPr>
              <w:pStyle w:val="SCCLsocPrefix"/>
            </w:pPr>
            <w:r w:rsidRPr="00B77561">
              <w:t>Between:</w:t>
            </w:r>
          </w:p>
          <w:p w:rsidR="003F4DC8" w:rsidRPr="00B77561" w:rsidRDefault="003F4DC8" w:rsidP="003F4DC8"/>
          <w:p w:rsidR="00462476" w:rsidRPr="00B77561" w:rsidRDefault="009B0160">
            <w:pPr>
              <w:pStyle w:val="SCCLsocParty"/>
            </w:pPr>
            <w:r w:rsidRPr="00B77561">
              <w:t>Don Johnson</w:t>
            </w:r>
          </w:p>
          <w:p w:rsidR="00462476" w:rsidRPr="00B77561" w:rsidRDefault="00D67EAF">
            <w:pPr>
              <w:pStyle w:val="SCCLsocPartyRole"/>
            </w:pPr>
            <w:r w:rsidRPr="00B77561">
              <w:t>Appellant</w:t>
            </w:r>
          </w:p>
          <w:p w:rsidR="00462476" w:rsidRPr="00B77561" w:rsidRDefault="00462476"/>
          <w:p w:rsidR="00462476" w:rsidRPr="00B77561" w:rsidRDefault="00580BBA">
            <w:pPr>
              <w:pStyle w:val="SCCLsocVersus"/>
            </w:pPr>
            <w:r w:rsidRPr="00B77561">
              <w:t>and</w:t>
            </w:r>
          </w:p>
          <w:p w:rsidR="00462476" w:rsidRPr="00B77561" w:rsidRDefault="00462476"/>
          <w:p w:rsidR="00462476" w:rsidRPr="00B77561" w:rsidRDefault="00D67EAF">
            <w:pPr>
              <w:pStyle w:val="SCCLsocParty"/>
            </w:pPr>
            <w:r w:rsidRPr="00B77561">
              <w:t>His Majesty T</w:t>
            </w:r>
            <w:r w:rsidR="009B0160" w:rsidRPr="00B77561">
              <w:t>he King</w:t>
            </w:r>
          </w:p>
          <w:p w:rsidR="00462476" w:rsidRPr="00B77561" w:rsidRDefault="009B0160">
            <w:pPr>
              <w:pStyle w:val="SCCLsocPartyRole"/>
            </w:pPr>
            <w:r w:rsidRPr="00B77561">
              <w:t>Respondent</w:t>
            </w:r>
          </w:p>
          <w:p w:rsidR="00843369" w:rsidRPr="00B77561" w:rsidRDefault="00843369" w:rsidP="00EF72F1"/>
          <w:p w:rsidR="00EF72F1" w:rsidRPr="00B77561" w:rsidRDefault="00EF72F1" w:rsidP="00EF72F1">
            <w:pPr>
              <w:jc w:val="center"/>
              <w:rPr>
                <w:b/>
                <w:smallCaps/>
              </w:rPr>
            </w:pPr>
          </w:p>
          <w:p w:rsidR="00EF72F1" w:rsidRPr="00B77561" w:rsidRDefault="00EF72F1" w:rsidP="00EF72F1"/>
          <w:p w:rsidR="00EF72F1" w:rsidRPr="00B77561" w:rsidRDefault="00EF72F1" w:rsidP="00EF72F1">
            <w:r w:rsidRPr="00B77561">
              <w:rPr>
                <w:b/>
                <w:smallCaps/>
              </w:rPr>
              <w:t>Coram:</w:t>
            </w:r>
            <w:r w:rsidRPr="00B77561">
              <w:t xml:space="preserve"> Rowe, Martin, Kasirer, Jamal and O’Bonsawin JJ.</w:t>
            </w:r>
          </w:p>
          <w:p w:rsidR="00EF72F1" w:rsidRPr="00B77561" w:rsidRDefault="00EF72F1" w:rsidP="00451668">
            <w:pPr>
              <w:rPr>
                <w:b/>
                <w:smallCaps/>
              </w:rPr>
            </w:pPr>
          </w:p>
        </w:tc>
      </w:tr>
      <w:tr w:rsidR="004E69EC" w:rsidRPr="00B77561" w:rsidTr="002C1DA9">
        <w:tblPrEx>
          <w:tblCellMar>
            <w:top w:w="58" w:type="dxa"/>
            <w:left w:w="58" w:type="dxa"/>
            <w:bottom w:w="58" w:type="dxa"/>
            <w:right w:w="58" w:type="dxa"/>
          </w:tblCellMar>
        </w:tblPrEx>
        <w:trPr>
          <w:cantSplit/>
        </w:trPr>
        <w:tc>
          <w:tcPr>
            <w:tcW w:w="1231" w:type="pct"/>
          </w:tcPr>
          <w:p w:rsidR="003F4DC8" w:rsidRPr="00B77561" w:rsidRDefault="003F4DC8" w:rsidP="003F4DC8">
            <w:pPr>
              <w:rPr>
                <w:smallCaps/>
              </w:rPr>
            </w:pPr>
            <w:r w:rsidRPr="00B77561">
              <w:rPr>
                <w:b/>
                <w:bCs/>
                <w:smallCaps/>
              </w:rPr>
              <w:t>Unanimous Judgment Read By:</w:t>
            </w:r>
          </w:p>
          <w:p w:rsidR="004E69EC" w:rsidRPr="00B77561" w:rsidRDefault="003F4DC8" w:rsidP="003F4DC8">
            <w:r w:rsidRPr="00B77561">
              <w:t xml:space="preserve">(paras. 1 to </w:t>
            </w:r>
            <w:r w:rsidR="00C85645" w:rsidRPr="00B77561">
              <w:rPr>
                <w:lang w:val="en-US"/>
              </w:rPr>
              <w:t>4</w:t>
            </w:r>
            <w:r w:rsidRPr="00B77561">
              <w:t>)</w:t>
            </w:r>
          </w:p>
          <w:p w:rsidR="00D67EAF" w:rsidRPr="00B77561" w:rsidRDefault="00D67EAF" w:rsidP="003F4DC8"/>
        </w:tc>
        <w:tc>
          <w:tcPr>
            <w:tcW w:w="3769" w:type="pct"/>
            <w:gridSpan w:val="3"/>
          </w:tcPr>
          <w:p w:rsidR="004E69EC" w:rsidRPr="00B77561" w:rsidRDefault="003F4DC8">
            <w:r w:rsidRPr="00B77561">
              <w:t>Kasirer J.</w:t>
            </w:r>
          </w:p>
        </w:tc>
      </w:tr>
    </w:tbl>
    <w:p w:rsidR="001B299D" w:rsidRPr="00B77561" w:rsidRDefault="001B299D" w:rsidP="001B299D">
      <w:bookmarkStart w:id="0" w:name="_GoBack"/>
      <w:bookmarkEnd w:id="0"/>
    </w:p>
    <w:p w:rsidR="00904937" w:rsidRPr="00B77561" w:rsidRDefault="00904937" w:rsidP="00076773">
      <w:pPr>
        <w:pStyle w:val="SCCBold"/>
        <w:rPr>
          <w:b w:val="0"/>
        </w:rPr>
      </w:pPr>
      <w:r w:rsidRPr="00B77561">
        <w:rPr>
          <w:smallCaps/>
        </w:rPr>
        <w:t>Note:</w:t>
      </w:r>
      <w:r w:rsidRPr="00B77561">
        <w:t xml:space="preserve"> </w:t>
      </w:r>
      <w:r w:rsidRPr="00B77561">
        <w:rPr>
          <w:b w:val="0"/>
        </w:rPr>
        <w:t>This do</w:t>
      </w:r>
      <w:r w:rsidR="009E7065" w:rsidRPr="00B77561">
        <w:rPr>
          <w:b w:val="0"/>
        </w:rPr>
        <w:t>c</w:t>
      </w:r>
      <w:r w:rsidRPr="00B77561">
        <w:rPr>
          <w:b w:val="0"/>
        </w:rPr>
        <w:t xml:space="preserve">ument is subject to editorial revision before its reproduction in final form in the </w:t>
      </w:r>
      <w:r w:rsidRPr="00B77561">
        <w:rPr>
          <w:b w:val="0"/>
          <w:i/>
        </w:rPr>
        <w:t>Canada Supreme Court Reports</w:t>
      </w:r>
      <w:r w:rsidRPr="00B77561">
        <w:rPr>
          <w:b w:val="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744"/>
        <w:gridCol w:w="2808"/>
      </w:tblGrid>
      <w:tr w:rsidR="00087E50" w:rsidRPr="00B77561" w:rsidTr="003375C9">
        <w:tc>
          <w:tcPr>
            <w:tcW w:w="1500" w:type="pct"/>
            <w:tcMar>
              <w:top w:w="284" w:type="dxa"/>
            </w:tcMar>
          </w:tcPr>
          <w:p w:rsidR="00087E50" w:rsidRPr="00B77561" w:rsidRDefault="00087E50" w:rsidP="003375C9">
            <w:pPr>
              <w:rPr>
                <w:rFonts w:eastAsia="Calibri"/>
              </w:rPr>
            </w:pPr>
          </w:p>
        </w:tc>
        <w:tc>
          <w:tcPr>
            <w:tcW w:w="2000" w:type="pct"/>
            <w:tcBorders>
              <w:bottom w:val="single" w:sz="4" w:space="0" w:color="auto"/>
            </w:tcBorders>
            <w:tcMar>
              <w:top w:w="284" w:type="dxa"/>
            </w:tcMar>
          </w:tcPr>
          <w:p w:rsidR="00087E50" w:rsidRPr="00B77561" w:rsidRDefault="00087E50" w:rsidP="003375C9">
            <w:pPr>
              <w:rPr>
                <w:rFonts w:eastAsia="Calibri"/>
              </w:rPr>
            </w:pPr>
          </w:p>
        </w:tc>
        <w:tc>
          <w:tcPr>
            <w:tcW w:w="1500" w:type="pct"/>
            <w:tcMar>
              <w:top w:w="284" w:type="dxa"/>
            </w:tcMar>
          </w:tcPr>
          <w:p w:rsidR="00087E50" w:rsidRPr="00B77561" w:rsidRDefault="00087E50" w:rsidP="003375C9">
            <w:pPr>
              <w:rPr>
                <w:rFonts w:eastAsia="Calibri"/>
              </w:rPr>
            </w:pPr>
          </w:p>
        </w:tc>
      </w:tr>
    </w:tbl>
    <w:p w:rsidR="00B77561" w:rsidRDefault="00B77561"/>
    <w:p w:rsidR="00D66426" w:rsidRPr="00D66426" w:rsidRDefault="00D66426" w:rsidP="00D66426">
      <w:pPr>
        <w:tabs>
          <w:tab w:val="left" w:pos="7230"/>
          <w:tab w:val="right" w:pos="8222"/>
        </w:tabs>
        <w:spacing w:after="720"/>
        <w:rPr>
          <w:rFonts w:eastAsia="Times New Roman" w:cs="Times New Roman"/>
          <w:b/>
          <w:szCs w:val="20"/>
          <w:lang w:eastAsia="en-CA"/>
        </w:rPr>
      </w:pPr>
      <w:r w:rsidRPr="00D66426">
        <w:rPr>
          <w:rFonts w:eastAsia="Times New Roman" w:cs="Times New Roman"/>
          <w:b/>
          <w:szCs w:val="20"/>
          <w:lang w:eastAsia="en-CA"/>
        </w:rPr>
        <w:t>Don Johnson</w:t>
      </w:r>
      <w:r w:rsidRPr="00D66426">
        <w:rPr>
          <w:rFonts w:eastAsia="Times New Roman" w:cs="Times New Roman"/>
          <w:i/>
          <w:szCs w:val="20"/>
          <w:lang w:eastAsia="en-CA"/>
        </w:rPr>
        <w:tab/>
        <w:t>Appellant</w:t>
      </w:r>
    </w:p>
    <w:p w:rsidR="00D66426" w:rsidRPr="00D66426" w:rsidRDefault="00D66426" w:rsidP="00D66426">
      <w:pPr>
        <w:spacing w:after="720"/>
        <w:rPr>
          <w:rFonts w:eastAsia="Times New Roman" w:cs="Times New Roman"/>
          <w:i/>
          <w:szCs w:val="20"/>
          <w:lang w:eastAsia="en-CA"/>
        </w:rPr>
      </w:pPr>
      <w:r w:rsidRPr="00D66426">
        <w:rPr>
          <w:rFonts w:eastAsia="Times New Roman" w:cs="Times New Roman"/>
          <w:i/>
          <w:szCs w:val="20"/>
          <w:lang w:eastAsia="en-CA"/>
        </w:rPr>
        <w:t>v.</w:t>
      </w:r>
    </w:p>
    <w:p w:rsidR="00D66426" w:rsidRPr="00D66426" w:rsidRDefault="00D66426" w:rsidP="00D66426">
      <w:pPr>
        <w:tabs>
          <w:tab w:val="right" w:pos="8222"/>
        </w:tabs>
        <w:spacing w:after="720"/>
        <w:rPr>
          <w:rFonts w:eastAsia="Times New Roman" w:cs="Times New Roman"/>
          <w:b/>
          <w:szCs w:val="20"/>
          <w:lang w:eastAsia="en-CA"/>
        </w:rPr>
      </w:pPr>
      <w:r w:rsidRPr="00D66426">
        <w:rPr>
          <w:rFonts w:eastAsia="Times New Roman" w:cs="Times New Roman"/>
          <w:b/>
          <w:szCs w:val="20"/>
          <w:lang w:eastAsia="en-CA"/>
        </w:rPr>
        <w:t>His Majesty The King</w:t>
      </w:r>
      <w:r w:rsidRPr="00D66426">
        <w:rPr>
          <w:rFonts w:eastAsia="Times New Roman" w:cs="Times New Roman"/>
          <w:i/>
          <w:szCs w:val="20"/>
          <w:lang w:eastAsia="en-CA"/>
        </w:rPr>
        <w:tab/>
        <w:t>Respondent</w:t>
      </w:r>
    </w:p>
    <w:p w:rsidR="00D66426" w:rsidRPr="00D66426" w:rsidRDefault="00D66426" w:rsidP="00D66426">
      <w:pPr>
        <w:spacing w:after="720"/>
        <w:jc w:val="both"/>
        <w:rPr>
          <w:rFonts w:eastAsia="Times New Roman" w:cs="Times New Roman"/>
          <w:b/>
          <w:szCs w:val="20"/>
          <w:lang w:eastAsia="en-CA"/>
        </w:rPr>
      </w:pPr>
      <w:r w:rsidRPr="00D66426">
        <w:rPr>
          <w:rFonts w:eastAsia="Times New Roman" w:cs="Times New Roman"/>
          <w:b/>
          <w:szCs w:val="20"/>
          <w:lang w:eastAsia="en-CA"/>
        </w:rPr>
        <w:t xml:space="preserve">Indexed as: R. </w:t>
      </w:r>
      <w:r w:rsidRPr="00D66426">
        <w:rPr>
          <w:rFonts w:eastAsia="Times New Roman" w:cs="Times New Roman"/>
          <w:b/>
          <w:i/>
          <w:szCs w:val="20"/>
          <w:lang w:eastAsia="en-CA"/>
        </w:rPr>
        <w:t>v.</w:t>
      </w:r>
      <w:r w:rsidRPr="00D66426">
        <w:rPr>
          <w:rFonts w:eastAsia="Times New Roman" w:cs="Times New Roman"/>
          <w:b/>
          <w:szCs w:val="20"/>
          <w:lang w:eastAsia="en-CA"/>
        </w:rPr>
        <w:t xml:space="preserve"> Johnson</w:t>
      </w:r>
    </w:p>
    <w:p w:rsidR="00D66426" w:rsidRPr="00D66426" w:rsidRDefault="00D66426" w:rsidP="00D66426">
      <w:pPr>
        <w:spacing w:after="720"/>
        <w:jc w:val="both"/>
        <w:rPr>
          <w:rFonts w:eastAsia="Times New Roman" w:cs="Times New Roman"/>
          <w:b/>
          <w:szCs w:val="20"/>
          <w:lang w:eastAsia="en-CA"/>
        </w:rPr>
      </w:pPr>
      <w:r w:rsidRPr="00D66426">
        <w:rPr>
          <w:rFonts w:eastAsia="Times New Roman" w:cs="Times New Roman"/>
          <w:b/>
          <w:szCs w:val="20"/>
          <w:lang w:eastAsia="en-CA"/>
        </w:rPr>
        <w:t>2023 SCC 24</w:t>
      </w:r>
    </w:p>
    <w:p w:rsidR="00D66426" w:rsidRPr="00D66426" w:rsidRDefault="00D66426" w:rsidP="00D66426">
      <w:pPr>
        <w:spacing w:after="720"/>
        <w:jc w:val="both"/>
        <w:rPr>
          <w:rFonts w:eastAsia="Times New Roman" w:cs="Times New Roman"/>
          <w:szCs w:val="20"/>
          <w:lang w:eastAsia="en-CA"/>
        </w:rPr>
      </w:pPr>
      <w:r w:rsidRPr="00D66426">
        <w:rPr>
          <w:rFonts w:eastAsia="Times New Roman" w:cs="Times New Roman"/>
          <w:szCs w:val="20"/>
          <w:lang w:eastAsia="en-CA"/>
        </w:rPr>
        <w:t>File No.: 40330.</w:t>
      </w:r>
    </w:p>
    <w:p w:rsidR="00D66426" w:rsidRPr="00D66426" w:rsidRDefault="00D66426" w:rsidP="00D66426">
      <w:pPr>
        <w:spacing w:after="720"/>
        <w:jc w:val="both"/>
        <w:rPr>
          <w:rFonts w:eastAsia="Times New Roman" w:cs="Times New Roman"/>
          <w:szCs w:val="20"/>
          <w:lang w:eastAsia="en-CA"/>
        </w:rPr>
      </w:pPr>
      <w:r w:rsidRPr="00D66426">
        <w:rPr>
          <w:rFonts w:eastAsia="Times New Roman" w:cs="Times New Roman"/>
          <w:szCs w:val="20"/>
          <w:lang w:eastAsia="en-CA"/>
        </w:rPr>
        <w:t>2023: October 13.</w:t>
      </w:r>
    </w:p>
    <w:p w:rsidR="00D66426" w:rsidRPr="00D66426" w:rsidRDefault="00D66426" w:rsidP="00D66426">
      <w:pPr>
        <w:spacing w:after="720"/>
        <w:jc w:val="both"/>
        <w:rPr>
          <w:rFonts w:eastAsia="Times New Roman" w:cs="Times New Roman"/>
          <w:szCs w:val="20"/>
          <w:lang w:eastAsia="en-CA"/>
        </w:rPr>
      </w:pPr>
      <w:r w:rsidRPr="00D66426">
        <w:rPr>
          <w:rFonts w:eastAsia="Times New Roman" w:cs="Times New Roman"/>
          <w:szCs w:val="20"/>
          <w:lang w:eastAsia="en-CA"/>
        </w:rPr>
        <w:t>Present: Rowe, Martin, Kasirer, Jamal and O’Bonsawin JJ.</w:t>
      </w:r>
    </w:p>
    <w:p w:rsidR="00D66426" w:rsidRPr="00D66426" w:rsidRDefault="00D66426" w:rsidP="00D66426">
      <w:pPr>
        <w:tabs>
          <w:tab w:val="left" w:pos="1168"/>
        </w:tabs>
        <w:spacing w:after="720"/>
        <w:jc w:val="both"/>
        <w:rPr>
          <w:rFonts w:eastAsia="Times New Roman" w:cs="Times New Roman"/>
          <w:smallCaps/>
          <w:szCs w:val="20"/>
          <w:lang w:eastAsia="en-CA"/>
        </w:rPr>
      </w:pPr>
      <w:r w:rsidRPr="00D66426">
        <w:rPr>
          <w:rFonts w:eastAsia="Times New Roman" w:cs="Times New Roman"/>
          <w:smallCaps/>
          <w:szCs w:val="20"/>
          <w:lang w:eastAsia="en-CA"/>
        </w:rPr>
        <w:t>on appeal from the court of appeal for ontario</w:t>
      </w:r>
    </w:p>
    <w:p w:rsidR="00D66426" w:rsidRPr="00D66426" w:rsidRDefault="00D66426" w:rsidP="00D66426">
      <w:pPr>
        <w:tabs>
          <w:tab w:val="left" w:pos="1168"/>
        </w:tabs>
        <w:spacing w:after="480" w:line="480" w:lineRule="auto"/>
        <w:jc w:val="both"/>
        <w:rPr>
          <w:rFonts w:eastAsia="Times New Roman" w:cs="Times New Roman"/>
          <w:i/>
          <w:szCs w:val="20"/>
          <w:lang w:eastAsia="en-CA"/>
        </w:rPr>
      </w:pPr>
      <w:r w:rsidRPr="00D66426">
        <w:rPr>
          <w:rFonts w:eastAsia="Times New Roman" w:cs="Times New Roman"/>
          <w:szCs w:val="20"/>
          <w:lang w:eastAsia="en-CA"/>
        </w:rPr>
        <w:tab/>
      </w:r>
      <w:r w:rsidRPr="00D66426">
        <w:rPr>
          <w:rFonts w:eastAsia="Times New Roman" w:cs="Times New Roman"/>
          <w:i/>
          <w:szCs w:val="20"/>
          <w:lang w:eastAsia="en-CA"/>
        </w:rPr>
        <w:t>Criminal law — Charge to jury — Parties to offence — Accused convicted of two counts of first degree murder — Accused appealing convictions and claiming that trial judge erred by charging jury on party liability — Majority of Court of Appeal upholding convictions — Dissenting judge finding that there was insufficient evidentiary foundation to leave party liability with jury and that trial judge’s instructions on party liability were inadequate — Trial judge properly left party liability with jury but erred in instructions on party liability — Curative proviso applies because errors harmless — Convictions upheld.</w:t>
      </w:r>
    </w:p>
    <w:p w:rsidR="00D66426" w:rsidRPr="00D66426" w:rsidRDefault="00D66426" w:rsidP="00D66426">
      <w:pPr>
        <w:tabs>
          <w:tab w:val="left" w:pos="1168"/>
        </w:tabs>
        <w:spacing w:after="720"/>
        <w:jc w:val="both"/>
        <w:rPr>
          <w:rFonts w:eastAsia="Times New Roman" w:cs="Times New Roman"/>
          <w:b/>
          <w:szCs w:val="20"/>
          <w:lang w:eastAsia="en-CA"/>
        </w:rPr>
      </w:pPr>
      <w:r w:rsidRPr="00D66426">
        <w:rPr>
          <w:rFonts w:eastAsia="Times New Roman" w:cs="Times New Roman"/>
          <w:b/>
          <w:szCs w:val="20"/>
          <w:lang w:eastAsia="en-CA"/>
        </w:rPr>
        <w:t>Cases Cited</w:t>
      </w:r>
    </w:p>
    <w:p w:rsidR="00D66426" w:rsidRPr="00D66426" w:rsidRDefault="00D66426" w:rsidP="00D66426">
      <w:pPr>
        <w:tabs>
          <w:tab w:val="left" w:pos="1168"/>
        </w:tabs>
        <w:spacing w:after="480" w:line="480" w:lineRule="auto"/>
        <w:jc w:val="both"/>
        <w:rPr>
          <w:rFonts w:eastAsia="Times New Roman" w:cs="Times New Roman"/>
          <w:szCs w:val="20"/>
          <w:lang w:val="en-US" w:eastAsia="en-CA"/>
        </w:rPr>
      </w:pPr>
      <w:r w:rsidRPr="00D66426">
        <w:rPr>
          <w:rFonts w:eastAsia="Times New Roman" w:cs="Times New Roman"/>
          <w:szCs w:val="20"/>
          <w:lang w:eastAsia="en-CA"/>
        </w:rPr>
        <w:tab/>
      </w:r>
      <w:r w:rsidRPr="00D66426">
        <w:rPr>
          <w:rFonts w:eastAsia="Times New Roman" w:cs="Times New Roman"/>
          <w:b/>
          <w:szCs w:val="20"/>
          <w:lang w:eastAsia="en-CA"/>
        </w:rPr>
        <w:t>Referred to:</w:t>
      </w:r>
      <w:r w:rsidRPr="00D66426">
        <w:rPr>
          <w:rFonts w:eastAsia="Times New Roman" w:cs="Times New Roman"/>
          <w:szCs w:val="20"/>
          <w:lang w:eastAsia="en-CA"/>
        </w:rPr>
        <w:t xml:space="preserve"> </w:t>
      </w:r>
      <w:r w:rsidRPr="00D66426">
        <w:rPr>
          <w:rFonts w:eastAsia="Times New Roman" w:cs="Times New Roman"/>
          <w:i/>
          <w:szCs w:val="20"/>
          <w:lang w:val="en-US" w:eastAsia="en-CA"/>
        </w:rPr>
        <w:t>R. v. Abdullahi</w:t>
      </w:r>
      <w:r w:rsidRPr="00D66426">
        <w:rPr>
          <w:rFonts w:eastAsia="Times New Roman" w:cs="Times New Roman"/>
          <w:szCs w:val="20"/>
          <w:lang w:val="en-US" w:eastAsia="en-CA"/>
        </w:rPr>
        <w:t xml:space="preserve">, 2023 SCC 19; </w:t>
      </w:r>
      <w:r w:rsidRPr="00D66426">
        <w:rPr>
          <w:rFonts w:eastAsia="Times New Roman" w:cs="Times New Roman"/>
          <w:i/>
          <w:szCs w:val="20"/>
          <w:lang w:val="en-US" w:eastAsia="en-CA"/>
        </w:rPr>
        <w:t>R. v. Sarrazin</w:t>
      </w:r>
      <w:r w:rsidRPr="00D66426">
        <w:rPr>
          <w:rFonts w:eastAsia="Times New Roman" w:cs="Times New Roman"/>
          <w:szCs w:val="20"/>
          <w:lang w:val="en-US" w:eastAsia="en-CA"/>
        </w:rPr>
        <w:t>, 2011 SCC 54, [2011] 3 S.C.R. 505.</w:t>
      </w:r>
    </w:p>
    <w:p w:rsidR="00D66426" w:rsidRPr="00D66426" w:rsidRDefault="00D66426" w:rsidP="00D66426">
      <w:pPr>
        <w:tabs>
          <w:tab w:val="left" w:pos="1168"/>
        </w:tabs>
        <w:spacing w:after="720"/>
        <w:jc w:val="both"/>
        <w:rPr>
          <w:rFonts w:eastAsia="Times New Roman" w:cs="Times New Roman"/>
          <w:szCs w:val="20"/>
          <w:lang w:eastAsia="en-CA"/>
        </w:rPr>
      </w:pPr>
      <w:r w:rsidRPr="00D66426">
        <w:rPr>
          <w:rFonts w:eastAsia="Times New Roman" w:cs="Times New Roman"/>
          <w:b/>
          <w:szCs w:val="20"/>
          <w:lang w:eastAsia="en-CA"/>
        </w:rPr>
        <w:t>Statutes and Regulations Cited</w:t>
      </w:r>
    </w:p>
    <w:p w:rsidR="00D66426" w:rsidRPr="00D66426" w:rsidRDefault="00D66426" w:rsidP="00D66426">
      <w:pPr>
        <w:tabs>
          <w:tab w:val="left" w:pos="1168"/>
        </w:tabs>
        <w:spacing w:after="720"/>
        <w:ind w:left="547" w:hanging="547"/>
        <w:jc w:val="both"/>
        <w:rPr>
          <w:rFonts w:eastAsia="Times New Roman" w:cs="Times New Roman"/>
          <w:szCs w:val="20"/>
          <w:lang w:eastAsia="en-CA"/>
        </w:rPr>
      </w:pPr>
      <w:r w:rsidRPr="00D66426">
        <w:rPr>
          <w:rFonts w:eastAsia="Times New Roman" w:cs="Times New Roman"/>
          <w:i/>
          <w:szCs w:val="20"/>
          <w:lang w:eastAsia="en-CA"/>
        </w:rPr>
        <w:t>Criminal Code</w:t>
      </w:r>
      <w:r w:rsidRPr="00D66426">
        <w:rPr>
          <w:rFonts w:eastAsia="Times New Roman" w:cs="Times New Roman"/>
          <w:szCs w:val="20"/>
          <w:lang w:eastAsia="en-CA"/>
        </w:rPr>
        <w:t>, R.S.C. 1985, c. C</w:t>
      </w:r>
      <w:r w:rsidRPr="00D66426">
        <w:rPr>
          <w:rFonts w:eastAsia="Times New Roman" w:cs="Times New Roman"/>
          <w:szCs w:val="20"/>
          <w:lang w:eastAsia="en-CA"/>
        </w:rPr>
        <w:noBreakHyphen/>
        <w:t>46, s. 686(1)(b)(iii).</w:t>
      </w:r>
    </w:p>
    <w:p w:rsidR="00D66426" w:rsidRPr="00D66426" w:rsidRDefault="00D66426" w:rsidP="00D66426">
      <w:pPr>
        <w:tabs>
          <w:tab w:val="left" w:pos="1168"/>
        </w:tabs>
        <w:spacing w:after="480" w:line="480" w:lineRule="auto"/>
        <w:jc w:val="both"/>
        <w:rPr>
          <w:rFonts w:eastAsia="Times New Roman" w:cs="Times New Roman"/>
          <w:szCs w:val="20"/>
          <w:lang w:eastAsia="en-CA"/>
        </w:rPr>
      </w:pPr>
      <w:r w:rsidRPr="00D66426">
        <w:rPr>
          <w:rFonts w:eastAsia="Times New Roman" w:cs="Times New Roman"/>
          <w:szCs w:val="20"/>
          <w:lang w:eastAsia="en-CA"/>
        </w:rPr>
        <w:tab/>
        <w:t xml:space="preserve">APPEAL from a judgment of the Ontario Court of Appeal (Rouleau, Nordheimer and George JJ.A.), </w:t>
      </w:r>
      <w:hyperlink r:id="rId9" w:history="1">
        <w:r w:rsidRPr="00D66426">
          <w:rPr>
            <w:rFonts w:eastAsia="Times New Roman" w:cs="Times New Roman"/>
            <w:color w:val="660000"/>
            <w:szCs w:val="20"/>
            <w:lang w:eastAsia="en-CA"/>
          </w:rPr>
          <w:t>2022 ONCA 534</w:t>
        </w:r>
      </w:hyperlink>
      <w:r w:rsidRPr="00D66426">
        <w:rPr>
          <w:rFonts w:eastAsia="Times New Roman" w:cs="Times New Roman"/>
          <w:szCs w:val="20"/>
          <w:lang w:eastAsia="en-CA"/>
        </w:rPr>
        <w:t>, 162 O.R. (3d) 92, 417 C.C.C. (3d) 233, [2022] O.J. No. 3246 (QL), 2022 CarswellOnt 10087 (WL), affirming the convictions of the accused for first degree murder. Appeal dismissed.</w:t>
      </w:r>
    </w:p>
    <w:p w:rsidR="00D66426" w:rsidRPr="00D66426" w:rsidRDefault="00D66426" w:rsidP="00D66426">
      <w:pPr>
        <w:tabs>
          <w:tab w:val="left" w:pos="1168"/>
        </w:tabs>
        <w:spacing w:after="480" w:line="480" w:lineRule="auto"/>
        <w:jc w:val="both"/>
        <w:rPr>
          <w:rFonts w:eastAsia="Times New Roman" w:cs="Times New Roman"/>
          <w:szCs w:val="20"/>
          <w:lang w:eastAsia="en-CA"/>
        </w:rPr>
      </w:pPr>
      <w:r w:rsidRPr="00D66426">
        <w:rPr>
          <w:rFonts w:eastAsia="Times New Roman" w:cs="Times New Roman"/>
          <w:i/>
          <w:szCs w:val="20"/>
          <w:lang w:eastAsia="en-CA"/>
        </w:rPr>
        <w:tab/>
        <w:t>Dirk Derstine</w:t>
      </w:r>
      <w:r w:rsidRPr="00D66426">
        <w:rPr>
          <w:rFonts w:eastAsia="Times New Roman" w:cs="Times New Roman"/>
          <w:szCs w:val="20"/>
          <w:lang w:eastAsia="en-CA"/>
        </w:rPr>
        <w:t xml:space="preserve"> and </w:t>
      </w:r>
      <w:r w:rsidRPr="00D66426">
        <w:rPr>
          <w:rFonts w:eastAsia="Times New Roman" w:cs="Times New Roman"/>
          <w:i/>
          <w:szCs w:val="20"/>
          <w:lang w:eastAsia="en-CA"/>
        </w:rPr>
        <w:t>Tania Bariteau</w:t>
      </w:r>
      <w:r w:rsidRPr="00D66426">
        <w:rPr>
          <w:rFonts w:eastAsia="Times New Roman" w:cs="Times New Roman"/>
          <w:szCs w:val="20"/>
          <w:lang w:eastAsia="en-CA"/>
        </w:rPr>
        <w:t>, for the appellant.</w:t>
      </w:r>
    </w:p>
    <w:p w:rsidR="00D66426" w:rsidRPr="00D66426" w:rsidRDefault="00D66426" w:rsidP="00D66426">
      <w:pPr>
        <w:tabs>
          <w:tab w:val="left" w:pos="1168"/>
        </w:tabs>
        <w:spacing w:after="480" w:line="480" w:lineRule="auto"/>
        <w:jc w:val="both"/>
        <w:rPr>
          <w:rFonts w:eastAsia="Times New Roman" w:cs="Times New Roman"/>
          <w:szCs w:val="20"/>
          <w:lang w:eastAsia="en-CA"/>
        </w:rPr>
      </w:pPr>
      <w:r w:rsidRPr="00D66426">
        <w:rPr>
          <w:rFonts w:eastAsia="Times New Roman" w:cs="Times New Roman"/>
          <w:i/>
          <w:szCs w:val="20"/>
          <w:lang w:eastAsia="en-CA"/>
        </w:rPr>
        <w:tab/>
        <w:t>Susan Reid</w:t>
      </w:r>
      <w:r w:rsidRPr="00D66426">
        <w:rPr>
          <w:rFonts w:eastAsia="Times New Roman" w:cs="Times New Roman"/>
          <w:szCs w:val="20"/>
          <w:lang w:eastAsia="en-CA"/>
        </w:rPr>
        <w:t>, for the respondent.</w:t>
      </w:r>
    </w:p>
    <w:p w:rsidR="00D66426" w:rsidRPr="00D66426" w:rsidRDefault="00D66426" w:rsidP="00D66426">
      <w:pPr>
        <w:tabs>
          <w:tab w:val="left" w:pos="1168"/>
        </w:tabs>
        <w:spacing w:after="480" w:line="480" w:lineRule="auto"/>
        <w:jc w:val="both"/>
        <w:rPr>
          <w:rFonts w:eastAsia="Times New Roman" w:cs="Times New Roman"/>
          <w:szCs w:val="20"/>
          <w:lang w:eastAsia="en-CA"/>
        </w:rPr>
      </w:pPr>
      <w:r w:rsidRPr="00D66426">
        <w:rPr>
          <w:rFonts w:eastAsia="Times New Roman" w:cs="Times New Roman"/>
          <w:szCs w:val="20"/>
          <w:lang w:eastAsia="en-CA"/>
        </w:rPr>
        <w:tab/>
        <w:t>The judgment of the Court was delivered orally by</w:t>
      </w:r>
    </w:p>
    <w:p w:rsidR="00D66426" w:rsidRPr="00D66426" w:rsidRDefault="00D66426" w:rsidP="00D66426">
      <w:pPr>
        <w:tabs>
          <w:tab w:val="left" w:pos="1168"/>
        </w:tabs>
        <w:spacing w:before="480" w:after="480" w:line="480" w:lineRule="auto"/>
        <w:jc w:val="both"/>
        <w:rPr>
          <w:rFonts w:eastAsia="Times New Roman" w:cs="Times New Roman"/>
          <w:szCs w:val="20"/>
          <w:lang w:eastAsia="en-CA"/>
        </w:rPr>
      </w:pPr>
      <w:r w:rsidRPr="00D66426">
        <w:rPr>
          <w:rFonts w:eastAsia="Times New Roman" w:cs="Times New Roman"/>
          <w:szCs w:val="20"/>
          <w:lang w:eastAsia="en-CA"/>
        </w:rPr>
        <w:t>[1]</w:t>
      </w:r>
      <w:r w:rsidRPr="00D66426">
        <w:rPr>
          <w:rFonts w:eastAsia="Times New Roman" w:cs="Times New Roman"/>
          <w:szCs w:val="20"/>
          <w:lang w:eastAsia="en-CA"/>
        </w:rPr>
        <w:tab/>
      </w:r>
      <w:r w:rsidRPr="00D66426">
        <w:rPr>
          <w:rFonts w:eastAsia="Times New Roman" w:cs="Times New Roman"/>
          <w:smallCaps/>
          <w:szCs w:val="20"/>
          <w:lang w:eastAsia="en-CA"/>
        </w:rPr>
        <w:t>Kasirer J</w:t>
      </w:r>
      <w:r w:rsidRPr="00D66426">
        <w:rPr>
          <w:rFonts w:eastAsia="Times New Roman" w:cs="Times New Roman"/>
          <w:szCs w:val="20"/>
          <w:lang w:eastAsia="en-CA"/>
        </w:rPr>
        <w:t>. — We are all of the view that the majority in the Court of Appeal was correct to conclude that party liability was properly left to the jury by the trial judge (2022 ONCA 534, 162 O.R. (3d) 92). The evidence on the record provided party liability with an air of reality.</w:t>
      </w:r>
    </w:p>
    <w:p w:rsidR="00D66426" w:rsidRPr="00D66426" w:rsidRDefault="00D66426" w:rsidP="00D66426">
      <w:pPr>
        <w:tabs>
          <w:tab w:val="left" w:pos="1168"/>
        </w:tabs>
        <w:spacing w:before="480" w:after="480" w:line="480" w:lineRule="auto"/>
        <w:jc w:val="both"/>
        <w:rPr>
          <w:rFonts w:eastAsia="Times New Roman" w:cs="Times New Roman"/>
          <w:szCs w:val="20"/>
          <w:lang w:eastAsia="en-CA"/>
        </w:rPr>
      </w:pPr>
      <w:r w:rsidRPr="00D66426">
        <w:rPr>
          <w:rFonts w:eastAsia="Times New Roman" w:cs="Times New Roman"/>
          <w:szCs w:val="20"/>
          <w:lang w:eastAsia="en-CA"/>
        </w:rPr>
        <w:t>[2]</w:t>
      </w:r>
      <w:r w:rsidRPr="00D66426">
        <w:rPr>
          <w:rFonts w:eastAsia="Times New Roman" w:cs="Times New Roman"/>
          <w:szCs w:val="20"/>
          <w:lang w:eastAsia="en-CA"/>
        </w:rPr>
        <w:tab/>
        <w:t>We agree, however, with Nordheimer J.A., dissenting, that the trial judge erred in law in his instructions on party liability. In one part of the charge, the judge gave instructions that resembled co-principal liability, but said he was instructing on aiding. In other parts of the charge, the jury was given partially correct instructions on aiding. We share Nordheimer J.A.’s view that the jury was never clearly told that the appellant would have needed to know that the principal intended to kill the victims in a planned and deliberate manner in order to be liable for first degree murder as an aider.</w:t>
      </w:r>
    </w:p>
    <w:p w:rsidR="00D66426" w:rsidRPr="00D66426" w:rsidRDefault="00D66426" w:rsidP="00D66426">
      <w:pPr>
        <w:tabs>
          <w:tab w:val="left" w:pos="1168"/>
        </w:tabs>
        <w:spacing w:before="480" w:after="480" w:line="480" w:lineRule="auto"/>
        <w:jc w:val="both"/>
        <w:rPr>
          <w:rFonts w:eastAsia="Times New Roman" w:cs="Times New Roman"/>
          <w:szCs w:val="20"/>
          <w:lang w:eastAsia="en-CA"/>
        </w:rPr>
      </w:pPr>
      <w:r w:rsidRPr="00D66426">
        <w:rPr>
          <w:rFonts w:eastAsia="Times New Roman" w:cs="Times New Roman"/>
          <w:szCs w:val="20"/>
          <w:lang w:eastAsia="en-CA"/>
        </w:rPr>
        <w:t>[3]</w:t>
      </w:r>
      <w:r w:rsidRPr="00D66426">
        <w:rPr>
          <w:rFonts w:eastAsia="Times New Roman" w:cs="Times New Roman"/>
          <w:szCs w:val="20"/>
          <w:lang w:eastAsia="en-CA"/>
        </w:rPr>
        <w:tab/>
        <w:t xml:space="preserve">That said, we would apply the curative proviso in s. 686(1)(b)(iii) of the </w:t>
      </w:r>
      <w:r w:rsidRPr="00D66426">
        <w:rPr>
          <w:rFonts w:eastAsia="Times New Roman" w:cs="Times New Roman"/>
          <w:i/>
          <w:iCs/>
          <w:szCs w:val="20"/>
          <w:lang w:eastAsia="en-CA"/>
        </w:rPr>
        <w:t>Criminal Code</w:t>
      </w:r>
      <w:r w:rsidRPr="00D66426">
        <w:rPr>
          <w:rFonts w:eastAsia="Times New Roman" w:cs="Times New Roman"/>
          <w:iCs/>
          <w:szCs w:val="20"/>
          <w:lang w:eastAsia="en-CA"/>
        </w:rPr>
        <w:t>, R.S.C. 1985, c. C</w:t>
      </w:r>
      <w:r w:rsidRPr="00D66426">
        <w:rPr>
          <w:rFonts w:eastAsia="Times New Roman" w:cs="Times New Roman"/>
          <w:iCs/>
          <w:szCs w:val="20"/>
          <w:lang w:eastAsia="en-CA"/>
        </w:rPr>
        <w:noBreakHyphen/>
        <w:t>46,</w:t>
      </w:r>
      <w:r w:rsidRPr="00D66426">
        <w:rPr>
          <w:rFonts w:eastAsia="Times New Roman" w:cs="Times New Roman"/>
          <w:szCs w:val="20"/>
          <w:lang w:eastAsia="en-CA"/>
        </w:rPr>
        <w:t xml:space="preserve"> because these errors were harmless. There is no reasonable possibility that the jury would have reached a different verdict had these errors not been made (see </w:t>
      </w:r>
      <w:r w:rsidRPr="00D66426">
        <w:rPr>
          <w:rFonts w:eastAsia="Times New Roman" w:cs="Times New Roman"/>
          <w:i/>
          <w:iCs/>
          <w:szCs w:val="20"/>
          <w:lang w:eastAsia="en-CA"/>
        </w:rPr>
        <w:t>R. v. Abdullahi</w:t>
      </w:r>
      <w:r w:rsidRPr="00D66426">
        <w:rPr>
          <w:rFonts w:eastAsia="Times New Roman" w:cs="Times New Roman"/>
          <w:szCs w:val="20"/>
          <w:lang w:eastAsia="en-CA"/>
        </w:rPr>
        <w:t xml:space="preserve">, 2023 SCC 19, at para. 33; </w:t>
      </w:r>
      <w:r w:rsidRPr="00D66426">
        <w:rPr>
          <w:rFonts w:eastAsia="Times New Roman" w:cs="Times New Roman"/>
          <w:i/>
          <w:iCs/>
          <w:szCs w:val="20"/>
          <w:lang w:eastAsia="en-CA"/>
        </w:rPr>
        <w:t>R. v. Sarrazin</w:t>
      </w:r>
      <w:r w:rsidRPr="00D66426">
        <w:rPr>
          <w:rFonts w:eastAsia="Times New Roman" w:cs="Times New Roman"/>
          <w:szCs w:val="20"/>
          <w:lang w:eastAsia="en-CA"/>
        </w:rPr>
        <w:t>, 2011 SCC 54, [2011] 3 S.C.R. 505, at para. 25). The evidence that supported party liability was the same as the evidence for co-principal liability. Moreover, the appellant’s defence was not undermined by the jury charge.</w:t>
      </w:r>
    </w:p>
    <w:p w:rsidR="00D66426" w:rsidRPr="00D66426" w:rsidRDefault="00D66426" w:rsidP="00D66426">
      <w:pPr>
        <w:tabs>
          <w:tab w:val="left" w:pos="1168"/>
        </w:tabs>
        <w:spacing w:before="480" w:after="480" w:line="480" w:lineRule="auto"/>
        <w:jc w:val="both"/>
        <w:rPr>
          <w:rFonts w:eastAsia="Times New Roman" w:cs="Times New Roman"/>
          <w:szCs w:val="20"/>
          <w:lang w:eastAsia="en-CA"/>
        </w:rPr>
      </w:pPr>
      <w:r w:rsidRPr="00D66426">
        <w:rPr>
          <w:rFonts w:eastAsia="Times New Roman" w:cs="Times New Roman"/>
          <w:szCs w:val="20"/>
          <w:lang w:eastAsia="en-CA"/>
        </w:rPr>
        <w:t>[4]</w:t>
      </w:r>
      <w:r w:rsidRPr="00D66426">
        <w:rPr>
          <w:rFonts w:eastAsia="Times New Roman" w:cs="Times New Roman"/>
          <w:szCs w:val="20"/>
          <w:lang w:eastAsia="en-CA"/>
        </w:rPr>
        <w:tab/>
        <w:t>Accordingly, we would dismiss the appeal.</w:t>
      </w:r>
    </w:p>
    <w:p w:rsidR="00D66426" w:rsidRPr="00D66426" w:rsidRDefault="00D66426" w:rsidP="00D66426">
      <w:pPr>
        <w:tabs>
          <w:tab w:val="left" w:pos="1168"/>
        </w:tabs>
        <w:spacing w:after="480" w:line="480" w:lineRule="auto"/>
        <w:jc w:val="both"/>
        <w:rPr>
          <w:rFonts w:eastAsia="Times New Roman" w:cs="Times New Roman"/>
          <w:i/>
          <w:szCs w:val="20"/>
          <w:lang w:eastAsia="en-CA"/>
        </w:rPr>
      </w:pPr>
      <w:r w:rsidRPr="00D66426">
        <w:rPr>
          <w:rFonts w:eastAsia="Times New Roman" w:cs="Times New Roman"/>
          <w:szCs w:val="20"/>
          <w:lang w:eastAsia="en-CA"/>
        </w:rPr>
        <w:tab/>
      </w:r>
      <w:r w:rsidRPr="00D66426">
        <w:rPr>
          <w:rFonts w:eastAsia="Times New Roman" w:cs="Times New Roman"/>
          <w:i/>
          <w:szCs w:val="20"/>
          <w:lang w:eastAsia="en-CA"/>
        </w:rPr>
        <w:t>Judgment accordingly.</w:t>
      </w:r>
    </w:p>
    <w:p w:rsidR="00D66426" w:rsidRPr="00D66426" w:rsidRDefault="00D66426" w:rsidP="00D66426">
      <w:pPr>
        <w:tabs>
          <w:tab w:val="left" w:pos="1168"/>
        </w:tabs>
        <w:spacing w:after="480" w:line="480" w:lineRule="auto"/>
        <w:jc w:val="both"/>
        <w:rPr>
          <w:rFonts w:eastAsia="Times New Roman" w:cs="Times New Roman"/>
          <w:i/>
          <w:szCs w:val="20"/>
          <w:lang w:eastAsia="en-CA"/>
        </w:rPr>
      </w:pPr>
      <w:r w:rsidRPr="00D66426">
        <w:rPr>
          <w:rFonts w:eastAsia="Times New Roman" w:cs="Times New Roman"/>
          <w:i/>
          <w:szCs w:val="20"/>
          <w:lang w:eastAsia="en-CA"/>
        </w:rPr>
        <w:tab/>
        <w:t>Solicitors for the appellant: Derstine Penman Criminal Lawyers, Toronto.</w:t>
      </w:r>
    </w:p>
    <w:p w:rsidR="00D66426" w:rsidRPr="00D66426" w:rsidRDefault="00D66426" w:rsidP="00D66426">
      <w:pPr>
        <w:tabs>
          <w:tab w:val="left" w:pos="1168"/>
        </w:tabs>
        <w:spacing w:after="480" w:line="480" w:lineRule="auto"/>
        <w:jc w:val="both"/>
        <w:rPr>
          <w:rFonts w:eastAsia="Times New Roman" w:cs="Times New Roman"/>
          <w:i/>
          <w:szCs w:val="20"/>
          <w:lang w:eastAsia="en-CA"/>
        </w:rPr>
      </w:pPr>
      <w:r w:rsidRPr="00D66426">
        <w:rPr>
          <w:rFonts w:eastAsia="Times New Roman" w:cs="Times New Roman"/>
          <w:i/>
          <w:szCs w:val="20"/>
          <w:lang w:eastAsia="en-CA"/>
        </w:rPr>
        <w:tab/>
        <w:t>Solicitor for the respondent: </w:t>
      </w:r>
      <w:r w:rsidRPr="00D66426">
        <w:rPr>
          <w:rFonts w:eastAsia="Times New Roman" w:cs="Times New Roman"/>
          <w:i/>
          <w:szCs w:val="20"/>
          <w:lang w:val="en-US" w:eastAsia="en-CA"/>
        </w:rPr>
        <w:t>Ministry of the Attorney General, Crown Law Office — Criminal</w:t>
      </w:r>
      <w:r w:rsidRPr="00D66426">
        <w:rPr>
          <w:rFonts w:eastAsia="Times New Roman" w:cs="Times New Roman"/>
          <w:i/>
          <w:szCs w:val="20"/>
          <w:lang w:eastAsia="en-CA"/>
        </w:rPr>
        <w:t>, Toronto.</w:t>
      </w:r>
    </w:p>
    <w:p w:rsidR="00D66426" w:rsidRPr="00B77561" w:rsidRDefault="00D66426"/>
    <w:sectPr w:rsidR="00D66426" w:rsidRPr="00B77561" w:rsidSect="00F72014">
      <w:pgSz w:w="12240" w:h="15840"/>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E44" w:rsidRDefault="00EF0E44" w:rsidP="00F72014">
      <w:r>
        <w:separator/>
      </w:r>
    </w:p>
  </w:endnote>
  <w:endnote w:type="continuationSeparator" w:id="0">
    <w:p w:rsidR="00EF0E44" w:rsidRDefault="00EF0E44" w:rsidP="00F7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E44" w:rsidRDefault="00EF0E44" w:rsidP="00F72014">
      <w:r>
        <w:separator/>
      </w:r>
    </w:p>
  </w:footnote>
  <w:footnote w:type="continuationSeparator" w:id="0">
    <w:p w:rsidR="00EF0E44" w:rsidRDefault="00EF0E44" w:rsidP="00F72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removePersonalInformation/>
  <w:removeDateAndTime/>
  <w:defaultTabStop w:val="720"/>
  <w:hyphenationZone w:val="425"/>
  <w:drawingGridHorizontalSpacing w:val="12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DA"/>
    <w:rsid w:val="00001315"/>
    <w:rsid w:val="0003087F"/>
    <w:rsid w:val="00076773"/>
    <w:rsid w:val="00087E50"/>
    <w:rsid w:val="000B6839"/>
    <w:rsid w:val="001311DA"/>
    <w:rsid w:val="001412E4"/>
    <w:rsid w:val="001648D4"/>
    <w:rsid w:val="001B0985"/>
    <w:rsid w:val="001B27ED"/>
    <w:rsid w:val="001B299D"/>
    <w:rsid w:val="001D6B8C"/>
    <w:rsid w:val="001F1F83"/>
    <w:rsid w:val="001F3E0C"/>
    <w:rsid w:val="00205C5C"/>
    <w:rsid w:val="00205C5D"/>
    <w:rsid w:val="00252460"/>
    <w:rsid w:val="00273D07"/>
    <w:rsid w:val="0028675F"/>
    <w:rsid w:val="002C1DA9"/>
    <w:rsid w:val="002C5A33"/>
    <w:rsid w:val="002D4FC9"/>
    <w:rsid w:val="002F04DB"/>
    <w:rsid w:val="00307011"/>
    <w:rsid w:val="00355967"/>
    <w:rsid w:val="00384384"/>
    <w:rsid w:val="003B2BE1"/>
    <w:rsid w:val="003B3C63"/>
    <w:rsid w:val="003F4DC8"/>
    <w:rsid w:val="00451668"/>
    <w:rsid w:val="00460AFC"/>
    <w:rsid w:val="00462476"/>
    <w:rsid w:val="004E69EC"/>
    <w:rsid w:val="004F090E"/>
    <w:rsid w:val="00524C08"/>
    <w:rsid w:val="00540106"/>
    <w:rsid w:val="00564C88"/>
    <w:rsid w:val="00580BBA"/>
    <w:rsid w:val="00582136"/>
    <w:rsid w:val="005D2CFA"/>
    <w:rsid w:val="005D4801"/>
    <w:rsid w:val="0061259C"/>
    <w:rsid w:val="00621E75"/>
    <w:rsid w:val="006B210C"/>
    <w:rsid w:val="00701ABD"/>
    <w:rsid w:val="007740CA"/>
    <w:rsid w:val="00815561"/>
    <w:rsid w:val="00837151"/>
    <w:rsid w:val="00842677"/>
    <w:rsid w:val="00843369"/>
    <w:rsid w:val="00852D4E"/>
    <w:rsid w:val="00880B14"/>
    <w:rsid w:val="00904937"/>
    <w:rsid w:val="009348FD"/>
    <w:rsid w:val="0093524C"/>
    <w:rsid w:val="00962C82"/>
    <w:rsid w:val="00996510"/>
    <w:rsid w:val="0099776C"/>
    <w:rsid w:val="009B0160"/>
    <w:rsid w:val="009B58B8"/>
    <w:rsid w:val="009E1B85"/>
    <w:rsid w:val="009E7065"/>
    <w:rsid w:val="00A15427"/>
    <w:rsid w:val="00A51D10"/>
    <w:rsid w:val="00A57778"/>
    <w:rsid w:val="00AB2201"/>
    <w:rsid w:val="00B77561"/>
    <w:rsid w:val="00BC2DFD"/>
    <w:rsid w:val="00BD4217"/>
    <w:rsid w:val="00C003E6"/>
    <w:rsid w:val="00C85645"/>
    <w:rsid w:val="00CE17A0"/>
    <w:rsid w:val="00D030DA"/>
    <w:rsid w:val="00D66426"/>
    <w:rsid w:val="00D67EAF"/>
    <w:rsid w:val="00D76BDF"/>
    <w:rsid w:val="00DA7B22"/>
    <w:rsid w:val="00DF15D7"/>
    <w:rsid w:val="00E22DBA"/>
    <w:rsid w:val="00E356C7"/>
    <w:rsid w:val="00E5364D"/>
    <w:rsid w:val="00E54E6E"/>
    <w:rsid w:val="00E64FA7"/>
    <w:rsid w:val="00E770CB"/>
    <w:rsid w:val="00EA6DB9"/>
    <w:rsid w:val="00EF0E44"/>
    <w:rsid w:val="00EF72F1"/>
    <w:rsid w:val="00F36AF0"/>
    <w:rsid w:val="00F72014"/>
    <w:rsid w:val="00F9518C"/>
    <w:rsid w:val="00FA59EF"/>
    <w:rsid w:val="00FC2782"/>
    <w:rsid w:val="00FC70CB"/>
    <w:rsid w:val="00FE57D3"/>
    <w:rsid w:val="00FE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30DA"/>
    <w:rPr>
      <w:color w:val="808080"/>
    </w:rPr>
  </w:style>
  <w:style w:type="paragraph" w:styleId="BalloonText">
    <w:name w:val="Balloon Text"/>
    <w:basedOn w:val="Normal"/>
    <w:link w:val="BalloonTextChar"/>
    <w:uiPriority w:val="99"/>
    <w:semiHidden/>
    <w:unhideWhenUsed/>
    <w:rsid w:val="00D030DA"/>
    <w:rPr>
      <w:rFonts w:ascii="Tahoma" w:hAnsi="Tahoma" w:cs="Tahoma"/>
      <w:sz w:val="16"/>
      <w:szCs w:val="16"/>
    </w:rPr>
  </w:style>
  <w:style w:type="character" w:customStyle="1" w:styleId="BalloonTextChar">
    <w:name w:val="Balloon Text Char"/>
    <w:basedOn w:val="DefaultParagraphFont"/>
    <w:link w:val="BalloonText"/>
    <w:uiPriority w:val="99"/>
    <w:semiHidden/>
    <w:rsid w:val="00D030DA"/>
    <w:rPr>
      <w:rFonts w:ascii="Tahoma" w:hAnsi="Tahoma" w:cs="Tahoma"/>
      <w:sz w:val="16"/>
      <w:szCs w:val="16"/>
    </w:rPr>
  </w:style>
  <w:style w:type="paragraph" w:styleId="Header">
    <w:name w:val="header"/>
    <w:basedOn w:val="Normal"/>
    <w:link w:val="HeaderChar"/>
    <w:uiPriority w:val="99"/>
    <w:unhideWhenUsed/>
    <w:rsid w:val="00F72014"/>
    <w:pPr>
      <w:tabs>
        <w:tab w:val="center" w:pos="4680"/>
        <w:tab w:val="right" w:pos="9360"/>
      </w:tabs>
    </w:pPr>
  </w:style>
  <w:style w:type="character" w:customStyle="1" w:styleId="HeaderChar">
    <w:name w:val="Header Char"/>
    <w:basedOn w:val="DefaultParagraphFont"/>
    <w:link w:val="Header"/>
    <w:uiPriority w:val="99"/>
    <w:rsid w:val="00F72014"/>
  </w:style>
  <w:style w:type="paragraph" w:styleId="Footer">
    <w:name w:val="footer"/>
    <w:basedOn w:val="Normal"/>
    <w:link w:val="FooterChar"/>
    <w:uiPriority w:val="99"/>
    <w:semiHidden/>
    <w:unhideWhenUsed/>
    <w:rsid w:val="00F72014"/>
    <w:pPr>
      <w:tabs>
        <w:tab w:val="center" w:pos="4680"/>
        <w:tab w:val="right" w:pos="9360"/>
      </w:tabs>
    </w:pPr>
  </w:style>
  <w:style w:type="character" w:customStyle="1" w:styleId="FooterChar">
    <w:name w:val="Footer Char"/>
    <w:basedOn w:val="DefaultParagraphFont"/>
    <w:link w:val="Footer"/>
    <w:uiPriority w:val="99"/>
    <w:semiHidden/>
    <w:rsid w:val="00F72014"/>
  </w:style>
  <w:style w:type="paragraph" w:customStyle="1" w:styleId="SCCRestrictionOnPublicationTitle">
    <w:name w:val="SCC.RestrictionOnPublicationTitle"/>
    <w:basedOn w:val="Normal"/>
    <w:next w:val="Normal"/>
    <w:link w:val="SCCRestrictionOnPublicationTitleChar"/>
    <w:rsid w:val="00252460"/>
    <w:rPr>
      <w:b/>
      <w:smallCaps/>
    </w:rPr>
  </w:style>
  <w:style w:type="character" w:customStyle="1" w:styleId="SCCRestrictionOnPublicationTitleChar">
    <w:name w:val="SCC.RestrictionOnPublicationTitle Char"/>
    <w:basedOn w:val="DefaultParagraphFont"/>
    <w:link w:val="SCCRestrictionOnPublicationTitle"/>
    <w:rsid w:val="00252460"/>
    <w:rPr>
      <w:b/>
      <w:smallCaps/>
      <w:lang w:val="en-CA"/>
    </w:rPr>
  </w:style>
  <w:style w:type="paragraph" w:customStyle="1" w:styleId="SCCRestrictionOnPublicationText">
    <w:name w:val="SCC.RestrictionOnPublicationText"/>
    <w:basedOn w:val="Normal"/>
    <w:next w:val="Normal"/>
    <w:link w:val="SCCRestrictionOnPublicationTextChar"/>
    <w:rsid w:val="00252460"/>
  </w:style>
  <w:style w:type="character" w:customStyle="1" w:styleId="SCCRestrictionOnPublicationTextChar">
    <w:name w:val="SCC.RestrictionOnPublicationText Char"/>
    <w:basedOn w:val="DefaultParagraphFont"/>
    <w:link w:val="SCCRestrictionOnPublicationText"/>
    <w:rsid w:val="00252460"/>
    <w:rPr>
      <w:lang w:val="en-CA"/>
    </w:rPr>
  </w:style>
  <w:style w:type="paragraph" w:customStyle="1" w:styleId="SCCLsocOtherPartyRole">
    <w:name w:val="SCC.Lsoc.OtherPartyRole"/>
    <w:basedOn w:val="Normal"/>
    <w:next w:val="Normal"/>
    <w:link w:val="SCCLsocOtherPartyRoleChar"/>
    <w:rsid w:val="0099776C"/>
    <w:pPr>
      <w:jc w:val="center"/>
    </w:pPr>
  </w:style>
  <w:style w:type="character" w:customStyle="1" w:styleId="SCCLsocOtherPartyRoleChar">
    <w:name w:val="SCC.Lsoc.OtherPartyRole Char"/>
    <w:basedOn w:val="DefaultParagraphFont"/>
    <w:link w:val="SCCLsocOtherPartyRole"/>
    <w:rsid w:val="0099776C"/>
    <w:rPr>
      <w:lang w:val="en-CA"/>
    </w:rPr>
  </w:style>
  <w:style w:type="paragraph" w:customStyle="1" w:styleId="SCCLsocParty">
    <w:name w:val="SCC.Lsoc.Party"/>
    <w:basedOn w:val="Normal"/>
    <w:next w:val="Normal"/>
    <w:link w:val="SCCLsocPartyChar"/>
    <w:rsid w:val="0099776C"/>
    <w:pPr>
      <w:jc w:val="center"/>
    </w:pPr>
    <w:rPr>
      <w:b/>
    </w:rPr>
  </w:style>
  <w:style w:type="character" w:customStyle="1" w:styleId="SCCLsocPartyChar">
    <w:name w:val="SCC.Lsoc.Party Char"/>
    <w:basedOn w:val="DefaultParagraphFont"/>
    <w:link w:val="SCCLsocParty"/>
    <w:rsid w:val="0099776C"/>
    <w:rPr>
      <w:b/>
      <w:lang w:val="en-CA"/>
    </w:rPr>
  </w:style>
  <w:style w:type="paragraph" w:customStyle="1" w:styleId="SCCLsocSubfileSeparator">
    <w:name w:val="SCC.Lsoc.SubfileSeparator"/>
    <w:basedOn w:val="Normal"/>
    <w:next w:val="Normal"/>
    <w:link w:val="SCCLsocSubfileSeparatorChar"/>
    <w:rsid w:val="00FE5ED5"/>
    <w:rPr>
      <w:b/>
      <w:smallCaps/>
    </w:rPr>
  </w:style>
  <w:style w:type="character" w:customStyle="1" w:styleId="SCCLsocSubfileSeparatorChar">
    <w:name w:val="SCC.Lsoc.SubfileSeparator Char"/>
    <w:basedOn w:val="DefaultParagraphFont"/>
    <w:link w:val="SCCLsocSubfileSeparator"/>
    <w:rsid w:val="00FE5ED5"/>
    <w:rPr>
      <w:b/>
      <w:smallCaps/>
      <w:lang w:val="en-CA"/>
    </w:rPr>
  </w:style>
  <w:style w:type="paragraph" w:customStyle="1" w:styleId="SCCLsocVersus">
    <w:name w:val="SCC.Lsoc.Versus"/>
    <w:basedOn w:val="Normal"/>
    <w:next w:val="Normal"/>
    <w:link w:val="SCCLsocVersusChar"/>
    <w:rsid w:val="0099776C"/>
    <w:pPr>
      <w:jc w:val="center"/>
    </w:pPr>
  </w:style>
  <w:style w:type="character" w:customStyle="1" w:styleId="SCCLsocVersusChar">
    <w:name w:val="SCC.Lsoc.Versus Char"/>
    <w:basedOn w:val="DefaultParagraphFont"/>
    <w:link w:val="SCCLsocVersus"/>
    <w:rsid w:val="0099776C"/>
    <w:rPr>
      <w:lang w:val="en-CA"/>
    </w:rPr>
  </w:style>
  <w:style w:type="paragraph" w:customStyle="1" w:styleId="SCCLsocPartyRole">
    <w:name w:val="SCC.Lsoc.PartyRole"/>
    <w:basedOn w:val="Normal"/>
    <w:next w:val="Normal"/>
    <w:link w:val="SCCLsocPartyRoleChar"/>
    <w:rsid w:val="0099776C"/>
    <w:pPr>
      <w:jc w:val="center"/>
    </w:pPr>
  </w:style>
  <w:style w:type="character" w:customStyle="1" w:styleId="SCCLsocPartyRoleChar">
    <w:name w:val="SCC.Lsoc.PartyRole Char"/>
    <w:basedOn w:val="DefaultParagraphFont"/>
    <w:link w:val="SCCLsocPartyRole"/>
    <w:rsid w:val="0099776C"/>
    <w:rPr>
      <w:lang w:val="en-CA"/>
    </w:rPr>
  </w:style>
  <w:style w:type="paragraph" w:customStyle="1" w:styleId="SCCLsocPrefix">
    <w:name w:val="SCC.Lsoc.Prefix"/>
    <w:basedOn w:val="Normal"/>
    <w:next w:val="Normal"/>
    <w:link w:val="SCCLsocPrefixChar"/>
    <w:rsid w:val="00FE5ED5"/>
    <w:rPr>
      <w:b/>
      <w:smallCaps/>
    </w:rPr>
  </w:style>
  <w:style w:type="character" w:customStyle="1" w:styleId="SCCLsocPrefixChar">
    <w:name w:val="SCC.Lsoc.Prefix Char"/>
    <w:basedOn w:val="DefaultParagraphFont"/>
    <w:link w:val="SCCLsocPrefix"/>
    <w:rsid w:val="00FE5ED5"/>
    <w:rPr>
      <w:b/>
      <w:smallCaps/>
      <w:lang w:val="en-CA"/>
    </w:rPr>
  </w:style>
  <w:style w:type="paragraph" w:customStyle="1" w:styleId="SCCHearingJudgmentDatesText">
    <w:name w:val="SCC.HearingJudgmentDatesText"/>
    <w:basedOn w:val="Normal"/>
    <w:next w:val="Normal"/>
    <w:link w:val="SCCHearingJudgmentDatesTextChar"/>
    <w:rsid w:val="00C003E6"/>
  </w:style>
  <w:style w:type="character" w:customStyle="1" w:styleId="SCCHearingJudgmentDatesTextChar">
    <w:name w:val="SCC.HearingJudgmentDatesText Char"/>
    <w:basedOn w:val="DefaultParagraphFont"/>
    <w:link w:val="SCCHearingJudgmentDatesText"/>
    <w:rsid w:val="00C003E6"/>
    <w:rPr>
      <w:lang w:val="en-CA"/>
    </w:rPr>
  </w:style>
  <w:style w:type="paragraph" w:customStyle="1" w:styleId="SCCHearingJudgmentDatesTitle">
    <w:name w:val="SCC.HearingJudgmentDatesTitle"/>
    <w:basedOn w:val="Normal"/>
    <w:next w:val="Normal"/>
    <w:link w:val="SCCHearingJudgmentDatesTitleChar"/>
    <w:rsid w:val="00C003E6"/>
    <w:rPr>
      <w:b/>
      <w:smallCaps/>
    </w:rPr>
  </w:style>
  <w:style w:type="character" w:customStyle="1" w:styleId="SCCHearingJudgmentDatesTitleChar">
    <w:name w:val="SCC.HearingJudgmentDatesTitle Char"/>
    <w:basedOn w:val="DefaultParagraphFont"/>
    <w:link w:val="SCCHearingJudgmentDatesTitle"/>
    <w:rsid w:val="00C003E6"/>
    <w:rPr>
      <w:b/>
      <w:smallCaps/>
      <w:lang w:val="en-CA"/>
    </w:rPr>
  </w:style>
  <w:style w:type="paragraph" w:customStyle="1" w:styleId="SCCLsocOtherPartySeparator">
    <w:name w:val="SCC.Lsoc.OtherPartySeparator"/>
    <w:basedOn w:val="Normal"/>
    <w:next w:val="Normal"/>
    <w:link w:val="SCCLsocOtherPartySeparatorChar"/>
    <w:rsid w:val="002C5A33"/>
    <w:pPr>
      <w:jc w:val="center"/>
    </w:pPr>
  </w:style>
  <w:style w:type="character" w:customStyle="1" w:styleId="SCCLsocOtherPartySeparatorChar">
    <w:name w:val="SCC.Lsoc.OtherPartySeparator Char"/>
    <w:basedOn w:val="DefaultParagraphFont"/>
    <w:link w:val="SCCLsocOtherPartySeparator"/>
    <w:rsid w:val="002C5A33"/>
    <w:rPr>
      <w:lang w:val="en-CA"/>
    </w:rPr>
  </w:style>
  <w:style w:type="paragraph" w:customStyle="1" w:styleId="SCCCounselName">
    <w:name w:val="SCC.CounselName"/>
    <w:basedOn w:val="Normal"/>
    <w:next w:val="Normal"/>
    <w:link w:val="SCCCounselNameChar"/>
    <w:rsid w:val="00962C82"/>
    <w:rPr>
      <w:i/>
    </w:rPr>
  </w:style>
  <w:style w:type="character" w:customStyle="1" w:styleId="SCCCounselNameChar">
    <w:name w:val="SCC.CounselName Char"/>
    <w:basedOn w:val="DefaultParagraphFont"/>
    <w:link w:val="SCCCounselName"/>
    <w:rsid w:val="00962C82"/>
    <w:rPr>
      <w:rFonts w:eastAsia="Times New Roman" w:cs="Times New Roman"/>
      <w:i/>
      <w:szCs w:val="20"/>
      <w:lang w:val="en-CA" w:eastAsia="en-CA"/>
    </w:rPr>
  </w:style>
  <w:style w:type="paragraph" w:customStyle="1" w:styleId="SCCCounselSeparator">
    <w:name w:val="SCC.CounselSeparator"/>
    <w:basedOn w:val="Normal"/>
    <w:next w:val="Normal"/>
    <w:link w:val="SCCCounselSeparatorChar"/>
    <w:rsid w:val="00962C82"/>
  </w:style>
  <w:style w:type="character" w:customStyle="1" w:styleId="SCCCounselSeparatorChar">
    <w:name w:val="SCC.CounselSeparator Char"/>
    <w:basedOn w:val="DefaultParagraphFont"/>
    <w:link w:val="SCCCounselSeparator"/>
    <w:rsid w:val="00962C82"/>
    <w:rPr>
      <w:rFonts w:eastAsia="Times New Roman" w:cs="Times New Roman"/>
      <w:szCs w:val="20"/>
      <w:lang w:val="en-CA" w:eastAsia="en-CA"/>
    </w:rPr>
  </w:style>
  <w:style w:type="paragraph" w:customStyle="1" w:styleId="SCCCounselPartyRole">
    <w:name w:val="SCC.CounselPartyRole"/>
    <w:basedOn w:val="Normal"/>
    <w:next w:val="Normal"/>
    <w:link w:val="SCCCounselPartyRoleChar"/>
    <w:rsid w:val="00962C82"/>
  </w:style>
  <w:style w:type="character" w:customStyle="1" w:styleId="SCCCounselPartyRoleChar">
    <w:name w:val="SCC.CounselPartyRole Char"/>
    <w:basedOn w:val="DefaultParagraphFont"/>
    <w:link w:val="SCCCounselPartyRole"/>
    <w:rsid w:val="00962C82"/>
    <w:rPr>
      <w:rFonts w:eastAsia="Times New Roman" w:cs="Times New Roman"/>
      <w:szCs w:val="20"/>
      <w:lang w:val="en-CA" w:eastAsia="en-CA"/>
    </w:rPr>
  </w:style>
  <w:style w:type="paragraph" w:customStyle="1" w:styleId="SCCBold">
    <w:name w:val="SCC.Bold"/>
    <w:basedOn w:val="Normal"/>
    <w:next w:val="Normal"/>
    <w:rsid w:val="005D2CFA"/>
    <w:rPr>
      <w:b/>
    </w:rPr>
  </w:style>
  <w:style w:type="paragraph" w:customStyle="1" w:styleId="SCCReasonsTitle">
    <w:name w:val="SCC.ReasonsTitle"/>
    <w:basedOn w:val="Normal"/>
    <w:next w:val="Normal"/>
    <w:link w:val="SCCReasonsTitleChar"/>
    <w:qFormat/>
    <w:rsid w:val="00076773"/>
    <w:rPr>
      <w:b/>
    </w:rPr>
  </w:style>
  <w:style w:type="character" w:customStyle="1" w:styleId="SCCReasonsTitleChar">
    <w:name w:val="SCC.ReasonsTitle Char"/>
    <w:basedOn w:val="DefaultParagraphFont"/>
    <w:link w:val="SCCReasonsTitle"/>
    <w:rsid w:val="001B27ED"/>
    <w:rPr>
      <w:b/>
      <w:lang w:val="en-CA"/>
    </w:rPr>
  </w:style>
  <w:style w:type="character" w:styleId="Hyperlink">
    <w:name w:val="Hyperlink"/>
    <w:basedOn w:val="DefaultParagraphFont"/>
    <w:uiPriority w:val="99"/>
    <w:semiHidden/>
    <w:unhideWhenUsed/>
    <w:rsid w:val="00B775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259578">
      <w:bodyDiv w:val="1"/>
      <w:marLeft w:val="0"/>
      <w:marRight w:val="0"/>
      <w:marTop w:val="0"/>
      <w:marBottom w:val="0"/>
      <w:divBdr>
        <w:top w:val="none" w:sz="0" w:space="0" w:color="auto"/>
        <w:left w:val="none" w:sz="0" w:space="0" w:color="auto"/>
        <w:bottom w:val="none" w:sz="0" w:space="0" w:color="auto"/>
        <w:right w:val="none" w:sz="0" w:space="0" w:color="auto"/>
      </w:divBdr>
    </w:div>
    <w:div w:id="1358042912">
      <w:bodyDiv w:val="1"/>
      <w:marLeft w:val="0"/>
      <w:marRight w:val="0"/>
      <w:marTop w:val="0"/>
      <w:marBottom w:val="0"/>
      <w:divBdr>
        <w:top w:val="none" w:sz="0" w:space="0" w:color="auto"/>
        <w:left w:val="none" w:sz="0" w:space="0" w:color="auto"/>
        <w:bottom w:val="none" w:sz="0" w:space="0" w:color="auto"/>
        <w:right w:val="none" w:sz="0" w:space="0" w:color="auto"/>
      </w:divBdr>
    </w:div>
    <w:div w:id="1398090174">
      <w:bodyDiv w:val="1"/>
      <w:marLeft w:val="0"/>
      <w:marRight w:val="0"/>
      <w:marTop w:val="0"/>
      <w:marBottom w:val="0"/>
      <w:divBdr>
        <w:top w:val="none" w:sz="0" w:space="0" w:color="auto"/>
        <w:left w:val="none" w:sz="0" w:space="0" w:color="auto"/>
        <w:bottom w:val="none" w:sz="0" w:space="0" w:color="auto"/>
        <w:right w:val="none" w:sz="0" w:space="0" w:color="auto"/>
      </w:divBdr>
    </w:div>
    <w:div w:id="16861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adecisions.ontariocourts.ca/coa/coa/en/item/20769/index.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6B801-8DAA-49A9-ABF0-8F923C7D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2023-10-17T16:02:00Z</dcterms:created>
  <dcterms:modified xsi:type="dcterms:W3CDTF">2024-07-05T14:16:00Z</dcterms:modified>
</cp:coreProperties>
</file>