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DA0977" w:rsidRPr="00DA0977" w14:paraId="4DD48A65" w14:textId="77777777" w:rsidTr="00B64CF0">
        <w:trPr>
          <w:trHeight w:val="2103"/>
        </w:trPr>
        <w:tc>
          <w:tcPr>
            <w:tcW w:w="5000" w:type="pct"/>
            <w:gridSpan w:val="4"/>
          </w:tcPr>
          <w:p w14:paraId="5F454CBF" w14:textId="77777777" w:rsidR="00DA0977" w:rsidRPr="00DA0977" w:rsidRDefault="00DA0977" w:rsidP="00DA0977">
            <w:pPr>
              <w:jc w:val="center"/>
              <w:rPr>
                <w:b/>
              </w:rPr>
            </w:pPr>
            <w:r w:rsidRPr="00DA0977">
              <w:rPr>
                <w:b/>
                <w:noProof/>
              </w:rPr>
              <w:drawing>
                <wp:inline distT="0" distB="0" distL="0" distR="0" wp14:anchorId="415833F5" wp14:editId="6FCE1F09">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009E23EA" w14:textId="77777777" w:rsidR="00DA0977" w:rsidRPr="00DA0977" w:rsidRDefault="00DA0977" w:rsidP="00DA0977">
            <w:pPr>
              <w:spacing w:before="120" w:after="100" w:afterAutospacing="1"/>
              <w:jc w:val="center"/>
            </w:pPr>
            <w:r w:rsidRPr="00DA0977">
              <w:rPr>
                <w:b/>
              </w:rPr>
              <w:t>SUPREME COURT OF CANADA</w:t>
            </w:r>
          </w:p>
        </w:tc>
      </w:tr>
      <w:tr w:rsidR="00DA0977" w:rsidRPr="00DA0977" w14:paraId="62FCC9B7" w14:textId="77777777" w:rsidTr="00B64CF0">
        <w:tblPrEx>
          <w:tblCellMar>
            <w:top w:w="58" w:type="dxa"/>
            <w:left w:w="58" w:type="dxa"/>
            <w:bottom w:w="58" w:type="dxa"/>
            <w:right w:w="58" w:type="dxa"/>
          </w:tblCellMar>
        </w:tblPrEx>
        <w:trPr>
          <w:cantSplit/>
        </w:trPr>
        <w:tc>
          <w:tcPr>
            <w:tcW w:w="2078" w:type="pct"/>
            <w:gridSpan w:val="2"/>
          </w:tcPr>
          <w:p w14:paraId="6DCE1BFB" w14:textId="77777777" w:rsidR="00DA0977" w:rsidRPr="00DA0977" w:rsidRDefault="00DA0977" w:rsidP="00DA0977">
            <w:pPr>
              <w:rPr>
                <w:b/>
                <w:smallCaps/>
                <w:lang w:val="fr-CA"/>
              </w:rPr>
            </w:pPr>
          </w:p>
          <w:p w14:paraId="171468F1" w14:textId="77777777" w:rsidR="00DA0977" w:rsidRPr="00DA0977" w:rsidRDefault="00DA0977" w:rsidP="00DA0977">
            <w:pPr>
              <w:rPr>
                <w:b/>
                <w:smallCaps/>
                <w:lang w:val="fr-CA"/>
              </w:rPr>
            </w:pPr>
            <w:r w:rsidRPr="00DA0977">
              <w:rPr>
                <w:b/>
                <w:smallCaps/>
                <w:lang w:val="fr-CA"/>
              </w:rPr>
              <w:t>Citation:</w:t>
            </w:r>
            <w:r w:rsidRPr="00DA0977">
              <w:rPr>
                <w:lang w:val="fr-CA"/>
              </w:rPr>
              <w:t xml:space="preserve"> R. </w:t>
            </w:r>
            <w:r w:rsidRPr="00DA0977">
              <w:rPr>
                <w:i/>
                <w:lang w:val="fr-CA"/>
              </w:rPr>
              <w:t>v.</w:t>
            </w:r>
            <w:r w:rsidRPr="00DA0977">
              <w:rPr>
                <w:lang w:val="fr-CA"/>
              </w:rPr>
              <w:t xml:space="preserve"> Bertrand Marchand, </w:t>
            </w:r>
            <w:r w:rsidRPr="00DA0977">
              <w:t>2023 SCC </w:t>
            </w:r>
            <w:r w:rsidRPr="00DA0977">
              <w:rPr>
                <w:lang w:val="fr-CA"/>
              </w:rPr>
              <w:t>26</w:t>
            </w:r>
          </w:p>
        </w:tc>
        <w:tc>
          <w:tcPr>
            <w:tcW w:w="781" w:type="pct"/>
          </w:tcPr>
          <w:p w14:paraId="050AA9AA" w14:textId="77777777" w:rsidR="00DA0977" w:rsidRPr="00DA0977" w:rsidRDefault="00DA0977" w:rsidP="00DA0977">
            <w:pPr>
              <w:rPr>
                <w:lang w:val="fr-CA"/>
              </w:rPr>
            </w:pPr>
          </w:p>
        </w:tc>
        <w:tc>
          <w:tcPr>
            <w:tcW w:w="2141" w:type="pct"/>
          </w:tcPr>
          <w:p w14:paraId="051B9682" w14:textId="77777777" w:rsidR="00DA0977" w:rsidRPr="00DA0977" w:rsidRDefault="00DA0977" w:rsidP="00DA0977">
            <w:pPr>
              <w:rPr>
                <w:b/>
                <w:smallCaps/>
              </w:rPr>
            </w:pPr>
          </w:p>
          <w:p w14:paraId="0E69B21A" w14:textId="77777777" w:rsidR="00DA0977" w:rsidRPr="00DA0977" w:rsidRDefault="00DA0977" w:rsidP="00DA0977">
            <w:pPr>
              <w:jc w:val="both"/>
            </w:pPr>
            <w:r w:rsidRPr="00DA0977">
              <w:rPr>
                <w:b/>
                <w:smallCaps/>
              </w:rPr>
              <w:t>Appeals Heard:</w:t>
            </w:r>
            <w:r w:rsidRPr="00DA0977">
              <w:t xml:space="preserve"> February 15, 16, 2023</w:t>
            </w:r>
          </w:p>
          <w:p w14:paraId="07E23DC1" w14:textId="77777777" w:rsidR="00DA0977" w:rsidRPr="00DA0977" w:rsidRDefault="00DA0977" w:rsidP="00DA0977">
            <w:r w:rsidRPr="00DA0977">
              <w:rPr>
                <w:b/>
                <w:smallCaps/>
              </w:rPr>
              <w:t>Judgment Rendered:</w:t>
            </w:r>
            <w:r w:rsidRPr="00DA0977">
              <w:t xml:space="preserve"> November 3, 2023</w:t>
            </w:r>
          </w:p>
          <w:p w14:paraId="0D67D255" w14:textId="77777777" w:rsidR="00DA0977" w:rsidRPr="00DA0977" w:rsidRDefault="00DA0977" w:rsidP="00DA0977">
            <w:r w:rsidRPr="00DA0977">
              <w:rPr>
                <w:b/>
                <w:smallCaps/>
              </w:rPr>
              <w:t>Dockets:</w:t>
            </w:r>
            <w:r w:rsidRPr="00DA0977">
              <w:t xml:space="preserve"> 39935, 40093</w:t>
            </w:r>
          </w:p>
        </w:tc>
      </w:tr>
      <w:tr w:rsidR="00DA0977" w:rsidRPr="00DA0977" w14:paraId="23B915B6" w14:textId="77777777" w:rsidTr="00B64CF0">
        <w:tblPrEx>
          <w:tblCellMar>
            <w:top w:w="58" w:type="dxa"/>
            <w:left w:w="58" w:type="dxa"/>
            <w:bottom w:w="58" w:type="dxa"/>
            <w:right w:w="58" w:type="dxa"/>
          </w:tblCellMar>
        </w:tblPrEx>
        <w:tc>
          <w:tcPr>
            <w:tcW w:w="5000" w:type="pct"/>
            <w:gridSpan w:val="4"/>
          </w:tcPr>
          <w:p w14:paraId="16D34C39" w14:textId="77777777" w:rsidR="00DA0977" w:rsidRPr="00DA0977" w:rsidRDefault="00DA0977" w:rsidP="00DA0977"/>
          <w:p w14:paraId="431FD8E9" w14:textId="77777777" w:rsidR="00DA0977" w:rsidRPr="00DA0977" w:rsidRDefault="00DA0977" w:rsidP="00DA0977">
            <w:pPr>
              <w:rPr>
                <w:b/>
                <w:smallCaps/>
              </w:rPr>
            </w:pPr>
            <w:r w:rsidRPr="00DA0977">
              <w:rPr>
                <w:b/>
                <w:smallCaps/>
              </w:rPr>
              <w:t>Between:</w:t>
            </w:r>
          </w:p>
          <w:p w14:paraId="37D130F2" w14:textId="77777777" w:rsidR="00DA0977" w:rsidRPr="00DA0977" w:rsidRDefault="00DA0977" w:rsidP="00DA0977"/>
          <w:p w14:paraId="6F4F86A2" w14:textId="77777777" w:rsidR="00DA0977" w:rsidRPr="00DA0977" w:rsidRDefault="00DA0977" w:rsidP="00DA0977">
            <w:pPr>
              <w:jc w:val="center"/>
              <w:rPr>
                <w:b/>
              </w:rPr>
            </w:pPr>
            <w:r w:rsidRPr="00DA0977">
              <w:rPr>
                <w:b/>
              </w:rPr>
              <w:t>His Majesty The King and Attorney General of Quebec</w:t>
            </w:r>
          </w:p>
          <w:p w14:paraId="58ECE312" w14:textId="77777777" w:rsidR="00DA0977" w:rsidRPr="00DA0977" w:rsidRDefault="00DA0977" w:rsidP="00DA0977">
            <w:pPr>
              <w:jc w:val="center"/>
            </w:pPr>
            <w:r w:rsidRPr="00DA0977">
              <w:t>Appellants</w:t>
            </w:r>
          </w:p>
          <w:p w14:paraId="12D00AE0" w14:textId="77777777" w:rsidR="00DA0977" w:rsidRPr="00DA0977" w:rsidRDefault="00DA0977" w:rsidP="00DA0977"/>
          <w:p w14:paraId="523DE4FA" w14:textId="77777777" w:rsidR="00DA0977" w:rsidRPr="00DA0977" w:rsidRDefault="00DA0977" w:rsidP="00DA0977">
            <w:pPr>
              <w:jc w:val="center"/>
            </w:pPr>
            <w:r w:rsidRPr="00DA0977">
              <w:t>and</w:t>
            </w:r>
          </w:p>
          <w:p w14:paraId="2B862E1A" w14:textId="77777777" w:rsidR="00DA0977" w:rsidRPr="00DA0977" w:rsidRDefault="00DA0977" w:rsidP="00DA0977"/>
          <w:p w14:paraId="55A368C5" w14:textId="77777777" w:rsidR="00DA0977" w:rsidRPr="00DA0977" w:rsidRDefault="00DA0977" w:rsidP="00DA0977">
            <w:pPr>
              <w:jc w:val="center"/>
              <w:rPr>
                <w:b/>
              </w:rPr>
            </w:pPr>
            <w:r w:rsidRPr="00DA0977">
              <w:rPr>
                <w:b/>
              </w:rPr>
              <w:t>Maxime Bertrand Marchand</w:t>
            </w:r>
          </w:p>
          <w:p w14:paraId="78F738C9" w14:textId="77777777" w:rsidR="00DA0977" w:rsidRPr="00DA0977" w:rsidRDefault="00DA0977" w:rsidP="00DA0977">
            <w:pPr>
              <w:jc w:val="center"/>
            </w:pPr>
            <w:r w:rsidRPr="00DA0977">
              <w:t>Respondent</w:t>
            </w:r>
          </w:p>
          <w:p w14:paraId="3F4A7473" w14:textId="77777777" w:rsidR="00DA0977" w:rsidRPr="00DA0977" w:rsidRDefault="00DA0977" w:rsidP="00DA0977"/>
          <w:p w14:paraId="26623C51" w14:textId="77777777" w:rsidR="00DA0977" w:rsidRPr="00DA0977" w:rsidRDefault="00DA0977" w:rsidP="00DA0977">
            <w:pPr>
              <w:jc w:val="center"/>
            </w:pPr>
            <w:r w:rsidRPr="00DA0977">
              <w:t>- and -</w:t>
            </w:r>
          </w:p>
          <w:p w14:paraId="21B0AF6B" w14:textId="77777777" w:rsidR="00DA0977" w:rsidRPr="00DA0977" w:rsidRDefault="00DA0977" w:rsidP="00DA0977"/>
          <w:p w14:paraId="124653FF" w14:textId="77777777" w:rsidR="00DA0977" w:rsidRPr="00DA0977" w:rsidRDefault="00DA0977" w:rsidP="00DA0977">
            <w:pPr>
              <w:jc w:val="center"/>
              <w:rPr>
                <w:b/>
              </w:rPr>
            </w:pPr>
            <w:r w:rsidRPr="00DA0977">
              <w:rPr>
                <w:b/>
              </w:rPr>
              <w:t>Director of Public Prosecutions, Attorney General of Ontario, Attorney General of Saskatchewan, Attorney General of Alberta, Nunavik Civil Liberties Association, Association québécoise des avocats et avocates de la défense, Barbra Schlifer Commemorative Clinic and Independent Criminal Defence Advocacy Society</w:t>
            </w:r>
          </w:p>
          <w:p w14:paraId="2F1112FD" w14:textId="77777777" w:rsidR="00DA0977" w:rsidRPr="00DA0977" w:rsidRDefault="00DA0977" w:rsidP="00DA0977">
            <w:pPr>
              <w:jc w:val="center"/>
            </w:pPr>
            <w:r w:rsidRPr="00DA0977">
              <w:t>Interveners</w:t>
            </w:r>
          </w:p>
          <w:p w14:paraId="3D1233F9" w14:textId="77777777" w:rsidR="00DA0977" w:rsidRPr="00DA0977" w:rsidRDefault="00DA0977" w:rsidP="00DA0977"/>
          <w:p w14:paraId="7E60BCE8" w14:textId="77777777" w:rsidR="00DA0977" w:rsidRPr="00DA0977" w:rsidRDefault="00DA0977" w:rsidP="00DA0977">
            <w:pPr>
              <w:rPr>
                <w:b/>
                <w:smallCaps/>
              </w:rPr>
            </w:pPr>
            <w:r w:rsidRPr="00DA0977">
              <w:rPr>
                <w:b/>
                <w:smallCaps/>
              </w:rPr>
              <w:t>And Between:</w:t>
            </w:r>
          </w:p>
          <w:p w14:paraId="603C0E3C" w14:textId="77777777" w:rsidR="00DA0977" w:rsidRPr="00DA0977" w:rsidRDefault="00DA0977" w:rsidP="00DA0977"/>
          <w:p w14:paraId="7AFAFAAC" w14:textId="77777777" w:rsidR="00DA0977" w:rsidRPr="00DA0977" w:rsidRDefault="00DA0977" w:rsidP="00DA0977">
            <w:pPr>
              <w:jc w:val="center"/>
              <w:rPr>
                <w:b/>
              </w:rPr>
            </w:pPr>
            <w:r w:rsidRPr="00DA0977">
              <w:rPr>
                <w:b/>
              </w:rPr>
              <w:t>His Majesty The King and Attorney General of Quebec</w:t>
            </w:r>
          </w:p>
          <w:p w14:paraId="096F8163" w14:textId="77777777" w:rsidR="00DA0977" w:rsidRPr="00DA0977" w:rsidRDefault="00DA0977" w:rsidP="00DA0977">
            <w:pPr>
              <w:jc w:val="center"/>
            </w:pPr>
            <w:r w:rsidRPr="00DA0977">
              <w:t>Appellants</w:t>
            </w:r>
          </w:p>
          <w:p w14:paraId="15C371D5" w14:textId="77777777" w:rsidR="00DA0977" w:rsidRPr="00DA0977" w:rsidRDefault="00DA0977" w:rsidP="00DA0977"/>
          <w:p w14:paraId="05F2BB12" w14:textId="77777777" w:rsidR="00DA0977" w:rsidRPr="00DA0977" w:rsidRDefault="00DA0977" w:rsidP="00DA0977">
            <w:pPr>
              <w:jc w:val="center"/>
            </w:pPr>
            <w:r w:rsidRPr="00DA0977">
              <w:t>and</w:t>
            </w:r>
          </w:p>
          <w:p w14:paraId="4BFF47FA" w14:textId="77777777" w:rsidR="00DA0977" w:rsidRPr="00DA0977" w:rsidRDefault="00DA0977" w:rsidP="00DA0977"/>
          <w:p w14:paraId="1B7922A1" w14:textId="77777777" w:rsidR="00DA0977" w:rsidRPr="00DA0977" w:rsidRDefault="00DA0977" w:rsidP="00DA0977">
            <w:pPr>
              <w:jc w:val="center"/>
              <w:rPr>
                <w:b/>
              </w:rPr>
            </w:pPr>
            <w:r w:rsidRPr="00DA0977">
              <w:rPr>
                <w:b/>
              </w:rPr>
              <w:t>H.V.</w:t>
            </w:r>
          </w:p>
          <w:p w14:paraId="1132480B" w14:textId="77777777" w:rsidR="00DA0977" w:rsidRPr="00DA0977" w:rsidRDefault="00DA0977" w:rsidP="00DA0977">
            <w:pPr>
              <w:jc w:val="center"/>
            </w:pPr>
            <w:r w:rsidRPr="00DA0977">
              <w:lastRenderedPageBreak/>
              <w:t>Respondent</w:t>
            </w:r>
          </w:p>
          <w:p w14:paraId="51028165" w14:textId="77777777" w:rsidR="00DA0977" w:rsidRPr="00DA0977" w:rsidRDefault="00DA0977" w:rsidP="00DA0977"/>
          <w:p w14:paraId="682AF0C2" w14:textId="77777777" w:rsidR="00DA0977" w:rsidRPr="00DA0977" w:rsidRDefault="00DA0977" w:rsidP="00DA0977">
            <w:pPr>
              <w:jc w:val="center"/>
            </w:pPr>
            <w:r w:rsidRPr="00DA0977">
              <w:t>- and -</w:t>
            </w:r>
          </w:p>
          <w:p w14:paraId="52631FFC" w14:textId="77777777" w:rsidR="00DA0977" w:rsidRPr="00DA0977" w:rsidRDefault="00DA0977" w:rsidP="00DA0977"/>
          <w:p w14:paraId="3FCEFAC3" w14:textId="77777777" w:rsidR="00DA0977" w:rsidRPr="00DA0977" w:rsidRDefault="00DA0977" w:rsidP="00DA0977">
            <w:pPr>
              <w:jc w:val="center"/>
              <w:rPr>
                <w:b/>
              </w:rPr>
            </w:pPr>
            <w:r w:rsidRPr="00DA0977">
              <w:rPr>
                <w:b/>
              </w:rPr>
              <w:t>Director of Public Prosecutions, Attorney General of Ontario, Attorney General of Saskatchewan, Attorney General of Alberta, Association des avocats de la défense de Montréal and Independent Criminal Defence Advocacy Society</w:t>
            </w:r>
          </w:p>
          <w:p w14:paraId="0276DA1E" w14:textId="77777777" w:rsidR="00DA0977" w:rsidRPr="00DA0977" w:rsidRDefault="00DA0977" w:rsidP="00DA0977">
            <w:pPr>
              <w:jc w:val="center"/>
            </w:pPr>
            <w:r w:rsidRPr="00DA0977">
              <w:t>Interveners</w:t>
            </w:r>
          </w:p>
          <w:p w14:paraId="249A6B1F" w14:textId="77777777" w:rsidR="00DA0977" w:rsidRPr="00DA0977" w:rsidRDefault="00DA0977" w:rsidP="00DA0977"/>
          <w:p w14:paraId="530C3CE9" w14:textId="77777777" w:rsidR="00DA0977" w:rsidRPr="00DA0977" w:rsidRDefault="00DA0977" w:rsidP="00DA0977">
            <w:pPr>
              <w:jc w:val="center"/>
              <w:rPr>
                <w:b/>
                <w:smallCaps/>
              </w:rPr>
            </w:pPr>
            <w:r w:rsidRPr="00DA0977">
              <w:rPr>
                <w:b/>
                <w:smallCaps/>
              </w:rPr>
              <w:t xml:space="preserve">Official English Translation: </w:t>
            </w:r>
            <w:r w:rsidRPr="00DA0977">
              <w:t>Reasons of Côté J.</w:t>
            </w:r>
          </w:p>
          <w:p w14:paraId="17898D6A" w14:textId="77777777" w:rsidR="00DA0977" w:rsidRPr="00DA0977" w:rsidRDefault="00DA0977" w:rsidP="00DA0977"/>
          <w:p w14:paraId="1302DC06" w14:textId="77777777" w:rsidR="00DA0977" w:rsidRPr="00DA0977" w:rsidRDefault="00DA0977" w:rsidP="00DA0977">
            <w:r w:rsidRPr="00DA0977">
              <w:rPr>
                <w:b/>
                <w:smallCaps/>
              </w:rPr>
              <w:t>Coram:</w:t>
            </w:r>
            <w:r w:rsidRPr="00DA0977">
              <w:t xml:space="preserve"> Karakatsanis, Côté, Rowe, Martin, Kasirer, Jamal and O’Bonsawin JJ.</w:t>
            </w:r>
          </w:p>
          <w:p w14:paraId="6FBF94B7" w14:textId="77777777" w:rsidR="00DA0977" w:rsidRPr="00DA0977" w:rsidRDefault="00DA0977" w:rsidP="00DA0977">
            <w:pPr>
              <w:rPr>
                <w:b/>
                <w:smallCaps/>
              </w:rPr>
            </w:pPr>
          </w:p>
        </w:tc>
      </w:tr>
      <w:tr w:rsidR="00DA0977" w:rsidRPr="00DA0977" w14:paraId="5398E9EF" w14:textId="77777777" w:rsidTr="00B64CF0">
        <w:tblPrEx>
          <w:tblCellMar>
            <w:top w:w="58" w:type="dxa"/>
            <w:left w:w="58" w:type="dxa"/>
            <w:bottom w:w="58" w:type="dxa"/>
            <w:right w:w="58" w:type="dxa"/>
          </w:tblCellMar>
        </w:tblPrEx>
        <w:trPr>
          <w:cantSplit/>
        </w:trPr>
        <w:tc>
          <w:tcPr>
            <w:tcW w:w="1231" w:type="pct"/>
          </w:tcPr>
          <w:p w14:paraId="0E82A9E2" w14:textId="77777777" w:rsidR="00DA0977" w:rsidRPr="00DA0977" w:rsidRDefault="00DA0977" w:rsidP="00DA0977">
            <w:pPr>
              <w:rPr>
                <w:smallCaps/>
              </w:rPr>
            </w:pPr>
            <w:r w:rsidRPr="00DA0977">
              <w:rPr>
                <w:b/>
                <w:smallCaps/>
              </w:rPr>
              <w:lastRenderedPageBreak/>
              <w:t>Reasons for Judgment:</w:t>
            </w:r>
            <w:r w:rsidRPr="00DA0977">
              <w:rPr>
                <w:smallCaps/>
              </w:rPr>
              <w:t xml:space="preserve"> </w:t>
            </w:r>
          </w:p>
          <w:p w14:paraId="45BBF082" w14:textId="77777777" w:rsidR="00DA0977" w:rsidRPr="00DA0977" w:rsidRDefault="00DA0977" w:rsidP="00DA0977">
            <w:pPr>
              <w:rPr>
                <w:smallCaps/>
              </w:rPr>
            </w:pPr>
            <w:r w:rsidRPr="00DA0977">
              <w:t>(paras. 1 to 174)</w:t>
            </w:r>
          </w:p>
        </w:tc>
        <w:tc>
          <w:tcPr>
            <w:tcW w:w="3769" w:type="pct"/>
            <w:gridSpan w:val="3"/>
          </w:tcPr>
          <w:p w14:paraId="560687E9" w14:textId="77777777" w:rsidR="00DA0977" w:rsidRPr="00DA0977" w:rsidRDefault="00DA0977" w:rsidP="00DA0977">
            <w:r w:rsidRPr="00DA0977">
              <w:t>Martin J. (Karakatsanis, Rowe, Kasirer, Jamal and O’Bonsawin JJ. concurring)</w:t>
            </w:r>
          </w:p>
        </w:tc>
      </w:tr>
      <w:tr w:rsidR="00DA0977" w:rsidRPr="00DA0977" w14:paraId="39B0C099" w14:textId="77777777" w:rsidTr="00B64CF0">
        <w:tblPrEx>
          <w:tblCellMar>
            <w:top w:w="58" w:type="dxa"/>
            <w:left w:w="58" w:type="dxa"/>
            <w:bottom w:w="58" w:type="dxa"/>
            <w:right w:w="58" w:type="dxa"/>
          </w:tblCellMar>
        </w:tblPrEx>
        <w:trPr>
          <w:cantSplit/>
        </w:trPr>
        <w:tc>
          <w:tcPr>
            <w:tcW w:w="1231" w:type="pct"/>
          </w:tcPr>
          <w:p w14:paraId="2C534C11" w14:textId="77777777" w:rsidR="00DA0977" w:rsidRPr="00DA0977" w:rsidRDefault="00DA0977" w:rsidP="00DA0977"/>
        </w:tc>
        <w:tc>
          <w:tcPr>
            <w:tcW w:w="3769" w:type="pct"/>
            <w:gridSpan w:val="3"/>
          </w:tcPr>
          <w:p w14:paraId="129A04A4" w14:textId="77777777" w:rsidR="00DA0977" w:rsidRPr="00DA0977" w:rsidRDefault="00DA0977" w:rsidP="00DA0977"/>
        </w:tc>
      </w:tr>
      <w:tr w:rsidR="00DA0977" w:rsidRPr="00DA0977" w14:paraId="781DE86E" w14:textId="77777777" w:rsidTr="00B64CF0">
        <w:tblPrEx>
          <w:tblCellMar>
            <w:top w:w="58" w:type="dxa"/>
            <w:left w:w="58" w:type="dxa"/>
            <w:bottom w:w="58" w:type="dxa"/>
            <w:right w:w="58" w:type="dxa"/>
          </w:tblCellMar>
        </w:tblPrEx>
        <w:trPr>
          <w:cantSplit/>
        </w:trPr>
        <w:tc>
          <w:tcPr>
            <w:tcW w:w="1231" w:type="pct"/>
          </w:tcPr>
          <w:p w14:paraId="4CD99030" w14:textId="77777777" w:rsidR="00DA0977" w:rsidRPr="00DA0977" w:rsidRDefault="00DA0977" w:rsidP="00DA0977">
            <w:pPr>
              <w:rPr>
                <w:smallCaps/>
              </w:rPr>
            </w:pPr>
            <w:r w:rsidRPr="00DA0977">
              <w:rPr>
                <w:b/>
                <w:smallCaps/>
              </w:rPr>
              <w:t>Reasons</w:t>
            </w:r>
            <w:r w:rsidRPr="00DA0977">
              <w:t xml:space="preserve"> </w:t>
            </w:r>
            <w:r w:rsidRPr="00DA0977">
              <w:rPr>
                <w:b/>
                <w:smallCaps/>
              </w:rPr>
              <w:t>Dissenting in Part:</w:t>
            </w:r>
            <w:r w:rsidRPr="00DA0977">
              <w:rPr>
                <w:smallCaps/>
              </w:rPr>
              <w:t xml:space="preserve"> </w:t>
            </w:r>
          </w:p>
          <w:p w14:paraId="517D5CC6" w14:textId="77777777" w:rsidR="00DA0977" w:rsidRPr="00DA0977" w:rsidRDefault="00DA0977" w:rsidP="00DA0977">
            <w:pPr>
              <w:rPr>
                <w:smallCaps/>
              </w:rPr>
            </w:pPr>
            <w:r w:rsidRPr="00DA0977">
              <w:t xml:space="preserve">(paras. </w:t>
            </w:r>
            <w:r w:rsidRPr="00DA0977">
              <w:rPr>
                <w:lang w:val="fr-CA"/>
              </w:rPr>
              <w:t xml:space="preserve">175 </w:t>
            </w:r>
            <w:r w:rsidRPr="00DA0977">
              <w:t xml:space="preserve">to </w:t>
            </w:r>
            <w:r w:rsidRPr="00DA0977">
              <w:rPr>
                <w:lang w:val="fr-CA"/>
              </w:rPr>
              <w:t>232</w:t>
            </w:r>
            <w:r w:rsidRPr="00DA0977">
              <w:t>)</w:t>
            </w:r>
          </w:p>
        </w:tc>
        <w:tc>
          <w:tcPr>
            <w:tcW w:w="3769" w:type="pct"/>
            <w:gridSpan w:val="3"/>
          </w:tcPr>
          <w:p w14:paraId="515D01E1" w14:textId="77777777" w:rsidR="00DA0977" w:rsidRPr="00DA0977" w:rsidRDefault="00DA0977" w:rsidP="00DA0977">
            <w:r w:rsidRPr="00DA0977">
              <w:t>Côté J.</w:t>
            </w:r>
          </w:p>
        </w:tc>
      </w:tr>
    </w:tbl>
    <w:p w14:paraId="2E6AC00B" w14:textId="77777777" w:rsidR="00DA0977" w:rsidRPr="00DA0977" w:rsidRDefault="00DA0977" w:rsidP="00DA0977">
      <w:pPr>
        <w:rPr>
          <w:rFonts w:eastAsiaTheme="minorHAnsi" w:cstheme="minorBidi"/>
          <w:szCs w:val="24"/>
          <w:lang w:eastAsia="en-US"/>
        </w:rPr>
      </w:pPr>
    </w:p>
    <w:p w14:paraId="5056380B" w14:textId="77777777" w:rsidR="00DA0977" w:rsidRPr="00DA0977" w:rsidRDefault="00DA0977" w:rsidP="00DA0977">
      <w:pPr>
        <w:rPr>
          <w:rFonts w:eastAsiaTheme="minorHAnsi" w:cstheme="minorBidi"/>
          <w:szCs w:val="24"/>
          <w:lang w:eastAsia="en-US"/>
        </w:rPr>
      </w:pPr>
    </w:p>
    <w:p w14:paraId="16B0D3DE" w14:textId="77777777" w:rsidR="00DA0977" w:rsidRPr="00DA0977" w:rsidRDefault="00DA0977" w:rsidP="00DA0977">
      <w:pPr>
        <w:rPr>
          <w:rFonts w:eastAsiaTheme="minorHAnsi" w:cstheme="minorBidi"/>
          <w:szCs w:val="24"/>
          <w:lang w:eastAsia="en-US"/>
        </w:rPr>
      </w:pPr>
      <w:r w:rsidRPr="00DA0977">
        <w:rPr>
          <w:rFonts w:eastAsiaTheme="minorHAnsi" w:cstheme="minorBidi"/>
          <w:b/>
          <w:smallCaps/>
          <w:szCs w:val="24"/>
          <w:lang w:eastAsia="en-US"/>
        </w:rPr>
        <w:t>Note:</w:t>
      </w:r>
      <w:r w:rsidRPr="00DA0977">
        <w:rPr>
          <w:rFonts w:eastAsiaTheme="minorHAnsi" w:cstheme="minorBidi"/>
          <w:b/>
          <w:szCs w:val="24"/>
          <w:lang w:eastAsia="en-US"/>
        </w:rPr>
        <w:t xml:space="preserve"> </w:t>
      </w:r>
      <w:r w:rsidRPr="00DA0977">
        <w:rPr>
          <w:rFonts w:eastAsiaTheme="minorHAnsi" w:cstheme="minorBidi"/>
          <w:szCs w:val="24"/>
          <w:lang w:eastAsia="en-US"/>
        </w:rPr>
        <w:t xml:space="preserve">This document is subject to editorial revision before its reproduction in final form in the </w:t>
      </w:r>
      <w:r w:rsidRPr="00DA0977">
        <w:rPr>
          <w:rFonts w:eastAsiaTheme="minorHAnsi" w:cstheme="minorBidi"/>
          <w:i/>
          <w:szCs w:val="24"/>
          <w:lang w:eastAsia="en-US"/>
        </w:rPr>
        <w:t>Canada Supreme Court Reports</w:t>
      </w:r>
      <w:r w:rsidRPr="00DA0977">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DA0977" w:rsidRPr="00DA0977" w14:paraId="63FF07DA" w14:textId="77777777" w:rsidTr="00B64CF0">
        <w:tc>
          <w:tcPr>
            <w:tcW w:w="1500" w:type="pct"/>
            <w:tcMar>
              <w:top w:w="284" w:type="dxa"/>
            </w:tcMar>
          </w:tcPr>
          <w:p w14:paraId="18BCA545" w14:textId="77777777" w:rsidR="00DA0977" w:rsidRPr="00DA0977" w:rsidRDefault="00DA0977" w:rsidP="00DA0977"/>
        </w:tc>
        <w:tc>
          <w:tcPr>
            <w:tcW w:w="2000" w:type="pct"/>
            <w:tcBorders>
              <w:bottom w:val="single" w:sz="4" w:space="0" w:color="auto"/>
            </w:tcBorders>
            <w:tcMar>
              <w:top w:w="284" w:type="dxa"/>
            </w:tcMar>
          </w:tcPr>
          <w:p w14:paraId="181D15B2" w14:textId="77777777" w:rsidR="00DA0977" w:rsidRPr="00DA0977" w:rsidRDefault="00DA0977" w:rsidP="00DA0977"/>
        </w:tc>
        <w:tc>
          <w:tcPr>
            <w:tcW w:w="1500" w:type="pct"/>
            <w:tcMar>
              <w:top w:w="284" w:type="dxa"/>
            </w:tcMar>
          </w:tcPr>
          <w:p w14:paraId="2ED60809" w14:textId="77777777" w:rsidR="00DA0977" w:rsidRPr="00DA0977" w:rsidRDefault="00DA0977" w:rsidP="00DA0977"/>
        </w:tc>
      </w:tr>
    </w:tbl>
    <w:p w14:paraId="49DD1415" w14:textId="77777777" w:rsidR="00DA0977" w:rsidRPr="00DA0977" w:rsidRDefault="00DA0977" w:rsidP="00DA0977">
      <w:pPr>
        <w:rPr>
          <w:rFonts w:eastAsiaTheme="minorHAnsi" w:cstheme="minorBidi"/>
          <w:szCs w:val="24"/>
          <w:lang w:eastAsia="en-US"/>
        </w:rPr>
      </w:pPr>
    </w:p>
    <w:p w14:paraId="64A7F90C" w14:textId="77777777" w:rsidR="00DA0977" w:rsidRPr="00DA0977" w:rsidRDefault="00DA0977">
      <w:pPr>
        <w:rPr>
          <w:b/>
        </w:rPr>
      </w:pPr>
      <w:r w:rsidRPr="00DA0977">
        <w:br w:type="page"/>
      </w:r>
    </w:p>
    <w:p w14:paraId="5EBA34B3" w14:textId="47FA33F4" w:rsidR="006F637B" w:rsidRPr="00DA0977" w:rsidRDefault="003C0BA9">
      <w:pPr>
        <w:pStyle w:val="SCCLsocParty"/>
      </w:pPr>
      <w:r w:rsidRPr="00DA0977">
        <w:lastRenderedPageBreak/>
        <w:t xml:space="preserve">His Majesty </w:t>
      </w:r>
      <w:r w:rsidR="00A35C9E" w:rsidRPr="00DA0977">
        <w:t>The King and</w:t>
      </w:r>
    </w:p>
    <w:p w14:paraId="2884A626" w14:textId="77777777" w:rsidR="006F637B" w:rsidRPr="00DA0977" w:rsidRDefault="003C0BA9">
      <w:pPr>
        <w:pStyle w:val="SCCLsocLastPartyInRole"/>
      </w:pPr>
      <w:r w:rsidRPr="00DA0977">
        <w:t>Attorney General of Quebec</w:t>
      </w:r>
      <w:r w:rsidRPr="00DA0977">
        <w:rPr>
          <w:rStyle w:val="SCCLsocPartyRole"/>
        </w:rPr>
        <w:tab/>
        <w:t>Appellants</w:t>
      </w:r>
    </w:p>
    <w:p w14:paraId="03E6C199" w14:textId="77777777" w:rsidR="006F637B" w:rsidRPr="00DA0977" w:rsidRDefault="003C0BA9">
      <w:pPr>
        <w:pStyle w:val="SCCLsocVersus"/>
      </w:pPr>
      <w:r w:rsidRPr="00DA0977">
        <w:t>v.</w:t>
      </w:r>
    </w:p>
    <w:p w14:paraId="469DAA20" w14:textId="77777777" w:rsidR="006F637B" w:rsidRPr="00DA0977" w:rsidRDefault="003C0BA9">
      <w:pPr>
        <w:pStyle w:val="SCCLsocLastPartyInRole"/>
      </w:pPr>
      <w:r w:rsidRPr="00DA0977">
        <w:t>Maxime Bertrand Marchand</w:t>
      </w:r>
      <w:r w:rsidRPr="00DA0977">
        <w:rPr>
          <w:rStyle w:val="SCCLsocPartyRole"/>
        </w:rPr>
        <w:tab/>
        <w:t>Respondent</w:t>
      </w:r>
    </w:p>
    <w:p w14:paraId="29947986" w14:textId="77777777" w:rsidR="006F637B" w:rsidRPr="00DA0977" w:rsidRDefault="003C0BA9">
      <w:pPr>
        <w:pStyle w:val="SCCLsocOtherPartySeparator"/>
      </w:pPr>
      <w:r w:rsidRPr="00DA0977">
        <w:t>and</w:t>
      </w:r>
    </w:p>
    <w:p w14:paraId="4006D2BC" w14:textId="77777777" w:rsidR="006F637B" w:rsidRPr="00DA0977" w:rsidRDefault="003C0BA9">
      <w:pPr>
        <w:pStyle w:val="SCCLsocParty"/>
      </w:pPr>
      <w:r w:rsidRPr="00DA0977">
        <w:t>Director of Public Prosecutions,</w:t>
      </w:r>
    </w:p>
    <w:p w14:paraId="60CF53F5" w14:textId="77777777" w:rsidR="006F637B" w:rsidRPr="00DA0977" w:rsidRDefault="00A35C9E">
      <w:pPr>
        <w:pStyle w:val="SCCLsocParty"/>
      </w:pPr>
      <w:r w:rsidRPr="00DA0977">
        <w:t>A</w:t>
      </w:r>
      <w:r w:rsidR="003C0BA9" w:rsidRPr="00DA0977">
        <w:t>ttorney General of Ontario,</w:t>
      </w:r>
    </w:p>
    <w:p w14:paraId="0CD4B9CB" w14:textId="77777777" w:rsidR="006F637B" w:rsidRPr="00DA0977" w:rsidRDefault="00A35C9E">
      <w:pPr>
        <w:pStyle w:val="SCCLsocParty"/>
      </w:pPr>
      <w:r w:rsidRPr="00DA0977">
        <w:t>A</w:t>
      </w:r>
      <w:r w:rsidR="003C0BA9" w:rsidRPr="00DA0977">
        <w:t>ttorney General of Saskatchewan,</w:t>
      </w:r>
    </w:p>
    <w:p w14:paraId="57E867C7" w14:textId="77777777" w:rsidR="006F637B" w:rsidRPr="00DA0977" w:rsidRDefault="00A35C9E">
      <w:pPr>
        <w:pStyle w:val="SCCLsocParty"/>
      </w:pPr>
      <w:r w:rsidRPr="00DA0977">
        <w:t>A</w:t>
      </w:r>
      <w:r w:rsidR="003C0BA9" w:rsidRPr="00DA0977">
        <w:t>ttorney General of Alberta,</w:t>
      </w:r>
    </w:p>
    <w:p w14:paraId="09E21EA1" w14:textId="77777777" w:rsidR="006F637B" w:rsidRPr="00DA0977" w:rsidRDefault="003C0BA9">
      <w:pPr>
        <w:pStyle w:val="SCCLsocParty"/>
      </w:pPr>
      <w:r w:rsidRPr="00DA0977">
        <w:t>Nunavik Civil Liberties Association,</w:t>
      </w:r>
    </w:p>
    <w:p w14:paraId="42BDB817" w14:textId="77777777" w:rsidR="006F637B" w:rsidRPr="00DA0977" w:rsidRDefault="003C0BA9">
      <w:pPr>
        <w:pStyle w:val="SCCLsocParty"/>
        <w:rPr>
          <w:lang w:val="fr-CA"/>
        </w:rPr>
      </w:pPr>
      <w:r w:rsidRPr="00DA0977">
        <w:rPr>
          <w:lang w:val="fr-CA"/>
        </w:rPr>
        <w:t>Association québécoise des avocats et avocates de la défense,</w:t>
      </w:r>
    </w:p>
    <w:p w14:paraId="034C2DA4" w14:textId="77777777" w:rsidR="006F637B" w:rsidRPr="00DA0977" w:rsidRDefault="003C0BA9">
      <w:pPr>
        <w:pStyle w:val="SCCLsocParty"/>
      </w:pPr>
      <w:r w:rsidRPr="00DA0977">
        <w:t>Barbr</w:t>
      </w:r>
      <w:r w:rsidR="00A35C9E" w:rsidRPr="00DA0977">
        <w:t>a Schlifer Commemorative Clinic and</w:t>
      </w:r>
    </w:p>
    <w:p w14:paraId="1C7F938B" w14:textId="77777777" w:rsidR="006F637B" w:rsidRPr="00DA0977" w:rsidRDefault="003C0BA9">
      <w:pPr>
        <w:pStyle w:val="SCCLsocLastPartyInRole"/>
        <w:rPr>
          <w:rStyle w:val="SCCLsocPartyRole"/>
        </w:rPr>
      </w:pPr>
      <w:r w:rsidRPr="00DA0977">
        <w:t>Independent Criminal Defence Advocacy Society</w:t>
      </w:r>
      <w:r w:rsidRPr="00DA0977">
        <w:rPr>
          <w:rStyle w:val="SCCLsocPartyRole"/>
        </w:rPr>
        <w:tab/>
        <w:t>Interveners</w:t>
      </w:r>
    </w:p>
    <w:p w14:paraId="799D9EF2" w14:textId="25A8B971" w:rsidR="007611AF" w:rsidRPr="00DA0977" w:rsidRDefault="007611AF" w:rsidP="007611AF">
      <w:pPr>
        <w:spacing w:after="720"/>
        <w:jc w:val="both"/>
        <w:rPr>
          <w:lang w:val="en-US"/>
        </w:rPr>
      </w:pPr>
      <w:r w:rsidRPr="00DA0977">
        <w:rPr>
          <w:color w:val="000000"/>
          <w:lang w:val="en-US"/>
        </w:rPr>
        <w:noBreakHyphen/>
        <w:t xml:space="preserve"> and </w:t>
      </w:r>
      <w:r w:rsidRPr="00DA0977">
        <w:rPr>
          <w:color w:val="000000"/>
          <w:lang w:val="en-US"/>
        </w:rPr>
        <w:noBreakHyphen/>
      </w:r>
    </w:p>
    <w:p w14:paraId="738A8A70" w14:textId="77777777" w:rsidR="007611AF" w:rsidRPr="00DA0977" w:rsidRDefault="007611AF" w:rsidP="007611AF">
      <w:pPr>
        <w:pStyle w:val="SCCLsocParty"/>
      </w:pPr>
      <w:r w:rsidRPr="00DA0977">
        <w:t>His Majesty The King and</w:t>
      </w:r>
    </w:p>
    <w:p w14:paraId="06EF243D" w14:textId="0C2B5F9E" w:rsidR="007611AF" w:rsidRPr="00DA0977" w:rsidRDefault="007611AF" w:rsidP="007611AF">
      <w:pPr>
        <w:pStyle w:val="SCCLsocLastPartyInRole"/>
        <w:rPr>
          <w:lang w:val="en-US"/>
        </w:rPr>
      </w:pPr>
      <w:r w:rsidRPr="00DA0977">
        <w:t>Attorney General of Quebec</w:t>
      </w:r>
      <w:r w:rsidRPr="00DA0977">
        <w:rPr>
          <w:rStyle w:val="SCCLsocPartyRole"/>
          <w:lang w:val="en-US"/>
        </w:rPr>
        <w:tab/>
      </w:r>
      <w:r w:rsidRPr="00DA0977">
        <w:rPr>
          <w:rStyle w:val="SCCLsocPartyRole"/>
        </w:rPr>
        <w:t>Appellants</w:t>
      </w:r>
    </w:p>
    <w:p w14:paraId="1F4DE32C" w14:textId="66C7B4FC" w:rsidR="007611AF" w:rsidRPr="00DA0977" w:rsidRDefault="007611AF" w:rsidP="007611AF">
      <w:pPr>
        <w:pStyle w:val="SCCLsocVersus"/>
        <w:rPr>
          <w:lang w:val="en-US"/>
        </w:rPr>
      </w:pPr>
      <w:r w:rsidRPr="00DA0977">
        <w:rPr>
          <w:lang w:val="en-US"/>
        </w:rPr>
        <w:t>v.</w:t>
      </w:r>
    </w:p>
    <w:p w14:paraId="0A10CC81" w14:textId="67DCD625" w:rsidR="007611AF" w:rsidRPr="00DA0977" w:rsidRDefault="007611AF" w:rsidP="007611AF">
      <w:pPr>
        <w:pStyle w:val="SCCLsocLastPartyInRole"/>
        <w:rPr>
          <w:lang w:val="en-US"/>
        </w:rPr>
      </w:pPr>
      <w:r w:rsidRPr="00DA0977">
        <w:rPr>
          <w:lang w:val="en-US"/>
        </w:rPr>
        <w:t>H.V.</w:t>
      </w:r>
      <w:r w:rsidRPr="00DA0977">
        <w:rPr>
          <w:rStyle w:val="SCCLsocPartyRole"/>
          <w:lang w:val="en-US"/>
        </w:rPr>
        <w:tab/>
        <w:t>Respondent</w:t>
      </w:r>
    </w:p>
    <w:p w14:paraId="41822936" w14:textId="72A8C6E4" w:rsidR="007611AF" w:rsidRPr="00DA0977" w:rsidRDefault="007611AF" w:rsidP="007611AF">
      <w:pPr>
        <w:pStyle w:val="SCCLsocOtherPartySeparator"/>
        <w:rPr>
          <w:lang w:val="en-US"/>
        </w:rPr>
      </w:pPr>
      <w:r w:rsidRPr="00DA0977">
        <w:rPr>
          <w:lang w:val="en-US"/>
        </w:rPr>
        <w:t>and</w:t>
      </w:r>
    </w:p>
    <w:p w14:paraId="55CA5B2D" w14:textId="77777777" w:rsidR="007611AF" w:rsidRPr="00DA0977" w:rsidRDefault="007611AF" w:rsidP="007611AF">
      <w:pPr>
        <w:pStyle w:val="SCCLsocParty"/>
      </w:pPr>
      <w:r w:rsidRPr="00DA0977">
        <w:t>Director of Public Prosecutions,</w:t>
      </w:r>
    </w:p>
    <w:p w14:paraId="4F18B1C0" w14:textId="77777777" w:rsidR="007611AF" w:rsidRPr="00DA0977" w:rsidRDefault="007611AF" w:rsidP="007611AF">
      <w:pPr>
        <w:pStyle w:val="SCCLsocParty"/>
      </w:pPr>
      <w:r w:rsidRPr="00DA0977">
        <w:lastRenderedPageBreak/>
        <w:t>Attorney General of Ontario,</w:t>
      </w:r>
    </w:p>
    <w:p w14:paraId="0167FBE1" w14:textId="77777777" w:rsidR="007611AF" w:rsidRPr="00DA0977" w:rsidRDefault="007611AF" w:rsidP="007611AF">
      <w:pPr>
        <w:pStyle w:val="SCCLsocParty"/>
      </w:pPr>
      <w:r w:rsidRPr="00DA0977">
        <w:t>Attorney General of Saskatchewan,</w:t>
      </w:r>
    </w:p>
    <w:p w14:paraId="0D369426" w14:textId="77777777" w:rsidR="007611AF" w:rsidRPr="00DA0977" w:rsidRDefault="007611AF" w:rsidP="007611AF">
      <w:pPr>
        <w:pStyle w:val="SCCLsocParty"/>
        <w:rPr>
          <w:lang w:val="fr-CA"/>
        </w:rPr>
      </w:pPr>
      <w:r w:rsidRPr="00DA0977">
        <w:rPr>
          <w:lang w:val="fr-CA"/>
        </w:rPr>
        <w:t>Attorney General of Alberta,</w:t>
      </w:r>
    </w:p>
    <w:p w14:paraId="01DE2C22" w14:textId="77777777" w:rsidR="007611AF" w:rsidRPr="00DA0977" w:rsidRDefault="007611AF" w:rsidP="007611AF">
      <w:pPr>
        <w:pStyle w:val="SCCLsocParty"/>
        <w:rPr>
          <w:lang w:val="fr-CA"/>
        </w:rPr>
      </w:pPr>
      <w:r w:rsidRPr="00DA0977">
        <w:rPr>
          <w:lang w:val="fr-CA"/>
        </w:rPr>
        <w:t>Association des avocats de la défense de Montréal and</w:t>
      </w:r>
    </w:p>
    <w:p w14:paraId="44870EC8" w14:textId="4DB78E75" w:rsidR="007611AF" w:rsidRPr="00DA0977" w:rsidRDefault="007611AF" w:rsidP="00B4722A">
      <w:pPr>
        <w:pStyle w:val="SCCLsocLastPartyInRole"/>
      </w:pPr>
      <w:r w:rsidRPr="00DA0977">
        <w:t>Independent Criminal Defence Advocacy Society</w:t>
      </w:r>
      <w:r w:rsidRPr="00DA0977">
        <w:rPr>
          <w:rStyle w:val="SCCLsocPartyRole"/>
        </w:rPr>
        <w:tab/>
        <w:t>Interveners</w:t>
      </w:r>
    </w:p>
    <w:p w14:paraId="023019F1" w14:textId="6CA1BA83" w:rsidR="00426659" w:rsidRPr="00DA0977" w:rsidRDefault="00426659" w:rsidP="00B4722A">
      <w:pPr>
        <w:spacing w:after="720"/>
        <w:jc w:val="both"/>
        <w:rPr>
          <w:b/>
        </w:rPr>
      </w:pPr>
      <w:r w:rsidRPr="00DA0977">
        <w:rPr>
          <w:b/>
        </w:rPr>
        <w:t xml:space="preserve">Indexed as: </w:t>
      </w:r>
      <w:r w:rsidRPr="00DA0977">
        <w:rPr>
          <w:rStyle w:val="SCCAppellantForIndexChar"/>
        </w:rPr>
        <w:t xml:space="preserve">R. </w:t>
      </w:r>
      <w:r w:rsidRPr="00DA0977">
        <w:rPr>
          <w:b/>
          <w:i/>
        </w:rPr>
        <w:t>v.</w:t>
      </w:r>
      <w:r w:rsidRPr="00DA0977">
        <w:rPr>
          <w:b/>
        </w:rPr>
        <w:t xml:space="preserve"> </w:t>
      </w:r>
      <w:r w:rsidR="00D84321" w:rsidRPr="00DA0977">
        <w:rPr>
          <w:b/>
        </w:rPr>
        <w:t xml:space="preserve">Bertrand </w:t>
      </w:r>
      <w:r w:rsidRPr="00DA0977">
        <w:rPr>
          <w:rStyle w:val="SCCRespondentForIndexChar"/>
        </w:rPr>
        <w:t>Marchand</w:t>
      </w:r>
    </w:p>
    <w:p w14:paraId="18F2E0BC" w14:textId="67321FC9" w:rsidR="00426659" w:rsidRPr="00DA0977" w:rsidRDefault="00AE4535" w:rsidP="00B4722A">
      <w:pPr>
        <w:pStyle w:val="SCCSystemYear"/>
        <w:spacing w:after="720"/>
        <w:jc w:val="both"/>
      </w:pPr>
      <w:r w:rsidRPr="00DA0977">
        <w:t>2023</w:t>
      </w:r>
      <w:r w:rsidR="003D0399" w:rsidRPr="00DA0977">
        <w:t xml:space="preserve"> </w:t>
      </w:r>
      <w:r w:rsidR="00B4722A" w:rsidRPr="00DA0977">
        <w:t xml:space="preserve">SCC </w:t>
      </w:r>
      <w:r w:rsidR="00813D8A" w:rsidRPr="00DA0977">
        <w:t>26</w:t>
      </w:r>
    </w:p>
    <w:p w14:paraId="1C2DB59B" w14:textId="57A87575" w:rsidR="008322BD" w:rsidRPr="00DA0977" w:rsidRDefault="009B57B3" w:rsidP="00B4722A">
      <w:pPr>
        <w:spacing w:after="720"/>
        <w:jc w:val="both"/>
      </w:pPr>
      <w:r w:rsidRPr="00DA0977">
        <w:t>File No</w:t>
      </w:r>
      <w:r w:rsidR="00E06E61" w:rsidRPr="00DA0977">
        <w:t>s</w:t>
      </w:r>
      <w:r w:rsidRPr="00DA0977">
        <w:t>.: 39935</w:t>
      </w:r>
      <w:r w:rsidR="00EA65ED" w:rsidRPr="00DA0977">
        <w:t>, 40093</w:t>
      </w:r>
      <w:r w:rsidRPr="00DA0977">
        <w:t>.</w:t>
      </w:r>
    </w:p>
    <w:p w14:paraId="3540B330" w14:textId="04154E4E" w:rsidR="008322BD" w:rsidRPr="00DA0977" w:rsidRDefault="00AE4535" w:rsidP="00B4722A">
      <w:pPr>
        <w:spacing w:after="720"/>
        <w:jc w:val="both"/>
      </w:pPr>
      <w:r w:rsidRPr="00DA0977">
        <w:t>2023: February 15</w:t>
      </w:r>
      <w:r w:rsidR="00EA65ED" w:rsidRPr="00DA0977">
        <w:t>, 16</w:t>
      </w:r>
      <w:r w:rsidR="009B57B3" w:rsidRPr="00DA0977">
        <w:t xml:space="preserve">; </w:t>
      </w:r>
      <w:r w:rsidR="00BA0559" w:rsidRPr="00DA0977">
        <w:t>2023: November 3</w:t>
      </w:r>
      <w:r w:rsidR="009B57B3" w:rsidRPr="00DA0977">
        <w:t>.</w:t>
      </w:r>
    </w:p>
    <w:p w14:paraId="05676806" w14:textId="77777777" w:rsidR="008322BD" w:rsidRPr="00DA0977" w:rsidRDefault="009B57B3" w:rsidP="00B4722A">
      <w:pPr>
        <w:spacing w:after="720"/>
        <w:jc w:val="both"/>
      </w:pPr>
      <w:r w:rsidRPr="00DA0977">
        <w:t>Present: Karakatsanis, Côté, Rowe, Martin, Kasirer, Jamal and O</w:t>
      </w:r>
      <w:r w:rsidR="00A35C9E" w:rsidRPr="00DA0977">
        <w:t>’</w:t>
      </w:r>
      <w:r w:rsidRPr="00DA0977">
        <w:t>Bonsawin JJ.</w:t>
      </w:r>
    </w:p>
    <w:p w14:paraId="7711E954" w14:textId="77777777" w:rsidR="008322BD" w:rsidRPr="00DA0977" w:rsidRDefault="00656313" w:rsidP="00B4722A">
      <w:pPr>
        <w:pStyle w:val="SCCLowerCourtNameLowercase"/>
        <w:spacing w:after="720" w:line="240" w:lineRule="auto"/>
      </w:pPr>
      <w:r w:rsidRPr="00DA0977">
        <w:t>o</w:t>
      </w:r>
      <w:r w:rsidR="00170592" w:rsidRPr="00DA0977">
        <w:t>n</w:t>
      </w:r>
      <w:r w:rsidR="00224FC0" w:rsidRPr="00DA0977">
        <w:t xml:space="preserve"> </w:t>
      </w:r>
      <w:r w:rsidRPr="00DA0977">
        <w:t>a</w:t>
      </w:r>
      <w:r w:rsidR="00170592" w:rsidRPr="00DA0977">
        <w:t>ppeal</w:t>
      </w:r>
      <w:r w:rsidR="00224FC0" w:rsidRPr="00DA0977">
        <w:t xml:space="preserve"> </w:t>
      </w:r>
      <w:r w:rsidR="00170592" w:rsidRPr="00DA0977">
        <w:t>from</w:t>
      </w:r>
      <w:r w:rsidR="009567AA" w:rsidRPr="00DA0977">
        <w:t xml:space="preserve"> the</w:t>
      </w:r>
      <w:r w:rsidR="00224FC0" w:rsidRPr="00DA0977">
        <w:t xml:space="preserve"> </w:t>
      </w:r>
      <w:r w:rsidR="009B57B3" w:rsidRPr="00DA0977">
        <w:t>co</w:t>
      </w:r>
      <w:r w:rsidR="00A35C9E" w:rsidRPr="00DA0977">
        <w:t>urt of appeal for quebec</w:t>
      </w:r>
    </w:p>
    <w:p w14:paraId="1EE98E88" w14:textId="5AB4BED6" w:rsidR="00921261" w:rsidRPr="00DA0977" w:rsidRDefault="00921261" w:rsidP="005E5C24">
      <w:pPr>
        <w:pStyle w:val="SCCNormalDoubleSpacing"/>
        <w:widowControl w:val="0"/>
        <w:spacing w:after="480"/>
        <w:rPr>
          <w:i/>
        </w:rPr>
      </w:pPr>
      <w:r w:rsidRPr="00DA0977">
        <w:tab/>
      </w:r>
      <w:r w:rsidRPr="00DA0977">
        <w:rPr>
          <w:i/>
        </w:rPr>
        <w:t>Constitutional law — Charter of Rights — Cruel and unusual treatment or punishment — Sentencing — Mandatory minimum sentence — Child luring — Accused persons pleading guilty to child luring — Accused persons challenging constitutionality of mandatory minimum sentences of one year’s imprisonment prescribed for child luring as indictable offence and of six months’ imprisonment for child luring punishable on summary conviction — Whether mandatory minimum sentences constitute cruel and unusual punishment — Canadian Cha</w:t>
      </w:r>
      <w:r w:rsidR="002D6933" w:rsidRPr="00DA0977">
        <w:rPr>
          <w:i/>
        </w:rPr>
        <w:t>rter of Rights and Freedoms, s. </w:t>
      </w:r>
      <w:r w:rsidRPr="00DA0977">
        <w:rPr>
          <w:i/>
        </w:rPr>
        <w:t>12 —</w:t>
      </w:r>
      <w:r w:rsidR="002D6933" w:rsidRPr="00DA0977">
        <w:rPr>
          <w:i/>
        </w:rPr>
        <w:t xml:space="preserve"> Criminal Code, R.S.C. 1985, c. C</w:t>
      </w:r>
      <w:r w:rsidR="002D6933" w:rsidRPr="00DA0977">
        <w:rPr>
          <w:i/>
        </w:rPr>
        <w:noBreakHyphen/>
        <w:t>46, s. </w:t>
      </w:r>
      <w:r w:rsidRPr="00DA0977">
        <w:rPr>
          <w:i/>
        </w:rPr>
        <w:t>172.1(2)(a), (b).</w:t>
      </w:r>
    </w:p>
    <w:p w14:paraId="04B1EE28" w14:textId="49255397" w:rsidR="00921261" w:rsidRPr="00DA0977" w:rsidRDefault="00921261" w:rsidP="005E5C24">
      <w:pPr>
        <w:pStyle w:val="SCCNormalDoubleSpacing"/>
        <w:widowControl w:val="0"/>
        <w:spacing w:after="480"/>
        <w:rPr>
          <w:i/>
        </w:rPr>
      </w:pPr>
      <w:r w:rsidRPr="00DA0977">
        <w:rPr>
          <w:i/>
        </w:rPr>
        <w:lastRenderedPageBreak/>
        <w:tab/>
        <w:t xml:space="preserve">Criminal law — Sentencing — Considerations — Child luring — Accused person pleading guilty to child luring and sexual interference — Sentencing judge imposing sentence of </w:t>
      </w:r>
      <w:r w:rsidR="00661793" w:rsidRPr="00DA0977">
        <w:rPr>
          <w:i/>
        </w:rPr>
        <w:t>five</w:t>
      </w:r>
      <w:r w:rsidRPr="00DA0977">
        <w:rPr>
          <w:i/>
        </w:rPr>
        <w:t xml:space="preserve"> months’ imprisonment for child luring to be served concurrently to sentence for sexual interference — Majority of Court of Appeal upholding sentencing judge’s decision — Whether accused person’s sentence for child luring was fit.</w:t>
      </w:r>
    </w:p>
    <w:p w14:paraId="5590F330" w14:textId="73B67F8F" w:rsidR="00921261" w:rsidRPr="00DA0977" w:rsidRDefault="00921261" w:rsidP="00921261">
      <w:pPr>
        <w:pStyle w:val="SCCNormalDoubleSpacing"/>
        <w:widowControl w:val="0"/>
        <w:spacing w:after="480"/>
      </w:pPr>
      <w:r w:rsidRPr="00DA0977">
        <w:tab/>
        <w:t>M pleaded guilty to one count of sexual i</w:t>
      </w:r>
      <w:r w:rsidR="002D6933" w:rsidRPr="00DA0977">
        <w:t>nterference contrary to s. </w:t>
      </w:r>
      <w:r w:rsidRPr="00DA0977">
        <w:t xml:space="preserve">151(a) of the </w:t>
      </w:r>
      <w:r w:rsidRPr="00DA0977">
        <w:rPr>
          <w:i/>
        </w:rPr>
        <w:t>Criminal Code</w:t>
      </w:r>
      <w:r w:rsidR="00C5589D" w:rsidRPr="00DA0977">
        <w:t xml:space="preserve"> </w:t>
      </w:r>
      <w:r w:rsidRPr="00DA0977">
        <w:t>and to one count of luring a child contrary to s. 172.1(1)(b). M met the victim in person when he was 22 and she was 13 years old</w:t>
      </w:r>
      <w:r w:rsidRPr="00DA0977">
        <w:rPr>
          <w:szCs w:val="24"/>
        </w:rPr>
        <w:t xml:space="preserve">. He </w:t>
      </w:r>
      <w:r w:rsidR="00C5589D" w:rsidRPr="00DA0977">
        <w:rPr>
          <w:szCs w:val="24"/>
        </w:rPr>
        <w:t>then</w:t>
      </w:r>
      <w:r w:rsidRPr="00DA0977">
        <w:rPr>
          <w:szCs w:val="24"/>
        </w:rPr>
        <w:t xml:space="preserve"> sent her a friend request on Facebook and,</w:t>
      </w:r>
      <w:r w:rsidR="00C5589D" w:rsidRPr="00DA0977">
        <w:rPr>
          <w:szCs w:val="24"/>
        </w:rPr>
        <w:t xml:space="preserve"> </w:t>
      </w:r>
      <w:r w:rsidRPr="00DA0977">
        <w:rPr>
          <w:szCs w:val="24"/>
        </w:rPr>
        <w:t>for the following</w:t>
      </w:r>
      <w:r w:rsidRPr="00DA0977">
        <w:t xml:space="preserve"> two years, they were in contact on social media and also met in person, and had illegal sexual intercourse four separate times.</w:t>
      </w:r>
      <w:r w:rsidRPr="00DA0977">
        <w:rPr>
          <w:szCs w:val="24"/>
        </w:rPr>
        <w:t xml:space="preserve"> </w:t>
      </w:r>
      <w:r w:rsidRPr="00DA0977">
        <w:t>At sentenci</w:t>
      </w:r>
      <w:r w:rsidR="002D6933" w:rsidRPr="00DA0977">
        <w:t>ng, M challenged the one</w:t>
      </w:r>
      <w:r w:rsidR="002D6933" w:rsidRPr="00DA0977">
        <w:noBreakHyphen/>
      </w:r>
      <w:r w:rsidRPr="00DA0977">
        <w:t>year mandatory minimum period o</w:t>
      </w:r>
      <w:r w:rsidR="002D6933" w:rsidRPr="00DA0977">
        <w:t>f incarceration set out in s. </w:t>
      </w:r>
      <w:r w:rsidRPr="00DA0977">
        <w:t>172.1(2)(a) for persons found guilty of the indictable offence of luring a child, on the basis that i</w:t>
      </w:r>
      <w:r w:rsidR="002D6933" w:rsidRPr="00DA0977">
        <w:t>t was inconsistent with s. </w:t>
      </w:r>
      <w:r w:rsidRPr="00DA0977">
        <w:t xml:space="preserve">12 of the </w:t>
      </w:r>
      <w:r w:rsidRPr="00DA0977">
        <w:rPr>
          <w:i/>
        </w:rPr>
        <w:t>Charter</w:t>
      </w:r>
      <w:r w:rsidRPr="00DA0977">
        <w:t>, which protects against cruel and unusual punishment. The sentencing judge sentenced M to five months’ imprisonment on the count of luring, to be serve</w:t>
      </w:r>
      <w:r w:rsidR="00C5589D" w:rsidRPr="00DA0977">
        <w:t xml:space="preserve">d concurrently to the sentence </w:t>
      </w:r>
      <w:r w:rsidRPr="00DA0977">
        <w:t>imposed on the count of sexual interference. The judge found the mandatory minimum sentence</w:t>
      </w:r>
      <w:r w:rsidR="002D6933" w:rsidRPr="00DA0977">
        <w:t xml:space="preserve"> infringed s. </w:t>
      </w:r>
      <w:r w:rsidRPr="00DA0977">
        <w:t xml:space="preserve">12 of the </w:t>
      </w:r>
      <w:r w:rsidRPr="00DA0977">
        <w:rPr>
          <w:i/>
        </w:rPr>
        <w:t>Charter</w:t>
      </w:r>
      <w:r w:rsidRPr="00DA0977">
        <w:t xml:space="preserve"> as it would be grossly disproportionate to the fit sentence of five months. The majority of the Court of Appeal upheld both the sentence imposed for luring and the conclusion that the mandatory minimum sentence was unconstitutional. The Crown appeals the fitness of M’s sentence for luring and asks the Court to find the mandatory minimum sentence in </w:t>
      </w:r>
      <w:r w:rsidR="002D6933" w:rsidRPr="00DA0977">
        <w:lastRenderedPageBreak/>
        <w:t>s. 172.1(2)(a) constitutional.</w:t>
      </w:r>
    </w:p>
    <w:p w14:paraId="34CE5BB8" w14:textId="034FC364" w:rsidR="00921261" w:rsidRPr="00DA0977" w:rsidRDefault="00921261" w:rsidP="00921261">
      <w:pPr>
        <w:pStyle w:val="SCCNormalDoubleSpacing"/>
        <w:widowControl w:val="0"/>
        <w:spacing w:after="480"/>
        <w:rPr>
          <w:strike/>
          <w:lang w:val="en-US"/>
        </w:rPr>
      </w:pPr>
      <w:r w:rsidRPr="00DA0977">
        <w:tab/>
        <w:t xml:space="preserve">V </w:t>
      </w:r>
      <w:r w:rsidRPr="00DA0977">
        <w:rPr>
          <w:rFonts w:eastAsiaTheme="minorHAnsi"/>
        </w:rPr>
        <w:t xml:space="preserve">pleaded guilty to one count of luring a child contrary to s. 172.1(1)(a) of the </w:t>
      </w:r>
      <w:r w:rsidRPr="00DA0977">
        <w:rPr>
          <w:rFonts w:eastAsiaTheme="minorHAnsi"/>
          <w:i/>
        </w:rPr>
        <w:t>Criminal Code</w:t>
      </w:r>
      <w:r w:rsidR="00C5589D" w:rsidRPr="00DA0977">
        <w:rPr>
          <w:rFonts w:eastAsiaTheme="minorHAnsi"/>
        </w:rPr>
        <w:t xml:space="preserve">. </w:t>
      </w:r>
      <w:r w:rsidRPr="00DA0977">
        <w:rPr>
          <w:rFonts w:eastAsiaTheme="minorHAnsi"/>
        </w:rPr>
        <w:t xml:space="preserve">V sent sexual text messages to the victim over a period of 10 days. </w:t>
      </w:r>
      <w:r w:rsidRPr="00DA0977">
        <w:rPr>
          <w:lang w:val="en-US"/>
        </w:rPr>
        <w:t xml:space="preserve">At sentencing, V </w:t>
      </w:r>
      <w:r w:rsidRPr="00DA0977">
        <w:t>challenged</w:t>
      </w:r>
      <w:r w:rsidR="002D6933" w:rsidRPr="00DA0977">
        <w:t xml:space="preserve"> the six</w:t>
      </w:r>
      <w:r w:rsidR="002D6933" w:rsidRPr="00DA0977">
        <w:noBreakHyphen/>
      </w:r>
      <w:r w:rsidRPr="00DA0977">
        <w:t>month mandatory minimum sentence set out in</w:t>
      </w:r>
      <w:r w:rsidR="00C5589D" w:rsidRPr="00DA0977">
        <w:t xml:space="preserve"> s. 172.1(2)(</w:t>
      </w:r>
      <w:r w:rsidR="00661793" w:rsidRPr="00DA0977">
        <w:t>b</w:t>
      </w:r>
      <w:r w:rsidR="00C5589D" w:rsidRPr="00DA0977">
        <w:t xml:space="preserve">) </w:t>
      </w:r>
      <w:r w:rsidRPr="00DA0977">
        <w:t>for persons found guilty of the offence of luring punishable on summary conviction,</w:t>
      </w:r>
      <w:r w:rsidR="00C5589D" w:rsidRPr="00DA0977">
        <w:t xml:space="preserve"> </w:t>
      </w:r>
      <w:r w:rsidRPr="00DA0977">
        <w:t xml:space="preserve">on the basis that it violated s. 12 of the </w:t>
      </w:r>
      <w:r w:rsidRPr="00DA0977">
        <w:rPr>
          <w:i/>
        </w:rPr>
        <w:t>Charter</w:t>
      </w:r>
      <w:r w:rsidRPr="00DA0977">
        <w:t xml:space="preserve">. The sentencing judge imposed a sentence of </w:t>
      </w:r>
      <w:r w:rsidR="00661793" w:rsidRPr="00DA0977">
        <w:t>two</w:t>
      </w:r>
      <w:r w:rsidRPr="00DA0977">
        <w:t xml:space="preserve"> years’ probation and 150 hours of community service after finding that the mandatory minimum sentence would be grossly disproportionate to the fit sentence.</w:t>
      </w:r>
      <w:r w:rsidRPr="00DA0977">
        <w:rPr>
          <w:color w:val="000000"/>
        </w:rPr>
        <w:t xml:space="preserve"> </w:t>
      </w:r>
      <w:r w:rsidRPr="00DA0977">
        <w:t xml:space="preserve">On appeal, the Superior Court varied the sentence to four months’ imprisonment. The court then determined that the mandatory minimum sentence </w:t>
      </w:r>
      <w:r w:rsidR="002D6933" w:rsidRPr="00DA0977">
        <w:t>infringed s. </w:t>
      </w:r>
      <w:r w:rsidRPr="00DA0977">
        <w:t>12 since, although it was not grossly disproportionate to V’s fit sentence of four months, it would be when applied to reasonably foreseeable scenarios. The Court of Appeal upheld that decision. The fitness of V’s sentence is not challenged before the Court. The Crown asks the Court to find the m</w:t>
      </w:r>
      <w:r w:rsidR="002D6933" w:rsidRPr="00DA0977">
        <w:t>andatory minimum sentence in s. </w:t>
      </w:r>
      <w:r w:rsidRPr="00DA0977">
        <w:t>172.1(2)(b) constitutional.</w:t>
      </w:r>
    </w:p>
    <w:p w14:paraId="6BA16F2B" w14:textId="1DAF9084" w:rsidR="00921261" w:rsidRPr="00DA0977" w:rsidRDefault="00921261" w:rsidP="00921261">
      <w:pPr>
        <w:pStyle w:val="SCCNormalDoubleSpacing"/>
        <w:widowControl w:val="0"/>
        <w:spacing w:after="480"/>
      </w:pPr>
      <w:r w:rsidRPr="00DA0977">
        <w:tab/>
      </w:r>
      <w:r w:rsidRPr="00DA0977">
        <w:rPr>
          <w:rStyle w:val="QuoteChar"/>
          <w:color w:val="auto"/>
          <w:lang w:val="en-CA"/>
        </w:rPr>
        <w:t xml:space="preserve">Held </w:t>
      </w:r>
      <w:r w:rsidRPr="00DA0977">
        <w:rPr>
          <w:rStyle w:val="QuoteChar"/>
          <w:i w:val="0"/>
          <w:color w:val="auto"/>
          <w:lang w:val="en-CA"/>
        </w:rPr>
        <w:t>(Côté J. dissenting in part):</w:t>
      </w:r>
      <w:r w:rsidRPr="00DA0977">
        <w:t xml:space="preserve"> The appeal in M’s case should be allowed in part. The appeal in</w:t>
      </w:r>
      <w:r w:rsidR="002D6933" w:rsidRPr="00DA0977">
        <w:t xml:space="preserve"> V’s case should be dismissed.</w:t>
      </w:r>
    </w:p>
    <w:p w14:paraId="2B32AFD8" w14:textId="7E6D1E10" w:rsidR="00921261" w:rsidRPr="00DA0977" w:rsidRDefault="00921261" w:rsidP="00921261">
      <w:pPr>
        <w:pStyle w:val="SCCNormalDoubleSpacing"/>
        <w:widowControl w:val="0"/>
        <w:spacing w:after="480"/>
      </w:pPr>
      <w:r w:rsidRPr="00DA0977">
        <w:tab/>
      </w:r>
      <w:r w:rsidRPr="00DA0977">
        <w:rPr>
          <w:i/>
        </w:rPr>
        <w:t xml:space="preserve">Per </w:t>
      </w:r>
      <w:r w:rsidRPr="00DA0977">
        <w:t xml:space="preserve">Karakatsanis, Rowe, </w:t>
      </w:r>
      <w:r w:rsidRPr="00DA0977">
        <w:rPr>
          <w:b/>
        </w:rPr>
        <w:t>Martin</w:t>
      </w:r>
      <w:r w:rsidRPr="00DA0977">
        <w:t xml:space="preserve">, Kasirer, Jamal and O’Bonsawin JJ.: M’s sentence for luring a child should be increased from 5 months’ to 12 months’ imprisonment, and it should be served consecutively, not concurrently, to his sentence for sexual interference. </w:t>
      </w:r>
      <w:r w:rsidR="001C2954" w:rsidRPr="00DA0977">
        <w:t>T</w:t>
      </w:r>
      <w:r w:rsidRPr="00DA0977">
        <w:t xml:space="preserve">he mandatory minimum sentences for luring a child set out in </w:t>
      </w:r>
      <w:r w:rsidRPr="00DA0977">
        <w:lastRenderedPageBreak/>
        <w:t xml:space="preserve">s. 172.1(2)(a) and (b) of the </w:t>
      </w:r>
      <w:r w:rsidRPr="00DA0977">
        <w:rPr>
          <w:i/>
        </w:rPr>
        <w:t>Criminal Code</w:t>
      </w:r>
      <w:r w:rsidRPr="00DA0977">
        <w:t xml:space="preserve"> are</w:t>
      </w:r>
      <w:r w:rsidR="002D6933" w:rsidRPr="00DA0977">
        <w:t xml:space="preserve"> inconsistent with s. </w:t>
      </w:r>
      <w:r w:rsidRPr="00DA0977">
        <w:t xml:space="preserve">12 of the </w:t>
      </w:r>
      <w:r w:rsidRPr="00DA0977">
        <w:rPr>
          <w:i/>
        </w:rPr>
        <w:t>Charter</w:t>
      </w:r>
      <w:r w:rsidR="002D6933" w:rsidRPr="00DA0977">
        <w:t>, are not saved by s. </w:t>
      </w:r>
      <w:r w:rsidRPr="00DA0977">
        <w:t xml:space="preserve">1 and therefore are of no force or effect under s. 52 of the </w:t>
      </w:r>
      <w:r w:rsidRPr="00DA0977">
        <w:rPr>
          <w:i/>
        </w:rPr>
        <w:t>Constitution Act, 1982</w:t>
      </w:r>
      <w:r w:rsidRPr="00DA0977">
        <w:t>.</w:t>
      </w:r>
    </w:p>
    <w:p w14:paraId="5290C89C" w14:textId="26077559" w:rsidR="00921261" w:rsidRPr="00DA0977" w:rsidRDefault="00921261" w:rsidP="00921261">
      <w:pPr>
        <w:pStyle w:val="SCCNormalDoubleSpacing"/>
        <w:widowControl w:val="0"/>
        <w:spacing w:after="480"/>
      </w:pPr>
      <w:r w:rsidRPr="00DA0977">
        <w:tab/>
        <w:t xml:space="preserve">To protect a range of social interests, namely the vulnerability and exploitation of children facilitated by the internet, Parliament enacted the offence </w:t>
      </w:r>
      <w:r w:rsidR="00751A25" w:rsidRPr="00DA0977">
        <w:t>of luring a child at s. </w:t>
      </w:r>
      <w:r w:rsidRPr="00DA0977">
        <w:t xml:space="preserve">172.1 of the </w:t>
      </w:r>
      <w:r w:rsidRPr="00DA0977">
        <w:rPr>
          <w:i/>
        </w:rPr>
        <w:t>Criminal Code</w:t>
      </w:r>
      <w:r w:rsidRPr="00DA0977">
        <w:t>. The offence has three elements</w:t>
      </w:r>
      <w:r w:rsidR="002D6933" w:rsidRPr="00DA0977">
        <w:t>: (1) </w:t>
      </w:r>
      <w:r w:rsidRPr="00DA0977">
        <w:t>the accused must communicate intentionally</w:t>
      </w:r>
      <w:r w:rsidRPr="00DA0977">
        <w:rPr>
          <w:i/>
        </w:rPr>
        <w:t xml:space="preserve"> </w:t>
      </w:r>
      <w:r w:rsidR="002D6933" w:rsidRPr="00DA0977">
        <w:t>by telecommunication; (2) </w:t>
      </w:r>
      <w:r w:rsidRPr="00DA0977">
        <w:t>with someone the accused knows or believes is</w:t>
      </w:r>
      <w:r w:rsidR="002D6933" w:rsidRPr="00DA0977">
        <w:t xml:space="preserve"> under 18 years of age, and (3) </w:t>
      </w:r>
      <w:r w:rsidRPr="00DA0977">
        <w:t>for the specific purpose of facilitating the commission of a designated secondary offence</w:t>
      </w:r>
      <w:r w:rsidR="002D6933" w:rsidRPr="00DA0977">
        <w:t xml:space="preserve"> listed in s. </w:t>
      </w:r>
      <w:r w:rsidRPr="00DA0977">
        <w:t>172.1</w:t>
      </w:r>
      <w:r w:rsidR="00661793" w:rsidRPr="00DA0977">
        <w:t>(1)</w:t>
      </w:r>
      <w:r w:rsidRPr="00DA0977">
        <w:t xml:space="preserve"> with respect to the underage person. Parliament’s creation of this inchoate preparatory offence that criminalizes communications that precede the perpetration of other designated secondary offences indicates that luring generates harms that are different from those secondary offences and i</w:t>
      </w:r>
      <w:r w:rsidR="00C5589D" w:rsidRPr="00DA0977">
        <w:t>s</w:t>
      </w:r>
      <w:r w:rsidRPr="00DA0977">
        <w:t xml:space="preserve"> sufficiently wrongful and harmful to ground criminal liability. Child luring is a hybrid offence that carries a mandatory minimum sentence of one year’s imprisonment if the offender is guilty of an indictable offence (s. 172.1(2)(a)) and </w:t>
      </w:r>
      <w:r w:rsidR="00C5589D" w:rsidRPr="00DA0977">
        <w:t>of</w:t>
      </w:r>
      <w:r w:rsidRPr="00DA0977">
        <w:t xml:space="preserve"> six months’ </w:t>
      </w:r>
      <w:r w:rsidR="00C5589D" w:rsidRPr="00DA0977">
        <w:t>imprisonment</w:t>
      </w:r>
      <w:r w:rsidRPr="00DA0977">
        <w:t xml:space="preserve"> if the offender is guilty of an offence punish</w:t>
      </w:r>
      <w:r w:rsidR="00C5589D" w:rsidRPr="00DA0977">
        <w:t>able on</w:t>
      </w:r>
      <w:r w:rsidR="002D6933" w:rsidRPr="00DA0977">
        <w:t xml:space="preserve"> summary conviction (s. </w:t>
      </w:r>
      <w:r w:rsidRPr="00DA0977">
        <w:t>172.1(2)(b)).</w:t>
      </w:r>
    </w:p>
    <w:p w14:paraId="176CEC08" w14:textId="364C628D" w:rsidR="00921261" w:rsidRPr="00DA0977" w:rsidRDefault="00921261" w:rsidP="00921261">
      <w:pPr>
        <w:pStyle w:val="SCCNormalDoubleSpacing"/>
        <w:widowControl w:val="0"/>
        <w:spacing w:after="480"/>
        <w:rPr>
          <w:szCs w:val="24"/>
        </w:rPr>
      </w:pPr>
      <w:r w:rsidRPr="00DA0977">
        <w:tab/>
        <w:t xml:space="preserve">Pursuant to s. 718.1 of the </w:t>
      </w:r>
      <w:r w:rsidRPr="00DA0977">
        <w:rPr>
          <w:i/>
        </w:rPr>
        <w:t>Criminal</w:t>
      </w:r>
      <w:r w:rsidRPr="00DA0977">
        <w:t xml:space="preserve"> </w:t>
      </w:r>
      <w:r w:rsidRPr="00DA0977">
        <w:rPr>
          <w:i/>
        </w:rPr>
        <w:t>Code</w:t>
      </w:r>
      <w:r w:rsidRPr="00DA0977">
        <w:t xml:space="preserve">, a sentence must be proportionate to the gravity of the offence and the degree of responsibility of the offender. A fit and proportionate sentence must be crafted based on the particular facts of the case and in light of existing legislation and case law. Furthermore, in s. 718.01, </w:t>
      </w:r>
      <w:r w:rsidRPr="00DA0977">
        <w:lastRenderedPageBreak/>
        <w:t xml:space="preserve">Parliament has specifically indicated that in sentencing offences involving abuse of children, including child luring, the objectives of denunciation and deterrence must be given primary consideration. While a judge can accord significant weight to other sentencing objectives, including rehabilitation, the provision limits judicial discretion as a judge cannot give these other objectives precedence or equivalency. In addition to the steps that Parliament has taken to punish the various forms that abuse of children may take, the Court’s decision in </w:t>
      </w:r>
      <w:r w:rsidRPr="00DA0977">
        <w:rPr>
          <w:i/>
          <w:szCs w:val="24"/>
        </w:rPr>
        <w:t>R. v. Friesen</w:t>
      </w:r>
      <w:r w:rsidRPr="00DA0977">
        <w:rPr>
          <w:szCs w:val="24"/>
        </w:rPr>
        <w:t xml:space="preserve">, 2020 SCC 9, [2020] 1 S.C.R. 424, </w:t>
      </w:r>
      <w:r w:rsidRPr="00DA0977">
        <w:t xml:space="preserve">sets out sentencing principles for sexual offences against children to </w:t>
      </w:r>
      <w:r w:rsidRPr="00DA0977">
        <w:rPr>
          <w:szCs w:val="24"/>
        </w:rPr>
        <w:t xml:space="preserve">fully reflect and give effect to the profound wrongfulness and harmfulness of these crimes. </w:t>
      </w:r>
      <w:r w:rsidRPr="00DA0977">
        <w:rPr>
          <w:i/>
          <w:szCs w:val="24"/>
          <w:lang w:val="en-US"/>
        </w:rPr>
        <w:t xml:space="preserve">Friesen </w:t>
      </w:r>
      <w:r w:rsidRPr="00DA0977">
        <w:rPr>
          <w:szCs w:val="24"/>
          <w:lang w:val="en-US"/>
        </w:rPr>
        <w:t>sends the clear message that s</w:t>
      </w:r>
      <w:r w:rsidRPr="00DA0977">
        <w:rPr>
          <w:szCs w:val="24"/>
        </w:rPr>
        <w:t>entences for these crimes</w:t>
      </w:r>
      <w:r w:rsidR="002D6933" w:rsidRPr="00DA0977">
        <w:rPr>
          <w:szCs w:val="24"/>
        </w:rPr>
        <w:t xml:space="preserve"> must account for the far</w:t>
      </w:r>
      <w:r w:rsidR="002D6933" w:rsidRPr="00DA0977">
        <w:rPr>
          <w:szCs w:val="24"/>
        </w:rPr>
        <w:noBreakHyphen/>
      </w:r>
      <w:r w:rsidRPr="00DA0977">
        <w:rPr>
          <w:szCs w:val="24"/>
        </w:rPr>
        <w:t>reaching and ongoing damage sexual violence causes to children, families and society at large.</w:t>
      </w:r>
    </w:p>
    <w:p w14:paraId="48A79CD6" w14:textId="5BC1EC0E" w:rsidR="00921261" w:rsidRPr="00DA0977" w:rsidRDefault="00921261" w:rsidP="00921261">
      <w:pPr>
        <w:pStyle w:val="SCCNormalDoubleSpacing"/>
        <w:widowControl w:val="0"/>
        <w:spacing w:after="480"/>
      </w:pPr>
      <w:r w:rsidRPr="00DA0977">
        <w:rPr>
          <w:szCs w:val="24"/>
        </w:rPr>
        <w:tab/>
        <w:t xml:space="preserve">With respect to the offence of child luring, </w:t>
      </w:r>
      <w:r w:rsidRPr="00DA0977">
        <w:t>understanding its wrongfulness and distinct harmfulness is integral to properly assessing its gravity and the degree of responsibility of the offender, as well as to avoiding stereotypical reasoning and the misidentification of aggravating and mitigating factors.</w:t>
      </w:r>
      <w:r w:rsidRPr="00DA0977">
        <w:rPr>
          <w:szCs w:val="24"/>
        </w:rPr>
        <w:t xml:space="preserve"> </w:t>
      </w:r>
      <w:r w:rsidRPr="00DA0977">
        <w:t>Luring is wrongful, as adults take advantage of a child’s weaker position and lack of experience online where they are particularly exposed and helpless, which repudiates the fundamental value of protecting children. Luring invades a child’s personal autonomy, sexual integrity, and gravely wounds their dignity.</w:t>
      </w:r>
      <w:r w:rsidRPr="00DA0977">
        <w:rPr>
          <w:szCs w:val="24"/>
        </w:rPr>
        <w:t xml:space="preserve"> </w:t>
      </w:r>
      <w:r w:rsidRPr="00DA0977">
        <w:t>Even when the only interactions with the child occur online, the offender’s conduct is inherently wrong because it still constitutes a form of sexual abuse.</w:t>
      </w:r>
    </w:p>
    <w:p w14:paraId="6138A4D8" w14:textId="00EC5E2E" w:rsidR="00921261" w:rsidRPr="00DA0977" w:rsidRDefault="00921261" w:rsidP="00921261">
      <w:pPr>
        <w:pStyle w:val="SCCNormalDoubleSpacing"/>
        <w:widowControl w:val="0"/>
        <w:spacing w:after="480"/>
      </w:pPr>
      <w:r w:rsidRPr="00DA0977">
        <w:lastRenderedPageBreak/>
        <w:tab/>
        <w:t>Furthermore, luring is harmful as it can constitute a form of psychological sexual violence, bringing about serious emotional and psychological harm. It also causes distinct psychological and developmental harms to young victims that differ in two main ways from harms arising from sexual contact initiated in person. First, o</w:t>
      </w:r>
      <w:r w:rsidRPr="00DA0977">
        <w:rPr>
          <w:szCs w:val="24"/>
        </w:rPr>
        <w:t xml:space="preserve">nline communications allow for abusers to abuse remotely and for manipulation and control over time, which can lead to serious and lasting psychological consequences. Second, an offender’s power and effectiveness online lies in the degree to which they can control the victim and manipulate them into engaging with the abuse, </w:t>
      </w:r>
      <w:r w:rsidR="00657859" w:rsidRPr="00DA0977">
        <w:t>which may cause a</w:t>
      </w:r>
      <w:r w:rsidRPr="00DA0977">
        <w:t xml:space="preserve"> victim to feel they actively participated in their own abuse, thereby increasing</w:t>
      </w:r>
      <w:r w:rsidR="00751A25" w:rsidRPr="00DA0977">
        <w:t xml:space="preserve"> self</w:t>
      </w:r>
      <w:r w:rsidR="00751A25" w:rsidRPr="00DA0977">
        <w:noBreakHyphen/>
      </w:r>
      <w:r w:rsidRPr="00DA0977">
        <w:t xml:space="preserve">blame and shame. Although identifying the distinct harms of luring </w:t>
      </w:r>
      <w:r w:rsidR="00657859" w:rsidRPr="00DA0977">
        <w:t xml:space="preserve">is difficult, </w:t>
      </w:r>
      <w:r w:rsidRPr="00DA0977">
        <w:t xml:space="preserve">one way </w:t>
      </w:r>
      <w:r w:rsidR="00657859" w:rsidRPr="00DA0977">
        <w:t>for</w:t>
      </w:r>
      <w:r w:rsidRPr="00DA0977">
        <w:t xml:space="preserve"> courts t</w:t>
      </w:r>
      <w:r w:rsidR="00657859" w:rsidRPr="00DA0977">
        <w:t>o do so is by</w:t>
      </w:r>
      <w:r w:rsidRPr="00DA0977">
        <w:t xml:space="preserve"> differentiating between contact</w:t>
      </w:r>
      <w:r w:rsidRPr="00DA0977">
        <w:noBreakHyphen/>
        <w:t>driven luring, where the offe</w:t>
      </w:r>
      <w:r w:rsidR="002D6933" w:rsidRPr="00DA0977">
        <w:t>nder’s goal is to facilitate in</w:t>
      </w:r>
      <w:r w:rsidR="002D6933" w:rsidRPr="00DA0977">
        <w:noBreakHyphen/>
      </w:r>
      <w:r w:rsidRPr="00DA0977">
        <w:t>person sexual abuse, and luring that leads to sexual abuse occurring entirely online. Contact</w:t>
      </w:r>
      <w:r w:rsidRPr="00DA0977">
        <w:noBreakHyphen/>
        <w:t>driven luring is not necessarily more or less harmful than luring that leads to sexual abuse that occurs entirely online. The severity of the harm caused by the online communication will depend on the individual offender, the individual characteristics of the victim, and the unique dynamic between the offender and the victim.</w:t>
      </w:r>
    </w:p>
    <w:p w14:paraId="5518C9E9" w14:textId="3C6B46AD" w:rsidR="00921261" w:rsidRPr="00DA0977" w:rsidRDefault="00921261" w:rsidP="00921261">
      <w:pPr>
        <w:pStyle w:val="SCCNormalDoubleSpacing"/>
        <w:widowControl w:val="0"/>
        <w:spacing w:after="480"/>
        <w:rPr>
          <w:szCs w:val="24"/>
        </w:rPr>
      </w:pPr>
      <w:r w:rsidRPr="00DA0977">
        <w:tab/>
        <w:t>Parliament has consistently raised sentences for s</w:t>
      </w:r>
      <w:r w:rsidR="00657859" w:rsidRPr="00DA0977">
        <w:t>exual offences against children</w:t>
      </w:r>
      <w:r w:rsidRPr="00DA0977">
        <w:t xml:space="preserve"> </w:t>
      </w:r>
      <w:r w:rsidRPr="00DA0977">
        <w:rPr>
          <w:szCs w:val="24"/>
        </w:rPr>
        <w:t xml:space="preserve">to reflect a growing awareness of their gravity, and </w:t>
      </w:r>
      <w:r w:rsidRPr="00DA0977">
        <w:t xml:space="preserve">to indicate the serious emotional and psychological harms they cause for victims. </w:t>
      </w:r>
      <w:r w:rsidRPr="00DA0977">
        <w:rPr>
          <w:szCs w:val="24"/>
        </w:rPr>
        <w:t xml:space="preserve">Given the wrongfulness and distinct harms of luring, </w:t>
      </w:r>
      <w:r w:rsidRPr="00DA0977">
        <w:t xml:space="preserve">this same increasingly punitive trend applies to that offence. Appellate intervention in a sentencing judge’s decision will be justified only if a </w:t>
      </w:r>
      <w:r w:rsidRPr="00DA0977">
        <w:lastRenderedPageBreak/>
        <w:t xml:space="preserve">sentence is demonstrably unfit or if the judge committed an error in principle that impacted the sentence imposed. In M’s case, the sentencing judge committed errors in principle that impacted the assigned sentence of </w:t>
      </w:r>
      <w:r w:rsidR="00661793" w:rsidRPr="00DA0977">
        <w:t>five</w:t>
      </w:r>
      <w:r w:rsidRPr="00DA0977">
        <w:t xml:space="preserve"> months’ imprisonment </w:t>
      </w:r>
      <w:r w:rsidR="000B1076" w:rsidRPr="00DA0977">
        <w:t xml:space="preserve">ordered to be </w:t>
      </w:r>
      <w:r w:rsidR="00657859" w:rsidRPr="00DA0977">
        <w:t>served concurrently and</w:t>
      </w:r>
      <w:r w:rsidRPr="00DA0977">
        <w:t xml:space="preserve"> that warranted </w:t>
      </w:r>
      <w:r w:rsidR="00657859" w:rsidRPr="00DA0977">
        <w:t xml:space="preserve">appellate intervention that the </w:t>
      </w:r>
      <w:r w:rsidRPr="00DA0977">
        <w:t>majority of the Court of Appeal failed to undertake. Speci</w:t>
      </w:r>
      <w:r w:rsidR="00362111" w:rsidRPr="00DA0977">
        <w:t>fically, the judge erred by (1) </w:t>
      </w:r>
      <w:r w:rsidRPr="00DA0977">
        <w:t>minimizing the harm caused to the victim by failing to recogn</w:t>
      </w:r>
      <w:r w:rsidR="00657859" w:rsidRPr="00DA0977">
        <w:t>ize the grooming that did occur</w:t>
      </w:r>
      <w:r w:rsidRPr="00DA0977">
        <w:t>, which should have served as an aggravating factor on sentencing</w:t>
      </w:r>
      <w:r w:rsidR="00362111" w:rsidRPr="00DA0977">
        <w:t>; (2) </w:t>
      </w:r>
      <w:r w:rsidRPr="00DA0977">
        <w:t>misconstruing the offender’s actions, which caused her to unduly minimize the wrongfulness and harms of the luring offence</w:t>
      </w:r>
      <w:r w:rsidR="00362111" w:rsidRPr="00DA0977">
        <w:t>; and (3) </w:t>
      </w:r>
      <w:r w:rsidRPr="00DA0977">
        <w:t>assigning a concurrent sentence for the luring offence. To properly account for the distinct legal interests that the luring offence protects</w:t>
      </w:r>
      <w:r w:rsidRPr="00DA0977">
        <w:rPr>
          <w:szCs w:val="24"/>
        </w:rPr>
        <w:t xml:space="preserve">, that is, </w:t>
      </w:r>
      <w:r w:rsidRPr="00DA0977">
        <w:t xml:space="preserve">the vulnerability and exploitation of children facilitated by the internet, the sentences should have been consecutive. </w:t>
      </w:r>
      <w:r w:rsidRPr="00DA0977">
        <w:rPr>
          <w:szCs w:val="24"/>
        </w:rPr>
        <w:t xml:space="preserve">Parliament’s legislative initiatives, the distinct harm caused by the online communication, and the aggravating and mitigating factors </w:t>
      </w:r>
      <w:r w:rsidR="00657859" w:rsidRPr="00DA0977">
        <w:rPr>
          <w:szCs w:val="24"/>
        </w:rPr>
        <w:t>instead</w:t>
      </w:r>
      <w:r w:rsidRPr="00DA0977">
        <w:rPr>
          <w:szCs w:val="24"/>
        </w:rPr>
        <w:t xml:space="preserve"> justify a sentence of 1</w:t>
      </w:r>
      <w:r w:rsidR="00362111" w:rsidRPr="00DA0977">
        <w:rPr>
          <w:szCs w:val="24"/>
        </w:rPr>
        <w:t xml:space="preserve">2 months’ imprisonment </w:t>
      </w:r>
      <w:r w:rsidR="00657859" w:rsidRPr="00DA0977">
        <w:rPr>
          <w:szCs w:val="24"/>
        </w:rPr>
        <w:t>for M</w:t>
      </w:r>
      <w:r w:rsidR="00362111" w:rsidRPr="00DA0977">
        <w:rPr>
          <w:szCs w:val="24"/>
        </w:rPr>
        <w:t>.</w:t>
      </w:r>
    </w:p>
    <w:p w14:paraId="3306C883" w14:textId="376C2B87" w:rsidR="00921261" w:rsidRPr="00DA0977" w:rsidRDefault="00921261" w:rsidP="00921261">
      <w:pPr>
        <w:pStyle w:val="SCCNormalDoubleSpacing"/>
        <w:widowControl w:val="0"/>
        <w:spacing w:after="480"/>
      </w:pPr>
      <w:r w:rsidRPr="00DA0977">
        <w:tab/>
        <w:t xml:space="preserve">For a mandatory minimum sentence to be found unconstitutional pursuant to s. 12 of the </w:t>
      </w:r>
      <w:r w:rsidRPr="00DA0977">
        <w:rPr>
          <w:i/>
          <w:iCs/>
        </w:rPr>
        <w:t>Charter</w:t>
      </w:r>
      <w:r w:rsidRPr="00DA0977">
        <w:rPr>
          <w:iCs/>
        </w:rPr>
        <w:t xml:space="preserve">, </w:t>
      </w:r>
      <w:r w:rsidRPr="00DA0977">
        <w:t xml:space="preserve">it must be so excessive as to outrage standards of decency. </w:t>
      </w:r>
      <w:r w:rsidR="00627542" w:rsidRPr="00DA0977">
        <w:t>Whether the mandatory minimum sentences</w:t>
      </w:r>
      <w:r w:rsidRPr="00DA0977">
        <w:t xml:space="preserve"> in s. 172.1(2)(a) </w:t>
      </w:r>
      <w:r w:rsidRPr="00DA0977">
        <w:rPr>
          <w:bCs/>
        </w:rPr>
        <w:t xml:space="preserve">and (b) </w:t>
      </w:r>
      <w:r w:rsidRPr="00DA0977">
        <w:t>are unconstitutional requi</w:t>
      </w:r>
      <w:r w:rsidR="00362111" w:rsidRPr="00DA0977">
        <w:t>res a two</w:t>
      </w:r>
      <w:r w:rsidR="00362111" w:rsidRPr="00DA0977">
        <w:noBreakHyphen/>
      </w:r>
      <w:r w:rsidRPr="00DA0977">
        <w:t xml:space="preserve">stage inquiry that involves a contextual and comparative analysis. First, a court must set a fit and proportionate sentence for the individual offenders before the court and possibly other reasonably foreseeable offenders. Second, a court must determine whether the mandatory minimum requires imposing a sentence that is grossly disproportionate to the otherwise fit and </w:t>
      </w:r>
      <w:r w:rsidRPr="00DA0977">
        <w:lastRenderedPageBreak/>
        <w:t>proportionate sentence. This involves consideration of the scope and reach of the offence, the effects of the penalty on the indivi</w:t>
      </w:r>
      <w:r w:rsidR="00627542" w:rsidRPr="00DA0977">
        <w:t xml:space="preserve">dual or reasonably foreseeable </w:t>
      </w:r>
      <w:r w:rsidRPr="00DA0977">
        <w:t>offender, and the penalty and its objectives.</w:t>
      </w:r>
    </w:p>
    <w:p w14:paraId="26470D67" w14:textId="59DDCA26" w:rsidR="00921261" w:rsidRPr="00DA0977" w:rsidRDefault="00921261" w:rsidP="00921261">
      <w:pPr>
        <w:pStyle w:val="SCCNormalDoubleSpacing"/>
        <w:widowControl w:val="0"/>
        <w:spacing w:after="480"/>
      </w:pPr>
      <w:r w:rsidRPr="00DA0977">
        <w:tab/>
        <w:t>While a proper understanding of the wrongfulness and harmfulness of luring will lead to significant penalties in most circumstances, the constitutional an</w:t>
      </w:r>
      <w:r w:rsidR="00362111" w:rsidRPr="00DA0977">
        <w:t>alysis under s. </w:t>
      </w:r>
      <w:r w:rsidRPr="00DA0977">
        <w:t xml:space="preserve">12 of the </w:t>
      </w:r>
      <w:r w:rsidRPr="00DA0977">
        <w:rPr>
          <w:i/>
        </w:rPr>
        <w:t>Charter</w:t>
      </w:r>
      <w:r w:rsidRPr="00DA0977">
        <w:t xml:space="preserve"> does not merely ask whether the mandatory minimum is cruel and unusual in common cases. Punishments can be impu</w:t>
      </w:r>
      <w:r w:rsidR="00362111" w:rsidRPr="00DA0977">
        <w:t>gned where they infringe the s. </w:t>
      </w:r>
      <w:r w:rsidRPr="00DA0977">
        <w:t xml:space="preserve">12 </w:t>
      </w:r>
      <w:r w:rsidRPr="00DA0977">
        <w:rPr>
          <w:i/>
        </w:rPr>
        <w:t xml:space="preserve">Charter </w:t>
      </w:r>
      <w:r w:rsidRPr="00DA0977">
        <w:t>rights of a reasonably foreseeable offender. Indeed, the use of reasonably foreseeable scenarios is expressly designed to test the lower end of the spectrum of conduct captured by the offence. As such, when parties raise hypothetical scenarios as part of the adversarial process, a court should not dismiss a constitutional challenge without considering (</w:t>
      </w:r>
      <w:r w:rsidR="00362111" w:rsidRPr="00DA0977">
        <w:t>1) </w:t>
      </w:r>
      <w:r w:rsidRPr="00DA0977">
        <w:t>whether the scenario is reasonably foreseeable and, if so, (</w:t>
      </w:r>
      <w:r w:rsidR="00362111" w:rsidRPr="00DA0977">
        <w:t>2) </w:t>
      </w:r>
      <w:r w:rsidRPr="00DA0977">
        <w:t>whether the representative offender</w:t>
      </w:r>
      <w:r w:rsidR="006037B0" w:rsidRPr="00DA0977">
        <w:t>’s scenario</w:t>
      </w:r>
      <w:r w:rsidRPr="00DA0977">
        <w:t xml:space="preserve"> could render the impugned law unconstitutional.</w:t>
      </w:r>
    </w:p>
    <w:p w14:paraId="0ED9EAA8" w14:textId="655E8990" w:rsidR="00921261" w:rsidRPr="00DA0977" w:rsidRDefault="00743F51" w:rsidP="00921261">
      <w:pPr>
        <w:pStyle w:val="SCCNormalDoubleSpacing"/>
        <w:widowControl w:val="0"/>
        <w:spacing w:after="480"/>
      </w:pPr>
      <w:r w:rsidRPr="00DA0977">
        <w:tab/>
      </w:r>
      <w:r w:rsidR="00921261" w:rsidRPr="00DA0977">
        <w:t>In M’s case, the fit sentence of 12 months’ incarceration mirrors the one-ye</w:t>
      </w:r>
      <w:r w:rsidRPr="00DA0977">
        <w:t xml:space="preserve">ar mandatory minimum sentence. </w:t>
      </w:r>
      <w:r w:rsidR="00921261" w:rsidRPr="00DA0977">
        <w:rPr>
          <w:rFonts w:eastAsiaTheme="minorHAnsi"/>
        </w:rPr>
        <w:t>As a result, the minimum sentence is not grossly disproportionate in his circumstances.</w:t>
      </w:r>
      <w:r w:rsidR="00921261" w:rsidRPr="00DA0977">
        <w:t xml:space="preserve"> In V’s case, the six-month mandatory minimum term of imprisonment is not grossly disproportionate to the fit sentence of four months’ imprisonment.</w:t>
      </w:r>
      <w:r w:rsidRPr="00DA0977">
        <w:t xml:space="preserve"> </w:t>
      </w:r>
      <w:r w:rsidR="00921261" w:rsidRPr="00DA0977">
        <w:t>Re</w:t>
      </w:r>
      <w:r w:rsidRPr="00DA0977">
        <w:t xml:space="preserve">asonably foreseeable scenarios </w:t>
      </w:r>
      <w:r w:rsidR="00921261" w:rsidRPr="00DA0977">
        <w:t xml:space="preserve">must therefore be </w:t>
      </w:r>
      <w:r w:rsidRPr="00DA0977">
        <w:t>considered to determine whether</w:t>
      </w:r>
      <w:r w:rsidR="00921261" w:rsidRPr="00DA0977">
        <w:t xml:space="preserve"> t</w:t>
      </w:r>
      <w:r w:rsidRPr="00DA0977">
        <w:t xml:space="preserve">he mandatory minimum sentences </w:t>
      </w:r>
      <w:r w:rsidR="00921261" w:rsidRPr="00DA0977">
        <w:t>are unconstitutional. For the purposes of the constitutionality analysis for the one</w:t>
      </w:r>
      <w:r w:rsidR="00362111" w:rsidRPr="00DA0977">
        <w:noBreakHyphen/>
      </w:r>
      <w:r w:rsidR="00921261" w:rsidRPr="00DA0977">
        <w:t xml:space="preserve">year mandatory minimum </w:t>
      </w:r>
      <w:r w:rsidR="00921261" w:rsidRPr="00DA0977">
        <w:lastRenderedPageBreak/>
        <w:t xml:space="preserve">sentence in s. 172.1(2)(a), the first reasonably foreseeable scenario involves a representative offender who </w:t>
      </w:r>
      <w:r w:rsidR="00362111" w:rsidRPr="00DA0977">
        <w:t>is a first</w:t>
      </w:r>
      <w:r w:rsidR="00362111" w:rsidRPr="00DA0977">
        <w:noBreakHyphen/>
      </w:r>
      <w:r w:rsidR="00921261" w:rsidRPr="00DA0977">
        <w:t xml:space="preserve">year high school teacher in her late 20s with bipolar disorder and with no criminal record. </w:t>
      </w:r>
      <w:r w:rsidR="00362111" w:rsidRPr="00DA0977">
        <w:t>One evening, she texts her 15</w:t>
      </w:r>
      <w:r w:rsidR="00362111" w:rsidRPr="00DA0977">
        <w:noBreakHyphen/>
        <w:t>year</w:t>
      </w:r>
      <w:r w:rsidR="00362111" w:rsidRPr="00DA0977">
        <w:noBreakHyphen/>
      </w:r>
      <w:r w:rsidR="00921261" w:rsidRPr="00DA0977">
        <w:t>old student to inquire about a school assignment. Feeling manic, she directs the conversation to sexual matters. The two meet that evening and participate in sexual touching. The offender does not engage inappropriately with the student again and pleads guilty and expresses remorse on sentencing</w:t>
      </w:r>
      <w:r w:rsidRPr="00DA0977">
        <w:t xml:space="preserve">. </w:t>
      </w:r>
      <w:r w:rsidR="00921261" w:rsidRPr="00DA0977">
        <w:t>For the purposes of the constitutionality analysis for the six</w:t>
      </w:r>
      <w:r w:rsidR="00921261" w:rsidRPr="00DA0977">
        <w:noBreakHyphen/>
        <w:t>month mandatory minimum sentence in s. 172.1(2)(b), the reasonably foreseea</w:t>
      </w:r>
      <w:r w:rsidR="00362111" w:rsidRPr="00DA0977">
        <w:t>ble scenario involves an 18</w:t>
      </w:r>
      <w:r w:rsidR="00362111" w:rsidRPr="00DA0977">
        <w:noBreakHyphen/>
      </w:r>
      <w:r w:rsidR="00921261" w:rsidRPr="00DA0977">
        <w:t xml:space="preserve">year old representative offender who is in a relationship with </w:t>
      </w:r>
      <w:r w:rsidR="001C2954" w:rsidRPr="00DA0977">
        <w:t>a</w:t>
      </w:r>
      <w:r w:rsidR="00921261" w:rsidRPr="00DA0977">
        <w:t xml:space="preserve"> 17</w:t>
      </w:r>
      <w:r w:rsidR="00921261" w:rsidRPr="00DA0977">
        <w:noBreakHyphen/>
        <w:t>year</w:t>
      </w:r>
      <w:r w:rsidR="00921261" w:rsidRPr="00DA0977">
        <w:noBreakHyphen/>
        <w:t xml:space="preserve">old. In one text, </w:t>
      </w:r>
      <w:r w:rsidR="00252103" w:rsidRPr="00DA0977">
        <w:t xml:space="preserve">the offender </w:t>
      </w:r>
      <w:r w:rsidR="00921261" w:rsidRPr="00DA0977">
        <w:t>asks her to send him an explicit photo. She does, and he then forwards that photo to his friend without his girlfriend’s knowledge. This friend, who is also 18, does not transmit this photo, but retains it on his mobile phone</w:t>
      </w:r>
      <w:r w:rsidR="00362111" w:rsidRPr="00DA0977">
        <w:t>.</w:t>
      </w:r>
    </w:p>
    <w:p w14:paraId="590BF863" w14:textId="2609BDF2" w:rsidR="00921261" w:rsidRPr="00DA0977" w:rsidRDefault="00921261" w:rsidP="00362111">
      <w:pPr>
        <w:pStyle w:val="SCCNormalDoubleSpacing"/>
        <w:widowControl w:val="0"/>
        <w:spacing w:after="480"/>
      </w:pPr>
      <w:r w:rsidRPr="00DA0977">
        <w:tab/>
        <w:t xml:space="preserve">In addressing the first stage of the s. 12 analysis of setting the fit and proportionate sentence for the representative offender, courts must define as specific a sentence as possible by considering the sentencing objectives set out in the </w:t>
      </w:r>
      <w:r w:rsidRPr="00DA0977">
        <w:rPr>
          <w:i/>
        </w:rPr>
        <w:t>Criminal Code</w:t>
      </w:r>
      <w:r w:rsidRPr="00DA0977">
        <w:t xml:space="preserve"> and by examining any aggravating and mitigating factors. A fit sentence for the luring offence committed by the representative offende</w:t>
      </w:r>
      <w:r w:rsidR="003A1376" w:rsidRPr="00DA0977">
        <w:t>r in the first scenario is a 30</w:t>
      </w:r>
      <w:r w:rsidR="003A1376" w:rsidRPr="00DA0977">
        <w:noBreakHyphen/>
      </w:r>
      <w:r w:rsidRPr="00DA0977">
        <w:t>day intermittent sentence. Such a sentence recognizes the inherent seriousness and potential harms associated with the offence and appropriately denounces the o</w:t>
      </w:r>
      <w:r w:rsidR="00D418FF" w:rsidRPr="00DA0977">
        <w:t>ffender’s</w:t>
      </w:r>
      <w:r w:rsidRPr="00DA0977">
        <w:t xml:space="preserve"> conduct, while being mindful of her diminished moral blameworthiness and the mitigating factors at play. A fit sentence for the luring offence committed by the representative </w:t>
      </w:r>
      <w:r w:rsidRPr="00DA0977">
        <w:lastRenderedPageBreak/>
        <w:t>offender in the second scenario is a six</w:t>
      </w:r>
      <w:r w:rsidRPr="00DA0977">
        <w:noBreakHyphen/>
        <w:t>month conditional discharge, with strict probationary terms. The offender engaged in a serious breach of the victim’s privacy and dignity that should be condemned by a criminal sanction. However, the significant mitigating factors in this scenario, most notably the offender’s youth and lack of a criminal record, warrant a sentence on the low end of the spectrum.</w:t>
      </w:r>
    </w:p>
    <w:p w14:paraId="3B44C123" w14:textId="7A83367B" w:rsidR="00921261" w:rsidRPr="00DA0977" w:rsidRDefault="003A1376" w:rsidP="00921261">
      <w:pPr>
        <w:pStyle w:val="SCCNormalDoubleSpacing"/>
        <w:widowControl w:val="0"/>
        <w:spacing w:after="480"/>
      </w:pPr>
      <w:r w:rsidRPr="00DA0977">
        <w:tab/>
        <w:t>At the second stage of the s. </w:t>
      </w:r>
      <w:r w:rsidR="00921261" w:rsidRPr="00DA0977">
        <w:t>12 analysis,</w:t>
      </w:r>
      <w:r w:rsidR="00236940" w:rsidRPr="00DA0977">
        <w:t xml:space="preserve"> </w:t>
      </w:r>
      <w:r w:rsidR="00921261" w:rsidRPr="00DA0977">
        <w:t xml:space="preserve">the scope and reach of the offence must be examined. Courts should assess how broad a range of conduct is captured by the </w:t>
      </w:r>
      <w:r w:rsidR="00921261" w:rsidRPr="00DA0977">
        <w:rPr>
          <w:i/>
        </w:rPr>
        <w:t xml:space="preserve">actus reus </w:t>
      </w:r>
      <w:r w:rsidR="00921261" w:rsidRPr="00DA0977">
        <w:t xml:space="preserve">and </w:t>
      </w:r>
      <w:r w:rsidR="00921261" w:rsidRPr="00DA0977">
        <w:rPr>
          <w:i/>
        </w:rPr>
        <w:t xml:space="preserve">mens rea </w:t>
      </w:r>
      <w:r w:rsidR="00921261" w:rsidRPr="00DA0977">
        <w:t xml:space="preserve">of the offence and consider the included degree of variation in the offence’s gravity and the offender’s culpability. The </w:t>
      </w:r>
      <w:r w:rsidR="00921261" w:rsidRPr="00DA0977">
        <w:rPr>
          <w:i/>
        </w:rPr>
        <w:t>actus reus</w:t>
      </w:r>
      <w:r w:rsidR="00921261" w:rsidRPr="00DA0977">
        <w:t xml:space="preserve"> of child luring includes communication with the victim by use of any telecommunication platform. This demonstrates the massive breadth of the luring offence.</w:t>
      </w:r>
      <w:r w:rsidR="00236940" w:rsidRPr="00DA0977">
        <w:t xml:space="preserve"> </w:t>
      </w:r>
      <w:r w:rsidR="00921261" w:rsidRPr="00DA0977">
        <w:t xml:space="preserve">Regarding the </w:t>
      </w:r>
      <w:r w:rsidR="00921261" w:rsidRPr="00DA0977">
        <w:rPr>
          <w:i/>
        </w:rPr>
        <w:t>mens rea</w:t>
      </w:r>
      <w:r w:rsidR="00921261" w:rsidRPr="00DA0977">
        <w:t>, the specific intent element — that the accused must communicate with the purpose of facilitating a designated offence — is broad. An accused may impulsively communicate in a sexual manner — and in that moment have the specific intent required — without having taken time beforehand to plan or prepare to execute a secondary offence. The offence t</w:t>
      </w:r>
      <w:r w:rsidR="001C2954" w:rsidRPr="00DA0977">
        <w:t>herefore</w:t>
      </w:r>
      <w:r w:rsidR="00921261" w:rsidRPr="00DA0977">
        <w:t xml:space="preserve"> captures a wide range of designated illicit purposes with varying degrees of moral culpability. The range of conduct captured by the luring offence is also staggering. The offender need only communicate with an underage person for the purpose of facilitating one of the twenty</w:t>
      </w:r>
      <w:r w:rsidR="00921261" w:rsidRPr="00DA0977">
        <w:rPr>
          <w:i/>
        </w:rPr>
        <w:t xml:space="preserve"> </w:t>
      </w:r>
      <w:r w:rsidR="00921261" w:rsidRPr="00DA0977">
        <w:t xml:space="preserve">designated secondary offences which are, amongst themselves, of varying degrees of seriousness and wide in scope. These features of the luring offence further threaten the constitutionality of its mandatory </w:t>
      </w:r>
      <w:r w:rsidR="00661793" w:rsidRPr="00DA0977">
        <w:t xml:space="preserve">minimum </w:t>
      </w:r>
      <w:r w:rsidR="00921261" w:rsidRPr="00DA0977">
        <w:t>penalties.</w:t>
      </w:r>
    </w:p>
    <w:p w14:paraId="57B22704" w14:textId="16CE1282" w:rsidR="00921261" w:rsidRPr="00DA0977" w:rsidRDefault="00921261" w:rsidP="00921261">
      <w:pPr>
        <w:pStyle w:val="SCCNormalDoubleSpacing"/>
        <w:widowControl w:val="0"/>
        <w:spacing w:after="480"/>
      </w:pPr>
      <w:r w:rsidRPr="00DA0977">
        <w:lastRenderedPageBreak/>
        <w:tab/>
        <w:t xml:space="preserve">Next, in analyzing the effect of the punishment on representative offenders, courts must consider the qualities of the reasonably foreseeable offender, and then evaluate what harm may result from the impugned punishment. Evidence that imprisonment would have significant deleterious effects on an offender should be considered at this stage. In the instant scenarios, the mandatory minimum punishment is alternatively one year’s or six months’ incarceration. The effect of the </w:t>
      </w:r>
      <w:r w:rsidR="003A1376" w:rsidRPr="00DA0977">
        <w:t>one</w:t>
      </w:r>
      <w:r w:rsidR="003A1376" w:rsidRPr="00DA0977">
        <w:noBreakHyphen/>
      </w:r>
      <w:r w:rsidRPr="00DA0977">
        <w:t>year mandatory minimum on the first rep</w:t>
      </w:r>
      <w:r w:rsidR="00236940" w:rsidRPr="00DA0977">
        <w:t xml:space="preserve">resentative offender is harsh, </w:t>
      </w:r>
      <w:r w:rsidRPr="00DA0977">
        <w:t xml:space="preserve">as it would replace a short intermittent sentence with a year of incarceration, </w:t>
      </w:r>
      <w:r w:rsidR="00236940" w:rsidRPr="00DA0977">
        <w:t>and</w:t>
      </w:r>
      <w:r w:rsidRPr="00DA0977">
        <w:t xml:space="preserve"> the offender’s individual circumstances, namely her mental illness, would likely make her experience of incarceration perilously grave. The second representative offender is a youthful first-time offender who, holding high rehabilitative prospects, should benefit from the shortest possible sentence proportionate to the offence. In prison, youthful offenders are often bullied, pressured to join adult prison gangs, and are vulnerable to segregation placements. The </w:t>
      </w:r>
      <w:r w:rsidR="003A1376" w:rsidRPr="00DA0977">
        <w:t>six</w:t>
      </w:r>
      <w:r w:rsidR="003A1376" w:rsidRPr="00DA0977">
        <w:noBreakHyphen/>
      </w:r>
      <w:r w:rsidRPr="00DA0977">
        <w:t>month mandatory minimum is a far cry from the shortest possible rehabilitative sentence for this offender. These factors indicate the mandatory minimum sentences’ constitutional infirmity.</w:t>
      </w:r>
    </w:p>
    <w:p w14:paraId="688FB358" w14:textId="226BE403" w:rsidR="00921261" w:rsidRPr="00DA0977" w:rsidRDefault="00921261" w:rsidP="00921261">
      <w:pPr>
        <w:pStyle w:val="SCCNormalDoubleSpacing"/>
        <w:widowControl w:val="0"/>
        <w:spacing w:after="480"/>
      </w:pPr>
      <w:r w:rsidRPr="00DA0977">
        <w:tab/>
        <w:t>Finally, turning to the penalty and its objectives</w:t>
      </w:r>
      <w:r w:rsidR="00111D7C" w:rsidRPr="00DA0977">
        <w:t xml:space="preserve">, </w:t>
      </w:r>
      <w:r w:rsidRPr="00DA0977">
        <w:t xml:space="preserve">luring is a serious offence that must be punished accordingly. The offence dovetails with s. 718.01 which directs that in imposing sentences for offences involving abuse of children, primary consideration must be given to the objectives of denunciation and deterrence. Parliament’s decision to increase the maximum penalties over the years for the luring offence indicates its view of the gravity of the offence. Parliament enacted s. 172.1 in </w:t>
      </w:r>
      <w:r w:rsidRPr="00DA0977">
        <w:lastRenderedPageBreak/>
        <w:t>response to the growth of the internet as a burgeoning domain for predators to target children. Child luring not only lays the foundation for dangerous in-person criminal offences, it also causes its own distinct harm to child victims. However, the mandatory minimum sentences go beyond what is necessary to achieve Parliament’s sentencing objectives. The incredible breadth of the luring offence and its harsh effect on representative offenders paired with the discordant internal scheme of the penalty renders</w:t>
      </w:r>
      <w:r w:rsidR="00A94B3A" w:rsidRPr="00DA0977">
        <w:t xml:space="preserve"> the mandatory minimum sentences in</w:t>
      </w:r>
      <w:r w:rsidRPr="00DA0977">
        <w:t xml:space="preserve"> s. 172.1(2) constitutionally infirm. The mandato</w:t>
      </w:r>
      <w:r w:rsidR="003A1376" w:rsidRPr="00DA0977">
        <w:t>ry minimum penalties in both s. </w:t>
      </w:r>
      <w:r w:rsidRPr="00DA0977">
        <w:t>172.1(2)(a) and (b) are therefore grossly disproportionate to the fit sentences for the representative offenders and</w:t>
      </w:r>
      <w:r w:rsidR="003A1376" w:rsidRPr="00DA0977">
        <w:t xml:space="preserve"> hence unconstitutional.</w:t>
      </w:r>
    </w:p>
    <w:p w14:paraId="3E7BC467" w14:textId="382407A5" w:rsidR="008F5641" w:rsidRPr="00DA0977" w:rsidRDefault="008F5641" w:rsidP="008F5641">
      <w:pPr>
        <w:pStyle w:val="SCCNormalDoubleSpacing"/>
        <w:spacing w:after="480"/>
      </w:pPr>
      <w:r w:rsidRPr="00DA0977">
        <w:tab/>
      </w:r>
      <w:r w:rsidRPr="00DA0977">
        <w:rPr>
          <w:i/>
        </w:rPr>
        <w:t>Per</w:t>
      </w:r>
      <w:r w:rsidRPr="00DA0977">
        <w:t xml:space="preserve"> </w:t>
      </w:r>
      <w:r w:rsidRPr="00DA0977">
        <w:rPr>
          <w:b/>
        </w:rPr>
        <w:t>Côté</w:t>
      </w:r>
      <w:r w:rsidRPr="00DA0977">
        <w:t xml:space="preserve"> J. (dissenting in part): The appeals should be allowed. There is agreement with the majority concerning the sentence to be imposed on M. However, the minimum terms of imprisonment of six months or one year, depending on whether the Crown proceeds summarily or by indictment, as provided for in s. 172.1(2)(a) and (b) of the </w:t>
      </w:r>
      <w:r w:rsidRPr="00DA0977">
        <w:rPr>
          <w:i/>
        </w:rPr>
        <w:t>Criminal Code</w:t>
      </w:r>
      <w:r w:rsidRPr="00DA0977">
        <w:t xml:space="preserve">, are not contrary to s. 12 of the </w:t>
      </w:r>
      <w:r w:rsidRPr="00DA0977">
        <w:rPr>
          <w:i/>
          <w:iCs/>
        </w:rPr>
        <w:t>Charter</w:t>
      </w:r>
      <w:r w:rsidRPr="00DA0977">
        <w:t>. The four</w:t>
      </w:r>
      <w:r w:rsidRPr="00DA0977">
        <w:noBreakHyphen/>
        <w:t>month sentence imposed on V should therefore be set aside and the mandatory minimum sentence of six months’ imprisonment should be imposed on him, with a permanent stay of execution.</w:t>
      </w:r>
    </w:p>
    <w:p w14:paraId="2D2A8AAC" w14:textId="77777777" w:rsidR="008F5641" w:rsidRPr="00DA0977" w:rsidRDefault="008F5641" w:rsidP="008F5641">
      <w:pPr>
        <w:pStyle w:val="SCCNormalDoubleSpacing"/>
        <w:spacing w:after="480"/>
      </w:pPr>
      <w:r w:rsidRPr="00DA0977">
        <w:tab/>
        <w:t xml:space="preserve">According to </w:t>
      </w:r>
      <w:r w:rsidRPr="00DA0977">
        <w:rPr>
          <w:i/>
        </w:rPr>
        <w:t>Friesen</w:t>
      </w:r>
      <w:r w:rsidRPr="00DA0977">
        <w:t xml:space="preserve">, courts must impose more severe sentences on offenders who have committed offences that involve the abuse of children and must prioritize denunciation and deterrence, as required by s. 718.01 of the </w:t>
      </w:r>
      <w:r w:rsidRPr="00DA0977">
        <w:rPr>
          <w:i/>
        </w:rPr>
        <w:t>Criminal Code</w:t>
      </w:r>
      <w:r w:rsidRPr="00DA0977">
        <w:t xml:space="preserve">. </w:t>
      </w:r>
      <w:r w:rsidRPr="00DA0977">
        <w:lastRenderedPageBreak/>
        <w:t>The imposition of minimum terms of imprisonment of one year on M and six months on V is not cruel and unusual. Nor do the two reasonably foreseeable hypothetical scenarios identified by the majority show that the minimum sentences provided for in s. 172.1(2) are grossly disproportionate.</w:t>
      </w:r>
    </w:p>
    <w:p w14:paraId="5416A780" w14:textId="340C2826" w:rsidR="008F5641" w:rsidRPr="00DA0977" w:rsidRDefault="008F5641" w:rsidP="008F5641">
      <w:pPr>
        <w:pStyle w:val="SCCNormalDoubleSpacing"/>
        <w:spacing w:after="480"/>
      </w:pPr>
      <w:r w:rsidRPr="00DA0977">
        <w:tab/>
        <w:t>For the offender in the first reasonably foreseeable hypothetical scenario, a 30</w:t>
      </w:r>
      <w:r w:rsidRPr="00DA0977">
        <w:noBreakHyphen/>
        <w:t xml:space="preserve">day term of imprisonment to be served intermittently is far too lenient a sentence. </w:t>
      </w:r>
      <w:r w:rsidRPr="00DA0977">
        <w:rPr>
          <w:szCs w:val="24"/>
        </w:rPr>
        <w:t xml:space="preserve">The conduct of an offender who </w:t>
      </w:r>
      <w:r w:rsidRPr="00DA0977">
        <w:t xml:space="preserve">takes advantage of her status as a teacher to exploit a child for sexual purposes </w:t>
      </w:r>
      <w:r w:rsidRPr="00DA0977">
        <w:rPr>
          <w:szCs w:val="24"/>
        </w:rPr>
        <w:t xml:space="preserve">is highly blameworthy and </w:t>
      </w:r>
      <w:r w:rsidRPr="00DA0977">
        <w:t>is likely to have devastating consequences for the child victim. T</w:t>
      </w:r>
      <w:r w:rsidRPr="00DA0977">
        <w:rPr>
          <w:bCs/>
        </w:rPr>
        <w:t>his harm is all the more serious given the fact that the commission of the offence involves abuse of a position of trust and authority</w:t>
      </w:r>
      <w:r w:rsidRPr="00DA0977">
        <w:t>. Moreover, the fact that an act was committed spontaneously does not automatically lead to the conclusion that an offender had no subjective intent to act and that the conduct in question is therefore less blameworthy. The absence of grooming and premeditation must have a neutral effect on sentencing. Given the moral blameworthiness inherent in an offence like child luring, the abuse of a position of trust and the commission of an underlying offence, and also given the significant age difference between the offender in the first scenario and the complainant as well as the complainant’s vulnerability, the fit and appropriate sentence is a nine</w:t>
      </w:r>
      <w:r w:rsidRPr="00DA0977">
        <w:noBreakHyphen/>
        <w:t>month term of imprisonment. Such a penalty acknowledges the role played by the offender’s mental illness, along with her guilty plea and the remorse she expressed</w:t>
      </w:r>
      <w:r w:rsidR="00751A25" w:rsidRPr="00DA0977">
        <w:t>.</w:t>
      </w:r>
    </w:p>
    <w:p w14:paraId="0424AA20" w14:textId="77777777" w:rsidR="008F5641" w:rsidRPr="00DA0977" w:rsidRDefault="008F5641" w:rsidP="008F5641">
      <w:pPr>
        <w:pStyle w:val="SCCNormalDoubleSpacing"/>
        <w:spacing w:after="480"/>
      </w:pPr>
      <w:r w:rsidRPr="00DA0977">
        <w:lastRenderedPageBreak/>
        <w:tab/>
        <w:t>The fit and appropriate sentence for the offender in the second reasonably foreseeable hypothetical scenario — who was in a romantic relationship with the underage victim and who abused a position of trust in relation to her — is not a conditional discharge but rather a six</w:t>
      </w:r>
      <w:r w:rsidRPr="00DA0977">
        <w:noBreakHyphen/>
        <w:t>month term of imprisonment. Denunciation and deterrence must be prioritized in the context of the commission of an offence involving the abuse of the offender’s intimate partner as well as in cases involving sexual violence against a minor, two aggravating circumstances that increase the subjective gravity of the offence. Rehabilitation of an offender with no record who has just reached adulthood is not a paramount factor for serious offences or offences involving violence. The weight to be given to the offender’s young age and to the absence of a criminal record therefore depends on the nature of the offence of which the offender is convicted. Taking advantage of the existence of a relationship of trust is likely to increase the harm to the victim and thus the gravity of the offence. It will be more difficult to grant a discharge for offences committed against a child or an intimate partner.</w:t>
      </w:r>
    </w:p>
    <w:p w14:paraId="0D9F5230" w14:textId="77777777" w:rsidR="008F5641" w:rsidRPr="00DA0977" w:rsidRDefault="008F5641" w:rsidP="008F5641">
      <w:pPr>
        <w:pStyle w:val="SCCNormalDoubleSpacing"/>
        <w:spacing w:after="480"/>
      </w:pPr>
      <w:r w:rsidRPr="00DA0977">
        <w:tab/>
        <w:t>Given that the fit and appropriate sentence is equal to or greater than a six</w:t>
      </w:r>
      <w:r w:rsidRPr="00DA0977">
        <w:noBreakHyphen/>
        <w:t>month term of imprisonment in both reasonably foreseeable hypothetical scenarios, the first stage of t</w:t>
      </w:r>
      <w:r w:rsidRPr="00DA0977">
        <w:rPr>
          <w:lang w:bidi="en-US"/>
        </w:rPr>
        <w:t xml:space="preserve">he analytical framework that must be applied under s. 12 of the </w:t>
      </w:r>
      <w:r w:rsidRPr="00DA0977">
        <w:rPr>
          <w:i/>
          <w:iCs/>
          <w:lang w:bidi="en-US"/>
        </w:rPr>
        <w:t>Charter</w:t>
      </w:r>
      <w:r w:rsidRPr="00DA0977">
        <w:t xml:space="preserve"> decides the constitutionality of s. 172.1(2)(b). The second stage of the analytical framework therefore concerns the constitutionality of the one</w:t>
      </w:r>
      <w:r w:rsidRPr="00DA0977">
        <w:noBreakHyphen/>
        <w:t>year minimum term of imprisonment set out in s. 172.1(2)(a).</w:t>
      </w:r>
    </w:p>
    <w:p w14:paraId="3420B6A2" w14:textId="77777777" w:rsidR="008F5641" w:rsidRPr="00DA0977" w:rsidRDefault="008F5641" w:rsidP="008F5641">
      <w:pPr>
        <w:pStyle w:val="SCCNormalDoubleSpacing"/>
        <w:spacing w:after="480"/>
      </w:pPr>
      <w:r w:rsidRPr="00DA0977">
        <w:lastRenderedPageBreak/>
        <w:tab/>
        <w:t>To begin with, while t</w:t>
      </w:r>
      <w:r w:rsidRPr="00DA0977">
        <w:rPr>
          <w:iCs/>
        </w:rPr>
        <w:t>he offence of child luring is broad in scope</w:t>
      </w:r>
      <w:r w:rsidRPr="00DA0977">
        <w:t xml:space="preserve">, requiring a high level of </w:t>
      </w:r>
      <w:r w:rsidRPr="00DA0977">
        <w:rPr>
          <w:i/>
          <w:iCs/>
        </w:rPr>
        <w:t>mens rea</w:t>
      </w:r>
      <w:r w:rsidRPr="00DA0977">
        <w:t xml:space="preserve"> ensures that the offence captures only conduct that involves a high degree of moral blameworthiness as well as serious harm or a risk of such harm. Even when the offence of luring is committed in the context of a police sting operation that does not involve children, the offence involves conduct that is undeniably very serious, and it must never be seen as a victimless crime. In addition, one must be careful not to emphasize the fact that it is not necessary for the offender to have committed one of the listed underlying offences in order to be convicted of child luring. Sophistication and premeditation also reveal nothing about the scope of the offence, because they are not essential elements of the offence.</w:t>
      </w:r>
    </w:p>
    <w:p w14:paraId="660B2B5B" w14:textId="77777777" w:rsidR="008F5641" w:rsidRPr="00DA0977" w:rsidRDefault="008F5641" w:rsidP="008F5641">
      <w:pPr>
        <w:pStyle w:val="SCCNormalDoubleSpacing"/>
        <w:spacing w:after="480"/>
      </w:pPr>
      <w:r w:rsidRPr="00DA0977">
        <w:tab/>
        <w:t xml:space="preserve">Next, </w:t>
      </w:r>
      <w:r w:rsidRPr="00DA0977">
        <w:rPr>
          <w:iCs/>
        </w:rPr>
        <w:t>the effects of the minimum term of imprisonment on the offenders in the reasonably foreseeable hypothetical scenarios are not incompatible with human dignity</w:t>
      </w:r>
      <w:r w:rsidRPr="00DA0977">
        <w:t xml:space="preserve">. Nothing in the record makes it possible to identify the precise harm associated with the additional period of imprisonment of three months in the first case and six months in the second case if the offence is prosecuted by indictment. Since the period is relatively short, its effects are not incompatible with human dignity. The logical consequence of finding that the individual circumstances of the offender in the first scenario would likely make her experience of incarceration perilously grave, and that the minimum sentence is a far cry from the shortest possible rehabilitative sentence for the offender in the second scenario, is that any minimum term of imprisonment that may be imposed on an offender who has just reached adulthood or on a person with a mental illness will be grossly disproportionate, regardless of the gravity of the offence </w:t>
      </w:r>
      <w:r w:rsidRPr="00DA0977">
        <w:lastRenderedPageBreak/>
        <w:t>or the circumstances surrounding its commission. This consequence is entirely inconsistent with the deference owed to Parliament.</w:t>
      </w:r>
    </w:p>
    <w:p w14:paraId="558B3F56" w14:textId="77777777" w:rsidR="008F5641" w:rsidRPr="00DA0977" w:rsidRDefault="008F5641" w:rsidP="008F5641">
      <w:pPr>
        <w:pStyle w:val="SCCNormalDoubleSpacing"/>
        <w:spacing w:after="480"/>
      </w:pPr>
      <w:r w:rsidRPr="00DA0977">
        <w:tab/>
        <w:t xml:space="preserve">Lastly, </w:t>
      </w:r>
      <w:r w:rsidRPr="00DA0977">
        <w:rPr>
          <w:iCs/>
        </w:rPr>
        <w:t>the minimum term of imprisonment is not grossly disproportionate to what is necessary to achieve Parliament’s objectives</w:t>
      </w:r>
      <w:r w:rsidRPr="00DA0977">
        <w:t>. The difference of three or six months between the fit and appropriate sentence and the sentence provided for in s. 172.1(2)(a) is not so great as to show that the punishment chosen by Parliament grossly exceeds what is necessary to achieve its objectives of deterrence and denunciation of sexual violence against children. The fact that there may be some disproportion the application of which leads to a demonstrably unfit punishment is not sufficient to declare s. 172.1(2)(a) and (b) unconstitutional. The question is not whether Parliament chose the least restrictive means to achieve its objectives. Parliament is perfectly at liberty to prioritize denunciation and deterrence to the near complete exclusion of rehabilitation, provided that it leaves a door open for this latter objective. It has not been shown how, by creating minimum terms of imprisonment in s. 172.1(2), Parliament has completely excluded this objective.</w:t>
      </w:r>
    </w:p>
    <w:p w14:paraId="5A09BB0E" w14:textId="77777777" w:rsidR="008F5641" w:rsidRPr="00DA0977" w:rsidRDefault="008F5641" w:rsidP="008F5641">
      <w:pPr>
        <w:pStyle w:val="SCCNormalDoubleSpacing"/>
        <w:spacing w:after="480"/>
      </w:pPr>
      <w:r w:rsidRPr="00DA0977">
        <w:tab/>
        <w:t xml:space="preserve">In light of the pronouncements in </w:t>
      </w:r>
      <w:r w:rsidRPr="00DA0977">
        <w:rPr>
          <w:i/>
          <w:iCs/>
        </w:rPr>
        <w:t>Friesen</w:t>
      </w:r>
      <w:r w:rsidRPr="00DA0977">
        <w:t xml:space="preserve"> and the high standard that applies in an analysis under s. 12 of the </w:t>
      </w:r>
      <w:r w:rsidRPr="00DA0977">
        <w:rPr>
          <w:i/>
          <w:iCs/>
        </w:rPr>
        <w:t>Charter</w:t>
      </w:r>
      <w:r w:rsidRPr="00DA0977">
        <w:t>, sentencing an offender to imprisonment for six months or one year for communicating with a minor for the purpose of facilitating the commission of a sexual offence or other specified offence against the minor is not one of the instances in which the demanding and rarely attained standard of gross disproportionality is met.</w:t>
      </w:r>
    </w:p>
    <w:p w14:paraId="772D687F" w14:textId="77777777" w:rsidR="007E1C47" w:rsidRPr="00DA0977" w:rsidRDefault="002E6705" w:rsidP="003A1376">
      <w:pPr>
        <w:pStyle w:val="SCCNormalDoubleSpacing"/>
        <w:widowControl w:val="0"/>
        <w:spacing w:after="720" w:line="240" w:lineRule="auto"/>
        <w:rPr>
          <w:b/>
        </w:rPr>
      </w:pPr>
      <w:r w:rsidRPr="00DA0977">
        <w:rPr>
          <w:b/>
        </w:rPr>
        <w:lastRenderedPageBreak/>
        <w:t>Cases Cited</w:t>
      </w:r>
    </w:p>
    <w:p w14:paraId="240EB7FD" w14:textId="235FB2F8" w:rsidR="00A149DF" w:rsidRPr="00DA0977" w:rsidRDefault="00FC6C03" w:rsidP="003A1376">
      <w:pPr>
        <w:pStyle w:val="SCCNormalDoubleSpacing"/>
        <w:widowControl w:val="0"/>
        <w:spacing w:after="720" w:line="240" w:lineRule="auto"/>
      </w:pPr>
      <w:r w:rsidRPr="00DA0977">
        <w:t>By Martin J.</w:t>
      </w:r>
    </w:p>
    <w:p w14:paraId="63B53575" w14:textId="3B654209" w:rsidR="004E2C26" w:rsidRPr="00DA0977" w:rsidRDefault="002E6705" w:rsidP="00B4722A">
      <w:pPr>
        <w:pStyle w:val="SCCNormalDoubleSpacing"/>
        <w:widowControl w:val="0"/>
        <w:spacing w:after="480"/>
      </w:pPr>
      <w:r w:rsidRPr="00DA0977">
        <w:tab/>
      </w:r>
      <w:r w:rsidR="00C4039D" w:rsidRPr="00DA0977">
        <w:rPr>
          <w:b/>
        </w:rPr>
        <w:t>Applied:</w:t>
      </w:r>
      <w:r w:rsidR="00C4039D" w:rsidRPr="00DA0977">
        <w:t xml:space="preserve"> </w:t>
      </w:r>
      <w:r w:rsidR="00C4039D" w:rsidRPr="00DA0977">
        <w:rPr>
          <w:i/>
        </w:rPr>
        <w:t xml:space="preserve">R. v. </w:t>
      </w:r>
      <w:r w:rsidR="00C4039D" w:rsidRPr="00DA0977">
        <w:rPr>
          <w:i/>
          <w:iCs/>
        </w:rPr>
        <w:t>Friesen</w:t>
      </w:r>
      <w:r w:rsidR="00C4039D" w:rsidRPr="00DA0977">
        <w:rPr>
          <w:iCs/>
        </w:rPr>
        <w:t>, 2020 SCC 9, [2020] 1 S.C.R. 424;</w:t>
      </w:r>
      <w:r w:rsidR="00C4039D" w:rsidRPr="00DA0977">
        <w:t xml:space="preserve"> </w:t>
      </w:r>
      <w:r w:rsidR="00C4039D" w:rsidRPr="00DA0977">
        <w:rPr>
          <w:i/>
        </w:rPr>
        <w:t xml:space="preserve">R. v. </w:t>
      </w:r>
      <w:r w:rsidR="00C4039D" w:rsidRPr="00DA0977">
        <w:rPr>
          <w:i/>
          <w:iCs/>
        </w:rPr>
        <w:t>Hills</w:t>
      </w:r>
      <w:r w:rsidR="00C4039D" w:rsidRPr="00DA0977">
        <w:t xml:space="preserve">, 2023 SCC 2; </w:t>
      </w:r>
      <w:r w:rsidR="00C4039D" w:rsidRPr="00DA0977">
        <w:rPr>
          <w:b/>
        </w:rPr>
        <w:t>considered:</w:t>
      </w:r>
      <w:r w:rsidR="00C4039D" w:rsidRPr="00DA0977">
        <w:t xml:space="preserve"> </w:t>
      </w:r>
      <w:r w:rsidR="00C4039D" w:rsidRPr="00DA0977">
        <w:rPr>
          <w:i/>
          <w:szCs w:val="24"/>
        </w:rPr>
        <w:t>R. v. Morrison</w:t>
      </w:r>
      <w:r w:rsidR="00C4039D" w:rsidRPr="00DA0977">
        <w:rPr>
          <w:szCs w:val="24"/>
        </w:rPr>
        <w:t>,</w:t>
      </w:r>
      <w:r w:rsidR="00C4039D" w:rsidRPr="00DA0977">
        <w:rPr>
          <w:i/>
          <w:szCs w:val="24"/>
        </w:rPr>
        <w:t xml:space="preserve"> </w:t>
      </w:r>
      <w:r w:rsidR="00C4039D" w:rsidRPr="00DA0977">
        <w:rPr>
          <w:szCs w:val="24"/>
        </w:rPr>
        <w:t xml:space="preserve">2019 SCC 15, [2019] 2 S.C.R. 3; </w:t>
      </w:r>
      <w:r w:rsidR="00C4039D" w:rsidRPr="00DA0977">
        <w:rPr>
          <w:i/>
        </w:rPr>
        <w:t>R. v. Rayo</w:t>
      </w:r>
      <w:r w:rsidR="00C4039D" w:rsidRPr="00DA0977">
        <w:t xml:space="preserve">, 2018 QCCA 824; </w:t>
      </w:r>
      <w:r w:rsidR="00C4039D" w:rsidRPr="00DA0977">
        <w:rPr>
          <w:i/>
          <w:iCs/>
        </w:rPr>
        <w:t>R. v. Melrose</w:t>
      </w:r>
      <w:r w:rsidR="00C4039D" w:rsidRPr="00DA0977">
        <w:t xml:space="preserve">, 2021 ABQB 73, [2021] 8 W.W.R. 467; </w:t>
      </w:r>
      <w:r w:rsidR="00C4039D" w:rsidRPr="00DA0977">
        <w:rPr>
          <w:i/>
          <w:iCs/>
        </w:rPr>
        <w:t>R. v. Paradee</w:t>
      </w:r>
      <w:r w:rsidR="00C4039D" w:rsidRPr="00DA0977">
        <w:t xml:space="preserve">, 2013 ABCA 41, 542 A.R. 222; </w:t>
      </w:r>
      <w:r w:rsidR="00C4039D" w:rsidRPr="00DA0977">
        <w:rPr>
          <w:i/>
        </w:rPr>
        <w:t>R. v. Hood</w:t>
      </w:r>
      <w:r w:rsidR="00C4039D" w:rsidRPr="00DA0977">
        <w:t>, 2018 NSCA 18</w:t>
      </w:r>
      <w:r w:rsidR="00C4039D" w:rsidRPr="00DA0977">
        <w:rPr>
          <w:color w:val="000000"/>
        </w:rPr>
        <w:t xml:space="preserve">, 45 C.R. (7th) 269; </w:t>
      </w:r>
      <w:r w:rsidR="00C4039D" w:rsidRPr="00DA0977">
        <w:rPr>
          <w:i/>
        </w:rPr>
        <w:t>R. v. John</w:t>
      </w:r>
      <w:r w:rsidR="00C4039D" w:rsidRPr="00DA0977">
        <w:t>,</w:t>
      </w:r>
      <w:r w:rsidR="00C4039D" w:rsidRPr="00DA0977">
        <w:rPr>
          <w:i/>
        </w:rPr>
        <w:t xml:space="preserve"> </w:t>
      </w:r>
      <w:r w:rsidR="00C4039D" w:rsidRPr="00DA0977">
        <w:t xml:space="preserve">2018 ONCA 702, 142 O.R. (3d) 670; </w:t>
      </w:r>
      <w:r w:rsidR="00C4039D" w:rsidRPr="00DA0977">
        <w:rPr>
          <w:b/>
          <w:szCs w:val="24"/>
        </w:rPr>
        <w:t>r</w:t>
      </w:r>
      <w:r w:rsidRPr="00DA0977">
        <w:rPr>
          <w:b/>
        </w:rPr>
        <w:t>eferred to:</w:t>
      </w:r>
      <w:r w:rsidR="00BD0E9E" w:rsidRPr="00DA0977">
        <w:t xml:space="preserve"> </w:t>
      </w:r>
      <w:r w:rsidR="00B819F4" w:rsidRPr="00DA0977">
        <w:rPr>
          <w:rStyle w:val="reflex"/>
          <w:i/>
        </w:rPr>
        <w:t xml:space="preserve">R. v. </w:t>
      </w:r>
      <w:r w:rsidR="00B819F4" w:rsidRPr="00DA0977">
        <w:rPr>
          <w:rStyle w:val="reflex"/>
          <w:i/>
          <w:iCs/>
        </w:rPr>
        <w:t>Reynard</w:t>
      </w:r>
      <w:r w:rsidR="00B819F4" w:rsidRPr="00DA0977">
        <w:rPr>
          <w:rStyle w:val="reflex"/>
        </w:rPr>
        <w:t>,</w:t>
      </w:r>
      <w:r w:rsidR="00B819F4" w:rsidRPr="00DA0977">
        <w:rPr>
          <w:rStyle w:val="reflex"/>
          <w:i/>
          <w:iCs/>
        </w:rPr>
        <w:t xml:space="preserve"> </w:t>
      </w:r>
      <w:r w:rsidR="00B819F4" w:rsidRPr="00DA0977">
        <w:rPr>
          <w:rStyle w:val="reflex"/>
        </w:rPr>
        <w:t xml:space="preserve">2015 BCCA 455, 378 B.C.A.C. 293; </w:t>
      </w:r>
      <w:r w:rsidR="00E06140" w:rsidRPr="00DA0977">
        <w:rPr>
          <w:i/>
        </w:rPr>
        <w:t xml:space="preserve">R. v. </w:t>
      </w:r>
      <w:r w:rsidR="00E06140" w:rsidRPr="00DA0977">
        <w:rPr>
          <w:rStyle w:val="reflex"/>
          <w:i/>
          <w:iCs/>
        </w:rPr>
        <w:t>Alicandro</w:t>
      </w:r>
      <w:r w:rsidR="00E06140" w:rsidRPr="00DA0977">
        <w:rPr>
          <w:rStyle w:val="reflex"/>
        </w:rPr>
        <w:t>,</w:t>
      </w:r>
      <w:r w:rsidR="00E06140" w:rsidRPr="00DA0977">
        <w:t xml:space="preserve"> 2009 ONCA 133, 95 O.R. (3d) 173; </w:t>
      </w:r>
      <w:r w:rsidR="00CD1439" w:rsidRPr="00DA0977">
        <w:rPr>
          <w:i/>
        </w:rPr>
        <w:t xml:space="preserve">R. v. </w:t>
      </w:r>
      <w:r w:rsidR="00CD1439" w:rsidRPr="00DA0977">
        <w:rPr>
          <w:i/>
          <w:iCs/>
        </w:rPr>
        <w:t>Legare</w:t>
      </w:r>
      <w:r w:rsidR="00CD1439" w:rsidRPr="00DA0977">
        <w:rPr>
          <w:iCs/>
        </w:rPr>
        <w:t xml:space="preserve">, 2009 SCC 56, [2009] 3 S.C.R. 551; </w:t>
      </w:r>
      <w:r w:rsidR="001302AF" w:rsidRPr="00DA0977">
        <w:rPr>
          <w:i/>
        </w:rPr>
        <w:t>R. v. Levigne</w:t>
      </w:r>
      <w:r w:rsidR="001302AF" w:rsidRPr="00DA0977">
        <w:t xml:space="preserve">, 2010 SCC 25, [2010] 2 S.C.R. 3; </w:t>
      </w:r>
      <w:r w:rsidR="003C5A5E" w:rsidRPr="00DA0977">
        <w:rPr>
          <w:i/>
          <w:iCs/>
        </w:rPr>
        <w:t>R. v. Collins</w:t>
      </w:r>
      <w:r w:rsidR="003C5A5E" w:rsidRPr="00DA0977">
        <w:t xml:space="preserve">, 2013 ONCA 392; </w:t>
      </w:r>
      <w:r w:rsidR="000443E6" w:rsidRPr="00DA0977">
        <w:rPr>
          <w:i/>
        </w:rPr>
        <w:t>R. v. Nasogaluak</w:t>
      </w:r>
      <w:r w:rsidR="000443E6" w:rsidRPr="00DA0977">
        <w:t xml:space="preserve">, 2010 SCC 6, [2010] 1 S.C.R. 206; </w:t>
      </w:r>
      <w:r w:rsidR="00D1331E" w:rsidRPr="00DA0977">
        <w:rPr>
          <w:i/>
        </w:rPr>
        <w:t>R. v. Lacasse</w:t>
      </w:r>
      <w:r w:rsidR="00D1331E" w:rsidRPr="00DA0977">
        <w:t xml:space="preserve">, 2015 SCC 64, [2015] 3 S.C.R. 1089; </w:t>
      </w:r>
      <w:r w:rsidR="00F34417" w:rsidRPr="00DA0977">
        <w:rPr>
          <w:i/>
        </w:rPr>
        <w:t>R. v. J.</w:t>
      </w:r>
      <w:r w:rsidR="00B4722A" w:rsidRPr="00DA0977">
        <w:rPr>
          <w:i/>
        </w:rPr>
        <w:t xml:space="preserve"> </w:t>
      </w:r>
      <w:r w:rsidR="00F34417" w:rsidRPr="00DA0977">
        <w:rPr>
          <w:i/>
        </w:rPr>
        <w:t>(T.)</w:t>
      </w:r>
      <w:r w:rsidR="00F34417" w:rsidRPr="00DA0977">
        <w:t xml:space="preserve">, 2021 ONCA 392, 156 O.R. (3d) 161; </w:t>
      </w:r>
      <w:r w:rsidR="007B3984" w:rsidRPr="00DA0977">
        <w:rPr>
          <w:i/>
        </w:rPr>
        <w:t>R. v. Sharpe</w:t>
      </w:r>
      <w:r w:rsidR="007B3984" w:rsidRPr="00DA0977">
        <w:t>, 2001 SCC 2, [2001] 1 S.C.R. 45</w:t>
      </w:r>
      <w:r w:rsidR="0077370B" w:rsidRPr="00DA0977">
        <w:t xml:space="preserve">; </w:t>
      </w:r>
      <w:r w:rsidR="00311E6F" w:rsidRPr="00DA0977">
        <w:rPr>
          <w:i/>
          <w:iCs/>
        </w:rPr>
        <w:t>R. v. Folino</w:t>
      </w:r>
      <w:r w:rsidR="00311E6F" w:rsidRPr="00DA0977">
        <w:t xml:space="preserve"> (2005), 77 O.R. (3d) 641; </w:t>
      </w:r>
      <w:r w:rsidR="00CF0CBA" w:rsidRPr="00DA0977">
        <w:rPr>
          <w:i/>
          <w:iCs/>
        </w:rPr>
        <w:t>R. v. Symes</w:t>
      </w:r>
      <w:r w:rsidR="00CF0CBA" w:rsidRPr="00DA0977">
        <w:t xml:space="preserve">, [2005] O.J. No. 6041 (QL); </w:t>
      </w:r>
      <w:r w:rsidR="00800E68" w:rsidRPr="00DA0977">
        <w:rPr>
          <w:i/>
          <w:iCs/>
        </w:rPr>
        <w:t>R. v. Hajar</w:t>
      </w:r>
      <w:r w:rsidR="00800E68" w:rsidRPr="00DA0977">
        <w:t xml:space="preserve">, 2016 ABCA 222, </w:t>
      </w:r>
      <w:r w:rsidR="00EA39A1" w:rsidRPr="00DA0977">
        <w:rPr>
          <w:color w:val="000000"/>
        </w:rPr>
        <w:t>[2016] 12 W.W.R. 435</w:t>
      </w:r>
      <w:r w:rsidR="00800E68" w:rsidRPr="00DA0977">
        <w:rPr>
          <w:color w:val="000000"/>
        </w:rPr>
        <w:t xml:space="preserve">; </w:t>
      </w:r>
      <w:r w:rsidR="00375104" w:rsidRPr="00DA0977">
        <w:rPr>
          <w:i/>
          <w:iCs/>
        </w:rPr>
        <w:t>R. v. Sutherland</w:t>
      </w:r>
      <w:r w:rsidR="00375104" w:rsidRPr="00DA0977">
        <w:t xml:space="preserve">, 2019 NWTSC 48, [2020] 3 W.W.R. 771; </w:t>
      </w:r>
      <w:r w:rsidR="00303476" w:rsidRPr="00DA0977">
        <w:rPr>
          <w:i/>
        </w:rPr>
        <w:t>R. v. Wall</w:t>
      </w:r>
      <w:r w:rsidR="00303476" w:rsidRPr="00DA0977">
        <w:t xml:space="preserve">, 2023 ABPC 3; </w:t>
      </w:r>
      <w:r w:rsidR="00B536AB" w:rsidRPr="00DA0977">
        <w:rPr>
          <w:i/>
        </w:rPr>
        <w:t>R. v. Misay</w:t>
      </w:r>
      <w:r w:rsidR="00B536AB" w:rsidRPr="00DA0977">
        <w:t xml:space="preserve">, 2021 ABQB 485, [2022] 1 W.W.R. 145; </w:t>
      </w:r>
      <w:r w:rsidR="00D34582" w:rsidRPr="00DA0977">
        <w:rPr>
          <w:i/>
          <w:iCs/>
        </w:rPr>
        <w:t>R. v. R.S.F.</w:t>
      </w:r>
      <w:r w:rsidR="00D34582" w:rsidRPr="00DA0977">
        <w:t xml:space="preserve">, 2021 MBQB 261; </w:t>
      </w:r>
      <w:r w:rsidR="000248EF" w:rsidRPr="00DA0977">
        <w:rPr>
          <w:i/>
        </w:rPr>
        <w:t>R. v. Rafiq</w:t>
      </w:r>
      <w:r w:rsidR="000248EF" w:rsidRPr="00DA0977">
        <w:t xml:space="preserve">, </w:t>
      </w:r>
      <w:r w:rsidR="000248EF" w:rsidRPr="00DA0977">
        <w:rPr>
          <w:szCs w:val="24"/>
        </w:rPr>
        <w:t xml:space="preserve">2015 ONCA 768, 342 O.A.C. 193; </w:t>
      </w:r>
      <w:r w:rsidR="004E72A2" w:rsidRPr="00DA0977">
        <w:rPr>
          <w:i/>
        </w:rPr>
        <w:t>R. v. McCraw</w:t>
      </w:r>
      <w:r w:rsidR="004E72A2" w:rsidRPr="00DA0977">
        <w:t xml:space="preserve">, [1991] 3 S.C.R. 72; </w:t>
      </w:r>
      <w:r w:rsidR="002058EA" w:rsidRPr="00DA0977">
        <w:rPr>
          <w:i/>
          <w:szCs w:val="24"/>
        </w:rPr>
        <w:t>R. v. J.R.</w:t>
      </w:r>
      <w:r w:rsidR="002058EA" w:rsidRPr="00DA0977">
        <w:rPr>
          <w:szCs w:val="24"/>
        </w:rPr>
        <w:t xml:space="preserve">, 2021 ONCJ 14; </w:t>
      </w:r>
      <w:r w:rsidR="006F0D63" w:rsidRPr="00DA0977">
        <w:rPr>
          <w:i/>
          <w:szCs w:val="24"/>
          <w:lang w:val="en-US"/>
        </w:rPr>
        <w:t>R. v. Roy</w:t>
      </w:r>
      <w:r w:rsidR="006F0D63" w:rsidRPr="00DA0977">
        <w:rPr>
          <w:szCs w:val="24"/>
          <w:lang w:val="en-US"/>
        </w:rPr>
        <w:t xml:space="preserve">, 2020 QCCQ 4546; </w:t>
      </w:r>
      <w:r w:rsidR="008907A6" w:rsidRPr="00DA0977">
        <w:rPr>
          <w:i/>
        </w:rPr>
        <w:t>R. v. M.B.</w:t>
      </w:r>
      <w:r w:rsidR="008907A6" w:rsidRPr="00DA0977">
        <w:t>,</w:t>
      </w:r>
      <w:r w:rsidR="008907A6" w:rsidRPr="00DA0977">
        <w:rPr>
          <w:i/>
        </w:rPr>
        <w:t xml:space="preserve"> </w:t>
      </w:r>
      <w:r w:rsidR="008907A6" w:rsidRPr="00DA0977">
        <w:t xml:space="preserve">2020 ONSC 7605; </w:t>
      </w:r>
      <w:r w:rsidR="00352E57" w:rsidRPr="00DA0977">
        <w:rPr>
          <w:i/>
          <w:lang w:val="en-US"/>
        </w:rPr>
        <w:t>R. v. Miller</w:t>
      </w:r>
      <w:r w:rsidR="00352E57" w:rsidRPr="00DA0977">
        <w:rPr>
          <w:lang w:val="en-US"/>
        </w:rPr>
        <w:t xml:space="preserve">, 2016 SKCA 32, 476 Sask. R. 150; </w:t>
      </w:r>
      <w:r w:rsidR="00C35A31" w:rsidRPr="00DA0977">
        <w:rPr>
          <w:i/>
        </w:rPr>
        <w:t>Caron Barrette</w:t>
      </w:r>
      <w:r w:rsidR="005E2E51" w:rsidRPr="00DA0977">
        <w:rPr>
          <w:i/>
        </w:rPr>
        <w:t xml:space="preserve"> v. R.</w:t>
      </w:r>
      <w:r w:rsidR="00C35A31" w:rsidRPr="00DA0977">
        <w:t xml:space="preserve">, 2018 QCCA 516; </w:t>
      </w:r>
      <w:r w:rsidR="003167B6" w:rsidRPr="00DA0977">
        <w:rPr>
          <w:i/>
        </w:rPr>
        <w:t>R. v. Ditoro</w:t>
      </w:r>
      <w:r w:rsidR="003167B6" w:rsidRPr="00DA0977">
        <w:t xml:space="preserve">, 2021 ONCJ 540; </w:t>
      </w:r>
      <w:r w:rsidR="00120140" w:rsidRPr="00DA0977">
        <w:rPr>
          <w:i/>
        </w:rPr>
        <w:t>R. v. Gould</w:t>
      </w:r>
      <w:r w:rsidR="00120140" w:rsidRPr="00DA0977">
        <w:t xml:space="preserve">, 2022 ONCJ 187; </w:t>
      </w:r>
      <w:r w:rsidR="00F9581F" w:rsidRPr="00DA0977">
        <w:rPr>
          <w:i/>
        </w:rPr>
        <w:t>R. v. Cooper</w:t>
      </w:r>
      <w:r w:rsidR="00F9581F" w:rsidRPr="00DA0977">
        <w:t xml:space="preserve">, 2023 ONSC 875; </w:t>
      </w:r>
      <w:r w:rsidR="00042BAD" w:rsidRPr="00DA0977">
        <w:rPr>
          <w:i/>
        </w:rPr>
        <w:t>R. v. Clarke</w:t>
      </w:r>
      <w:r w:rsidR="00042BAD" w:rsidRPr="00DA0977">
        <w:t xml:space="preserve">, 2021 NLCA 8; </w:t>
      </w:r>
      <w:r w:rsidR="00BB280B" w:rsidRPr="00DA0977">
        <w:rPr>
          <w:i/>
        </w:rPr>
        <w:t>R. v. Aeichele</w:t>
      </w:r>
      <w:r w:rsidR="00BB280B" w:rsidRPr="00DA0977">
        <w:t xml:space="preserve">, 2023 BCSC 253; </w:t>
      </w:r>
      <w:r w:rsidR="00900E13" w:rsidRPr="00DA0977">
        <w:rPr>
          <w:i/>
        </w:rPr>
        <w:t>R. v. Wolff</w:t>
      </w:r>
      <w:r w:rsidR="00900E13" w:rsidRPr="00DA0977">
        <w:t xml:space="preserve">, 2020 BCPC 174; </w:t>
      </w:r>
      <w:r w:rsidR="0097009E" w:rsidRPr="00DA0977">
        <w:rPr>
          <w:i/>
        </w:rPr>
        <w:t>Directeur des poursuites criminelles et pénales v</w:t>
      </w:r>
      <w:r w:rsidR="00B4722A" w:rsidRPr="00DA0977">
        <w:rPr>
          <w:i/>
        </w:rPr>
        <w:t>. St</w:t>
      </w:r>
      <w:r w:rsidR="00B4722A" w:rsidRPr="00DA0977">
        <w:rPr>
          <w:i/>
        </w:rPr>
        <w:noBreakHyphen/>
      </w:r>
      <w:r w:rsidR="0097009E" w:rsidRPr="00DA0977">
        <w:rPr>
          <w:i/>
        </w:rPr>
        <w:t>Amour</w:t>
      </w:r>
      <w:r w:rsidR="0097009E" w:rsidRPr="00DA0977">
        <w:t xml:space="preserve">, 2021 QCCQ 6855; </w:t>
      </w:r>
      <w:r w:rsidR="00B579C2" w:rsidRPr="00DA0977">
        <w:rPr>
          <w:i/>
        </w:rPr>
        <w:t>R. v. Rice</w:t>
      </w:r>
      <w:r w:rsidR="00B579C2" w:rsidRPr="00DA0977">
        <w:t xml:space="preserve">, 2022 ABKB 773; </w:t>
      </w:r>
      <w:r w:rsidR="004E2A76" w:rsidRPr="00DA0977">
        <w:rPr>
          <w:i/>
        </w:rPr>
        <w:t>R. v. Wickramasinghe</w:t>
      </w:r>
      <w:r w:rsidR="004E2A76" w:rsidRPr="00DA0977">
        <w:t xml:space="preserve">, 2022 ONCJ </w:t>
      </w:r>
      <w:r w:rsidR="004E2A76" w:rsidRPr="00DA0977">
        <w:lastRenderedPageBreak/>
        <w:t xml:space="preserve">331; </w:t>
      </w:r>
      <w:r w:rsidR="005B2A61" w:rsidRPr="00DA0977">
        <w:rPr>
          <w:i/>
        </w:rPr>
        <w:t>R. v. Rasiah</w:t>
      </w:r>
      <w:r w:rsidR="005B2A61" w:rsidRPr="00DA0977">
        <w:t xml:space="preserve">, 2021 ONCJ 584; </w:t>
      </w:r>
      <w:r w:rsidR="00140964" w:rsidRPr="00DA0977">
        <w:rPr>
          <w:i/>
        </w:rPr>
        <w:t>R. v. Osadchuk</w:t>
      </w:r>
      <w:r w:rsidR="00140964" w:rsidRPr="00DA0977">
        <w:t xml:space="preserve">, 2020 QCCQ 2166; </w:t>
      </w:r>
      <w:r w:rsidR="002253EB" w:rsidRPr="00DA0977">
        <w:rPr>
          <w:i/>
        </w:rPr>
        <w:t>R. v. Deren</w:t>
      </w:r>
      <w:r w:rsidR="002253EB" w:rsidRPr="00DA0977">
        <w:t xml:space="preserve">, 2021 ABPC 84; </w:t>
      </w:r>
      <w:r w:rsidR="00F40862" w:rsidRPr="00DA0977">
        <w:rPr>
          <w:i/>
        </w:rPr>
        <w:t>R. v. Sinclair</w:t>
      </w:r>
      <w:r w:rsidR="00F40862" w:rsidRPr="00DA0977">
        <w:t xml:space="preserve">, 2022 MBPC 40; </w:t>
      </w:r>
      <w:r w:rsidR="00C36762" w:rsidRPr="00DA0977">
        <w:rPr>
          <w:i/>
          <w:iCs/>
        </w:rPr>
        <w:t>R. v. Pentecost</w:t>
      </w:r>
      <w:r w:rsidR="00C36762" w:rsidRPr="00DA0977">
        <w:t xml:space="preserve">, 2020 NSSC 277; </w:t>
      </w:r>
      <w:r w:rsidR="00FD0B82" w:rsidRPr="00DA0977">
        <w:rPr>
          <w:i/>
        </w:rPr>
        <w:t>R. v. Collier</w:t>
      </w:r>
      <w:r w:rsidR="00FD0B82" w:rsidRPr="00DA0977">
        <w:t xml:space="preserve">, 2021 ONSC 6827; </w:t>
      </w:r>
      <w:r w:rsidR="00FD3BD7" w:rsidRPr="00DA0977">
        <w:rPr>
          <w:i/>
        </w:rPr>
        <w:t>R. v. Kavanagh</w:t>
      </w:r>
      <w:r w:rsidR="00FD3BD7" w:rsidRPr="00DA0977">
        <w:t>, 2023 ONSC 283;</w:t>
      </w:r>
      <w:r w:rsidR="005B3D94" w:rsidRPr="00DA0977">
        <w:rPr>
          <w:i/>
        </w:rPr>
        <w:t xml:space="preserve"> R. v. Moolla</w:t>
      </w:r>
      <w:r w:rsidR="005B3D94" w:rsidRPr="00DA0977">
        <w:t>, 2021 ONSC 3702;</w:t>
      </w:r>
      <w:r w:rsidR="00BB0A5A" w:rsidRPr="00DA0977">
        <w:rPr>
          <w:i/>
        </w:rPr>
        <w:t xml:space="preserve"> R. v. E.F.</w:t>
      </w:r>
      <w:r w:rsidR="00BB0A5A" w:rsidRPr="00DA0977">
        <w:t>, 2021 ABQB 272;</w:t>
      </w:r>
      <w:r w:rsidR="005F0DBC" w:rsidRPr="00DA0977">
        <w:rPr>
          <w:i/>
        </w:rPr>
        <w:t xml:space="preserve"> R. v. Battieste</w:t>
      </w:r>
      <w:r w:rsidR="005F0DBC" w:rsidRPr="00DA0977">
        <w:t xml:space="preserve">, 2022 ONCJ 573; </w:t>
      </w:r>
      <w:r w:rsidR="00BC7FB1" w:rsidRPr="00DA0977">
        <w:rPr>
          <w:i/>
        </w:rPr>
        <w:t>R. v. Faille</w:t>
      </w:r>
      <w:r w:rsidR="00BC7FB1" w:rsidRPr="00DA0977">
        <w:t xml:space="preserve">, 2021 QCCQ 4945; </w:t>
      </w:r>
      <w:r w:rsidR="00076FAB" w:rsidRPr="00DA0977">
        <w:rPr>
          <w:i/>
        </w:rPr>
        <w:t>R. v. Saberi</w:t>
      </w:r>
      <w:r w:rsidR="00076FAB" w:rsidRPr="00DA0977">
        <w:t xml:space="preserve">, 2021 ONCJ 345, 493 C.R.R. (2d) 121; </w:t>
      </w:r>
      <w:r w:rsidR="00D82B95" w:rsidRPr="00DA0977">
        <w:rPr>
          <w:i/>
        </w:rPr>
        <w:t>R. v.</w:t>
      </w:r>
      <w:r w:rsidR="00D82B95" w:rsidRPr="00DA0977">
        <w:t xml:space="preserve"> </w:t>
      </w:r>
      <w:r w:rsidR="00D82B95" w:rsidRPr="00DA0977">
        <w:rPr>
          <w:i/>
        </w:rPr>
        <w:t>Boucher</w:t>
      </w:r>
      <w:r w:rsidR="00D82B95" w:rsidRPr="00DA0977">
        <w:t xml:space="preserve">, 2020 ABCA 208; </w:t>
      </w:r>
      <w:r w:rsidR="00E87DF6" w:rsidRPr="00DA0977">
        <w:rPr>
          <w:i/>
        </w:rPr>
        <w:t>R. v. Kalliraq</w:t>
      </w:r>
      <w:r w:rsidR="00E87DF6" w:rsidRPr="00DA0977">
        <w:t xml:space="preserve">, 2022 NUCA 6; </w:t>
      </w:r>
      <w:r w:rsidR="00FA0838" w:rsidRPr="00DA0977">
        <w:rPr>
          <w:i/>
        </w:rPr>
        <w:t>R. v. Razon</w:t>
      </w:r>
      <w:r w:rsidR="00FA0838" w:rsidRPr="00DA0977">
        <w:t xml:space="preserve">, 2021 ONCJ 616; </w:t>
      </w:r>
      <w:r w:rsidR="00D838F3" w:rsidRPr="00DA0977">
        <w:rPr>
          <w:i/>
        </w:rPr>
        <w:t>R. v. Coban</w:t>
      </w:r>
      <w:r w:rsidR="00D838F3" w:rsidRPr="00DA0977">
        <w:t xml:space="preserve">, 2022 BCSC 1810; </w:t>
      </w:r>
      <w:r w:rsidR="009870AD" w:rsidRPr="00DA0977">
        <w:rPr>
          <w:i/>
          <w:lang w:val="en-US"/>
        </w:rPr>
        <w:t>R. v. Bains</w:t>
      </w:r>
      <w:r w:rsidR="009870AD" w:rsidRPr="00DA0977">
        <w:rPr>
          <w:lang w:val="en-US"/>
        </w:rPr>
        <w:t>, 2021 ABPC 20</w:t>
      </w:r>
      <w:r w:rsidR="009870AD" w:rsidRPr="00DA0977">
        <w:t>;</w:t>
      </w:r>
      <w:r w:rsidR="00F5636A" w:rsidRPr="00DA0977">
        <w:rPr>
          <w:i/>
        </w:rPr>
        <w:t xml:space="preserve"> Montour v. R.</w:t>
      </w:r>
      <w:r w:rsidR="00F5636A" w:rsidRPr="00DA0977">
        <w:t xml:space="preserve">, 2020 QCCA 1648; </w:t>
      </w:r>
      <w:r w:rsidR="008D13A3" w:rsidRPr="00DA0977">
        <w:rPr>
          <w:i/>
          <w:lang w:val="en-US"/>
        </w:rPr>
        <w:t>R. v. LaFrance</w:t>
      </w:r>
      <w:r w:rsidR="008D13A3" w:rsidRPr="00DA0977">
        <w:rPr>
          <w:lang w:val="en-US"/>
        </w:rPr>
        <w:t xml:space="preserve">, 2022 ABCA 351; </w:t>
      </w:r>
      <w:r w:rsidR="00FE5C83" w:rsidRPr="00DA0977">
        <w:rPr>
          <w:i/>
        </w:rPr>
        <w:t>R. v. Jissink</w:t>
      </w:r>
      <w:r w:rsidR="00FE5C83" w:rsidRPr="00DA0977">
        <w:t xml:space="preserve">, 2021 ABQB 102, 482 C.R.R. (2d) 167; </w:t>
      </w:r>
      <w:r w:rsidR="00AC384C" w:rsidRPr="00DA0977">
        <w:rPr>
          <w:i/>
        </w:rPr>
        <w:t>R. v. Lemay</w:t>
      </w:r>
      <w:r w:rsidR="00AC384C" w:rsidRPr="00DA0977">
        <w:t xml:space="preserve">, 2020 ABCA 365, 14 Alta. L.R. (7th) 45; </w:t>
      </w:r>
      <w:r w:rsidR="00C82212" w:rsidRPr="00DA0977">
        <w:rPr>
          <w:i/>
        </w:rPr>
        <w:t>R. v. Aguilar</w:t>
      </w:r>
      <w:r w:rsidR="00C82212" w:rsidRPr="00DA0977">
        <w:t>, 2021 ONCJ 87, aff’d 2022 ONCA 353;</w:t>
      </w:r>
      <w:r w:rsidR="008E2004" w:rsidRPr="00DA0977">
        <w:rPr>
          <w:i/>
          <w:szCs w:val="24"/>
        </w:rPr>
        <w:t xml:space="preserve"> R. v. M. (C.A.)</w:t>
      </w:r>
      <w:r w:rsidR="008E2004" w:rsidRPr="00DA0977">
        <w:rPr>
          <w:szCs w:val="24"/>
        </w:rPr>
        <w:t xml:space="preserve">, [1996] 1 S.C.R. 500; </w:t>
      </w:r>
      <w:r w:rsidR="00F0391D" w:rsidRPr="00DA0977">
        <w:rPr>
          <w:i/>
          <w:szCs w:val="24"/>
        </w:rPr>
        <w:t>R. v. Hutchings</w:t>
      </w:r>
      <w:r w:rsidR="00F0391D" w:rsidRPr="00DA0977">
        <w:rPr>
          <w:szCs w:val="24"/>
        </w:rPr>
        <w:t xml:space="preserve">, 2012 NLCA 2, 316 Nfld. &amp; P.E.I.R. 211; </w:t>
      </w:r>
      <w:r w:rsidR="00783949" w:rsidRPr="00DA0977">
        <w:rPr>
          <w:i/>
          <w:szCs w:val="24"/>
        </w:rPr>
        <w:t>Desjardins v. R.</w:t>
      </w:r>
      <w:r w:rsidR="00783949" w:rsidRPr="00DA0977">
        <w:rPr>
          <w:szCs w:val="24"/>
        </w:rPr>
        <w:t xml:space="preserve">, 2015 QCCA 1774; </w:t>
      </w:r>
      <w:r w:rsidR="006E5A14" w:rsidRPr="00DA0977">
        <w:rPr>
          <w:i/>
          <w:szCs w:val="24"/>
        </w:rPr>
        <w:t>R. v. Borde</w:t>
      </w:r>
      <w:r w:rsidR="006E5A14" w:rsidRPr="00DA0977">
        <w:rPr>
          <w:szCs w:val="24"/>
        </w:rPr>
        <w:t xml:space="preserve"> (2003), 63 O.R. (3d) 417; </w:t>
      </w:r>
      <w:r w:rsidR="002B2862" w:rsidRPr="00DA0977">
        <w:rPr>
          <w:i/>
        </w:rPr>
        <w:t>R. v. McDonnell</w:t>
      </w:r>
      <w:r w:rsidR="002B2862" w:rsidRPr="00DA0977">
        <w:t xml:space="preserve">, [1997] 1 S.C.R. 948; </w:t>
      </w:r>
      <w:r w:rsidR="00DD4C95" w:rsidRPr="00DA0977">
        <w:rPr>
          <w:i/>
          <w:szCs w:val="24"/>
        </w:rPr>
        <w:t>R. v. Gummer</w:t>
      </w:r>
      <w:r w:rsidR="00DD4C95" w:rsidRPr="00DA0977">
        <w:rPr>
          <w:szCs w:val="24"/>
        </w:rPr>
        <w:t xml:space="preserve"> (1983), 38 C.R. (3d) 46; </w:t>
      </w:r>
      <w:r w:rsidR="000A612D" w:rsidRPr="00DA0977">
        <w:rPr>
          <w:i/>
        </w:rPr>
        <w:t>R. v. Gillis</w:t>
      </w:r>
      <w:r w:rsidR="000A612D" w:rsidRPr="00DA0977">
        <w:t xml:space="preserve">, 2009 ONCA 312, </w:t>
      </w:r>
      <w:r w:rsidR="000A612D" w:rsidRPr="00DA0977">
        <w:rPr>
          <w:szCs w:val="24"/>
        </w:rPr>
        <w:t xml:space="preserve">248 O.A.C. 1; </w:t>
      </w:r>
      <w:r w:rsidR="0018315F" w:rsidRPr="00DA0977">
        <w:rPr>
          <w:i/>
        </w:rPr>
        <w:t>R. v. Morton</w:t>
      </w:r>
      <w:r w:rsidR="0018315F" w:rsidRPr="00DA0977">
        <w:t xml:space="preserve">, 2021 ABCA 29; </w:t>
      </w:r>
      <w:r w:rsidR="003B6475" w:rsidRPr="00DA0977">
        <w:rPr>
          <w:i/>
        </w:rPr>
        <w:t>R. v. McLean</w:t>
      </w:r>
      <w:r w:rsidR="003B6475" w:rsidRPr="00DA0977">
        <w:t xml:space="preserve">, 2016 SKCA 93, 484 Sask. R. 137; </w:t>
      </w:r>
      <w:r w:rsidR="00080856" w:rsidRPr="00DA0977">
        <w:rPr>
          <w:i/>
        </w:rPr>
        <w:t>Laguerre v. R</w:t>
      </w:r>
      <w:r w:rsidR="0056752A" w:rsidRPr="00DA0977">
        <w:rPr>
          <w:i/>
        </w:rPr>
        <w:t>.</w:t>
      </w:r>
      <w:r w:rsidR="00080856" w:rsidRPr="00DA0977">
        <w:t xml:space="preserve">, 2021 QCCA 1537; </w:t>
      </w:r>
      <w:r w:rsidR="005B3910" w:rsidRPr="00DA0977">
        <w:rPr>
          <w:i/>
        </w:rPr>
        <w:t>R. v. Proulx</w:t>
      </w:r>
      <w:r w:rsidR="005B3910" w:rsidRPr="00DA0977">
        <w:t xml:space="preserve">, 2000 SCC 5, [2000] 1 S.C.R. 61; </w:t>
      </w:r>
      <w:r w:rsidR="002D0F72" w:rsidRPr="00DA0977">
        <w:rPr>
          <w:i/>
        </w:rPr>
        <w:t>R. v. R.A.R.</w:t>
      </w:r>
      <w:r w:rsidR="002D0F72" w:rsidRPr="00DA0977">
        <w:t xml:space="preserve">, 2000 SCC 8, [2000] 1 S.C.R. 163; </w:t>
      </w:r>
      <w:r w:rsidR="009F4F1C" w:rsidRPr="00DA0977">
        <w:rPr>
          <w:i/>
        </w:rPr>
        <w:t>R. v. Anderson</w:t>
      </w:r>
      <w:r w:rsidR="009F4F1C" w:rsidRPr="00DA0977">
        <w:t xml:space="preserve">, 2014 SCC 41, [2014] 2 S.C.R. 167; </w:t>
      </w:r>
      <w:r w:rsidR="00BE2F01" w:rsidRPr="00DA0977">
        <w:rPr>
          <w:i/>
        </w:rPr>
        <w:t xml:space="preserve">R. v. </w:t>
      </w:r>
      <w:r w:rsidR="00BE2F01" w:rsidRPr="00DA0977">
        <w:rPr>
          <w:i/>
          <w:iCs/>
        </w:rPr>
        <w:t>Bissonnette</w:t>
      </w:r>
      <w:r w:rsidR="00BE2F01" w:rsidRPr="00DA0977">
        <w:rPr>
          <w:iCs/>
        </w:rPr>
        <w:t xml:space="preserve">, 2022 SCC 23; </w:t>
      </w:r>
      <w:r w:rsidR="003050D5" w:rsidRPr="00DA0977">
        <w:rPr>
          <w:i/>
        </w:rPr>
        <w:t xml:space="preserve">R. v. </w:t>
      </w:r>
      <w:r w:rsidR="003050D5" w:rsidRPr="00DA0977">
        <w:rPr>
          <w:i/>
          <w:iCs/>
        </w:rPr>
        <w:t>Nur</w:t>
      </w:r>
      <w:r w:rsidR="003050D5" w:rsidRPr="00DA0977">
        <w:rPr>
          <w:iCs/>
        </w:rPr>
        <w:t xml:space="preserve">, 2015 SCC 15, [2015] 1 S.C.R. 773; </w:t>
      </w:r>
      <w:r w:rsidR="00223A21" w:rsidRPr="00DA0977">
        <w:rPr>
          <w:i/>
          <w:iCs/>
        </w:rPr>
        <w:t>R. v. Smith</w:t>
      </w:r>
      <w:r w:rsidR="00223A21" w:rsidRPr="00DA0977">
        <w:t xml:space="preserve">, [1987] 1 S.C.R. 1045; </w:t>
      </w:r>
      <w:r w:rsidR="00632395" w:rsidRPr="00DA0977">
        <w:rPr>
          <w:i/>
          <w:iCs/>
        </w:rPr>
        <w:t>R. v. Faroughi</w:t>
      </w:r>
      <w:r w:rsidR="00632395" w:rsidRPr="00DA0977">
        <w:t>,</w:t>
      </w:r>
      <w:r w:rsidR="00632395" w:rsidRPr="00DA0977">
        <w:rPr>
          <w:i/>
          <w:iCs/>
        </w:rPr>
        <w:t xml:space="preserve"> </w:t>
      </w:r>
      <w:r w:rsidR="00632395" w:rsidRPr="00DA0977">
        <w:t xml:space="preserve">2020 ONSC 780; </w:t>
      </w:r>
      <w:r w:rsidR="0070157A" w:rsidRPr="00DA0977">
        <w:rPr>
          <w:i/>
          <w:iCs/>
        </w:rPr>
        <w:t>R. v. Koenig</w:t>
      </w:r>
      <w:r w:rsidR="0070157A" w:rsidRPr="00DA0977">
        <w:t>, 2019 BCPC 83;</w:t>
      </w:r>
      <w:r w:rsidR="00C6511A" w:rsidRPr="00DA0977">
        <w:rPr>
          <w:i/>
        </w:rPr>
        <w:t xml:space="preserve"> R. v. Ward</w:t>
      </w:r>
      <w:r w:rsidR="00C6511A" w:rsidRPr="00DA0977">
        <w:t>, 2019 NSPC 72;</w:t>
      </w:r>
      <w:r w:rsidR="001C3B63" w:rsidRPr="00DA0977">
        <w:t xml:space="preserve"> </w:t>
      </w:r>
      <w:r w:rsidR="001C3B63" w:rsidRPr="00DA0977">
        <w:rPr>
          <w:i/>
        </w:rPr>
        <w:t>R. v. Fawcett</w:t>
      </w:r>
      <w:r w:rsidR="001C3B63" w:rsidRPr="00DA0977">
        <w:t xml:space="preserve">, 2019 BCPC 125; </w:t>
      </w:r>
      <w:r w:rsidR="009E34CF" w:rsidRPr="00DA0977">
        <w:rPr>
          <w:i/>
          <w:iCs/>
        </w:rPr>
        <w:t xml:space="preserve">R. v. </w:t>
      </w:r>
      <w:r w:rsidR="009E34CF" w:rsidRPr="00DA0977">
        <w:rPr>
          <w:i/>
        </w:rPr>
        <w:t>Lloyd</w:t>
      </w:r>
      <w:r w:rsidR="009E34CF" w:rsidRPr="00DA0977">
        <w:t xml:space="preserve">, 2016 SCC 13, [2016] 1 S.C.R. 130; </w:t>
      </w:r>
      <w:r w:rsidR="00574BC3" w:rsidRPr="00DA0977">
        <w:rPr>
          <w:i/>
          <w:iCs/>
        </w:rPr>
        <w:t>R. v. Boudreault</w:t>
      </w:r>
      <w:r w:rsidR="00574BC3" w:rsidRPr="00DA0977">
        <w:t xml:space="preserve">, 2018 SCC 58, [2018] 3 S.C.R. 599; </w:t>
      </w:r>
      <w:r w:rsidR="00B31FBE" w:rsidRPr="00DA0977">
        <w:rPr>
          <w:i/>
          <w:iCs/>
        </w:rPr>
        <w:t>R. v. Morrisey</w:t>
      </w:r>
      <w:r w:rsidR="00B31FBE" w:rsidRPr="00DA0977">
        <w:t xml:space="preserve">, 2000 SCC 39, [2000] 2 S.C.R. 90; </w:t>
      </w:r>
      <w:r w:rsidR="003A6062" w:rsidRPr="00DA0977">
        <w:rPr>
          <w:i/>
          <w:iCs/>
        </w:rPr>
        <w:t>R. v. Wiles</w:t>
      </w:r>
      <w:r w:rsidR="003A6062" w:rsidRPr="00DA0977">
        <w:t xml:space="preserve">, 2005 SCC 84, [2005] 3 S.C.R. 895; </w:t>
      </w:r>
      <w:r w:rsidR="00FA0ABE" w:rsidRPr="00DA0977">
        <w:rPr>
          <w:i/>
          <w:iCs/>
        </w:rPr>
        <w:t>Steele v. Mountain Institution</w:t>
      </w:r>
      <w:r w:rsidR="00FA0ABE" w:rsidRPr="00DA0977">
        <w:t xml:space="preserve">, [1990] 2 S.C.R. 1385; </w:t>
      </w:r>
      <w:r w:rsidR="008469C6" w:rsidRPr="00DA0977">
        <w:rPr>
          <w:i/>
        </w:rPr>
        <w:t>R. v. Parranto</w:t>
      </w:r>
      <w:r w:rsidR="008469C6" w:rsidRPr="00DA0977">
        <w:t xml:space="preserve">, 2021 SCC 46; </w:t>
      </w:r>
      <w:r w:rsidR="008469C6" w:rsidRPr="00DA0977">
        <w:rPr>
          <w:i/>
        </w:rPr>
        <w:t>R. v. Ipeelee</w:t>
      </w:r>
      <w:r w:rsidR="008469C6" w:rsidRPr="00DA0977">
        <w:t xml:space="preserve">, 2012 SCC 13, [2012] 1 S.C.R. 433; </w:t>
      </w:r>
      <w:r w:rsidR="001F42E3" w:rsidRPr="00DA0977">
        <w:rPr>
          <w:i/>
        </w:rPr>
        <w:t>R. v. Laberge</w:t>
      </w:r>
      <w:r w:rsidR="001F42E3" w:rsidRPr="00DA0977">
        <w:t xml:space="preserve"> (1995), </w:t>
      </w:r>
      <w:r w:rsidR="001F42E3" w:rsidRPr="00DA0977">
        <w:rPr>
          <w:lang w:bidi="en-US"/>
        </w:rPr>
        <w:t xml:space="preserve">165 A.R. 375; </w:t>
      </w:r>
      <w:r w:rsidR="001F42E3" w:rsidRPr="00DA0977">
        <w:rPr>
          <w:i/>
        </w:rPr>
        <w:t xml:space="preserve">R. </w:t>
      </w:r>
      <w:r w:rsidR="008A5AB9" w:rsidRPr="00DA0977">
        <w:rPr>
          <w:i/>
        </w:rPr>
        <w:t>v</w:t>
      </w:r>
      <w:r w:rsidR="001F42E3" w:rsidRPr="00DA0977">
        <w:rPr>
          <w:i/>
        </w:rPr>
        <w:t>. Murphy</w:t>
      </w:r>
      <w:r w:rsidR="001F42E3" w:rsidRPr="00DA0977">
        <w:t xml:space="preserve">, 2014 </w:t>
      </w:r>
      <w:r w:rsidR="001F42E3" w:rsidRPr="00DA0977">
        <w:lastRenderedPageBreak/>
        <w:t xml:space="preserve">ABCA 409, </w:t>
      </w:r>
      <w:r w:rsidR="001F42E3" w:rsidRPr="00DA0977">
        <w:rPr>
          <w:lang w:val="en-US" w:bidi="en-US"/>
        </w:rPr>
        <w:t>593 A.R. 60</w:t>
      </w:r>
      <w:r w:rsidR="001F42E3" w:rsidRPr="00DA0977">
        <w:rPr>
          <w:lang w:bidi="en-US"/>
        </w:rPr>
        <w:t xml:space="preserve">; </w:t>
      </w:r>
      <w:r w:rsidR="001F42E3" w:rsidRPr="00DA0977">
        <w:rPr>
          <w:i/>
        </w:rPr>
        <w:t>R. v. Vienneau</w:t>
      </w:r>
      <w:r w:rsidR="001F42E3" w:rsidRPr="00DA0977">
        <w:t>, 2015 ONCA 898</w:t>
      </w:r>
      <w:r w:rsidR="001F42E3" w:rsidRPr="00DA0977">
        <w:rPr>
          <w:lang w:bidi="en-US"/>
        </w:rPr>
        <w:t xml:space="preserve">; </w:t>
      </w:r>
      <w:r w:rsidR="00092CC7" w:rsidRPr="00DA0977">
        <w:rPr>
          <w:i/>
          <w:lang w:bidi="en-US"/>
        </w:rPr>
        <w:t>R. v. Hood</w:t>
      </w:r>
      <w:r w:rsidR="00092CC7" w:rsidRPr="00DA0977">
        <w:rPr>
          <w:lang w:bidi="en-US"/>
        </w:rPr>
        <w:t>,</w:t>
      </w:r>
      <w:r w:rsidR="00092CC7" w:rsidRPr="00DA0977">
        <w:rPr>
          <w:i/>
          <w:lang w:bidi="en-US"/>
        </w:rPr>
        <w:t xml:space="preserve"> </w:t>
      </w:r>
      <w:r w:rsidR="00092CC7" w:rsidRPr="00DA0977">
        <w:t>2016 NSPC 19</w:t>
      </w:r>
      <w:r w:rsidR="00092CC7" w:rsidRPr="00DA0977">
        <w:rPr>
          <w:lang w:bidi="en-US"/>
        </w:rPr>
        <w:t>, 371 N.S.R. (2d) 324</w:t>
      </w:r>
      <w:r w:rsidR="00092CC7" w:rsidRPr="00DA0977">
        <w:rPr>
          <w:lang w:val="en-US" w:bidi="en-US"/>
        </w:rPr>
        <w:t xml:space="preserve">; </w:t>
      </w:r>
      <w:r w:rsidR="00DC342F" w:rsidRPr="00DA0977">
        <w:rPr>
          <w:i/>
          <w:iCs/>
          <w:lang w:bidi="en-US"/>
        </w:rPr>
        <w:t>R. v. Hood</w:t>
      </w:r>
      <w:r w:rsidR="00DC342F" w:rsidRPr="00DA0977">
        <w:rPr>
          <w:lang w:bidi="en-US"/>
        </w:rPr>
        <w:t xml:space="preserve">, 2016 NSPC 78; </w:t>
      </w:r>
      <w:r w:rsidR="005A3745" w:rsidRPr="00DA0977">
        <w:rPr>
          <w:i/>
        </w:rPr>
        <w:t>R. v. Ayorech</w:t>
      </w:r>
      <w:r w:rsidR="005A3745" w:rsidRPr="00DA0977">
        <w:t xml:space="preserve">, 2012 ABCA 82, 522 A.R. 306; </w:t>
      </w:r>
      <w:r w:rsidR="00EB4C09" w:rsidRPr="00DA0977">
        <w:rPr>
          <w:i/>
        </w:rPr>
        <w:t>R. v. Tremblay</w:t>
      </w:r>
      <w:r w:rsidR="00EB4C09" w:rsidRPr="00DA0977">
        <w:t xml:space="preserve">, 2006 ABCA 252, 401 A.R. 9; </w:t>
      </w:r>
      <w:r w:rsidR="00C86AC2" w:rsidRPr="00DA0977">
        <w:rPr>
          <w:i/>
        </w:rPr>
        <w:t>R. v. Belcourt</w:t>
      </w:r>
      <w:r w:rsidR="00C86AC2" w:rsidRPr="00DA0977">
        <w:t xml:space="preserve">, 2010 ABCA 319, 490 A.R. 224; </w:t>
      </w:r>
      <w:r w:rsidR="00B6089E" w:rsidRPr="00DA0977">
        <w:rPr>
          <w:i/>
        </w:rPr>
        <w:t>R. v. Resler</w:t>
      </w:r>
      <w:r w:rsidR="00B6089E" w:rsidRPr="00DA0977">
        <w:t xml:space="preserve">, 2011 ABCA 167, 505 A.R. 330; </w:t>
      </w:r>
      <w:r w:rsidR="00450300" w:rsidRPr="00DA0977">
        <w:rPr>
          <w:i/>
        </w:rPr>
        <w:t>R. v. Lundrigan</w:t>
      </w:r>
      <w:r w:rsidR="00450300" w:rsidRPr="00DA0977">
        <w:t xml:space="preserve">, 2012 NLCA 43, </w:t>
      </w:r>
      <w:r w:rsidR="00450300" w:rsidRPr="00DA0977">
        <w:rPr>
          <w:lang w:bidi="en-US"/>
        </w:rPr>
        <w:t xml:space="preserve">324 Nfld. &amp; P.E.I.R. 270; </w:t>
      </w:r>
      <w:r w:rsidR="0031147E" w:rsidRPr="00DA0977">
        <w:rPr>
          <w:i/>
        </w:rPr>
        <w:t>R. v. Ellis</w:t>
      </w:r>
      <w:r w:rsidR="0031147E" w:rsidRPr="00DA0977">
        <w:t xml:space="preserve">, 2013 ONCA 739, 303 C.C.C. (3d) 228; </w:t>
      </w:r>
      <w:r w:rsidR="0067503A" w:rsidRPr="00DA0977">
        <w:rPr>
          <w:i/>
        </w:rPr>
        <w:t>R. v. Priest</w:t>
      </w:r>
      <w:r w:rsidR="0067503A" w:rsidRPr="00DA0977">
        <w:t xml:space="preserve"> (1996), 30 O.R. (3d) 538; </w:t>
      </w:r>
      <w:r w:rsidR="00E0319C" w:rsidRPr="00DA0977">
        <w:rPr>
          <w:i/>
        </w:rPr>
        <w:t>R. v. Tan</w:t>
      </w:r>
      <w:r w:rsidR="00E0319C" w:rsidRPr="00DA0977">
        <w:t xml:space="preserve">, 2008 ONCA 574, 268 O.A.C. 385; </w:t>
      </w:r>
      <w:r w:rsidR="00B4722A" w:rsidRPr="00DA0977">
        <w:rPr>
          <w:i/>
        </w:rPr>
        <w:t xml:space="preserve">R. v. T. </w:t>
      </w:r>
      <w:r w:rsidR="001944D4" w:rsidRPr="00DA0977">
        <w:rPr>
          <w:i/>
        </w:rPr>
        <w:t>(K.)</w:t>
      </w:r>
      <w:r w:rsidR="001944D4" w:rsidRPr="00DA0977">
        <w:t>, 2008 ONCA 91, 89 O.R. (3d) 99</w:t>
      </w:r>
      <w:r w:rsidR="007667B9" w:rsidRPr="00DA0977">
        <w:t xml:space="preserve">; </w:t>
      </w:r>
      <w:r w:rsidR="007667B9" w:rsidRPr="00DA0977">
        <w:rPr>
          <w:i/>
        </w:rPr>
        <w:t>R. v. Stein</w:t>
      </w:r>
      <w:r w:rsidR="007667B9" w:rsidRPr="00DA0977">
        <w:t xml:space="preserve"> (1974), 15 C.C.C. (2d) 376</w:t>
      </w:r>
      <w:r w:rsidR="001944D4" w:rsidRPr="00DA0977">
        <w:t xml:space="preserve">; </w:t>
      </w:r>
      <w:r w:rsidR="00B4538A" w:rsidRPr="00DA0977">
        <w:rPr>
          <w:i/>
        </w:rPr>
        <w:t>R. v. S.</w:t>
      </w:r>
      <w:r w:rsidR="00B4722A" w:rsidRPr="00DA0977">
        <w:rPr>
          <w:i/>
        </w:rPr>
        <w:t xml:space="preserve"> </w:t>
      </w:r>
      <w:r w:rsidR="00B4538A" w:rsidRPr="00DA0977">
        <w:rPr>
          <w:i/>
        </w:rPr>
        <w:t>(S.)</w:t>
      </w:r>
      <w:r w:rsidR="00B4538A" w:rsidRPr="00DA0977">
        <w:t xml:space="preserve">, 2014 ONCJ 184, 307 C.R.R. (2d) 147; </w:t>
      </w:r>
      <w:r w:rsidR="0083038F" w:rsidRPr="00DA0977">
        <w:rPr>
          <w:i/>
        </w:rPr>
        <w:t>R. v. Saffari</w:t>
      </w:r>
      <w:r w:rsidR="0083038F" w:rsidRPr="00DA0977">
        <w:t>,</w:t>
      </w:r>
      <w:r w:rsidR="0083038F" w:rsidRPr="00DA0977">
        <w:rPr>
          <w:i/>
        </w:rPr>
        <w:t xml:space="preserve"> </w:t>
      </w:r>
      <w:r w:rsidR="0083038F" w:rsidRPr="00DA0977">
        <w:t xml:space="preserve">2019 ONCJ 861; </w:t>
      </w:r>
      <w:r w:rsidR="006602FF" w:rsidRPr="00DA0977">
        <w:rPr>
          <w:i/>
        </w:rPr>
        <w:t>R. v. Dickson</w:t>
      </w:r>
      <w:r w:rsidR="006602FF" w:rsidRPr="00DA0977">
        <w:t>,</w:t>
      </w:r>
      <w:r w:rsidR="006602FF" w:rsidRPr="00DA0977">
        <w:rPr>
          <w:i/>
        </w:rPr>
        <w:t xml:space="preserve"> </w:t>
      </w:r>
      <w:r w:rsidR="006602FF" w:rsidRPr="00DA0977">
        <w:t>2007 BCCA 561, 228 C.C.C. (3d) 450;</w:t>
      </w:r>
      <w:r w:rsidR="00A04590" w:rsidRPr="00DA0977">
        <w:rPr>
          <w:i/>
        </w:rPr>
        <w:t xml:space="preserve"> R. v. Shevchenko</w:t>
      </w:r>
      <w:r w:rsidR="00A04590" w:rsidRPr="00DA0977">
        <w:t>,</w:t>
      </w:r>
      <w:r w:rsidR="00A04590" w:rsidRPr="00DA0977">
        <w:rPr>
          <w:i/>
        </w:rPr>
        <w:t xml:space="preserve"> </w:t>
      </w:r>
      <w:r w:rsidR="00A04590" w:rsidRPr="00DA0977">
        <w:t xml:space="preserve">2018 ABCA 31; </w:t>
      </w:r>
      <w:r w:rsidR="00355E3A" w:rsidRPr="00DA0977">
        <w:rPr>
          <w:i/>
        </w:rPr>
        <w:t>R. v. Vivian</w:t>
      </w:r>
      <w:r w:rsidR="00355E3A" w:rsidRPr="00DA0977">
        <w:t>,</w:t>
      </w:r>
      <w:r w:rsidR="00355E3A" w:rsidRPr="00DA0977">
        <w:rPr>
          <w:i/>
        </w:rPr>
        <w:t xml:space="preserve"> </w:t>
      </w:r>
      <w:r w:rsidR="00355E3A" w:rsidRPr="00DA0977">
        <w:t xml:space="preserve">2001 ABQB 468, 289 A.R. </w:t>
      </w:r>
      <w:r w:rsidR="00355E3A" w:rsidRPr="00DA0977">
        <w:rPr>
          <w:lang w:bidi="en-US"/>
        </w:rPr>
        <w:t xml:space="preserve">378; </w:t>
      </w:r>
      <w:r w:rsidR="00162D2F" w:rsidRPr="00DA0977">
        <w:rPr>
          <w:i/>
        </w:rPr>
        <w:t>R. v. Sulek</w:t>
      </w:r>
      <w:r w:rsidR="00162D2F" w:rsidRPr="00DA0977">
        <w:t>,</w:t>
      </w:r>
      <w:r w:rsidR="00162D2F" w:rsidRPr="00DA0977">
        <w:rPr>
          <w:i/>
        </w:rPr>
        <w:t xml:space="preserve"> </w:t>
      </w:r>
      <w:r w:rsidR="00162D2F" w:rsidRPr="00DA0977">
        <w:t xml:space="preserve">2011 ABPC 314, </w:t>
      </w:r>
      <w:r w:rsidR="00162D2F" w:rsidRPr="00DA0977">
        <w:rPr>
          <w:lang w:bidi="en-US"/>
        </w:rPr>
        <w:t xml:space="preserve">21 M.V.R. (6th) </w:t>
      </w:r>
      <w:r w:rsidR="00162D2F" w:rsidRPr="00DA0977">
        <w:rPr>
          <w:lang w:val="en-US" w:bidi="en-US"/>
        </w:rPr>
        <w:t>336</w:t>
      </w:r>
      <w:r w:rsidR="00162D2F" w:rsidRPr="00DA0977">
        <w:t xml:space="preserve">; </w:t>
      </w:r>
      <w:r w:rsidR="00A82DA5" w:rsidRPr="00DA0977">
        <w:rPr>
          <w:i/>
        </w:rPr>
        <w:t>R. v. Legg</w:t>
      </w:r>
      <w:r w:rsidR="00A82DA5" w:rsidRPr="00DA0977">
        <w:t>,</w:t>
      </w:r>
      <w:r w:rsidR="00A82DA5" w:rsidRPr="00DA0977">
        <w:rPr>
          <w:i/>
        </w:rPr>
        <w:t xml:space="preserve"> </w:t>
      </w:r>
      <w:r w:rsidR="00A82DA5" w:rsidRPr="00DA0977">
        <w:t xml:space="preserve">2014 ABPC 238, 26 Alta. L.R. (6th) 181; </w:t>
      </w:r>
      <w:r w:rsidR="00A26FCE" w:rsidRPr="00DA0977">
        <w:rPr>
          <w:i/>
        </w:rPr>
        <w:t xml:space="preserve">R. v. Valiquette </w:t>
      </w:r>
      <w:r w:rsidR="00A26FCE" w:rsidRPr="00DA0977">
        <w:t xml:space="preserve">(1990), 60 C.C.C. (3d) 325; </w:t>
      </w:r>
      <w:r w:rsidR="00625071" w:rsidRPr="00DA0977">
        <w:rPr>
          <w:i/>
          <w:iCs/>
        </w:rPr>
        <w:t>R. v. Brown</w:t>
      </w:r>
      <w:r w:rsidR="00625071" w:rsidRPr="00DA0977">
        <w:t xml:space="preserve">, </w:t>
      </w:r>
      <w:r w:rsidR="00625071" w:rsidRPr="00DA0977">
        <w:rPr>
          <w:rStyle w:val="Hyperlink"/>
          <w:color w:val="auto"/>
        </w:rPr>
        <w:t>2015 ONCA 361</w:t>
      </w:r>
      <w:r w:rsidR="00625071" w:rsidRPr="00DA0977">
        <w:t xml:space="preserve">, 126 O.R. (3d) 797; </w:t>
      </w:r>
      <w:r w:rsidR="00626BA9" w:rsidRPr="00DA0977">
        <w:rPr>
          <w:i/>
          <w:iCs/>
        </w:rPr>
        <w:t>R. v. Laine</w:t>
      </w:r>
      <w:r w:rsidR="00626BA9" w:rsidRPr="00DA0977">
        <w:t xml:space="preserve">, </w:t>
      </w:r>
      <w:r w:rsidR="00626BA9" w:rsidRPr="00DA0977">
        <w:rPr>
          <w:rStyle w:val="Hyperlink"/>
          <w:color w:val="auto"/>
        </w:rPr>
        <w:t>2015 ONCA 519</w:t>
      </w:r>
      <w:r w:rsidR="00626BA9" w:rsidRPr="00DA0977">
        <w:t xml:space="preserve">, 338 O.A.C. 264; </w:t>
      </w:r>
      <w:r w:rsidR="007E4EED" w:rsidRPr="00DA0977">
        <w:rPr>
          <w:i/>
        </w:rPr>
        <w:t>R. v. K.R.J.</w:t>
      </w:r>
      <w:r w:rsidR="007E4EED" w:rsidRPr="00DA0977">
        <w:t xml:space="preserve">, 2016 SCC 31, [2016] 1 S.C.R. 906; </w:t>
      </w:r>
      <w:r w:rsidR="00E129D0" w:rsidRPr="00DA0977">
        <w:rPr>
          <w:i/>
          <w:lang w:val="en-US"/>
        </w:rPr>
        <w:t xml:space="preserve">R. v. Robinson </w:t>
      </w:r>
      <w:r w:rsidR="00E129D0" w:rsidRPr="00DA0977">
        <w:rPr>
          <w:lang w:val="en-US"/>
        </w:rPr>
        <w:t>(1974), 19 C.C.C. (2d) 193;</w:t>
      </w:r>
      <w:r w:rsidR="00EF417B" w:rsidRPr="00DA0977">
        <w:rPr>
          <w:lang w:val="en-US"/>
        </w:rPr>
        <w:t xml:space="preserve"> </w:t>
      </w:r>
      <w:r w:rsidR="004F5862" w:rsidRPr="00DA0977">
        <w:rPr>
          <w:i/>
        </w:rPr>
        <w:t>R. v. Hynes</w:t>
      </w:r>
      <w:r w:rsidR="004F5862" w:rsidRPr="00DA0977">
        <w:t xml:space="preserve"> (1991), 89 Nfld. &amp; P.E.I.R. 316; </w:t>
      </w:r>
      <w:r w:rsidR="0064150A" w:rsidRPr="00DA0977">
        <w:rPr>
          <w:i/>
        </w:rPr>
        <w:t>R. v. C.D.R.</w:t>
      </w:r>
      <w:r w:rsidR="0064150A" w:rsidRPr="00DA0977">
        <w:t>,</w:t>
      </w:r>
      <w:r w:rsidR="0064150A" w:rsidRPr="00DA0977">
        <w:rPr>
          <w:i/>
        </w:rPr>
        <w:t xml:space="preserve"> </w:t>
      </w:r>
      <w:r w:rsidR="0064150A" w:rsidRPr="00DA0977">
        <w:t xml:space="preserve">2020 ONSC 645; </w:t>
      </w:r>
      <w:r w:rsidR="00AE2870" w:rsidRPr="00DA0977">
        <w:rPr>
          <w:i/>
        </w:rPr>
        <w:t>R. v. Ferguson</w:t>
      </w:r>
      <w:r w:rsidR="00AE2870" w:rsidRPr="00DA0977">
        <w:t xml:space="preserve">, 2008 SCC 6, </w:t>
      </w:r>
      <w:r w:rsidR="00AE2870" w:rsidRPr="00DA0977">
        <w:rPr>
          <w:lang w:bidi="en-US"/>
        </w:rPr>
        <w:t>[2008] 1 S.C.R. 96</w:t>
      </w:r>
      <w:r w:rsidR="00402166" w:rsidRPr="00DA0977">
        <w:rPr>
          <w:lang w:bidi="en-US"/>
        </w:rPr>
        <w:t>.</w:t>
      </w:r>
    </w:p>
    <w:p w14:paraId="3F352DC0" w14:textId="57A6829D" w:rsidR="00FC6C03" w:rsidRPr="00DA0977" w:rsidRDefault="00FC6C03" w:rsidP="003A1376">
      <w:pPr>
        <w:pStyle w:val="SCCNormalDoubleSpacing"/>
        <w:widowControl w:val="0"/>
        <w:spacing w:after="720" w:line="240" w:lineRule="auto"/>
      </w:pPr>
      <w:r w:rsidRPr="00DA0977">
        <w:t>By Côté J. (dissenting</w:t>
      </w:r>
      <w:r w:rsidR="001D5047" w:rsidRPr="00DA0977">
        <w:t xml:space="preserve"> in part</w:t>
      </w:r>
      <w:r w:rsidRPr="00DA0977">
        <w:t>)</w:t>
      </w:r>
    </w:p>
    <w:p w14:paraId="1FFCEA4A" w14:textId="17883EF1" w:rsidR="00DA39CF" w:rsidRPr="00DA0977" w:rsidRDefault="00FC6C03" w:rsidP="00B4722A">
      <w:pPr>
        <w:pStyle w:val="SCCNormalDoubleSpacing"/>
        <w:widowControl w:val="0"/>
        <w:spacing w:after="480"/>
      </w:pPr>
      <w:r w:rsidRPr="00DA0977">
        <w:tab/>
      </w:r>
      <w:r w:rsidR="00480CDD" w:rsidRPr="00DA0977">
        <w:rPr>
          <w:i/>
        </w:rPr>
        <w:t xml:space="preserve">R. v. </w:t>
      </w:r>
      <w:r w:rsidR="00480CDD" w:rsidRPr="00DA0977">
        <w:rPr>
          <w:i/>
          <w:iCs/>
        </w:rPr>
        <w:t>Friesen</w:t>
      </w:r>
      <w:r w:rsidR="00480CDD" w:rsidRPr="00DA0977">
        <w:rPr>
          <w:iCs/>
        </w:rPr>
        <w:t xml:space="preserve">, 2020 SCC 9, [2020] 1 S.C.R. 424; </w:t>
      </w:r>
      <w:r w:rsidR="00480CDD" w:rsidRPr="00DA0977">
        <w:rPr>
          <w:i/>
        </w:rPr>
        <w:t>R. v. Hajar</w:t>
      </w:r>
      <w:r w:rsidR="00B4722A" w:rsidRPr="00DA0977">
        <w:t xml:space="preserve">, 2016 ABCA </w:t>
      </w:r>
      <w:r w:rsidR="00480CDD" w:rsidRPr="00DA0977">
        <w:t>222</w:t>
      </w:r>
      <w:r w:rsidR="006F3F22" w:rsidRPr="00DA0977">
        <w:t xml:space="preserve">, </w:t>
      </w:r>
      <w:r w:rsidR="006F3F22" w:rsidRPr="00DA0977">
        <w:rPr>
          <w:color w:val="000000"/>
        </w:rPr>
        <w:t>[2016] 12 W.W.R. 435</w:t>
      </w:r>
      <w:r w:rsidR="00480CDD" w:rsidRPr="00DA0977">
        <w:t xml:space="preserve">; </w:t>
      </w:r>
      <w:r w:rsidR="00480CDD" w:rsidRPr="00DA0977">
        <w:rPr>
          <w:i/>
        </w:rPr>
        <w:t xml:space="preserve">R. </w:t>
      </w:r>
      <w:r w:rsidR="008D5AB4" w:rsidRPr="00DA0977">
        <w:rPr>
          <w:i/>
        </w:rPr>
        <w:t>v</w:t>
      </w:r>
      <w:r w:rsidR="00480CDD" w:rsidRPr="00DA0977">
        <w:rPr>
          <w:i/>
        </w:rPr>
        <w:t>. L. (J.</w:t>
      </w:r>
      <w:r w:rsidR="00480CDD" w:rsidRPr="00DA0977">
        <w:rPr>
          <w:i/>
        </w:rPr>
        <w:noBreakHyphen/>
        <w:t>J.)</w:t>
      </w:r>
      <w:r w:rsidR="004E1907" w:rsidRPr="00DA0977">
        <w:rPr>
          <w:i/>
        </w:rPr>
        <w:t xml:space="preserve"> </w:t>
      </w:r>
      <w:r w:rsidR="004E1907" w:rsidRPr="00DA0977">
        <w:t>(1998)</w:t>
      </w:r>
      <w:r w:rsidR="00480CDD" w:rsidRPr="00DA0977">
        <w:t xml:space="preserve">, 126 C.C.C. (3d) 235; </w:t>
      </w:r>
      <w:r w:rsidR="00480CDD" w:rsidRPr="00DA0977">
        <w:rPr>
          <w:i/>
        </w:rPr>
        <w:t>R. v. M.</w:t>
      </w:r>
      <w:r w:rsidR="00B4722A" w:rsidRPr="00DA0977">
        <w:rPr>
          <w:i/>
        </w:rPr>
        <w:t xml:space="preserve"> </w:t>
      </w:r>
      <w:r w:rsidR="00480CDD" w:rsidRPr="00DA0977">
        <w:rPr>
          <w:i/>
        </w:rPr>
        <w:t>(C.A.)</w:t>
      </w:r>
      <w:r w:rsidR="00480CDD" w:rsidRPr="00DA0977">
        <w:t>,</w:t>
      </w:r>
      <w:r w:rsidR="00480CDD" w:rsidRPr="00DA0977">
        <w:rPr>
          <w:i/>
        </w:rPr>
        <w:t xml:space="preserve"> </w:t>
      </w:r>
      <w:r w:rsidR="00480CDD" w:rsidRPr="00DA0977">
        <w:t xml:space="preserve">[1996] 1 S.C.R. 500; </w:t>
      </w:r>
      <w:r w:rsidR="00480CDD" w:rsidRPr="00DA0977">
        <w:rPr>
          <w:i/>
        </w:rPr>
        <w:t>R. v</w:t>
      </w:r>
      <w:r w:rsidR="00B4722A" w:rsidRPr="00DA0977">
        <w:rPr>
          <w:i/>
        </w:rPr>
        <w:t>. Safarzadeh</w:t>
      </w:r>
      <w:r w:rsidR="00B4722A" w:rsidRPr="00DA0977">
        <w:rPr>
          <w:i/>
        </w:rPr>
        <w:noBreakHyphen/>
      </w:r>
      <w:r w:rsidR="00480CDD" w:rsidRPr="00DA0977">
        <w:rPr>
          <w:i/>
        </w:rPr>
        <w:t>Markhali</w:t>
      </w:r>
      <w:r w:rsidR="00480CDD" w:rsidRPr="00DA0977">
        <w:t xml:space="preserve">, 2016 </w:t>
      </w:r>
      <w:r w:rsidR="008D5AB4" w:rsidRPr="00DA0977">
        <w:t>SCC</w:t>
      </w:r>
      <w:r w:rsidR="00B4722A" w:rsidRPr="00DA0977">
        <w:t xml:space="preserve"> </w:t>
      </w:r>
      <w:r w:rsidR="00480CDD" w:rsidRPr="00DA0977">
        <w:t>14, [2016] 1 S.C.R.</w:t>
      </w:r>
      <w:r w:rsidR="00B4722A" w:rsidRPr="00DA0977">
        <w:t xml:space="preserve"> </w:t>
      </w:r>
      <w:r w:rsidR="008D5AB4" w:rsidRPr="00DA0977">
        <w:t>180</w:t>
      </w:r>
      <w:r w:rsidR="00480CDD" w:rsidRPr="00DA0977">
        <w:t xml:space="preserve">; </w:t>
      </w:r>
      <w:r w:rsidR="00480CDD" w:rsidRPr="00DA0977">
        <w:rPr>
          <w:i/>
        </w:rPr>
        <w:t>R. v</w:t>
      </w:r>
      <w:r w:rsidR="00B4722A" w:rsidRPr="00DA0977">
        <w:rPr>
          <w:i/>
        </w:rPr>
        <w:t>. Malmo</w:t>
      </w:r>
      <w:r w:rsidR="00B4722A" w:rsidRPr="00DA0977">
        <w:rPr>
          <w:i/>
        </w:rPr>
        <w:noBreakHyphen/>
      </w:r>
      <w:r w:rsidR="00480CDD" w:rsidRPr="00DA0977">
        <w:rPr>
          <w:i/>
        </w:rPr>
        <w:t>Levine</w:t>
      </w:r>
      <w:r w:rsidR="00B4722A" w:rsidRPr="00DA0977">
        <w:t xml:space="preserve">, 2003 SCC 74, [2003] 3 S.C.R. </w:t>
      </w:r>
      <w:r w:rsidR="00480CDD" w:rsidRPr="00DA0977">
        <w:t xml:space="preserve">571; </w:t>
      </w:r>
      <w:r w:rsidR="00480CDD" w:rsidRPr="00DA0977">
        <w:rPr>
          <w:i/>
        </w:rPr>
        <w:t>R. v. Bissonnette</w:t>
      </w:r>
      <w:r w:rsidR="00B4722A" w:rsidRPr="00DA0977">
        <w:t xml:space="preserve">, 2022 SCC </w:t>
      </w:r>
      <w:r w:rsidR="00480CDD" w:rsidRPr="00DA0977">
        <w:lastRenderedPageBreak/>
        <w:t xml:space="preserve">23;  </w:t>
      </w:r>
      <w:r w:rsidR="00480CDD" w:rsidRPr="00DA0977">
        <w:rPr>
          <w:i/>
        </w:rPr>
        <w:t>R. v. Boudreault</w:t>
      </w:r>
      <w:r w:rsidR="00480CDD" w:rsidRPr="00DA0977">
        <w:t>, 2018 SCC</w:t>
      </w:r>
      <w:r w:rsidR="00B4722A" w:rsidRPr="00DA0977">
        <w:t xml:space="preserve"> </w:t>
      </w:r>
      <w:r w:rsidR="00480CDD" w:rsidRPr="00DA0977">
        <w:t>58, [2018] 3 S.C.R</w:t>
      </w:r>
      <w:r w:rsidR="00B4722A" w:rsidRPr="00DA0977">
        <w:t xml:space="preserve">. </w:t>
      </w:r>
      <w:r w:rsidR="00480CDD" w:rsidRPr="00DA0977">
        <w:t xml:space="preserve">599; </w:t>
      </w:r>
      <w:r w:rsidR="00480CDD" w:rsidRPr="00DA0977">
        <w:rPr>
          <w:i/>
        </w:rPr>
        <w:t>R. v. Hills</w:t>
      </w:r>
      <w:r w:rsidR="00480CDD" w:rsidRPr="00DA0977">
        <w:t>, 2023 SCC</w:t>
      </w:r>
      <w:r w:rsidR="00B4722A" w:rsidRPr="00DA0977">
        <w:t xml:space="preserve"> </w:t>
      </w:r>
      <w:r w:rsidR="00480CDD" w:rsidRPr="00DA0977">
        <w:t xml:space="preserve">2; </w:t>
      </w:r>
      <w:r w:rsidR="0076106E" w:rsidRPr="00DA0977">
        <w:rPr>
          <w:i/>
        </w:rPr>
        <w:t>R. v. Lloyd</w:t>
      </w:r>
      <w:r w:rsidR="0076106E" w:rsidRPr="00DA0977">
        <w:t xml:space="preserve">, 2016 SCC 13, [2016] S.C.R. 130; </w:t>
      </w:r>
      <w:r w:rsidR="005E5356" w:rsidRPr="00DA0977">
        <w:rPr>
          <w:i/>
        </w:rPr>
        <w:t xml:space="preserve">R. </w:t>
      </w:r>
      <w:r w:rsidR="008D5AB4" w:rsidRPr="00DA0977">
        <w:rPr>
          <w:i/>
        </w:rPr>
        <w:t>v</w:t>
      </w:r>
      <w:r w:rsidR="005E5356" w:rsidRPr="00DA0977">
        <w:rPr>
          <w:i/>
        </w:rPr>
        <w:t>.</w:t>
      </w:r>
      <w:r w:rsidR="005E5356" w:rsidRPr="00DA0977">
        <w:t xml:space="preserve"> </w:t>
      </w:r>
      <w:r w:rsidR="005E5356" w:rsidRPr="00DA0977">
        <w:rPr>
          <w:i/>
        </w:rPr>
        <w:t>Nur</w:t>
      </w:r>
      <w:r w:rsidR="00B4722A" w:rsidRPr="00DA0977">
        <w:t xml:space="preserve">, 2015 SCC 15, [2015] 1 S.C.R. </w:t>
      </w:r>
      <w:r w:rsidR="005E5356" w:rsidRPr="00DA0977">
        <w:t xml:space="preserve">773; </w:t>
      </w:r>
      <w:r w:rsidR="00735CAB" w:rsidRPr="00DA0977">
        <w:rPr>
          <w:i/>
        </w:rPr>
        <w:t>R. v. Hood</w:t>
      </w:r>
      <w:r w:rsidR="00735CAB" w:rsidRPr="00DA0977">
        <w:t>,</w:t>
      </w:r>
      <w:r w:rsidR="00735CAB" w:rsidRPr="00DA0977">
        <w:rPr>
          <w:i/>
        </w:rPr>
        <w:t xml:space="preserve"> </w:t>
      </w:r>
      <w:r w:rsidR="00735CAB" w:rsidRPr="00DA0977">
        <w:t xml:space="preserve">2018 NSCA 18, 45 C.R. (7th) 269; </w:t>
      </w:r>
      <w:r w:rsidR="00AD69EF" w:rsidRPr="00DA0977">
        <w:rPr>
          <w:i/>
          <w:lang w:val="en-US"/>
        </w:rPr>
        <w:t xml:space="preserve">R. v. </w:t>
      </w:r>
      <w:r w:rsidR="00AD69EF" w:rsidRPr="00DA0977">
        <w:rPr>
          <w:i/>
        </w:rPr>
        <w:t xml:space="preserve">Laberge </w:t>
      </w:r>
      <w:r w:rsidR="000028B8" w:rsidRPr="00DA0977">
        <w:t>(</w:t>
      </w:r>
      <w:r w:rsidR="00AD69EF" w:rsidRPr="00DA0977">
        <w:t>1995</w:t>
      </w:r>
      <w:r w:rsidR="000028B8" w:rsidRPr="00DA0977">
        <w:t>)</w:t>
      </w:r>
      <w:r w:rsidR="00AD69EF" w:rsidRPr="00DA0977">
        <w:t>, 165 A.R. 375;</w:t>
      </w:r>
      <w:r w:rsidR="00AD69EF" w:rsidRPr="00DA0977">
        <w:rPr>
          <w:i/>
        </w:rPr>
        <w:t xml:space="preserve"> </w:t>
      </w:r>
      <w:r w:rsidR="005E5356" w:rsidRPr="00DA0977">
        <w:rPr>
          <w:i/>
        </w:rPr>
        <w:t>R. v. S.R.</w:t>
      </w:r>
      <w:r w:rsidR="00B4722A" w:rsidRPr="00DA0977">
        <w:t xml:space="preserve">, 2008 QCCA </w:t>
      </w:r>
      <w:r w:rsidR="005E5356" w:rsidRPr="00DA0977">
        <w:t xml:space="preserve">2359; </w:t>
      </w:r>
      <w:r w:rsidR="005E5356" w:rsidRPr="00DA0977">
        <w:rPr>
          <w:i/>
        </w:rPr>
        <w:t>R. v. Barrett</w:t>
      </w:r>
      <w:r w:rsidR="00B4722A" w:rsidRPr="00DA0977">
        <w:t xml:space="preserve">, 2013 QCCA </w:t>
      </w:r>
      <w:r w:rsidR="005E5356" w:rsidRPr="00DA0977">
        <w:t xml:space="preserve">1351; </w:t>
      </w:r>
      <w:r w:rsidR="005E5356" w:rsidRPr="00DA0977">
        <w:rPr>
          <w:i/>
        </w:rPr>
        <w:t>R. v. D.B.</w:t>
      </w:r>
      <w:r w:rsidR="00B4722A" w:rsidRPr="00DA0977">
        <w:t xml:space="preserve">, 2013 QCCA </w:t>
      </w:r>
      <w:r w:rsidR="005E5356" w:rsidRPr="00DA0977">
        <w:t xml:space="preserve">2199; </w:t>
      </w:r>
      <w:r w:rsidR="005E5356" w:rsidRPr="00DA0977">
        <w:rPr>
          <w:i/>
        </w:rPr>
        <w:t>R. v. S.J.B.</w:t>
      </w:r>
      <w:r w:rsidR="00B4722A" w:rsidRPr="00DA0977">
        <w:t xml:space="preserve">, 2018 MBCA </w:t>
      </w:r>
      <w:r w:rsidR="005E5356" w:rsidRPr="00DA0977">
        <w:t>62;</w:t>
      </w:r>
      <w:r w:rsidR="00412168" w:rsidRPr="00DA0977">
        <w:rPr>
          <w:i/>
          <w:iCs/>
          <w:szCs w:val="24"/>
        </w:rPr>
        <w:t xml:space="preserve"> R. v. Audet</w:t>
      </w:r>
      <w:r w:rsidR="00B4722A" w:rsidRPr="00DA0977">
        <w:rPr>
          <w:szCs w:val="24"/>
        </w:rPr>
        <w:t xml:space="preserve">, [1996] 2 S.C.R. </w:t>
      </w:r>
      <w:r w:rsidR="00412168" w:rsidRPr="00DA0977">
        <w:rPr>
          <w:szCs w:val="24"/>
        </w:rPr>
        <w:t xml:space="preserve">171; </w:t>
      </w:r>
      <w:r w:rsidR="00412168" w:rsidRPr="00DA0977">
        <w:rPr>
          <w:i/>
          <w:iCs/>
          <w:szCs w:val="24"/>
        </w:rPr>
        <w:t>R. v. M</w:t>
      </w:r>
      <w:r w:rsidR="00B4722A" w:rsidRPr="00DA0977">
        <w:rPr>
          <w:i/>
          <w:iCs/>
          <w:szCs w:val="24"/>
        </w:rPr>
        <w:t xml:space="preserve">. </w:t>
      </w:r>
      <w:r w:rsidR="00412168" w:rsidRPr="00DA0977">
        <w:rPr>
          <w:i/>
          <w:iCs/>
          <w:szCs w:val="24"/>
        </w:rPr>
        <w:t>(M.R.)</w:t>
      </w:r>
      <w:r w:rsidR="00B4722A" w:rsidRPr="00DA0977">
        <w:rPr>
          <w:szCs w:val="24"/>
        </w:rPr>
        <w:t xml:space="preserve">, [1998] 3 S.C.R. </w:t>
      </w:r>
      <w:r w:rsidR="00412168" w:rsidRPr="00DA0977">
        <w:rPr>
          <w:szCs w:val="24"/>
        </w:rPr>
        <w:t xml:space="preserve">393; </w:t>
      </w:r>
      <w:r w:rsidR="00412168" w:rsidRPr="00DA0977">
        <w:rPr>
          <w:i/>
          <w:iCs/>
          <w:szCs w:val="24"/>
        </w:rPr>
        <w:t>R. v. Jarvis</w:t>
      </w:r>
      <w:r w:rsidR="00B4722A" w:rsidRPr="00DA0977">
        <w:rPr>
          <w:szCs w:val="24"/>
        </w:rPr>
        <w:t xml:space="preserve">, 2019 SCC </w:t>
      </w:r>
      <w:r w:rsidR="00412168" w:rsidRPr="00DA0977">
        <w:rPr>
          <w:szCs w:val="24"/>
        </w:rPr>
        <w:t xml:space="preserve">10, [2019] 1 S.C.R. 488; </w:t>
      </w:r>
      <w:r w:rsidR="00412168" w:rsidRPr="00DA0977">
        <w:rPr>
          <w:i/>
          <w:iCs/>
          <w:szCs w:val="24"/>
        </w:rPr>
        <w:t>Ross v. New Brunswick School District No. 15</w:t>
      </w:r>
      <w:r w:rsidR="00412168" w:rsidRPr="00DA0977">
        <w:rPr>
          <w:iCs/>
          <w:szCs w:val="24"/>
        </w:rPr>
        <w:t xml:space="preserve">, </w:t>
      </w:r>
      <w:r w:rsidR="00B4722A" w:rsidRPr="00DA0977">
        <w:rPr>
          <w:szCs w:val="24"/>
        </w:rPr>
        <w:t xml:space="preserve">[1996] 1 S.C.R. </w:t>
      </w:r>
      <w:r w:rsidR="00412168" w:rsidRPr="00DA0977">
        <w:rPr>
          <w:szCs w:val="24"/>
        </w:rPr>
        <w:t>825</w:t>
      </w:r>
      <w:r w:rsidR="00DA39CF" w:rsidRPr="00DA0977">
        <w:rPr>
          <w:szCs w:val="24"/>
        </w:rPr>
        <w:t xml:space="preserve">; </w:t>
      </w:r>
      <w:r w:rsidR="00DA39CF" w:rsidRPr="00DA0977">
        <w:rPr>
          <w:i/>
        </w:rPr>
        <w:t>R. v. Rayo</w:t>
      </w:r>
      <w:r w:rsidR="00DA39CF" w:rsidRPr="00DA0977">
        <w:t xml:space="preserve">, 2018 QCCA 824; </w:t>
      </w:r>
      <w:r w:rsidR="00DA39CF" w:rsidRPr="00DA0977">
        <w:rPr>
          <w:i/>
        </w:rPr>
        <w:t>R. v. Bergeron</w:t>
      </w:r>
      <w:r w:rsidR="00B4722A" w:rsidRPr="00DA0977">
        <w:t xml:space="preserve">, 2016 QCCA </w:t>
      </w:r>
      <w:r w:rsidR="00DA39CF" w:rsidRPr="00DA0977">
        <w:t xml:space="preserve">339; </w:t>
      </w:r>
      <w:r w:rsidR="00DA39CF" w:rsidRPr="00DA0977">
        <w:rPr>
          <w:i/>
        </w:rPr>
        <w:t>R. v.</w:t>
      </w:r>
      <w:r w:rsidR="00DA39CF" w:rsidRPr="00DA0977">
        <w:t xml:space="preserve"> </w:t>
      </w:r>
      <w:r w:rsidR="00DA39CF" w:rsidRPr="00DA0977">
        <w:rPr>
          <w:i/>
        </w:rPr>
        <w:t>Jarvis</w:t>
      </w:r>
      <w:r w:rsidR="009470CD" w:rsidRPr="00DA0977">
        <w:rPr>
          <w:i/>
        </w:rPr>
        <w:t xml:space="preserve"> </w:t>
      </w:r>
      <w:r w:rsidR="009470CD" w:rsidRPr="00DA0977">
        <w:t>(2006)</w:t>
      </w:r>
      <w:r w:rsidR="00DA39CF" w:rsidRPr="00DA0977">
        <w:t xml:space="preserve">, 211 C.C.C. (3d) 20; </w:t>
      </w:r>
      <w:r w:rsidR="0076106E" w:rsidRPr="00DA0977">
        <w:rPr>
          <w:i/>
        </w:rPr>
        <w:t>Montour v. R.</w:t>
      </w:r>
      <w:r w:rsidR="0076106E" w:rsidRPr="00DA0977">
        <w:t xml:space="preserve">, 2020 QCCA 1648; </w:t>
      </w:r>
      <w:r w:rsidR="008D5AB4" w:rsidRPr="00DA0977">
        <w:rPr>
          <w:i/>
        </w:rPr>
        <w:t>R. v</w:t>
      </w:r>
      <w:r w:rsidR="00DA39CF" w:rsidRPr="00DA0977">
        <w:rPr>
          <w:i/>
        </w:rPr>
        <w:t>. Faille</w:t>
      </w:r>
      <w:r w:rsidR="00B4722A" w:rsidRPr="00DA0977">
        <w:t xml:space="preserve">, 2021 QCCQ </w:t>
      </w:r>
      <w:r w:rsidR="00DA39CF" w:rsidRPr="00DA0977">
        <w:t xml:space="preserve">4945; </w:t>
      </w:r>
      <w:r w:rsidR="00DA39CF" w:rsidRPr="00DA0977">
        <w:rPr>
          <w:i/>
        </w:rPr>
        <w:t>R. v. Jissink</w:t>
      </w:r>
      <w:r w:rsidR="00B4722A" w:rsidRPr="00DA0977">
        <w:t xml:space="preserve">, 2021 ABQB </w:t>
      </w:r>
      <w:r w:rsidR="00DA39CF" w:rsidRPr="00DA0977">
        <w:t xml:space="preserve">102, 482 C.R.R. (2d) 167; </w:t>
      </w:r>
      <w:r w:rsidR="00DA39CF" w:rsidRPr="00DA0977">
        <w:rPr>
          <w:i/>
          <w:lang w:val="en-US"/>
        </w:rPr>
        <w:t>R. v. John</w:t>
      </w:r>
      <w:r w:rsidR="00B4722A" w:rsidRPr="00DA0977">
        <w:rPr>
          <w:lang w:val="en-US"/>
        </w:rPr>
        <w:t xml:space="preserve">, 2018 ONCA </w:t>
      </w:r>
      <w:r w:rsidR="00DA39CF" w:rsidRPr="00DA0977">
        <w:rPr>
          <w:lang w:val="en-US"/>
        </w:rPr>
        <w:t>702, 142 O.R. (3d) 670;</w:t>
      </w:r>
      <w:r w:rsidR="00686A9A" w:rsidRPr="00DA0977">
        <w:rPr>
          <w:lang w:val="en-US"/>
        </w:rPr>
        <w:t xml:space="preserve"> </w:t>
      </w:r>
      <w:r w:rsidR="00904B4F" w:rsidRPr="00DA0977">
        <w:rPr>
          <w:i/>
        </w:rPr>
        <w:t>Medvedev v. R.</w:t>
      </w:r>
      <w:r w:rsidR="00B4722A" w:rsidRPr="00DA0977">
        <w:t xml:space="preserve">, 2013 QCCA </w:t>
      </w:r>
      <w:r w:rsidR="00904B4F" w:rsidRPr="00DA0977">
        <w:t xml:space="preserve">540; </w:t>
      </w:r>
      <w:r w:rsidR="00686A9A" w:rsidRPr="00DA0977">
        <w:rPr>
          <w:i/>
        </w:rPr>
        <w:t>R. v. Laurendeau</w:t>
      </w:r>
      <w:r w:rsidR="00B4722A" w:rsidRPr="00DA0977">
        <w:t xml:space="preserve">, 2007 QCCA </w:t>
      </w:r>
      <w:r w:rsidR="00686A9A" w:rsidRPr="00DA0977">
        <w:t xml:space="preserve">1593; </w:t>
      </w:r>
      <w:r w:rsidR="0076106E" w:rsidRPr="00DA0977">
        <w:rPr>
          <w:i/>
        </w:rPr>
        <w:t>R. v. Davidson</w:t>
      </w:r>
      <w:r w:rsidR="0076106E" w:rsidRPr="00DA0977">
        <w:t xml:space="preserve">, 2021 QCCA 545; </w:t>
      </w:r>
      <w:r w:rsidR="00686A9A" w:rsidRPr="00DA0977">
        <w:rPr>
          <w:i/>
        </w:rPr>
        <w:t>R. v. Cunningham</w:t>
      </w:r>
      <w:r w:rsidR="00B4722A" w:rsidRPr="00DA0977">
        <w:t xml:space="preserve">, 2023 ONCA </w:t>
      </w:r>
      <w:r w:rsidR="00686A9A" w:rsidRPr="00DA0977">
        <w:t>36</w:t>
      </w:r>
      <w:r w:rsidR="009772CD" w:rsidRPr="00DA0977">
        <w:t xml:space="preserve">, </w:t>
      </w:r>
      <w:r w:rsidR="005B5D25" w:rsidRPr="00DA0977">
        <w:t>166 O.R. (3d) 147</w:t>
      </w:r>
      <w:r w:rsidR="00686A9A" w:rsidRPr="00DA0977">
        <w:t>;</w:t>
      </w:r>
      <w:r w:rsidR="005B5D25" w:rsidRPr="00DA0977">
        <w:t xml:space="preserve"> </w:t>
      </w:r>
      <w:r w:rsidR="005B5D25" w:rsidRPr="00DA0977">
        <w:rPr>
          <w:i/>
        </w:rPr>
        <w:t>R. v. Stone</w:t>
      </w:r>
      <w:r w:rsidR="005B5D25" w:rsidRPr="00DA0977">
        <w:t>, [1999] 2 S.C</w:t>
      </w:r>
      <w:r w:rsidR="00B4722A" w:rsidRPr="00DA0977">
        <w:t xml:space="preserve">.R. </w:t>
      </w:r>
      <w:r w:rsidR="005B5D25" w:rsidRPr="00DA0977">
        <w:t xml:space="preserve">290; </w:t>
      </w:r>
      <w:r w:rsidR="005B5D25" w:rsidRPr="00DA0977">
        <w:rPr>
          <w:i/>
        </w:rPr>
        <w:t>R</w:t>
      </w:r>
      <w:r w:rsidR="00904B4F" w:rsidRPr="00DA0977">
        <w:rPr>
          <w:i/>
        </w:rPr>
        <w:t>.</w:t>
      </w:r>
      <w:r w:rsidR="005B5D25" w:rsidRPr="00DA0977">
        <w:rPr>
          <w:i/>
        </w:rPr>
        <w:t xml:space="preserve"> v. Butcher</w:t>
      </w:r>
      <w:r w:rsidR="00B4722A" w:rsidRPr="00DA0977">
        <w:t xml:space="preserve">, 2020 NSCA </w:t>
      </w:r>
      <w:r w:rsidR="005B5D25" w:rsidRPr="00DA0977">
        <w:t>50, 387 C.C.C. (3d) 417;</w:t>
      </w:r>
      <w:r w:rsidR="009241A3" w:rsidRPr="00DA0977">
        <w:rPr>
          <w:i/>
        </w:rPr>
        <w:t xml:space="preserve"> R. v. Priest</w:t>
      </w:r>
      <w:r w:rsidR="009470CD" w:rsidRPr="00DA0977">
        <w:rPr>
          <w:i/>
        </w:rPr>
        <w:t xml:space="preserve"> </w:t>
      </w:r>
      <w:r w:rsidR="009470CD" w:rsidRPr="00DA0977">
        <w:t>(1996)</w:t>
      </w:r>
      <w:r w:rsidR="009241A3" w:rsidRPr="00DA0977">
        <w:t xml:space="preserve">, 30 O.R. (3d) 538; </w:t>
      </w:r>
      <w:r w:rsidR="009241A3" w:rsidRPr="00DA0977">
        <w:rPr>
          <w:i/>
        </w:rPr>
        <w:t>R. v. Tan</w:t>
      </w:r>
      <w:r w:rsidR="009241A3" w:rsidRPr="00DA0977">
        <w:t>, 2008 O</w:t>
      </w:r>
      <w:r w:rsidR="00B4722A" w:rsidRPr="00DA0977">
        <w:t xml:space="preserve">NCA 574, 268 O.A.C. </w:t>
      </w:r>
      <w:r w:rsidR="008D5AB4" w:rsidRPr="00DA0977">
        <w:t>385</w:t>
      </w:r>
      <w:r w:rsidR="009241A3" w:rsidRPr="00DA0977">
        <w:t xml:space="preserve">; </w:t>
      </w:r>
      <w:r w:rsidR="009241A3" w:rsidRPr="00DA0977">
        <w:rPr>
          <w:i/>
        </w:rPr>
        <w:t xml:space="preserve">R. v. </w:t>
      </w:r>
      <w:r w:rsidR="00B4722A" w:rsidRPr="00DA0977">
        <w:rPr>
          <w:i/>
        </w:rPr>
        <w:t xml:space="preserve">T. </w:t>
      </w:r>
      <w:r w:rsidR="007300DD" w:rsidRPr="00DA0977">
        <w:rPr>
          <w:i/>
        </w:rPr>
        <w:t>(K.)</w:t>
      </w:r>
      <w:r w:rsidR="00B4722A" w:rsidRPr="00DA0977">
        <w:t xml:space="preserve">, 2008 ONCA </w:t>
      </w:r>
      <w:r w:rsidR="009241A3" w:rsidRPr="00DA0977">
        <w:t xml:space="preserve">91, 89 O.R. (3d) 99; </w:t>
      </w:r>
      <w:r w:rsidR="009241A3" w:rsidRPr="00DA0977">
        <w:rPr>
          <w:i/>
        </w:rPr>
        <w:t>R. v. Ahmed</w:t>
      </w:r>
      <w:r w:rsidR="00B4722A" w:rsidRPr="00DA0977">
        <w:t xml:space="preserve">, 2017 ONCA </w:t>
      </w:r>
      <w:r w:rsidR="009241A3" w:rsidRPr="00DA0977">
        <w:t xml:space="preserve">76, 136 O.R. (3d) 403; </w:t>
      </w:r>
      <w:r w:rsidR="009241A3" w:rsidRPr="00DA0977">
        <w:rPr>
          <w:i/>
        </w:rPr>
        <w:t>R. v. Brown</w:t>
      </w:r>
      <w:r w:rsidR="009241A3" w:rsidRPr="00DA0977">
        <w:t xml:space="preserve">, 2015 </w:t>
      </w:r>
      <w:r w:rsidR="00B4722A" w:rsidRPr="00DA0977">
        <w:t xml:space="preserve">ONCA </w:t>
      </w:r>
      <w:r w:rsidR="009241A3" w:rsidRPr="00DA0977">
        <w:t xml:space="preserve">361, 126 O.R. (3d) 797; </w:t>
      </w:r>
      <w:r w:rsidR="009241A3" w:rsidRPr="00DA0977">
        <w:rPr>
          <w:i/>
        </w:rPr>
        <w:t>R. v.</w:t>
      </w:r>
      <w:r w:rsidR="009241A3" w:rsidRPr="00DA0977">
        <w:t xml:space="preserve"> </w:t>
      </w:r>
      <w:r w:rsidR="009241A3" w:rsidRPr="00DA0977">
        <w:rPr>
          <w:i/>
        </w:rPr>
        <w:t>Khalid</w:t>
      </w:r>
      <w:r w:rsidR="00B4722A" w:rsidRPr="00DA0977">
        <w:t xml:space="preserve">, 2010 ONCA </w:t>
      </w:r>
      <w:r w:rsidR="009241A3" w:rsidRPr="00DA0977">
        <w:t xml:space="preserve">861, 103 O.R. (3d) 600; </w:t>
      </w:r>
      <w:r w:rsidR="009241A3" w:rsidRPr="00DA0977">
        <w:rPr>
          <w:i/>
        </w:rPr>
        <w:t>Lévesque v. R</w:t>
      </w:r>
      <w:r w:rsidR="00B4722A" w:rsidRPr="00DA0977">
        <w:t xml:space="preserve">., 2021 QCCA </w:t>
      </w:r>
      <w:r w:rsidR="009241A3" w:rsidRPr="00DA0977">
        <w:t>1072;</w:t>
      </w:r>
      <w:r w:rsidR="00AF3171" w:rsidRPr="00DA0977">
        <w:t xml:space="preserve"> </w:t>
      </w:r>
      <w:r w:rsidR="00AB1009" w:rsidRPr="00DA0977">
        <w:rPr>
          <w:i/>
          <w:lang w:val="en-US"/>
        </w:rPr>
        <w:t>R. v. Bergeron</w:t>
      </w:r>
      <w:r w:rsidR="00AB1009" w:rsidRPr="00DA0977">
        <w:rPr>
          <w:lang w:val="en-US"/>
        </w:rPr>
        <w:t xml:space="preserve">, 2013 QCCA 7; </w:t>
      </w:r>
      <w:r w:rsidR="00D67779" w:rsidRPr="00DA0977">
        <w:rPr>
          <w:i/>
          <w:szCs w:val="24"/>
        </w:rPr>
        <w:t>R. v. Morrison</w:t>
      </w:r>
      <w:r w:rsidR="00D67779" w:rsidRPr="00DA0977">
        <w:rPr>
          <w:szCs w:val="24"/>
        </w:rPr>
        <w:t>,</w:t>
      </w:r>
      <w:r w:rsidR="00D67779" w:rsidRPr="00DA0977">
        <w:rPr>
          <w:i/>
          <w:szCs w:val="24"/>
        </w:rPr>
        <w:t xml:space="preserve"> </w:t>
      </w:r>
      <w:r w:rsidR="00D67779" w:rsidRPr="00DA0977">
        <w:rPr>
          <w:szCs w:val="24"/>
        </w:rPr>
        <w:t>2019 SCC 15, [2019] 2 S.C.R. 3;</w:t>
      </w:r>
      <w:r w:rsidR="00D67779" w:rsidRPr="00DA0977">
        <w:rPr>
          <w:i/>
        </w:rPr>
        <w:t xml:space="preserve"> R. v.</w:t>
      </w:r>
      <w:r w:rsidR="00D67779" w:rsidRPr="00DA0977">
        <w:t xml:space="preserve"> </w:t>
      </w:r>
      <w:r w:rsidR="00D67779" w:rsidRPr="00DA0977">
        <w:rPr>
          <w:i/>
        </w:rPr>
        <w:t>Legare</w:t>
      </w:r>
      <w:r w:rsidR="00D67779" w:rsidRPr="00DA0977">
        <w:t>, 2009 SCC</w:t>
      </w:r>
      <w:r w:rsidR="00B4722A" w:rsidRPr="00DA0977">
        <w:t xml:space="preserve"> </w:t>
      </w:r>
      <w:r w:rsidR="00D67779" w:rsidRPr="00DA0977">
        <w:t>56, [2009] 3 S.C.R</w:t>
      </w:r>
      <w:r w:rsidR="00B4722A" w:rsidRPr="00DA0977">
        <w:t xml:space="preserve">. </w:t>
      </w:r>
      <w:r w:rsidR="00D67779" w:rsidRPr="00DA0977">
        <w:t>551</w:t>
      </w:r>
      <w:r w:rsidR="0076106E" w:rsidRPr="00DA0977">
        <w:t xml:space="preserve">; </w:t>
      </w:r>
      <w:r w:rsidR="0076106E" w:rsidRPr="00DA0977">
        <w:rPr>
          <w:i/>
        </w:rPr>
        <w:t>R. v. Alicandro</w:t>
      </w:r>
      <w:r w:rsidR="0076106E" w:rsidRPr="00DA0977">
        <w:t xml:space="preserve">, 2009 ONCA 133, 246 C.C.C. (3d) 1; </w:t>
      </w:r>
      <w:r w:rsidR="0076106E" w:rsidRPr="00DA0977">
        <w:rPr>
          <w:i/>
        </w:rPr>
        <w:t>R</w:t>
      </w:r>
      <w:r w:rsidR="0076106E" w:rsidRPr="00DA0977">
        <w:rPr>
          <w:i/>
          <w:iCs/>
        </w:rPr>
        <w:t>. v. Smith</w:t>
      </w:r>
      <w:r w:rsidR="0076106E" w:rsidRPr="00DA0977">
        <w:t>, [1987] 1 S.C.R. 1045</w:t>
      </w:r>
      <w:r w:rsidR="00D67779" w:rsidRPr="00DA0977">
        <w:t>.</w:t>
      </w:r>
    </w:p>
    <w:p w14:paraId="159B472F" w14:textId="77777777" w:rsidR="003B215F" w:rsidRPr="00DA0977" w:rsidRDefault="002E6705" w:rsidP="00B4722A">
      <w:pPr>
        <w:pStyle w:val="SCCNormalDoubleSpacing"/>
        <w:spacing w:after="720" w:line="240" w:lineRule="auto"/>
      </w:pPr>
      <w:r w:rsidRPr="00DA0977">
        <w:rPr>
          <w:b/>
        </w:rPr>
        <w:t>Statutes and Regulations Cite</w:t>
      </w:r>
      <w:r w:rsidR="00A41805" w:rsidRPr="00DA0977">
        <w:rPr>
          <w:b/>
        </w:rPr>
        <w:t>d</w:t>
      </w:r>
    </w:p>
    <w:p w14:paraId="74C1EAF6" w14:textId="447CDC7A" w:rsidR="00E74AD2" w:rsidRPr="00DA0977" w:rsidRDefault="00E74AD2" w:rsidP="00B4722A">
      <w:pPr>
        <w:pStyle w:val="SCCNormalDoubleSpacing"/>
        <w:spacing w:after="240" w:line="240" w:lineRule="auto"/>
        <w:ind w:left="547" w:hanging="547"/>
        <w:rPr>
          <w:i/>
        </w:rPr>
      </w:pPr>
      <w:r w:rsidRPr="00DA0977">
        <w:rPr>
          <w:i/>
        </w:rPr>
        <w:t>Act to amend the Criminal Code (luring a child)</w:t>
      </w:r>
      <w:r w:rsidRPr="00DA0977">
        <w:t>, S.C. 2007, c. 20</w:t>
      </w:r>
      <w:r w:rsidR="00954FDD" w:rsidRPr="00DA0977">
        <w:t>, s. 1</w:t>
      </w:r>
      <w:r w:rsidRPr="00DA0977">
        <w:t>.</w:t>
      </w:r>
    </w:p>
    <w:p w14:paraId="6FEB1249" w14:textId="2DF470F0" w:rsidR="00A92C71" w:rsidRPr="00DA0977" w:rsidRDefault="00A92C71" w:rsidP="00B4722A">
      <w:pPr>
        <w:pStyle w:val="SCCNormalDoubleSpacing"/>
        <w:spacing w:after="240" w:line="240" w:lineRule="auto"/>
        <w:ind w:left="547" w:hanging="547"/>
        <w:rPr>
          <w:i/>
        </w:rPr>
      </w:pPr>
      <w:r w:rsidRPr="00DA0977">
        <w:rPr>
          <w:i/>
        </w:rPr>
        <w:lastRenderedPageBreak/>
        <w:t>Act to amend the Criminal Code (protection of children and other vulnerable persons) and the Canada Evidence Act</w:t>
      </w:r>
      <w:r w:rsidRPr="00DA0977">
        <w:t>, S.C. 2005, c. 32</w:t>
      </w:r>
      <w:r w:rsidR="002804CA" w:rsidRPr="00DA0977">
        <w:t>, s. 24</w:t>
      </w:r>
      <w:r w:rsidRPr="00DA0977">
        <w:t>.</w:t>
      </w:r>
    </w:p>
    <w:p w14:paraId="085EAF1E" w14:textId="6C9064C3" w:rsidR="008172BF" w:rsidRPr="00DA0977" w:rsidRDefault="008172BF" w:rsidP="008172BF">
      <w:pPr>
        <w:pStyle w:val="SCCNormalDoubleSpacing"/>
        <w:spacing w:after="240" w:line="240" w:lineRule="auto"/>
        <w:ind w:left="547" w:hanging="547"/>
      </w:pPr>
      <w:r w:rsidRPr="00DA0977">
        <w:rPr>
          <w:iCs/>
        </w:rPr>
        <w:t>Bill C</w:t>
      </w:r>
      <w:r w:rsidRPr="00DA0977">
        <w:rPr>
          <w:iCs/>
        </w:rPr>
        <w:noBreakHyphen/>
        <w:t xml:space="preserve">15, </w:t>
      </w:r>
      <w:r w:rsidRPr="00DA0977">
        <w:rPr>
          <w:i/>
          <w:iCs/>
        </w:rPr>
        <w:t>Act to amend the Criminal Code and the Canada Evidence Act</w:t>
      </w:r>
      <w:r w:rsidRPr="00DA0977">
        <w:t>, R.S.C. 1985, c. 19 (3rd Supp.).</w:t>
      </w:r>
    </w:p>
    <w:p w14:paraId="1CC0B802" w14:textId="526C730C" w:rsidR="00023946" w:rsidRPr="00DA0977" w:rsidRDefault="00023946" w:rsidP="00B4722A">
      <w:pPr>
        <w:pStyle w:val="SCCNormalDoubleSpacing"/>
        <w:spacing w:after="240" w:line="240" w:lineRule="auto"/>
        <w:ind w:left="547" w:hanging="547"/>
        <w:rPr>
          <w:lang w:val="en-US"/>
        </w:rPr>
      </w:pPr>
      <w:r w:rsidRPr="00DA0977">
        <w:rPr>
          <w:i/>
        </w:rPr>
        <w:t>Canadian Charter of Rights and Freedoms</w:t>
      </w:r>
      <w:r w:rsidRPr="00DA0977">
        <w:t>, s</w:t>
      </w:r>
      <w:r w:rsidR="00372407" w:rsidRPr="00DA0977">
        <w:t>s</w:t>
      </w:r>
      <w:r w:rsidRPr="00DA0977">
        <w:t>. </w:t>
      </w:r>
      <w:r w:rsidR="00372407" w:rsidRPr="00DA0977">
        <w:t xml:space="preserve">1, </w:t>
      </w:r>
      <w:r w:rsidRPr="00DA0977">
        <w:t>12.</w:t>
      </w:r>
    </w:p>
    <w:p w14:paraId="798F4028" w14:textId="1892B5B5" w:rsidR="00F3449A" w:rsidRPr="00DA0977" w:rsidRDefault="00F3449A" w:rsidP="00B4722A">
      <w:pPr>
        <w:pStyle w:val="SCCNormalDoubleSpacing"/>
        <w:spacing w:after="240" w:line="240" w:lineRule="auto"/>
        <w:ind w:left="547" w:hanging="547"/>
        <w:rPr>
          <w:lang w:val="en-US"/>
        </w:rPr>
      </w:pPr>
      <w:r w:rsidRPr="00DA0977">
        <w:rPr>
          <w:i/>
        </w:rPr>
        <w:t>Constitution Act, 1982</w:t>
      </w:r>
      <w:r w:rsidRPr="00DA0977">
        <w:t>, s. 52.</w:t>
      </w:r>
    </w:p>
    <w:p w14:paraId="75A377B0" w14:textId="5201469F" w:rsidR="00A149DF" w:rsidRPr="00DA0977" w:rsidRDefault="000F089D" w:rsidP="00B4722A">
      <w:pPr>
        <w:pStyle w:val="SCCNormalDoubleSpacing"/>
        <w:spacing w:after="240" w:line="240" w:lineRule="auto"/>
        <w:ind w:left="547" w:hanging="547"/>
        <w:rPr>
          <w:lang w:val="en-US"/>
        </w:rPr>
      </w:pPr>
      <w:r w:rsidRPr="00DA0977">
        <w:rPr>
          <w:i/>
          <w:lang w:val="en-US"/>
        </w:rPr>
        <w:t>Criminal Code</w:t>
      </w:r>
      <w:r w:rsidRPr="00DA0977">
        <w:rPr>
          <w:lang w:val="en-US"/>
        </w:rPr>
        <w:t>, R.S.C. 1985, c. C</w:t>
      </w:r>
      <w:r w:rsidRPr="00DA0977">
        <w:rPr>
          <w:lang w:val="en-US"/>
        </w:rPr>
        <w:noBreakHyphen/>
        <w:t>46, ss. </w:t>
      </w:r>
      <w:r w:rsidR="00037392" w:rsidRPr="00DA0977">
        <w:t>151</w:t>
      </w:r>
      <w:r w:rsidR="00EB0767" w:rsidRPr="00DA0977">
        <w:t>, 152</w:t>
      </w:r>
      <w:r w:rsidR="00F21A21" w:rsidRPr="00DA0977">
        <w:t>, 153(1)</w:t>
      </w:r>
      <w:r w:rsidR="00331B6C" w:rsidRPr="00DA0977">
        <w:t>, 155</w:t>
      </w:r>
      <w:r w:rsidR="001405BD" w:rsidRPr="00DA0977">
        <w:t>, 160(3)</w:t>
      </w:r>
      <w:r w:rsidR="00037392" w:rsidRPr="00DA0977">
        <w:rPr>
          <w:lang w:val="en-US"/>
        </w:rPr>
        <w:t xml:space="preserve">, </w:t>
      </w:r>
      <w:r w:rsidR="00BC49D8" w:rsidRPr="00DA0977">
        <w:t>163.1</w:t>
      </w:r>
      <w:r w:rsidR="002478AD" w:rsidRPr="00DA0977">
        <w:t>,</w:t>
      </w:r>
      <w:r w:rsidR="00DC0700" w:rsidRPr="00DA0977">
        <w:t xml:space="preserve"> 170</w:t>
      </w:r>
      <w:r w:rsidR="002332E1" w:rsidRPr="00DA0977">
        <w:t>, 171</w:t>
      </w:r>
      <w:r w:rsidR="00BC49D8" w:rsidRPr="00DA0977">
        <w:t xml:space="preserve">, </w:t>
      </w:r>
      <w:r w:rsidR="009F51CD" w:rsidRPr="00DA0977">
        <w:rPr>
          <w:lang w:val="en-US"/>
        </w:rPr>
        <w:t>172.1</w:t>
      </w:r>
      <w:r w:rsidR="004B25CF" w:rsidRPr="00DA0977">
        <w:rPr>
          <w:lang w:val="en-US"/>
        </w:rPr>
        <w:t xml:space="preserve">, </w:t>
      </w:r>
      <w:r w:rsidR="004B25CF" w:rsidRPr="00DA0977">
        <w:t>173(2)</w:t>
      </w:r>
      <w:r w:rsidR="006F4E71" w:rsidRPr="00DA0977">
        <w:t>, 271, 272</w:t>
      </w:r>
      <w:r w:rsidR="00D52267" w:rsidRPr="00DA0977">
        <w:t>, 273</w:t>
      </w:r>
      <w:r w:rsidR="00C04195" w:rsidRPr="00DA0977">
        <w:rPr>
          <w:lang w:val="en-US"/>
        </w:rPr>
        <w:t xml:space="preserve">, </w:t>
      </w:r>
      <w:r w:rsidR="00C04195" w:rsidRPr="00DA0977">
        <w:t>279.011</w:t>
      </w:r>
      <w:r w:rsidR="00F621E9" w:rsidRPr="00DA0977">
        <w:t>, 279.02(2)</w:t>
      </w:r>
      <w:r w:rsidR="004C7FB7" w:rsidRPr="00DA0977">
        <w:t>, 279.03(2)</w:t>
      </w:r>
      <w:r w:rsidR="000C62B2" w:rsidRPr="00DA0977">
        <w:t>, 280</w:t>
      </w:r>
      <w:r w:rsidR="007F5365" w:rsidRPr="00DA0977">
        <w:t>, 281</w:t>
      </w:r>
      <w:r w:rsidR="00B34E2D" w:rsidRPr="00DA0977">
        <w:t xml:space="preserve">, </w:t>
      </w:r>
      <w:r w:rsidR="00660369" w:rsidRPr="00DA0977">
        <w:t>286.1(2)</w:t>
      </w:r>
      <w:r w:rsidR="003E665A" w:rsidRPr="00DA0977">
        <w:t>, 286.2(2)</w:t>
      </w:r>
      <w:r w:rsidR="00140ADF" w:rsidRPr="00DA0977">
        <w:t>, 286.3(2)</w:t>
      </w:r>
      <w:r w:rsidR="00776936" w:rsidRPr="00DA0977">
        <w:rPr>
          <w:lang w:val="en-US"/>
        </w:rPr>
        <w:t>, 718</w:t>
      </w:r>
      <w:r w:rsidR="00115D7B" w:rsidRPr="00DA0977">
        <w:rPr>
          <w:lang w:val="en-US"/>
        </w:rPr>
        <w:t xml:space="preserve">, </w:t>
      </w:r>
      <w:r w:rsidR="00AA0C5A" w:rsidRPr="00DA0977">
        <w:rPr>
          <w:lang w:val="en-US"/>
        </w:rPr>
        <w:t>718.01,</w:t>
      </w:r>
      <w:r w:rsidR="002478AD" w:rsidRPr="00DA0977">
        <w:rPr>
          <w:lang w:val="en-US"/>
        </w:rPr>
        <w:t xml:space="preserve"> </w:t>
      </w:r>
      <w:r w:rsidR="00115D7B" w:rsidRPr="00DA0977">
        <w:rPr>
          <w:lang w:val="en-US"/>
        </w:rPr>
        <w:t>718.1</w:t>
      </w:r>
      <w:r w:rsidR="009B34EA" w:rsidRPr="00DA0977">
        <w:rPr>
          <w:lang w:val="en-US"/>
        </w:rPr>
        <w:t>, 718.2</w:t>
      </w:r>
      <w:r w:rsidR="00205544" w:rsidRPr="00DA0977">
        <w:rPr>
          <w:lang w:val="en-US"/>
        </w:rPr>
        <w:t>, 7</w:t>
      </w:r>
      <w:r w:rsidR="00205544" w:rsidRPr="00DA0977">
        <w:rPr>
          <w:szCs w:val="24"/>
          <w:lang w:val="en-US"/>
        </w:rPr>
        <w:t>18.3</w:t>
      </w:r>
      <w:r w:rsidR="00F474EE" w:rsidRPr="00DA0977">
        <w:rPr>
          <w:szCs w:val="24"/>
        </w:rPr>
        <w:t>(4)(b)(i)</w:t>
      </w:r>
      <w:r w:rsidR="00F474EE" w:rsidRPr="00DA0977">
        <w:rPr>
          <w:szCs w:val="24"/>
          <w:lang w:val="en-US"/>
        </w:rPr>
        <w:t xml:space="preserve">, </w:t>
      </w:r>
      <w:r w:rsidR="00205544" w:rsidRPr="00DA0977">
        <w:rPr>
          <w:szCs w:val="24"/>
          <w:lang w:val="en-US"/>
        </w:rPr>
        <w:t>(7)</w:t>
      </w:r>
      <w:r w:rsidR="0076106E" w:rsidRPr="00DA0977">
        <w:rPr>
          <w:szCs w:val="24"/>
          <w:lang w:val="en-US"/>
        </w:rPr>
        <w:t>, 730(1)</w:t>
      </w:r>
      <w:r w:rsidRPr="00DA0977">
        <w:rPr>
          <w:lang w:val="en-US"/>
        </w:rPr>
        <w:t>.</w:t>
      </w:r>
    </w:p>
    <w:p w14:paraId="589F9043" w14:textId="2E3F442E" w:rsidR="007C23FB" w:rsidRPr="00DA0977" w:rsidRDefault="007C23FB" w:rsidP="00B4722A">
      <w:pPr>
        <w:pStyle w:val="SCCNormalDoubleSpacing"/>
        <w:spacing w:after="240" w:line="240" w:lineRule="auto"/>
        <w:ind w:left="547" w:hanging="547"/>
      </w:pPr>
      <w:r w:rsidRPr="00DA0977">
        <w:rPr>
          <w:i/>
          <w:iCs/>
        </w:rPr>
        <w:t>Criminal Law Amendment Act</w:t>
      </w:r>
      <w:r w:rsidRPr="00DA0977">
        <w:rPr>
          <w:i/>
        </w:rPr>
        <w:t>, 2001</w:t>
      </w:r>
      <w:r w:rsidR="00B4722A" w:rsidRPr="00DA0977">
        <w:t>, S.C. 2002, c. </w:t>
      </w:r>
      <w:r w:rsidRPr="00DA0977">
        <w:t>13</w:t>
      </w:r>
      <w:r w:rsidR="00B6319F" w:rsidRPr="00DA0977">
        <w:t>, s. 8</w:t>
      </w:r>
      <w:r w:rsidRPr="00DA0977">
        <w:t>.</w:t>
      </w:r>
    </w:p>
    <w:p w14:paraId="7EF8DC8C" w14:textId="41AB5E84" w:rsidR="00E3433F" w:rsidRPr="00DA0977" w:rsidRDefault="00E3433F" w:rsidP="00B4722A">
      <w:pPr>
        <w:pStyle w:val="SCCNormalDoubleSpacing"/>
        <w:spacing w:after="240" w:line="240" w:lineRule="auto"/>
        <w:ind w:left="547" w:hanging="547"/>
        <w:rPr>
          <w:lang w:val="en-US"/>
        </w:rPr>
      </w:pPr>
      <w:r w:rsidRPr="00DA0977">
        <w:rPr>
          <w:i/>
          <w:iCs/>
        </w:rPr>
        <w:t>Interpretation Act</w:t>
      </w:r>
      <w:r w:rsidR="00B4722A" w:rsidRPr="00DA0977">
        <w:t>, R.S.C. 1985, c. I</w:t>
      </w:r>
      <w:r w:rsidR="00B4722A" w:rsidRPr="00DA0977">
        <w:noBreakHyphen/>
      </w:r>
      <w:r w:rsidRPr="00DA0977">
        <w:t>21, s.</w:t>
      </w:r>
      <w:r w:rsidR="00B4722A" w:rsidRPr="00DA0977">
        <w:t> </w:t>
      </w:r>
      <w:r w:rsidRPr="00DA0977">
        <w:t>35</w:t>
      </w:r>
      <w:r w:rsidR="00A52CB2" w:rsidRPr="00DA0977">
        <w:t>(1)</w:t>
      </w:r>
      <w:r w:rsidR="00617B55" w:rsidRPr="00DA0977">
        <w:t xml:space="preserve"> “telecommunications”</w:t>
      </w:r>
      <w:r w:rsidRPr="00DA0977">
        <w:t>.</w:t>
      </w:r>
    </w:p>
    <w:p w14:paraId="68D36BFC" w14:textId="3B293859" w:rsidR="00A06A16" w:rsidRPr="00DA0977" w:rsidRDefault="00A06A16" w:rsidP="00B4722A">
      <w:pPr>
        <w:pStyle w:val="SCCNormalDoubleSpacing"/>
        <w:spacing w:after="240" w:line="240" w:lineRule="auto"/>
        <w:ind w:left="547" w:hanging="547"/>
      </w:pPr>
      <w:r w:rsidRPr="00DA0977">
        <w:rPr>
          <w:i/>
        </w:rPr>
        <w:t>Safe Streets and Communities Act</w:t>
      </w:r>
      <w:r w:rsidRPr="00DA0977">
        <w:t>, S.C. 2012, c. 1, s. 22.</w:t>
      </w:r>
    </w:p>
    <w:p w14:paraId="3E67A415" w14:textId="0AC920DF" w:rsidR="00904B4F" w:rsidRPr="00DA0977" w:rsidRDefault="005846E3" w:rsidP="00B4722A">
      <w:pPr>
        <w:pStyle w:val="SCCNormalDoubleSpacing"/>
        <w:spacing w:after="720" w:line="240" w:lineRule="auto"/>
        <w:ind w:left="547" w:hanging="547"/>
      </w:pPr>
      <w:r w:rsidRPr="00DA0977">
        <w:rPr>
          <w:i/>
        </w:rPr>
        <w:t>Tougher Penalties for Child Predators Act</w:t>
      </w:r>
      <w:r w:rsidR="00B4722A" w:rsidRPr="00DA0977">
        <w:t>, S.C. 2015, c. </w:t>
      </w:r>
      <w:r w:rsidRPr="00DA0977">
        <w:t>23</w:t>
      </w:r>
      <w:r w:rsidR="00B421FD" w:rsidRPr="00DA0977">
        <w:t>, s. 11</w:t>
      </w:r>
      <w:r w:rsidRPr="00DA0977">
        <w:t>.</w:t>
      </w:r>
    </w:p>
    <w:p w14:paraId="27352162" w14:textId="77777777" w:rsidR="002E6705" w:rsidRPr="00DA0977" w:rsidRDefault="002E6705" w:rsidP="00B4722A">
      <w:pPr>
        <w:pStyle w:val="SCCNormalDoubleSpacing"/>
        <w:spacing w:after="720" w:line="240" w:lineRule="auto"/>
        <w:rPr>
          <w:b/>
        </w:rPr>
      </w:pPr>
      <w:r w:rsidRPr="00DA0977">
        <w:rPr>
          <w:b/>
        </w:rPr>
        <w:t>Authors Cited</w:t>
      </w:r>
    </w:p>
    <w:p w14:paraId="5D104347" w14:textId="4EF330D5" w:rsidR="003948B5" w:rsidRPr="00DA0977" w:rsidRDefault="003948B5" w:rsidP="00B4722A">
      <w:pPr>
        <w:pStyle w:val="SCCNormalDoubleSpacing"/>
        <w:spacing w:after="240" w:line="240" w:lineRule="auto"/>
        <w:ind w:left="540" w:hanging="540"/>
      </w:pPr>
      <w:r w:rsidRPr="00DA0977">
        <w:t>Bailey, Jane</w:t>
      </w:r>
      <w:r w:rsidR="00061B8A" w:rsidRPr="00DA0977">
        <w:t>,</w:t>
      </w:r>
      <w:r w:rsidRPr="00DA0977">
        <w:t xml:space="preserve"> and C</w:t>
      </w:r>
      <w:r w:rsidR="00B4722A" w:rsidRPr="00DA0977">
        <w:t xml:space="preserve">arissima </w:t>
      </w:r>
      <w:r w:rsidRPr="00DA0977">
        <w:t>Mathen. “</w:t>
      </w:r>
      <w:r w:rsidR="00904B4F" w:rsidRPr="00DA0977">
        <w:t>Tech</w:t>
      </w:r>
      <w:r w:rsidRPr="00DA0977">
        <w:t>nology</w:t>
      </w:r>
      <w:r w:rsidRPr="00DA0977">
        <w:noBreakHyphen/>
        <w:t xml:space="preserve">Facilitated Violence Against Women &amp; Girls: Assessing the Canadian Criminal Law Response” (2019), 97 </w:t>
      </w:r>
      <w:r w:rsidR="00904B4F" w:rsidRPr="00DA0977">
        <w:rPr>
          <w:i/>
        </w:rPr>
        <w:t>Can. Bar</w:t>
      </w:r>
      <w:r w:rsidRPr="00DA0977">
        <w:rPr>
          <w:i/>
        </w:rPr>
        <w:t xml:space="preserve"> Rev.</w:t>
      </w:r>
      <w:r w:rsidRPr="00DA0977">
        <w:t xml:space="preserve"> </w:t>
      </w:r>
      <w:r w:rsidR="00904B4F" w:rsidRPr="00DA0977">
        <w:t>664</w:t>
      </w:r>
      <w:r w:rsidRPr="00DA0977">
        <w:t>.</w:t>
      </w:r>
    </w:p>
    <w:p w14:paraId="5C218A98" w14:textId="31E52030" w:rsidR="00774AA3" w:rsidRPr="00DA0977" w:rsidRDefault="00774AA3" w:rsidP="00B4722A">
      <w:pPr>
        <w:pStyle w:val="SCCNormalDoubleSpacing"/>
        <w:spacing w:after="240" w:line="240" w:lineRule="auto"/>
        <w:ind w:left="540" w:hanging="540"/>
      </w:pPr>
      <w:r w:rsidRPr="00DA0977">
        <w:t xml:space="preserve">Canada. Office of the Correctional Investigator. </w:t>
      </w:r>
      <w:r w:rsidRPr="00DA0977">
        <w:rPr>
          <w:i/>
        </w:rPr>
        <w:t>A Legacy of Missed Opportunities: The Case of Ashley Smith</w:t>
      </w:r>
      <w:r w:rsidRPr="00DA0977">
        <w:t>, by Howard Sapers,</w:t>
      </w:r>
      <w:r w:rsidRPr="00DA0977">
        <w:rPr>
          <w:i/>
        </w:rPr>
        <w:t xml:space="preserve"> </w:t>
      </w:r>
      <w:r w:rsidRPr="00DA0977">
        <w:t xml:space="preserve">November 23, 2011 (online: </w:t>
      </w:r>
      <w:r w:rsidR="00D662B3" w:rsidRPr="00DA0977">
        <w:t>https://oci-bec.gc.ca/en/content/speaking-notes-mr-howard-sapers-legacy-missed-opportunities-case-ashley-smith-health-law</w:t>
      </w:r>
      <w:r w:rsidRPr="00DA0977">
        <w:t>;</w:t>
      </w:r>
      <w:r w:rsidR="00873039" w:rsidRPr="00DA0977">
        <w:t xml:space="preserve"> </w:t>
      </w:r>
      <w:r w:rsidR="00873039" w:rsidRPr="00DA0977">
        <w:rPr>
          <w:rStyle w:val="solexhl"/>
          <w:rFonts w:eastAsiaTheme="majorEastAsia"/>
          <w:color w:val="000000"/>
        </w:rPr>
        <w:t>archived version</w:t>
      </w:r>
      <w:r w:rsidR="00873039" w:rsidRPr="00DA0977">
        <w:rPr>
          <w:color w:val="000000"/>
        </w:rPr>
        <w:t>:</w:t>
      </w:r>
      <w:r w:rsidRPr="00DA0977">
        <w:t xml:space="preserve"> </w:t>
      </w:r>
      <w:hyperlink r:id="rId10" w:history="1">
        <w:r w:rsidRPr="00FA6AE8">
          <w:rPr>
            <w:rStyle w:val="Hyperlink"/>
            <w:rFonts w:eastAsiaTheme="majorEastAsia"/>
          </w:rPr>
          <w:t>https://www.scc-csc.ca/cso-dce/2023SCC-CSC</w:t>
        </w:r>
        <w:r w:rsidR="002471F6" w:rsidRPr="00FA6AE8">
          <w:rPr>
            <w:rStyle w:val="Hyperlink"/>
          </w:rPr>
          <w:t>26</w:t>
        </w:r>
        <w:r w:rsidRPr="00FA6AE8">
          <w:rPr>
            <w:rStyle w:val="Hyperlink"/>
            <w:rFonts w:eastAsiaTheme="majorEastAsia"/>
          </w:rPr>
          <w:t>_1_eng.pdf</w:t>
        </w:r>
      </w:hyperlink>
      <w:r w:rsidRPr="00DA0977">
        <w:rPr>
          <w:color w:val="000000"/>
        </w:rPr>
        <w:t>).</w:t>
      </w:r>
    </w:p>
    <w:p w14:paraId="5B86B991" w14:textId="6609E3DF" w:rsidR="0053201C" w:rsidRPr="00DA0977" w:rsidRDefault="0053201C" w:rsidP="00B4722A">
      <w:pPr>
        <w:pStyle w:val="SCCNormalDoubleSpacing"/>
        <w:spacing w:after="240" w:line="240" w:lineRule="auto"/>
        <w:ind w:left="540" w:hanging="540"/>
      </w:pPr>
      <w:r w:rsidRPr="00DA0977">
        <w:t xml:space="preserve">Canada. Office of the Correctional Investigator. </w:t>
      </w:r>
      <w:r w:rsidRPr="00DA0977">
        <w:rPr>
          <w:i/>
        </w:rPr>
        <w:t xml:space="preserve">Annual Report </w:t>
      </w:r>
      <w:r w:rsidR="00B4722A" w:rsidRPr="00DA0977">
        <w:rPr>
          <w:i/>
        </w:rPr>
        <w:t>2021</w:t>
      </w:r>
      <w:r w:rsidR="00B4722A" w:rsidRPr="00DA0977">
        <w:rPr>
          <w:i/>
        </w:rPr>
        <w:noBreakHyphen/>
      </w:r>
      <w:r w:rsidRPr="00DA0977">
        <w:rPr>
          <w:i/>
        </w:rPr>
        <w:t>2022</w:t>
      </w:r>
      <w:r w:rsidRPr="00DA0977">
        <w:t>. Ottawa, 2022.</w:t>
      </w:r>
    </w:p>
    <w:p w14:paraId="04FACEFE" w14:textId="2C514B3A" w:rsidR="00EE09F5" w:rsidRPr="00DA0977" w:rsidRDefault="00EE09F5" w:rsidP="00B4722A">
      <w:pPr>
        <w:pStyle w:val="SCCNormalDoubleSpacing"/>
        <w:spacing w:after="240" w:line="240" w:lineRule="auto"/>
        <w:ind w:left="540" w:hanging="540"/>
      </w:pPr>
      <w:r w:rsidRPr="00DA0977">
        <w:rPr>
          <w:rStyle w:val="fontstyle01"/>
        </w:rPr>
        <w:t xml:space="preserve">Canada. Office of the Correctional Investigator and Office of the Provincial Advocate for Children and Youth. </w:t>
      </w:r>
      <w:r w:rsidRPr="00DA0977">
        <w:rPr>
          <w:rStyle w:val="fontstyle21"/>
        </w:rPr>
        <w:t>Missed Opportunities: The Experience of Young Adults Incarcerated in Federal Penitentiaries</w:t>
      </w:r>
      <w:r w:rsidRPr="00DA0977">
        <w:rPr>
          <w:rStyle w:val="fontstyle01"/>
        </w:rPr>
        <w:t>. Ottawa, 2017.</w:t>
      </w:r>
    </w:p>
    <w:p w14:paraId="6C09694A" w14:textId="24A45B5F" w:rsidR="00246BC3" w:rsidRPr="00DA0977" w:rsidRDefault="00246BC3" w:rsidP="00B4722A">
      <w:pPr>
        <w:pStyle w:val="SCCNormalDoubleSpacing"/>
        <w:spacing w:after="240" w:line="240" w:lineRule="auto"/>
        <w:ind w:left="540" w:hanging="540"/>
      </w:pPr>
      <w:r w:rsidRPr="00DA0977">
        <w:t>Carlton, Alessandra. “Sextortion: The Hybrid ‘</w:t>
      </w:r>
      <w:r w:rsidR="00B4722A" w:rsidRPr="00DA0977">
        <w:t>Cyber</w:t>
      </w:r>
      <w:r w:rsidR="00B4722A" w:rsidRPr="00DA0977">
        <w:noBreakHyphen/>
      </w:r>
      <w:r w:rsidRPr="00DA0977">
        <w:t xml:space="preserve">Sex’ Crime” (2020), 21:3 </w:t>
      </w:r>
      <w:r w:rsidRPr="00DA0977">
        <w:rPr>
          <w:i/>
        </w:rPr>
        <w:t>N.C. J.L. &amp; Tech.</w:t>
      </w:r>
      <w:r w:rsidRPr="00DA0977">
        <w:t xml:space="preserve"> 177.</w:t>
      </w:r>
    </w:p>
    <w:p w14:paraId="0D4D112B" w14:textId="78BDB2E4" w:rsidR="00EF419E" w:rsidRPr="00DA0977" w:rsidRDefault="00EF419E" w:rsidP="00B4722A">
      <w:pPr>
        <w:pStyle w:val="SCCNormalDoubleSpacing"/>
        <w:spacing w:after="240" w:line="240" w:lineRule="auto"/>
        <w:ind w:left="540" w:hanging="540"/>
      </w:pPr>
      <w:r w:rsidRPr="00DA0977">
        <w:lastRenderedPageBreak/>
        <w:t>Elliott, Ian A.</w:t>
      </w:r>
      <w:r w:rsidR="00B4722A" w:rsidRPr="00DA0977">
        <w:t xml:space="preserve"> “A Self</w:t>
      </w:r>
      <w:r w:rsidR="00B4722A" w:rsidRPr="00DA0977">
        <w:noBreakHyphen/>
      </w:r>
      <w:r w:rsidRPr="00DA0977">
        <w:t xml:space="preserve">Regulation Model of Sexual Grooming” (2017), 18 </w:t>
      </w:r>
      <w:r w:rsidRPr="00DA0977">
        <w:rPr>
          <w:i/>
        </w:rPr>
        <w:t xml:space="preserve">Trauma, Violence, &amp; Abuse </w:t>
      </w:r>
      <w:r w:rsidRPr="00DA0977">
        <w:t>83.</w:t>
      </w:r>
    </w:p>
    <w:p w14:paraId="7A2D599F" w14:textId="6109D2A0" w:rsidR="00667319" w:rsidRPr="00DA0977" w:rsidRDefault="00667319" w:rsidP="00B4722A">
      <w:pPr>
        <w:pStyle w:val="SCCNormalDoubleSpacing"/>
        <w:spacing w:after="240" w:line="240" w:lineRule="auto"/>
        <w:ind w:left="540" w:hanging="540"/>
        <w:rPr>
          <w:szCs w:val="24"/>
        </w:rPr>
      </w:pPr>
      <w:r w:rsidRPr="00DA0977">
        <w:t>Gilbert, Paul. “What Is Shame? Some Core Issues and Controversies”, in Paul</w:t>
      </w:r>
      <w:r w:rsidR="008C614B" w:rsidRPr="00DA0977">
        <w:t xml:space="preserve"> </w:t>
      </w:r>
      <w:r w:rsidRPr="00DA0977">
        <w:t>G</w:t>
      </w:r>
      <w:r w:rsidR="00E8113A" w:rsidRPr="00DA0977">
        <w:t>ilbert and Bernice</w:t>
      </w:r>
      <w:r w:rsidR="008C614B" w:rsidRPr="00DA0977">
        <w:t xml:space="preserve"> </w:t>
      </w:r>
      <w:r w:rsidRPr="00DA0977">
        <w:t xml:space="preserve">Andrews, eds., </w:t>
      </w:r>
      <w:r w:rsidRPr="00DA0977">
        <w:rPr>
          <w:i/>
        </w:rPr>
        <w:t>Shame: Interpersonal Behavior, Psychopathology and Culture</w:t>
      </w:r>
      <w:r w:rsidR="00E8113A" w:rsidRPr="00DA0977">
        <w:t>.</w:t>
      </w:r>
      <w:r w:rsidRPr="00DA0977">
        <w:rPr>
          <w:i/>
        </w:rPr>
        <w:t xml:space="preserve"> </w:t>
      </w:r>
      <w:r w:rsidR="00E8113A" w:rsidRPr="00DA0977">
        <w:t xml:space="preserve">New York: Oxford University Press, </w:t>
      </w:r>
      <w:r w:rsidRPr="00DA0977">
        <w:t>1998, 3</w:t>
      </w:r>
      <w:r w:rsidR="00E8113A" w:rsidRPr="00DA0977">
        <w:t>.</w:t>
      </w:r>
    </w:p>
    <w:p w14:paraId="7EBF0276" w14:textId="1172D290" w:rsidR="000D6496" w:rsidRPr="00DA0977" w:rsidRDefault="000D6496" w:rsidP="00B4722A">
      <w:pPr>
        <w:pStyle w:val="SCCNormalDoubleSpacing"/>
        <w:spacing w:after="240" w:line="240" w:lineRule="auto"/>
        <w:ind w:left="540" w:hanging="540"/>
        <w:rPr>
          <w:szCs w:val="24"/>
        </w:rPr>
      </w:pPr>
      <w:r w:rsidRPr="00DA0977">
        <w:rPr>
          <w:szCs w:val="24"/>
        </w:rPr>
        <w:t>Hanson, Elly. “The Impact of Online Sexual Abuse on Children and Young People”, in J</w:t>
      </w:r>
      <w:r w:rsidR="008C614B" w:rsidRPr="00DA0977">
        <w:rPr>
          <w:szCs w:val="24"/>
        </w:rPr>
        <w:t xml:space="preserve">on </w:t>
      </w:r>
      <w:r w:rsidRPr="00DA0977">
        <w:rPr>
          <w:szCs w:val="24"/>
        </w:rPr>
        <w:t xml:space="preserve">Brown, ed., </w:t>
      </w:r>
      <w:r w:rsidRPr="00DA0977">
        <w:rPr>
          <w:i/>
          <w:szCs w:val="24"/>
        </w:rPr>
        <w:t>Online Risk to Children: Impact, Protection and Prevention</w:t>
      </w:r>
      <w:r w:rsidRPr="00DA0977">
        <w:rPr>
          <w:szCs w:val="24"/>
        </w:rPr>
        <w:t>, 1st ed. Hoboken, N.J.: Wiley Blackwell, 2017, 97.</w:t>
      </w:r>
    </w:p>
    <w:p w14:paraId="77EABA62" w14:textId="41028FD4" w:rsidR="009775C4" w:rsidRPr="00DA0977" w:rsidRDefault="009775C4" w:rsidP="00B4722A">
      <w:pPr>
        <w:pStyle w:val="SCCNormalDoubleSpacing"/>
        <w:spacing w:after="240" w:line="240" w:lineRule="auto"/>
        <w:ind w:left="540" w:hanging="540"/>
        <w:rPr>
          <w:szCs w:val="24"/>
        </w:rPr>
      </w:pPr>
      <w:r w:rsidRPr="00DA0977">
        <w:t>Karaian, Lara, and Dillon</w:t>
      </w:r>
      <w:r w:rsidR="008C614B" w:rsidRPr="00DA0977">
        <w:t xml:space="preserve"> </w:t>
      </w:r>
      <w:r w:rsidRPr="00DA0977">
        <w:t>Brady. “Revisiting the ‘Private Use Exception’ to Canada’s Child Pornogr</w:t>
      </w:r>
      <w:r w:rsidR="008C614B" w:rsidRPr="00DA0977">
        <w:t>aphy Laws: Teenage Sexting, Sex</w:t>
      </w:r>
      <w:r w:rsidR="008C614B" w:rsidRPr="00DA0977">
        <w:noBreakHyphen/>
      </w:r>
      <w:r w:rsidRPr="00DA0977">
        <w:t xml:space="preserve">Positivity, Pleasure, and Control in the Digital Age” (2019), 56 </w:t>
      </w:r>
      <w:r w:rsidRPr="00DA0977">
        <w:rPr>
          <w:i/>
        </w:rPr>
        <w:t>Osgoode Hall L.J.</w:t>
      </w:r>
      <w:r w:rsidRPr="00DA0977">
        <w:t xml:space="preserve"> 301.</w:t>
      </w:r>
    </w:p>
    <w:p w14:paraId="6DA53FDB" w14:textId="6F777566" w:rsidR="005F537C" w:rsidRPr="00DA0977" w:rsidRDefault="005F537C" w:rsidP="00B4722A">
      <w:pPr>
        <w:pStyle w:val="SCCNormalDoubleSpacing"/>
        <w:spacing w:after="240" w:line="240" w:lineRule="auto"/>
        <w:ind w:left="540" w:hanging="540"/>
        <w:rPr>
          <w:lang w:val="fr-CA"/>
        </w:rPr>
      </w:pPr>
      <w:r w:rsidRPr="00DA0977">
        <w:rPr>
          <w:lang w:val="fr-CA"/>
        </w:rPr>
        <w:t xml:space="preserve">Kloess, Juliane A., et al. </w:t>
      </w:r>
      <w:r w:rsidRPr="00DA0977">
        <w:t xml:space="preserve">“A Qualitative Analysis of Offenders’ Modus Operandi in Sexually Exploitative Interactions With Children Online” (2017), 29 </w:t>
      </w:r>
      <w:r w:rsidRPr="00DA0977">
        <w:rPr>
          <w:i/>
        </w:rPr>
        <w:t xml:space="preserve">Sex. </w:t>
      </w:r>
      <w:r w:rsidRPr="00DA0977">
        <w:rPr>
          <w:i/>
          <w:lang w:val="fr-CA"/>
        </w:rPr>
        <w:t>Abuse</w:t>
      </w:r>
      <w:r w:rsidRPr="00DA0977">
        <w:rPr>
          <w:lang w:val="fr-CA"/>
        </w:rPr>
        <w:t xml:space="preserve"> 563.</w:t>
      </w:r>
    </w:p>
    <w:p w14:paraId="18BB0F8C" w14:textId="6687FA41" w:rsidR="00492E34" w:rsidRPr="00DA0977" w:rsidRDefault="00492E34" w:rsidP="00B4722A">
      <w:pPr>
        <w:pStyle w:val="SCCNormalDoubleSpacing"/>
        <w:spacing w:after="240" w:line="240" w:lineRule="auto"/>
        <w:ind w:left="540" w:hanging="540"/>
        <w:rPr>
          <w:lang w:val="fr-CA" w:bidi="en-US"/>
        </w:rPr>
      </w:pPr>
      <w:r w:rsidRPr="00DA0977">
        <w:rPr>
          <w:lang w:val="fr-CA"/>
        </w:rPr>
        <w:t>Paquette, Sarah, et Francis</w:t>
      </w:r>
      <w:r w:rsidR="002E76B6" w:rsidRPr="00DA0977">
        <w:rPr>
          <w:lang w:val="fr-CA"/>
        </w:rPr>
        <w:t xml:space="preserve"> </w:t>
      </w:r>
      <w:r w:rsidRPr="00DA0977">
        <w:rPr>
          <w:lang w:val="fr-CA"/>
        </w:rPr>
        <w:t>Fortin.</w:t>
      </w:r>
      <w:r w:rsidRPr="00DA0977">
        <w:rPr>
          <w:i/>
          <w:lang w:val="fr-CA"/>
        </w:rPr>
        <w:t xml:space="preserve"> </w:t>
      </w:r>
      <w:r w:rsidRPr="00DA0977">
        <w:rPr>
          <w:lang w:val="fr-CA"/>
        </w:rPr>
        <w:t>“Les traces numériques laissées p</w:t>
      </w:r>
      <w:r w:rsidR="001F634D" w:rsidRPr="00DA0977">
        <w:rPr>
          <w:lang w:val="fr-CA"/>
        </w:rPr>
        <w:t>ar les cyberdélinquants sexuels</w:t>
      </w:r>
      <w:r w:rsidRPr="00DA0977">
        <w:rPr>
          <w:lang w:val="fr-CA"/>
        </w:rPr>
        <w:t xml:space="preserve">: identités virtuelles, mensonges et protection de l’anonymat” (2021), </w:t>
      </w:r>
      <w:r w:rsidR="00A33123" w:rsidRPr="00DA0977">
        <w:rPr>
          <w:lang w:val="fr-CA"/>
        </w:rPr>
        <w:t>7</w:t>
      </w:r>
      <w:r w:rsidRPr="00DA0977">
        <w:rPr>
          <w:lang w:val="fr-CA"/>
        </w:rPr>
        <w:t xml:space="preserve">4 </w:t>
      </w:r>
      <w:r w:rsidRPr="00DA0977">
        <w:rPr>
          <w:i/>
          <w:lang w:val="fr-CA" w:bidi="en-US"/>
        </w:rPr>
        <w:t>R.I.C.P.T.S.</w:t>
      </w:r>
      <w:r w:rsidRPr="00DA0977">
        <w:rPr>
          <w:lang w:val="fr-CA" w:bidi="en-US"/>
        </w:rPr>
        <w:t xml:space="preserve"> 387.</w:t>
      </w:r>
    </w:p>
    <w:p w14:paraId="2CB954ED" w14:textId="637C89A4" w:rsidR="009B1676" w:rsidRPr="00DA0977" w:rsidRDefault="009B1676" w:rsidP="00B4722A">
      <w:pPr>
        <w:pStyle w:val="SCCNormalDoubleSpacing"/>
        <w:spacing w:after="240" w:line="240" w:lineRule="auto"/>
        <w:ind w:left="540" w:hanging="540"/>
        <w:rPr>
          <w:szCs w:val="24"/>
        </w:rPr>
      </w:pPr>
      <w:r w:rsidRPr="00DA0977">
        <w:rPr>
          <w:lang w:val="fr-CA"/>
        </w:rPr>
        <w:t xml:space="preserve">Parent, Hugues, et Julie Desrosiers. </w:t>
      </w:r>
      <w:r w:rsidRPr="00DA0977">
        <w:rPr>
          <w:i/>
          <w:lang w:val="fr-CA"/>
        </w:rPr>
        <w:t>Traité de droit criminel</w:t>
      </w:r>
      <w:r w:rsidRPr="00DA0977">
        <w:rPr>
          <w:lang w:val="fr-CA"/>
        </w:rPr>
        <w:t xml:space="preserve">, t. III, </w:t>
      </w:r>
      <w:r w:rsidRPr="00DA0977">
        <w:rPr>
          <w:i/>
          <w:lang w:val="fr-CA"/>
        </w:rPr>
        <w:t>La peine</w:t>
      </w:r>
      <w:r w:rsidRPr="00DA0977">
        <w:rPr>
          <w:lang w:val="fr-CA"/>
        </w:rPr>
        <w:t>, 3</w:t>
      </w:r>
      <w:r w:rsidRPr="00DA0977">
        <w:rPr>
          <w:vertAlign w:val="superscript"/>
          <w:lang w:val="fr-CA"/>
        </w:rPr>
        <w:t>e</w:t>
      </w:r>
      <w:r w:rsidRPr="00DA0977">
        <w:rPr>
          <w:lang w:val="fr-CA"/>
        </w:rPr>
        <w:t xml:space="preserve"> éd. </w:t>
      </w:r>
      <w:r w:rsidRPr="00DA0977">
        <w:t>Montréal: Thémis, 2020.</w:t>
      </w:r>
    </w:p>
    <w:p w14:paraId="2E4E9D6E" w14:textId="00FB9C46" w:rsidR="004D14CF" w:rsidRPr="00DA0977" w:rsidRDefault="004D14CF" w:rsidP="00B4722A">
      <w:pPr>
        <w:pStyle w:val="SCCNormalDoubleSpacing"/>
        <w:spacing w:after="240" w:line="240" w:lineRule="auto"/>
        <w:ind w:left="540" w:hanging="540"/>
        <w:rPr>
          <w:szCs w:val="24"/>
          <w:lang w:val="en-US"/>
        </w:rPr>
      </w:pPr>
      <w:r w:rsidRPr="00DA0977">
        <w:rPr>
          <w:szCs w:val="24"/>
        </w:rPr>
        <w:t>Ruby,</w:t>
      </w:r>
      <w:r w:rsidRPr="00DA0977">
        <w:t xml:space="preserve"> </w:t>
      </w:r>
      <w:r w:rsidRPr="00DA0977">
        <w:rPr>
          <w:szCs w:val="24"/>
        </w:rPr>
        <w:t xml:space="preserve">Clayton C. </w:t>
      </w:r>
      <w:r w:rsidRPr="00DA0977">
        <w:rPr>
          <w:i/>
          <w:szCs w:val="24"/>
        </w:rPr>
        <w:t>Sentencing</w:t>
      </w:r>
      <w:r w:rsidRPr="00DA0977">
        <w:rPr>
          <w:szCs w:val="24"/>
        </w:rPr>
        <w:t>, 10th ed. Toronto: LexisNexis, 2020.</w:t>
      </w:r>
    </w:p>
    <w:p w14:paraId="2A159F68" w14:textId="54450A8E" w:rsidR="00A149DF" w:rsidRPr="00DA0977" w:rsidRDefault="004D0219" w:rsidP="00B4722A">
      <w:pPr>
        <w:pStyle w:val="SCCNormalDoubleSpacing"/>
        <w:spacing w:after="240" w:line="240" w:lineRule="auto"/>
        <w:ind w:left="540" w:hanging="540"/>
        <w:rPr>
          <w:szCs w:val="24"/>
        </w:rPr>
      </w:pPr>
      <w:r w:rsidRPr="00DA0977">
        <w:rPr>
          <w:szCs w:val="24"/>
        </w:rPr>
        <w:t xml:space="preserve">Say, Gökçe Nur, et al. “Abuse Characteristics and Psychiatric Consequences Associated with Online Sexual Abuse” (2015), 18 </w:t>
      </w:r>
      <w:r w:rsidRPr="00DA0977">
        <w:rPr>
          <w:i/>
          <w:szCs w:val="24"/>
        </w:rPr>
        <w:t>Cyberpsychol., Behav., and Soc. Netw.</w:t>
      </w:r>
      <w:r w:rsidRPr="00DA0977">
        <w:rPr>
          <w:szCs w:val="24"/>
        </w:rPr>
        <w:t xml:space="preserve"> 333.</w:t>
      </w:r>
    </w:p>
    <w:p w14:paraId="04DFCD34" w14:textId="5EAC7494" w:rsidR="00846E87" w:rsidRPr="00DA0977" w:rsidRDefault="00846E87" w:rsidP="00B4722A">
      <w:pPr>
        <w:pStyle w:val="SCCNormalDoubleSpacing"/>
        <w:spacing w:after="240" w:line="240" w:lineRule="auto"/>
        <w:ind w:left="540" w:hanging="540"/>
      </w:pPr>
      <w:r w:rsidRPr="00DA0977">
        <w:t xml:space="preserve">Steel, Jennifer, et al. “Psychological sequelae of childhood sexual abuse: abuse-related characteristics, coping strategies, and attributional style” (2004), 28 </w:t>
      </w:r>
      <w:r w:rsidRPr="00DA0977">
        <w:rPr>
          <w:i/>
        </w:rPr>
        <w:t xml:space="preserve">Child Abuse &amp; Negl. </w:t>
      </w:r>
      <w:r w:rsidRPr="00DA0977">
        <w:t>785.</w:t>
      </w:r>
    </w:p>
    <w:p w14:paraId="34069AF5" w14:textId="0E0040C2" w:rsidR="000A5715" w:rsidRPr="00DA0977" w:rsidRDefault="000A5715" w:rsidP="008C614B">
      <w:pPr>
        <w:pStyle w:val="SCCNormalDoubleSpacing"/>
        <w:spacing w:after="720" w:line="240" w:lineRule="auto"/>
        <w:ind w:left="547" w:hanging="547"/>
        <w:rPr>
          <w:lang w:val="fr-CA"/>
        </w:rPr>
      </w:pPr>
      <w:r w:rsidRPr="00DA0977">
        <w:rPr>
          <w:lang w:val="fr-CA"/>
        </w:rPr>
        <w:t xml:space="preserve">Zaccour, Suzanne, et Michaël Lessard. “La culture du viol dans le discours juridique: soigner ses mots pour combattre les violences sexuelles” (2021), 33 </w:t>
      </w:r>
      <w:r w:rsidRPr="00DA0977">
        <w:rPr>
          <w:i/>
          <w:lang w:val="fr-CA"/>
        </w:rPr>
        <w:t>C.J.W.L.</w:t>
      </w:r>
      <w:r w:rsidRPr="00DA0977">
        <w:rPr>
          <w:lang w:val="fr-CA"/>
        </w:rPr>
        <w:t xml:space="preserve"> 175.</w:t>
      </w:r>
    </w:p>
    <w:p w14:paraId="4E6CB9A6" w14:textId="3191008C" w:rsidR="00656313" w:rsidRPr="00DA0977" w:rsidRDefault="009B57B3" w:rsidP="00CF3581">
      <w:pPr>
        <w:pStyle w:val="SCCNormalDoubleSpacing"/>
        <w:spacing w:after="480"/>
      </w:pPr>
      <w:r w:rsidRPr="00DA0977">
        <w:rPr>
          <w:lang w:val="fr-CA"/>
        </w:rPr>
        <w:tab/>
      </w:r>
      <w:r w:rsidRPr="00DA0977">
        <w:t xml:space="preserve">APPEAL from a judgment of the </w:t>
      </w:r>
      <w:r w:rsidR="00A35C9E" w:rsidRPr="00DA0977">
        <w:t xml:space="preserve">Quebec </w:t>
      </w:r>
      <w:r w:rsidRPr="00DA0977">
        <w:t>C</w:t>
      </w:r>
      <w:r w:rsidR="00A35C9E" w:rsidRPr="00DA0977">
        <w:t>ourt of Appeal (</w:t>
      </w:r>
      <w:r w:rsidR="00FF743B" w:rsidRPr="00DA0977">
        <w:rPr>
          <w:lang w:val="en-US"/>
        </w:rPr>
        <w:t>Levesque, Cotnam and Beaupré JJ.A.</w:t>
      </w:r>
      <w:r w:rsidRPr="00DA0977">
        <w:t>)</w:t>
      </w:r>
      <w:r w:rsidR="00FF743B" w:rsidRPr="00DA0977">
        <w:t>,</w:t>
      </w:r>
      <w:r w:rsidR="00FF743B" w:rsidRPr="00DA0977">
        <w:rPr>
          <w:lang w:val="en-US"/>
        </w:rPr>
        <w:t xml:space="preserve"> </w:t>
      </w:r>
      <w:hyperlink r:id="rId11" w:history="1">
        <w:r w:rsidR="00FF743B" w:rsidRPr="00DA0977">
          <w:rPr>
            <w:rStyle w:val="Hyperlink"/>
          </w:rPr>
          <w:t>2021 QCCA 1285</w:t>
        </w:r>
      </w:hyperlink>
      <w:r w:rsidR="00CF3581" w:rsidRPr="00DA0977">
        <w:t>, [2021] AZ</w:t>
      </w:r>
      <w:r w:rsidR="00CF3581" w:rsidRPr="00DA0977">
        <w:noBreakHyphen/>
      </w:r>
      <w:r w:rsidR="00FF743B" w:rsidRPr="00DA0977">
        <w:t xml:space="preserve">51790428, [2021] Q.J. No. 9996 (QL), 2021 CarswellQue 23990 (WL), </w:t>
      </w:r>
      <w:r w:rsidR="008B76A9" w:rsidRPr="00DA0977">
        <w:t xml:space="preserve">affirming a declaration of </w:t>
      </w:r>
      <w:r w:rsidR="008B76A9" w:rsidRPr="00DA0977">
        <w:lastRenderedPageBreak/>
        <w:t xml:space="preserve">unconstitutionality of the mandatory minimum sentence in s. 172.1(2)(a) of the </w:t>
      </w:r>
      <w:r w:rsidR="008B76A9" w:rsidRPr="00DA0977">
        <w:rPr>
          <w:i/>
        </w:rPr>
        <w:t>Criminal Code</w:t>
      </w:r>
      <w:r w:rsidR="008B76A9" w:rsidRPr="00DA0977">
        <w:t xml:space="preserve"> and a sentence entered by </w:t>
      </w:r>
      <w:r w:rsidR="00FF743B" w:rsidRPr="00DA0977">
        <w:t>Bélanger J.</w:t>
      </w:r>
      <w:r w:rsidR="00811392" w:rsidRPr="00DA0977">
        <w:t>C.Q.</w:t>
      </w:r>
      <w:r w:rsidR="00FF743B" w:rsidRPr="00DA0977">
        <w:t xml:space="preserve">, </w:t>
      </w:r>
      <w:r w:rsidR="00CF3581" w:rsidRPr="00DA0977">
        <w:t>2020 QCCQ 1135, [2020] AZ</w:t>
      </w:r>
      <w:r w:rsidR="00CF3581" w:rsidRPr="00DA0977">
        <w:noBreakHyphen/>
      </w:r>
      <w:r w:rsidR="00FF743B" w:rsidRPr="00DA0977">
        <w:t>51677243, [2020] J.Q. n</w:t>
      </w:r>
      <w:r w:rsidR="00FF743B" w:rsidRPr="00DA0977">
        <w:rPr>
          <w:vertAlign w:val="superscript"/>
        </w:rPr>
        <w:t>o</w:t>
      </w:r>
      <w:r w:rsidR="00CF3581" w:rsidRPr="00DA0977">
        <w:t> </w:t>
      </w:r>
      <w:r w:rsidR="00FF743B" w:rsidRPr="00DA0977">
        <w:t xml:space="preserve">1779 (QL), 2020 CarswellQue 2109 (WL). </w:t>
      </w:r>
      <w:r w:rsidR="00E77E56" w:rsidRPr="00DA0977">
        <w:t>Appeal allowed in part, Côté J. dissenting in part</w:t>
      </w:r>
      <w:r w:rsidR="00FF743B" w:rsidRPr="00DA0977">
        <w:t>.</w:t>
      </w:r>
    </w:p>
    <w:p w14:paraId="77C7E639" w14:textId="08EC6D28" w:rsidR="00314B1C" w:rsidRPr="00DA0977" w:rsidRDefault="00314B1C" w:rsidP="00CF3581">
      <w:pPr>
        <w:pStyle w:val="SCCNormalDoubleSpacing"/>
        <w:spacing w:after="480"/>
      </w:pPr>
      <w:r w:rsidRPr="00DA0977">
        <w:tab/>
        <w:t xml:space="preserve">APPEAL from a judgment of the Quebec Court of Appeal (Schrager, Moore and Kalichman JJ.A.), </w:t>
      </w:r>
      <w:hyperlink r:id="rId12" w:history="1">
        <w:r w:rsidRPr="00DA0977">
          <w:rPr>
            <w:rStyle w:val="Hyperlink"/>
          </w:rPr>
          <w:t>2022 QCCA 16</w:t>
        </w:r>
      </w:hyperlink>
      <w:r w:rsidRPr="00DA0977">
        <w:t>,</w:t>
      </w:r>
      <w:r w:rsidR="00C741E9" w:rsidRPr="00DA0977">
        <w:t xml:space="preserve"> [2022] </w:t>
      </w:r>
      <w:r w:rsidR="003A1376" w:rsidRPr="00DA0977">
        <w:t>AZ</w:t>
      </w:r>
      <w:r w:rsidR="003A1376" w:rsidRPr="00DA0977">
        <w:noBreakHyphen/>
      </w:r>
      <w:r w:rsidR="008A03E9" w:rsidRPr="00DA0977">
        <w:t>51821456</w:t>
      </w:r>
      <w:r w:rsidR="00C741E9" w:rsidRPr="00DA0977">
        <w:t>,</w:t>
      </w:r>
      <w:r w:rsidRPr="00DA0977">
        <w:t xml:space="preserve"> </w:t>
      </w:r>
      <w:r w:rsidR="002F48C2" w:rsidRPr="00DA0977">
        <w:t>[2022] Q.J. No. 51</w:t>
      </w:r>
      <w:r w:rsidRPr="00DA0977">
        <w:t xml:space="preserve"> (QL), </w:t>
      </w:r>
      <w:r w:rsidR="002F48C2" w:rsidRPr="00DA0977">
        <w:t>2022 CarswellQue 21032</w:t>
      </w:r>
      <w:r w:rsidRPr="00DA0977">
        <w:t xml:space="preserve"> (WL), affirming a decision of Lachance J., 2021 QCCS 837</w:t>
      </w:r>
      <w:r w:rsidR="002125C1" w:rsidRPr="00DA0977">
        <w:t>, [2021] AZ</w:t>
      </w:r>
      <w:r w:rsidR="002125C1" w:rsidRPr="00DA0977">
        <w:noBreakHyphen/>
      </w:r>
      <w:r w:rsidR="008277FE" w:rsidRPr="00DA0977">
        <w:t>51747400</w:t>
      </w:r>
      <w:r w:rsidRPr="00DA0977">
        <w:t>, [2021] J.Q. n</w:t>
      </w:r>
      <w:r w:rsidRPr="00DA0977">
        <w:rPr>
          <w:vertAlign w:val="superscript"/>
        </w:rPr>
        <w:t>o</w:t>
      </w:r>
      <w:r w:rsidRPr="00DA0977">
        <w:t> 2257 (QL), 2021 CarswellQue 3559 (WL)</w:t>
      </w:r>
      <w:r w:rsidR="00E77E56" w:rsidRPr="00DA0977">
        <w:t xml:space="preserve">, </w:t>
      </w:r>
      <w:r w:rsidR="008B76A9" w:rsidRPr="00DA0977">
        <w:t xml:space="preserve">which affirmed a declaration of unconstitutionality of the mandatory minimum sentence in s. 172.1(2)(b) of the </w:t>
      </w:r>
      <w:r w:rsidR="008B76A9" w:rsidRPr="00DA0977">
        <w:rPr>
          <w:i/>
        </w:rPr>
        <w:t xml:space="preserve">Criminal Code </w:t>
      </w:r>
      <w:r w:rsidR="008B76A9" w:rsidRPr="00DA0977">
        <w:t xml:space="preserve">and varied a sentence entered by </w:t>
      </w:r>
      <w:r w:rsidR="00351997" w:rsidRPr="00DA0977">
        <w:t>Garneau J.C.Q</w:t>
      </w:r>
      <w:r w:rsidRPr="00DA0977">
        <w:t xml:space="preserve">. Appeal </w:t>
      </w:r>
      <w:r w:rsidR="00E77E56" w:rsidRPr="00DA0977">
        <w:t>di</w:t>
      </w:r>
      <w:r w:rsidR="004571AC" w:rsidRPr="00DA0977">
        <w:t>s</w:t>
      </w:r>
      <w:r w:rsidR="00E77E56" w:rsidRPr="00DA0977">
        <w:t>missed, Côté J. dissenting</w:t>
      </w:r>
      <w:r w:rsidRPr="00DA0977">
        <w:t>.</w:t>
      </w:r>
    </w:p>
    <w:p w14:paraId="730FB0AF" w14:textId="428119E0" w:rsidR="006F637B" w:rsidRPr="00DA0977" w:rsidRDefault="003C0BA9" w:rsidP="00CF3581">
      <w:pPr>
        <w:pStyle w:val="SCCNormalDoubleSpacing"/>
        <w:spacing w:after="480"/>
      </w:pPr>
      <w:r w:rsidRPr="00DA0977">
        <w:rPr>
          <w:rStyle w:val="SCCCounselNameChar"/>
        </w:rPr>
        <w:tab/>
        <w:t>Lina Thériault</w:t>
      </w:r>
      <w:r w:rsidR="00E846CD" w:rsidRPr="00DA0977">
        <w:rPr>
          <w:rStyle w:val="SCCCounselNameChar"/>
          <w:i w:val="0"/>
          <w:lang w:val="en-US"/>
        </w:rPr>
        <w:t>,</w:t>
      </w:r>
      <w:r w:rsidR="00E846CD" w:rsidRPr="00DA0977">
        <w:rPr>
          <w:rStyle w:val="SCCCounselSeparatorChar"/>
          <w:lang w:val="en-US"/>
        </w:rPr>
        <w:t xml:space="preserve"> </w:t>
      </w:r>
      <w:r w:rsidR="00E846CD" w:rsidRPr="00DA0977">
        <w:rPr>
          <w:rStyle w:val="SCCCounselNameChar"/>
          <w:lang w:val="en-US"/>
        </w:rPr>
        <w:t xml:space="preserve">Nicolas Abran </w:t>
      </w:r>
      <w:r w:rsidR="00E846CD" w:rsidRPr="00DA0977">
        <w:rPr>
          <w:rStyle w:val="SCCCounselSeparatorChar"/>
          <w:lang w:val="en-US"/>
        </w:rPr>
        <w:t xml:space="preserve">and </w:t>
      </w:r>
      <w:r w:rsidR="00CF3581" w:rsidRPr="00DA0977">
        <w:rPr>
          <w:i/>
          <w:lang w:val="en-US"/>
        </w:rPr>
        <w:t>Joanny Houde St</w:t>
      </w:r>
      <w:r w:rsidR="00CF3581" w:rsidRPr="00DA0977">
        <w:rPr>
          <w:i/>
          <w:lang w:val="en-US"/>
        </w:rPr>
        <w:noBreakHyphen/>
      </w:r>
      <w:r w:rsidR="00E846CD" w:rsidRPr="00DA0977">
        <w:rPr>
          <w:i/>
          <w:lang w:val="en-US"/>
        </w:rPr>
        <w:t>Pierre</w:t>
      </w:r>
      <w:r w:rsidRPr="00DA0977">
        <w:rPr>
          <w:rStyle w:val="SCCCounselPartyRoleChar"/>
        </w:rPr>
        <w:t>, for the appellant</w:t>
      </w:r>
      <w:r w:rsidR="00476737" w:rsidRPr="00DA0977">
        <w:rPr>
          <w:rStyle w:val="SCCCounselPartyRoleChar"/>
        </w:rPr>
        <w:t xml:space="preserve"> </w:t>
      </w:r>
      <w:r w:rsidR="00476737" w:rsidRPr="00DA0977">
        <w:t>His Majesty The King</w:t>
      </w:r>
      <w:r w:rsidR="00815B2E" w:rsidRPr="00DA0977">
        <w:t xml:space="preserve"> </w:t>
      </w:r>
      <w:r w:rsidR="00815B2E" w:rsidRPr="00DA0977">
        <w:rPr>
          <w:rStyle w:val="SCCCounselPartyRoleChar"/>
          <w:lang w:val="en-US"/>
        </w:rPr>
        <w:t>(</w:t>
      </w:r>
      <w:r w:rsidR="00815B2E" w:rsidRPr="00DA0977">
        <w:rPr>
          <w:lang w:val="en-US"/>
        </w:rPr>
        <w:t>39935)</w:t>
      </w:r>
      <w:r w:rsidRPr="00DA0977">
        <w:rPr>
          <w:rStyle w:val="SCCCounselPartyRoleChar"/>
        </w:rPr>
        <w:t>.</w:t>
      </w:r>
    </w:p>
    <w:p w14:paraId="5655455B" w14:textId="77777777" w:rsidR="00504EAE" w:rsidRPr="00DA0977" w:rsidRDefault="00504EAE" w:rsidP="00504EAE">
      <w:pPr>
        <w:pStyle w:val="SCCNormalDoubleSpacing"/>
        <w:spacing w:after="480"/>
      </w:pPr>
      <w:r w:rsidRPr="00DA0977">
        <w:rPr>
          <w:rStyle w:val="SCCCounselNameChar"/>
        </w:rPr>
        <w:tab/>
        <w:t>Éric Bernier</w:t>
      </w:r>
      <w:r w:rsidRPr="00DA0977">
        <w:rPr>
          <w:rStyle w:val="SCCCounselSeparatorChar"/>
        </w:rPr>
        <w:t xml:space="preserve"> and </w:t>
      </w:r>
      <w:r w:rsidRPr="00DA0977">
        <w:rPr>
          <w:rStyle w:val="SCCCounselNameChar"/>
        </w:rPr>
        <w:t>Lina Thériault</w:t>
      </w:r>
      <w:r w:rsidRPr="00DA0977">
        <w:rPr>
          <w:rStyle w:val="SCCCounselPartyRoleChar"/>
        </w:rPr>
        <w:t>, for the appellant</w:t>
      </w:r>
      <w:r w:rsidRPr="00DA0977">
        <w:t xml:space="preserve"> His Majesty The King </w:t>
      </w:r>
      <w:r w:rsidRPr="00DA0977">
        <w:rPr>
          <w:lang w:val="en-US"/>
        </w:rPr>
        <w:t>(40093)</w:t>
      </w:r>
      <w:r w:rsidRPr="00DA0977">
        <w:rPr>
          <w:rStyle w:val="SCCCounselPartyRoleChar"/>
        </w:rPr>
        <w:t>.</w:t>
      </w:r>
    </w:p>
    <w:p w14:paraId="0677F099" w14:textId="10F96CDC" w:rsidR="006F637B" w:rsidRPr="00DA0977" w:rsidRDefault="003C0BA9" w:rsidP="00CF3581">
      <w:pPr>
        <w:pStyle w:val="SCCNormalDoubleSpacing"/>
        <w:spacing w:after="480"/>
      </w:pPr>
      <w:r w:rsidRPr="00DA0977">
        <w:rPr>
          <w:rStyle w:val="SCCCounselNameChar"/>
        </w:rPr>
        <w:tab/>
        <w:t>Alexandre Duval</w:t>
      </w:r>
      <w:r w:rsidR="00160110" w:rsidRPr="00DA0977">
        <w:rPr>
          <w:rStyle w:val="SCCCounselNameChar"/>
          <w:i w:val="0"/>
          <w:lang w:val="en-US"/>
        </w:rPr>
        <w:t>,</w:t>
      </w:r>
      <w:r w:rsidR="00160110" w:rsidRPr="00DA0977">
        <w:rPr>
          <w:rStyle w:val="SCCCounselNameChar"/>
          <w:lang w:val="en-US"/>
        </w:rPr>
        <w:t xml:space="preserve"> Michel Déom</w:t>
      </w:r>
      <w:r w:rsidR="00160110" w:rsidRPr="00DA0977">
        <w:rPr>
          <w:rStyle w:val="SCCCounselNameChar"/>
          <w:i w:val="0"/>
          <w:lang w:val="en-US"/>
        </w:rPr>
        <w:t>,</w:t>
      </w:r>
      <w:r w:rsidR="00160110" w:rsidRPr="00DA0977">
        <w:rPr>
          <w:rStyle w:val="SCCCounselNameChar"/>
          <w:lang w:val="en-US"/>
        </w:rPr>
        <w:t xml:space="preserve"> </w:t>
      </w:r>
      <w:r w:rsidRPr="00DA0977">
        <w:rPr>
          <w:rStyle w:val="SCCCounselNameChar"/>
        </w:rPr>
        <w:t>Sylvain Leb</w:t>
      </w:r>
      <w:r w:rsidR="002D23C0" w:rsidRPr="00DA0977">
        <w:rPr>
          <w:i/>
          <w:lang w:val="en-US"/>
        </w:rPr>
        <w:t>œ</w:t>
      </w:r>
      <w:r w:rsidRPr="00DA0977">
        <w:rPr>
          <w:rStyle w:val="SCCCounselNameChar"/>
        </w:rPr>
        <w:t>uf</w:t>
      </w:r>
      <w:r w:rsidRPr="00DA0977">
        <w:rPr>
          <w:rStyle w:val="SCCCounselSeparatorChar"/>
        </w:rPr>
        <w:t xml:space="preserve"> and </w:t>
      </w:r>
      <w:r w:rsidRPr="00DA0977">
        <w:rPr>
          <w:rStyle w:val="SCCCounselNameChar"/>
        </w:rPr>
        <w:t>Julie Dassylva</w:t>
      </w:r>
      <w:r w:rsidRPr="00DA0977">
        <w:rPr>
          <w:rStyle w:val="SCCCounselPartyRoleChar"/>
        </w:rPr>
        <w:t>, for the appellant</w:t>
      </w:r>
      <w:r w:rsidR="00476737" w:rsidRPr="00DA0977">
        <w:rPr>
          <w:rStyle w:val="SCCCounselPartyRoleChar"/>
        </w:rPr>
        <w:t xml:space="preserve"> the </w:t>
      </w:r>
      <w:r w:rsidR="00476737" w:rsidRPr="00DA0977">
        <w:t>Attorney General of Quebec</w:t>
      </w:r>
      <w:r w:rsidR="00815B2E" w:rsidRPr="00DA0977">
        <w:t xml:space="preserve"> </w:t>
      </w:r>
      <w:r w:rsidR="00815B2E" w:rsidRPr="00DA0977">
        <w:rPr>
          <w:rStyle w:val="SCCCounselPartyRoleChar"/>
          <w:lang w:val="en-US"/>
        </w:rPr>
        <w:t>(</w:t>
      </w:r>
      <w:r w:rsidR="00815B2E" w:rsidRPr="00DA0977">
        <w:rPr>
          <w:lang w:val="en-US"/>
        </w:rPr>
        <w:t>39935)</w:t>
      </w:r>
      <w:r w:rsidRPr="00DA0977">
        <w:rPr>
          <w:rStyle w:val="SCCCounselPartyRoleChar"/>
        </w:rPr>
        <w:t>.</w:t>
      </w:r>
    </w:p>
    <w:p w14:paraId="7DBDCFF1" w14:textId="0D15AA9D" w:rsidR="00815B2E" w:rsidRPr="00DA0977" w:rsidRDefault="00CF3581" w:rsidP="00CF3581">
      <w:pPr>
        <w:pStyle w:val="SCCNormalDoubleSpacing"/>
        <w:spacing w:after="480"/>
      </w:pPr>
      <w:r w:rsidRPr="00DA0977">
        <w:rPr>
          <w:rStyle w:val="SCCCounselNameChar"/>
        </w:rPr>
        <w:tab/>
        <w:t>Maxime Seyer</w:t>
      </w:r>
      <w:r w:rsidRPr="00DA0977">
        <w:rPr>
          <w:rStyle w:val="SCCCounselNameChar"/>
        </w:rPr>
        <w:noBreakHyphen/>
      </w:r>
      <w:r w:rsidR="00815B2E" w:rsidRPr="00DA0977">
        <w:rPr>
          <w:rStyle w:val="SCCCounselNameChar"/>
        </w:rPr>
        <w:t>Cloutier</w:t>
      </w:r>
      <w:r w:rsidR="00815B2E" w:rsidRPr="00DA0977">
        <w:rPr>
          <w:rStyle w:val="SCCCounselSeparatorChar"/>
        </w:rPr>
        <w:t xml:space="preserve">, </w:t>
      </w:r>
      <w:r w:rsidR="00815B2E" w:rsidRPr="00DA0977">
        <w:rPr>
          <w:rStyle w:val="SCCCounselNameChar"/>
        </w:rPr>
        <w:t>Alexandre Duval</w:t>
      </w:r>
      <w:r w:rsidR="00815B2E" w:rsidRPr="00DA0977">
        <w:rPr>
          <w:rStyle w:val="SCCCounselNameChar"/>
          <w:i w:val="0"/>
        </w:rPr>
        <w:t xml:space="preserve">, </w:t>
      </w:r>
      <w:r w:rsidR="00815B2E" w:rsidRPr="00DA0977">
        <w:rPr>
          <w:i/>
          <w:lang w:val="en-US"/>
        </w:rPr>
        <w:t>Sylvain Lebœuf</w:t>
      </w:r>
      <w:r w:rsidR="00815B2E" w:rsidRPr="00DA0977">
        <w:rPr>
          <w:lang w:val="en-US"/>
        </w:rPr>
        <w:t xml:space="preserve"> and </w:t>
      </w:r>
      <w:r w:rsidR="00815B2E" w:rsidRPr="00DA0977">
        <w:rPr>
          <w:i/>
          <w:lang w:val="en-US"/>
        </w:rPr>
        <w:t>Julie Dassylva</w:t>
      </w:r>
      <w:r w:rsidR="00815B2E" w:rsidRPr="00DA0977">
        <w:rPr>
          <w:rStyle w:val="SCCCounselPartyRoleChar"/>
        </w:rPr>
        <w:t xml:space="preserve">, for the appellant the </w:t>
      </w:r>
      <w:r w:rsidR="00815B2E" w:rsidRPr="00DA0977">
        <w:t xml:space="preserve">Attorney General of Quebec </w:t>
      </w:r>
      <w:r w:rsidR="00815B2E" w:rsidRPr="00DA0977">
        <w:rPr>
          <w:lang w:val="en-US"/>
        </w:rPr>
        <w:t>(40093)</w:t>
      </w:r>
      <w:r w:rsidR="00815B2E" w:rsidRPr="00DA0977">
        <w:rPr>
          <w:rStyle w:val="SCCCounselPartyRoleChar"/>
        </w:rPr>
        <w:t>.</w:t>
      </w:r>
    </w:p>
    <w:p w14:paraId="73220885" w14:textId="609A720C" w:rsidR="006F637B" w:rsidRPr="00DA0977" w:rsidRDefault="003C0BA9" w:rsidP="00CF3581">
      <w:pPr>
        <w:pStyle w:val="SCCNormalDoubleSpacing"/>
        <w:spacing w:after="480"/>
      </w:pPr>
      <w:r w:rsidRPr="00DA0977">
        <w:rPr>
          <w:rStyle w:val="SCCCounselNameChar"/>
        </w:rPr>
        <w:lastRenderedPageBreak/>
        <w:tab/>
        <w:t>Samuel Bérubé de Deus</w:t>
      </w:r>
      <w:r w:rsidRPr="00DA0977">
        <w:rPr>
          <w:rStyle w:val="SCCCounselPartyRoleChar"/>
        </w:rPr>
        <w:t>, for the respondent</w:t>
      </w:r>
      <w:r w:rsidR="00AE5774" w:rsidRPr="00DA0977">
        <w:rPr>
          <w:rStyle w:val="SCCCounselPartyRoleChar"/>
        </w:rPr>
        <w:t xml:space="preserve"> </w:t>
      </w:r>
      <w:bookmarkStart w:id="0" w:name="_Hlk148947094"/>
      <w:r w:rsidR="00AE5774" w:rsidRPr="00DA0977">
        <w:t>Maxime Bertrand Marchand</w:t>
      </w:r>
      <w:bookmarkEnd w:id="0"/>
      <w:r w:rsidRPr="00DA0977">
        <w:rPr>
          <w:rStyle w:val="SCCCounselPartyRoleChar"/>
        </w:rPr>
        <w:t>.</w:t>
      </w:r>
    </w:p>
    <w:p w14:paraId="1C22D4B4" w14:textId="41758443" w:rsidR="00815B2E" w:rsidRPr="00DA0977" w:rsidRDefault="00815B2E" w:rsidP="00CF3581">
      <w:pPr>
        <w:pStyle w:val="SCCNormalDoubleSpacing"/>
        <w:spacing w:after="480"/>
      </w:pPr>
      <w:r w:rsidRPr="00DA0977">
        <w:rPr>
          <w:rStyle w:val="SCCCounselNameChar"/>
        </w:rPr>
        <w:tab/>
        <w:t>Vincent R. Paquet</w:t>
      </w:r>
      <w:r w:rsidRPr="00DA0977">
        <w:rPr>
          <w:rStyle w:val="SCCCounselSeparatorChar"/>
        </w:rPr>
        <w:t xml:space="preserve"> and </w:t>
      </w:r>
      <w:r w:rsidRPr="00DA0977">
        <w:rPr>
          <w:rStyle w:val="SCCCounselNameChar"/>
        </w:rPr>
        <w:t>Tristan Desjardins</w:t>
      </w:r>
      <w:r w:rsidRPr="00DA0977">
        <w:rPr>
          <w:rStyle w:val="SCCCounselPartyRoleChar"/>
        </w:rPr>
        <w:t>, for the respondent</w:t>
      </w:r>
      <w:r w:rsidR="00167E46" w:rsidRPr="00DA0977">
        <w:rPr>
          <w:lang w:val="en-US"/>
        </w:rPr>
        <w:t xml:space="preserve"> </w:t>
      </w:r>
      <w:bookmarkStart w:id="1" w:name="_Hlk148947045"/>
      <w:r w:rsidR="00167E46" w:rsidRPr="00DA0977">
        <w:rPr>
          <w:lang w:val="en-US"/>
        </w:rPr>
        <w:t>H.V.</w:t>
      </w:r>
      <w:bookmarkEnd w:id="1"/>
    </w:p>
    <w:p w14:paraId="16E7CA62" w14:textId="329464C0" w:rsidR="00DC2E92" w:rsidRPr="00DA0977" w:rsidRDefault="00DC2E92" w:rsidP="00CF3581">
      <w:pPr>
        <w:pStyle w:val="SCCNormalDoubleSpacing"/>
        <w:spacing w:after="480"/>
      </w:pPr>
      <w:r w:rsidRPr="00DA0977">
        <w:rPr>
          <w:rStyle w:val="SCCCounselNameChar"/>
          <w:lang w:val="en-US"/>
        </w:rPr>
        <w:tab/>
      </w:r>
      <w:r w:rsidRPr="00DA0977">
        <w:rPr>
          <w:rStyle w:val="SCCCounselNameChar"/>
        </w:rPr>
        <w:t xml:space="preserve">Julie Laborde </w:t>
      </w:r>
      <w:r w:rsidRPr="00DA0977">
        <w:rPr>
          <w:rStyle w:val="SCCCounselNameChar"/>
          <w:i w:val="0"/>
        </w:rPr>
        <w:t xml:space="preserve">and </w:t>
      </w:r>
      <w:r w:rsidRPr="00DA0977">
        <w:rPr>
          <w:i/>
          <w:lang w:val="en-US"/>
        </w:rPr>
        <w:t>François Lacasse</w:t>
      </w:r>
      <w:r w:rsidRPr="00DA0977">
        <w:rPr>
          <w:rStyle w:val="SCCCounselPartyRoleChar"/>
        </w:rPr>
        <w:t xml:space="preserve">, for the intervener </w:t>
      </w:r>
      <w:r w:rsidR="008B7832" w:rsidRPr="00DA0977">
        <w:rPr>
          <w:rStyle w:val="SCCCounselPartyRoleChar"/>
        </w:rPr>
        <w:t xml:space="preserve">the </w:t>
      </w:r>
      <w:r w:rsidRPr="00DA0977">
        <w:rPr>
          <w:rStyle w:val="SCCCounselPartyRoleChar"/>
        </w:rPr>
        <w:t>Director of Public Prosecutions.</w:t>
      </w:r>
    </w:p>
    <w:p w14:paraId="57535AC1" w14:textId="25787F7D" w:rsidR="006F637B" w:rsidRPr="00DA0977" w:rsidRDefault="003C0BA9" w:rsidP="00CF3581">
      <w:pPr>
        <w:pStyle w:val="SCCNormalDoubleSpacing"/>
        <w:spacing w:after="480"/>
      </w:pPr>
      <w:r w:rsidRPr="00DA0977">
        <w:rPr>
          <w:rStyle w:val="SCCCounselNameChar"/>
        </w:rPr>
        <w:tab/>
      </w:r>
      <w:r w:rsidR="000F5524" w:rsidRPr="00DA0977">
        <w:rPr>
          <w:rStyle w:val="SCCCounselNameChar"/>
        </w:rPr>
        <w:t xml:space="preserve">Vallery Bayly </w:t>
      </w:r>
      <w:r w:rsidRPr="00DA0977">
        <w:rPr>
          <w:rStyle w:val="SCCCounselSeparatorChar"/>
        </w:rPr>
        <w:t xml:space="preserve">and </w:t>
      </w:r>
      <w:r w:rsidR="000F5524" w:rsidRPr="00DA0977">
        <w:rPr>
          <w:rStyle w:val="SCCCounselNameChar"/>
        </w:rPr>
        <w:t>Jennifer A. Y. Trehearne</w:t>
      </w:r>
      <w:r w:rsidRPr="00DA0977">
        <w:rPr>
          <w:rStyle w:val="SCCCounselPartyRoleChar"/>
        </w:rPr>
        <w:t xml:space="preserve">, for the intervener </w:t>
      </w:r>
      <w:r w:rsidR="00E61145" w:rsidRPr="00DA0977">
        <w:rPr>
          <w:rStyle w:val="SCCCounselPartyRoleChar"/>
        </w:rPr>
        <w:t xml:space="preserve">the </w:t>
      </w:r>
      <w:r w:rsidRPr="00DA0977">
        <w:rPr>
          <w:rStyle w:val="SCCCounselPartyRoleChar"/>
        </w:rPr>
        <w:t>Attorney General of Ontario.</w:t>
      </w:r>
    </w:p>
    <w:p w14:paraId="760B689E" w14:textId="53A754B8" w:rsidR="00E25E33" w:rsidRPr="00DA0977" w:rsidRDefault="00E25E33" w:rsidP="00CF3581">
      <w:pPr>
        <w:pStyle w:val="SCCNormalDoubleSpacing"/>
        <w:spacing w:after="480"/>
      </w:pPr>
      <w:r w:rsidRPr="00DA0977">
        <w:rPr>
          <w:rStyle w:val="SCCCounselNameChar"/>
        </w:rPr>
        <w:tab/>
        <w:t>Grace Hession David</w:t>
      </w:r>
      <w:r w:rsidRPr="00DA0977">
        <w:rPr>
          <w:rStyle w:val="SCCCounselSeparatorChar"/>
        </w:rPr>
        <w:t xml:space="preserve"> and </w:t>
      </w:r>
      <w:r w:rsidRPr="00DA0977">
        <w:rPr>
          <w:rStyle w:val="SCCCounselNameChar"/>
        </w:rPr>
        <w:t>Katherine Roy</w:t>
      </w:r>
      <w:r w:rsidRPr="00DA0977">
        <w:rPr>
          <w:rStyle w:val="SCCCounselPartyRoleChar"/>
        </w:rPr>
        <w:t>, for the intervener the Attorney General of Saskatchewan.</w:t>
      </w:r>
    </w:p>
    <w:p w14:paraId="2F841313" w14:textId="01952CD5" w:rsidR="006F637B" w:rsidRPr="00DA0977" w:rsidRDefault="003C0BA9" w:rsidP="00CF3581">
      <w:pPr>
        <w:pStyle w:val="SCCNormalDoubleSpacing"/>
        <w:spacing w:after="480"/>
      </w:pPr>
      <w:r w:rsidRPr="00DA0977">
        <w:rPr>
          <w:rStyle w:val="SCCCounselNameChar"/>
        </w:rPr>
        <w:tab/>
        <w:t>Andrew Barg</w:t>
      </w:r>
      <w:r w:rsidRPr="00DA0977">
        <w:rPr>
          <w:rStyle w:val="SCCCounselPartyRoleChar"/>
        </w:rPr>
        <w:t xml:space="preserve">, for the intervener </w:t>
      </w:r>
      <w:r w:rsidR="00E61145" w:rsidRPr="00DA0977">
        <w:rPr>
          <w:rStyle w:val="SCCCounselPartyRoleChar"/>
        </w:rPr>
        <w:t xml:space="preserve">the </w:t>
      </w:r>
      <w:r w:rsidRPr="00DA0977">
        <w:rPr>
          <w:rStyle w:val="SCCCounselPartyRoleChar"/>
        </w:rPr>
        <w:t>Attorney General of Alberta.</w:t>
      </w:r>
    </w:p>
    <w:p w14:paraId="540067AA" w14:textId="39D44B0D" w:rsidR="006F637B" w:rsidRPr="00DA0977" w:rsidRDefault="003C0BA9" w:rsidP="00CF3581">
      <w:pPr>
        <w:pStyle w:val="SCCNormalDoubleSpacing"/>
        <w:spacing w:after="480"/>
      </w:pPr>
      <w:r w:rsidRPr="00DA0977">
        <w:rPr>
          <w:rStyle w:val="SCCCounselNameChar"/>
        </w:rPr>
        <w:tab/>
        <w:t>Christine Renaud</w:t>
      </w:r>
      <w:r w:rsidRPr="00DA0977">
        <w:rPr>
          <w:rStyle w:val="SCCCounselPartyRoleChar"/>
        </w:rPr>
        <w:t xml:space="preserve">, for the intervener </w:t>
      </w:r>
      <w:r w:rsidR="00E61145" w:rsidRPr="00DA0977">
        <w:rPr>
          <w:rStyle w:val="SCCCounselPartyRoleChar"/>
        </w:rPr>
        <w:t xml:space="preserve">the </w:t>
      </w:r>
      <w:r w:rsidRPr="00DA0977">
        <w:rPr>
          <w:rStyle w:val="SCCCounselPartyRoleChar"/>
        </w:rPr>
        <w:t>Nunavik Civil Liberties Association.</w:t>
      </w:r>
    </w:p>
    <w:p w14:paraId="437E3114" w14:textId="62EE379B" w:rsidR="006F637B" w:rsidRPr="00DA0977" w:rsidRDefault="003C0BA9" w:rsidP="00CF3581">
      <w:pPr>
        <w:pStyle w:val="SCCNormalDoubleSpacing"/>
        <w:spacing w:after="480"/>
        <w:rPr>
          <w:lang w:val="fr-CA"/>
        </w:rPr>
      </w:pPr>
      <w:r w:rsidRPr="00DA0977">
        <w:rPr>
          <w:rStyle w:val="SCCCounselNameChar"/>
        </w:rPr>
        <w:tab/>
      </w:r>
      <w:r w:rsidRPr="00DA0977">
        <w:rPr>
          <w:rStyle w:val="SCCCounselNameChar"/>
          <w:lang w:val="fr-CA"/>
        </w:rPr>
        <w:t>Hugo Caissy</w:t>
      </w:r>
      <w:r w:rsidRPr="00DA0977">
        <w:rPr>
          <w:rStyle w:val="SCCCounselPartyRoleChar"/>
          <w:lang w:val="fr-CA"/>
        </w:rPr>
        <w:t>, for the intervener Association québécoise des avocats et avocates de la défense.</w:t>
      </w:r>
    </w:p>
    <w:p w14:paraId="029D5C39" w14:textId="1FC3F94B" w:rsidR="006F637B" w:rsidRPr="00DA0977" w:rsidRDefault="003C0BA9" w:rsidP="00CF3581">
      <w:pPr>
        <w:pStyle w:val="SCCNormalDoubleSpacing"/>
        <w:spacing w:after="480"/>
      </w:pPr>
      <w:r w:rsidRPr="00DA0977">
        <w:rPr>
          <w:rStyle w:val="SCCCounselNameChar"/>
          <w:lang w:val="fr-CA"/>
        </w:rPr>
        <w:tab/>
      </w:r>
      <w:r w:rsidRPr="00DA0977">
        <w:rPr>
          <w:rStyle w:val="SCCCounselNameChar"/>
        </w:rPr>
        <w:t>Neha Chugh</w:t>
      </w:r>
      <w:r w:rsidRPr="00DA0977">
        <w:rPr>
          <w:rStyle w:val="SCCCounselPartyRoleChar"/>
        </w:rPr>
        <w:t xml:space="preserve">, for the intervener </w:t>
      </w:r>
      <w:r w:rsidR="00E61145" w:rsidRPr="00DA0977">
        <w:rPr>
          <w:rStyle w:val="SCCCounselPartyRoleChar"/>
        </w:rPr>
        <w:t xml:space="preserve">the </w:t>
      </w:r>
      <w:r w:rsidRPr="00DA0977">
        <w:rPr>
          <w:rStyle w:val="SCCCounselPartyRoleChar"/>
        </w:rPr>
        <w:t>Barbra Schlifer Commemorative Clinic.</w:t>
      </w:r>
    </w:p>
    <w:p w14:paraId="6CFCF9EB" w14:textId="7F16DF09" w:rsidR="002D1288" w:rsidRPr="00DA0977" w:rsidRDefault="002D1288" w:rsidP="00CF3581">
      <w:pPr>
        <w:pStyle w:val="SCCNormalDoubleSpacing"/>
        <w:spacing w:after="480"/>
        <w:rPr>
          <w:lang w:val="fr-CA"/>
        </w:rPr>
      </w:pPr>
      <w:r w:rsidRPr="00DA0977">
        <w:rPr>
          <w:rStyle w:val="SCCCounselNameChar"/>
        </w:rPr>
        <w:lastRenderedPageBreak/>
        <w:tab/>
      </w:r>
      <w:r w:rsidRPr="00DA0977">
        <w:rPr>
          <w:rStyle w:val="SCCCounselNameChar"/>
          <w:lang w:val="fr-CA"/>
        </w:rPr>
        <w:t xml:space="preserve">Réginal Victorin </w:t>
      </w:r>
      <w:r w:rsidRPr="00DA0977">
        <w:rPr>
          <w:rStyle w:val="SCCCounselNameChar"/>
          <w:i w:val="0"/>
          <w:lang w:val="fr-CA"/>
        </w:rPr>
        <w:t xml:space="preserve">and </w:t>
      </w:r>
      <w:r w:rsidRPr="00DA0977">
        <w:rPr>
          <w:rStyle w:val="SCCCounselNameChar"/>
          <w:lang w:val="fr-CA"/>
        </w:rPr>
        <w:t>Walid Hijazi</w:t>
      </w:r>
      <w:r w:rsidRPr="00DA0977">
        <w:rPr>
          <w:rStyle w:val="SCCCounselPartyRoleChar"/>
          <w:lang w:val="fr-CA"/>
        </w:rPr>
        <w:t>, for the intervener Association des avocats de la défense de Montréal.</w:t>
      </w:r>
    </w:p>
    <w:p w14:paraId="79448A0E" w14:textId="7D64D12F" w:rsidR="006F637B" w:rsidRPr="00DA0977" w:rsidRDefault="003C0BA9" w:rsidP="00CF3581">
      <w:pPr>
        <w:pStyle w:val="SCCNormalDoubleSpacing"/>
        <w:spacing w:after="480"/>
        <w:rPr>
          <w:rStyle w:val="SCCCounselPartyRoleChar"/>
        </w:rPr>
      </w:pPr>
      <w:r w:rsidRPr="00DA0977">
        <w:rPr>
          <w:rStyle w:val="SCCCounselNameChar"/>
          <w:lang w:val="fr-CA"/>
        </w:rPr>
        <w:tab/>
      </w:r>
      <w:r w:rsidRPr="00DA0977">
        <w:rPr>
          <w:rStyle w:val="SCCCounselNameChar"/>
        </w:rPr>
        <w:t>Caroline L. Senini</w:t>
      </w:r>
      <w:r w:rsidRPr="00DA0977">
        <w:rPr>
          <w:rStyle w:val="SCCCounselPartyRoleChar"/>
        </w:rPr>
        <w:t xml:space="preserve">, for the intervener </w:t>
      </w:r>
      <w:r w:rsidR="00E61145" w:rsidRPr="00DA0977">
        <w:rPr>
          <w:rStyle w:val="SCCCounselPartyRoleChar"/>
        </w:rPr>
        <w:t xml:space="preserve">the </w:t>
      </w:r>
      <w:r w:rsidRPr="00DA0977">
        <w:rPr>
          <w:rStyle w:val="SCCCounselPartyRoleChar"/>
        </w:rPr>
        <w:t>Independent Criminal Defence Advocacy Society.</w:t>
      </w:r>
    </w:p>
    <w:p w14:paraId="2EE39110" w14:textId="77777777" w:rsidR="00DA0977" w:rsidRPr="00DA0977" w:rsidRDefault="00DA0977" w:rsidP="00DA0977">
      <w:pPr>
        <w:tabs>
          <w:tab w:val="left" w:pos="1134"/>
        </w:tabs>
      </w:pPr>
      <w:r w:rsidRPr="001F12F7">
        <w:rPr>
          <w:lang w:val="en-US"/>
        </w:rPr>
        <w:tab/>
      </w:r>
      <w:r w:rsidRPr="00DA0977">
        <w:t>The judgment of Karakatsanis, Rowe, Martin, Kasirer, Jamal and O’Bonsawin JJ. was delivered by</w:t>
      </w:r>
    </w:p>
    <w:p w14:paraId="6B40F078" w14:textId="77777777" w:rsidR="00DA0977" w:rsidRPr="00DA0977" w:rsidRDefault="00DA0977" w:rsidP="00DA0977">
      <w:pPr>
        <w:tabs>
          <w:tab w:val="left" w:pos="1134"/>
        </w:tabs>
      </w:pPr>
    </w:p>
    <w:p w14:paraId="6DCA2369" w14:textId="77777777" w:rsidR="00DA0977" w:rsidRPr="00DA0977" w:rsidRDefault="00DA0977" w:rsidP="00FA6AE8">
      <w:pPr>
        <w:pStyle w:val="JudgeJuge"/>
        <w:tabs>
          <w:tab w:val="clear" w:pos="1260"/>
          <w:tab w:val="left" w:pos="1134"/>
        </w:tabs>
      </w:pPr>
      <w:r w:rsidRPr="00DA0977">
        <w:tab/>
        <w:t xml:space="preserve">Martin J. — </w:t>
      </w:r>
    </w:p>
    <w:p w14:paraId="7EBD5AEB" w14:textId="77777777" w:rsidR="00DA0977" w:rsidRPr="00DA0977" w:rsidRDefault="00DA0977" w:rsidP="00DA0977">
      <w:pPr>
        <w:pStyle w:val="Title1LevelTitre1Niveau-AltL"/>
        <w:numPr>
          <w:ilvl w:val="0"/>
          <w:numId w:val="4"/>
        </w:numPr>
      </w:pPr>
      <w:bookmarkStart w:id="2" w:name="_Toc134625051"/>
      <w:bookmarkStart w:id="3" w:name="_Toc135041561"/>
      <w:bookmarkStart w:id="4" w:name="_Toc135322919"/>
      <w:bookmarkStart w:id="5" w:name="_Toc137199854"/>
      <w:bookmarkStart w:id="6" w:name="_Toc140673969"/>
      <w:bookmarkStart w:id="7" w:name="_Toc141096914"/>
      <w:bookmarkStart w:id="8" w:name="_Toc141694534"/>
      <w:bookmarkStart w:id="9" w:name="_Toc146612940"/>
      <w:bookmarkStart w:id="10" w:name="_Toc129942445"/>
      <w:r w:rsidRPr="00DA0977">
        <w:t>Overview</w:t>
      </w:r>
      <w:bookmarkEnd w:id="2"/>
      <w:bookmarkEnd w:id="3"/>
      <w:bookmarkEnd w:id="4"/>
      <w:bookmarkEnd w:id="5"/>
      <w:bookmarkEnd w:id="6"/>
      <w:bookmarkEnd w:id="7"/>
      <w:bookmarkEnd w:id="8"/>
      <w:bookmarkEnd w:id="9"/>
    </w:p>
    <w:p w14:paraId="4155D93D"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Modern means of communication, including the internet, permit unprecedented and unsupervised access to children</w:t>
      </w:r>
      <w:r w:rsidRPr="0075740A">
        <w:rPr>
          <w:rStyle w:val="Hyperlink"/>
          <w:vertAlign w:val="superscript"/>
        </w:rPr>
        <w:footnoteReference w:id="1"/>
      </w:r>
      <w:r w:rsidRPr="00DA0977">
        <w:rPr>
          <w:rFonts w:cs="Times New Roman"/>
        </w:rPr>
        <w:t xml:space="preserve"> in many places once thought to be safe havens, such as their homes. Children, who now spend significant amounts of time online, are increasingly susceptible to online exploitation and abuse. The dangers of sexualizing children are increasingly well</w:t>
      </w:r>
      <w:r w:rsidRPr="00DA0977">
        <w:rPr>
          <w:rFonts w:cs="Times New Roman"/>
        </w:rPr>
        <w:noBreakHyphen/>
        <w:t xml:space="preserve">documented and the harms that result from their victimization are now more fully understood. As a result, Parliament has taken several steps to prevent and punish the various forms that abuse of children may take, including enacting a separate offence of child luring, which is set out at s. 172.1(1) of the </w:t>
      </w:r>
      <w:r w:rsidRPr="00DA0977">
        <w:rPr>
          <w:rFonts w:cs="Times New Roman"/>
          <w:i/>
        </w:rPr>
        <w:t>Criminal Code</w:t>
      </w:r>
      <w:r w:rsidRPr="00DA0977">
        <w:rPr>
          <w:rFonts w:cs="Times New Roman"/>
        </w:rPr>
        <w:t xml:space="preserve">, R.S.C. 1985, c. C-46. This offence is committed when an adult uses technology to communicate with a child, or a person believed to be a child, for the </w:t>
      </w:r>
      <w:r w:rsidRPr="00DA0977">
        <w:rPr>
          <w:rFonts w:cs="Times New Roman"/>
        </w:rPr>
        <w:lastRenderedPageBreak/>
        <w:t>purposes of facilitating a designated secondary sexual offence against that child.</w:t>
      </w:r>
      <w:r w:rsidRPr="0075740A">
        <w:rPr>
          <w:rStyle w:val="Hyperlink"/>
          <w:vertAlign w:val="superscript"/>
        </w:rPr>
        <w:footnoteReference w:id="2"/>
      </w:r>
      <w:r w:rsidRPr="00DA0977">
        <w:rPr>
          <w:rFonts w:cs="Times New Roman"/>
        </w:rPr>
        <w:t xml:space="preserve"> Luring is a hybrid offence that carries two different mandatory minimum periods of incarceration depending on whether the Crown elects to proceed summarily or by indictment.</w:t>
      </w:r>
    </w:p>
    <w:p w14:paraId="157BDA58"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Two legal issues arise in these companion appeals. First, in Mr. Bertrand Marchand’s matter, the Crown appellants have questioned the fitness of Mr. Bertrand Marchand’s sentence for luring. This requires an examination of the sentencing principles for this separate and specific offence, based on a modern understanding of its gravity and associated harms. In </w:t>
      </w:r>
      <w:r w:rsidRPr="00DA0977">
        <w:rPr>
          <w:rFonts w:cs="Times New Roman"/>
          <w:i/>
        </w:rPr>
        <w:t xml:space="preserve">R. v. </w:t>
      </w:r>
      <w:r w:rsidRPr="00DA0977">
        <w:rPr>
          <w:rFonts w:cs="Times New Roman"/>
          <w:i/>
          <w:iCs/>
        </w:rPr>
        <w:t>Friesen</w:t>
      </w:r>
      <w:r w:rsidRPr="00DA0977">
        <w:rPr>
          <w:rFonts w:cs="Times New Roman"/>
          <w:iCs/>
        </w:rPr>
        <w:t>, 2020 SCC 9,</w:t>
      </w:r>
      <w:r w:rsidRPr="00DA0977">
        <w:rPr>
          <w:rFonts w:cs="Times New Roman"/>
        </w:rPr>
        <w:t xml:space="preserve"> [2020] 1 S.C.R. 424, this Court articulated the various serious and potentially life-long consequences associated with sexual violence against children. I build on that analysis and explain the distinct harms of the child luring offence so that its full gravity animates the governing sentencing principles and informs their constitutional status. In Mr. Bertrand Marchand’s case, after applying the correct sentencing principles, I increase his sentence from five months to one year imprisonment, and find that it should be served consecutively, and not concurrently, to the other offence for which he was sentenced. In H.V.’s matter, the fitness of H.V.’s sentence was not challenged before this Court.</w:t>
      </w:r>
    </w:p>
    <w:p w14:paraId="4B742BFF"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lastRenderedPageBreak/>
        <w:t xml:space="preserve">Second, both respondents in the companion appeals ask the Court to uphold the conclusions in the respective courts below that the mandatory minimum sentences outlined in s. 172.1(2)(a) and (b) are inconsistent with s. 12 of the </w:t>
      </w:r>
      <w:r w:rsidRPr="00DA0977">
        <w:rPr>
          <w:rFonts w:cs="Times New Roman"/>
          <w:i/>
        </w:rPr>
        <w:t>Canadian Charter of Rights and Freedoms</w:t>
      </w:r>
      <w:r w:rsidRPr="00DA0977">
        <w:rPr>
          <w:rFonts w:cs="Times New Roman"/>
        </w:rPr>
        <w:t xml:space="preserve"> and therefore of no force or effect. Mr. Bertrand Marchand argues against the one</w:t>
      </w:r>
      <w:r w:rsidRPr="00DA0977">
        <w:rPr>
          <w:rFonts w:cs="Times New Roman"/>
        </w:rPr>
        <w:noBreakHyphen/>
        <w:t>year mandatory minimum period of incarceration imposed when the Crown proceeds by indictment (s. 172.1(2)(a)), and H.V. impugns the six</w:t>
      </w:r>
      <w:r w:rsidRPr="00DA0977">
        <w:rPr>
          <w:rFonts w:cs="Times New Roman"/>
        </w:rPr>
        <w:noBreakHyphen/>
        <w:t xml:space="preserve">month mandatory minimum period of incarceration imposed when the Crown proceeds summarily (s. 172.1(2)(b)). For their part, the Crown appellants ask that the Court affirm the constitutionality of the mandatory minimum sentences. </w:t>
      </w:r>
      <w:r w:rsidRPr="00DA0977">
        <w:rPr>
          <w:rFonts w:cs="Times New Roman"/>
          <w:szCs w:val="24"/>
          <w:lang w:eastAsia="en-CA"/>
        </w:rPr>
        <w:t>While this Court has previously noted that the one</w:t>
      </w:r>
      <w:r w:rsidRPr="00DA0977">
        <w:rPr>
          <w:rFonts w:cs="Times New Roman"/>
          <w:szCs w:val="24"/>
          <w:lang w:eastAsia="en-CA"/>
        </w:rPr>
        <w:noBreakHyphen/>
        <w:t>year obligatory penalty concerning s. 172.1(2)(a) is “constitutionally suspect” (</w:t>
      </w:r>
      <w:r w:rsidRPr="00DA0977">
        <w:rPr>
          <w:rFonts w:cs="Times New Roman"/>
          <w:i/>
          <w:szCs w:val="24"/>
          <w:lang w:eastAsia="en-CA"/>
        </w:rPr>
        <w:t>R. v. Morrison</w:t>
      </w:r>
      <w:r w:rsidRPr="00DA0977">
        <w:rPr>
          <w:rFonts w:cs="Times New Roman"/>
          <w:szCs w:val="24"/>
          <w:lang w:eastAsia="en-CA"/>
        </w:rPr>
        <w:t>,</w:t>
      </w:r>
      <w:r w:rsidRPr="00DA0977">
        <w:rPr>
          <w:rFonts w:cs="Times New Roman"/>
          <w:i/>
          <w:szCs w:val="24"/>
          <w:lang w:eastAsia="en-CA"/>
        </w:rPr>
        <w:t xml:space="preserve"> </w:t>
      </w:r>
      <w:r w:rsidRPr="00DA0977">
        <w:rPr>
          <w:rFonts w:cs="Times New Roman"/>
          <w:szCs w:val="24"/>
          <w:lang w:eastAsia="en-CA"/>
        </w:rPr>
        <w:t xml:space="preserve">2019 SCC 15, [2019] 2 S.C.R. 3, at para. 146), this is the first time the Court squarely addresses the constitutional validity of both penalties. </w:t>
      </w:r>
    </w:p>
    <w:p w14:paraId="42C8C129"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szCs w:val="24"/>
          <w:lang w:eastAsia="en-CA"/>
        </w:rPr>
        <w:t xml:space="preserve">A thorough analysis reveals </w:t>
      </w:r>
      <w:r w:rsidRPr="00DA0977">
        <w:rPr>
          <w:rFonts w:cs="Times New Roman"/>
        </w:rPr>
        <w:t xml:space="preserve">that these mandatory minimum sentences infringe the </w:t>
      </w:r>
      <w:r w:rsidRPr="00DA0977">
        <w:rPr>
          <w:rFonts w:cs="Times New Roman"/>
          <w:i/>
        </w:rPr>
        <w:t>Charter</w:t>
      </w:r>
      <w:r w:rsidRPr="00DA0977">
        <w:rPr>
          <w:rFonts w:cs="Times New Roman"/>
        </w:rPr>
        <w:t xml:space="preserve">’s s. 12 protection against cruel and unusual punishment. The mandatory periods of incarceration apply to such an exceptionally wide scope of conduct that the result is grossly disproportionate punishments in reasonably foreseeable scenarios. </w:t>
      </w:r>
    </w:p>
    <w:p w14:paraId="2AA70E79"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Invalidating the mandatory minimums does not mean that child luring is a less serious offence. Based on the distinct and insidious psychological damage luring generates, in some cases the appropriate penalty for child luring will be imprisonment </w:t>
      </w:r>
      <w:r w:rsidRPr="00DA0977">
        <w:rPr>
          <w:rFonts w:cs="Times New Roman"/>
        </w:rPr>
        <w:lastRenderedPageBreak/>
        <w:t>for a period equal to or longer than that set out in the unconstitutional mandatory minimum sentences. In these appeals, the reasonably foreseeable scenarios proffered produce fewer harms, and are presented in circumstances where the moral culpability of the offender is reduced. The broad reach and range of the offence means that a defined minimum period of imprisonment in all cases will sometimes produce results so excessive as to outrage standards of decency.</w:t>
      </w:r>
    </w:p>
    <w:p w14:paraId="65E303DB" w14:textId="77777777" w:rsidR="00DA0977" w:rsidRPr="00DA0977" w:rsidRDefault="00DA0977" w:rsidP="00DA0977">
      <w:pPr>
        <w:pStyle w:val="Title1LevelTitre1Niveau-AltL"/>
        <w:numPr>
          <w:ilvl w:val="0"/>
          <w:numId w:val="4"/>
        </w:numPr>
      </w:pPr>
      <w:bookmarkStart w:id="11" w:name="_Toc134625052"/>
      <w:bookmarkStart w:id="12" w:name="_Toc135041562"/>
      <w:bookmarkStart w:id="13" w:name="_Toc135322920"/>
      <w:bookmarkStart w:id="14" w:name="_Toc137199855"/>
      <w:bookmarkStart w:id="15" w:name="_Toc140673970"/>
      <w:bookmarkStart w:id="16" w:name="_Toc141096915"/>
      <w:bookmarkStart w:id="17" w:name="_Toc141694535"/>
      <w:bookmarkStart w:id="18" w:name="_Toc146612941"/>
      <w:r w:rsidRPr="00DA0977">
        <w:t>The Luring Offence</w:t>
      </w:r>
      <w:bookmarkEnd w:id="11"/>
      <w:bookmarkEnd w:id="12"/>
      <w:bookmarkEnd w:id="13"/>
      <w:bookmarkEnd w:id="14"/>
      <w:bookmarkEnd w:id="15"/>
      <w:bookmarkEnd w:id="16"/>
      <w:bookmarkEnd w:id="17"/>
      <w:bookmarkEnd w:id="18"/>
      <w:r w:rsidRPr="00DA0977">
        <w:t xml:space="preserve"> </w:t>
      </w:r>
    </w:p>
    <w:p w14:paraId="5117E8D6" w14:textId="77777777" w:rsidR="00DA0977" w:rsidRPr="00DA0977" w:rsidRDefault="00DA0977" w:rsidP="00DA0977">
      <w:pPr>
        <w:pStyle w:val="ParaNoNdepar-AltN"/>
        <w:tabs>
          <w:tab w:val="clear" w:pos="7107"/>
          <w:tab w:val="num" w:pos="1152"/>
        </w:tabs>
        <w:ind w:left="0"/>
        <w:rPr>
          <w:rFonts w:cs="Times New Roman"/>
          <w:lang w:val="en-US"/>
        </w:rPr>
      </w:pPr>
      <w:r w:rsidRPr="00DA0977">
        <w:rPr>
          <w:rFonts w:cs="Times New Roman"/>
        </w:rPr>
        <w:t>Since 1987, Parliament has taken a “child</w:t>
      </w:r>
      <w:r w:rsidRPr="00DA0977">
        <w:rPr>
          <w:rFonts w:cs="Times New Roman"/>
        </w:rPr>
        <w:noBreakHyphen/>
        <w:t>centred” approach to sexual offences against children, emphasized the inherently exploitative nature of adult/child sexual contact, and focussed on the profound harms these crimes produce (see Bill C</w:t>
      </w:r>
      <w:r w:rsidRPr="00DA0977">
        <w:rPr>
          <w:rFonts w:cs="Times New Roman"/>
        </w:rPr>
        <w:noBreakHyphen/>
        <w:t xml:space="preserve">15, </w:t>
      </w:r>
      <w:r w:rsidRPr="00DA0977">
        <w:rPr>
          <w:rFonts w:cs="Times New Roman"/>
          <w:i/>
        </w:rPr>
        <w:t>An</w:t>
      </w:r>
      <w:r w:rsidRPr="00DA0977">
        <w:rPr>
          <w:rFonts w:cs="Times New Roman"/>
        </w:rPr>
        <w:t xml:space="preserve"> </w:t>
      </w:r>
      <w:r w:rsidRPr="00DA0977">
        <w:rPr>
          <w:rFonts w:cs="Times New Roman"/>
          <w:i/>
          <w:iCs/>
        </w:rPr>
        <w:t>Act to amend the Criminal Code and the Canada Evidence Act</w:t>
      </w:r>
      <w:r w:rsidRPr="00DA0977">
        <w:rPr>
          <w:rFonts w:cs="Times New Roman"/>
        </w:rPr>
        <w:t xml:space="preserve">, R.S.C. 1985, c. 19 (3rd Supp.); </w:t>
      </w:r>
      <w:r w:rsidRPr="00DA0977">
        <w:rPr>
          <w:rFonts w:cs="Times New Roman"/>
          <w:i/>
          <w:iCs/>
        </w:rPr>
        <w:t>Friesen</w:t>
      </w:r>
      <w:r w:rsidRPr="00DA0977">
        <w:rPr>
          <w:rFonts w:cs="Times New Roman"/>
        </w:rPr>
        <w:t xml:space="preserve">, at para. 53). </w:t>
      </w:r>
    </w:p>
    <w:p w14:paraId="1D4C3263"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To protect a range of social interests, Parliament enacted the offence of “luring a child”, at s. 172.1 of the </w:t>
      </w:r>
      <w:r w:rsidRPr="00DA0977">
        <w:rPr>
          <w:rFonts w:cs="Times New Roman"/>
          <w:i/>
        </w:rPr>
        <w:t>Criminal Code</w:t>
      </w:r>
      <w:r w:rsidRPr="00DA0977">
        <w:rPr>
          <w:rFonts w:cs="Times New Roman"/>
        </w:rPr>
        <w:t>, in 2002 (</w:t>
      </w:r>
      <w:r w:rsidRPr="00DA0977">
        <w:rPr>
          <w:rFonts w:cs="Times New Roman"/>
          <w:i/>
          <w:iCs/>
        </w:rPr>
        <w:t>Criminal Law Amendment Act</w:t>
      </w:r>
      <w:r w:rsidRPr="00DA0977">
        <w:rPr>
          <w:rFonts w:cs="Times New Roman"/>
          <w:i/>
        </w:rPr>
        <w:t>, 2001</w:t>
      </w:r>
      <w:r w:rsidRPr="00DA0977">
        <w:rPr>
          <w:rFonts w:cs="Times New Roman"/>
        </w:rPr>
        <w:t>, S.C. 2002, c. 13, s. 8), and introduced the mandatory minimum sentences in s. 172.1(2)(a) and (b) of that provision, in 2012 (</w:t>
      </w:r>
      <w:r w:rsidRPr="00DA0977">
        <w:rPr>
          <w:rFonts w:cs="Times New Roman"/>
          <w:i/>
        </w:rPr>
        <w:t>Safe Streets and Communities Act</w:t>
      </w:r>
      <w:r w:rsidRPr="00DA0977">
        <w:rPr>
          <w:rFonts w:cs="Times New Roman"/>
        </w:rPr>
        <w:t>, S.C. 2012, c. 1, s. 22). T</w:t>
      </w:r>
      <w:r w:rsidRPr="00DA0977">
        <w:rPr>
          <w:rFonts w:cs="Times New Roman"/>
          <w:spacing w:val="-4"/>
        </w:rPr>
        <w:t xml:space="preserve">he online world and digital communications between adults and children warrant special regulation </w:t>
      </w:r>
      <w:r w:rsidRPr="00DA0977">
        <w:rPr>
          <w:rFonts w:cs="Times New Roman"/>
        </w:rPr>
        <w:t>because children are particularly vulnerable to manipulation in online settings (</w:t>
      </w:r>
      <w:r w:rsidRPr="00DA0977">
        <w:rPr>
          <w:rFonts w:cs="Times New Roman"/>
          <w:i/>
        </w:rPr>
        <w:t>R. v. Rayo</w:t>
      </w:r>
      <w:r w:rsidRPr="00DA0977">
        <w:rPr>
          <w:rFonts w:cs="Times New Roman"/>
        </w:rPr>
        <w:t xml:space="preserve">, 2018 QCCA 824, at para. 141 (CanLII), per Kasirer J.A.). The internet has infinitely expanded the opportunity for offenders to attract or ensnare children and the enactment of a distinct crime protects them from the </w:t>
      </w:r>
      <w:r w:rsidRPr="00DA0977">
        <w:rPr>
          <w:rFonts w:cs="Times New Roman"/>
        </w:rPr>
        <w:lastRenderedPageBreak/>
        <w:t>possibility of sexual exploitation facilitated by the internet</w:t>
      </w:r>
      <w:r w:rsidRPr="00DA0977">
        <w:rPr>
          <w:rStyle w:val="reflex"/>
          <w:rFonts w:cs="Times New Roman"/>
        </w:rPr>
        <w:t xml:space="preserve"> (</w:t>
      </w:r>
      <w:r w:rsidRPr="00DA0977">
        <w:rPr>
          <w:rStyle w:val="reflex"/>
          <w:rFonts w:cs="Times New Roman"/>
          <w:i/>
        </w:rPr>
        <w:t xml:space="preserve">R. v. </w:t>
      </w:r>
      <w:r w:rsidRPr="00DA0977">
        <w:rPr>
          <w:rStyle w:val="reflex"/>
          <w:rFonts w:cs="Times New Roman"/>
          <w:i/>
          <w:iCs/>
        </w:rPr>
        <w:t>Reynard</w:t>
      </w:r>
      <w:r w:rsidRPr="00DA0977">
        <w:rPr>
          <w:rStyle w:val="reflex"/>
          <w:rFonts w:cs="Times New Roman"/>
        </w:rPr>
        <w:t>,</w:t>
      </w:r>
      <w:r w:rsidRPr="00DA0977">
        <w:rPr>
          <w:rStyle w:val="reflex"/>
          <w:rFonts w:cs="Times New Roman"/>
          <w:i/>
          <w:iCs/>
        </w:rPr>
        <w:t xml:space="preserve"> </w:t>
      </w:r>
      <w:r w:rsidRPr="00DA0977">
        <w:rPr>
          <w:rStyle w:val="reflex"/>
          <w:rFonts w:cs="Times New Roman"/>
        </w:rPr>
        <w:t xml:space="preserve">2015 BCCA 455, 378 B.C.A.C. 293, at para. 19). The luring offence </w:t>
      </w:r>
      <w:r w:rsidRPr="00DA0977">
        <w:rPr>
          <w:rFonts w:cs="Times New Roman"/>
        </w:rPr>
        <w:t>helps keep children safe in a virtual environment</w:t>
      </w:r>
      <w:r w:rsidRPr="00DA0977">
        <w:rPr>
          <w:rStyle w:val="reflex"/>
          <w:rFonts w:cs="Times New Roman"/>
          <w:i/>
          <w:iCs/>
        </w:rPr>
        <w:t xml:space="preserve"> </w:t>
      </w:r>
      <w:r w:rsidRPr="00DA0977">
        <w:rPr>
          <w:rStyle w:val="reflex"/>
          <w:rFonts w:cs="Times New Roman"/>
        </w:rPr>
        <w:t>and was intended</w:t>
      </w:r>
      <w:r w:rsidRPr="00DA0977">
        <w:rPr>
          <w:rStyle w:val="reflex"/>
          <w:rFonts w:cs="Times New Roman"/>
          <w:i/>
          <w:iCs/>
        </w:rPr>
        <w:t xml:space="preserve"> </w:t>
      </w:r>
      <w:r w:rsidRPr="00DA0977">
        <w:rPr>
          <w:rStyle w:val="reflex"/>
          <w:rFonts w:cs="Times New Roman"/>
        </w:rPr>
        <w:t>to meet “</w:t>
      </w:r>
      <w:r w:rsidRPr="00DA0977">
        <w:rPr>
          <w:rFonts w:cs="Times New Roman"/>
        </w:rPr>
        <w:t>the very specific danger posed by certain kinds of communications via computer systems” (</w:t>
      </w:r>
      <w:r w:rsidRPr="00DA0977">
        <w:rPr>
          <w:rFonts w:cs="Times New Roman"/>
          <w:i/>
        </w:rPr>
        <w:t xml:space="preserve">R. v. </w:t>
      </w:r>
      <w:r w:rsidRPr="00DA0977">
        <w:rPr>
          <w:rStyle w:val="reflex"/>
          <w:rFonts w:cs="Times New Roman"/>
          <w:i/>
          <w:iCs/>
        </w:rPr>
        <w:t>Alicandro</w:t>
      </w:r>
      <w:r w:rsidRPr="00DA0977">
        <w:rPr>
          <w:rStyle w:val="reflex"/>
          <w:rFonts w:cs="Times New Roman"/>
        </w:rPr>
        <w:t>,</w:t>
      </w:r>
      <w:r w:rsidRPr="00DA0977">
        <w:rPr>
          <w:rFonts w:cs="Times New Roman"/>
        </w:rPr>
        <w:t xml:space="preserve"> 2009 ONCA 133, 95 O.R. (3d) 173, at para. 36, per Doherty J.A.). </w:t>
      </w:r>
    </w:p>
    <w:p w14:paraId="0F35AEE0"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Parliament thus created this inchoate preparatory offence to criminalize sexualized communications with children that precede or pave the way for the perpetration of other offences set out in the </w:t>
      </w:r>
      <w:r w:rsidRPr="00DA0977">
        <w:rPr>
          <w:rFonts w:cs="Times New Roman"/>
          <w:i/>
        </w:rPr>
        <w:t xml:space="preserve">Criminal </w:t>
      </w:r>
      <w:r w:rsidRPr="00DA0977">
        <w:rPr>
          <w:rFonts w:cs="Times New Roman"/>
          <w:i/>
          <w:iCs/>
        </w:rPr>
        <w:t>Code</w:t>
      </w:r>
      <w:r w:rsidRPr="00DA0977">
        <w:rPr>
          <w:rFonts w:cs="Times New Roman"/>
        </w:rPr>
        <w:t xml:space="preserve"> (</w:t>
      </w:r>
      <w:r w:rsidRPr="00DA0977">
        <w:rPr>
          <w:rFonts w:cs="Times New Roman"/>
          <w:i/>
          <w:iCs/>
        </w:rPr>
        <w:t>Rayo</w:t>
      </w:r>
      <w:r w:rsidRPr="00DA0977">
        <w:rPr>
          <w:rFonts w:cs="Times New Roman"/>
        </w:rPr>
        <w:t xml:space="preserve">, at para. 9; </w:t>
      </w:r>
      <w:r w:rsidRPr="00DA0977">
        <w:rPr>
          <w:rFonts w:cs="Times New Roman"/>
          <w:i/>
        </w:rPr>
        <w:t xml:space="preserve">R. v. </w:t>
      </w:r>
      <w:r w:rsidRPr="00DA0977">
        <w:rPr>
          <w:rFonts w:cs="Times New Roman"/>
          <w:i/>
          <w:iCs/>
        </w:rPr>
        <w:t>Legare</w:t>
      </w:r>
      <w:r w:rsidRPr="00DA0977">
        <w:rPr>
          <w:rFonts w:cs="Times New Roman"/>
        </w:rPr>
        <w:t xml:space="preserve">, 2009 SCC 56, [2009] 3 S.C.R. 551, at para. 25; </w:t>
      </w:r>
      <w:r w:rsidRPr="00DA0977">
        <w:rPr>
          <w:rFonts w:cs="Times New Roman"/>
          <w:i/>
          <w:iCs/>
        </w:rPr>
        <w:t>Alicandro</w:t>
      </w:r>
      <w:r w:rsidRPr="00DA0977">
        <w:rPr>
          <w:rFonts w:cs="Times New Roman"/>
        </w:rPr>
        <w:t xml:space="preserve">, at para. 20, citing A. Ashworth, </w:t>
      </w:r>
      <w:r w:rsidRPr="00DA0977">
        <w:rPr>
          <w:rFonts w:cs="Times New Roman"/>
          <w:i/>
        </w:rPr>
        <w:t>Principles of Criminal Law</w:t>
      </w:r>
      <w:r w:rsidRPr="00DA0977">
        <w:rPr>
          <w:rFonts w:cs="Times New Roman"/>
        </w:rPr>
        <w:t xml:space="preserve"> (5th ed. 2006), at pp. 468</w:t>
      </w:r>
      <w:r w:rsidRPr="00DA0977">
        <w:rPr>
          <w:rFonts w:cs="Times New Roman"/>
        </w:rPr>
        <w:noBreakHyphen/>
        <w:t>70). The purpose of s. 172.1 is both remedial and preventative. It was enacted “to combat the very real threat posed by adult predators who attempt to groom or lure children by electronic means” (</w:t>
      </w:r>
      <w:r w:rsidRPr="00DA0977">
        <w:rPr>
          <w:rFonts w:cs="Times New Roman"/>
          <w:i/>
          <w:iCs/>
        </w:rPr>
        <w:t>Morrison</w:t>
      </w:r>
      <w:r w:rsidRPr="00DA0977">
        <w:rPr>
          <w:rFonts w:cs="Times New Roman"/>
        </w:rPr>
        <w:t>, at para. 39). The provision seeks to safeguard children from sexual abuse by identifying and apprehending offenders before they commit a designated offence (</w:t>
      </w:r>
      <w:r w:rsidRPr="00DA0977">
        <w:rPr>
          <w:rFonts w:cs="Times New Roman"/>
          <w:i/>
          <w:iCs/>
        </w:rPr>
        <w:t>Legare</w:t>
      </w:r>
      <w:r w:rsidRPr="00DA0977">
        <w:rPr>
          <w:rFonts w:cs="Times New Roman"/>
        </w:rPr>
        <w:t xml:space="preserve">, at paras. 25-27, citing </w:t>
      </w:r>
      <w:r w:rsidRPr="00DA0977">
        <w:rPr>
          <w:rFonts w:cs="Times New Roman"/>
          <w:i/>
          <w:iCs/>
        </w:rPr>
        <w:t>Alicandro</w:t>
      </w:r>
      <w:r w:rsidRPr="00DA0977">
        <w:rPr>
          <w:rFonts w:cs="Times New Roman"/>
        </w:rPr>
        <w:t>).</w:t>
      </w:r>
    </w:p>
    <w:p w14:paraId="19826F9D" w14:textId="77777777" w:rsidR="00DA0977" w:rsidRPr="00DA0977" w:rsidRDefault="00DA0977" w:rsidP="00393E25">
      <w:pPr>
        <w:pStyle w:val="ParaNoNdepar-AltN"/>
        <w:tabs>
          <w:tab w:val="clear" w:pos="7107"/>
          <w:tab w:val="num" w:pos="1152"/>
        </w:tabs>
        <w:spacing w:before="0"/>
        <w:ind w:left="0"/>
        <w:rPr>
          <w:rFonts w:cs="Times New Roman"/>
          <w:lang w:val="en-US"/>
        </w:rPr>
      </w:pPr>
      <w:r w:rsidRPr="00DA0977">
        <w:t>Section 172.1(1) and (2) reads</w:t>
      </w:r>
      <w:r w:rsidRPr="00DA0977">
        <w:rPr>
          <w:rFonts w:cs="Times New Roman"/>
        </w:rPr>
        <w:t>:</w:t>
      </w:r>
    </w:p>
    <w:p w14:paraId="3C00A244" w14:textId="77777777" w:rsidR="00DA0977" w:rsidRPr="00DA0977" w:rsidRDefault="00DA0977" w:rsidP="00393E25">
      <w:pPr>
        <w:pStyle w:val="ParaNoNdepar-AltN"/>
        <w:numPr>
          <w:ilvl w:val="0"/>
          <w:numId w:val="0"/>
        </w:numPr>
        <w:spacing w:before="0" w:after="240" w:line="240" w:lineRule="auto"/>
        <w:ind w:left="1168"/>
        <w:contextualSpacing/>
      </w:pPr>
      <w:r w:rsidRPr="00DA0977">
        <w:rPr>
          <w:b/>
          <w:bCs/>
        </w:rPr>
        <w:t>172.1 (1)</w:t>
      </w:r>
      <w:r w:rsidRPr="00DA0977">
        <w:t xml:space="preserve"> Every person commits an offence who, by a means of telecommunication, communicates with</w:t>
      </w:r>
    </w:p>
    <w:p w14:paraId="7F5DE86F" w14:textId="77777777" w:rsidR="00DA0977" w:rsidRPr="00DA0977" w:rsidRDefault="00DA0977" w:rsidP="00393E25">
      <w:pPr>
        <w:pStyle w:val="ParaNoNdepar-AltN"/>
        <w:numPr>
          <w:ilvl w:val="0"/>
          <w:numId w:val="0"/>
        </w:numPr>
        <w:spacing w:before="0" w:after="240" w:line="240" w:lineRule="auto"/>
        <w:ind w:left="1168"/>
        <w:contextualSpacing/>
      </w:pPr>
    </w:p>
    <w:p w14:paraId="50AAF371" w14:textId="77777777" w:rsidR="00DA0977" w:rsidRPr="00DA0977" w:rsidRDefault="00DA0977" w:rsidP="00393E25">
      <w:pPr>
        <w:pStyle w:val="ParaNoNdepar-AltN"/>
        <w:numPr>
          <w:ilvl w:val="0"/>
          <w:numId w:val="0"/>
        </w:numPr>
        <w:spacing w:before="0" w:after="240" w:line="240" w:lineRule="auto"/>
        <w:ind w:left="1514"/>
        <w:contextualSpacing/>
      </w:pPr>
      <w:r w:rsidRPr="00DA0977">
        <w:rPr>
          <w:b/>
          <w:bCs/>
        </w:rPr>
        <w:t>(a)</w:t>
      </w:r>
      <w:r w:rsidRPr="00DA0977">
        <w:t xml:space="preserve"> a person who is, or who the accused believes is, under the age of 18 years, for the purpose of facilitating the commission of an offence with respect to that person under subsection 153(1), section 155, 163.1, 170, 171 or 279.011 or subsection 279.02(2), 279.03(2), 286.1(2), 286.2(2) or 286.3(2);</w:t>
      </w:r>
    </w:p>
    <w:p w14:paraId="494A1F7A" w14:textId="77777777" w:rsidR="00DA0977" w:rsidRPr="00DA0977" w:rsidRDefault="00DA0977" w:rsidP="00393E25">
      <w:pPr>
        <w:pStyle w:val="ParaNoNdepar-AltN"/>
        <w:numPr>
          <w:ilvl w:val="0"/>
          <w:numId w:val="0"/>
        </w:numPr>
        <w:spacing w:before="0" w:after="240" w:line="240" w:lineRule="auto"/>
        <w:ind w:left="1514"/>
        <w:contextualSpacing/>
      </w:pPr>
    </w:p>
    <w:p w14:paraId="3BA6549A" w14:textId="77777777" w:rsidR="00DA0977" w:rsidRPr="00DA0977" w:rsidRDefault="00DA0977" w:rsidP="00393E25">
      <w:pPr>
        <w:pStyle w:val="ParaNoNdepar-AltN"/>
        <w:numPr>
          <w:ilvl w:val="0"/>
          <w:numId w:val="0"/>
        </w:numPr>
        <w:spacing w:before="0" w:after="240" w:line="240" w:lineRule="auto"/>
        <w:ind w:left="1514"/>
        <w:contextualSpacing/>
      </w:pPr>
      <w:r w:rsidRPr="00DA0977">
        <w:rPr>
          <w:b/>
          <w:bCs/>
        </w:rPr>
        <w:lastRenderedPageBreak/>
        <w:t>(b)</w:t>
      </w:r>
      <w:r w:rsidRPr="00DA0977">
        <w:t xml:space="preserve"> a person who is, or who the accused believes is, under the age of 16 years, for the purpose of facilitating the commission of an offence under section 151 or 152, subsection 160(3) or 173(2) or section 271, 272, 273 or 280 with respect to that person; or</w:t>
      </w:r>
    </w:p>
    <w:p w14:paraId="77086425" w14:textId="77777777" w:rsidR="00DA0977" w:rsidRPr="00DA0977" w:rsidRDefault="00DA0977" w:rsidP="00DA0977">
      <w:pPr>
        <w:pStyle w:val="ParaNoNdepar-AltN"/>
        <w:numPr>
          <w:ilvl w:val="0"/>
          <w:numId w:val="0"/>
        </w:numPr>
        <w:spacing w:before="0" w:line="240" w:lineRule="auto"/>
        <w:ind w:left="1512"/>
        <w:contextualSpacing/>
      </w:pPr>
    </w:p>
    <w:p w14:paraId="17F6D53B" w14:textId="77777777" w:rsidR="00DA0977" w:rsidRPr="00DA0977" w:rsidRDefault="00DA0977" w:rsidP="00DA0977">
      <w:pPr>
        <w:pStyle w:val="ParaNoNdepar-AltN"/>
        <w:numPr>
          <w:ilvl w:val="0"/>
          <w:numId w:val="0"/>
        </w:numPr>
        <w:spacing w:before="0" w:line="240" w:lineRule="auto"/>
        <w:ind w:left="1512"/>
        <w:contextualSpacing/>
      </w:pPr>
      <w:r w:rsidRPr="00DA0977">
        <w:rPr>
          <w:b/>
          <w:bCs/>
        </w:rPr>
        <w:t>(c)</w:t>
      </w:r>
      <w:r w:rsidRPr="00DA0977">
        <w:t xml:space="preserve"> a person who is, or who the accused believes is, under the age of 14 years, for the purpose of facilitating the commission of an offence under section 281 with respect to that person.</w:t>
      </w:r>
    </w:p>
    <w:p w14:paraId="735F0096" w14:textId="77777777" w:rsidR="00DA0977" w:rsidRPr="00DA0977" w:rsidRDefault="00DA0977" w:rsidP="00393E25">
      <w:pPr>
        <w:pStyle w:val="ParaNoNdepar-AltN"/>
        <w:numPr>
          <w:ilvl w:val="0"/>
          <w:numId w:val="0"/>
        </w:numPr>
        <w:spacing w:before="0" w:after="240" w:line="240" w:lineRule="auto"/>
        <w:ind w:left="1168"/>
        <w:contextualSpacing/>
      </w:pPr>
    </w:p>
    <w:p w14:paraId="1EA677A0" w14:textId="77777777" w:rsidR="00DA0977" w:rsidRPr="00DA0977" w:rsidRDefault="00DA0977" w:rsidP="00393E25">
      <w:pPr>
        <w:pStyle w:val="ParaNoNdepar-AltN"/>
        <w:numPr>
          <w:ilvl w:val="0"/>
          <w:numId w:val="0"/>
        </w:numPr>
        <w:spacing w:before="0" w:after="240" w:line="240" w:lineRule="auto"/>
        <w:ind w:left="1168"/>
        <w:contextualSpacing/>
      </w:pPr>
      <w:r w:rsidRPr="00DA0977">
        <w:rPr>
          <w:b/>
          <w:bCs/>
        </w:rPr>
        <w:t>(2)</w:t>
      </w:r>
      <w:r w:rsidRPr="00DA0977">
        <w:t xml:space="preserve"> Every person who commits an offence under subsection (1)</w:t>
      </w:r>
    </w:p>
    <w:p w14:paraId="7347F5C9" w14:textId="77777777" w:rsidR="00DA0977" w:rsidRPr="00DA0977" w:rsidRDefault="00DA0977" w:rsidP="00393E25">
      <w:pPr>
        <w:pStyle w:val="ParaNoNdepar-AltN"/>
        <w:numPr>
          <w:ilvl w:val="0"/>
          <w:numId w:val="0"/>
        </w:numPr>
        <w:spacing w:before="0" w:after="240" w:line="240" w:lineRule="auto"/>
        <w:ind w:left="1168"/>
        <w:contextualSpacing/>
      </w:pPr>
    </w:p>
    <w:p w14:paraId="2AAD16DC" w14:textId="77777777" w:rsidR="00DA0977" w:rsidRPr="00DA0977" w:rsidRDefault="00DA0977" w:rsidP="00393E25">
      <w:pPr>
        <w:pStyle w:val="ParaNoNdepar-AltN"/>
        <w:numPr>
          <w:ilvl w:val="0"/>
          <w:numId w:val="0"/>
        </w:numPr>
        <w:spacing w:before="0" w:after="240" w:line="240" w:lineRule="auto"/>
        <w:ind w:left="1514"/>
        <w:contextualSpacing/>
      </w:pPr>
      <w:r w:rsidRPr="00DA0977">
        <w:rPr>
          <w:b/>
          <w:bCs/>
        </w:rPr>
        <w:t>(a)</w:t>
      </w:r>
      <w:r w:rsidRPr="00DA0977">
        <w:t xml:space="preserve"> is guilty of an indictable offence and is liable to imprisonment for a term of not more than 14 years and to a minimum punishment of imprisonment for a term of one year; or</w:t>
      </w:r>
    </w:p>
    <w:p w14:paraId="4D52ACB2" w14:textId="77777777" w:rsidR="00DA0977" w:rsidRPr="00DA0977" w:rsidRDefault="00DA0977" w:rsidP="00393E25">
      <w:pPr>
        <w:pStyle w:val="ParaNoNdepar-AltN"/>
        <w:numPr>
          <w:ilvl w:val="0"/>
          <w:numId w:val="0"/>
        </w:numPr>
        <w:spacing w:before="0" w:after="240" w:line="240" w:lineRule="auto"/>
        <w:ind w:left="1514"/>
        <w:contextualSpacing/>
      </w:pPr>
    </w:p>
    <w:p w14:paraId="77B7FA08" w14:textId="77777777" w:rsidR="00DA0977" w:rsidRPr="00DA0977" w:rsidRDefault="00DA0977" w:rsidP="00393E25">
      <w:pPr>
        <w:pStyle w:val="ParaNoNdepar-AltN"/>
        <w:numPr>
          <w:ilvl w:val="0"/>
          <w:numId w:val="0"/>
        </w:numPr>
        <w:spacing w:before="0" w:after="240" w:line="240" w:lineRule="auto"/>
        <w:ind w:left="1514"/>
      </w:pPr>
      <w:r w:rsidRPr="00DA0977">
        <w:rPr>
          <w:b/>
          <w:bCs/>
        </w:rPr>
        <w:t>(b)</w:t>
      </w:r>
      <w:r w:rsidRPr="00DA0977">
        <w:t xml:space="preserve"> is guilty of an offence punishable on summary conviction and is liable to imprisonment for a term of not more than two years less a day and to a minimum punishment of imprisonment for a term of six months.</w:t>
      </w:r>
    </w:p>
    <w:p w14:paraId="68000F26" w14:textId="77777777" w:rsidR="00DA0977" w:rsidRPr="00DA0977" w:rsidRDefault="00DA0977" w:rsidP="00DA0977">
      <w:pPr>
        <w:pStyle w:val="ParaNoNdepar-AltN"/>
        <w:tabs>
          <w:tab w:val="clear" w:pos="7107"/>
          <w:tab w:val="num" w:pos="1152"/>
        </w:tabs>
        <w:ind w:left="0"/>
      </w:pPr>
      <w:r w:rsidRPr="00DA0977">
        <w:t xml:space="preserve">The text, context and purpose of s. 172.1(1) demonstrates that it casts, and was intended to cast, a wide net of potential liability for those who lure children in a virtual environment. This provision is triggered by communicating by a means of telecommunication, which is defined broadly in s. 35(1) of the </w:t>
      </w:r>
      <w:r w:rsidRPr="00DA0977">
        <w:rPr>
          <w:i/>
          <w:iCs/>
        </w:rPr>
        <w:t>Interpretation Act</w:t>
      </w:r>
      <w:r w:rsidRPr="00DA0977">
        <w:t xml:space="preserve">, R.S.C. 1985, c. I-21. While the communication must be for the purpose of facilitating any one of the designated secondary offences against children found in s. 172.1, there are 20 such secondary offences listed. The scope of these secondary offences is extensive and covers a wide range of conduct, including sexual exploitation, sexual assault, incest and child pornography. </w:t>
      </w:r>
    </w:p>
    <w:p w14:paraId="65520396"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Section 172.1(1) proscribes communicating by telecommunication with an underage person or a person the accused believes to be underage for the purpose of facilitating the commission of the designated secondary offences with respect to that </w:t>
      </w:r>
      <w:r w:rsidRPr="00DA0977">
        <w:rPr>
          <w:rFonts w:cs="Times New Roman"/>
        </w:rPr>
        <w:lastRenderedPageBreak/>
        <w:t>person (</w:t>
      </w:r>
      <w:r w:rsidRPr="00DA0977">
        <w:rPr>
          <w:rFonts w:cs="Times New Roman"/>
          <w:i/>
        </w:rPr>
        <w:t>R. v. Levigne</w:t>
      </w:r>
      <w:r w:rsidRPr="00DA0977">
        <w:rPr>
          <w:rFonts w:cs="Times New Roman"/>
        </w:rPr>
        <w:t xml:space="preserve">, 2010 SCC 25, [2010] 2 S.C.R. 3, at para. 23; </w:t>
      </w:r>
      <w:r w:rsidRPr="00DA0977">
        <w:rPr>
          <w:rFonts w:cs="Times New Roman"/>
          <w:i/>
        </w:rPr>
        <w:t>Morrison</w:t>
      </w:r>
      <w:r w:rsidRPr="00DA0977">
        <w:rPr>
          <w:rFonts w:cs="Times New Roman"/>
        </w:rPr>
        <w:t xml:space="preserve">, at para. 4). While a specific intention to facilitate a designated secondary offence forms part of the requisite </w:t>
      </w:r>
      <w:r w:rsidRPr="00DA0977">
        <w:rPr>
          <w:rFonts w:cs="Times New Roman"/>
          <w:i/>
          <w:iCs/>
        </w:rPr>
        <w:t>mens rea</w:t>
      </w:r>
      <w:r w:rsidRPr="00DA0977">
        <w:rPr>
          <w:rFonts w:cs="Times New Roman"/>
        </w:rPr>
        <w:t>, criminal liability will “crystallize” before any actions are taken on the part of the accused to engage in a designated offence (</w:t>
      </w:r>
      <w:r w:rsidRPr="00DA0977">
        <w:rPr>
          <w:rFonts w:cs="Times New Roman"/>
          <w:i/>
          <w:iCs/>
        </w:rPr>
        <w:t>R. v. Collins</w:t>
      </w:r>
      <w:r w:rsidRPr="00DA0977">
        <w:rPr>
          <w:rFonts w:cs="Times New Roman"/>
        </w:rPr>
        <w:t xml:space="preserve">, 2013 ONCA 392). The offence of luring does not require that the parties ever meet or touch. </w:t>
      </w:r>
    </w:p>
    <w:p w14:paraId="16608915"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Though luring requires that an offender intend to facilitate the commission of a listed secondary offence, the offence of luring is separate and independent from that secondary offence. The preparatory conduct of luring, meant to “culminate in the commission of a completed crime” (</w:t>
      </w:r>
      <w:r w:rsidRPr="00DA0977">
        <w:rPr>
          <w:rFonts w:cs="Times New Roman"/>
          <w:i/>
          <w:iCs/>
        </w:rPr>
        <w:t>Legare</w:t>
      </w:r>
      <w:r w:rsidRPr="00DA0977">
        <w:rPr>
          <w:rFonts w:cs="Times New Roman"/>
        </w:rPr>
        <w:t>, at para. 25), produces its own distinct form of wrongfulness and harms. By making luring a discrete offence, Parliament indicated that these illegal communications generate harms that are different from those caught in the secondary offences in s. 172.1(1), and they are sufficiently wrongful and harmful to ground criminal liability.</w:t>
      </w:r>
    </w:p>
    <w:p w14:paraId="10779A36"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Many cases of luring involve multiple communications over a period of time, or what is sometimes described as “grooming”. However, luring does not require sustained contact. When the other elements of the offence are satisfied, the offence can be committed even by sending one message.</w:t>
      </w:r>
    </w:p>
    <w:p w14:paraId="5763CA34"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The luring offence captures communications sent to an actual child, which means a person under 18 years of age (or 16 or 14, depending on the applicable paragraph). It also applies whenever the adult believes the recipient of the communication is a child, even if that is not in fact the case. As a result, criminal </w:t>
      </w:r>
      <w:r w:rsidRPr="00DA0977">
        <w:rPr>
          <w:rFonts w:cs="Times New Roman"/>
        </w:rPr>
        <w:lastRenderedPageBreak/>
        <w:t xml:space="preserve">liability may arise when the adult’s internet interlocutor is really a police officer pretending to be a child during a “sting operation”. </w:t>
      </w:r>
    </w:p>
    <w:p w14:paraId="2A511CC3"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Child luring is a hybrid offence, meaning that the Crown can choose, based on factors such as the seriousness of the accused’s actions and the harm caused, to proceed either by indictment or summarily. Parliament has set two mandatory minimum penalties for luring, in s. 172.1(2)(a) and (b), depending on how the charge is laid. The indictable offence of luring for which Mr. Bertrand Marchand was charged carries a mandatory minimum punishment of one year’s imprisonment and a maximum of 14 years. The summary conviction offence for which H.V. was charged carries a mandatory minimum punishment of six months’ imprisonment and a maximum of two years less a day. Both offenders pleaded guilty to child luring and challenged the constitutionality of these mandatory minimum punishments as applied to themselves or other reasonably foreseeable offenders.</w:t>
      </w:r>
      <w:bookmarkStart w:id="19" w:name="_Toc129942446"/>
      <w:bookmarkEnd w:id="10"/>
      <w:r w:rsidRPr="00DA0977">
        <w:rPr>
          <w:rFonts w:cs="Times New Roman"/>
        </w:rPr>
        <w:t xml:space="preserve"> Mr. Bertrand Marchand’s sentence for one of the designated secondary offences, sexual interference, is not at issue in this appeal.</w:t>
      </w:r>
    </w:p>
    <w:p w14:paraId="04C91F96" w14:textId="77777777" w:rsidR="00DA0977" w:rsidRPr="00DA0977" w:rsidRDefault="00DA0977" w:rsidP="00DA0977">
      <w:pPr>
        <w:pStyle w:val="Title1LevelTitre1Niveau-AltL"/>
        <w:numPr>
          <w:ilvl w:val="0"/>
          <w:numId w:val="4"/>
        </w:numPr>
      </w:pPr>
      <w:bookmarkStart w:id="20" w:name="_Toc134625053"/>
      <w:bookmarkStart w:id="21" w:name="_Toc135041563"/>
      <w:bookmarkStart w:id="22" w:name="_Toc135322921"/>
      <w:bookmarkStart w:id="23" w:name="_Toc137199856"/>
      <w:bookmarkStart w:id="24" w:name="_Toc140673971"/>
      <w:bookmarkStart w:id="25" w:name="_Toc141096916"/>
      <w:bookmarkStart w:id="26" w:name="_Toc141694536"/>
      <w:bookmarkStart w:id="27" w:name="_Toc146612942"/>
      <w:r w:rsidRPr="00DA0977">
        <w:t>The Appeal of Mr. Bertrand Marchand’s Sentence</w:t>
      </w:r>
      <w:bookmarkEnd w:id="20"/>
      <w:bookmarkEnd w:id="21"/>
      <w:bookmarkEnd w:id="22"/>
      <w:bookmarkEnd w:id="23"/>
      <w:bookmarkEnd w:id="24"/>
      <w:bookmarkEnd w:id="25"/>
      <w:bookmarkEnd w:id="26"/>
      <w:bookmarkEnd w:id="27"/>
      <w:r w:rsidRPr="00DA0977">
        <w:t xml:space="preserve"> </w:t>
      </w:r>
    </w:p>
    <w:p w14:paraId="32CD808E"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Before this Court, apart from the constitutional question raised, the Crown in Mr. Bertrand Marchand’s case also separately appealed the fitness his five</w:t>
      </w:r>
      <w:r w:rsidRPr="00DA0977">
        <w:rPr>
          <w:rFonts w:cs="Times New Roman"/>
        </w:rPr>
        <w:noBreakHyphen/>
        <w:t xml:space="preserve">month concurrent sentence for luring. In this part of the reasons, I set out the facts and judicial history of that appeal, apply the approach and insights of </w:t>
      </w:r>
      <w:r w:rsidRPr="00DA0977">
        <w:rPr>
          <w:rFonts w:cs="Times New Roman"/>
          <w:i/>
        </w:rPr>
        <w:t>Friesen</w:t>
      </w:r>
      <w:r w:rsidRPr="00DA0977">
        <w:rPr>
          <w:rFonts w:cs="Times New Roman"/>
        </w:rPr>
        <w:t xml:space="preserve"> to the specific wrongfulness and harms of child luring, review the errors committed by the sentencing judge and set a fit and proportionate sentence for Mr. Bertrand Marchand.</w:t>
      </w:r>
    </w:p>
    <w:p w14:paraId="10C990DE" w14:textId="77777777" w:rsidR="00DA0977" w:rsidRPr="00DA0977" w:rsidRDefault="00DA0977" w:rsidP="00DA0977">
      <w:pPr>
        <w:pStyle w:val="Title2LevelTitre2Niveau"/>
        <w:numPr>
          <w:ilvl w:val="1"/>
          <w:numId w:val="29"/>
        </w:numPr>
      </w:pPr>
      <w:bookmarkStart w:id="28" w:name="_Toc134625054"/>
      <w:bookmarkStart w:id="29" w:name="_Toc135041564"/>
      <w:bookmarkStart w:id="30" w:name="_Toc135322922"/>
      <w:bookmarkStart w:id="31" w:name="_Toc137199857"/>
      <w:bookmarkStart w:id="32" w:name="_Toc140673972"/>
      <w:bookmarkStart w:id="33" w:name="_Toc141096917"/>
      <w:bookmarkStart w:id="34" w:name="_Toc141694537"/>
      <w:bookmarkStart w:id="35" w:name="_Toc146612943"/>
      <w:r w:rsidRPr="00DA0977">
        <w:lastRenderedPageBreak/>
        <w:t>Facts</w:t>
      </w:r>
      <w:bookmarkEnd w:id="28"/>
      <w:bookmarkEnd w:id="29"/>
      <w:bookmarkEnd w:id="30"/>
      <w:bookmarkEnd w:id="31"/>
      <w:bookmarkEnd w:id="32"/>
      <w:bookmarkEnd w:id="33"/>
      <w:bookmarkEnd w:id="34"/>
      <w:bookmarkEnd w:id="35"/>
      <w:r w:rsidRPr="00DA0977">
        <w:t xml:space="preserve"> </w:t>
      </w:r>
    </w:p>
    <w:p w14:paraId="1FC760DA" w14:textId="77777777" w:rsidR="00DA0977" w:rsidRPr="00DA0977" w:rsidRDefault="00DA0977" w:rsidP="00DA0977">
      <w:pPr>
        <w:pStyle w:val="ParaNoNdepar-AltN"/>
        <w:tabs>
          <w:tab w:val="clear" w:pos="7107"/>
          <w:tab w:val="num" w:pos="1152"/>
        </w:tabs>
        <w:ind w:left="0"/>
        <w:rPr>
          <w:rFonts w:cs="Times New Roman"/>
          <w:szCs w:val="24"/>
        </w:rPr>
      </w:pPr>
      <w:r w:rsidRPr="00DA0977">
        <w:rPr>
          <w:rFonts w:cs="Times New Roman"/>
          <w:szCs w:val="24"/>
        </w:rPr>
        <w:t xml:space="preserve">Maxime </w:t>
      </w:r>
      <w:r w:rsidRPr="00DA0977">
        <w:rPr>
          <w:rFonts w:cs="Times New Roman"/>
        </w:rPr>
        <w:t xml:space="preserve">Bertrand </w:t>
      </w:r>
      <w:r w:rsidRPr="00DA0977">
        <w:rPr>
          <w:rFonts w:cs="Times New Roman"/>
          <w:szCs w:val="24"/>
        </w:rPr>
        <w:t xml:space="preserve">Marchand met the victim in person in early August 2013, when he was 22 and she was, to his knowledge, 13 years old. In the weeks that followed, he sent her a friend request on Facebook, which she accepted. </w:t>
      </w:r>
      <w:r w:rsidRPr="00DA0977">
        <w:rPr>
          <w:rFonts w:cs="Times New Roman"/>
        </w:rPr>
        <w:t xml:space="preserve">Over the next two years, they were in contact on social media and also met in person. Between August 1, 2013 and July 19, 2015, Mr. Bertrand Marchand had illegal sexual intercourse with the victim four separate times. As a result of these events, the Crown charged him with one count of sexual interference contrary to s. 151(a) of the </w:t>
      </w:r>
      <w:r w:rsidRPr="00DA0977">
        <w:rPr>
          <w:rFonts w:cs="Times New Roman"/>
          <w:i/>
        </w:rPr>
        <w:t>Criminal Code</w:t>
      </w:r>
      <w:r w:rsidRPr="00DA0977">
        <w:rPr>
          <w:rFonts w:cs="Times New Roman"/>
        </w:rPr>
        <w:t xml:space="preserve"> for this time period. </w:t>
      </w:r>
    </w:p>
    <w:p w14:paraId="3EDB5A9F" w14:textId="77777777" w:rsidR="00DA0977" w:rsidRPr="00DA0977" w:rsidRDefault="00DA0977" w:rsidP="00DA0977">
      <w:pPr>
        <w:pStyle w:val="ParaNoNdepar-AltN"/>
        <w:tabs>
          <w:tab w:val="clear" w:pos="7107"/>
          <w:tab w:val="num" w:pos="1152"/>
        </w:tabs>
        <w:ind w:left="0"/>
        <w:rPr>
          <w:rFonts w:cs="Times New Roman"/>
          <w:szCs w:val="24"/>
        </w:rPr>
      </w:pPr>
      <w:r w:rsidRPr="00DA0977">
        <w:rPr>
          <w:rFonts w:cs="Times New Roman"/>
        </w:rPr>
        <w:t xml:space="preserve">Mr. Bertrand Marchand was also charged with one count of </w:t>
      </w:r>
      <w:r w:rsidRPr="00DA0977">
        <w:rPr>
          <w:rFonts w:cs="Times New Roman"/>
          <w:szCs w:val="24"/>
        </w:rPr>
        <w:t xml:space="preserve">luring a child contrary to s. 172.1(1)(b). Throughout their contact, </w:t>
      </w:r>
      <w:r w:rsidRPr="00DA0977">
        <w:rPr>
          <w:rFonts w:cs="Times New Roman"/>
        </w:rPr>
        <w:t xml:space="preserve">Mr. Bertrand </w:t>
      </w:r>
      <w:r w:rsidRPr="00DA0977">
        <w:rPr>
          <w:rFonts w:cs="Times New Roman"/>
          <w:szCs w:val="24"/>
        </w:rPr>
        <w:t>Marchand used Facebook messenger, and other means of telecommunications, to stay in touch with the victim and to arrange meetings. The time frame in the luring count was restricted to the period between February 25, 2015 and September 13, 2015. During this period, he turned 24 and she was 15.</w:t>
      </w:r>
    </w:p>
    <w:p w14:paraId="00304DEC" w14:textId="77777777" w:rsidR="00DA0977" w:rsidRPr="00DA0977" w:rsidRDefault="00DA0977" w:rsidP="00DA0977">
      <w:pPr>
        <w:pStyle w:val="ParaNoNdepar-AltN"/>
        <w:tabs>
          <w:tab w:val="clear" w:pos="7107"/>
          <w:tab w:val="num" w:pos="1152"/>
        </w:tabs>
        <w:ind w:left="0"/>
        <w:rPr>
          <w:rFonts w:cs="Times New Roman"/>
          <w:szCs w:val="24"/>
        </w:rPr>
      </w:pPr>
      <w:bookmarkStart w:id="36" w:name="_Toc134625055"/>
      <w:bookmarkStart w:id="37" w:name="_Toc135041565"/>
      <w:r w:rsidRPr="00DA0977">
        <w:rPr>
          <w:rFonts w:cs="Times New Roman"/>
          <w:szCs w:val="24"/>
        </w:rPr>
        <w:t xml:space="preserve">In the fall of 2014, as well as during the period covered in the indictment for the count of luring, the victim was living at a rehabilitation centre. Mr. Bertrand Marchand’s online communications with the victim repeatedly raised the possibility of getting together in person and resulted in a meeting on July 19, 2015, which formed the basis for the fourth occurrence of sexual interference. On that day, the victim paid a weekend visit to her foster family, but afterwards did not return directly to the </w:t>
      </w:r>
      <w:r w:rsidRPr="00DA0977">
        <w:rPr>
          <w:rFonts w:cs="Times New Roman"/>
          <w:szCs w:val="24"/>
        </w:rPr>
        <w:lastRenderedPageBreak/>
        <w:t xml:space="preserve">rehabilitation centre. Instead, she went with Mr. Bertrand Marchand to his home, and he had illegal sexual intercourse with her. After this, their social media exchanges became less frequent and eventually ceased completely. In September 2015, the victim provided her statement to the </w:t>
      </w:r>
      <w:r w:rsidRPr="00DA0977">
        <w:rPr>
          <w:rFonts w:cs="Times New Roman"/>
        </w:rPr>
        <w:t>police and filed a complaint. The communications that preceded and followed this</w:t>
      </w:r>
      <w:r w:rsidRPr="00DA0977">
        <w:rPr>
          <w:rFonts w:cs="Times New Roman"/>
          <w:szCs w:val="24"/>
        </w:rPr>
        <w:t xml:space="preserve"> final act of sexual interference </w:t>
      </w:r>
      <w:r w:rsidRPr="00DA0977">
        <w:rPr>
          <w:rFonts w:cs="Times New Roman"/>
          <w:szCs w:val="24"/>
          <w:lang w:val="en-US"/>
        </w:rPr>
        <w:t xml:space="preserve">form the basis for the luring charge against </w:t>
      </w:r>
      <w:r w:rsidRPr="00DA0977">
        <w:rPr>
          <w:rFonts w:cs="Times New Roman"/>
          <w:szCs w:val="24"/>
        </w:rPr>
        <w:t>Mr. Bertrand Marchand</w:t>
      </w:r>
      <w:r w:rsidRPr="00DA0977">
        <w:rPr>
          <w:rFonts w:cs="Times New Roman"/>
          <w:szCs w:val="24"/>
          <w:lang w:val="en-US"/>
        </w:rPr>
        <w:t xml:space="preserve">. </w:t>
      </w:r>
    </w:p>
    <w:p w14:paraId="582A0723" w14:textId="77777777" w:rsidR="00DA0977" w:rsidRPr="00DA0977" w:rsidRDefault="00DA0977" w:rsidP="00DA0977">
      <w:pPr>
        <w:pStyle w:val="Title2LevelTitre2Niveau"/>
        <w:numPr>
          <w:ilvl w:val="1"/>
          <w:numId w:val="29"/>
        </w:numPr>
        <w:rPr>
          <w:rFonts w:cs="Times New Roman"/>
          <w:szCs w:val="24"/>
        </w:rPr>
      </w:pPr>
      <w:bookmarkStart w:id="38" w:name="_Toc135322923"/>
      <w:bookmarkStart w:id="39" w:name="_Toc137199858"/>
      <w:bookmarkStart w:id="40" w:name="_Toc140673973"/>
      <w:bookmarkStart w:id="41" w:name="_Toc141096918"/>
      <w:bookmarkStart w:id="42" w:name="_Toc141694538"/>
      <w:bookmarkStart w:id="43" w:name="_Toc146612944"/>
      <w:bookmarkStart w:id="44" w:name="_Toc134625058"/>
      <w:bookmarkStart w:id="45" w:name="_Toc135041566"/>
      <w:bookmarkEnd w:id="36"/>
      <w:bookmarkEnd w:id="37"/>
      <w:r w:rsidRPr="00DA0977">
        <w:rPr>
          <w:rFonts w:cs="Times New Roman"/>
        </w:rPr>
        <w:t>Judicial History</w:t>
      </w:r>
      <w:bookmarkEnd w:id="38"/>
      <w:bookmarkEnd w:id="39"/>
      <w:bookmarkEnd w:id="40"/>
      <w:bookmarkEnd w:id="41"/>
      <w:bookmarkEnd w:id="42"/>
      <w:bookmarkEnd w:id="43"/>
    </w:p>
    <w:p w14:paraId="5F60B097"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szCs w:val="24"/>
        </w:rPr>
        <w:t>Mr. Bertrand</w:t>
      </w:r>
      <w:r w:rsidRPr="00DA0977">
        <w:rPr>
          <w:rFonts w:cs="Times New Roman"/>
        </w:rPr>
        <w:t xml:space="preserve"> Marchand pleaded guilty to one count of sexual interference and one count of child luring. He was sentenced to a 10</w:t>
      </w:r>
      <w:r w:rsidRPr="00DA0977">
        <w:rPr>
          <w:rFonts w:cs="Times New Roman"/>
        </w:rPr>
        <w:noBreakHyphen/>
        <w:t xml:space="preserve">month term of imprisonment for sexual interference (2020 QCCQ 1135). The sentencing judge found that the appropriate sentence for the luring charge was five months’ imprisonment to be served concurrently to the sentence for sexual interference. She imposed that sentence after finding the mandatory term of one year’s imprisonment infringed s. 12 of the </w:t>
      </w:r>
      <w:r w:rsidRPr="00DA0977">
        <w:rPr>
          <w:rFonts w:cs="Times New Roman"/>
          <w:i/>
        </w:rPr>
        <w:t>Charter</w:t>
      </w:r>
      <w:r w:rsidRPr="00DA0977">
        <w:rPr>
          <w:rFonts w:cs="Times New Roman"/>
        </w:rPr>
        <w:t xml:space="preserve"> as it would be “grossly disproportionate” to the fit sentence of five months. It was therefore declared of no force or effect in his regard.</w:t>
      </w:r>
    </w:p>
    <w:p w14:paraId="1B638825"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szCs w:val="24"/>
        </w:rPr>
        <w:t xml:space="preserve">In fixing the luring sentence at five months’ imprisonment, the sentencing judge </w:t>
      </w:r>
      <w:r w:rsidRPr="00DA0977">
        <w:rPr>
          <w:rFonts w:cs="Times New Roman"/>
        </w:rPr>
        <w:t>determined that this was not a [</w:t>
      </w:r>
      <w:r w:rsidRPr="00DA0977">
        <w:rPr>
          <w:rFonts w:cs="Times New Roman"/>
          <w:smallCaps/>
        </w:rPr>
        <w:t>translation</w:t>
      </w:r>
      <w:r w:rsidRPr="00DA0977">
        <w:rPr>
          <w:rFonts w:cs="Times New Roman"/>
        </w:rPr>
        <w:t>] “classic case” of luring where “a sexual predator . . . goes on the Internet to find a young victim and facilitate the commission of sexual offences” (para. 64). The online communications were [</w:t>
      </w:r>
      <w:r w:rsidRPr="00DA0977">
        <w:rPr>
          <w:rFonts w:cs="Times New Roman"/>
          <w:smallCaps/>
        </w:rPr>
        <w:t>translation</w:t>
      </w:r>
      <w:r w:rsidRPr="00DA0977">
        <w:rPr>
          <w:rFonts w:cs="Times New Roman"/>
        </w:rPr>
        <w:t>] “instead repeated attempts, through the use of electronic conversations, to have sexual intercourse with her again” (para. 70). She also held that [</w:t>
      </w:r>
      <w:r w:rsidRPr="00DA0977">
        <w:rPr>
          <w:rFonts w:cs="Times New Roman"/>
          <w:smallCaps/>
        </w:rPr>
        <w:t>translation</w:t>
      </w:r>
      <w:r w:rsidRPr="00DA0977">
        <w:rPr>
          <w:rFonts w:cs="Times New Roman"/>
        </w:rPr>
        <w:t xml:space="preserve">] </w:t>
      </w:r>
      <w:r w:rsidRPr="00DA0977">
        <w:rPr>
          <w:rFonts w:cs="Times New Roman"/>
        </w:rPr>
        <w:lastRenderedPageBreak/>
        <w:t xml:space="preserve">“the means used by the offender to communicate with [the victim] is a generational choice rather than a means specifically chosen to anonymously browse various websites searching for a young victim” (para. 67) and added that “[w]ere it not for the adolescent’s access to this type of media, the offender never would have succeeded in maintaining the conversations that enabled them to have their repeated rendezvous” (para. 65). </w:t>
      </w:r>
    </w:p>
    <w:p w14:paraId="546AAD83"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rPr>
        <w:t>The sentencing judge went on to distinguish this case from one of grooming, noting that [</w:t>
      </w:r>
      <w:r w:rsidRPr="00DA0977">
        <w:rPr>
          <w:rFonts w:cs="Times New Roman"/>
          <w:smallCaps/>
        </w:rPr>
        <w:t>translation</w:t>
      </w:r>
      <w:r w:rsidRPr="00DA0977">
        <w:rPr>
          <w:rFonts w:cs="Times New Roman"/>
        </w:rPr>
        <w:t>] “the acts . . . do not constitute grooming of the adolescent for the purpose of lowering her inhibitions and convincing her to participate in sexual activities” because “[the victim] had already consented to such activities three times” (para. 70). She added that [</w:t>
      </w:r>
      <w:r w:rsidRPr="00DA0977">
        <w:rPr>
          <w:rFonts w:cs="Times New Roman"/>
          <w:smallCaps/>
        </w:rPr>
        <w:t>translation</w:t>
      </w:r>
      <w:r w:rsidRPr="00DA0977">
        <w:rPr>
          <w:rFonts w:cs="Times New Roman"/>
        </w:rPr>
        <w:t>] “[t]he luring to which the offender pleaded guilty does not cover a period of grooming in preparation for the commission of other offences. It concerns communications leading to the repetition of sexual encounters” (para. 78).</w:t>
      </w:r>
      <w:r w:rsidRPr="00DA0977">
        <w:rPr>
          <w:rFonts w:cs="Times New Roman"/>
          <w:szCs w:val="24"/>
        </w:rPr>
        <w:t xml:space="preserve"> </w:t>
      </w:r>
    </w:p>
    <w:p w14:paraId="1B8F4BAA" w14:textId="77777777" w:rsidR="00DA0977" w:rsidRPr="00DA0977" w:rsidRDefault="00DA0977" w:rsidP="00DA0977">
      <w:pPr>
        <w:pStyle w:val="ParaNoNdepar-AltN"/>
        <w:tabs>
          <w:tab w:val="clear" w:pos="7107"/>
          <w:tab w:val="num" w:pos="1152"/>
          <w:tab w:val="num" w:pos="1422"/>
        </w:tabs>
        <w:ind w:left="0"/>
        <w:rPr>
          <w:rFonts w:cs="Times New Roman"/>
          <w:szCs w:val="24"/>
        </w:rPr>
      </w:pPr>
      <w:r w:rsidRPr="00DA0977">
        <w:rPr>
          <w:rFonts w:cs="Times New Roman"/>
        </w:rPr>
        <w:t>Ultimately, the sentencing judge found that the effects of the luring were unlike the usual cases. She concluded that the communications simply served the function of repeating “sexual encounters”, and that the communications were not grooming with the aim of “convincing [the victim] to participate in sexual activities” (para. 70).</w:t>
      </w:r>
      <w:r w:rsidRPr="00DA0977">
        <w:rPr>
          <w:rFonts w:cs="Times New Roman"/>
          <w:szCs w:val="24"/>
        </w:rPr>
        <w:t xml:space="preserve"> Without this grooming, she found</w:t>
      </w:r>
      <w:r w:rsidRPr="00DA0977">
        <w:rPr>
          <w:rFonts w:cs="Times New Roman"/>
        </w:rPr>
        <w:t xml:space="preserve"> [</w:t>
      </w:r>
      <w:r w:rsidRPr="00DA0977">
        <w:rPr>
          <w:rFonts w:cs="Times New Roman"/>
          <w:smallCaps/>
        </w:rPr>
        <w:t>translation</w:t>
      </w:r>
      <w:r w:rsidRPr="00DA0977">
        <w:rPr>
          <w:rFonts w:cs="Times New Roman"/>
        </w:rPr>
        <w:t>] “[t]he distinct social interest that luring aims to protect in nearly every situation is not present here, given the specific circumstances of this case” (para. 79).</w:t>
      </w:r>
      <w:r w:rsidRPr="00DA0977">
        <w:rPr>
          <w:rFonts w:cs="Times New Roman"/>
          <w:szCs w:val="24"/>
        </w:rPr>
        <w:t xml:space="preserve"> As such, she concluded the luring </w:t>
      </w:r>
      <w:r w:rsidRPr="00DA0977">
        <w:rPr>
          <w:rFonts w:cs="Times New Roman"/>
          <w:szCs w:val="24"/>
        </w:rPr>
        <w:lastRenderedPageBreak/>
        <w:t>sentence should be served concurrently with the 10 months’ imprisonment imposed in respect of the sexual interference offence.</w:t>
      </w:r>
    </w:p>
    <w:p w14:paraId="635680C3"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The majority of the Quebec Court of Appeal (2021 QCCA 1285) dismissed the appeal as it saw </w:t>
      </w:r>
      <w:r w:rsidRPr="00DA0977">
        <w:rPr>
          <w:rFonts w:cs="Times New Roman"/>
          <w:szCs w:val="24"/>
        </w:rPr>
        <w:t xml:space="preserve">no grounds to intervene. It </w:t>
      </w:r>
      <w:r w:rsidRPr="00DA0977">
        <w:rPr>
          <w:rFonts w:cs="Times New Roman"/>
        </w:rPr>
        <w:t>upheld both the punishment imposed for luring and the conclusion that the mandatory minimum sentence was unconstitutional. Levesque J.A., dissenting, would have allowed the appeal, set aside the luring sentence and the constitutional declaration of inoperability and sentenced Mr. Bertrand Marchand to 12 months’ imprisonment for luring to be served concurrently to the sentence for sexual interference. Because this was the sentence required under the impugned mandatory minimum, he declined to rule on its constitutionality even though Mr. Bertrand Marchand had also impugned the penalty by advancing a reasonable hypothetical scenario involving a representative offender.</w:t>
      </w:r>
    </w:p>
    <w:p w14:paraId="0896A80A"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The appellants invite this Court to substitute Mr. Bertrand Marchand’s 5</w:t>
      </w:r>
      <w:r w:rsidRPr="00DA0977">
        <w:rPr>
          <w:rFonts w:cs="Times New Roman"/>
        </w:rPr>
        <w:noBreakHyphen/>
        <w:t>month sentence with a sentence of 12 months’ imprisonment for the luring offence. They argue the sentencing judge should not have departed from the applicable sentencing range of 12 to 24 months or imposed a concurrent sentence.</w:t>
      </w:r>
    </w:p>
    <w:p w14:paraId="16B92A07" w14:textId="77777777" w:rsidR="00DA0977" w:rsidRPr="00DA0977" w:rsidRDefault="00DA0977" w:rsidP="00DA0977">
      <w:pPr>
        <w:pStyle w:val="Title2LevelTitre2Niveau"/>
        <w:numPr>
          <w:ilvl w:val="1"/>
          <w:numId w:val="29"/>
        </w:numPr>
      </w:pPr>
      <w:bookmarkStart w:id="46" w:name="_Toc135322924"/>
      <w:bookmarkStart w:id="47" w:name="_Toc137199859"/>
      <w:bookmarkStart w:id="48" w:name="_Toc140673974"/>
      <w:bookmarkStart w:id="49" w:name="_Toc141096919"/>
      <w:bookmarkStart w:id="50" w:name="_Toc141694539"/>
      <w:bookmarkStart w:id="51" w:name="_Toc146612945"/>
      <w:r w:rsidRPr="00DA0977">
        <w:t>Mr. Bertrand Marchand’s Sentence Does Not Reflect This Court’s Direction in Friesen</w:t>
      </w:r>
      <w:bookmarkEnd w:id="44"/>
      <w:bookmarkEnd w:id="45"/>
      <w:bookmarkEnd w:id="46"/>
      <w:bookmarkEnd w:id="47"/>
      <w:bookmarkEnd w:id="48"/>
      <w:bookmarkEnd w:id="49"/>
      <w:bookmarkEnd w:id="50"/>
      <w:bookmarkEnd w:id="51"/>
    </w:p>
    <w:p w14:paraId="588E1054"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Mr. Bertrand Marchand was sentenced in March 2020 and this Court’s decision in </w:t>
      </w:r>
      <w:r w:rsidRPr="00DA0977">
        <w:rPr>
          <w:rFonts w:cs="Times New Roman"/>
          <w:i/>
        </w:rPr>
        <w:t xml:space="preserve">Friesen </w:t>
      </w:r>
      <w:r w:rsidRPr="00DA0977">
        <w:rPr>
          <w:rFonts w:cs="Times New Roman"/>
        </w:rPr>
        <w:t xml:space="preserve">was released in April 2020. This explains the appellants’ concern </w:t>
      </w:r>
      <w:r w:rsidRPr="00DA0977">
        <w:rPr>
          <w:rFonts w:cs="Times New Roman"/>
        </w:rPr>
        <w:lastRenderedPageBreak/>
        <w:t xml:space="preserve">that the sentencing judge’s reasons were out of step with </w:t>
      </w:r>
      <w:r w:rsidRPr="00DA0977">
        <w:rPr>
          <w:rFonts w:cs="Times New Roman"/>
          <w:i/>
        </w:rPr>
        <w:t xml:space="preserve">Friesen </w:t>
      </w:r>
      <w:r w:rsidRPr="00DA0977">
        <w:rPr>
          <w:rFonts w:cs="Times New Roman"/>
        </w:rPr>
        <w:t>and Parliament’s intent in sentencing offenders for sexual offences against children (</w:t>
      </w:r>
      <w:r w:rsidRPr="00DA0977">
        <w:rPr>
          <w:rFonts w:cs="Times New Roman"/>
          <w:lang w:val="en-US"/>
        </w:rPr>
        <w:t>A.F., at para. 21</w:t>
      </w:r>
      <w:r w:rsidRPr="00DA0977">
        <w:rPr>
          <w:rFonts w:cs="Times New Roman"/>
        </w:rPr>
        <w:t xml:space="preserve">). </w:t>
      </w:r>
      <w:r w:rsidRPr="00DA0977">
        <w:rPr>
          <w:rFonts w:cs="Times New Roman"/>
          <w:szCs w:val="24"/>
        </w:rPr>
        <w:t>I</w:t>
      </w:r>
      <w:r w:rsidRPr="00DA0977">
        <w:rPr>
          <w:rFonts w:cs="Times New Roman"/>
        </w:rPr>
        <w:t xml:space="preserve">n </w:t>
      </w:r>
      <w:r w:rsidRPr="00DA0977">
        <w:rPr>
          <w:rFonts w:cs="Times New Roman"/>
          <w:i/>
        </w:rPr>
        <w:t>Friesen</w:t>
      </w:r>
      <w:r w:rsidRPr="00DA0977">
        <w:rPr>
          <w:rFonts w:cs="Times New Roman"/>
        </w:rPr>
        <w:t xml:space="preserve">, this Court set out sentencing principles for sexual offences against children to </w:t>
      </w:r>
      <w:r w:rsidRPr="00DA0977">
        <w:rPr>
          <w:rFonts w:cs="Times New Roman"/>
          <w:szCs w:val="24"/>
        </w:rPr>
        <w:t xml:space="preserve">“fully reflect and give effect to the profound wrongfulness and harmfulness” of these crimes (para. 1). </w:t>
      </w:r>
    </w:p>
    <w:p w14:paraId="5D1552C9"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A fit and proportionate sentence must be crafted based on the particular facts of the case and in light of existing legislation and case law (</w:t>
      </w:r>
      <w:r w:rsidRPr="00DA0977">
        <w:rPr>
          <w:rFonts w:cs="Times New Roman"/>
          <w:i/>
        </w:rPr>
        <w:t>R. v. Nasogaluak</w:t>
      </w:r>
      <w:r w:rsidRPr="00DA0977">
        <w:rPr>
          <w:rFonts w:cs="Times New Roman"/>
        </w:rPr>
        <w:t xml:space="preserve">, 2010 SCC 6, [2010] 1 S.C.R. 206, at para. 43). Pursuant to s. 718.1 of the </w:t>
      </w:r>
      <w:r w:rsidRPr="00DA0977">
        <w:rPr>
          <w:rFonts w:cs="Times New Roman"/>
          <w:i/>
        </w:rPr>
        <w:t>Criminal Code</w:t>
      </w:r>
      <w:r w:rsidRPr="00DA0977">
        <w:rPr>
          <w:rFonts w:cs="Times New Roman"/>
        </w:rPr>
        <w:t xml:space="preserve">, it is a fundamental principle that the sentence be proportionate to the gravity of the offence and the degree of responsibility of the offender (see also </w:t>
      </w:r>
      <w:r w:rsidRPr="00DA0977">
        <w:rPr>
          <w:rFonts w:cs="Times New Roman"/>
          <w:i/>
        </w:rPr>
        <w:t>R. v. Lacasse</w:t>
      </w:r>
      <w:r w:rsidRPr="00DA0977">
        <w:rPr>
          <w:rFonts w:cs="Times New Roman"/>
        </w:rPr>
        <w:t>, 2015 SCC 64,</w:t>
      </w:r>
      <w:r w:rsidRPr="00DA0977">
        <w:rPr>
          <w:rFonts w:cs="Times New Roman"/>
          <w:i/>
        </w:rPr>
        <w:t xml:space="preserve"> </w:t>
      </w:r>
      <w:r w:rsidRPr="00DA0977">
        <w:rPr>
          <w:rFonts w:cs="Times New Roman"/>
        </w:rPr>
        <w:t>[2015] 3 S.C.R. 1089). Section 718.2 enumerates a number of other sentencing principles, including the consideration of aggravating and mitigating circumstances and parity in sentencing.</w:t>
      </w:r>
    </w:p>
    <w:p w14:paraId="1615D4EB"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Parliament has specifically indicated that in sentencing offences involving abuse of children, including child luring, the objectives of denunciation and deterrence must be given primary consideration or “</w:t>
      </w:r>
      <w:r w:rsidRPr="00DA0977">
        <w:rPr>
          <w:rFonts w:cs="Times New Roman"/>
          <w:i/>
        </w:rPr>
        <w:t>une attention particulière</w:t>
      </w:r>
      <w:r w:rsidRPr="00DA0977">
        <w:rPr>
          <w:rFonts w:cs="Times New Roman"/>
        </w:rPr>
        <w:t>” (</w:t>
      </w:r>
      <w:r w:rsidRPr="00DA0977">
        <w:rPr>
          <w:rFonts w:cs="Times New Roman"/>
          <w:i/>
        </w:rPr>
        <w:t>Friesen</w:t>
      </w:r>
      <w:r w:rsidRPr="00DA0977">
        <w:rPr>
          <w:rFonts w:cs="Times New Roman"/>
        </w:rPr>
        <w:t xml:space="preserve">, at para. 101; </w:t>
      </w:r>
      <w:r w:rsidRPr="00DA0977">
        <w:rPr>
          <w:rFonts w:cs="Times New Roman"/>
          <w:i/>
        </w:rPr>
        <w:t>Criminal Code</w:t>
      </w:r>
      <w:r w:rsidRPr="00DA0977">
        <w:rPr>
          <w:rFonts w:cs="Times New Roman"/>
        </w:rPr>
        <w:t>, s. 718.01). Section 718.01’s open textured language limits judicial discretion by giving priority to these objectives, but their primary importance does not exclude consideration of other sentencing objectives, including rehabilitation (</w:t>
      </w:r>
      <w:r w:rsidRPr="00DA0977">
        <w:rPr>
          <w:rFonts w:cs="Times New Roman"/>
          <w:i/>
        </w:rPr>
        <w:t>Rayo</w:t>
      </w:r>
      <w:r w:rsidRPr="00DA0977">
        <w:rPr>
          <w:rFonts w:cs="Times New Roman"/>
        </w:rPr>
        <w:t>, at paras. 102-8). The judge can accord significant weight to other factors, but cannot give them precedence or equivalency (</w:t>
      </w:r>
      <w:r w:rsidRPr="00DA0977">
        <w:rPr>
          <w:rFonts w:cs="Times New Roman"/>
          <w:i/>
        </w:rPr>
        <w:t>Friesen</w:t>
      </w:r>
      <w:r w:rsidRPr="00DA0977">
        <w:rPr>
          <w:rFonts w:cs="Times New Roman"/>
        </w:rPr>
        <w:t>,</w:t>
      </w:r>
      <w:r w:rsidRPr="00DA0977">
        <w:rPr>
          <w:rFonts w:cs="Times New Roman"/>
          <w:i/>
        </w:rPr>
        <w:t xml:space="preserve"> </w:t>
      </w:r>
      <w:r w:rsidRPr="00DA0977">
        <w:rPr>
          <w:rFonts w:cs="Times New Roman"/>
        </w:rPr>
        <w:t xml:space="preserve">at para. 104, citing </w:t>
      </w:r>
      <w:r w:rsidRPr="00DA0977">
        <w:rPr>
          <w:rFonts w:cs="Times New Roman"/>
          <w:i/>
        </w:rPr>
        <w:t>Rayo</w:t>
      </w:r>
      <w:r w:rsidRPr="00DA0977">
        <w:rPr>
          <w:rFonts w:cs="Times New Roman"/>
        </w:rPr>
        <w:t xml:space="preserve">, at </w:t>
      </w:r>
      <w:r w:rsidRPr="00DA0977">
        <w:rPr>
          <w:rFonts w:cs="Times New Roman"/>
        </w:rPr>
        <w:lastRenderedPageBreak/>
        <w:t xml:space="preserve">paras. 103 and 107-8; see also </w:t>
      </w:r>
      <w:r w:rsidRPr="00DA0977">
        <w:rPr>
          <w:rFonts w:cs="Times New Roman"/>
          <w:i/>
        </w:rPr>
        <w:t>R. v. J. (T.)</w:t>
      </w:r>
      <w:r w:rsidRPr="00DA0977">
        <w:rPr>
          <w:rFonts w:cs="Times New Roman"/>
        </w:rPr>
        <w:t xml:space="preserve">, 2021 ONCA 392, 156 O.R. (3d) 161, at para. 27). </w:t>
      </w:r>
    </w:p>
    <w:p w14:paraId="5E96046D"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szCs w:val="24"/>
        </w:rPr>
        <w:t xml:space="preserve">In </w:t>
      </w:r>
      <w:r w:rsidRPr="00DA0977">
        <w:rPr>
          <w:rFonts w:cs="Times New Roman"/>
          <w:i/>
          <w:szCs w:val="24"/>
        </w:rPr>
        <w:t>Friesen</w:t>
      </w:r>
      <w:r w:rsidRPr="00DA0977">
        <w:rPr>
          <w:rFonts w:cs="Times New Roman"/>
          <w:szCs w:val="24"/>
        </w:rPr>
        <w:t>,</w:t>
      </w:r>
      <w:r w:rsidRPr="00DA0977">
        <w:rPr>
          <w:rFonts w:cs="Times New Roman"/>
          <w:i/>
          <w:szCs w:val="24"/>
        </w:rPr>
        <w:t xml:space="preserve"> </w:t>
      </w:r>
      <w:r w:rsidRPr="00DA0977">
        <w:rPr>
          <w:rFonts w:cs="Times New Roman"/>
          <w:szCs w:val="24"/>
        </w:rPr>
        <w:t>the offender</w:t>
      </w:r>
      <w:r w:rsidRPr="00DA0977">
        <w:rPr>
          <w:rFonts w:cs="Times New Roman"/>
          <w:i/>
          <w:szCs w:val="24"/>
        </w:rPr>
        <w:t xml:space="preserve"> </w:t>
      </w:r>
      <w:r w:rsidRPr="00DA0977">
        <w:rPr>
          <w:rFonts w:cs="Times New Roman"/>
        </w:rPr>
        <w:t>was sentenced for sexual interference with a four</w:t>
      </w:r>
      <w:r w:rsidRPr="00DA0977">
        <w:rPr>
          <w:rFonts w:cs="Times New Roman"/>
        </w:rPr>
        <w:noBreakHyphen/>
        <w:t>year</w:t>
      </w:r>
      <w:r w:rsidRPr="00DA0977">
        <w:rPr>
          <w:rFonts w:cs="Times New Roman"/>
        </w:rPr>
        <w:noBreakHyphen/>
        <w:t xml:space="preserve">old child and the subsequent extortion of the child’s mother. The Court noted expressly that, given these facts, its primary focus was to provide direction on how to impose fit and proportionate sentences for sexual interference “and closely related offences”, like sexual assault and incest (para. 44). </w:t>
      </w:r>
    </w:p>
    <w:p w14:paraId="3C34A742"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i/>
        </w:rPr>
        <w:t>Friesen</w:t>
      </w:r>
      <w:r w:rsidRPr="00DA0977">
        <w:rPr>
          <w:rFonts w:cs="Times New Roman"/>
        </w:rPr>
        <w:t xml:space="preserve"> recognized that the focus of the legislative scheme of sexual offences against children has shifted to protect a child’s personal autonomy, bodily integrity, sexual integrity, dignity and equality (paras. 51 and 55, citing E. Craig, </w:t>
      </w:r>
      <w:r w:rsidRPr="00DA0977">
        <w:rPr>
          <w:rFonts w:cs="Times New Roman"/>
          <w:i/>
          <w:iCs/>
        </w:rPr>
        <w:t xml:space="preserve">Troubling Sex: Towards a Legal Theory of Sexual Integrity </w:t>
      </w:r>
      <w:r w:rsidRPr="00DA0977">
        <w:rPr>
          <w:rFonts w:cs="Times New Roman"/>
        </w:rPr>
        <w:t xml:space="preserve">(2012), at p. 68; see also </w:t>
      </w:r>
      <w:r w:rsidRPr="00DA0977">
        <w:rPr>
          <w:rFonts w:cs="Times New Roman"/>
          <w:i/>
        </w:rPr>
        <w:t>R. v. Sharpe</w:t>
      </w:r>
      <w:r w:rsidRPr="00DA0977">
        <w:rPr>
          <w:rFonts w:cs="Times New Roman"/>
        </w:rPr>
        <w:t>, 2001 SCC 2, [2001] 1 S.C.R. 45, at paras. 172, 174 and 185, per L’Heureux-Dubé, Gonthier and Bastarache JJ.). The Court outlined how sexual offences against children produce profound physical and psychological harms to the most vulnerable members of our society. It was deeply concerned with how the sexual assault of children may produce shame, embarrassment, unresolved anger, a reduced ability to trust and fear that other people would also abuse them (</w:t>
      </w:r>
      <w:r w:rsidRPr="00DA0977">
        <w:rPr>
          <w:rFonts w:cs="Times New Roman"/>
          <w:i/>
        </w:rPr>
        <w:t>Friesen</w:t>
      </w:r>
      <w:r w:rsidRPr="00DA0977">
        <w:rPr>
          <w:rFonts w:cs="Times New Roman"/>
        </w:rPr>
        <w:t>, at para. 57). It set out the disproportionate impact of violence on girls, women, Indigenous persons and other vulnerable groups.</w:t>
      </w:r>
      <w:r w:rsidRPr="00DA0977">
        <w:rPr>
          <w:rFonts w:cs="Times New Roman"/>
          <w:szCs w:val="24"/>
        </w:rPr>
        <w:t xml:space="preserve"> </w:t>
      </w:r>
    </w:p>
    <w:p w14:paraId="4B016AC3"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i/>
          <w:szCs w:val="24"/>
          <w:lang w:val="en-US"/>
        </w:rPr>
        <w:t xml:space="preserve">Friesen </w:t>
      </w:r>
      <w:r w:rsidRPr="00DA0977">
        <w:rPr>
          <w:rFonts w:cs="Times New Roman"/>
          <w:szCs w:val="24"/>
          <w:lang w:val="en-US"/>
        </w:rPr>
        <w:t>sends the clear message that s</w:t>
      </w:r>
      <w:r w:rsidRPr="00DA0977">
        <w:rPr>
          <w:rFonts w:cs="Times New Roman"/>
          <w:szCs w:val="24"/>
        </w:rPr>
        <w:t xml:space="preserve">entences for these crimes must account for the far-reaching and ongoing damage sexual violence causes to children, </w:t>
      </w:r>
      <w:r w:rsidRPr="00DA0977">
        <w:rPr>
          <w:rFonts w:cs="Times New Roman"/>
          <w:szCs w:val="24"/>
        </w:rPr>
        <w:lastRenderedPageBreak/>
        <w:t xml:space="preserve">families and society at large, which may take many years to manifest. </w:t>
      </w:r>
      <w:r w:rsidRPr="00DA0977">
        <w:rPr>
          <w:rFonts w:cs="Times New Roman"/>
        </w:rPr>
        <w:t xml:space="preserve">Consequently, sentences for offences involving sexual violence against children must generally increase to reflect society’s modern understanding of such offences and Parliament’s choice to increase the sentences associated with these crimes (paras. 3-5). </w:t>
      </w:r>
    </w:p>
    <w:p w14:paraId="1069A83D"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i/>
        </w:rPr>
        <w:t>Friesen</w:t>
      </w:r>
      <w:r w:rsidRPr="00DA0977">
        <w:rPr>
          <w:rFonts w:cs="Times New Roman"/>
        </w:rPr>
        <w:t xml:space="preserve"> sets out a useful method of analysis which places children, and the harm they suffer, at the centre of the discussion. Its</w:t>
      </w:r>
      <w:r w:rsidRPr="00DA0977">
        <w:rPr>
          <w:rFonts w:cs="Times New Roman"/>
          <w:i/>
        </w:rPr>
        <w:t xml:space="preserve"> </w:t>
      </w:r>
      <w:r w:rsidRPr="00DA0977">
        <w:rPr>
          <w:rFonts w:cs="Times New Roman"/>
        </w:rPr>
        <w:t>message</w:t>
      </w:r>
      <w:r w:rsidRPr="00DA0977">
        <w:rPr>
          <w:rFonts w:cs="Times New Roman"/>
          <w:i/>
        </w:rPr>
        <w:t xml:space="preserve"> </w:t>
      </w:r>
      <w:r w:rsidRPr="00DA0977">
        <w:rPr>
          <w:rFonts w:cs="Times New Roman"/>
        </w:rPr>
        <w:t>is not limited to offences which include physical contact. Instead, its general framework and lessons can be applied to sentencing other forms of sexual abuse of children. Indeed, its sentencing principles “also have relevance to sentencing for other sexual offences against children, such as child luring” (para. 44; see also paras. 46-47).</w:t>
      </w:r>
    </w:p>
    <w:p w14:paraId="4067E721"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In applying </w:t>
      </w:r>
      <w:r w:rsidRPr="00DA0977">
        <w:rPr>
          <w:rFonts w:cs="Times New Roman"/>
          <w:i/>
        </w:rPr>
        <w:t>Friesen</w:t>
      </w:r>
      <w:r w:rsidRPr="00DA0977">
        <w:rPr>
          <w:rFonts w:cs="Times New Roman"/>
        </w:rPr>
        <w:t>’s principles to the offence of child luring, I explore its inherent wrongfulness and distinct harms and the legislative trend towards increasingly punitive sentences.</w:t>
      </w:r>
      <w:bookmarkStart w:id="52" w:name="_Toc135041570"/>
      <w:bookmarkStart w:id="53" w:name="_Toc135322925"/>
      <w:bookmarkStart w:id="54" w:name="_Toc133598015"/>
    </w:p>
    <w:p w14:paraId="6D1AB4F4" w14:textId="77777777" w:rsidR="00DA0977" w:rsidRPr="00DA0977" w:rsidRDefault="00DA0977" w:rsidP="00DA0977">
      <w:pPr>
        <w:pStyle w:val="Title3LevelTitre3Niveau"/>
        <w:numPr>
          <w:ilvl w:val="2"/>
          <w:numId w:val="29"/>
        </w:numPr>
        <w:rPr>
          <w:rFonts w:cs="Times New Roman"/>
        </w:rPr>
      </w:pPr>
      <w:bookmarkStart w:id="55" w:name="_Toc137199860"/>
      <w:bookmarkStart w:id="56" w:name="_Toc140673975"/>
      <w:bookmarkStart w:id="57" w:name="_Toc141096920"/>
      <w:bookmarkStart w:id="58" w:name="_Toc141694540"/>
      <w:bookmarkStart w:id="59" w:name="_Toc146612946"/>
      <w:r w:rsidRPr="00DA0977">
        <w:rPr>
          <w:rFonts w:cs="Times New Roman"/>
        </w:rPr>
        <w:t>The Wrongfulness of Luring</w:t>
      </w:r>
      <w:bookmarkEnd w:id="52"/>
      <w:bookmarkEnd w:id="53"/>
      <w:bookmarkEnd w:id="55"/>
      <w:bookmarkEnd w:id="56"/>
      <w:bookmarkEnd w:id="57"/>
      <w:bookmarkEnd w:id="58"/>
      <w:bookmarkEnd w:id="59"/>
      <w:r w:rsidRPr="00DA0977">
        <w:rPr>
          <w:rFonts w:cs="Times New Roman"/>
        </w:rPr>
        <w:t xml:space="preserve"> </w:t>
      </w:r>
    </w:p>
    <w:p w14:paraId="349CD7EC"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Sexual offences against children are crimes that wrongfully exploit children’s vulnerability (</w:t>
      </w:r>
      <w:r w:rsidRPr="00DA0977">
        <w:rPr>
          <w:rFonts w:cs="Times New Roman"/>
          <w:i/>
        </w:rPr>
        <w:t>Friesen</w:t>
      </w:r>
      <w:r w:rsidRPr="00DA0977">
        <w:rPr>
          <w:rFonts w:cs="Times New Roman"/>
        </w:rPr>
        <w:t xml:space="preserve">, at para. 5). In committing the offence of luring, the adult takes advantage of the child’s weaker position and lack of experience and by doing so repudiates the fundamental value of protecting children (para. 65; </w:t>
      </w:r>
      <w:r w:rsidRPr="00DA0977">
        <w:rPr>
          <w:rFonts w:cs="Times New Roman"/>
          <w:i/>
          <w:iCs/>
        </w:rPr>
        <w:t>R. v. Melrose</w:t>
      </w:r>
      <w:r w:rsidRPr="00DA0977">
        <w:rPr>
          <w:rFonts w:cs="Times New Roman"/>
        </w:rPr>
        <w:t xml:space="preserve">, 2021 ABQB 73, [2021] 8 W.W.R. 467, at para. 54). Children are particularly exposed and helpless online: the internet allows offenders direct, sometimes </w:t>
      </w:r>
      <w:r w:rsidRPr="00DA0977">
        <w:rPr>
          <w:rFonts w:cs="Times New Roman"/>
        </w:rPr>
        <w:lastRenderedPageBreak/>
        <w:t>anonymous, and often secret or unsupervised access to children, frequently in the privacy and safety of their own homes (</w:t>
      </w:r>
      <w:r w:rsidRPr="00DA0977">
        <w:rPr>
          <w:rFonts w:cs="Times New Roman"/>
          <w:i/>
          <w:iCs/>
        </w:rPr>
        <w:t>R. v. Folino</w:t>
      </w:r>
      <w:r w:rsidRPr="00DA0977">
        <w:rPr>
          <w:rFonts w:cs="Times New Roman"/>
        </w:rPr>
        <w:t xml:space="preserve"> (2005), 77 O.R. (3d) 641 (C.A.), at para. 25; </w:t>
      </w:r>
      <w:r w:rsidRPr="00DA0977">
        <w:rPr>
          <w:rFonts w:cs="Times New Roman"/>
          <w:i/>
          <w:iCs/>
        </w:rPr>
        <w:t>R. v. Symes</w:t>
      </w:r>
      <w:r w:rsidRPr="00DA0977">
        <w:rPr>
          <w:rFonts w:cs="Times New Roman"/>
        </w:rPr>
        <w:t xml:space="preserve">, [2005] O.J. No. 6041 (QL), at para. 29; </w:t>
      </w:r>
      <w:r w:rsidRPr="00DA0977">
        <w:rPr>
          <w:rFonts w:cs="Times New Roman"/>
          <w:i/>
          <w:iCs/>
        </w:rPr>
        <w:t>R. v. Paradee</w:t>
      </w:r>
      <w:r w:rsidRPr="00DA0977">
        <w:rPr>
          <w:rFonts w:cs="Times New Roman"/>
        </w:rPr>
        <w:t xml:space="preserve">, 2013 ABCA 41, 542 A.R. 222, at para. 12; </w:t>
      </w:r>
      <w:r w:rsidRPr="00DA0977">
        <w:rPr>
          <w:rFonts w:cs="Times New Roman"/>
          <w:i/>
          <w:iCs/>
        </w:rPr>
        <w:t>R. v. Hajar</w:t>
      </w:r>
      <w:r w:rsidRPr="00DA0977">
        <w:rPr>
          <w:rFonts w:cs="Times New Roman"/>
        </w:rPr>
        <w:t>, 2016 ABCA 222, [2016] 12 W.W.R. 435, at paras. 279-80). In these online fora, there is often very little that can be done to shield children from the inherent power imbalance present in luring (</w:t>
      </w:r>
      <w:r w:rsidRPr="00DA0977">
        <w:rPr>
          <w:rFonts w:cs="Times New Roman"/>
          <w:i/>
          <w:iCs/>
        </w:rPr>
        <w:t>R. v. Sutherland</w:t>
      </w:r>
      <w:r w:rsidRPr="00DA0977">
        <w:rPr>
          <w:rFonts w:cs="Times New Roman"/>
        </w:rPr>
        <w:t xml:space="preserve">, 2019 NWTSC 48, [2020] 3 W.W.R. 771, at para. 50; </w:t>
      </w:r>
      <w:r w:rsidRPr="00DA0977">
        <w:rPr>
          <w:rFonts w:cs="Times New Roman"/>
          <w:i/>
          <w:iCs/>
        </w:rPr>
        <w:t>Hajar</w:t>
      </w:r>
      <w:r w:rsidRPr="00DA0977">
        <w:rPr>
          <w:rFonts w:cs="Times New Roman"/>
        </w:rPr>
        <w:t>, at para. 279). Luring wrongfully takes advantage of this unsupervised access to children and “wrongfully exploits children’s vulnerabilities” (</w:t>
      </w:r>
      <w:r w:rsidRPr="00DA0977">
        <w:rPr>
          <w:rFonts w:cs="Times New Roman"/>
          <w:i/>
        </w:rPr>
        <w:t>R. v. Wall</w:t>
      </w:r>
      <w:r w:rsidRPr="00DA0977">
        <w:rPr>
          <w:rFonts w:cs="Times New Roman"/>
        </w:rPr>
        <w:t xml:space="preserve">, 2023 ABPC 3, at para. 42 (CanLII)). </w:t>
      </w:r>
    </w:p>
    <w:p w14:paraId="00144624"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The sexualization of children is itself morally blameworthy conduct. Luring invades a child’s personal autonomy, sexual integrity, and gravely wounds their dignity (</w:t>
      </w:r>
      <w:r w:rsidRPr="00DA0977">
        <w:rPr>
          <w:rFonts w:cs="Times New Roman"/>
          <w:i/>
        </w:rPr>
        <w:t>Friesen</w:t>
      </w:r>
      <w:r w:rsidRPr="00DA0977">
        <w:rPr>
          <w:rFonts w:cs="Times New Roman"/>
        </w:rPr>
        <w:t>, at</w:t>
      </w:r>
      <w:r w:rsidRPr="00DA0977">
        <w:rPr>
          <w:rFonts w:cs="Times New Roman"/>
          <w:i/>
        </w:rPr>
        <w:t xml:space="preserve"> </w:t>
      </w:r>
      <w:r w:rsidRPr="00DA0977">
        <w:rPr>
          <w:rFonts w:cs="Times New Roman"/>
        </w:rPr>
        <w:t>para. 51). Using any person as a means to an end is unethical, but an adult’s manipulation of a child to satisfy their sexual urges is highly blameworthy conduct. It is for these reasons that luring is recognized as “manifestly harmful and wrongful” (</w:t>
      </w:r>
      <w:r w:rsidRPr="00DA0977">
        <w:rPr>
          <w:rFonts w:cs="Times New Roman"/>
          <w:i/>
        </w:rPr>
        <w:t>R. v. Misay</w:t>
      </w:r>
      <w:r w:rsidRPr="00DA0977">
        <w:rPr>
          <w:rFonts w:cs="Times New Roman"/>
        </w:rPr>
        <w:t>, 2021 ABQB 485, [2022] 1 W.W.R. 145, at para. 52). Even when the only interactions with the child occur online, the offender’s conduct is inherently wrong because it still constitutes a form of sexual abuse (</w:t>
      </w:r>
      <w:r w:rsidRPr="00DA0977">
        <w:rPr>
          <w:rFonts w:cs="Times New Roman"/>
          <w:i/>
          <w:iCs/>
        </w:rPr>
        <w:t>R. v. R.S.F.</w:t>
      </w:r>
      <w:r w:rsidRPr="00DA0977">
        <w:rPr>
          <w:rFonts w:cs="Times New Roman"/>
        </w:rPr>
        <w:t>, 2021 MBQB 261, at para. 91 (CanLII)). While the degree of exploitation may vary from case to case, the wrongfulness of the exploitation of children is always relevant to the gravity of the offence (</w:t>
      </w:r>
      <w:r w:rsidRPr="00DA0977">
        <w:rPr>
          <w:rFonts w:cs="Times New Roman"/>
          <w:i/>
        </w:rPr>
        <w:t>Friesen</w:t>
      </w:r>
      <w:r w:rsidRPr="00DA0977">
        <w:rPr>
          <w:rFonts w:cs="Times New Roman"/>
        </w:rPr>
        <w:t>, at para. 78).</w:t>
      </w:r>
    </w:p>
    <w:p w14:paraId="24D3788B" w14:textId="77777777" w:rsidR="00DA0977" w:rsidRPr="00DA0977" w:rsidRDefault="00DA0977" w:rsidP="00DA0977">
      <w:pPr>
        <w:pStyle w:val="Title3LevelTitre3Niveau"/>
        <w:numPr>
          <w:ilvl w:val="2"/>
          <w:numId w:val="29"/>
        </w:numPr>
        <w:rPr>
          <w:rFonts w:cs="Times New Roman"/>
        </w:rPr>
      </w:pPr>
      <w:bookmarkStart w:id="60" w:name="_Toc135041571"/>
      <w:bookmarkStart w:id="61" w:name="_Toc135322926"/>
      <w:bookmarkStart w:id="62" w:name="_Toc137199861"/>
      <w:bookmarkStart w:id="63" w:name="_Toc140673976"/>
      <w:bookmarkStart w:id="64" w:name="_Toc141096921"/>
      <w:bookmarkStart w:id="65" w:name="_Toc141694541"/>
      <w:bookmarkStart w:id="66" w:name="_Toc146612947"/>
      <w:r w:rsidRPr="00DA0977">
        <w:rPr>
          <w:rFonts w:cs="Times New Roman"/>
        </w:rPr>
        <w:t>The Separate Harm of Luring</w:t>
      </w:r>
      <w:bookmarkEnd w:id="60"/>
      <w:bookmarkEnd w:id="61"/>
      <w:bookmarkEnd w:id="62"/>
      <w:bookmarkEnd w:id="63"/>
      <w:bookmarkEnd w:id="64"/>
      <w:bookmarkEnd w:id="65"/>
      <w:bookmarkEnd w:id="66"/>
    </w:p>
    <w:p w14:paraId="5FC43F71"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szCs w:val="24"/>
        </w:rPr>
        <w:lastRenderedPageBreak/>
        <w:t>It is now well established that sexual offences against children cause significant harm. The adverse impacts of sexual violence against children hinder normal social growth, and can cause several lasting psychosocial problems. When</w:t>
      </w:r>
      <w:r w:rsidRPr="00DA0977">
        <w:rPr>
          <w:rFonts w:cs="Times New Roman"/>
        </w:rPr>
        <w:t xml:space="preserve"> children are young, inexperienced and still developing, the harms caused by even a single instance of sexual violence can permanently alter the course of their lives. </w:t>
      </w:r>
      <w:r w:rsidRPr="00DA0977">
        <w:rPr>
          <w:rFonts w:cs="Times New Roman"/>
          <w:szCs w:val="24"/>
        </w:rPr>
        <w:t>Many survivors carry childhood sexual abuse with them throughout their adulthood, and it can permeate every aspect of their lives.</w:t>
      </w:r>
    </w:p>
    <w:p w14:paraId="06C2BC74"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This Court has noted that “[e]ven in child luring cases where all interactions occur online, the offender’s conduct can constitute a form of psychological sexual violence that has the potential to cause serious harm” (</w:t>
      </w:r>
      <w:r w:rsidRPr="00DA0977">
        <w:rPr>
          <w:rFonts w:cs="Times New Roman"/>
          <w:i/>
        </w:rPr>
        <w:t>Friesen</w:t>
      </w:r>
      <w:r w:rsidRPr="00DA0977">
        <w:rPr>
          <w:rFonts w:cs="Times New Roman"/>
        </w:rPr>
        <w:t>,</w:t>
      </w:r>
      <w:r w:rsidRPr="00DA0977">
        <w:rPr>
          <w:rFonts w:cs="Times New Roman"/>
          <w:i/>
        </w:rPr>
        <w:t xml:space="preserve"> </w:t>
      </w:r>
      <w:r w:rsidRPr="00DA0977">
        <w:rPr>
          <w:rFonts w:cs="Times New Roman"/>
        </w:rPr>
        <w:t xml:space="preserve">at para. 82, citing </w:t>
      </w:r>
      <w:r w:rsidRPr="00DA0977">
        <w:rPr>
          <w:rFonts w:cs="Times New Roman"/>
          <w:i/>
        </w:rPr>
        <w:t>R. v. Rafiq</w:t>
      </w:r>
      <w:r w:rsidRPr="00DA0977">
        <w:rPr>
          <w:rFonts w:cs="Times New Roman"/>
        </w:rPr>
        <w:t xml:space="preserve">, </w:t>
      </w:r>
      <w:r w:rsidRPr="00DA0977">
        <w:rPr>
          <w:rFonts w:cs="Times New Roman"/>
          <w:szCs w:val="24"/>
        </w:rPr>
        <w:t>2015 ONCA 768, 342 O.A.C. 193</w:t>
      </w:r>
      <w:r w:rsidRPr="00DA0977">
        <w:rPr>
          <w:rFonts w:cs="Times New Roman"/>
        </w:rPr>
        <w:t>). With sexual abuse comes serious emotional and psychological harm that “may often be more pervasive and permanent in its effect than any physical harm” (</w:t>
      </w:r>
      <w:r w:rsidRPr="00DA0977">
        <w:rPr>
          <w:rFonts w:cs="Times New Roman"/>
          <w:i/>
        </w:rPr>
        <w:t>Friesen</w:t>
      </w:r>
      <w:r w:rsidRPr="00DA0977">
        <w:rPr>
          <w:rFonts w:cs="Times New Roman"/>
        </w:rPr>
        <w:t>,</w:t>
      </w:r>
      <w:r w:rsidRPr="00DA0977">
        <w:rPr>
          <w:rFonts w:cs="Times New Roman"/>
          <w:i/>
        </w:rPr>
        <w:t xml:space="preserve"> </w:t>
      </w:r>
      <w:r w:rsidRPr="00DA0977">
        <w:rPr>
          <w:rFonts w:cs="Times New Roman"/>
        </w:rPr>
        <w:t xml:space="preserve">at para. 56, citing </w:t>
      </w:r>
      <w:r w:rsidRPr="00DA0977">
        <w:rPr>
          <w:rFonts w:cs="Times New Roman"/>
          <w:i/>
        </w:rPr>
        <w:t>R. v. McCraw</w:t>
      </w:r>
      <w:r w:rsidRPr="00DA0977">
        <w:rPr>
          <w:rFonts w:cs="Times New Roman"/>
        </w:rPr>
        <w:t xml:space="preserve">, [1991] 3 S.C.R. 72, at p. 81). Victims of luring often suffer a range of negative impacts including negative sexual development, subsequent substance misuse and depressive symptomology </w:t>
      </w:r>
      <w:r w:rsidRPr="00DA0977">
        <w:rPr>
          <w:rFonts w:cs="Times New Roman"/>
          <w:szCs w:val="24"/>
        </w:rPr>
        <w:t xml:space="preserve">(G. N. Say et al., “Abuse Characteristics and Psychiatric Consequences Associated with Online Sexual Abuse” (2015), 18 </w:t>
      </w:r>
      <w:r w:rsidRPr="00DA0977">
        <w:rPr>
          <w:rFonts w:cs="Times New Roman"/>
          <w:i/>
          <w:szCs w:val="24"/>
        </w:rPr>
        <w:t>Cyberpsychol., Behav., and Soc. Netw.</w:t>
      </w:r>
      <w:r w:rsidRPr="00DA0977">
        <w:rPr>
          <w:rFonts w:cs="Times New Roman"/>
          <w:szCs w:val="24"/>
        </w:rPr>
        <w:t xml:space="preserve"> 333). </w:t>
      </w:r>
    </w:p>
    <w:p w14:paraId="77C45EEA"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Child luring can also cause distinct psychological and developmental harms to young victims that differ in two main ways from harms arising from sexual contact initiated in person. First, o</w:t>
      </w:r>
      <w:r w:rsidRPr="00DA0977">
        <w:rPr>
          <w:rFonts w:cs="Times New Roman"/>
          <w:szCs w:val="24"/>
        </w:rPr>
        <w:t xml:space="preserve">nline communication allows “for abusers to get into </w:t>
      </w:r>
      <w:r w:rsidRPr="00DA0977">
        <w:rPr>
          <w:rFonts w:cs="Times New Roman"/>
          <w:szCs w:val="24"/>
        </w:rPr>
        <w:lastRenderedPageBreak/>
        <w:t>the victim’s head and abuse remotely” and for “manipulation and control over time” which can lead to serious and lasting psychological consequences (</w:t>
      </w:r>
      <w:r w:rsidRPr="00DA0977">
        <w:rPr>
          <w:rFonts w:cs="Times New Roman"/>
          <w:i/>
          <w:szCs w:val="24"/>
        </w:rPr>
        <w:t>Rafiq</w:t>
      </w:r>
      <w:r w:rsidRPr="00DA0977">
        <w:rPr>
          <w:rFonts w:cs="Times New Roman"/>
          <w:szCs w:val="24"/>
        </w:rPr>
        <w:t>, at para. 44).</w:t>
      </w:r>
      <w:r w:rsidRPr="00DA0977">
        <w:rPr>
          <w:rFonts w:cs="Times New Roman"/>
        </w:rPr>
        <w:t xml:space="preserve"> </w:t>
      </w:r>
      <w:r w:rsidRPr="00DA0977">
        <w:rPr>
          <w:rFonts w:cs="Times New Roman"/>
          <w:szCs w:val="24"/>
        </w:rPr>
        <w:t xml:space="preserve">Because the communications in luring often intentionally emulate positive relationships, it can be difficult for victims to trust anyone intimately following this experience (E. Hanson, “The Impact of Online Sexual Abuse on Children and Young People”, in J. Brown, ed., </w:t>
      </w:r>
      <w:r w:rsidRPr="00DA0977">
        <w:rPr>
          <w:rFonts w:cs="Times New Roman"/>
          <w:i/>
          <w:szCs w:val="24"/>
        </w:rPr>
        <w:t>Online Risk to Children: Impact, Protection and Prevention</w:t>
      </w:r>
      <w:r w:rsidRPr="00DA0977">
        <w:rPr>
          <w:rFonts w:cs="Times New Roman"/>
          <w:szCs w:val="24"/>
        </w:rPr>
        <w:t xml:space="preserve"> (1st ed. 2017), 97, at p. 115).</w:t>
      </w:r>
    </w:p>
    <w:p w14:paraId="437A40BA"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szCs w:val="24"/>
        </w:rPr>
        <w:t xml:space="preserve">Second, since offenders cannot physically touch their victims when communicating with them online, their power and the effectiveness of their strategies often lie in the degree to which they can control the victim and manipulate them into engaging with the abuse. </w:t>
      </w:r>
      <w:r w:rsidRPr="00DA0977">
        <w:rPr>
          <w:rFonts w:cs="Times New Roman"/>
        </w:rPr>
        <w:t xml:space="preserve">Victims of luring often feel that they actively participated in their own abuse, which may increase self-blame, internalization and shame. This worsens the psychological harm (J. Steel et al., “Psychological sequelae of childhood sexual abuse: abuse-related characteristics, coping strategies, and attributional style” (2004), 28 </w:t>
      </w:r>
      <w:r w:rsidRPr="00DA0977">
        <w:rPr>
          <w:rFonts w:cs="Times New Roman"/>
          <w:i/>
        </w:rPr>
        <w:t xml:space="preserve">Child Abuse &amp; Negl. </w:t>
      </w:r>
      <w:r w:rsidRPr="00DA0977">
        <w:rPr>
          <w:rFonts w:cs="Times New Roman"/>
        </w:rPr>
        <w:t xml:space="preserve">785, at pp. 795-96; P. Gilbert, “What Is Shame? Some Core Issues and Controversies”, in P. Gilbert and B. Andrews, eds., </w:t>
      </w:r>
      <w:r w:rsidRPr="00DA0977">
        <w:rPr>
          <w:rFonts w:cs="Times New Roman"/>
          <w:i/>
        </w:rPr>
        <w:t xml:space="preserve">Shame: Interpersonal Behavior, Psychopathology and Culture </w:t>
      </w:r>
      <w:r w:rsidRPr="00DA0977">
        <w:rPr>
          <w:rFonts w:cs="Times New Roman"/>
        </w:rPr>
        <w:t xml:space="preserve">(1998), 3, at p. 27). </w:t>
      </w:r>
    </w:p>
    <w:p w14:paraId="4411F404" w14:textId="77777777" w:rsidR="00DA0977" w:rsidRPr="00DA0977" w:rsidRDefault="00DA0977" w:rsidP="00DA0977">
      <w:pPr>
        <w:pStyle w:val="ParaNoNdepar-AltN"/>
        <w:tabs>
          <w:tab w:val="clear" w:pos="7107"/>
          <w:tab w:val="num" w:pos="1152"/>
        </w:tabs>
        <w:ind w:left="0"/>
        <w:rPr>
          <w:rFonts w:cs="Times New Roman"/>
          <w:szCs w:val="24"/>
        </w:rPr>
      </w:pPr>
      <w:r w:rsidRPr="00DA0977">
        <w:rPr>
          <w:rFonts w:cs="Times New Roman"/>
          <w:szCs w:val="24"/>
        </w:rPr>
        <w:t xml:space="preserve">Prior jurisprudence has shed light on this distinct harm. In </w:t>
      </w:r>
      <w:r w:rsidRPr="00DA0977">
        <w:rPr>
          <w:rFonts w:cs="Times New Roman"/>
          <w:i/>
          <w:szCs w:val="24"/>
        </w:rPr>
        <w:t>R. v. J.R.</w:t>
      </w:r>
      <w:r w:rsidRPr="00DA0977">
        <w:rPr>
          <w:rFonts w:cs="Times New Roman"/>
          <w:szCs w:val="24"/>
        </w:rPr>
        <w:t xml:space="preserve">, 2021 ONCJ 14, at para. 16 (CanLII), the victim described the confusion, shame and emotional harm that accompanied the luring and extortion she faced. In </w:t>
      </w:r>
      <w:r w:rsidRPr="00DA0977">
        <w:rPr>
          <w:rFonts w:cs="Times New Roman"/>
          <w:i/>
          <w:szCs w:val="24"/>
        </w:rPr>
        <w:t>Rayo</w:t>
      </w:r>
      <w:r w:rsidRPr="00DA0977">
        <w:rPr>
          <w:rFonts w:cs="Times New Roman"/>
          <w:szCs w:val="24"/>
        </w:rPr>
        <w:t xml:space="preserve">, the victim experienced feelings of guilt, shame and anxiety, and reported that </w:t>
      </w:r>
      <w:r w:rsidRPr="00DA0977">
        <w:rPr>
          <w:rFonts w:cs="Times New Roman"/>
        </w:rPr>
        <w:lastRenderedPageBreak/>
        <w:t>[</w:t>
      </w:r>
      <w:r w:rsidRPr="00DA0977">
        <w:rPr>
          <w:rFonts w:cs="Times New Roman"/>
          <w:smallCaps/>
        </w:rPr>
        <w:t>translation</w:t>
      </w:r>
      <w:r w:rsidRPr="00DA0977">
        <w:rPr>
          <w:rFonts w:cs="Times New Roman"/>
        </w:rPr>
        <w:t xml:space="preserve">] </w:t>
      </w:r>
      <w:r w:rsidRPr="00DA0977">
        <w:rPr>
          <w:rFonts w:cs="Times New Roman"/>
          <w:szCs w:val="24"/>
        </w:rPr>
        <w:t>“she had lost confidence in herself and that the events had led her to self-mutilation and suicidal thoughts” (para. 174).</w:t>
      </w:r>
      <w:r w:rsidRPr="00DA0977">
        <w:rPr>
          <w:rFonts w:cs="Times New Roman"/>
          <w:szCs w:val="24"/>
          <w:lang w:val="en-US"/>
        </w:rPr>
        <w:t xml:space="preserve"> In </w:t>
      </w:r>
      <w:r w:rsidRPr="00DA0977">
        <w:rPr>
          <w:rFonts w:cs="Times New Roman"/>
          <w:i/>
          <w:szCs w:val="24"/>
          <w:lang w:val="en-US"/>
        </w:rPr>
        <w:t>R. v. Roy</w:t>
      </w:r>
      <w:r w:rsidRPr="00DA0977">
        <w:rPr>
          <w:rFonts w:cs="Times New Roman"/>
          <w:szCs w:val="24"/>
          <w:lang w:val="en-US"/>
        </w:rPr>
        <w:t xml:space="preserve">, 2020 QCCQ 4546, the victim had difficulty sleeping for several weeks following the offence, lost confidence in herself and still struggled to trust others (para. 51 (CanLII)). In </w:t>
      </w:r>
      <w:r w:rsidRPr="00DA0977">
        <w:rPr>
          <w:rFonts w:cs="Times New Roman"/>
          <w:i/>
          <w:szCs w:val="24"/>
          <w:lang w:val="en-US"/>
        </w:rPr>
        <w:t>R.S.F.</w:t>
      </w:r>
      <w:r w:rsidRPr="00DA0977">
        <w:rPr>
          <w:rFonts w:cs="Times New Roman"/>
          <w:szCs w:val="24"/>
          <w:lang w:val="en-US"/>
        </w:rPr>
        <w:t>, although the victim was not physically touched, “her mind was manipulated”, she had “nightmares about being hurt again” and she suffered from “overwhelming and significant anxiety, depression and post-traumatic disorder” (paras. 34-35).</w:t>
      </w:r>
    </w:p>
    <w:p w14:paraId="7FCB0C20" w14:textId="77777777" w:rsidR="00DA0977" w:rsidRPr="00DA0977" w:rsidRDefault="00DA0977" w:rsidP="00DA0977">
      <w:pPr>
        <w:pStyle w:val="ParaNoNdepar-AltN"/>
        <w:tabs>
          <w:tab w:val="clear" w:pos="7107"/>
          <w:tab w:val="num" w:pos="1152"/>
        </w:tabs>
        <w:ind w:left="0"/>
        <w:rPr>
          <w:rFonts w:cs="Times New Roman"/>
          <w:lang w:val="en-US"/>
        </w:rPr>
      </w:pPr>
      <w:r w:rsidRPr="00DA0977">
        <w:rPr>
          <w:rFonts w:cs="Times New Roman"/>
          <w:i/>
        </w:rPr>
        <w:t xml:space="preserve">Friesen </w:t>
      </w:r>
      <w:r w:rsidRPr="00DA0977">
        <w:rPr>
          <w:rFonts w:cs="Times New Roman"/>
        </w:rPr>
        <w:t xml:space="preserve">recognized that sexual violence against children also affects other people in the victims’ lives (para. 76). The Court highlighted the harmful ripple effects on families, community and society (para. 63). Child luring can similarly destroy trust in friends, families and social institutions and cause children to shut parents out of their lives. In </w:t>
      </w:r>
      <w:r w:rsidRPr="00DA0977">
        <w:rPr>
          <w:rFonts w:cs="Times New Roman"/>
          <w:i/>
        </w:rPr>
        <w:t>Rayo</w:t>
      </w:r>
      <w:r w:rsidRPr="00DA0977">
        <w:rPr>
          <w:rFonts w:cs="Times New Roman"/>
        </w:rPr>
        <w:t xml:space="preserve">, the luring prompted a severe conflict between the child and her mother (para. 174). In </w:t>
      </w:r>
      <w:r w:rsidRPr="00DA0977">
        <w:rPr>
          <w:rFonts w:cs="Times New Roman"/>
          <w:i/>
        </w:rPr>
        <w:t>Rafiq</w:t>
      </w:r>
      <w:r w:rsidRPr="00DA0977">
        <w:rPr>
          <w:rFonts w:cs="Times New Roman"/>
        </w:rPr>
        <w:t xml:space="preserve">, the luring led the victim to close herself off from her family (paras. 40-41). </w:t>
      </w:r>
    </w:p>
    <w:bookmarkEnd w:id="54"/>
    <w:p w14:paraId="2B9D1D30"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Identifying the distinct harms of luring in each case may prove more or less difficult, depending on the circumstances. In cases where luring is the standalone offence, identifying the distinct harm may be more straightforward. However, in cases where the luring actually manifests in the commission of a secondary offence, identifying the distinct harm of luring may be more challenging. </w:t>
      </w:r>
    </w:p>
    <w:p w14:paraId="45759420"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One way to identify the distinct harms at play is for courts to differentiate between contact</w:t>
      </w:r>
      <w:r w:rsidRPr="00DA0977">
        <w:rPr>
          <w:rFonts w:cs="Times New Roman"/>
        </w:rPr>
        <w:noBreakHyphen/>
        <w:t xml:space="preserve">driven luring, where the offender’s goal is to facilitate in-person </w:t>
      </w:r>
      <w:r w:rsidRPr="00DA0977">
        <w:rPr>
          <w:rFonts w:cs="Times New Roman"/>
        </w:rPr>
        <w:lastRenderedPageBreak/>
        <w:t xml:space="preserve">sexual abuse, and luring that leads to sexual abuse occurring entirely online (see </w:t>
      </w:r>
      <w:r w:rsidRPr="00DA0977">
        <w:rPr>
          <w:rFonts w:cs="Times New Roman"/>
          <w:i/>
        </w:rPr>
        <w:t>R. v. M.B.</w:t>
      </w:r>
      <w:r w:rsidRPr="00DA0977">
        <w:rPr>
          <w:rFonts w:cs="Times New Roman"/>
        </w:rPr>
        <w:t>,</w:t>
      </w:r>
      <w:r w:rsidRPr="00DA0977">
        <w:rPr>
          <w:rFonts w:cs="Times New Roman"/>
          <w:i/>
        </w:rPr>
        <w:t xml:space="preserve"> </w:t>
      </w:r>
      <w:r w:rsidRPr="00DA0977">
        <w:rPr>
          <w:rFonts w:cs="Times New Roman"/>
        </w:rPr>
        <w:t>2020 ONSC 7605, at para. 78 (CanLII), for an example in relation to child pornography). In the latter context, the online medium is the primary setting where the abuse takes place and the offender may have no intention to take the abuse offline. In the context of contact</w:t>
      </w:r>
      <w:r w:rsidRPr="00DA0977">
        <w:rPr>
          <w:rFonts w:cs="Times New Roman"/>
        </w:rPr>
        <w:noBreakHyphen/>
        <w:t>driven luring, the online environment can, but need not, play a significant role in the sexual abuse. The technology may sometimes function solely as a medium to gain physical access to a victim. Where the luring is contact</w:t>
      </w:r>
      <w:r w:rsidRPr="00DA0977">
        <w:rPr>
          <w:rFonts w:cs="Times New Roman"/>
        </w:rPr>
        <w:noBreakHyphen/>
        <w:t xml:space="preserve">driven, sentencing judges should consider whether the online communication caused psychological harm that stands separate and apart from the harm of any secondary offence that may have been committed. Victims of contact sexual abuse can be sexually exploited and psychologically manipulated online by their offenders both before and after they were abused offline. It is an error to presume that luring cannot engender independent harm. </w:t>
      </w:r>
    </w:p>
    <w:p w14:paraId="4AC079B9"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Other times, the aim of luring will be to commit a designated secondary offence set out in s. 172.1(1) that occurs entirely online. </w:t>
      </w:r>
      <w:r w:rsidRPr="00DA0977">
        <w:t xml:space="preserve">This might encompass a range of behaviours including sexual chat, the sharing of sexualized photos or videos, or viewing or performing sexual acts by video, all of which may be encapsulated within the secondary offences of invitation to sexual touching or the child pornography offences </w:t>
      </w:r>
      <w:r w:rsidRPr="00DA0977">
        <w:rPr>
          <w:rFonts w:cs="Times New Roman"/>
        </w:rPr>
        <w:t xml:space="preserve">(J. A. Kloess et al., “A Qualitative Analysis of Offenders’ Modus Operandi in Sexually Exploitative Interactions With Children Online” (2017), 29 </w:t>
      </w:r>
      <w:r w:rsidRPr="00DA0977">
        <w:rPr>
          <w:rFonts w:cs="Times New Roman"/>
          <w:i/>
        </w:rPr>
        <w:t>Sex. Abuse</w:t>
      </w:r>
      <w:r w:rsidRPr="00DA0977">
        <w:rPr>
          <w:rFonts w:cs="Times New Roman"/>
        </w:rPr>
        <w:t xml:space="preserve"> 563, at pp. 584</w:t>
      </w:r>
      <w:r w:rsidRPr="00DA0977">
        <w:rPr>
          <w:rFonts w:cs="Times New Roman"/>
        </w:rPr>
        <w:noBreakHyphen/>
        <w:t xml:space="preserve">87). </w:t>
      </w:r>
      <w:r w:rsidRPr="00DA0977">
        <w:t>In such circumstances</w:t>
      </w:r>
      <w:r w:rsidRPr="00DA0977">
        <w:rPr>
          <w:rFonts w:cs="Times New Roman"/>
        </w:rPr>
        <w:t xml:space="preserve">, the offender uses technology to build a relationship, assert control and psychologically manipulate young persons, and may </w:t>
      </w:r>
      <w:r w:rsidRPr="00DA0977">
        <w:rPr>
          <w:rFonts w:cs="Times New Roman"/>
        </w:rPr>
        <w:lastRenderedPageBreak/>
        <w:t xml:space="preserve">also use that same technology to then carry out sexual acts. In such circumstances, it might be difficult to decipher whether the luring caused distinct psychological harm, as the harm caused by the luring might resemble the harm caused by the underlying offence which also occurred online. </w:t>
      </w:r>
    </w:p>
    <w:p w14:paraId="550A8FD6"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Contact</w:t>
      </w:r>
      <w:r w:rsidRPr="00DA0977">
        <w:rPr>
          <w:rFonts w:cs="Times New Roman"/>
        </w:rPr>
        <w:noBreakHyphen/>
        <w:t>driven luring is not necessarily more or less harmful than luring that leads to sexual abuse that occurs entirely online. The severity of the harm caused by the online communication will depend on the individual offender and his or her offending goals, the individual characteristics of the victim, and the unique dynamic between the offender and the victim.</w:t>
      </w:r>
    </w:p>
    <w:p w14:paraId="113CF896" w14:textId="77777777" w:rsidR="00DA0977" w:rsidRPr="00DA0977" w:rsidRDefault="00DA0977" w:rsidP="00DA0977">
      <w:pPr>
        <w:pStyle w:val="Title3LevelTitre3Niveau"/>
        <w:numPr>
          <w:ilvl w:val="2"/>
          <w:numId w:val="29"/>
        </w:numPr>
        <w:rPr>
          <w:rFonts w:cs="Times New Roman"/>
        </w:rPr>
      </w:pPr>
      <w:bookmarkStart w:id="67" w:name="_Toc135322927"/>
      <w:bookmarkStart w:id="68" w:name="_Toc137199862"/>
      <w:bookmarkStart w:id="69" w:name="_Toc140673977"/>
      <w:bookmarkStart w:id="70" w:name="_Toc141096922"/>
      <w:bookmarkStart w:id="71" w:name="_Toc141694542"/>
      <w:bookmarkStart w:id="72" w:name="_Toc146612948"/>
      <w:r w:rsidRPr="00DA0977">
        <w:rPr>
          <w:rFonts w:cs="Times New Roman"/>
        </w:rPr>
        <w:t>Parliament Has Mandated That Sentences for Luring Must Increase</w:t>
      </w:r>
      <w:bookmarkEnd w:id="67"/>
      <w:bookmarkEnd w:id="68"/>
      <w:bookmarkEnd w:id="69"/>
      <w:bookmarkEnd w:id="70"/>
      <w:bookmarkEnd w:id="71"/>
      <w:bookmarkEnd w:id="72"/>
    </w:p>
    <w:p w14:paraId="6B193EEC"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i/>
          <w:szCs w:val="24"/>
        </w:rPr>
        <w:t xml:space="preserve">Friesen </w:t>
      </w:r>
      <w:r w:rsidRPr="00DA0977">
        <w:rPr>
          <w:rFonts w:cs="Times New Roman"/>
          <w:szCs w:val="24"/>
        </w:rPr>
        <w:t xml:space="preserve">urges courts to consider Parliament’s legislative initiatives in sentencing offenders for sexual offences against children (para. 107). </w:t>
      </w:r>
      <w:r w:rsidRPr="00DA0977">
        <w:rPr>
          <w:rFonts w:cs="Times New Roman"/>
        </w:rPr>
        <w:t xml:space="preserve">Parliament has consistently raised these sentences </w:t>
      </w:r>
      <w:r w:rsidRPr="00DA0977">
        <w:rPr>
          <w:rFonts w:cs="Times New Roman"/>
          <w:szCs w:val="24"/>
        </w:rPr>
        <w:t xml:space="preserve">to reflect a growing awareness of their gravity, and </w:t>
      </w:r>
      <w:r w:rsidRPr="00DA0977">
        <w:rPr>
          <w:rFonts w:cs="Times New Roman"/>
        </w:rPr>
        <w:t>to indicate the serious emotional and psychological harms they cause for victims (paras. 56, 98 and</w:t>
      </w:r>
      <w:r w:rsidRPr="00DA0977">
        <w:rPr>
          <w:rFonts w:cs="Times New Roman"/>
          <w:szCs w:val="24"/>
        </w:rPr>
        <w:t xml:space="preserve"> 101-5). </w:t>
      </w:r>
      <w:r w:rsidRPr="00DA0977">
        <w:rPr>
          <w:rFonts w:cs="Times New Roman"/>
        </w:rPr>
        <w:t>This same increasingly punitive trend applies to the sentencing regime for luring offences:</w:t>
      </w:r>
    </w:p>
    <w:p w14:paraId="428FD8EC" w14:textId="77777777" w:rsidR="00DA0977" w:rsidRPr="00DA0977" w:rsidRDefault="00DA0977" w:rsidP="00DA0977">
      <w:pPr>
        <w:pStyle w:val="ParaNoNdepar-AltN"/>
        <w:numPr>
          <w:ilvl w:val="0"/>
          <w:numId w:val="30"/>
        </w:numPr>
        <w:tabs>
          <w:tab w:val="clear" w:pos="1152"/>
          <w:tab w:val="num" w:pos="1440"/>
        </w:tabs>
        <w:ind w:left="1166" w:hanging="274"/>
        <w:rPr>
          <w:rFonts w:cs="Times New Roman"/>
        </w:rPr>
      </w:pPr>
      <w:r w:rsidRPr="00DA0977">
        <w:rPr>
          <w:rFonts w:cs="Times New Roman"/>
        </w:rPr>
        <w:t>In 2002, when enacting the offence of luring, Parliament provided for a maximum term of five years’ imprisonment for luring proceeding by indictment (</w:t>
      </w:r>
      <w:r w:rsidRPr="00DA0977">
        <w:rPr>
          <w:rFonts w:cs="Times New Roman"/>
          <w:i/>
        </w:rPr>
        <w:t>Criminal Law Amendment Act, 2001</w:t>
      </w:r>
      <w:r w:rsidRPr="00DA0977">
        <w:rPr>
          <w:rFonts w:cs="Times New Roman"/>
        </w:rPr>
        <w:t xml:space="preserve">, s. 8). No maximum penalty was set for luring proceeding summarily. </w:t>
      </w:r>
    </w:p>
    <w:p w14:paraId="2381B2DF" w14:textId="77777777" w:rsidR="00DA0977" w:rsidRPr="00DA0977" w:rsidRDefault="00DA0977" w:rsidP="00DA0977">
      <w:pPr>
        <w:pStyle w:val="ParaNoNdepar-AltN"/>
        <w:numPr>
          <w:ilvl w:val="0"/>
          <w:numId w:val="30"/>
        </w:numPr>
        <w:tabs>
          <w:tab w:val="clear" w:pos="1152"/>
          <w:tab w:val="num" w:pos="1440"/>
        </w:tabs>
        <w:ind w:left="1166" w:hanging="274"/>
        <w:rPr>
          <w:rFonts w:cs="Times New Roman"/>
        </w:rPr>
      </w:pPr>
      <w:r w:rsidRPr="00DA0977">
        <w:rPr>
          <w:rFonts w:cs="Times New Roman"/>
        </w:rPr>
        <w:lastRenderedPageBreak/>
        <w:t xml:space="preserve">In 2005, Parliament enacted s. 718.01 of the </w:t>
      </w:r>
      <w:r w:rsidRPr="00DA0977">
        <w:rPr>
          <w:rFonts w:cs="Times New Roman"/>
          <w:i/>
        </w:rPr>
        <w:t>Criminal Code</w:t>
      </w:r>
      <w:r w:rsidRPr="00DA0977">
        <w:rPr>
          <w:rFonts w:cs="Times New Roman"/>
        </w:rPr>
        <w:t xml:space="preserve"> which provides that the objectives of denunciation and deterrence take priority in cases of the abuse of a person under 18 (</w:t>
      </w:r>
      <w:r w:rsidRPr="00DA0977">
        <w:rPr>
          <w:rFonts w:cs="Times New Roman"/>
          <w:i/>
        </w:rPr>
        <w:t>An Act to amend the Criminal Code</w:t>
      </w:r>
      <w:r w:rsidRPr="00DA0977">
        <w:rPr>
          <w:rFonts w:cs="Times New Roman"/>
        </w:rPr>
        <w:t xml:space="preserve"> </w:t>
      </w:r>
      <w:r w:rsidRPr="00DA0977">
        <w:rPr>
          <w:rFonts w:cs="Times New Roman"/>
          <w:i/>
        </w:rPr>
        <w:t>(protection of children and other vulnerable persons) and the Canada Evidence Act</w:t>
      </w:r>
      <w:r w:rsidRPr="00DA0977">
        <w:rPr>
          <w:rFonts w:cs="Times New Roman"/>
        </w:rPr>
        <w:t xml:space="preserve">, S.C. 2005, c. 32, s. 24; </w:t>
      </w:r>
      <w:r w:rsidRPr="00DA0977">
        <w:rPr>
          <w:rFonts w:cs="Times New Roman"/>
          <w:i/>
        </w:rPr>
        <w:t>Criminal Code</w:t>
      </w:r>
      <w:r w:rsidRPr="00DA0977">
        <w:rPr>
          <w:rFonts w:cs="Times New Roman"/>
        </w:rPr>
        <w:t xml:space="preserve">, s. 718.01). </w:t>
      </w:r>
    </w:p>
    <w:p w14:paraId="41B7E662" w14:textId="77777777" w:rsidR="00DA0977" w:rsidRPr="00DA0977" w:rsidRDefault="00DA0977" w:rsidP="00DA0977">
      <w:pPr>
        <w:pStyle w:val="ParaNoNdepar-AltN"/>
        <w:numPr>
          <w:ilvl w:val="0"/>
          <w:numId w:val="30"/>
        </w:numPr>
        <w:tabs>
          <w:tab w:val="clear" w:pos="1152"/>
          <w:tab w:val="num" w:pos="1440"/>
        </w:tabs>
        <w:ind w:left="1166" w:hanging="274"/>
        <w:rPr>
          <w:rFonts w:cs="Times New Roman"/>
        </w:rPr>
      </w:pPr>
      <w:r w:rsidRPr="00DA0977">
        <w:rPr>
          <w:rFonts w:cs="Times New Roman"/>
        </w:rPr>
        <w:t>In 2007, the maximum sentence for luring proceeding by indictment was increased to 10 years’ imprisonment and a maximum sentence of 18 months’ imprisonment was introduced for luring proceeding summarily (</w:t>
      </w:r>
      <w:r w:rsidRPr="00DA0977">
        <w:rPr>
          <w:rFonts w:cs="Times New Roman"/>
          <w:i/>
        </w:rPr>
        <w:t>An Act to amend the Criminal Code (luring a child)</w:t>
      </w:r>
      <w:r w:rsidRPr="00DA0977">
        <w:rPr>
          <w:rFonts w:cs="Times New Roman"/>
        </w:rPr>
        <w:t xml:space="preserve">, S.C. 2007, c. 20, s. 1). </w:t>
      </w:r>
    </w:p>
    <w:p w14:paraId="470E217B" w14:textId="77777777" w:rsidR="00DA0977" w:rsidRPr="00DA0977" w:rsidRDefault="00DA0977" w:rsidP="00DA0977">
      <w:pPr>
        <w:pStyle w:val="ParaNoNdepar-AltN"/>
        <w:numPr>
          <w:ilvl w:val="0"/>
          <w:numId w:val="30"/>
        </w:numPr>
        <w:tabs>
          <w:tab w:val="clear" w:pos="1152"/>
          <w:tab w:val="num" w:pos="1440"/>
        </w:tabs>
        <w:ind w:left="1166" w:hanging="274"/>
        <w:rPr>
          <w:rFonts w:cs="Times New Roman"/>
        </w:rPr>
      </w:pPr>
      <w:r w:rsidRPr="00DA0977">
        <w:rPr>
          <w:rFonts w:cs="Times New Roman"/>
        </w:rPr>
        <w:t>In 2012, mandatory minimum sentences for child luring were introduced (</w:t>
      </w:r>
      <w:r w:rsidRPr="00DA0977">
        <w:rPr>
          <w:rFonts w:cs="Times New Roman"/>
          <w:i/>
        </w:rPr>
        <w:t>Safe Streets and Communities Act</w:t>
      </w:r>
      <w:r w:rsidRPr="00DA0977">
        <w:rPr>
          <w:rFonts w:cs="Times New Roman"/>
        </w:rPr>
        <w:t xml:space="preserve">, s. 22). As a result, child luring proceeding by indictment carried a mandatory minimum punishment of one year’s imprisonment, and luring proceeding summarily carried a mandatory minimum punishment of 90 days’ imprisonment. </w:t>
      </w:r>
    </w:p>
    <w:p w14:paraId="04274A66" w14:textId="77777777" w:rsidR="00DA0977" w:rsidRPr="00DA0977" w:rsidRDefault="00DA0977" w:rsidP="00DA0977">
      <w:pPr>
        <w:pStyle w:val="ParaNoNdepar-AltN"/>
        <w:numPr>
          <w:ilvl w:val="0"/>
          <w:numId w:val="30"/>
        </w:numPr>
        <w:tabs>
          <w:tab w:val="clear" w:pos="1152"/>
          <w:tab w:val="num" w:pos="1440"/>
        </w:tabs>
        <w:ind w:left="1166" w:hanging="274"/>
        <w:rPr>
          <w:rFonts w:cs="Times New Roman"/>
        </w:rPr>
      </w:pPr>
      <w:r w:rsidRPr="00DA0977">
        <w:rPr>
          <w:rFonts w:cs="Times New Roman"/>
        </w:rPr>
        <w:t xml:space="preserve">In 2015, with the </w:t>
      </w:r>
      <w:r w:rsidRPr="00DA0977">
        <w:rPr>
          <w:rFonts w:cs="Times New Roman"/>
          <w:i/>
        </w:rPr>
        <w:t>Tougher Penalties for Child Predators Act</w:t>
      </w:r>
      <w:r w:rsidRPr="00DA0977">
        <w:rPr>
          <w:rFonts w:cs="Times New Roman"/>
        </w:rPr>
        <w:t>, S.C. 2015, c. 23, s. 11, Parliament elevated the maximum sentence for luring proceeding by indictment to 14 years’ imprisonment. The maximum sentence for luring proceeding summarily was increased from 18 months to 2 years’ less a day imprisonment and the mandatory minimum punishment was increased to 6 months’ imprisonment.</w:t>
      </w:r>
    </w:p>
    <w:p w14:paraId="725DCEF1" w14:textId="77777777" w:rsidR="00DA0977" w:rsidRPr="00DA0977" w:rsidRDefault="00DA0977" w:rsidP="00DA0977">
      <w:pPr>
        <w:pStyle w:val="ParaNoNdepar-AltN"/>
        <w:tabs>
          <w:tab w:val="clear" w:pos="7107"/>
          <w:tab w:val="num" w:pos="1152"/>
        </w:tabs>
        <w:ind w:left="0"/>
        <w:rPr>
          <w:rFonts w:cs="Times New Roman"/>
        </w:rPr>
      </w:pPr>
      <w:r w:rsidRPr="00DA0977">
        <w:lastRenderedPageBreak/>
        <w:t>These legislative changes should be regarded as a sign of Parliament’s view of the offence’s gravity (</w:t>
      </w:r>
      <w:r w:rsidRPr="00DA0977">
        <w:rPr>
          <w:i/>
        </w:rPr>
        <w:t>Rayo</w:t>
      </w:r>
      <w:r w:rsidRPr="00DA0977">
        <w:t>,</w:t>
      </w:r>
      <w:r w:rsidRPr="00DA0977">
        <w:rPr>
          <w:i/>
        </w:rPr>
        <w:t xml:space="preserve"> </w:t>
      </w:r>
      <w:r w:rsidRPr="00DA0977">
        <w:t>at para. 125). They make clear that proportionate sentencing that responds to the gravity of the luring offence and the degree of responsibility of the offender will often require substantial sentences of imprisonment. As a result, courts should depart from dated precedents that do not reflect society’s current awareness of the impact of sexual violence on children in imposing a fit sentence (</w:t>
      </w:r>
      <w:r w:rsidRPr="00DA0977">
        <w:rPr>
          <w:i/>
        </w:rPr>
        <w:t>Friesen</w:t>
      </w:r>
      <w:r w:rsidRPr="00DA0977">
        <w:t>, at para. 110).</w:t>
      </w:r>
    </w:p>
    <w:p w14:paraId="13D8F3FB" w14:textId="77777777" w:rsidR="00DA0977" w:rsidRPr="00DA0977" w:rsidRDefault="00DA0977" w:rsidP="00DA0977">
      <w:pPr>
        <w:pStyle w:val="Title3LevelTitre3Niveau"/>
        <w:numPr>
          <w:ilvl w:val="2"/>
          <w:numId w:val="29"/>
        </w:numPr>
        <w:rPr>
          <w:rFonts w:cs="Times New Roman"/>
        </w:rPr>
      </w:pPr>
      <w:bookmarkStart w:id="73" w:name="_Toc135322928"/>
      <w:bookmarkStart w:id="74" w:name="_Toc137199863"/>
      <w:bookmarkStart w:id="75" w:name="_Toc140673978"/>
      <w:bookmarkStart w:id="76" w:name="_Toc141096923"/>
      <w:bookmarkStart w:id="77" w:name="_Toc141694543"/>
      <w:bookmarkStart w:id="78" w:name="_Toc146612949"/>
      <w:r w:rsidRPr="00DA0977">
        <w:rPr>
          <w:rFonts w:cs="Times New Roman"/>
        </w:rPr>
        <w:t>Summary</w:t>
      </w:r>
      <w:bookmarkEnd w:id="73"/>
      <w:bookmarkEnd w:id="74"/>
      <w:bookmarkEnd w:id="75"/>
      <w:bookmarkEnd w:id="76"/>
      <w:bookmarkEnd w:id="77"/>
      <w:bookmarkEnd w:id="78"/>
    </w:p>
    <w:p w14:paraId="0514A48D"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i/>
        </w:rPr>
        <w:t>Friesen</w:t>
      </w:r>
      <w:r w:rsidRPr="00DA0977">
        <w:rPr>
          <w:rFonts w:cs="Times New Roman"/>
        </w:rPr>
        <w:t xml:space="preserve">’s analytical approach necessitates an understanding of the inherent wrongfulness and distinct harms of luring and Parliament’s sentencing goals. Understanding the wrongfulness and harmfulness of the luring offence is integral to properly assessing the gravity of the offence and the degree of responsibility of the offender, as well as to avoiding stereotypical reasoning and the misidentification of aggravating and mitigating factors (para. 50). I use this guidance to inform Mr. Bertrand Marchand’s fit sentence and as the foundation for the constitutional analysis under s. 12. </w:t>
      </w:r>
    </w:p>
    <w:p w14:paraId="03F969D4" w14:textId="77777777" w:rsidR="00DA0977" w:rsidRPr="00DA0977" w:rsidRDefault="00DA0977" w:rsidP="00DA0977">
      <w:pPr>
        <w:pStyle w:val="Title2LevelTitre2Niveau"/>
        <w:tabs>
          <w:tab w:val="num" w:pos="1422"/>
        </w:tabs>
        <w:jc w:val="both"/>
        <w:rPr>
          <w:rFonts w:cs="Times New Roman"/>
        </w:rPr>
      </w:pPr>
      <w:bookmarkStart w:id="79" w:name="_Toc134714651"/>
      <w:bookmarkStart w:id="80" w:name="_Toc135041580"/>
      <w:bookmarkStart w:id="81" w:name="_Toc135322929"/>
      <w:bookmarkStart w:id="82" w:name="_Toc137199864"/>
      <w:bookmarkStart w:id="83" w:name="_Toc140673979"/>
      <w:bookmarkStart w:id="84" w:name="_Toc141096924"/>
      <w:bookmarkStart w:id="85" w:name="_Toc141694544"/>
      <w:bookmarkStart w:id="86" w:name="_Toc146612950"/>
      <w:bookmarkStart w:id="87" w:name="_Toc134196981"/>
      <w:bookmarkStart w:id="88" w:name="_Toc134625064"/>
      <w:bookmarkEnd w:id="19"/>
      <w:r w:rsidRPr="00DA0977">
        <w:rPr>
          <w:rFonts w:cs="Times New Roman"/>
        </w:rPr>
        <w:t>The Sentencing Judge Erred in Assigning a Five</w:t>
      </w:r>
      <w:r w:rsidRPr="00DA0977">
        <w:rPr>
          <w:rFonts w:cs="Times New Roman"/>
        </w:rPr>
        <w:noBreakHyphen/>
        <w:t>Month Concurrent Sentence for the Luring Offence</w:t>
      </w:r>
      <w:bookmarkEnd w:id="79"/>
      <w:bookmarkEnd w:id="80"/>
      <w:bookmarkEnd w:id="81"/>
      <w:bookmarkEnd w:id="82"/>
      <w:bookmarkEnd w:id="83"/>
      <w:bookmarkEnd w:id="84"/>
      <w:bookmarkEnd w:id="85"/>
      <w:bookmarkEnd w:id="86"/>
    </w:p>
    <w:p w14:paraId="125D8AC3" w14:textId="77777777" w:rsidR="00DA0977" w:rsidRPr="00DA0977" w:rsidRDefault="00DA0977" w:rsidP="00DA0977">
      <w:pPr>
        <w:pStyle w:val="ParaNoNdepar-AltN"/>
        <w:tabs>
          <w:tab w:val="clear" w:pos="7107"/>
          <w:tab w:val="num" w:pos="1152"/>
          <w:tab w:val="num" w:pos="1422"/>
        </w:tabs>
        <w:ind w:left="0"/>
        <w:rPr>
          <w:rFonts w:cs="Times New Roman"/>
          <w:szCs w:val="24"/>
        </w:rPr>
      </w:pPr>
      <w:r w:rsidRPr="00DA0977">
        <w:rPr>
          <w:rFonts w:cs="Times New Roman"/>
        </w:rPr>
        <w:t xml:space="preserve">The sentencing judge properly considered denunciation and deterrence and recognized that the total sentence must be proportionate to the gravity of the offences </w:t>
      </w:r>
      <w:r w:rsidRPr="00DA0977">
        <w:rPr>
          <w:rFonts w:cs="Times New Roman"/>
        </w:rPr>
        <w:lastRenderedPageBreak/>
        <w:t>and to the respondent’s degree of responsibility. When addressing the sentence for the sexual interference, which is not on appeal before this Court, she acknowledged that this was a [</w:t>
      </w:r>
      <w:r w:rsidRPr="00DA0977">
        <w:rPr>
          <w:rFonts w:cs="Times New Roman"/>
          <w:smallCaps/>
        </w:rPr>
        <w:t>translation</w:t>
      </w:r>
      <w:r w:rsidRPr="00DA0977">
        <w:rPr>
          <w:rFonts w:cs="Times New Roman"/>
        </w:rPr>
        <w:t>] “situation of sexual exploitation” (para. 60) and a “relationship based on manipulation to satisfy sexual needs with a still-developing adolescent”, which would leave “scars” (para. 59). The vulnerability of the young victim, who was under the Director of Youth Protection’s care, was also recognized regarding both the sexual interference and luring offences (paras. 60 and 70).</w:t>
      </w:r>
    </w:p>
    <w:p w14:paraId="29A11CC7" w14:textId="77777777" w:rsidR="00DA0977" w:rsidRPr="00DA0977" w:rsidRDefault="00DA0977" w:rsidP="00DA0977">
      <w:pPr>
        <w:pStyle w:val="ParaNoNdepar-AltN"/>
        <w:tabs>
          <w:tab w:val="clear" w:pos="7107"/>
          <w:tab w:val="num" w:pos="1152"/>
          <w:tab w:val="num" w:pos="1422"/>
        </w:tabs>
        <w:ind w:left="0"/>
        <w:rPr>
          <w:rFonts w:cs="Times New Roman"/>
          <w:szCs w:val="24"/>
        </w:rPr>
      </w:pPr>
      <w:r w:rsidRPr="00DA0977">
        <w:rPr>
          <w:rFonts w:cs="Times New Roman"/>
        </w:rPr>
        <w:t xml:space="preserve">According to </w:t>
      </w:r>
      <w:r w:rsidRPr="00DA0977">
        <w:rPr>
          <w:rFonts w:cs="Times New Roman"/>
          <w:i/>
        </w:rPr>
        <w:t>Lacasse</w:t>
      </w:r>
      <w:r w:rsidRPr="00DA0977">
        <w:rPr>
          <w:rFonts w:cs="Times New Roman"/>
        </w:rPr>
        <w:t xml:space="preserve">, sentencing judges are afforded broad discretionary powers in crafting a fit sentence (para. 39). Appellate intervention is justified only if a sentence is demonstrably unfit or if the judge committed an error in principle that impacted the sentence imposed (para. 44). The sentencing judge committed errors in principle that impacted the assigned sentence of five months’ imprisonment </w:t>
      </w:r>
      <w:r w:rsidRPr="00DA0977">
        <w:t>that she ordered be served concurrently to the sexual interference sentence</w:t>
      </w:r>
      <w:r w:rsidRPr="00DA0977">
        <w:rPr>
          <w:rFonts w:cs="Times New Roman"/>
        </w:rPr>
        <w:t xml:space="preserve">. Specifically, she erred by (1) minimizing the harm caused to the victim by failing to recognize the grooming that did occur; (2) misconstruing the offender’s actions; and (3) assigning a concurrent sentence for the luring offence. </w:t>
      </w:r>
      <w:r w:rsidRPr="00DA0977">
        <w:t>These errors in principle warranted appellate intervention that the majority of the Court of Appeal below failed to undertake. I would thus substitute the 5-month sentence imposed by the sentencing judge with the 12-month sentence sought by the Crown.</w:t>
      </w:r>
    </w:p>
    <w:p w14:paraId="24D9D224" w14:textId="77777777" w:rsidR="00DA0977" w:rsidRPr="00DA0977" w:rsidRDefault="00DA0977" w:rsidP="00DA0977">
      <w:pPr>
        <w:pStyle w:val="Title3LevelTitre3Niveau"/>
        <w:jc w:val="both"/>
        <w:rPr>
          <w:rFonts w:cs="Times New Roman"/>
        </w:rPr>
      </w:pPr>
      <w:bookmarkStart w:id="89" w:name="_Toc135041581"/>
      <w:bookmarkStart w:id="90" w:name="_Toc135322930"/>
      <w:bookmarkStart w:id="91" w:name="_Toc137199865"/>
      <w:bookmarkStart w:id="92" w:name="_Toc140673980"/>
      <w:bookmarkStart w:id="93" w:name="_Toc141096925"/>
      <w:bookmarkStart w:id="94" w:name="_Toc141694545"/>
      <w:bookmarkStart w:id="95" w:name="_Toc146612951"/>
      <w:r w:rsidRPr="00DA0977">
        <w:rPr>
          <w:rFonts w:cs="Times New Roman"/>
        </w:rPr>
        <w:t>The Sentencing Judge Failed to Recognize the Grooming That Occurred</w:t>
      </w:r>
      <w:bookmarkEnd w:id="89"/>
      <w:bookmarkEnd w:id="90"/>
      <w:bookmarkEnd w:id="91"/>
      <w:bookmarkEnd w:id="92"/>
      <w:bookmarkEnd w:id="93"/>
      <w:bookmarkEnd w:id="94"/>
      <w:bookmarkEnd w:id="95"/>
    </w:p>
    <w:p w14:paraId="535F6C5E"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lastRenderedPageBreak/>
        <w:t>Evidence of grooming may be present where child luring is made out. Grooming is a process which allows the offender to forge a close relationship with a victim to gain trust, compliance and secrecy for the purpose of eventually engaging in sexualization and abuse (</w:t>
      </w:r>
      <w:r w:rsidRPr="00DA0977">
        <w:rPr>
          <w:rFonts w:cs="Times New Roman"/>
          <w:i/>
          <w:szCs w:val="24"/>
        </w:rPr>
        <w:t>Rayo</w:t>
      </w:r>
      <w:r w:rsidRPr="00DA0977">
        <w:rPr>
          <w:rFonts w:cs="Times New Roman"/>
          <w:szCs w:val="24"/>
        </w:rPr>
        <w:t>, at para. 149</w:t>
      </w:r>
      <w:r w:rsidRPr="00DA0977">
        <w:rPr>
          <w:rFonts w:cs="Times New Roman"/>
        </w:rPr>
        <w:t xml:space="preserve">). The jurisprudence has yet to identify a universal definition of grooming. Understandably, this is in large part due to the difficulties in determining where the process begins and ends, as well as the variety of behaviours that may be involved depending on the offender, the victim, and the context. Indeed, grooming can involve, but is not limited to “rapport building, incentivization, disinhibition, and security management” (I. A. Elliott, “A Self-Regulation Model of Sexual Grooming” (2017), 18 </w:t>
      </w:r>
      <w:r w:rsidRPr="00DA0977">
        <w:rPr>
          <w:rFonts w:cs="Times New Roman"/>
          <w:i/>
        </w:rPr>
        <w:t xml:space="preserve">Trauma, Violence, &amp; Abuse </w:t>
      </w:r>
      <w:r w:rsidRPr="00DA0977">
        <w:rPr>
          <w:rFonts w:cs="Times New Roman"/>
        </w:rPr>
        <w:t>83, at p. 88). It is “a slow and gradual process of active engagement and a desensitization of the child’s inhibitions — with an increasing gain in power and control over the young person” (</w:t>
      </w:r>
      <w:r w:rsidRPr="00DA0977">
        <w:rPr>
          <w:rFonts w:cs="Times New Roman"/>
          <w:i/>
        </w:rPr>
        <w:t>Rayo</w:t>
      </w:r>
      <w:r w:rsidRPr="00DA0977">
        <w:rPr>
          <w:rFonts w:cs="Times New Roman"/>
        </w:rPr>
        <w:t>,</w:t>
      </w:r>
      <w:r w:rsidRPr="00DA0977">
        <w:rPr>
          <w:rFonts w:cs="Times New Roman"/>
          <w:i/>
        </w:rPr>
        <w:t xml:space="preserve"> </w:t>
      </w:r>
      <w:r w:rsidRPr="00DA0977">
        <w:rPr>
          <w:rFonts w:cs="Times New Roman"/>
        </w:rPr>
        <w:t xml:space="preserve">at para. 139, quoting M. Ospina, C. Harstall and L. Dennett, </w:t>
      </w:r>
      <w:r w:rsidRPr="00DA0977">
        <w:rPr>
          <w:rFonts w:cs="Times New Roman"/>
          <w:i/>
        </w:rPr>
        <w:t>Sexual Exploitation of Children and Youth Over the Internet: A Rapid Review of the Scientific Literature</w:t>
      </w:r>
      <w:r w:rsidRPr="00DA0977">
        <w:rPr>
          <w:rFonts w:cs="Times New Roman"/>
        </w:rPr>
        <w:t xml:space="preserve"> (2010), at p. 7).</w:t>
      </w:r>
      <w:r w:rsidRPr="00DA0977">
        <w:rPr>
          <w:rFonts w:cs="Times New Roman"/>
          <w:i/>
        </w:rPr>
        <w:t xml:space="preserve"> </w:t>
      </w:r>
    </w:p>
    <w:p w14:paraId="0ECD4252"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Grooming often goes hand in hand with the common features of luring, namely a “prolonged, deliberate and careful cultivation of a young person with a view to engendering trust and intimacy, all designed to promote sexual conduct between the two parties” (</w:t>
      </w:r>
      <w:r w:rsidRPr="00DA0977">
        <w:rPr>
          <w:rFonts w:cs="Times New Roman"/>
          <w:i/>
        </w:rPr>
        <w:t>Paradee</w:t>
      </w:r>
      <w:r w:rsidRPr="00DA0977">
        <w:rPr>
          <w:rFonts w:cs="Times New Roman"/>
        </w:rPr>
        <w:t xml:space="preserve">, at para. 20). While often a preparatory process, grooming need not culminate in a sexual act to be harmful. Grooming allows an offender to gain power and control over the young person, which in turn may lead to distinct psychological harm. This harm exemplifies the vulnerability and exploitation of children facilitated </w:t>
      </w:r>
      <w:r w:rsidRPr="00DA0977">
        <w:rPr>
          <w:rFonts w:cs="Times New Roman"/>
        </w:rPr>
        <w:lastRenderedPageBreak/>
        <w:t>by the internet that Parliament sought to protect against in enacting the luring offence (</w:t>
      </w:r>
      <w:r w:rsidRPr="00DA0977">
        <w:rPr>
          <w:rFonts w:cs="Times New Roman"/>
          <w:i/>
        </w:rPr>
        <w:t>Rayo</w:t>
      </w:r>
      <w:r w:rsidRPr="00DA0977">
        <w:rPr>
          <w:rFonts w:cs="Times New Roman"/>
        </w:rPr>
        <w:t xml:space="preserve">, at paras. 138-39; </w:t>
      </w:r>
      <w:r w:rsidRPr="00DA0977">
        <w:rPr>
          <w:rFonts w:cs="Times New Roman"/>
          <w:i/>
        </w:rPr>
        <w:t>Reynard</w:t>
      </w:r>
      <w:r w:rsidRPr="00DA0977">
        <w:rPr>
          <w:rFonts w:cs="Times New Roman"/>
        </w:rPr>
        <w:t xml:space="preserve">, at paras. 19-20; </w:t>
      </w:r>
      <w:r w:rsidRPr="00DA0977">
        <w:rPr>
          <w:rFonts w:cs="Times New Roman"/>
          <w:i/>
        </w:rPr>
        <w:t>Alicandro</w:t>
      </w:r>
      <w:r w:rsidRPr="00DA0977">
        <w:rPr>
          <w:rFonts w:cs="Times New Roman"/>
        </w:rPr>
        <w:t xml:space="preserve">, at para. 36; </w:t>
      </w:r>
      <w:r w:rsidRPr="00DA0977">
        <w:rPr>
          <w:rFonts w:cs="Times New Roman"/>
          <w:i/>
        </w:rPr>
        <w:t>Legare</w:t>
      </w:r>
      <w:r w:rsidRPr="00DA0977">
        <w:rPr>
          <w:rFonts w:cs="Times New Roman"/>
        </w:rPr>
        <w:t>, at para. 25).</w:t>
      </w:r>
    </w:p>
    <w:p w14:paraId="7375F40A"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rPr>
        <w:t xml:space="preserve">The identification of grooming should be left to the fact-finder in each case. In assessing whether grooming is present, judges should focus on the character, content, and consequences of the messages, as well as whether the communication resulted in psychological manipulation of the child. </w:t>
      </w:r>
    </w:p>
    <w:p w14:paraId="0F2022F0"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rPr>
        <w:t>The text of s. 172.1 is clear that grooming is not a constituent element of the luring offence. While its presence may be aggravating at sentencing, its absence is not mitigating.</w:t>
      </w:r>
    </w:p>
    <w:p w14:paraId="5EE91C0A"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rPr>
        <w:t>In this case, the sentencing judge failed to appreciate the harms that grooming generated for this young victim — in fact, the sentencing judge did not recognize the victim had been groomed at all. By characterizing the luring as a contact-driven means to an end, the sentencing judge failed to account for the psychological manipulation that arose from the online communication alone. With respect, she failed to disentangle t</w:t>
      </w:r>
      <w:r w:rsidRPr="00DA0977">
        <w:rPr>
          <w:rFonts w:cs="Times New Roman"/>
          <w:lang w:val="en-US"/>
        </w:rPr>
        <w:t xml:space="preserve">he harm caused by the online communication from the harm caused by the sexual interference. Instead of viewing grooming as a continuous process that serves to renew and strengthen an exploitative relationship, she discounted its presence because prior sexual acts had occurred. </w:t>
      </w:r>
      <w:r w:rsidRPr="00DA0977">
        <w:rPr>
          <w:rFonts w:cs="Times New Roman"/>
        </w:rPr>
        <w:t xml:space="preserve">Irrespective of the physical sexual acts that preceded and followed the communication, Mr. Bertrand Marchand’s tactics and </w:t>
      </w:r>
      <w:r w:rsidRPr="00DA0977">
        <w:rPr>
          <w:rFonts w:cs="Times New Roman"/>
        </w:rPr>
        <w:lastRenderedPageBreak/>
        <w:t xml:space="preserve">actions demonstrate controlling manipulation using the internet, which I characterize as grooming. </w:t>
      </w:r>
      <w:r w:rsidRPr="00DA0977">
        <w:rPr>
          <w:rFonts w:cs="Times New Roman"/>
          <w:lang w:val="en-US"/>
        </w:rPr>
        <w:t xml:space="preserve">This grooming should have served as an aggravating factor on sentencing. </w:t>
      </w:r>
    </w:p>
    <w:p w14:paraId="2FE59715" w14:textId="77777777" w:rsidR="00DA0977" w:rsidRPr="00DA0977" w:rsidRDefault="00DA0977" w:rsidP="00DA0977">
      <w:pPr>
        <w:pStyle w:val="ParaNoNdepar-AltN"/>
        <w:tabs>
          <w:tab w:val="clear" w:pos="7107"/>
          <w:tab w:val="num" w:pos="1152"/>
        </w:tabs>
        <w:ind w:left="0"/>
        <w:rPr>
          <w:rFonts w:cs="Times New Roman"/>
        </w:rPr>
      </w:pPr>
      <w:r w:rsidRPr="00DA0977">
        <w:rPr>
          <w:rFonts w:eastAsiaTheme="minorHAnsi" w:cs="Times New Roman"/>
        </w:rPr>
        <w:t>The messages exchanged by Mr. Bertrand Marchand and the victim confirmed the power imbalance between this adult and this child</w:t>
      </w:r>
      <w:r w:rsidRPr="00DA0977">
        <w:rPr>
          <w:rFonts w:cs="Times New Roman"/>
        </w:rPr>
        <w:t xml:space="preserve">. During the relevant period, the respondent requested to meet the victim upwards of 18 times in order to have sexual intercourse (sentencing reasons, at para. 68). </w:t>
      </w:r>
      <w:r w:rsidRPr="00DA0977">
        <w:t xml:space="preserve">The respondent </w:t>
      </w:r>
      <w:r w:rsidRPr="00DA0977">
        <w:rPr>
          <w:rFonts w:cs="Times New Roman"/>
        </w:rPr>
        <w:t xml:space="preserve">persisted with these requests until he succeeded in using her to serve his own sexual purposes. </w:t>
      </w:r>
      <w:r w:rsidRPr="00DA0977">
        <w:t xml:space="preserve">These meetings impacted the rules and conditions the victim was subject to at the rehabilitation centre she resided in at the time, and put her in danger. </w:t>
      </w:r>
      <w:r w:rsidRPr="00DA0977">
        <w:rPr>
          <w:rFonts w:cs="Times New Roman"/>
        </w:rPr>
        <w:t xml:space="preserve">The respondent also suggested on several occasions that she run away from the centre, even after the victim voiced fears of getting caught by her supervisors (A.R., vol. II, at pp. 109, 115 and 137). </w:t>
      </w:r>
    </w:p>
    <w:p w14:paraId="15E1C63D"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The messages were often sexually explicit. Several times throughout their conversations, </w:t>
      </w:r>
      <w:r w:rsidRPr="00DA0977">
        <w:rPr>
          <w:rFonts w:eastAsiaTheme="minorHAnsi" w:cs="Times New Roman"/>
        </w:rPr>
        <w:t>Mr. Bertrand</w:t>
      </w:r>
      <w:r w:rsidRPr="00DA0977">
        <w:rPr>
          <w:rFonts w:cs="Times New Roman"/>
        </w:rPr>
        <w:t xml:space="preserve"> Marchand impatiently asked her to send compromising photos over Snapchat (A.R., vol. II, at p. 110). He commented on her body, calling her sexy, saying [</w:t>
      </w:r>
      <w:r w:rsidRPr="00DA0977">
        <w:rPr>
          <w:rFonts w:cs="Times New Roman"/>
          <w:smallCaps/>
        </w:rPr>
        <w:t>translation</w:t>
      </w:r>
      <w:r w:rsidRPr="00DA0977">
        <w:rPr>
          <w:rFonts w:cs="Times New Roman"/>
        </w:rPr>
        <w:t>] “ur really a woman”, and noting that she had gained weight and looked like more of a woman (p. 117). He stated [</w:t>
      </w:r>
      <w:r w:rsidRPr="00DA0977">
        <w:rPr>
          <w:rFonts w:cs="Times New Roman"/>
          <w:smallCaps/>
        </w:rPr>
        <w:t>translation</w:t>
      </w:r>
      <w:r w:rsidRPr="00DA0977">
        <w:rPr>
          <w:rFonts w:cs="Times New Roman"/>
        </w:rPr>
        <w:t>] “ur gonna feel horny later” (p. 129) in the hopes of receiving an explicit photo via Snapchat. He said he was “joking” about screenshotting these explicit photos and saving them to his phone (p. 124).</w:t>
      </w:r>
    </w:p>
    <w:p w14:paraId="117EE230"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lastRenderedPageBreak/>
        <w:t>As recognized by the sentencing judge, the victim understood and expressed that the respondent was only staying in contact with her in order to have sexual intercourse (p. 80). In certain passages, the victim told the respondent that she felt used and exploited. She stated [</w:t>
      </w:r>
      <w:r w:rsidRPr="00DA0977">
        <w:rPr>
          <w:rFonts w:cs="Times New Roman"/>
          <w:smallCaps/>
        </w:rPr>
        <w:t>translation</w:t>
      </w:r>
      <w:r w:rsidRPr="00DA0977">
        <w:rPr>
          <w:rFonts w:cs="Times New Roman"/>
        </w:rPr>
        <w:t>] “I’m fed up and don’t want to be seen as a slut”, and asked him to respect her (p. 127). She expressed being [</w:t>
      </w:r>
      <w:r w:rsidRPr="00DA0977">
        <w:rPr>
          <w:rFonts w:cs="Times New Roman"/>
          <w:smallCaps/>
        </w:rPr>
        <w:t>translation</w:t>
      </w:r>
      <w:r w:rsidRPr="00DA0977">
        <w:rPr>
          <w:rFonts w:cs="Times New Roman"/>
        </w:rPr>
        <w:t xml:space="preserve">] “in need of love”, to which </w:t>
      </w:r>
      <w:r w:rsidRPr="00DA0977">
        <w:rPr>
          <w:rFonts w:eastAsiaTheme="minorHAnsi" w:cs="Times New Roman"/>
        </w:rPr>
        <w:t>Mr. Bertrand</w:t>
      </w:r>
      <w:r w:rsidRPr="00DA0977">
        <w:rPr>
          <w:rFonts w:cs="Times New Roman"/>
        </w:rPr>
        <w:t xml:space="preserve"> Marchand responded “haha or in need of sex?” (p. 131).</w:t>
      </w:r>
    </w:p>
    <w:p w14:paraId="4BB7FE9D" w14:textId="77777777" w:rsidR="00DA0977" w:rsidRPr="00DA0977" w:rsidRDefault="00DA0977" w:rsidP="00DA0977">
      <w:pPr>
        <w:pStyle w:val="ParaNoNdepar-AltN"/>
        <w:tabs>
          <w:tab w:val="clear" w:pos="7107"/>
          <w:tab w:val="num" w:pos="1152"/>
        </w:tabs>
        <w:ind w:left="0"/>
        <w:rPr>
          <w:rFonts w:cs="Times New Roman"/>
        </w:rPr>
      </w:pPr>
      <w:r w:rsidRPr="00DA0977">
        <w:rPr>
          <w:rFonts w:eastAsiaTheme="minorHAnsi" w:cs="Times New Roman"/>
        </w:rPr>
        <w:t>Mr. Bertrand</w:t>
      </w:r>
      <w:r w:rsidRPr="00DA0977">
        <w:rPr>
          <w:rFonts w:cs="Times New Roman"/>
        </w:rPr>
        <w:t xml:space="preserve"> Marchand also strategically expressed disappointment in the victim to exert control over her actions. He told her that she had lost his respect and conveyed frustration when she did not promptly respond to his messages. He told her she was letting him down when she did not send him explicit photos on demand (</w:t>
      </w:r>
      <w:r w:rsidRPr="00DA0977">
        <w:t>A.R. vol. II, at p. 115)</w:t>
      </w:r>
      <w:r w:rsidRPr="00DA0977">
        <w:rPr>
          <w:rFonts w:cs="Times New Roman"/>
        </w:rPr>
        <w:t xml:space="preserve">. </w:t>
      </w:r>
    </w:p>
    <w:p w14:paraId="6CAFA932"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Simultaneously, Mr. Bertrand Marchand gradually gained the victim’s trust by showing concern for her, buying her gifts, and making promises. At times he took on the role of a mentor by telling her not to end up in trouble, or asking her how school was going. He expressed that he did not [</w:t>
      </w:r>
      <w:r w:rsidRPr="00DA0977">
        <w:rPr>
          <w:rFonts w:cs="Times New Roman"/>
          <w:smallCaps/>
        </w:rPr>
        <w:t>translation</w:t>
      </w:r>
      <w:r w:rsidRPr="00DA0977">
        <w:rPr>
          <w:rFonts w:cs="Times New Roman"/>
        </w:rPr>
        <w:t>] “want to be in shit because you run away to our place” (p. 155). He also promised to purchase her alcohol, and cajoled, enticed and praised her in an effort to gain sexual advantage.</w:t>
      </w:r>
    </w:p>
    <w:p w14:paraId="29FACD0A"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rPr>
        <w:t>The record reveals that Mr. Bertrand Marchand did not respect the victim’s stated boundaries. In the final messages exchanged, where [</w:t>
      </w:r>
      <w:r w:rsidRPr="00DA0977">
        <w:rPr>
          <w:rFonts w:cs="Times New Roman"/>
          <w:smallCaps/>
        </w:rPr>
        <w:t>translation</w:t>
      </w:r>
      <w:r w:rsidRPr="00DA0977">
        <w:rPr>
          <w:rFonts w:cs="Times New Roman"/>
        </w:rPr>
        <w:t xml:space="preserve">] “the teenager stated clearly that she no longer wanted to continue their relationship”, he </w:t>
      </w:r>
      <w:r w:rsidRPr="00DA0977">
        <w:rPr>
          <w:rFonts w:cs="Times New Roman"/>
        </w:rPr>
        <w:lastRenderedPageBreak/>
        <w:t>insisted saying that she was [</w:t>
      </w:r>
      <w:r w:rsidRPr="00DA0977">
        <w:rPr>
          <w:rFonts w:cs="Times New Roman"/>
          <w:smallCaps/>
        </w:rPr>
        <w:t>translation</w:t>
      </w:r>
      <w:r w:rsidRPr="00DA0977">
        <w:rPr>
          <w:rFonts w:cs="Times New Roman"/>
        </w:rPr>
        <w:t>] “too much of a woman” for them to stop talking (sentencing reasons, at para. 48; see also A.R., vol. II, at p. 161). Rather than respecting her request to end contact, he made her question her decision, warning her that because he made a lot of money, she would never be able to find someone who could spoil her like him (A.R., vol. II, at p. 161).</w:t>
      </w:r>
    </w:p>
    <w:p w14:paraId="1598C570"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The messages demonstrate that the respondent groomed the victim with the aim to control and influence this child toward a sexual purpose. He used his relative seniority over the victim to manipulate her and capitalized on the power imbalance between them. He pressured her, berated her and imbued their communications with sexual undertones and overtones. He ignored her stated boundaries and oscillated between endearment and frustration to obtain the sexual contact that he wanted. The offender did all of this via online messaging platforms — the only medium by which the victim was able to communicate with the outside world. This behaviour is not only grooming, but is precisely what Parliament sought to prevent by introducing the luring provisions.</w:t>
      </w:r>
    </w:p>
    <w:p w14:paraId="20DB1422"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The sentencing judge erred by failing to recognize the grooming present here, which should have served as an aggravating factor on sentencing.</w:t>
      </w:r>
    </w:p>
    <w:p w14:paraId="0FA029E8" w14:textId="77777777" w:rsidR="00DA0977" w:rsidRPr="00DA0977" w:rsidRDefault="00DA0977" w:rsidP="00DA0977">
      <w:pPr>
        <w:pStyle w:val="Title3LevelTitre3Niveau"/>
        <w:jc w:val="both"/>
        <w:rPr>
          <w:rFonts w:cs="Times New Roman"/>
        </w:rPr>
      </w:pPr>
      <w:bookmarkStart w:id="96" w:name="_Toc135322931"/>
      <w:bookmarkStart w:id="97" w:name="_Toc137199866"/>
      <w:bookmarkStart w:id="98" w:name="_Toc140673981"/>
      <w:bookmarkStart w:id="99" w:name="_Toc141096926"/>
      <w:bookmarkStart w:id="100" w:name="_Toc141694546"/>
      <w:bookmarkStart w:id="101" w:name="_Toc146612952"/>
      <w:bookmarkStart w:id="102" w:name="_Toc134714654"/>
      <w:bookmarkStart w:id="103" w:name="_Toc135041583"/>
      <w:r w:rsidRPr="00DA0977">
        <w:rPr>
          <w:rFonts w:cs="Times New Roman"/>
        </w:rPr>
        <w:t>The Sentencing Judge Misconstrued the Offender’s Actions</w:t>
      </w:r>
      <w:bookmarkEnd w:id="96"/>
      <w:bookmarkEnd w:id="97"/>
      <w:bookmarkEnd w:id="98"/>
      <w:bookmarkEnd w:id="99"/>
      <w:bookmarkEnd w:id="100"/>
      <w:bookmarkEnd w:id="101"/>
    </w:p>
    <w:p w14:paraId="0E745CAF"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rPr>
        <w:t xml:space="preserve">Taking a critical look at the language used to describe sexual violence experienced by children is essential to adequately reflect the wrongfulness and the </w:t>
      </w:r>
      <w:r w:rsidRPr="00DA0977">
        <w:rPr>
          <w:rFonts w:cs="Times New Roman"/>
        </w:rPr>
        <w:lastRenderedPageBreak/>
        <w:t xml:space="preserve">harmfulness of these offences. In </w:t>
      </w:r>
      <w:r w:rsidRPr="00DA0977">
        <w:rPr>
          <w:rFonts w:cs="Times New Roman"/>
          <w:i/>
        </w:rPr>
        <w:t>Friesen</w:t>
      </w:r>
      <w:r w:rsidRPr="00DA0977">
        <w:rPr>
          <w:rFonts w:cs="Times New Roman"/>
        </w:rPr>
        <w:t xml:space="preserve">, the Court warned against the use of misleading language that either euphemizes or eroticizes sexual violence because it risks trivializing that violence, normalizing conduct that is meant to be condemned, and it removes responsibility from the offender (paras. 147 and 151). Imprecise language can also indicate the presence of biases that may impermissibly affect the court’s reasoning (S. Zaccour and M. Lessard, “La culture du viol dans le discours juridique: soigner ses mots pour combattre les violences sexuelles” (2021), 33 </w:t>
      </w:r>
      <w:r w:rsidRPr="00DA0977">
        <w:rPr>
          <w:rFonts w:cs="Times New Roman"/>
          <w:i/>
        </w:rPr>
        <w:t>C.J.W.L.</w:t>
      </w:r>
      <w:r w:rsidRPr="00DA0977">
        <w:rPr>
          <w:rFonts w:cs="Times New Roman"/>
        </w:rPr>
        <w:t xml:space="preserve"> 175, at p. 203). Courts should avoid language that may re-victimize victims “by disguising and obscuring the violence, pain, and trauma that [they] experienced” (</w:t>
      </w:r>
      <w:r w:rsidRPr="00DA0977">
        <w:rPr>
          <w:rFonts w:cs="Times New Roman"/>
          <w:i/>
        </w:rPr>
        <w:t>Friesen</w:t>
      </w:r>
      <w:r w:rsidRPr="00DA0977">
        <w:rPr>
          <w:rFonts w:cs="Times New Roman"/>
        </w:rPr>
        <w:t>, at para. </w:t>
      </w:r>
      <w:r w:rsidRPr="00DA0977">
        <w:rPr>
          <w:rFonts w:cs="Times New Roman"/>
          <w:lang w:val="en-US"/>
        </w:rPr>
        <w:t>147)</w:t>
      </w:r>
      <w:r w:rsidRPr="00DA0977">
        <w:rPr>
          <w:rFonts w:cs="Times New Roman"/>
        </w:rPr>
        <w:t>.</w:t>
      </w:r>
    </w:p>
    <w:p w14:paraId="21147048"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szCs w:val="24"/>
        </w:rPr>
        <w:t xml:space="preserve">In the instant case, the sentencing judge stated that this was not a “classic” case of luring, but rather an attempt to repeat the “sexual escapades” that the victim had already “consented” to three times. The judge explained that the impugned communications occurred online not because of the anonymity that social media affords, but because this platform was commonly used by persons of Mr. Bertrand Marchand’s generation. </w:t>
      </w:r>
    </w:p>
    <w:p w14:paraId="2824314E"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While it is true that the respondent did not anonymously approach a child online that he had never met before, he did use telecommunication platforms to manipulate a child for his own sexual ends. Luring can be done anonymously, but it is inaccurate and unhelpful to characterize this as its “classic” form (S. Paquette and F. Fortin, “Les traces numériques laissées par les cyberdélinquants sexuels: identités </w:t>
      </w:r>
      <w:r w:rsidRPr="00DA0977">
        <w:rPr>
          <w:rFonts w:cs="Times New Roman"/>
        </w:rPr>
        <w:lastRenderedPageBreak/>
        <w:t xml:space="preserve">virtuelles, mensonges et protection de l’anonymat” (2021), 74 </w:t>
      </w:r>
      <w:r w:rsidRPr="00DA0977">
        <w:rPr>
          <w:rFonts w:cs="Times New Roman"/>
          <w:i/>
        </w:rPr>
        <w:t>R.I.C.P.T.S.</w:t>
      </w:r>
      <w:r w:rsidRPr="00DA0977">
        <w:rPr>
          <w:rFonts w:cs="Times New Roman"/>
        </w:rPr>
        <w:t xml:space="preserve"> 387, at p. 401; see also</w:t>
      </w:r>
      <w:r w:rsidRPr="00DA0977">
        <w:rPr>
          <w:rFonts w:cs="Times New Roman"/>
          <w:i/>
        </w:rPr>
        <w:t xml:space="preserve"> Rayo</w:t>
      </w:r>
      <w:r w:rsidRPr="00DA0977">
        <w:rPr>
          <w:rFonts w:cs="Times New Roman"/>
        </w:rPr>
        <w:t xml:space="preserve">; </w:t>
      </w:r>
      <w:r w:rsidRPr="00DA0977">
        <w:rPr>
          <w:rFonts w:cs="Times New Roman"/>
          <w:i/>
        </w:rPr>
        <w:t>R. v. Miller</w:t>
      </w:r>
      <w:r w:rsidRPr="00DA0977">
        <w:rPr>
          <w:rFonts w:cs="Times New Roman"/>
        </w:rPr>
        <w:t xml:space="preserve">, 2016 SKCA 32, 476 Sask. R. 150, at para. 23). </w:t>
      </w:r>
      <w:r w:rsidRPr="00DA0977">
        <w:rPr>
          <w:rFonts w:cs="Times New Roman"/>
          <w:szCs w:val="24"/>
        </w:rPr>
        <w:t xml:space="preserve">Mr. Bertrand Marchand’s choice to contact the victim online was not merely a “generational choice”. Because the victim lived in a rehabilitation centre, online communication was the only way Mr. Bertrand Marchand could access the victim and build a relationship with her in order to repeat the acts constituting sexual interference. I agree with the dissenting judge in the court below that </w:t>
      </w:r>
      <w:r w:rsidRPr="00DA0977">
        <w:rPr>
          <w:rFonts w:cs="Times New Roman"/>
        </w:rPr>
        <w:t>[</w:t>
      </w:r>
      <w:r w:rsidRPr="00DA0977">
        <w:rPr>
          <w:rFonts w:cs="Times New Roman"/>
          <w:smallCaps/>
        </w:rPr>
        <w:t>translation</w:t>
      </w:r>
      <w:r w:rsidRPr="00DA0977">
        <w:rPr>
          <w:rFonts w:cs="Times New Roman"/>
        </w:rPr>
        <w:t xml:space="preserve">] </w:t>
      </w:r>
      <w:r w:rsidRPr="00DA0977">
        <w:rPr>
          <w:rFonts w:cs="Times New Roman"/>
          <w:szCs w:val="24"/>
        </w:rPr>
        <w:t>“the respondent . . . chose to use the means of telecommunication available to him and the victim to multiply their encounters to ensure his control and maintain his domination over her” (C.A. reasons, at para. 36).</w:t>
      </w:r>
      <w:r w:rsidRPr="00DA0977">
        <w:rPr>
          <w:rFonts w:cs="Times New Roman"/>
        </w:rPr>
        <w:t xml:space="preserve"> </w:t>
      </w:r>
      <w:r w:rsidRPr="00DA0977">
        <w:rPr>
          <w:rFonts w:cs="Times New Roman"/>
          <w:szCs w:val="24"/>
        </w:rPr>
        <w:t>The sentencing judge treated the absence of anonymity as reducing the seriousness of the offence (</w:t>
      </w:r>
      <w:r w:rsidRPr="00DA0977">
        <w:rPr>
          <w:rFonts w:cs="Times New Roman"/>
          <w:i/>
          <w:szCs w:val="24"/>
        </w:rPr>
        <w:t>Rayo</w:t>
      </w:r>
      <w:r w:rsidRPr="00DA0977">
        <w:rPr>
          <w:rFonts w:cs="Times New Roman"/>
          <w:szCs w:val="24"/>
        </w:rPr>
        <w:t xml:space="preserve">, at para. 88) and misconstrued the use of social media as merely a generational preference. Both of these elements erroneously served as mitigating factors on sentencing. </w:t>
      </w:r>
    </w:p>
    <w:p w14:paraId="0F844B31"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By employing the term [</w:t>
      </w:r>
      <w:r w:rsidRPr="00DA0977">
        <w:rPr>
          <w:rFonts w:cs="Times New Roman"/>
          <w:smallCaps/>
        </w:rPr>
        <w:t>translation</w:t>
      </w:r>
      <w:r w:rsidRPr="00DA0977">
        <w:rPr>
          <w:rFonts w:cs="Times New Roman"/>
        </w:rPr>
        <w:t>] “sexual escapade” to describe Mr. Bertrand Marchand’s illegal sexual interference with a minor (paras. 38, 50-51, 64 and 68), the sentencing judge minimized the harm done to the child. Such a term evokes pleasure and excitement, and privileges the perspective of the adult. This is akin to using terms such as “fondling” and [</w:t>
      </w:r>
      <w:r w:rsidRPr="00DA0977">
        <w:rPr>
          <w:rFonts w:cs="Times New Roman"/>
          <w:smallCaps/>
        </w:rPr>
        <w:t>translation</w:t>
      </w:r>
      <w:r w:rsidRPr="00DA0977">
        <w:rPr>
          <w:rFonts w:cs="Times New Roman"/>
        </w:rPr>
        <w:t>] “caressing”, which signal that the conduct is inherently less blameworthy or harmful than other forms of violence (</w:t>
      </w:r>
      <w:r w:rsidRPr="00DA0977">
        <w:rPr>
          <w:rFonts w:cs="Times New Roman"/>
          <w:i/>
        </w:rPr>
        <w:t>Friesen</w:t>
      </w:r>
      <w:r w:rsidRPr="00DA0977">
        <w:rPr>
          <w:rFonts w:cs="Times New Roman"/>
        </w:rPr>
        <w:t>,</w:t>
      </w:r>
      <w:r w:rsidRPr="00DA0977">
        <w:rPr>
          <w:rFonts w:cs="Times New Roman"/>
          <w:i/>
        </w:rPr>
        <w:t xml:space="preserve"> </w:t>
      </w:r>
      <w:r w:rsidRPr="00DA0977">
        <w:rPr>
          <w:rFonts w:cs="Times New Roman"/>
        </w:rPr>
        <w:t xml:space="preserve">at para. 144, citing </w:t>
      </w:r>
      <w:r w:rsidRPr="00DA0977">
        <w:rPr>
          <w:rFonts w:cs="Times New Roman"/>
          <w:i/>
        </w:rPr>
        <w:t>R. v. Hood</w:t>
      </w:r>
      <w:r w:rsidRPr="00DA0977">
        <w:rPr>
          <w:rFonts w:cs="Times New Roman"/>
        </w:rPr>
        <w:t>, 2018 NSCA 18, 45 C.R. (7th) 269,</w:t>
      </w:r>
      <w:r w:rsidRPr="00DA0977">
        <w:rPr>
          <w:rFonts w:cs="Times New Roman"/>
          <w:i/>
        </w:rPr>
        <w:t xml:space="preserve"> </w:t>
      </w:r>
      <w:r w:rsidRPr="00DA0977">
        <w:rPr>
          <w:rFonts w:cs="Times New Roman"/>
        </w:rPr>
        <w:t xml:space="preserve">at para. 150, and </w:t>
      </w:r>
      <w:r w:rsidRPr="00DA0977">
        <w:rPr>
          <w:rFonts w:cs="Times New Roman"/>
          <w:i/>
        </w:rPr>
        <w:t>Caron Barrette v. R.</w:t>
      </w:r>
      <w:r w:rsidRPr="00DA0977">
        <w:rPr>
          <w:rFonts w:cs="Times New Roman"/>
        </w:rPr>
        <w:t xml:space="preserve">, 2018 QCCA 516, at para. 93 (CanLII)). This language “undermines Parliament’s objective of communicating that the use of </w:t>
      </w:r>
      <w:r w:rsidRPr="00DA0977">
        <w:rPr>
          <w:rFonts w:cs="Times New Roman"/>
        </w:rPr>
        <w:lastRenderedPageBreak/>
        <w:t>children as sexual objects for the gratification of adults is wrongful” (</w:t>
      </w:r>
      <w:r w:rsidRPr="00DA0977">
        <w:rPr>
          <w:rFonts w:cs="Times New Roman"/>
          <w:i/>
        </w:rPr>
        <w:t>Friesen</w:t>
      </w:r>
      <w:r w:rsidRPr="00DA0977">
        <w:rPr>
          <w:rFonts w:cs="Times New Roman"/>
        </w:rPr>
        <w:t xml:space="preserve">, at para. 147). </w:t>
      </w:r>
    </w:p>
    <w:p w14:paraId="61453FB6"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rPr>
        <w:t xml:space="preserve">The sentencing judge stated on numerous occasions that the victim had already “consented” to the sexual intercourse. Clearly, given the victim’s age, any purported “consent” to sexual activity in these circumstances was legally impossible. The presence of prior acts making out the offence of sexual interference should not mitigate the wrongfulness of the conduct or minimize the harm it generates. That this minor was subject to three prior instances of illegal sexual intercourse establishes a pattern of abuse, and not a reason for it. While the sentencing judge acknowledged that consent could not play a role in the </w:t>
      </w:r>
      <w:r w:rsidRPr="00DA0977">
        <w:rPr>
          <w:rFonts w:cs="Times New Roman"/>
          <w:i/>
        </w:rPr>
        <w:t xml:space="preserve">sexual interference </w:t>
      </w:r>
      <w:r w:rsidRPr="00DA0977">
        <w:rPr>
          <w:rFonts w:cs="Times New Roman"/>
        </w:rPr>
        <w:t xml:space="preserve">offence, she did not make this same distinction for the luring offence. </w:t>
      </w:r>
      <w:r w:rsidRPr="00DA0977">
        <w:rPr>
          <w:rFonts w:cs="Times New Roman"/>
          <w:szCs w:val="24"/>
        </w:rPr>
        <w:t>The use of language that suggests consent in situations where consent is legally impossible is to be avoided. Analogizing a child’s psychological manipulated actions to consent is a legal error (</w:t>
      </w:r>
      <w:r w:rsidRPr="00DA0977">
        <w:rPr>
          <w:rFonts w:cs="Times New Roman"/>
          <w:i/>
          <w:szCs w:val="24"/>
        </w:rPr>
        <w:t>Friesen</w:t>
      </w:r>
      <w:r w:rsidRPr="00DA0977">
        <w:rPr>
          <w:rFonts w:cs="Times New Roman"/>
          <w:szCs w:val="24"/>
        </w:rPr>
        <w:t>, at paras. 148-50).</w:t>
      </w:r>
    </w:p>
    <w:p w14:paraId="38AA09B3"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A review of the sentencing judge’s language reveals that her framing of the illegal sexual encounters as “escapades” and her wrongful characterization of the victim’s behaviour as consent minimized Mr. Bertrand Marchand’s actions. This framing caused her to unduly minimize the wrongfulness and harms of the offence by factoring in the extent to which the victim “participated” in the violence — which was a separate error of law (</w:t>
      </w:r>
      <w:r w:rsidRPr="00DA0977">
        <w:rPr>
          <w:rFonts w:cs="Times New Roman"/>
          <w:i/>
        </w:rPr>
        <w:t>Friesen</w:t>
      </w:r>
      <w:r w:rsidRPr="00DA0977">
        <w:rPr>
          <w:rFonts w:cs="Times New Roman"/>
        </w:rPr>
        <w:t>, at para. 150).</w:t>
      </w:r>
    </w:p>
    <w:p w14:paraId="6E42F709" w14:textId="77777777" w:rsidR="00DA0977" w:rsidRPr="00DA0977" w:rsidRDefault="00DA0977" w:rsidP="00DA0977">
      <w:pPr>
        <w:pStyle w:val="Title2LevelTitre2Niveau"/>
        <w:numPr>
          <w:ilvl w:val="1"/>
          <w:numId w:val="29"/>
        </w:numPr>
        <w:rPr>
          <w:rFonts w:cs="Times New Roman"/>
        </w:rPr>
      </w:pPr>
      <w:bookmarkStart w:id="104" w:name="_Toc135041584"/>
      <w:bookmarkStart w:id="105" w:name="_Toc135322933"/>
      <w:bookmarkStart w:id="106" w:name="_Toc137199867"/>
      <w:bookmarkStart w:id="107" w:name="_Toc140673982"/>
      <w:bookmarkStart w:id="108" w:name="_Toc141096927"/>
      <w:bookmarkStart w:id="109" w:name="_Toc141694547"/>
      <w:bookmarkStart w:id="110" w:name="_Toc146612953"/>
      <w:bookmarkEnd w:id="102"/>
      <w:bookmarkEnd w:id="103"/>
      <w:r w:rsidRPr="00DA0977">
        <w:rPr>
          <w:rFonts w:cs="Times New Roman"/>
        </w:rPr>
        <w:t>A 12</w:t>
      </w:r>
      <w:r w:rsidRPr="00DA0977">
        <w:rPr>
          <w:rFonts w:cs="Times New Roman"/>
        </w:rPr>
        <w:noBreakHyphen/>
        <w:t>Month Sentence Is Appropriate</w:t>
      </w:r>
      <w:bookmarkEnd w:id="87"/>
      <w:bookmarkEnd w:id="88"/>
      <w:bookmarkEnd w:id="104"/>
      <w:bookmarkEnd w:id="105"/>
      <w:bookmarkEnd w:id="106"/>
      <w:bookmarkEnd w:id="107"/>
      <w:bookmarkEnd w:id="108"/>
      <w:bookmarkEnd w:id="109"/>
      <w:bookmarkEnd w:id="110"/>
    </w:p>
    <w:p w14:paraId="1A0BFA66"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szCs w:val="24"/>
          <w:lang w:val="en-US"/>
        </w:rPr>
        <w:lastRenderedPageBreak/>
        <w:t xml:space="preserve">These errors mean this Court is now tasked with setting a fit and proportionate sentence for Mr. Bertrand Marchand. </w:t>
      </w:r>
      <w:r w:rsidRPr="00DA0977">
        <w:rPr>
          <w:rFonts w:cs="Times New Roman"/>
          <w:lang w:val="en-US"/>
        </w:rPr>
        <w:t xml:space="preserve">I agree with the Crown that given the particular circumstances of the luring in this case, there was no justification for departing from the existing sentencing range of 12 to </w:t>
      </w:r>
      <w:r w:rsidRPr="00DA0977">
        <w:rPr>
          <w:rFonts w:cs="Times New Roman"/>
        </w:rPr>
        <w:t>24 months for luring cases proceeding by indictment (</w:t>
      </w:r>
      <w:r w:rsidRPr="00DA0977">
        <w:rPr>
          <w:rFonts w:cs="Times New Roman"/>
          <w:i/>
        </w:rPr>
        <w:t>Morrison</w:t>
      </w:r>
      <w:r w:rsidRPr="00DA0977">
        <w:rPr>
          <w:rFonts w:cs="Times New Roman"/>
        </w:rPr>
        <w:t>,</w:t>
      </w:r>
      <w:r w:rsidRPr="00DA0977">
        <w:rPr>
          <w:rFonts w:cs="Times New Roman"/>
          <w:i/>
        </w:rPr>
        <w:t xml:space="preserve"> </w:t>
      </w:r>
      <w:r w:rsidRPr="00DA0977">
        <w:rPr>
          <w:rFonts w:cs="Times New Roman"/>
        </w:rPr>
        <w:t>at para. 177, citing</w:t>
      </w:r>
      <w:r w:rsidRPr="00DA0977">
        <w:rPr>
          <w:rFonts w:cs="Times New Roman"/>
          <w:i/>
        </w:rPr>
        <w:t xml:space="preserve"> Jarvis</w:t>
      </w:r>
      <w:r w:rsidRPr="00DA0977">
        <w:rPr>
          <w:rFonts w:cs="Times New Roman"/>
        </w:rPr>
        <w:t xml:space="preserve">, at para. 31; </w:t>
      </w:r>
      <w:r w:rsidRPr="00DA0977">
        <w:rPr>
          <w:rFonts w:cs="Times New Roman"/>
          <w:lang w:val="en-US"/>
        </w:rPr>
        <w:t xml:space="preserve">A.F., at para. 75). </w:t>
      </w:r>
    </w:p>
    <w:p w14:paraId="5891E4B5" w14:textId="77777777" w:rsidR="00DA0977" w:rsidRPr="00DA0977" w:rsidRDefault="00DA0977" w:rsidP="00DA0977">
      <w:pPr>
        <w:pStyle w:val="Title3LevelTitre3Niveau"/>
        <w:numPr>
          <w:ilvl w:val="2"/>
          <w:numId w:val="29"/>
        </w:numPr>
        <w:tabs>
          <w:tab w:val="num" w:pos="1422"/>
        </w:tabs>
        <w:rPr>
          <w:rFonts w:cs="Times New Roman"/>
        </w:rPr>
      </w:pPr>
      <w:bookmarkStart w:id="111" w:name="_Toc135041572"/>
      <w:bookmarkStart w:id="112" w:name="_Toc135322934"/>
      <w:bookmarkStart w:id="113" w:name="_Toc137199868"/>
      <w:bookmarkStart w:id="114" w:name="_Toc140673983"/>
      <w:bookmarkStart w:id="115" w:name="_Toc141096928"/>
      <w:bookmarkStart w:id="116" w:name="_Toc141694548"/>
      <w:bookmarkStart w:id="117" w:name="_Toc146612954"/>
      <w:r w:rsidRPr="00DA0977">
        <w:rPr>
          <w:rFonts w:cs="Times New Roman"/>
        </w:rPr>
        <w:t>Significant Factors to Determine a Fit Sentence</w:t>
      </w:r>
      <w:bookmarkEnd w:id="111"/>
      <w:bookmarkEnd w:id="112"/>
      <w:bookmarkEnd w:id="113"/>
      <w:bookmarkEnd w:id="114"/>
      <w:bookmarkEnd w:id="115"/>
      <w:bookmarkEnd w:id="116"/>
      <w:bookmarkEnd w:id="117"/>
    </w:p>
    <w:p w14:paraId="6FFFE2CC" w14:textId="77777777" w:rsidR="00DA0977" w:rsidRPr="00DA0977" w:rsidRDefault="00DA0977" w:rsidP="00DA0977">
      <w:pPr>
        <w:pStyle w:val="ParaNoNdepar-AltN"/>
        <w:tabs>
          <w:tab w:val="clear" w:pos="7107"/>
          <w:tab w:val="num" w:pos="1152"/>
        </w:tabs>
        <w:ind w:left="0"/>
        <w:rPr>
          <w:rFonts w:cs="Times New Roman"/>
        </w:rPr>
      </w:pPr>
      <w:r w:rsidRPr="00DA0977">
        <w:t>In addition to determining the gravity of the offence, determining the moral blameworthiness of the offender is key to setting a proportionate sentence</w:t>
      </w:r>
      <w:r w:rsidRPr="00DA0977">
        <w:rPr>
          <w:rFonts w:cs="Times New Roman"/>
        </w:rPr>
        <w:t xml:space="preserve">. This requires identifying both mitigating and aggravating factors. Here, in order to examine Mr. Bertrand Marchand’s blameworthiness and set a proportionate sentence, I provide a non-exhaustive list of aggravating and mitigating factors that have particular relevance in the context of luring. </w:t>
      </w:r>
      <w:bookmarkStart w:id="118" w:name="_Toc135322935"/>
    </w:p>
    <w:p w14:paraId="46AC8D4B" w14:textId="77777777" w:rsidR="00DA0977" w:rsidRPr="00DA0977" w:rsidRDefault="00DA0977" w:rsidP="00DA0977">
      <w:pPr>
        <w:pStyle w:val="Title4LevelTitre4Niveau"/>
        <w:numPr>
          <w:ilvl w:val="3"/>
          <w:numId w:val="29"/>
        </w:numPr>
      </w:pPr>
      <w:bookmarkStart w:id="119" w:name="_Toc137199869"/>
      <w:bookmarkStart w:id="120" w:name="_Toc140673984"/>
      <w:bookmarkStart w:id="121" w:name="_Toc141096929"/>
      <w:bookmarkStart w:id="122" w:name="_Toc141694549"/>
      <w:bookmarkStart w:id="123" w:name="_Toc146612955"/>
      <w:r w:rsidRPr="00DA0977">
        <w:t>Mitigating Factors</w:t>
      </w:r>
      <w:bookmarkEnd w:id="118"/>
      <w:bookmarkEnd w:id="119"/>
      <w:bookmarkEnd w:id="120"/>
      <w:bookmarkEnd w:id="121"/>
      <w:bookmarkEnd w:id="122"/>
      <w:bookmarkEnd w:id="123"/>
    </w:p>
    <w:p w14:paraId="64B54059" w14:textId="77777777" w:rsidR="00DA0977" w:rsidRPr="00DA0977" w:rsidRDefault="00DA0977" w:rsidP="00DA0977">
      <w:pPr>
        <w:pStyle w:val="ParaNoNdepar-AltN"/>
        <w:tabs>
          <w:tab w:val="clear" w:pos="7107"/>
          <w:tab w:val="num" w:pos="1152"/>
        </w:tabs>
        <w:ind w:left="0"/>
      </w:pPr>
      <w:r w:rsidRPr="00DA0977">
        <w:t xml:space="preserve">Sentencing judges must consider the mitigating factors that arise on the facts of the particular case before them. Mitigating factors that commonly appear in luring cases include whether the offender pleaded guilty (see, e.g., </w:t>
      </w:r>
      <w:r w:rsidRPr="00DA0977">
        <w:rPr>
          <w:i/>
        </w:rPr>
        <w:t>Misay</w:t>
      </w:r>
      <w:r w:rsidRPr="00DA0977">
        <w:t xml:space="preserve">, at para. 141; </w:t>
      </w:r>
      <w:r w:rsidRPr="00DA0977">
        <w:rPr>
          <w:i/>
        </w:rPr>
        <w:t>Melrose</w:t>
      </w:r>
      <w:r w:rsidRPr="00DA0977">
        <w:t xml:space="preserve">, at para. 264; </w:t>
      </w:r>
      <w:r w:rsidRPr="00DA0977">
        <w:rPr>
          <w:i/>
        </w:rPr>
        <w:t>Wall</w:t>
      </w:r>
      <w:r w:rsidRPr="00DA0977">
        <w:t xml:space="preserve">, at para. 75; </w:t>
      </w:r>
      <w:r w:rsidRPr="00DA0977">
        <w:rPr>
          <w:i/>
        </w:rPr>
        <w:t>R. v. Ditoro</w:t>
      </w:r>
      <w:r w:rsidRPr="00DA0977">
        <w:t xml:space="preserve">, 2021 ONCJ 540, at para. 43 (CanLII); </w:t>
      </w:r>
      <w:r w:rsidRPr="00DA0977">
        <w:rPr>
          <w:i/>
        </w:rPr>
        <w:t>R. v. Gould</w:t>
      </w:r>
      <w:r w:rsidRPr="00DA0977">
        <w:t xml:space="preserve">, 2022 ONCJ 187; </w:t>
      </w:r>
      <w:r w:rsidRPr="00DA0977">
        <w:rPr>
          <w:i/>
        </w:rPr>
        <w:t>R. v. Cooper</w:t>
      </w:r>
      <w:r w:rsidRPr="00DA0977">
        <w:t xml:space="preserve">, 2023 ONSC 875, at para. 17 (CanLII); </w:t>
      </w:r>
      <w:r w:rsidRPr="00DA0977">
        <w:rPr>
          <w:i/>
        </w:rPr>
        <w:t>R. v. Clarke</w:t>
      </w:r>
      <w:r w:rsidRPr="00DA0977">
        <w:t xml:space="preserve">, 2021 NLCA 8, at para. 53 (CanLII); </w:t>
      </w:r>
      <w:r w:rsidRPr="00DA0977">
        <w:rPr>
          <w:i/>
        </w:rPr>
        <w:t>R.S.F.</w:t>
      </w:r>
      <w:r w:rsidRPr="00DA0977">
        <w:t xml:space="preserve">, at para. 103; </w:t>
      </w:r>
      <w:r w:rsidRPr="00DA0977">
        <w:rPr>
          <w:i/>
        </w:rPr>
        <w:t xml:space="preserve">R. v. </w:t>
      </w:r>
      <w:r w:rsidRPr="00DA0977">
        <w:rPr>
          <w:i/>
        </w:rPr>
        <w:lastRenderedPageBreak/>
        <w:t>Aeichele</w:t>
      </w:r>
      <w:r w:rsidRPr="00DA0977">
        <w:t xml:space="preserve">, 2023 BCSC 253, at para. 61 (CanLII); </w:t>
      </w:r>
      <w:r w:rsidRPr="00DA0977">
        <w:rPr>
          <w:i/>
        </w:rPr>
        <w:t>R. v. Wolff</w:t>
      </w:r>
      <w:r w:rsidRPr="00DA0977">
        <w:t xml:space="preserve">, 2020 BCPC 174, at para. 64 (CanLII)), whether the offender has expressed genuine remorse or gained insight into the offence (see, e.g., </w:t>
      </w:r>
      <w:r w:rsidRPr="00DA0977">
        <w:rPr>
          <w:i/>
        </w:rPr>
        <w:t>Directeur des poursuites criminelles et pénales v. St-Amour</w:t>
      </w:r>
      <w:r w:rsidRPr="00DA0977">
        <w:t xml:space="preserve">, 2021 QCCQ 6855, at para. 43 (CanLII); </w:t>
      </w:r>
      <w:r w:rsidRPr="00DA0977">
        <w:rPr>
          <w:i/>
        </w:rPr>
        <w:t>Wall</w:t>
      </w:r>
      <w:r w:rsidRPr="00DA0977">
        <w:t xml:space="preserve">, at para. 75; </w:t>
      </w:r>
      <w:r w:rsidRPr="00DA0977">
        <w:rPr>
          <w:i/>
        </w:rPr>
        <w:t>Ditoro</w:t>
      </w:r>
      <w:r w:rsidRPr="00DA0977">
        <w:t xml:space="preserve">, at para. 59; </w:t>
      </w:r>
      <w:r w:rsidRPr="00DA0977">
        <w:rPr>
          <w:i/>
        </w:rPr>
        <w:t>Misay</w:t>
      </w:r>
      <w:r w:rsidRPr="00DA0977">
        <w:t xml:space="preserve">, at para. 150; </w:t>
      </w:r>
      <w:r w:rsidRPr="00DA0977">
        <w:rPr>
          <w:i/>
        </w:rPr>
        <w:t>Gould</w:t>
      </w:r>
      <w:r w:rsidRPr="00DA0977">
        <w:t xml:space="preserve">; </w:t>
      </w:r>
      <w:r w:rsidRPr="00DA0977">
        <w:rPr>
          <w:i/>
        </w:rPr>
        <w:t>R. v. Rice</w:t>
      </w:r>
      <w:r w:rsidRPr="00DA0977">
        <w:t xml:space="preserve">, 2022 ABKB 773, at para. 48 (CanLII); </w:t>
      </w:r>
      <w:r w:rsidRPr="00DA0977">
        <w:rPr>
          <w:i/>
        </w:rPr>
        <w:t>Clarke</w:t>
      </w:r>
      <w:r w:rsidRPr="00DA0977">
        <w:t xml:space="preserve">, at para. 53; </w:t>
      </w:r>
      <w:r w:rsidRPr="00DA0977">
        <w:rPr>
          <w:i/>
        </w:rPr>
        <w:t>R.S.F.</w:t>
      </w:r>
      <w:r w:rsidRPr="00DA0977">
        <w:t xml:space="preserve">, at para. 105; </w:t>
      </w:r>
      <w:r w:rsidRPr="00DA0977">
        <w:rPr>
          <w:i/>
        </w:rPr>
        <w:t>Wolff</w:t>
      </w:r>
      <w:r w:rsidRPr="00DA0977">
        <w:t xml:space="preserve">, at para. 67), and whether the offender has undertaken rehabilitative steps such as counselling or treatment (see, e.g., </w:t>
      </w:r>
      <w:r w:rsidRPr="00DA0977">
        <w:rPr>
          <w:i/>
        </w:rPr>
        <w:t>R.S.F.</w:t>
      </w:r>
      <w:r w:rsidRPr="00DA0977">
        <w:t xml:space="preserve">, at para. 103; </w:t>
      </w:r>
      <w:r w:rsidRPr="00DA0977">
        <w:rPr>
          <w:i/>
        </w:rPr>
        <w:t>R. v. Wickramasinghe</w:t>
      </w:r>
      <w:r w:rsidRPr="00DA0977">
        <w:t xml:space="preserve">, 2022 ONCJ 331, at para. 25 (CanLII); </w:t>
      </w:r>
      <w:r w:rsidRPr="00DA0977">
        <w:rPr>
          <w:i/>
        </w:rPr>
        <w:t>Gould</w:t>
      </w:r>
      <w:r w:rsidRPr="00DA0977">
        <w:t xml:space="preserve">; </w:t>
      </w:r>
      <w:r w:rsidRPr="00DA0977">
        <w:rPr>
          <w:i/>
        </w:rPr>
        <w:t>R. v. Rasiah</w:t>
      </w:r>
      <w:r w:rsidRPr="00DA0977">
        <w:t xml:space="preserve">, 2021 ONCJ 584, at para. 42 (CanLII)). </w:t>
      </w:r>
      <w:r w:rsidRPr="00DA0977">
        <w:rPr>
          <w:rFonts w:cs="Times New Roman"/>
        </w:rPr>
        <w:t>Here, in her analysis of the sentence for the sexual interference count, the sentencing judge considered the pre-sentence report and rightly accounted for Mr. Bertrand Marchand’s guilty plea, lack of prior convictions, honesty and cooperation throughout the sentencing process, factors which were also relevant to the luring offence.</w:t>
      </w:r>
    </w:p>
    <w:p w14:paraId="187288D3"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rPr>
        <w:t>The personal circumstances of the offender can also have a mitigating effect on blameworthiness (</w:t>
      </w:r>
      <w:r w:rsidRPr="00DA0977">
        <w:rPr>
          <w:rFonts w:cs="Times New Roman"/>
          <w:i/>
        </w:rPr>
        <w:t>Friesen</w:t>
      </w:r>
      <w:r w:rsidRPr="00DA0977">
        <w:rPr>
          <w:rFonts w:cs="Times New Roman"/>
        </w:rPr>
        <w:t>, at paras. 91-92). In the context of determining the appropriate sentence overall, the sentencing judge in this case accounted for Mr. Bertrand Marchand’s age at the time of the events, his stable family life, and the fact that he had maintained stable employment for around three years. Mr. Bertrand Marchand overcame a substance use disorder during adolescence. At the time, this caused him health problems and panic attacks (sentencing reasons, at para. 22). An offender might have a mental disability or substance use disorder that imposes serious cognitive limitations, such that their moral culpability is reduced (</w:t>
      </w:r>
      <w:r w:rsidRPr="00DA0977">
        <w:rPr>
          <w:rFonts w:cs="Times New Roman"/>
          <w:i/>
        </w:rPr>
        <w:t>Friesen</w:t>
      </w:r>
      <w:r w:rsidRPr="00DA0977">
        <w:rPr>
          <w:rFonts w:cs="Times New Roman"/>
        </w:rPr>
        <w:t>,</w:t>
      </w:r>
      <w:r w:rsidRPr="00DA0977">
        <w:rPr>
          <w:rFonts w:cs="Times New Roman"/>
          <w:i/>
        </w:rPr>
        <w:t xml:space="preserve"> </w:t>
      </w:r>
      <w:r w:rsidRPr="00DA0977">
        <w:rPr>
          <w:rFonts w:cs="Times New Roman"/>
        </w:rPr>
        <w:t xml:space="preserve">at para. 91; </w:t>
      </w:r>
      <w:r w:rsidRPr="00DA0977">
        <w:rPr>
          <w:rFonts w:cs="Times New Roman"/>
        </w:rPr>
        <w:lastRenderedPageBreak/>
        <w:t xml:space="preserve">see, e.g., </w:t>
      </w:r>
      <w:r w:rsidRPr="00DA0977">
        <w:rPr>
          <w:rFonts w:cs="Times New Roman"/>
          <w:i/>
        </w:rPr>
        <w:t>Hood</w:t>
      </w:r>
      <w:r w:rsidRPr="00DA0977">
        <w:rPr>
          <w:rFonts w:cs="Times New Roman"/>
        </w:rPr>
        <w:t xml:space="preserve">, at para. 180; </w:t>
      </w:r>
      <w:r w:rsidRPr="00DA0977">
        <w:rPr>
          <w:rFonts w:cs="Times New Roman"/>
          <w:i/>
        </w:rPr>
        <w:t>Melrose</w:t>
      </w:r>
      <w:r w:rsidRPr="00DA0977">
        <w:rPr>
          <w:rFonts w:cs="Times New Roman"/>
        </w:rPr>
        <w:t xml:space="preserve">, at paras. 223-35; </w:t>
      </w:r>
      <w:r w:rsidRPr="00DA0977">
        <w:rPr>
          <w:rFonts w:cs="Times New Roman"/>
          <w:i/>
        </w:rPr>
        <w:t>R. v. Osadchuk</w:t>
      </w:r>
      <w:r w:rsidRPr="00DA0977">
        <w:rPr>
          <w:rFonts w:cs="Times New Roman"/>
        </w:rPr>
        <w:t xml:space="preserve">, 2020 QCCQ 2166, at paras. 51-55 (CanLII); </w:t>
      </w:r>
      <w:r w:rsidRPr="00DA0977">
        <w:rPr>
          <w:rFonts w:cs="Times New Roman"/>
          <w:i/>
        </w:rPr>
        <w:t>R. v. Deren</w:t>
      </w:r>
      <w:r w:rsidRPr="00DA0977">
        <w:rPr>
          <w:rFonts w:cs="Times New Roman"/>
        </w:rPr>
        <w:t xml:space="preserve">, 2021 ABPC 84, at paras. 44 and 51 (CanLII); </w:t>
      </w:r>
      <w:r w:rsidRPr="00DA0977">
        <w:rPr>
          <w:rFonts w:cs="Times New Roman"/>
          <w:i/>
        </w:rPr>
        <w:t>R. v. Sinclair</w:t>
      </w:r>
      <w:r w:rsidRPr="00DA0977">
        <w:rPr>
          <w:rFonts w:cs="Times New Roman"/>
        </w:rPr>
        <w:t xml:space="preserve">, 2022 MBPC 40, at paras. 15 and 67 (CanLII); </w:t>
      </w:r>
      <w:r w:rsidRPr="00DA0977">
        <w:rPr>
          <w:rFonts w:cs="Times New Roman"/>
          <w:i/>
        </w:rPr>
        <w:t>Wolff</w:t>
      </w:r>
      <w:r w:rsidRPr="00DA0977">
        <w:rPr>
          <w:rFonts w:cs="Times New Roman"/>
        </w:rPr>
        <w:t xml:space="preserve">, at para. 65). However, this factor is not as mitigating in Mr. Bertrand Marchand’s circumstances as his substance use did not overlap with the material time period (unlike </w:t>
      </w:r>
      <w:r w:rsidRPr="00DA0977">
        <w:rPr>
          <w:rFonts w:cs="Times New Roman"/>
          <w:i/>
        </w:rPr>
        <w:t>Sinclair</w:t>
      </w:r>
      <w:r w:rsidRPr="00DA0977">
        <w:rPr>
          <w:rFonts w:cs="Times New Roman"/>
        </w:rPr>
        <w:t xml:space="preserve">, at para. 67; </w:t>
      </w:r>
      <w:r w:rsidRPr="00DA0977">
        <w:rPr>
          <w:rFonts w:cs="Times New Roman"/>
          <w:i/>
        </w:rPr>
        <w:t>Wolff</w:t>
      </w:r>
      <w:r w:rsidRPr="00DA0977">
        <w:rPr>
          <w:rFonts w:cs="Times New Roman"/>
        </w:rPr>
        <w:t>, at para. 65).</w:t>
      </w:r>
    </w:p>
    <w:p w14:paraId="7CF7CF1B" w14:textId="77777777" w:rsidR="00DA0977" w:rsidRPr="00DA0977" w:rsidRDefault="00DA0977" w:rsidP="00DA0977">
      <w:pPr>
        <w:pStyle w:val="Title4LevelTitre4Niveau"/>
        <w:numPr>
          <w:ilvl w:val="3"/>
          <w:numId w:val="29"/>
        </w:numPr>
        <w:rPr>
          <w:rFonts w:cs="Times New Roman"/>
        </w:rPr>
      </w:pPr>
      <w:bookmarkStart w:id="124" w:name="_Toc135322936"/>
      <w:bookmarkStart w:id="125" w:name="_Toc137199870"/>
      <w:bookmarkStart w:id="126" w:name="_Toc140673985"/>
      <w:bookmarkStart w:id="127" w:name="_Toc141096930"/>
      <w:bookmarkStart w:id="128" w:name="_Toc141694550"/>
      <w:bookmarkStart w:id="129" w:name="_Toc146612956"/>
      <w:r w:rsidRPr="00DA0977">
        <w:rPr>
          <w:rFonts w:cs="Times New Roman"/>
        </w:rPr>
        <w:t>Aggravating Factors</w:t>
      </w:r>
      <w:bookmarkStart w:id="130" w:name="_Toc135322937"/>
      <w:bookmarkStart w:id="131" w:name="_Toc137199871"/>
      <w:bookmarkStart w:id="132" w:name="_Toc140673986"/>
      <w:bookmarkStart w:id="133" w:name="_Toc141096931"/>
      <w:bookmarkStart w:id="134" w:name="_Toc141694551"/>
      <w:bookmarkStart w:id="135" w:name="_Toc146612957"/>
      <w:bookmarkEnd w:id="124"/>
      <w:bookmarkEnd w:id="125"/>
      <w:bookmarkEnd w:id="126"/>
      <w:bookmarkEnd w:id="127"/>
      <w:bookmarkEnd w:id="128"/>
      <w:bookmarkEnd w:id="129"/>
    </w:p>
    <w:p w14:paraId="49D13173" w14:textId="77777777" w:rsidR="00DA0977" w:rsidRPr="00DA0977" w:rsidRDefault="00DA0977" w:rsidP="00DA0977">
      <w:pPr>
        <w:pStyle w:val="Title5LevelTitre5Niveau"/>
        <w:numPr>
          <w:ilvl w:val="4"/>
          <w:numId w:val="29"/>
        </w:numPr>
        <w:tabs>
          <w:tab w:val="clear" w:pos="1728"/>
        </w:tabs>
        <w:ind w:left="1134" w:hanging="567"/>
      </w:pPr>
      <w:r w:rsidRPr="00DA0977">
        <w:t>Grooming</w:t>
      </w:r>
      <w:bookmarkEnd w:id="130"/>
      <w:bookmarkEnd w:id="131"/>
      <w:bookmarkEnd w:id="132"/>
      <w:bookmarkEnd w:id="133"/>
      <w:bookmarkEnd w:id="134"/>
      <w:bookmarkEnd w:id="135"/>
      <w:r w:rsidRPr="00DA0977">
        <w:t xml:space="preserve"> </w:t>
      </w:r>
    </w:p>
    <w:p w14:paraId="7962DF51" w14:textId="77777777" w:rsidR="00DA0977" w:rsidRPr="00DA0977" w:rsidRDefault="00DA0977" w:rsidP="00DA0977">
      <w:pPr>
        <w:pStyle w:val="ParaNoNdepar-AltN"/>
        <w:tabs>
          <w:tab w:val="clear" w:pos="7107"/>
          <w:tab w:val="num" w:pos="1152"/>
        </w:tabs>
        <w:ind w:left="0"/>
        <w:rPr>
          <w:rFonts w:eastAsia="Times New Roman" w:cs="Times New Roman"/>
          <w:szCs w:val="24"/>
        </w:rPr>
      </w:pPr>
      <w:r w:rsidRPr="00DA0977">
        <w:rPr>
          <w:rFonts w:cs="Times New Roman"/>
          <w:szCs w:val="24"/>
          <w:lang w:val="en-US"/>
        </w:rPr>
        <w:t>As articulated above, the sentencing judge erred in principle by failing to account for the fact that the offender’s actions caused the victim distinct psychological harm. Mr. Bertrand Marchand’s manipulation and grooming are both aggravating factors that increase his moral blameworthiness.</w:t>
      </w:r>
    </w:p>
    <w:p w14:paraId="611E1EC2" w14:textId="77777777" w:rsidR="00DA0977" w:rsidRPr="00DA0977" w:rsidRDefault="00DA0977" w:rsidP="00DA0977">
      <w:pPr>
        <w:pStyle w:val="ParaNoNdepar-AltN"/>
        <w:tabs>
          <w:tab w:val="clear" w:pos="7107"/>
          <w:tab w:val="num" w:pos="1152"/>
        </w:tabs>
        <w:ind w:left="0"/>
        <w:rPr>
          <w:rFonts w:eastAsia="Times New Roman" w:cs="Times New Roman"/>
          <w:szCs w:val="24"/>
        </w:rPr>
      </w:pPr>
      <w:r w:rsidRPr="00DA0977">
        <w:rPr>
          <w:rFonts w:cs="Times New Roman"/>
        </w:rPr>
        <w:t>Here, no formal victim impact statement was adduced at sentencing. Nevertheless, even where evidence of actual harm to the victim is not admitted, harm can still be inferred. This Court instructed that “sexual violence against children inherently has the potential to cause several recognized forms of harm. . . . [T]he potential that these forms of harm will materialize is always present whenever there is physical interference of a sexual nature with a child and can be present even in sexual offences against children that do not require or involve physical interference” (</w:t>
      </w:r>
      <w:r w:rsidRPr="00DA0977">
        <w:rPr>
          <w:rFonts w:cs="Times New Roman"/>
          <w:i/>
          <w:iCs/>
        </w:rPr>
        <w:t>Friesen</w:t>
      </w:r>
      <w:r w:rsidRPr="00DA0977">
        <w:rPr>
          <w:rFonts w:cs="Times New Roman"/>
        </w:rPr>
        <w:t xml:space="preserve">, </w:t>
      </w:r>
      <w:r w:rsidRPr="00DA0977">
        <w:rPr>
          <w:rFonts w:cs="Times New Roman"/>
        </w:rPr>
        <w:lastRenderedPageBreak/>
        <w:t>at para. 79). The potential for reasonably foreseeable harm must be considered on sentencing even where the luring results in no actual harm (para. 84).</w:t>
      </w:r>
    </w:p>
    <w:p w14:paraId="5B8EEDE3"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rPr>
        <w:t xml:space="preserve">Where there is no direct evidence of actual harm to the victim, “[c]ourts may be able to find actual harm based on the numerous factual circumstances that can cause additional harm and constitute aggravating factors” (para. 86). In other words, sentencing judges can infer the likelihood of actual harm where there are aggravating factors such as grooming (see, e.g., </w:t>
      </w:r>
      <w:r w:rsidRPr="00DA0977">
        <w:rPr>
          <w:rFonts w:cs="Times New Roman"/>
          <w:i/>
          <w:iCs/>
        </w:rPr>
        <w:t>R. v. Pentecost</w:t>
      </w:r>
      <w:r w:rsidRPr="00DA0977">
        <w:rPr>
          <w:rFonts w:cs="Times New Roman"/>
        </w:rPr>
        <w:t>, 2020 NSSC 277, at paras. 50-54 (CanLII)).</w:t>
      </w:r>
    </w:p>
    <w:p w14:paraId="15490F82" w14:textId="77777777" w:rsidR="00DA0977" w:rsidRPr="00DA0977" w:rsidRDefault="00DA0977" w:rsidP="00DA0977">
      <w:pPr>
        <w:pStyle w:val="Title5LevelTitre5Niveau"/>
        <w:numPr>
          <w:ilvl w:val="4"/>
          <w:numId w:val="29"/>
        </w:numPr>
        <w:tabs>
          <w:tab w:val="clear" w:pos="1728"/>
        </w:tabs>
        <w:ind w:left="1134" w:hanging="567"/>
        <w:rPr>
          <w:rFonts w:eastAsiaTheme="minorEastAsia" w:cs="Times New Roman"/>
          <w:u w:val="none"/>
        </w:rPr>
      </w:pPr>
      <w:r w:rsidRPr="00DA0977">
        <w:rPr>
          <w:rFonts w:cs="Times New Roman"/>
        </w:rPr>
        <w:t>Character of the Communication</w:t>
      </w:r>
    </w:p>
    <w:p w14:paraId="2EE4B33D"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The character of the communication is relevant to the blameworthiness of the conduct. In this appeal, the period for the count of luring on the indictment spans nearly seven months. During this time, hundreds of messages were exchanged between the respondent and the victim. The duration and frequency </w:t>
      </w:r>
      <w:r w:rsidRPr="00DA0977">
        <w:t>of the communications</w:t>
      </w:r>
      <w:r w:rsidRPr="00DA0977">
        <w:rPr>
          <w:rFonts w:cs="Times New Roman"/>
        </w:rPr>
        <w:t xml:space="preserve"> are important to the extent that they may generate cumulative or more severe harms, and increase the gravity of the offence and the moral blameworthiness of the offender. Because repeated and prolonged acts of sexual violence increase the long-term harm suffered by the victim (</w:t>
      </w:r>
      <w:r w:rsidRPr="00DA0977">
        <w:rPr>
          <w:rFonts w:cs="Times New Roman"/>
          <w:i/>
        </w:rPr>
        <w:t>Friesen</w:t>
      </w:r>
      <w:r w:rsidRPr="00DA0977">
        <w:rPr>
          <w:rFonts w:cs="Times New Roman"/>
        </w:rPr>
        <w:t>, at para. 131), sending a large volume of messages, or sending messages in a persistent and unrelenting way, is aggravating (</w:t>
      </w:r>
      <w:r w:rsidRPr="00DA0977">
        <w:rPr>
          <w:rFonts w:cs="Times New Roman"/>
          <w:i/>
        </w:rPr>
        <w:t>R. v. Collier</w:t>
      </w:r>
      <w:r w:rsidRPr="00DA0977">
        <w:rPr>
          <w:rFonts w:cs="Times New Roman"/>
        </w:rPr>
        <w:t xml:space="preserve">, 2021 ONSC 6827, at para. 75 (CanLII); </w:t>
      </w:r>
      <w:r w:rsidRPr="00DA0977">
        <w:rPr>
          <w:rFonts w:cs="Times New Roman"/>
          <w:i/>
        </w:rPr>
        <w:t>R. v. Kavanagh</w:t>
      </w:r>
      <w:r w:rsidRPr="00DA0977">
        <w:rPr>
          <w:rFonts w:cs="Times New Roman"/>
        </w:rPr>
        <w:t xml:space="preserve">, 2023 ONSC 283, at para. 84 (CanLII); </w:t>
      </w:r>
      <w:r w:rsidRPr="00DA0977">
        <w:rPr>
          <w:rFonts w:cs="Times New Roman"/>
          <w:i/>
        </w:rPr>
        <w:t>R. v. Moolla</w:t>
      </w:r>
      <w:r w:rsidRPr="00DA0977">
        <w:rPr>
          <w:rFonts w:cs="Times New Roman"/>
        </w:rPr>
        <w:t xml:space="preserve">, 2021 ONSC 3702, at para. 22 (CanLII); </w:t>
      </w:r>
      <w:r w:rsidRPr="00DA0977">
        <w:rPr>
          <w:rFonts w:cs="Times New Roman"/>
          <w:i/>
        </w:rPr>
        <w:t>R. v. E.F.</w:t>
      </w:r>
      <w:r w:rsidRPr="00DA0977">
        <w:rPr>
          <w:rFonts w:cs="Times New Roman"/>
        </w:rPr>
        <w:t xml:space="preserve">, 2021 ABQB 272; </w:t>
      </w:r>
      <w:r w:rsidRPr="00DA0977">
        <w:rPr>
          <w:rFonts w:cs="Times New Roman"/>
          <w:i/>
        </w:rPr>
        <w:t>R. v. Battieste</w:t>
      </w:r>
      <w:r w:rsidRPr="00DA0977">
        <w:rPr>
          <w:rFonts w:cs="Times New Roman"/>
        </w:rPr>
        <w:t xml:space="preserve">, 2022 ONCJ 573, at para. 45 (CanLII)). In addition, while a shorter </w:t>
      </w:r>
      <w:r w:rsidRPr="00DA0977">
        <w:rPr>
          <w:rFonts w:cs="Times New Roman"/>
        </w:rPr>
        <w:lastRenderedPageBreak/>
        <w:t>duration of communication is not a mitigating factor, maintaining online communications for a long period of time is aggravating (</w:t>
      </w:r>
      <w:r w:rsidRPr="00DA0977">
        <w:rPr>
          <w:rFonts w:cs="Times New Roman"/>
          <w:i/>
        </w:rPr>
        <w:t>R. v. Faille</w:t>
      </w:r>
      <w:r w:rsidRPr="00DA0977">
        <w:rPr>
          <w:rFonts w:cs="Times New Roman"/>
        </w:rPr>
        <w:t xml:space="preserve">, 2021 QCCQ 4945, at paras. 68-70 (CanLII)). </w:t>
      </w:r>
    </w:p>
    <w:p w14:paraId="16BCE9CE"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The substance of the communication is relevant when sentencing. Here, Mr. Bertrand Marchand often sent sexually explicit and objectifying messages to the victim. Graphic sexual content is clearly aggravating, but so is communication where the offender manipulates through language about love and affection (</w:t>
      </w:r>
      <w:r w:rsidRPr="00DA0977">
        <w:rPr>
          <w:rFonts w:cs="Times New Roman"/>
          <w:i/>
        </w:rPr>
        <w:t>Wolff</w:t>
      </w:r>
      <w:r w:rsidRPr="00DA0977">
        <w:rPr>
          <w:rFonts w:cs="Times New Roman"/>
        </w:rPr>
        <w:t xml:space="preserve">; </w:t>
      </w:r>
      <w:r w:rsidRPr="00DA0977">
        <w:rPr>
          <w:rFonts w:cs="Times New Roman"/>
          <w:i/>
        </w:rPr>
        <w:t>R. v. Saberi</w:t>
      </w:r>
      <w:r w:rsidRPr="00DA0977">
        <w:rPr>
          <w:rFonts w:cs="Times New Roman"/>
        </w:rPr>
        <w:t xml:space="preserve">, 2021 ONCJ 345, 493 C.R.R. (2d) 121; </w:t>
      </w:r>
      <w:r w:rsidRPr="00DA0977">
        <w:rPr>
          <w:rFonts w:cs="Times New Roman"/>
          <w:i/>
        </w:rPr>
        <w:t>R. v.</w:t>
      </w:r>
      <w:r w:rsidRPr="00DA0977">
        <w:rPr>
          <w:rFonts w:cs="Times New Roman"/>
        </w:rPr>
        <w:t xml:space="preserve"> </w:t>
      </w:r>
      <w:r w:rsidRPr="00DA0977">
        <w:rPr>
          <w:rFonts w:cs="Times New Roman"/>
          <w:i/>
        </w:rPr>
        <w:t>Boucher</w:t>
      </w:r>
      <w:r w:rsidRPr="00DA0977">
        <w:rPr>
          <w:rFonts w:cs="Times New Roman"/>
        </w:rPr>
        <w:t>, 2020 ABCA 208). It is also aggravating for the offender to rely on trickery, lies or manipulation to lure the victim (</w:t>
      </w:r>
      <w:r w:rsidRPr="00DA0977">
        <w:rPr>
          <w:rFonts w:cs="Times New Roman"/>
          <w:i/>
        </w:rPr>
        <w:t>Collier</w:t>
      </w:r>
      <w:r w:rsidRPr="00DA0977">
        <w:rPr>
          <w:rFonts w:cs="Times New Roman"/>
        </w:rPr>
        <w:t>, at para. 77).</w:t>
      </w:r>
    </w:p>
    <w:p w14:paraId="6862319D"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rPr>
        <w:t>Encouraging a child to share images of themselves or sending explicit images to the child also heightens blameworthiness and may serve as an aggravating factor on sentencing with respect to the luring offence (</w:t>
      </w:r>
      <w:r w:rsidRPr="00DA0977">
        <w:rPr>
          <w:rFonts w:cs="Times New Roman"/>
          <w:i/>
        </w:rPr>
        <w:t>Collier</w:t>
      </w:r>
      <w:r w:rsidRPr="00DA0977">
        <w:rPr>
          <w:rFonts w:cs="Times New Roman"/>
        </w:rPr>
        <w:t xml:space="preserve">; </w:t>
      </w:r>
      <w:r w:rsidRPr="00DA0977">
        <w:rPr>
          <w:rFonts w:cs="Times New Roman"/>
          <w:i/>
        </w:rPr>
        <w:t>Kavanagh</w:t>
      </w:r>
      <w:r w:rsidRPr="00DA0977">
        <w:rPr>
          <w:rFonts w:cs="Times New Roman"/>
        </w:rPr>
        <w:t xml:space="preserve">; </w:t>
      </w:r>
      <w:r w:rsidRPr="00DA0977">
        <w:rPr>
          <w:rFonts w:cs="Times New Roman"/>
          <w:i/>
        </w:rPr>
        <w:t>R. v. Kalliraq</w:t>
      </w:r>
      <w:r w:rsidRPr="00DA0977">
        <w:rPr>
          <w:rFonts w:cs="Times New Roman"/>
        </w:rPr>
        <w:t xml:space="preserve">, 2022 NUCA 6; </w:t>
      </w:r>
      <w:r w:rsidRPr="00DA0977">
        <w:rPr>
          <w:rFonts w:cs="Times New Roman"/>
          <w:i/>
        </w:rPr>
        <w:t>R. v. Razon</w:t>
      </w:r>
      <w:r w:rsidRPr="00DA0977">
        <w:rPr>
          <w:rFonts w:cs="Times New Roman"/>
        </w:rPr>
        <w:t xml:space="preserve">, 2021 ONCJ 616; </w:t>
      </w:r>
      <w:r w:rsidRPr="00DA0977">
        <w:rPr>
          <w:rFonts w:cs="Times New Roman"/>
          <w:i/>
        </w:rPr>
        <w:t>Deren</w:t>
      </w:r>
      <w:r w:rsidRPr="00DA0977">
        <w:rPr>
          <w:rFonts w:cs="Times New Roman"/>
        </w:rPr>
        <w:t>). Mr. Bertrand Marchand encouraged the victim on numerous occasions to send explicit photos of herself through Snapchat, which he mentioned saving to his phone (A.R., vol. II, at p. 124). The duration and frequency of the communications, along with the sexually explicit nature of the messages and the repeated requests for explicit photos, are all aggravating factors in this case (</w:t>
      </w:r>
      <w:r w:rsidRPr="00DA0977">
        <w:rPr>
          <w:rFonts w:cs="Times New Roman"/>
          <w:i/>
        </w:rPr>
        <w:t>Collier</w:t>
      </w:r>
      <w:r w:rsidRPr="00DA0977">
        <w:rPr>
          <w:rFonts w:cs="Times New Roman"/>
        </w:rPr>
        <w:t xml:space="preserve">; </w:t>
      </w:r>
      <w:r w:rsidRPr="00DA0977">
        <w:rPr>
          <w:rFonts w:cs="Times New Roman"/>
          <w:i/>
        </w:rPr>
        <w:t>Kavanagh</w:t>
      </w:r>
      <w:r w:rsidRPr="00DA0977">
        <w:rPr>
          <w:rFonts w:cs="Times New Roman"/>
        </w:rPr>
        <w:t xml:space="preserve">; </w:t>
      </w:r>
      <w:r w:rsidRPr="00DA0977">
        <w:rPr>
          <w:rFonts w:cs="Times New Roman"/>
          <w:i/>
        </w:rPr>
        <w:t>Kalliraq</w:t>
      </w:r>
      <w:r w:rsidRPr="00DA0977">
        <w:rPr>
          <w:rFonts w:cs="Times New Roman"/>
        </w:rPr>
        <w:t xml:space="preserve">; </w:t>
      </w:r>
      <w:r w:rsidRPr="00DA0977">
        <w:rPr>
          <w:rFonts w:cs="Times New Roman"/>
          <w:i/>
        </w:rPr>
        <w:t>Razon</w:t>
      </w:r>
      <w:r w:rsidRPr="00DA0977">
        <w:rPr>
          <w:rFonts w:cs="Times New Roman"/>
        </w:rPr>
        <w:t xml:space="preserve">; </w:t>
      </w:r>
      <w:r w:rsidRPr="00DA0977">
        <w:rPr>
          <w:rFonts w:cs="Times New Roman"/>
          <w:i/>
        </w:rPr>
        <w:t>Deren</w:t>
      </w:r>
      <w:r w:rsidRPr="00DA0977">
        <w:rPr>
          <w:rFonts w:cs="Times New Roman"/>
        </w:rPr>
        <w:t>).</w:t>
      </w:r>
    </w:p>
    <w:p w14:paraId="1A165391" w14:textId="77777777" w:rsidR="00DA0977" w:rsidRPr="00DA0977" w:rsidRDefault="00DA0977" w:rsidP="00DA0977">
      <w:pPr>
        <w:pStyle w:val="Title5LevelTitre5Niveau"/>
        <w:numPr>
          <w:ilvl w:val="4"/>
          <w:numId w:val="29"/>
        </w:numPr>
        <w:tabs>
          <w:tab w:val="clear" w:pos="1728"/>
        </w:tabs>
        <w:ind w:left="1134" w:hanging="567"/>
        <w:rPr>
          <w:rFonts w:cs="Times New Roman"/>
        </w:rPr>
      </w:pPr>
      <w:bookmarkStart w:id="136" w:name="_Toc135322939"/>
      <w:bookmarkStart w:id="137" w:name="_Toc137199873"/>
      <w:bookmarkStart w:id="138" w:name="_Toc140673988"/>
      <w:bookmarkStart w:id="139" w:name="_Toc141096933"/>
      <w:bookmarkStart w:id="140" w:name="_Toc141694553"/>
      <w:bookmarkStart w:id="141" w:name="_Toc146612959"/>
      <w:r w:rsidRPr="00DA0977">
        <w:rPr>
          <w:rFonts w:cs="Times New Roman"/>
        </w:rPr>
        <w:t>Deceit</w:t>
      </w:r>
      <w:bookmarkEnd w:id="136"/>
      <w:bookmarkEnd w:id="137"/>
      <w:bookmarkEnd w:id="138"/>
      <w:bookmarkEnd w:id="139"/>
      <w:bookmarkEnd w:id="140"/>
      <w:bookmarkEnd w:id="141"/>
    </w:p>
    <w:p w14:paraId="65909AFE"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rPr>
        <w:lastRenderedPageBreak/>
        <w:t>Deceit can present itself in many forms and is aggravating. Where an offender relies on anonymity, for example by using a false name, identity, or age, then the conduct is more blameworthy (</w:t>
      </w:r>
      <w:r w:rsidRPr="00DA0977">
        <w:rPr>
          <w:rFonts w:cs="Times New Roman"/>
          <w:i/>
        </w:rPr>
        <w:t>Pentecost</w:t>
      </w:r>
      <w:r w:rsidRPr="00DA0977">
        <w:rPr>
          <w:rFonts w:cs="Times New Roman"/>
        </w:rPr>
        <w:t xml:space="preserve">; </w:t>
      </w:r>
      <w:r w:rsidRPr="00DA0977">
        <w:rPr>
          <w:rFonts w:cs="Times New Roman"/>
          <w:i/>
        </w:rPr>
        <w:t>R. v. Coban</w:t>
      </w:r>
      <w:r w:rsidRPr="00DA0977">
        <w:rPr>
          <w:rFonts w:cs="Times New Roman"/>
        </w:rPr>
        <w:t xml:space="preserve">, 2022 BCSC 1810; </w:t>
      </w:r>
      <w:r w:rsidRPr="00DA0977">
        <w:rPr>
          <w:rFonts w:cs="Times New Roman"/>
          <w:i/>
          <w:lang w:val="en-US"/>
        </w:rPr>
        <w:t>Ditoro</w:t>
      </w:r>
      <w:r w:rsidRPr="00DA0977">
        <w:rPr>
          <w:rFonts w:cs="Times New Roman"/>
        </w:rPr>
        <w:t xml:space="preserve">; </w:t>
      </w:r>
      <w:r w:rsidRPr="00DA0977">
        <w:rPr>
          <w:rFonts w:cs="Times New Roman"/>
          <w:i/>
          <w:lang w:val="en-US"/>
        </w:rPr>
        <w:t>R. v. Bains</w:t>
      </w:r>
      <w:r w:rsidRPr="00DA0977">
        <w:rPr>
          <w:rFonts w:cs="Times New Roman"/>
          <w:lang w:val="en-US"/>
        </w:rPr>
        <w:t>, 2021 ABPC 20</w:t>
      </w:r>
      <w:r w:rsidRPr="00DA0977">
        <w:rPr>
          <w:rFonts w:cs="Times New Roman"/>
        </w:rPr>
        <w:t xml:space="preserve">; </w:t>
      </w:r>
      <w:r w:rsidRPr="00DA0977">
        <w:rPr>
          <w:rFonts w:cs="Times New Roman"/>
          <w:i/>
          <w:lang w:val="en-US"/>
        </w:rPr>
        <w:t>Cooper</w:t>
      </w:r>
      <w:r w:rsidRPr="00DA0977">
        <w:rPr>
          <w:rFonts w:cs="Times New Roman"/>
        </w:rPr>
        <w:t xml:space="preserve">; </w:t>
      </w:r>
      <w:r w:rsidRPr="00DA0977">
        <w:rPr>
          <w:rFonts w:cs="Times New Roman"/>
          <w:i/>
        </w:rPr>
        <w:t>Collier</w:t>
      </w:r>
      <w:r w:rsidRPr="00DA0977">
        <w:rPr>
          <w:rFonts w:cs="Times New Roman"/>
        </w:rPr>
        <w:t xml:space="preserve">; </w:t>
      </w:r>
      <w:r w:rsidRPr="00DA0977">
        <w:rPr>
          <w:rFonts w:cs="Times New Roman"/>
          <w:i/>
        </w:rPr>
        <w:t>Montour v. R.</w:t>
      </w:r>
      <w:r w:rsidRPr="00DA0977">
        <w:rPr>
          <w:rFonts w:cs="Times New Roman"/>
        </w:rPr>
        <w:t>, 2020 QCCA 1648). However, not every offender operates under the shield of anonymity. In this case, Mr. Bertrand Marchand met the victim in person and used his real identity when adding her on Facebook. Depending on the circumstances, a vulnerable child’s trust may be won by either lying about one’s identity or by exploiting a pre-existing relationship (</w:t>
      </w:r>
      <w:r w:rsidRPr="00DA0977">
        <w:rPr>
          <w:rFonts w:cs="Times New Roman"/>
          <w:i/>
        </w:rPr>
        <w:t>Rayo</w:t>
      </w:r>
      <w:r w:rsidRPr="00DA0977">
        <w:rPr>
          <w:rFonts w:cs="Times New Roman"/>
        </w:rPr>
        <w:t>, at paras. 92-93).</w:t>
      </w:r>
    </w:p>
    <w:p w14:paraId="779700C0"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rPr>
        <w:t>The communication itself might also include deceitful tactics. In some cases, an offender may instruct the victim to erase the communication to conceal the luring, or to refrain from sharing the messages with parents or family members (</w:t>
      </w:r>
      <w:r w:rsidRPr="00DA0977">
        <w:rPr>
          <w:rFonts w:cs="Times New Roman"/>
          <w:i/>
        </w:rPr>
        <w:t>Saberi</w:t>
      </w:r>
      <w:r w:rsidRPr="00DA0977">
        <w:rPr>
          <w:rFonts w:cs="Times New Roman"/>
        </w:rPr>
        <w:t xml:space="preserve">; </w:t>
      </w:r>
      <w:r w:rsidRPr="00DA0977">
        <w:rPr>
          <w:rFonts w:cs="Times New Roman"/>
          <w:i/>
          <w:lang w:val="en-US"/>
        </w:rPr>
        <w:t>R. v. LaFrance</w:t>
      </w:r>
      <w:r w:rsidRPr="00DA0977">
        <w:rPr>
          <w:rFonts w:cs="Times New Roman"/>
          <w:lang w:val="en-US"/>
        </w:rPr>
        <w:t>, 2022 ABCA 351</w:t>
      </w:r>
      <w:r w:rsidRPr="00DA0977">
        <w:rPr>
          <w:rFonts w:cs="Times New Roman"/>
        </w:rPr>
        <w:t>). An offender may also tell the victim to dress more maturely when they meet in person (</w:t>
      </w:r>
      <w:r w:rsidRPr="00DA0977">
        <w:rPr>
          <w:rFonts w:cs="Times New Roman"/>
          <w:i/>
        </w:rPr>
        <w:t>Saberi</w:t>
      </w:r>
      <w:r w:rsidRPr="00DA0977">
        <w:rPr>
          <w:rFonts w:cs="Times New Roman"/>
        </w:rPr>
        <w:t xml:space="preserve">). It is further aggravating for an offender to intentionally choose a platform that erases records of communication in order to avoid detection (see </w:t>
      </w:r>
      <w:r w:rsidRPr="00DA0977">
        <w:rPr>
          <w:rFonts w:cs="Times New Roman"/>
          <w:i/>
        </w:rPr>
        <w:t>J.R.</w:t>
      </w:r>
      <w:r w:rsidRPr="00DA0977">
        <w:rPr>
          <w:rFonts w:cs="Times New Roman"/>
        </w:rPr>
        <w:t>), or to suggest a more secure platform after learning of the child’s age (</w:t>
      </w:r>
      <w:r w:rsidRPr="00DA0977">
        <w:rPr>
          <w:rFonts w:cs="Times New Roman"/>
          <w:i/>
        </w:rPr>
        <w:t>Rasiah</w:t>
      </w:r>
      <w:r w:rsidRPr="00DA0977">
        <w:rPr>
          <w:rFonts w:cs="Times New Roman"/>
        </w:rPr>
        <w:t>). In this case, Mr. Bertrand Marchand asked the victim to send him explicit photos on Snapchat, a platform that erases records of communication. However, photos were also exchanged throughout their communication on Facebook. This suggests that the intention to avoid detection is not present here.</w:t>
      </w:r>
    </w:p>
    <w:p w14:paraId="7704B6F7" w14:textId="77777777" w:rsidR="00DA0977" w:rsidRPr="00DA0977" w:rsidRDefault="00DA0977" w:rsidP="00DA0977">
      <w:pPr>
        <w:pStyle w:val="Title5LevelTitre5Niveau"/>
        <w:numPr>
          <w:ilvl w:val="4"/>
          <w:numId w:val="29"/>
        </w:numPr>
        <w:tabs>
          <w:tab w:val="clear" w:pos="1728"/>
        </w:tabs>
        <w:ind w:left="1134" w:hanging="567"/>
        <w:rPr>
          <w:rFonts w:cs="Times New Roman"/>
        </w:rPr>
      </w:pPr>
      <w:bookmarkStart w:id="142" w:name="_Toc135322940"/>
      <w:bookmarkStart w:id="143" w:name="_Toc137199874"/>
      <w:bookmarkStart w:id="144" w:name="_Toc140673989"/>
      <w:bookmarkStart w:id="145" w:name="_Toc141096934"/>
      <w:bookmarkStart w:id="146" w:name="_Toc141694554"/>
      <w:bookmarkStart w:id="147" w:name="_Toc146612960"/>
      <w:r w:rsidRPr="00DA0977">
        <w:rPr>
          <w:rFonts w:cs="Times New Roman"/>
        </w:rPr>
        <w:t>Abuse of a Position or Relationship of Trust</w:t>
      </w:r>
      <w:bookmarkEnd w:id="142"/>
      <w:bookmarkEnd w:id="143"/>
      <w:bookmarkEnd w:id="144"/>
      <w:bookmarkEnd w:id="145"/>
      <w:bookmarkEnd w:id="146"/>
      <w:bookmarkEnd w:id="147"/>
    </w:p>
    <w:p w14:paraId="0AEC0D42" w14:textId="77777777" w:rsidR="00DA0977" w:rsidRPr="00DA0977" w:rsidRDefault="00DA0977" w:rsidP="00DA0977">
      <w:pPr>
        <w:pStyle w:val="ParaNoNdepar-AltN"/>
        <w:tabs>
          <w:tab w:val="clear" w:pos="7107"/>
          <w:tab w:val="num" w:pos="1152"/>
        </w:tabs>
        <w:ind w:left="0"/>
        <w:rPr>
          <w:rFonts w:cs="Times New Roman"/>
          <w:lang w:val="en-US"/>
        </w:rPr>
      </w:pPr>
      <w:r w:rsidRPr="00DA0977">
        <w:rPr>
          <w:rFonts w:cs="Times New Roman"/>
          <w:lang w:val="en-US"/>
        </w:rPr>
        <w:lastRenderedPageBreak/>
        <w:t xml:space="preserve">The jurisprudence provides several examples of traditional positions of authority that may be exploited, including that of a parent (see, e.g., </w:t>
      </w:r>
      <w:r w:rsidRPr="00DA0977">
        <w:rPr>
          <w:rFonts w:cs="Times New Roman"/>
          <w:i/>
          <w:lang w:val="en-US"/>
        </w:rPr>
        <w:t>J.R.</w:t>
      </w:r>
      <w:r w:rsidRPr="00DA0977">
        <w:rPr>
          <w:rFonts w:cs="Times New Roman"/>
          <w:lang w:val="en-US"/>
        </w:rPr>
        <w:t xml:space="preserve">), teacher (see, e.g., </w:t>
      </w:r>
      <w:r w:rsidRPr="00DA0977">
        <w:rPr>
          <w:rFonts w:cs="Times New Roman"/>
          <w:i/>
        </w:rPr>
        <w:t>Pentecost</w:t>
      </w:r>
      <w:r w:rsidRPr="00DA0977">
        <w:rPr>
          <w:rFonts w:cs="Times New Roman"/>
        </w:rPr>
        <w:t xml:space="preserve">; </w:t>
      </w:r>
      <w:r w:rsidRPr="00DA0977">
        <w:rPr>
          <w:rFonts w:cs="Times New Roman"/>
          <w:i/>
        </w:rPr>
        <w:t>Faille</w:t>
      </w:r>
      <w:r w:rsidRPr="00DA0977">
        <w:rPr>
          <w:rFonts w:cs="Times New Roman"/>
        </w:rPr>
        <w:t xml:space="preserve">; </w:t>
      </w:r>
      <w:r w:rsidRPr="00DA0977">
        <w:rPr>
          <w:rFonts w:cs="Times New Roman"/>
          <w:i/>
        </w:rPr>
        <w:t>R. v.</w:t>
      </w:r>
      <w:r w:rsidRPr="00DA0977">
        <w:rPr>
          <w:rFonts w:cs="Times New Roman"/>
        </w:rPr>
        <w:t xml:space="preserve"> </w:t>
      </w:r>
      <w:r w:rsidRPr="00DA0977">
        <w:rPr>
          <w:rFonts w:cs="Times New Roman"/>
          <w:i/>
        </w:rPr>
        <w:t>Jissink</w:t>
      </w:r>
      <w:r w:rsidRPr="00DA0977">
        <w:rPr>
          <w:rFonts w:cs="Times New Roman"/>
        </w:rPr>
        <w:t xml:space="preserve">, 2021 ABQB 102, 482 C.R.R. (2d) 167), </w:t>
      </w:r>
      <w:r w:rsidRPr="00DA0977">
        <w:rPr>
          <w:rFonts w:cs="Times New Roman"/>
          <w:lang w:val="en-US"/>
        </w:rPr>
        <w:t xml:space="preserve">or family friend (see, e.g., </w:t>
      </w:r>
      <w:r w:rsidRPr="00DA0977">
        <w:rPr>
          <w:rFonts w:cs="Times New Roman"/>
          <w:i/>
          <w:lang w:val="en-US"/>
        </w:rPr>
        <w:t>Rayo</w:t>
      </w:r>
      <w:r w:rsidRPr="00DA0977">
        <w:rPr>
          <w:rFonts w:cs="Times New Roman"/>
          <w:lang w:val="en-US"/>
        </w:rPr>
        <w:t xml:space="preserve">; </w:t>
      </w:r>
      <w:r w:rsidRPr="00DA0977">
        <w:rPr>
          <w:rFonts w:cs="Times New Roman"/>
          <w:i/>
        </w:rPr>
        <w:t>R. v. Lemay</w:t>
      </w:r>
      <w:r w:rsidRPr="00DA0977">
        <w:rPr>
          <w:rFonts w:cs="Times New Roman"/>
        </w:rPr>
        <w:t>, 2020 ABCA 365, 14 Alta. L.R. (7th) 45</w:t>
      </w:r>
      <w:r w:rsidRPr="00DA0977">
        <w:rPr>
          <w:rFonts w:cs="Times New Roman"/>
          <w:lang w:val="en-US"/>
        </w:rPr>
        <w:t xml:space="preserve">; </w:t>
      </w:r>
      <w:r w:rsidRPr="00DA0977">
        <w:rPr>
          <w:rFonts w:cs="Times New Roman"/>
          <w:i/>
        </w:rPr>
        <w:t>Boucher</w:t>
      </w:r>
      <w:r w:rsidRPr="00DA0977">
        <w:rPr>
          <w:rFonts w:cs="Times New Roman"/>
          <w:lang w:val="en-US"/>
        </w:rPr>
        <w:t>). However, positions of trust fall on a spectrum, and a relationship of trust of any kind may facilitate the commission of the offence (</w:t>
      </w:r>
      <w:r w:rsidRPr="00DA0977">
        <w:rPr>
          <w:rFonts w:cs="Times New Roman"/>
          <w:i/>
          <w:lang w:val="en-US"/>
        </w:rPr>
        <w:t>Rayo</w:t>
      </w:r>
      <w:r w:rsidRPr="00DA0977">
        <w:rPr>
          <w:rFonts w:cs="Times New Roman"/>
          <w:lang w:val="en-US"/>
        </w:rPr>
        <w:t xml:space="preserve">, at </w:t>
      </w:r>
      <w:r w:rsidRPr="00DA0977">
        <w:rPr>
          <w:rFonts w:cs="Times New Roman"/>
        </w:rPr>
        <w:t>paras</w:t>
      </w:r>
      <w:r w:rsidRPr="00DA0977">
        <w:rPr>
          <w:rFonts w:cs="Times New Roman"/>
          <w:lang w:val="en-US"/>
        </w:rPr>
        <w:t xml:space="preserve">. 87 and 96; </w:t>
      </w:r>
      <w:r w:rsidRPr="00DA0977">
        <w:rPr>
          <w:rFonts w:cs="Times New Roman"/>
          <w:i/>
          <w:lang w:val="en-US"/>
        </w:rPr>
        <w:t>Friesen</w:t>
      </w:r>
      <w:r w:rsidRPr="00DA0977">
        <w:rPr>
          <w:rFonts w:cs="Times New Roman"/>
          <w:lang w:val="en-US"/>
        </w:rPr>
        <w:t xml:space="preserve">, at para. 125). </w:t>
      </w:r>
      <w:r w:rsidRPr="00DA0977">
        <w:rPr>
          <w:rFonts w:cs="Times New Roman"/>
        </w:rPr>
        <w:t>Prior relationships can be leveraged to provide an entry, form a basis of trust, build confidence, and can make it easier to manipulate the victim — often because the offender knows more about the victim, including any additional vulnerabilities, like the victim’s family situation. In cases where an offender uses a pre-existing relationship in order to exploit pre-existing trust, a</w:t>
      </w:r>
      <w:r w:rsidRPr="00DA0977">
        <w:rPr>
          <w:rFonts w:cs="Times New Roman"/>
          <w:lang w:val="en-US"/>
        </w:rPr>
        <w:t xml:space="preserve"> breach of this trust is “likely to increase the harm to the victim and thus the gravity of the offence” (</w:t>
      </w:r>
      <w:r w:rsidRPr="00DA0977">
        <w:rPr>
          <w:rFonts w:cs="Times New Roman"/>
          <w:i/>
          <w:lang w:val="en-US"/>
        </w:rPr>
        <w:t>Friesen</w:t>
      </w:r>
      <w:r w:rsidRPr="00DA0977">
        <w:rPr>
          <w:rFonts w:cs="Times New Roman"/>
          <w:lang w:val="en-US"/>
        </w:rPr>
        <w:t>, at para. 126).</w:t>
      </w:r>
    </w:p>
    <w:p w14:paraId="1CC54344" w14:textId="77777777" w:rsidR="00DA0977" w:rsidRPr="00DA0977" w:rsidRDefault="00DA0977" w:rsidP="00DA0977">
      <w:pPr>
        <w:pStyle w:val="ParaNoNdepar-AltN"/>
        <w:tabs>
          <w:tab w:val="clear" w:pos="7107"/>
          <w:tab w:val="num" w:pos="1152"/>
          <w:tab w:val="num" w:pos="1422"/>
        </w:tabs>
        <w:ind w:left="0"/>
        <w:rPr>
          <w:rFonts w:cs="Times New Roman"/>
          <w:lang w:val="en-US"/>
        </w:rPr>
      </w:pPr>
      <w:r w:rsidRPr="00DA0977">
        <w:rPr>
          <w:rFonts w:cs="Times New Roman"/>
          <w:lang w:val="en-US"/>
        </w:rPr>
        <w:t>In many cases of luring the offender is intentionally attempting to build a relationship of trust, move an existing trust relationship onto sexual terrain, or build secrecy. The eventual breach of trust may produce feelings of fear and shame, discourage reporting and undermine relationships. When an offender exploits his role as the confidante or friend in order to gain a victim’s trust for the purposes of facilitating sexual contact, this increases his degree of responsibility (</w:t>
      </w:r>
      <w:r w:rsidRPr="00DA0977">
        <w:rPr>
          <w:rFonts w:cs="Times New Roman"/>
          <w:i/>
          <w:lang w:val="en-US"/>
        </w:rPr>
        <w:t>R.S.F.</w:t>
      </w:r>
      <w:r w:rsidRPr="00DA0977">
        <w:rPr>
          <w:rFonts w:cs="Times New Roman"/>
          <w:lang w:val="en-US"/>
        </w:rPr>
        <w:t xml:space="preserve">; </w:t>
      </w:r>
      <w:r w:rsidRPr="00DA0977">
        <w:rPr>
          <w:rFonts w:cs="Times New Roman"/>
          <w:i/>
          <w:lang w:val="en-US"/>
        </w:rPr>
        <w:t>Rayo</w:t>
      </w:r>
      <w:r w:rsidRPr="00DA0977">
        <w:rPr>
          <w:rFonts w:cs="Times New Roman"/>
          <w:lang w:val="en-US"/>
        </w:rPr>
        <w:t xml:space="preserve">, at paras. 87 and 96). </w:t>
      </w:r>
    </w:p>
    <w:p w14:paraId="56B25A93"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rPr>
        <w:t xml:space="preserve">Mr. Bertrand Marchand and the victim met in person through mutual friends, then communicated online. He had illegal intercourse with her three times prior </w:t>
      </w:r>
      <w:r w:rsidRPr="00DA0977">
        <w:rPr>
          <w:rFonts w:cs="Times New Roman"/>
        </w:rPr>
        <w:lastRenderedPageBreak/>
        <w:t xml:space="preserve">to engaging in the online communications that led to the luring charge. The </w:t>
      </w:r>
      <w:r w:rsidRPr="00DA0977">
        <w:rPr>
          <w:rFonts w:cs="Times New Roman"/>
          <w:szCs w:val="24"/>
        </w:rPr>
        <w:t xml:space="preserve">luring count, therefore, does not encompass the three instances of sexual interference that preceded it. </w:t>
      </w:r>
      <w:r w:rsidRPr="00DA0977">
        <w:rPr>
          <w:rFonts w:cs="Times New Roman"/>
        </w:rPr>
        <w:t xml:space="preserve">As the appellants remarked in written submissions, the fact that the underlying offence occurred three times before the start of the luring does not diminish the seriousness of the subsequent communications (A.F., at paras. 34-48). This pre-existing relationship opened the door to the Facebook communications and allowed Mr. Bertrand Marchand to access the victim. The respondent exploited the pre-existing trust he had established with the victim when they first met. </w:t>
      </w:r>
    </w:p>
    <w:p w14:paraId="13498F33" w14:textId="77777777" w:rsidR="00DA0977" w:rsidRPr="00DA0977" w:rsidRDefault="00DA0977" w:rsidP="00DA0977">
      <w:pPr>
        <w:pStyle w:val="Title5LevelTitre5Niveau"/>
        <w:numPr>
          <w:ilvl w:val="4"/>
          <w:numId w:val="29"/>
        </w:numPr>
        <w:tabs>
          <w:tab w:val="clear" w:pos="1728"/>
        </w:tabs>
        <w:ind w:left="1134" w:hanging="567"/>
        <w:rPr>
          <w:rFonts w:cs="Times New Roman"/>
        </w:rPr>
      </w:pPr>
      <w:bookmarkStart w:id="148" w:name="_Toc135322941"/>
      <w:bookmarkStart w:id="149" w:name="_Toc137199875"/>
      <w:bookmarkStart w:id="150" w:name="_Toc140673990"/>
      <w:bookmarkStart w:id="151" w:name="_Toc141096935"/>
      <w:bookmarkStart w:id="152" w:name="_Toc141694555"/>
      <w:bookmarkStart w:id="153" w:name="_Toc146612961"/>
      <w:r w:rsidRPr="00DA0977">
        <w:rPr>
          <w:rFonts w:cs="Times New Roman"/>
        </w:rPr>
        <w:t>Age of the Victim</w:t>
      </w:r>
      <w:bookmarkEnd w:id="148"/>
      <w:bookmarkEnd w:id="149"/>
      <w:bookmarkEnd w:id="150"/>
      <w:bookmarkEnd w:id="151"/>
      <w:bookmarkEnd w:id="152"/>
      <w:bookmarkEnd w:id="153"/>
    </w:p>
    <w:p w14:paraId="08074A2F"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The age of the child victim may also be an aggravating factor. Per s. 718.2(a)(ii.1) of the </w:t>
      </w:r>
      <w:r w:rsidRPr="00DA0977">
        <w:rPr>
          <w:rFonts w:cs="Times New Roman"/>
          <w:i/>
        </w:rPr>
        <w:t>Criminal Code</w:t>
      </w:r>
      <w:r w:rsidRPr="00DA0977">
        <w:rPr>
          <w:rFonts w:cs="Times New Roman"/>
        </w:rPr>
        <w:t xml:space="preserve">, abuse of a person under 18 years is a statutorily aggravating circumstance. While luring will always involve a child, practically speaking it requires a child of an age who can access and use telecommunications. As such, very young children and infants are rarely victims of this offence. Instead, luring will often involve adolescent victims. Sentencing judges should heed the caution in </w:t>
      </w:r>
      <w:r w:rsidRPr="00DA0977">
        <w:rPr>
          <w:rFonts w:cs="Times New Roman"/>
          <w:i/>
        </w:rPr>
        <w:t xml:space="preserve">Friesen </w:t>
      </w:r>
      <w:r w:rsidRPr="00DA0977">
        <w:rPr>
          <w:rFonts w:cs="Times New Roman"/>
        </w:rPr>
        <w:t xml:space="preserve">that courts must “be particularly careful to impose proportionate sentences in cases where the victim is an adolescent” because disproportionately low sentences have historically been imposed in these cases (para. 136). </w:t>
      </w:r>
    </w:p>
    <w:p w14:paraId="1AB59876" w14:textId="77777777" w:rsidR="00DA0977" w:rsidRPr="00DA0977" w:rsidRDefault="00DA0977" w:rsidP="00DA0977">
      <w:pPr>
        <w:pStyle w:val="ParaNoNdepar-AltN"/>
        <w:tabs>
          <w:tab w:val="clear" w:pos="7107"/>
          <w:tab w:val="num" w:pos="1152"/>
        </w:tabs>
        <w:ind w:left="0"/>
        <w:rPr>
          <w:rFonts w:cs="Times New Roman"/>
        </w:rPr>
      </w:pPr>
      <w:r w:rsidRPr="00DA0977">
        <w:t xml:space="preserve">Luring involves an inherent power imbalance between the adult using technology and the unsupervised child or adolescent receiving their messages. In </w:t>
      </w:r>
      <w:r w:rsidRPr="00DA0977">
        <w:rPr>
          <w:i/>
        </w:rPr>
        <w:t>Friesen</w:t>
      </w:r>
      <w:r w:rsidRPr="00DA0977">
        <w:t xml:space="preserve">, this Court discussed the pronounced power imbalance between adults and </w:t>
      </w:r>
      <w:r w:rsidRPr="00DA0977">
        <w:lastRenderedPageBreak/>
        <w:t>children who are “often helpless without the protection and care of their parents” (para. 134). Though the victim in this case was an adolescent and not a young child, she was under the care of the Director of Youth Protection when she was targeted by Mr. Bertrand Marchand, making her exceptionally vulnerable in the circumstances.</w:t>
      </w:r>
      <w:r w:rsidRPr="00DA0977">
        <w:rPr>
          <w:rFonts w:cs="Times New Roman"/>
          <w:szCs w:val="24"/>
        </w:rPr>
        <w:t xml:space="preserve"> </w:t>
      </w:r>
    </w:p>
    <w:p w14:paraId="43A6A0DD"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rPr>
        <w:t xml:space="preserve">Further, a wide gap in age between the offender and victim increases blameworthiness (see, e.g., </w:t>
      </w:r>
      <w:r w:rsidRPr="00DA0977">
        <w:rPr>
          <w:rFonts w:cs="Times New Roman"/>
          <w:i/>
        </w:rPr>
        <w:t>Misay</w:t>
      </w:r>
      <w:r w:rsidRPr="00DA0977">
        <w:rPr>
          <w:rFonts w:cs="Times New Roman"/>
        </w:rPr>
        <w:t>, at para. 61;</w:t>
      </w:r>
      <w:r w:rsidRPr="00DA0977">
        <w:rPr>
          <w:rFonts w:cs="Times New Roman"/>
          <w:i/>
        </w:rPr>
        <w:t xml:space="preserve"> Faille</w:t>
      </w:r>
      <w:r w:rsidRPr="00DA0977">
        <w:rPr>
          <w:rFonts w:cs="Times New Roman"/>
        </w:rPr>
        <w:t xml:space="preserve">, at para. 74; </w:t>
      </w:r>
      <w:r w:rsidRPr="00DA0977">
        <w:rPr>
          <w:rFonts w:cs="Times New Roman"/>
          <w:i/>
        </w:rPr>
        <w:t>Jissink</w:t>
      </w:r>
      <w:r w:rsidRPr="00DA0977">
        <w:rPr>
          <w:rFonts w:cs="Times New Roman"/>
        </w:rPr>
        <w:t xml:space="preserve">, at para. 52; </w:t>
      </w:r>
      <w:r w:rsidRPr="00DA0977">
        <w:rPr>
          <w:rFonts w:cs="Times New Roman"/>
          <w:i/>
        </w:rPr>
        <w:t>R. v. Aguilar</w:t>
      </w:r>
      <w:r w:rsidRPr="00DA0977">
        <w:rPr>
          <w:rFonts w:cs="Times New Roman"/>
        </w:rPr>
        <w:t xml:space="preserve">, 2021 ONCJ 87, at para. 21 (CanLII), aff’d 2022 ONCA 353, at para. 14 (CanLII)). Here, </w:t>
      </w:r>
      <w:r w:rsidRPr="00DA0977">
        <w:rPr>
          <w:rFonts w:cs="Times New Roman"/>
          <w:szCs w:val="24"/>
        </w:rPr>
        <w:t>Mr. Bertrand Marchand is nine years older than the victim, who was in her early teenage years at the start of the indictable period. He was aware of her age from the start and mentioned her youth several times. The significant age gap and the victim’s severe vulnerability are both aggravating factors.</w:t>
      </w:r>
    </w:p>
    <w:p w14:paraId="6A760863" w14:textId="77777777" w:rsidR="00DA0977" w:rsidRPr="00DA0977" w:rsidRDefault="00DA0977" w:rsidP="00DA0977">
      <w:pPr>
        <w:pStyle w:val="Title4LevelTitre4Niveau"/>
        <w:numPr>
          <w:ilvl w:val="3"/>
          <w:numId w:val="29"/>
        </w:numPr>
        <w:rPr>
          <w:rFonts w:cs="Times New Roman"/>
        </w:rPr>
      </w:pPr>
      <w:bookmarkStart w:id="154" w:name="_Toc137199876"/>
      <w:bookmarkStart w:id="155" w:name="_Toc140673991"/>
      <w:bookmarkStart w:id="156" w:name="_Toc141096936"/>
      <w:bookmarkStart w:id="157" w:name="_Toc141694556"/>
      <w:bookmarkStart w:id="158" w:name="_Toc146612962"/>
      <w:r w:rsidRPr="00DA0977">
        <w:rPr>
          <w:rFonts w:cs="Times New Roman"/>
        </w:rPr>
        <w:t>A Fit Sentence</w:t>
      </w:r>
      <w:bookmarkEnd w:id="154"/>
      <w:bookmarkEnd w:id="155"/>
      <w:bookmarkEnd w:id="156"/>
      <w:bookmarkEnd w:id="157"/>
      <w:bookmarkEnd w:id="158"/>
    </w:p>
    <w:p w14:paraId="4D2CB074"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szCs w:val="24"/>
        </w:rPr>
        <w:t>I accept the appellants’ submission that Parliament’s legislative initiatives regarding sexual offences against children, the aggravating and mitigating factors articulated above, and the distinct harm caused by the online communication justify a sentence of 12 months’ imprisonment for Mr. Bertrand Marchand.</w:t>
      </w:r>
    </w:p>
    <w:p w14:paraId="467A40F6" w14:textId="77777777" w:rsidR="00DA0977" w:rsidRPr="00DA0977" w:rsidRDefault="00DA0977" w:rsidP="00DA0977">
      <w:pPr>
        <w:pStyle w:val="Title3LevelTitre3Niveau"/>
        <w:rPr>
          <w:rFonts w:cs="Times New Roman"/>
        </w:rPr>
      </w:pPr>
      <w:bookmarkStart w:id="159" w:name="_Toc134196982"/>
      <w:bookmarkStart w:id="160" w:name="_Toc134625065"/>
      <w:bookmarkStart w:id="161" w:name="_Toc135041585"/>
      <w:bookmarkStart w:id="162" w:name="_Toc135322943"/>
      <w:bookmarkStart w:id="163" w:name="_Toc137199877"/>
      <w:bookmarkStart w:id="164" w:name="_Toc140673992"/>
      <w:bookmarkStart w:id="165" w:name="_Toc141096937"/>
      <w:bookmarkStart w:id="166" w:name="_Toc141694557"/>
      <w:bookmarkStart w:id="167" w:name="_Toc146612963"/>
      <w:r w:rsidRPr="00DA0977">
        <w:rPr>
          <w:rFonts w:cs="Times New Roman"/>
        </w:rPr>
        <w:t>Concurrent Versus Consecutive</w:t>
      </w:r>
      <w:bookmarkEnd w:id="159"/>
      <w:r w:rsidRPr="00DA0977">
        <w:rPr>
          <w:rFonts w:cs="Times New Roman"/>
        </w:rPr>
        <w:t xml:space="preserve"> Sentences</w:t>
      </w:r>
      <w:bookmarkEnd w:id="160"/>
      <w:bookmarkEnd w:id="161"/>
      <w:bookmarkEnd w:id="162"/>
      <w:bookmarkEnd w:id="163"/>
      <w:bookmarkEnd w:id="164"/>
      <w:bookmarkEnd w:id="165"/>
      <w:bookmarkEnd w:id="166"/>
      <w:bookmarkEnd w:id="167"/>
    </w:p>
    <w:p w14:paraId="5B1AE9A5"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rPr>
        <w:t xml:space="preserve">I now turn to the sentencing judge’s order that the sentences for the offences of sexual interference and luring be served concurrently. </w:t>
      </w:r>
    </w:p>
    <w:p w14:paraId="32823556"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rPr>
        <w:lastRenderedPageBreak/>
        <w:t xml:space="preserve">Because of its constituent elements, luring will often arise with other offences. This raises methodological considerations about how to approach sentencing for multiple offences and when sentences should run concurrently or consecutively. </w:t>
      </w:r>
    </w:p>
    <w:p w14:paraId="4844E847"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rPr>
        <w:t>The sentencing judge first determined the just and appropriate sentence for each offence individually. Next, she considered</w:t>
      </w:r>
      <w:r w:rsidRPr="00DA0977">
        <w:rPr>
          <w:rFonts w:cs="Times New Roman"/>
          <w:szCs w:val="24"/>
        </w:rPr>
        <w:t xml:space="preserve"> whether the sentences ought to be consecutive or concurrent.</w:t>
      </w:r>
      <w:r w:rsidRPr="00DA0977">
        <w:rPr>
          <w:rFonts w:cs="Times New Roman"/>
        </w:rPr>
        <w:t xml:space="preserve"> Only after doing this did she consider the principle of totality in s. 718.2(a), which ensures that “the </w:t>
      </w:r>
      <w:r w:rsidRPr="00DA0977">
        <w:rPr>
          <w:rFonts w:cs="Times New Roman"/>
          <w:szCs w:val="24"/>
        </w:rPr>
        <w:t>cumulative sentence rendered does not exceed the overall culpability of the offender” (</w:t>
      </w:r>
      <w:r w:rsidRPr="00DA0977">
        <w:rPr>
          <w:rFonts w:cs="Times New Roman"/>
          <w:i/>
          <w:szCs w:val="24"/>
        </w:rPr>
        <w:t>R. v. M. (C.A.)</w:t>
      </w:r>
      <w:r w:rsidRPr="00DA0977">
        <w:rPr>
          <w:rFonts w:cs="Times New Roman"/>
          <w:szCs w:val="24"/>
        </w:rPr>
        <w:t xml:space="preserve">, [1996] 1 S.C.R. 500, at para. 42; see also </w:t>
      </w:r>
      <w:r w:rsidRPr="00DA0977">
        <w:rPr>
          <w:rFonts w:cs="Times New Roman"/>
          <w:i/>
          <w:szCs w:val="24"/>
        </w:rPr>
        <w:t>R. v. Hutchings</w:t>
      </w:r>
      <w:r w:rsidRPr="00DA0977">
        <w:rPr>
          <w:rFonts w:cs="Times New Roman"/>
          <w:szCs w:val="24"/>
        </w:rPr>
        <w:t xml:space="preserve">, 2012 NLCA 2, 316 Nfld. &amp; P.E.I.R. 211, at para. 84, and </w:t>
      </w:r>
      <w:r w:rsidRPr="00DA0977">
        <w:rPr>
          <w:rFonts w:cs="Times New Roman"/>
          <w:i/>
          <w:szCs w:val="24"/>
        </w:rPr>
        <w:t>Desjardins v. R.</w:t>
      </w:r>
      <w:r w:rsidRPr="00DA0977">
        <w:rPr>
          <w:rFonts w:cs="Times New Roman"/>
          <w:szCs w:val="24"/>
        </w:rPr>
        <w:t>, 2015 QCCA 1774, at paras. 37-42 (CanLII), which have endorsed a similar approach).</w:t>
      </w:r>
      <w:r w:rsidRPr="00DA0977">
        <w:rPr>
          <w:rFonts w:cs="Times New Roman"/>
        </w:rPr>
        <w:t xml:space="preserve"> </w:t>
      </w:r>
    </w:p>
    <w:p w14:paraId="168FC2F0"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rPr>
        <w:t>I agree with the sentencing judge’s approach in this case and believe it has benefits over the alternative manner of simply setting a global amount for multiple offences. This sequential approach ensures a separate consideration of the fit and appropriate punishment of each offence. Given the separate objectives and distinct criteria for the luring offence, it was appropriate to examine each offence individually [</w:t>
      </w:r>
      <w:r w:rsidRPr="00DA0977">
        <w:rPr>
          <w:rFonts w:cs="Times New Roman"/>
          <w:smallCaps/>
        </w:rPr>
        <w:t>translation</w:t>
      </w:r>
      <w:r w:rsidRPr="00DA0977">
        <w:rPr>
          <w:rFonts w:cs="Times New Roman"/>
        </w:rPr>
        <w:t>] “in order to understand properly the weight this offence contributes to the offender’s moral blameworthiness” (</w:t>
      </w:r>
      <w:r w:rsidRPr="00DA0977">
        <w:rPr>
          <w:rFonts w:cs="Times New Roman"/>
          <w:i/>
        </w:rPr>
        <w:t>Rayo</w:t>
      </w:r>
      <w:r w:rsidRPr="00DA0977">
        <w:rPr>
          <w:rFonts w:cs="Times New Roman"/>
        </w:rPr>
        <w:t>, at para. 55).</w:t>
      </w:r>
    </w:p>
    <w:p w14:paraId="24362E2E"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Articulating individual sentences for each offence provides needed clarity and is of great assistance when one of the challenged punishments are varied on appeal or declared to be unconstitutional.</w:t>
      </w:r>
      <w:r w:rsidRPr="00DA0977">
        <w:rPr>
          <w:rFonts w:cs="Times New Roman"/>
          <w:szCs w:val="24"/>
        </w:rPr>
        <w:t xml:space="preserve"> Setting an</w:t>
      </w:r>
      <w:r w:rsidRPr="00DA0977">
        <w:rPr>
          <w:rFonts w:cs="Times New Roman"/>
        </w:rPr>
        <w:t xml:space="preserve"> individual sentence for each offence </w:t>
      </w:r>
      <w:r w:rsidRPr="00DA0977">
        <w:rPr>
          <w:rFonts w:cs="Times New Roman"/>
        </w:rPr>
        <w:lastRenderedPageBreak/>
        <w:t xml:space="preserve">provides transparency and allows a judge to weigh the seriousness of each offence. Clearly identifying individual sentences may also prove to be of great assistance in any subsequent sentencing proceedings should an offender </w:t>
      </w:r>
      <w:r w:rsidRPr="00DA0977">
        <w:rPr>
          <w:rFonts w:cs="Times New Roman"/>
          <w:i/>
        </w:rPr>
        <w:t>re-</w:t>
      </w:r>
      <w:r w:rsidRPr="00DA0977">
        <w:rPr>
          <w:rFonts w:cs="Times New Roman"/>
        </w:rPr>
        <w:t xml:space="preserve">offend — for example, by providing sentencing judges with a starting point when applying the “jump principle” to repeat convictions for the same offences </w:t>
      </w:r>
      <w:r w:rsidRPr="00DA0977">
        <w:rPr>
          <w:rFonts w:cs="Times New Roman"/>
          <w:szCs w:val="24"/>
        </w:rPr>
        <w:t>(</w:t>
      </w:r>
      <w:r w:rsidRPr="00DA0977">
        <w:rPr>
          <w:rFonts w:cs="Times New Roman"/>
          <w:i/>
          <w:szCs w:val="24"/>
        </w:rPr>
        <w:t>R. v. Borde</w:t>
      </w:r>
      <w:r w:rsidRPr="00DA0977">
        <w:rPr>
          <w:rFonts w:cs="Times New Roman"/>
          <w:szCs w:val="24"/>
        </w:rPr>
        <w:t xml:space="preserve"> (2003), 63 O.R. (3d) 417 (C.A.), at para. 39).</w:t>
      </w:r>
      <w:r w:rsidRPr="00DA0977">
        <w:rPr>
          <w:rFonts w:cs="Times New Roman"/>
          <w:i/>
          <w:szCs w:val="24"/>
        </w:rPr>
        <w:t xml:space="preserve"> </w:t>
      </w:r>
    </w:p>
    <w:p w14:paraId="4D966F01"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The sentencing judge determined that Mr. Bertrand Marchand’s sentences for sexual interference and luring should be served concurrently because the offences were closely connected. While deference is owed to a judge’s decision on whether to impose a consecutive or concurrent sentence (</w:t>
      </w:r>
      <w:r w:rsidRPr="00DA0977">
        <w:rPr>
          <w:rFonts w:cs="Times New Roman"/>
          <w:i/>
        </w:rPr>
        <w:t>R. v. McDonnell</w:t>
      </w:r>
      <w:r w:rsidRPr="00DA0977">
        <w:rPr>
          <w:rFonts w:cs="Times New Roman"/>
        </w:rPr>
        <w:t xml:space="preserve">, [1997] 1 S.C.R. 948, at para. 46), respectfully, the sentencing judge erred by imposing a concurrent sentence in this case. To properly account for the distinct legal interests that the luring offence protects, the sentences should have been consecutive. </w:t>
      </w:r>
    </w:p>
    <w:p w14:paraId="1F2D6078"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szCs w:val="24"/>
        </w:rPr>
        <w:t>Parliament has removed judicial discretion and has dictated that sentences must run consecutively for certain offences, like child pornography where the offender also commits another sexual offence against that child, or where there are sexual offences other than child pornography committed by the same offender against several children (</w:t>
      </w:r>
      <w:r w:rsidRPr="00DA0977">
        <w:rPr>
          <w:rFonts w:cs="Times New Roman"/>
          <w:i/>
          <w:szCs w:val="24"/>
        </w:rPr>
        <w:t>Criminal Code</w:t>
      </w:r>
      <w:r w:rsidRPr="00DA0977">
        <w:rPr>
          <w:rFonts w:cs="Times New Roman"/>
          <w:szCs w:val="24"/>
        </w:rPr>
        <w:t>, s. 718.3(7)). Generally speaking, “offences that are so closely linked to each other as to constitute a single criminal adventure may, but are not required to, receive concurrent sentences, while all other offences are to receive consecutive sentences” (</w:t>
      </w:r>
      <w:r w:rsidRPr="00DA0977">
        <w:rPr>
          <w:rFonts w:cs="Times New Roman"/>
          <w:i/>
          <w:szCs w:val="24"/>
        </w:rPr>
        <w:t>Friesen</w:t>
      </w:r>
      <w:r w:rsidRPr="00DA0977">
        <w:rPr>
          <w:rFonts w:cs="Times New Roman"/>
          <w:szCs w:val="24"/>
        </w:rPr>
        <w:t xml:space="preserve">, at para. 155; see also </w:t>
      </w:r>
      <w:r w:rsidRPr="00DA0977">
        <w:rPr>
          <w:rFonts w:cs="Times New Roman"/>
          <w:i/>
          <w:szCs w:val="24"/>
        </w:rPr>
        <w:t>Criminal Code</w:t>
      </w:r>
      <w:r w:rsidRPr="00DA0977">
        <w:rPr>
          <w:rFonts w:cs="Times New Roman"/>
          <w:szCs w:val="24"/>
        </w:rPr>
        <w:t xml:space="preserve">, </w:t>
      </w:r>
      <w:r w:rsidRPr="00DA0977">
        <w:rPr>
          <w:rFonts w:cs="Times New Roman"/>
          <w:szCs w:val="24"/>
        </w:rPr>
        <w:lastRenderedPageBreak/>
        <w:t xml:space="preserve">s. 718.3(4)(b)(i)). Determining whether sentences should be consecutive or concurrent is a fact-specific inquiry to be undertaken in the context of each case (C. C. Ruby, </w:t>
      </w:r>
      <w:r w:rsidRPr="00DA0977">
        <w:rPr>
          <w:rFonts w:cs="Times New Roman"/>
          <w:i/>
          <w:szCs w:val="24"/>
        </w:rPr>
        <w:t>Sentencing</w:t>
      </w:r>
      <w:r w:rsidRPr="00DA0977">
        <w:rPr>
          <w:rFonts w:cs="Times New Roman"/>
          <w:szCs w:val="24"/>
        </w:rPr>
        <w:t xml:space="preserve"> (10th ed. 2020), at §14.13).</w:t>
      </w:r>
    </w:p>
    <w:p w14:paraId="2ADA8CAC"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szCs w:val="24"/>
        </w:rPr>
        <w:t>Luring is legislatively linked to listed secondary offences: an offender must communicate for the purpose of facilitating the commission of one such offence. While there will be cases where luring stands alone, it often accompanies the actual commission of a listed secondary offence. But the luring that preceded or produced the offence is in no way subsumed or supplanted within the secondary offence. This is because the offence of luring protects a distinct social interest and causes distinct harms compared to the secondary offences (</w:t>
      </w:r>
      <w:r w:rsidRPr="00DA0977">
        <w:rPr>
          <w:rFonts w:cs="Times New Roman"/>
          <w:i/>
          <w:szCs w:val="24"/>
        </w:rPr>
        <w:t>Rayo</w:t>
      </w:r>
      <w:r w:rsidRPr="00DA0977">
        <w:rPr>
          <w:rFonts w:cs="Times New Roman"/>
          <w:szCs w:val="24"/>
        </w:rPr>
        <w:t>, at paras. 130 and 134).</w:t>
      </w:r>
    </w:p>
    <w:p w14:paraId="1D537B5A"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szCs w:val="24"/>
        </w:rPr>
        <w:t>Offences constituting “invasions of different legally protected interests” can be sentenced consecutively, even if they form part of the same criminal transaction (</w:t>
      </w:r>
      <w:r w:rsidRPr="00DA0977">
        <w:rPr>
          <w:rFonts w:cs="Times New Roman"/>
          <w:i/>
          <w:szCs w:val="24"/>
        </w:rPr>
        <w:t>Rayo</w:t>
      </w:r>
      <w:r w:rsidRPr="00DA0977">
        <w:rPr>
          <w:rFonts w:cs="Times New Roman"/>
          <w:szCs w:val="24"/>
        </w:rPr>
        <w:t xml:space="preserve">, at para. 136, quoting </w:t>
      </w:r>
      <w:r w:rsidRPr="00DA0977">
        <w:rPr>
          <w:rFonts w:cs="Times New Roman"/>
          <w:i/>
          <w:szCs w:val="24"/>
        </w:rPr>
        <w:t>R. v. Gummer</w:t>
      </w:r>
      <w:r w:rsidRPr="00DA0977">
        <w:rPr>
          <w:rFonts w:cs="Times New Roman"/>
          <w:szCs w:val="24"/>
        </w:rPr>
        <w:t xml:space="preserve"> (1983), 38 C.R. (3d) 46 (Ont. C.A), at p. 49; </w:t>
      </w:r>
      <w:r w:rsidRPr="00DA0977">
        <w:rPr>
          <w:rFonts w:cs="Times New Roman"/>
          <w:i/>
          <w:szCs w:val="24"/>
        </w:rPr>
        <w:t>R. v. Gillis</w:t>
      </w:r>
      <w:r w:rsidRPr="00DA0977">
        <w:rPr>
          <w:rFonts w:cs="Times New Roman"/>
          <w:szCs w:val="24"/>
        </w:rPr>
        <w:t xml:space="preserve">, 2009 ONCA 312, 248 O.A.C. 1, at para. 9; </w:t>
      </w:r>
      <w:r w:rsidRPr="00DA0977">
        <w:rPr>
          <w:rFonts w:cs="Times New Roman"/>
          <w:i/>
          <w:szCs w:val="24"/>
        </w:rPr>
        <w:t>R. v. Morton</w:t>
      </w:r>
      <w:r w:rsidRPr="00DA0977">
        <w:rPr>
          <w:rFonts w:cs="Times New Roman"/>
          <w:szCs w:val="24"/>
        </w:rPr>
        <w:t>, 2021 ABCA 29, at paras. 32</w:t>
      </w:r>
      <w:r w:rsidRPr="00DA0977">
        <w:rPr>
          <w:rFonts w:cs="Times New Roman"/>
          <w:szCs w:val="24"/>
        </w:rPr>
        <w:noBreakHyphen/>
        <w:t>33 (CanLII)). Parliament intentionally targeted conduct that precedes the commission of the enumerated sexual offences and seeks to protect children from the possibility of sexual exploitation facilitated by the internet (</w:t>
      </w:r>
      <w:r w:rsidRPr="00DA0977">
        <w:rPr>
          <w:rFonts w:cs="Times New Roman"/>
          <w:i/>
          <w:szCs w:val="24"/>
        </w:rPr>
        <w:t>Rayo</w:t>
      </w:r>
      <w:r w:rsidRPr="00DA0977">
        <w:rPr>
          <w:rFonts w:cs="Times New Roman"/>
          <w:szCs w:val="24"/>
        </w:rPr>
        <w:t xml:space="preserve">, at paras. 138-39; </w:t>
      </w:r>
      <w:r w:rsidRPr="00DA0977">
        <w:rPr>
          <w:rFonts w:cs="Times New Roman"/>
          <w:i/>
          <w:szCs w:val="24"/>
        </w:rPr>
        <w:t>Reynard</w:t>
      </w:r>
      <w:r w:rsidRPr="00DA0977">
        <w:rPr>
          <w:rFonts w:cs="Times New Roman"/>
          <w:szCs w:val="24"/>
        </w:rPr>
        <w:t xml:space="preserve">, at paras. 19-20; </w:t>
      </w:r>
      <w:r w:rsidRPr="00DA0977">
        <w:rPr>
          <w:rFonts w:cs="Times New Roman"/>
          <w:i/>
          <w:szCs w:val="24"/>
        </w:rPr>
        <w:t>Alicandro</w:t>
      </w:r>
      <w:r w:rsidRPr="00DA0977">
        <w:rPr>
          <w:rFonts w:cs="Times New Roman"/>
          <w:szCs w:val="24"/>
        </w:rPr>
        <w:t xml:space="preserve">, at para. 36; </w:t>
      </w:r>
      <w:r w:rsidRPr="00DA0977">
        <w:rPr>
          <w:rFonts w:cs="Times New Roman"/>
          <w:i/>
          <w:szCs w:val="24"/>
        </w:rPr>
        <w:t>Legare</w:t>
      </w:r>
      <w:r w:rsidRPr="00DA0977">
        <w:rPr>
          <w:rFonts w:cs="Times New Roman"/>
          <w:szCs w:val="24"/>
        </w:rPr>
        <w:t>, at para. 25). As set out above, luring can cause distinct harms as a result of psychological manipulation. As such, in most cases luring will attract a consecutive sentence (</w:t>
      </w:r>
      <w:r w:rsidRPr="00DA0977">
        <w:rPr>
          <w:rFonts w:cs="Times New Roman"/>
          <w:i/>
          <w:szCs w:val="24"/>
        </w:rPr>
        <w:t>Rayo</w:t>
      </w:r>
      <w:r w:rsidRPr="00DA0977">
        <w:rPr>
          <w:rFonts w:cs="Times New Roman"/>
          <w:szCs w:val="24"/>
        </w:rPr>
        <w:t xml:space="preserve">, at paras. 133-43; </w:t>
      </w:r>
      <w:r w:rsidRPr="00DA0977">
        <w:rPr>
          <w:rFonts w:cs="Times New Roman"/>
          <w:i/>
          <w:szCs w:val="24"/>
        </w:rPr>
        <w:t>R. v. McLean</w:t>
      </w:r>
      <w:r w:rsidRPr="00DA0977">
        <w:rPr>
          <w:rFonts w:cs="Times New Roman"/>
          <w:szCs w:val="24"/>
        </w:rPr>
        <w:t xml:space="preserve">, 2016 SKCA 93, 484 Sask. R. 137, at paras. 50-53; </w:t>
      </w:r>
      <w:r w:rsidRPr="00DA0977">
        <w:rPr>
          <w:rFonts w:cs="Times New Roman"/>
          <w:i/>
          <w:szCs w:val="24"/>
        </w:rPr>
        <w:t>Miller</w:t>
      </w:r>
      <w:r w:rsidRPr="00DA0977">
        <w:rPr>
          <w:rFonts w:cs="Times New Roman"/>
          <w:szCs w:val="24"/>
        </w:rPr>
        <w:t>, at paras. 22</w:t>
      </w:r>
      <w:r w:rsidRPr="00DA0977">
        <w:rPr>
          <w:rFonts w:cs="Times New Roman"/>
          <w:szCs w:val="24"/>
        </w:rPr>
        <w:noBreakHyphen/>
        <w:t xml:space="preserve">23). </w:t>
      </w:r>
      <w:r w:rsidRPr="00DA0977">
        <w:rPr>
          <w:rFonts w:cs="Times New Roman"/>
          <w:szCs w:val="24"/>
        </w:rPr>
        <w:lastRenderedPageBreak/>
        <w:t xml:space="preserve">As noted in </w:t>
      </w:r>
      <w:r w:rsidRPr="00DA0977">
        <w:rPr>
          <w:rFonts w:cs="Times New Roman"/>
          <w:i/>
          <w:szCs w:val="24"/>
        </w:rPr>
        <w:t>Rayo</w:t>
      </w:r>
      <w:r w:rsidRPr="00DA0977">
        <w:rPr>
          <w:rFonts w:cs="Times New Roman"/>
          <w:szCs w:val="24"/>
        </w:rPr>
        <w:t>, the distinct offence of luring may seem to go unpunished, at least in part, where the luring sentence runs concurrently to the sentences for the related offences (para. 152).</w:t>
      </w:r>
    </w:p>
    <w:p w14:paraId="26AFEF82"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szCs w:val="24"/>
        </w:rPr>
        <w:t>This is not to say that luring must always be sentenced consecutively. Unless so mandated by s. 718.3(7), sentencing judges retain discretion on this point. However, in exercising their discretion, judges must remain cognizant of the fact that the offence of luring constitutes an invasion of a different legally protected interest. The judge is obliged to explain why the sentence is to be served concurrently with the penalties imposed for other infractions. The reason for imposing a concurrent sentence must be provided. I also note that judges must be mindful not to double count: where a judge orders that a sentence for luring be served consecutively to any sentence for a secondary offence, the secondary offence cannot act as an aggravating factor in determining the luring sentence.</w:t>
      </w:r>
    </w:p>
    <w:p w14:paraId="46841077" w14:textId="77777777" w:rsidR="00DA0977" w:rsidRPr="00DA0977" w:rsidRDefault="00DA0977" w:rsidP="00DA0977">
      <w:pPr>
        <w:pStyle w:val="Title3LevelTitre3Niveau"/>
        <w:numPr>
          <w:ilvl w:val="2"/>
          <w:numId w:val="29"/>
        </w:numPr>
        <w:rPr>
          <w:rFonts w:cs="Times New Roman"/>
        </w:rPr>
      </w:pPr>
      <w:bookmarkStart w:id="168" w:name="_Toc137199878"/>
      <w:bookmarkStart w:id="169" w:name="_Toc140673993"/>
      <w:bookmarkStart w:id="170" w:name="_Toc141096938"/>
      <w:bookmarkStart w:id="171" w:name="_Toc141694558"/>
      <w:bookmarkStart w:id="172" w:name="_Toc146612964"/>
      <w:r w:rsidRPr="00DA0977">
        <w:rPr>
          <w:rFonts w:cs="Times New Roman"/>
        </w:rPr>
        <w:t>Totality</w:t>
      </w:r>
      <w:bookmarkEnd w:id="168"/>
      <w:bookmarkEnd w:id="169"/>
      <w:bookmarkEnd w:id="170"/>
      <w:bookmarkEnd w:id="171"/>
      <w:bookmarkEnd w:id="172"/>
      <w:r w:rsidRPr="00DA0977">
        <w:rPr>
          <w:rFonts w:cs="Times New Roman"/>
        </w:rPr>
        <w:t xml:space="preserve"> </w:t>
      </w:r>
    </w:p>
    <w:p w14:paraId="53786E96"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rPr>
        <w:t xml:space="preserve">The effect of the totality principle is to require a judge to ensure that the series of sentences are, in aggregate, “just and appropriate” (see </w:t>
      </w:r>
      <w:r w:rsidRPr="00DA0977">
        <w:rPr>
          <w:rFonts w:cs="Times New Roman"/>
          <w:i/>
        </w:rPr>
        <w:t>M. (C.A.)</w:t>
      </w:r>
      <w:r w:rsidRPr="00DA0977">
        <w:rPr>
          <w:rFonts w:cs="Times New Roman"/>
        </w:rPr>
        <w:t xml:space="preserve">, at para. 42; </w:t>
      </w:r>
      <w:r w:rsidRPr="00DA0977">
        <w:rPr>
          <w:rFonts w:cs="Times New Roman"/>
          <w:i/>
        </w:rPr>
        <w:t>Criminal Code</w:t>
      </w:r>
      <w:r w:rsidRPr="00DA0977">
        <w:rPr>
          <w:rFonts w:cs="Times New Roman"/>
        </w:rPr>
        <w:t>, s. 718.2(c)). This involves taking “one last look at the combined sentence” to assess whether it is “unduly long or harsh, in the sense that it is disproportionate to the gravity of the offence and the degree of responsibility of the offender” (</w:t>
      </w:r>
      <w:r w:rsidRPr="00DA0977">
        <w:rPr>
          <w:rFonts w:cs="Times New Roman"/>
          <w:i/>
        </w:rPr>
        <w:t>Hutchings</w:t>
      </w:r>
      <w:r w:rsidRPr="00DA0977">
        <w:rPr>
          <w:rFonts w:cs="Times New Roman"/>
        </w:rPr>
        <w:t xml:space="preserve">, at paras. 42 and 84; </w:t>
      </w:r>
      <w:r w:rsidRPr="00DA0977">
        <w:rPr>
          <w:rFonts w:cs="Times New Roman"/>
          <w:i/>
        </w:rPr>
        <w:t>Laguerre v. R.</w:t>
      </w:r>
      <w:r w:rsidRPr="00DA0977">
        <w:rPr>
          <w:rFonts w:cs="Times New Roman"/>
        </w:rPr>
        <w:t xml:space="preserve">, 2021 QCCA 1537, at para. 43 (CanLII); </w:t>
      </w:r>
      <w:r w:rsidRPr="00DA0977">
        <w:rPr>
          <w:rFonts w:cs="Times New Roman"/>
          <w:i/>
        </w:rPr>
        <w:t>M. (C.A.)</w:t>
      </w:r>
      <w:r w:rsidRPr="00DA0977">
        <w:rPr>
          <w:rFonts w:cs="Times New Roman"/>
        </w:rPr>
        <w:t xml:space="preserve">, at para. 42). If the principle of totality is offended, the </w:t>
      </w:r>
      <w:r w:rsidRPr="00DA0977">
        <w:rPr>
          <w:rFonts w:cs="Times New Roman"/>
        </w:rPr>
        <w:lastRenderedPageBreak/>
        <w:t>sentences can be adjusted by making some concurrent, or if this does not achieve a just and appropriate sentence, by reducing the length of one or more sentences (</w:t>
      </w:r>
      <w:r w:rsidRPr="00DA0977">
        <w:rPr>
          <w:rFonts w:cs="Times New Roman"/>
          <w:i/>
        </w:rPr>
        <w:t>Desjardins</w:t>
      </w:r>
      <w:r w:rsidRPr="00DA0977">
        <w:rPr>
          <w:rFonts w:cs="Times New Roman"/>
        </w:rPr>
        <w:t>, at para. 34).</w:t>
      </w:r>
    </w:p>
    <w:p w14:paraId="4E3743A9"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szCs w:val="24"/>
        </w:rPr>
        <w:t>As articulated above, the sentencing judge in this case failed to consider that the distinct legal interest that the luring offence protects was present in the case at bar. This caused her to conflate the sentence for luring with the sentence for the secondary offence.</w:t>
      </w:r>
      <w:r w:rsidRPr="00DA0977">
        <w:rPr>
          <w:rFonts w:cs="Times New Roman"/>
        </w:rPr>
        <w:t xml:space="preserve"> </w:t>
      </w:r>
      <w:r w:rsidRPr="00DA0977">
        <w:rPr>
          <w:rFonts w:cs="Times New Roman"/>
          <w:szCs w:val="24"/>
        </w:rPr>
        <w:t>As such, I conclude that the 12</w:t>
      </w:r>
      <w:r w:rsidRPr="00DA0977">
        <w:rPr>
          <w:rFonts w:cs="Times New Roman"/>
          <w:szCs w:val="24"/>
        </w:rPr>
        <w:noBreakHyphen/>
        <w:t>month luring sentence ought to be served consecutively with the 10</w:t>
      </w:r>
      <w:r w:rsidRPr="00DA0977">
        <w:rPr>
          <w:rFonts w:cs="Times New Roman"/>
          <w:szCs w:val="24"/>
        </w:rPr>
        <w:noBreakHyphen/>
        <w:t>month sentence for sexual interference.</w:t>
      </w:r>
    </w:p>
    <w:p w14:paraId="392B9C10"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szCs w:val="24"/>
        </w:rPr>
        <w:t>Applying the totality principle, I find that a 22</w:t>
      </w:r>
      <w:r w:rsidRPr="00DA0977">
        <w:rPr>
          <w:rFonts w:cs="Times New Roman"/>
          <w:szCs w:val="24"/>
        </w:rPr>
        <w:noBreakHyphen/>
        <w:t xml:space="preserve">month sentence is just in light of the circumstances of the case, Mr. Bertrand Marchand’s personal circumstances and his moral blameworthiness. </w:t>
      </w:r>
    </w:p>
    <w:p w14:paraId="590EDA58" w14:textId="77777777" w:rsidR="00DA0977" w:rsidRPr="00DA0977" w:rsidRDefault="00DA0977" w:rsidP="00DA0977">
      <w:pPr>
        <w:pStyle w:val="ParaNoNdepar-AltN"/>
        <w:tabs>
          <w:tab w:val="clear" w:pos="7107"/>
          <w:tab w:val="num" w:pos="1152"/>
          <w:tab w:val="num" w:pos="1422"/>
        </w:tabs>
        <w:ind w:left="0"/>
        <w:rPr>
          <w:rFonts w:cs="Times New Roman"/>
        </w:rPr>
      </w:pPr>
      <w:r w:rsidRPr="00DA0977">
        <w:rPr>
          <w:rFonts w:cs="Times New Roman"/>
        </w:rPr>
        <w:t>Mr. Bertrand Marchand has already served the 10</w:t>
      </w:r>
      <w:r w:rsidRPr="00DA0977">
        <w:rPr>
          <w:rFonts w:cs="Times New Roman"/>
        </w:rPr>
        <w:noBreakHyphen/>
        <w:t xml:space="preserve">month sentence for sexual interference in full and was paroled in July 2020. Given the time that has elapsed and the fact that the appellants are not seeking further punishment, it would not serve the ends of justice to re-incarcerate Mr. Bertrand Marchand. Accordingly, I order a permanent stay of execution of the modified sentence (see </w:t>
      </w:r>
      <w:r w:rsidRPr="00DA0977">
        <w:rPr>
          <w:rFonts w:cs="Times New Roman"/>
          <w:i/>
        </w:rPr>
        <w:t>R. v. Proulx</w:t>
      </w:r>
      <w:r w:rsidRPr="00DA0977">
        <w:rPr>
          <w:rFonts w:cs="Times New Roman"/>
        </w:rPr>
        <w:t xml:space="preserve">, 2000 SCC 5, [2000] 1 S.C.R. 61, at para. 132; </w:t>
      </w:r>
      <w:r w:rsidRPr="00DA0977">
        <w:rPr>
          <w:rFonts w:cs="Times New Roman"/>
          <w:i/>
        </w:rPr>
        <w:t>R. v. R.A.R.</w:t>
      </w:r>
      <w:r w:rsidRPr="00DA0977">
        <w:rPr>
          <w:rFonts w:cs="Times New Roman"/>
        </w:rPr>
        <w:t xml:space="preserve">, 2000 SCC 8, [2000] 1 S.C.R. 163, at para. 35; </w:t>
      </w:r>
      <w:r w:rsidRPr="00DA0977">
        <w:rPr>
          <w:rFonts w:cs="Times New Roman"/>
          <w:i/>
        </w:rPr>
        <w:t>R. v. Anderson</w:t>
      </w:r>
      <w:r w:rsidRPr="00DA0977">
        <w:rPr>
          <w:rFonts w:cs="Times New Roman"/>
        </w:rPr>
        <w:t>, 2014 SCC 41, [2014] 2 S.C.R. 167, at para. 65).</w:t>
      </w:r>
    </w:p>
    <w:p w14:paraId="29DB3537" w14:textId="77777777" w:rsidR="00DA0977" w:rsidRPr="00DA0977" w:rsidRDefault="00DA0977" w:rsidP="00DA0977">
      <w:pPr>
        <w:pStyle w:val="Title1LevelTitre1Niveau-AltL"/>
        <w:numPr>
          <w:ilvl w:val="0"/>
          <w:numId w:val="27"/>
        </w:numPr>
        <w:rPr>
          <w:rFonts w:cs="Times New Roman"/>
          <w:lang w:eastAsia="en-CA"/>
        </w:rPr>
      </w:pPr>
      <w:bookmarkStart w:id="173" w:name="_Toc132286910"/>
      <w:bookmarkStart w:id="174" w:name="_Toc135041586"/>
      <w:bookmarkStart w:id="175" w:name="_Toc135322944"/>
      <w:bookmarkStart w:id="176" w:name="_Toc137199879"/>
      <w:bookmarkStart w:id="177" w:name="_Toc140673994"/>
      <w:bookmarkStart w:id="178" w:name="_Toc141096939"/>
      <w:bookmarkStart w:id="179" w:name="_Toc141694559"/>
      <w:bookmarkStart w:id="180" w:name="_Toc146612965"/>
      <w:r w:rsidRPr="00DA0977">
        <w:rPr>
          <w:rFonts w:cs="Times New Roman"/>
          <w:lang w:eastAsia="en-CA"/>
        </w:rPr>
        <w:t xml:space="preserve">The Mandatory Minimum Sentences in Section 172.1(2) of the </w:t>
      </w:r>
      <w:r w:rsidRPr="00DA0977">
        <w:rPr>
          <w:rFonts w:cs="Times New Roman"/>
          <w:i/>
          <w:lang w:eastAsia="en-CA"/>
        </w:rPr>
        <w:t xml:space="preserve">Criminal Code </w:t>
      </w:r>
      <w:r w:rsidRPr="00DA0977">
        <w:rPr>
          <w:rFonts w:cs="Times New Roman"/>
          <w:lang w:eastAsia="en-CA"/>
        </w:rPr>
        <w:t xml:space="preserve">Violate Section 12 of the </w:t>
      </w:r>
      <w:r w:rsidRPr="00DA0977">
        <w:rPr>
          <w:rFonts w:cs="Times New Roman"/>
          <w:i/>
          <w:lang w:eastAsia="en-CA"/>
        </w:rPr>
        <w:t>Charter</w:t>
      </w:r>
      <w:bookmarkEnd w:id="173"/>
      <w:bookmarkEnd w:id="174"/>
      <w:bookmarkEnd w:id="175"/>
      <w:bookmarkEnd w:id="176"/>
      <w:bookmarkEnd w:id="177"/>
      <w:bookmarkEnd w:id="178"/>
      <w:bookmarkEnd w:id="179"/>
      <w:bookmarkEnd w:id="180"/>
    </w:p>
    <w:p w14:paraId="59955140"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lang w:eastAsia="en-CA"/>
        </w:rPr>
        <w:lastRenderedPageBreak/>
        <w:t xml:space="preserve">These companion appeals impugn the constitutionality of both the summary and indictable mandatory minimum sentences attached to the hybrid luring offence pursuant to s. 12 of the </w:t>
      </w:r>
      <w:r w:rsidRPr="00DA0977">
        <w:rPr>
          <w:rFonts w:cs="Times New Roman"/>
          <w:i/>
          <w:lang w:eastAsia="en-CA"/>
        </w:rPr>
        <w:t>Charter</w:t>
      </w:r>
      <w:r w:rsidRPr="00DA0977">
        <w:rPr>
          <w:rFonts w:cs="Times New Roman"/>
          <w:lang w:eastAsia="en-CA"/>
        </w:rPr>
        <w:t>. In the courts below, Mr. Bertrand Marchand successfully challenged the one</w:t>
      </w:r>
      <w:r w:rsidRPr="00DA0977">
        <w:rPr>
          <w:rFonts w:cs="Times New Roman"/>
          <w:lang w:eastAsia="en-CA"/>
        </w:rPr>
        <w:noBreakHyphen/>
        <w:t>year mandatory minimum for the indictable offence and H.V. successfully challenged the six</w:t>
      </w:r>
      <w:r w:rsidRPr="00DA0977">
        <w:rPr>
          <w:rFonts w:cs="Times New Roman"/>
          <w:lang w:eastAsia="en-CA"/>
        </w:rPr>
        <w:noBreakHyphen/>
        <w:t xml:space="preserve">month mandatory minimum for the summary conviction offence. As respondents before this Court, they ask that those decisions be upheld. These reasons take a holistic view of the luring provision and its penalties to best assess whether the mandatory minimum sentences pass constitutional muster. This is </w:t>
      </w:r>
      <w:r w:rsidRPr="00DA0977">
        <w:rPr>
          <w:rFonts w:cs="Times New Roman"/>
        </w:rPr>
        <w:t xml:space="preserve">the first time the Court will answer the constitutional questions arising from these mandatory minimums: while the majority in </w:t>
      </w:r>
      <w:r w:rsidRPr="00DA0977">
        <w:rPr>
          <w:rFonts w:cs="Times New Roman"/>
          <w:i/>
          <w:iCs/>
        </w:rPr>
        <w:t>Morrison</w:t>
      </w:r>
      <w:r w:rsidRPr="00DA0977">
        <w:rPr>
          <w:rFonts w:cs="Times New Roman"/>
        </w:rPr>
        <w:t xml:space="preserve"> declined to rule on the constitutionality of s. 172.1(2)(a), Justice Karakatsanis found it offended s. 12 and was not saved by s. 1. </w:t>
      </w:r>
    </w:p>
    <w:p w14:paraId="505AEF06"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 xml:space="preserve">Recently, this Court reaffirmed and clarified the framework for constitutional challenges to mandatory minimum sentences under s. 12. Whether the mandatory minimum sentences in s. 172.1(2)(a) </w:t>
      </w:r>
      <w:r w:rsidRPr="00DA0977">
        <w:rPr>
          <w:rFonts w:cs="Times New Roman"/>
          <w:bCs/>
          <w:lang w:eastAsia="en-CA"/>
        </w:rPr>
        <w:t>and (b)</w:t>
      </w:r>
      <w:r w:rsidRPr="00DA0977">
        <w:rPr>
          <w:rFonts w:cs="Times New Roman"/>
          <w:b/>
          <w:bCs/>
          <w:lang w:eastAsia="en-CA"/>
        </w:rPr>
        <w:t xml:space="preserve"> </w:t>
      </w:r>
      <w:r w:rsidRPr="00DA0977">
        <w:rPr>
          <w:rFonts w:cs="Times New Roman"/>
          <w:lang w:eastAsia="en-CA"/>
        </w:rPr>
        <w:t>are unconstitutional requires a two-stage inquiry that involves a contextual and comparative analysis (</w:t>
      </w:r>
      <w:r w:rsidRPr="00DA0977">
        <w:rPr>
          <w:rFonts w:cs="Times New Roman"/>
          <w:i/>
          <w:lang w:eastAsia="en-CA"/>
        </w:rPr>
        <w:t xml:space="preserve">R. v. </w:t>
      </w:r>
      <w:r w:rsidRPr="00DA0977">
        <w:rPr>
          <w:rFonts w:cs="Times New Roman"/>
          <w:i/>
          <w:iCs/>
          <w:lang w:eastAsia="en-CA"/>
        </w:rPr>
        <w:t>Hills</w:t>
      </w:r>
      <w:r w:rsidRPr="00DA0977">
        <w:rPr>
          <w:rFonts w:cs="Times New Roman"/>
          <w:iCs/>
          <w:lang w:eastAsia="en-CA"/>
        </w:rPr>
        <w:t>,</w:t>
      </w:r>
      <w:r w:rsidRPr="00DA0977">
        <w:rPr>
          <w:rFonts w:cs="Times New Roman"/>
          <w:i/>
          <w:iCs/>
          <w:lang w:eastAsia="en-CA"/>
        </w:rPr>
        <w:t xml:space="preserve"> </w:t>
      </w:r>
      <w:r w:rsidRPr="00DA0977">
        <w:rPr>
          <w:rFonts w:cs="Times New Roman"/>
          <w:iCs/>
          <w:lang w:eastAsia="en-CA"/>
        </w:rPr>
        <w:t>2023 SCC 2</w:t>
      </w:r>
      <w:r w:rsidRPr="00DA0977">
        <w:rPr>
          <w:rFonts w:cs="Times New Roman"/>
          <w:lang w:eastAsia="en-CA"/>
        </w:rPr>
        <w:t>,</w:t>
      </w:r>
      <w:r w:rsidRPr="00DA0977">
        <w:rPr>
          <w:rFonts w:cs="Times New Roman"/>
          <w:i/>
          <w:iCs/>
          <w:lang w:eastAsia="en-CA"/>
        </w:rPr>
        <w:t xml:space="preserve"> </w:t>
      </w:r>
      <w:r w:rsidRPr="00DA0977">
        <w:rPr>
          <w:rFonts w:cs="Times New Roman"/>
          <w:lang w:eastAsia="en-CA"/>
        </w:rPr>
        <w:t xml:space="preserve">at para. 40; </w:t>
      </w:r>
      <w:r w:rsidRPr="00DA0977">
        <w:rPr>
          <w:rFonts w:cs="Times New Roman"/>
          <w:i/>
          <w:iCs/>
          <w:lang w:eastAsia="en-CA"/>
        </w:rPr>
        <w:t>R. v. Bissonnette</w:t>
      </w:r>
      <w:r w:rsidRPr="00DA0977">
        <w:rPr>
          <w:rFonts w:cs="Times New Roman"/>
          <w:lang w:eastAsia="en-CA"/>
        </w:rPr>
        <w:t>,</w:t>
      </w:r>
      <w:r w:rsidRPr="00DA0977">
        <w:rPr>
          <w:rFonts w:cs="Times New Roman"/>
          <w:i/>
          <w:iCs/>
          <w:lang w:eastAsia="en-CA"/>
        </w:rPr>
        <w:t xml:space="preserve"> </w:t>
      </w:r>
      <w:r w:rsidRPr="00DA0977">
        <w:rPr>
          <w:rFonts w:cs="Times New Roman"/>
          <w:lang w:eastAsia="en-CA"/>
        </w:rPr>
        <w:t xml:space="preserve">2022 SCC 23, at para. 62). First, a court must set a fit and proportionate sentence for the individual offenders before the court and possibly </w:t>
      </w:r>
      <w:r w:rsidRPr="00DA0977">
        <w:rPr>
          <w:rFonts w:cs="Times New Roman"/>
        </w:rPr>
        <w:t>other reasonably foreseeable offenders</w:t>
      </w:r>
      <w:r w:rsidRPr="00DA0977">
        <w:rPr>
          <w:rFonts w:cs="Times New Roman"/>
          <w:lang w:eastAsia="en-CA"/>
        </w:rPr>
        <w:t xml:space="preserve"> (</w:t>
      </w:r>
      <w:r w:rsidRPr="00DA0977">
        <w:rPr>
          <w:rFonts w:cs="Times New Roman"/>
          <w:i/>
          <w:lang w:eastAsia="en-CA"/>
        </w:rPr>
        <w:t>Hills</w:t>
      </w:r>
      <w:r w:rsidRPr="00DA0977">
        <w:rPr>
          <w:rFonts w:cs="Times New Roman"/>
          <w:lang w:eastAsia="en-CA"/>
        </w:rPr>
        <w:t xml:space="preserve">, at para. 40; see also </w:t>
      </w:r>
      <w:r w:rsidRPr="00DA0977">
        <w:rPr>
          <w:rFonts w:cs="Times New Roman"/>
          <w:i/>
          <w:iCs/>
          <w:lang w:eastAsia="en-CA"/>
        </w:rPr>
        <w:t>Bissonnette</w:t>
      </w:r>
      <w:r w:rsidRPr="00DA0977">
        <w:rPr>
          <w:rFonts w:cs="Times New Roman"/>
          <w:lang w:eastAsia="en-CA"/>
        </w:rPr>
        <w:t xml:space="preserve">, at para. 63; </w:t>
      </w:r>
      <w:r w:rsidRPr="00DA0977">
        <w:rPr>
          <w:rFonts w:cs="Times New Roman"/>
          <w:i/>
          <w:lang w:eastAsia="en-CA"/>
        </w:rPr>
        <w:t xml:space="preserve">R. v. </w:t>
      </w:r>
      <w:r w:rsidRPr="00DA0977">
        <w:rPr>
          <w:rFonts w:cs="Times New Roman"/>
          <w:i/>
          <w:iCs/>
          <w:lang w:eastAsia="en-CA"/>
        </w:rPr>
        <w:t>Nur</w:t>
      </w:r>
      <w:r w:rsidRPr="00DA0977">
        <w:rPr>
          <w:rFonts w:cs="Times New Roman"/>
          <w:lang w:eastAsia="en-CA"/>
        </w:rPr>
        <w:t>, 2015 SCC 15, [2015] 1 S.C.R. 773, at para. 77).</w:t>
      </w:r>
      <w:r w:rsidRPr="00DA0977">
        <w:rPr>
          <w:rFonts w:cs="Times New Roman"/>
        </w:rPr>
        <w:t xml:space="preserve"> </w:t>
      </w:r>
      <w:r w:rsidRPr="00DA0977">
        <w:t>Second, a court must determine whether the mandatory minimum requires imposing a sentence that is grossly disproportionate to the otherwise fit and proportionate sentence</w:t>
      </w:r>
      <w:r w:rsidRPr="00DA0977">
        <w:rPr>
          <w:rFonts w:cs="Times New Roman"/>
          <w:lang w:eastAsia="en-CA"/>
        </w:rPr>
        <w:t xml:space="preserve"> (</w:t>
      </w:r>
      <w:r w:rsidRPr="00DA0977">
        <w:rPr>
          <w:rFonts w:cs="Times New Roman"/>
          <w:i/>
          <w:iCs/>
          <w:lang w:eastAsia="en-CA"/>
        </w:rPr>
        <w:t>Hills</w:t>
      </w:r>
      <w:r w:rsidRPr="00DA0977">
        <w:rPr>
          <w:rFonts w:cs="Times New Roman"/>
          <w:lang w:eastAsia="en-CA"/>
        </w:rPr>
        <w:t>,</w:t>
      </w:r>
      <w:r w:rsidRPr="00DA0977">
        <w:rPr>
          <w:rFonts w:cs="Times New Roman"/>
          <w:i/>
          <w:iCs/>
          <w:lang w:eastAsia="en-CA"/>
        </w:rPr>
        <w:t xml:space="preserve"> </w:t>
      </w:r>
      <w:r w:rsidRPr="00DA0977">
        <w:rPr>
          <w:rFonts w:cs="Times New Roman"/>
          <w:lang w:eastAsia="en-CA"/>
        </w:rPr>
        <w:t xml:space="preserve">at </w:t>
      </w:r>
      <w:r w:rsidRPr="00DA0977">
        <w:rPr>
          <w:rFonts w:cs="Times New Roman"/>
          <w:lang w:eastAsia="en-CA"/>
        </w:rPr>
        <w:lastRenderedPageBreak/>
        <w:t xml:space="preserve">para. 40; </w:t>
      </w:r>
      <w:r w:rsidRPr="00DA0977">
        <w:rPr>
          <w:rFonts w:cs="Times New Roman"/>
          <w:i/>
          <w:iCs/>
          <w:lang w:eastAsia="en-CA"/>
        </w:rPr>
        <w:t>Bissonnette</w:t>
      </w:r>
      <w:r w:rsidRPr="00DA0977">
        <w:rPr>
          <w:rFonts w:cs="Times New Roman"/>
          <w:lang w:eastAsia="en-CA"/>
        </w:rPr>
        <w:t xml:space="preserve">, at para. 63; </w:t>
      </w:r>
      <w:r w:rsidRPr="00DA0977">
        <w:rPr>
          <w:rFonts w:cs="Times New Roman"/>
          <w:i/>
          <w:iCs/>
          <w:lang w:eastAsia="en-CA"/>
        </w:rPr>
        <w:t>Nur</w:t>
      </w:r>
      <w:r w:rsidRPr="00DA0977">
        <w:rPr>
          <w:rFonts w:cs="Times New Roman"/>
          <w:lang w:eastAsia="en-CA"/>
        </w:rPr>
        <w:t xml:space="preserve">, at para. 46; </w:t>
      </w:r>
      <w:r w:rsidRPr="00DA0977">
        <w:rPr>
          <w:rFonts w:cs="Times New Roman"/>
          <w:i/>
          <w:lang w:eastAsia="en-CA"/>
        </w:rPr>
        <w:t xml:space="preserve">R. v. </w:t>
      </w:r>
      <w:r w:rsidRPr="00DA0977">
        <w:rPr>
          <w:rFonts w:cs="Times New Roman"/>
          <w:i/>
          <w:iCs/>
          <w:lang w:eastAsia="en-CA"/>
        </w:rPr>
        <w:t>Smith</w:t>
      </w:r>
      <w:r w:rsidRPr="00DA0977">
        <w:rPr>
          <w:rFonts w:cs="Times New Roman"/>
          <w:lang w:eastAsia="en-CA"/>
        </w:rPr>
        <w:t>, [1987] 1 S.C.R. 1045, at p. 1072). This involves consideration of the scope and reach of the offence, the effects of the penalty on the individual or reasonably foreseeable offender, and the penalty and its objectives (</w:t>
      </w:r>
      <w:r w:rsidRPr="00DA0977">
        <w:rPr>
          <w:rFonts w:cs="Times New Roman"/>
          <w:i/>
          <w:iCs/>
          <w:lang w:eastAsia="en-CA"/>
        </w:rPr>
        <w:t>Hills</w:t>
      </w:r>
      <w:r w:rsidRPr="00DA0977">
        <w:rPr>
          <w:rFonts w:cs="Times New Roman"/>
          <w:lang w:eastAsia="en-CA"/>
        </w:rPr>
        <w:t>,</w:t>
      </w:r>
      <w:r w:rsidRPr="00DA0977">
        <w:rPr>
          <w:rFonts w:cs="Times New Roman"/>
          <w:i/>
          <w:iCs/>
          <w:lang w:eastAsia="en-CA"/>
        </w:rPr>
        <w:t xml:space="preserve"> </w:t>
      </w:r>
      <w:r w:rsidRPr="00DA0977">
        <w:rPr>
          <w:rFonts w:cs="Times New Roman"/>
          <w:lang w:eastAsia="en-CA"/>
        </w:rPr>
        <w:t xml:space="preserve">at para. 122). </w:t>
      </w:r>
    </w:p>
    <w:p w14:paraId="4B908CCD"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The </w:t>
      </w:r>
      <w:r w:rsidRPr="00DA0977">
        <w:rPr>
          <w:rFonts w:cs="Times New Roman"/>
          <w:i/>
          <w:iCs/>
        </w:rPr>
        <w:t>Hills</w:t>
      </w:r>
      <w:r w:rsidRPr="00DA0977">
        <w:rPr>
          <w:rFonts w:cs="Times New Roman"/>
        </w:rPr>
        <w:t xml:space="preserve"> framework was not available to the courts below in either Mr. Bertrand Marchand’s or H.V.’s cases when those courts assessed the mandatory minimum sentences. Nevertheless all decided that the mandatory minimums at issue infringed s. 12. Their conclusions are consistent with other</w:t>
      </w:r>
      <w:r w:rsidRPr="00DA0977">
        <w:rPr>
          <w:rFonts w:cs="Times New Roman"/>
          <w:lang w:eastAsia="en-CA"/>
        </w:rPr>
        <w:t xml:space="preserve"> courts across the country (see, e.g.,</w:t>
      </w:r>
      <w:r w:rsidRPr="00DA0977">
        <w:rPr>
          <w:rFonts w:cs="Times New Roman"/>
          <w:i/>
          <w:iCs/>
          <w:lang w:eastAsia="en-CA"/>
        </w:rPr>
        <w:t xml:space="preserve"> Hood</w:t>
      </w:r>
      <w:r w:rsidRPr="00DA0977">
        <w:rPr>
          <w:rFonts w:cs="Times New Roman"/>
          <w:lang w:eastAsia="en-CA"/>
        </w:rPr>
        <w:t xml:space="preserve">; </w:t>
      </w:r>
      <w:r w:rsidRPr="00DA0977">
        <w:rPr>
          <w:rFonts w:cs="Times New Roman"/>
          <w:i/>
          <w:iCs/>
          <w:lang w:eastAsia="en-CA"/>
        </w:rPr>
        <w:t>Melrose</w:t>
      </w:r>
      <w:r w:rsidRPr="00DA0977">
        <w:rPr>
          <w:rFonts w:cs="Times New Roman"/>
          <w:lang w:eastAsia="en-CA"/>
        </w:rPr>
        <w:t xml:space="preserve">; </w:t>
      </w:r>
      <w:r w:rsidRPr="00DA0977">
        <w:rPr>
          <w:rFonts w:cs="Times New Roman"/>
          <w:i/>
          <w:iCs/>
          <w:lang w:eastAsia="en-CA"/>
        </w:rPr>
        <w:t>R. v. Faroughi</w:t>
      </w:r>
      <w:r w:rsidRPr="00DA0977">
        <w:rPr>
          <w:rFonts w:cs="Times New Roman"/>
          <w:lang w:eastAsia="en-CA"/>
        </w:rPr>
        <w:t>,</w:t>
      </w:r>
      <w:r w:rsidRPr="00DA0977">
        <w:rPr>
          <w:rFonts w:cs="Times New Roman"/>
          <w:i/>
          <w:iCs/>
          <w:lang w:eastAsia="en-CA"/>
        </w:rPr>
        <w:t xml:space="preserve"> </w:t>
      </w:r>
      <w:r w:rsidRPr="00DA0977">
        <w:rPr>
          <w:rFonts w:cs="Times New Roman"/>
          <w:lang w:eastAsia="en-CA"/>
        </w:rPr>
        <w:t xml:space="preserve">2020 ONSC 780; </w:t>
      </w:r>
      <w:r w:rsidRPr="00DA0977">
        <w:rPr>
          <w:rFonts w:cs="Times New Roman"/>
          <w:i/>
          <w:iCs/>
          <w:lang w:eastAsia="en-CA"/>
        </w:rPr>
        <w:t>R. v. Koenig</w:t>
      </w:r>
      <w:r w:rsidRPr="00DA0977">
        <w:rPr>
          <w:rFonts w:cs="Times New Roman"/>
          <w:lang w:eastAsia="en-CA"/>
        </w:rPr>
        <w:t xml:space="preserve">, 2019 BCPC 83; </w:t>
      </w:r>
      <w:r w:rsidRPr="00DA0977">
        <w:rPr>
          <w:rFonts w:cs="Times New Roman"/>
          <w:i/>
          <w:iCs/>
          <w:lang w:eastAsia="en-CA"/>
        </w:rPr>
        <w:t>Roy</w:t>
      </w:r>
      <w:r w:rsidRPr="00DA0977">
        <w:rPr>
          <w:rFonts w:cs="Times New Roman"/>
          <w:iCs/>
          <w:lang w:eastAsia="en-CA"/>
        </w:rPr>
        <w:t>;</w:t>
      </w:r>
      <w:r w:rsidRPr="00DA0977">
        <w:rPr>
          <w:rFonts w:cs="Times New Roman"/>
          <w:i/>
          <w:iCs/>
          <w:lang w:eastAsia="en-CA"/>
        </w:rPr>
        <w:t xml:space="preserve"> </w:t>
      </w:r>
      <w:r w:rsidRPr="00DA0977">
        <w:rPr>
          <w:rFonts w:cs="Times New Roman"/>
          <w:i/>
          <w:lang w:eastAsia="en-CA"/>
        </w:rPr>
        <w:t>Deren</w:t>
      </w:r>
      <w:r w:rsidRPr="00DA0977">
        <w:rPr>
          <w:rFonts w:cs="Times New Roman"/>
          <w:lang w:eastAsia="en-CA"/>
        </w:rPr>
        <w:t xml:space="preserve">; </w:t>
      </w:r>
      <w:r w:rsidRPr="00DA0977">
        <w:rPr>
          <w:rFonts w:cs="Times New Roman"/>
          <w:i/>
          <w:lang w:eastAsia="en-CA"/>
        </w:rPr>
        <w:t>R. v. Ward</w:t>
      </w:r>
      <w:r w:rsidRPr="00DA0977">
        <w:rPr>
          <w:rFonts w:cs="Times New Roman"/>
          <w:lang w:eastAsia="en-CA"/>
        </w:rPr>
        <w:t xml:space="preserve">, 2019 NSPC 72; </w:t>
      </w:r>
      <w:r w:rsidRPr="00DA0977">
        <w:rPr>
          <w:rFonts w:cs="Times New Roman"/>
          <w:i/>
          <w:lang w:eastAsia="en-CA"/>
        </w:rPr>
        <w:t>R. v. Fawcett</w:t>
      </w:r>
      <w:r w:rsidRPr="00DA0977">
        <w:rPr>
          <w:rFonts w:cs="Times New Roman"/>
          <w:lang w:eastAsia="en-CA"/>
        </w:rPr>
        <w:t>, 2019 BCPC 125).</w:t>
      </w:r>
    </w:p>
    <w:p w14:paraId="0376633A"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The Crown appellants argue that the increased sentences which may result after </w:t>
      </w:r>
      <w:r w:rsidRPr="00DA0977">
        <w:rPr>
          <w:rFonts w:cs="Times New Roman"/>
          <w:i/>
        </w:rPr>
        <w:t>Friesen</w:t>
      </w:r>
      <w:r w:rsidRPr="00DA0977">
        <w:rPr>
          <w:rFonts w:cs="Times New Roman"/>
        </w:rPr>
        <w:t xml:space="preserve"> immunize the mandatory minimums at issue. While a proper understanding of the wrongfulness and harmfulness of luring will lead to significant penalties in most circumstances, the constitutional analysis under s. 12 of the </w:t>
      </w:r>
      <w:r w:rsidRPr="00DA0977">
        <w:rPr>
          <w:rFonts w:cs="Times New Roman"/>
          <w:i/>
        </w:rPr>
        <w:t>Charter</w:t>
      </w:r>
      <w:r w:rsidRPr="00DA0977">
        <w:rPr>
          <w:rFonts w:cs="Times New Roman"/>
        </w:rPr>
        <w:t xml:space="preserve"> does not merely ask whether the mandatory minimum is cruel and unusual in “common” cases (</w:t>
      </w:r>
      <w:r w:rsidRPr="00DA0977">
        <w:rPr>
          <w:rFonts w:cs="Times New Roman"/>
          <w:i/>
        </w:rPr>
        <w:t>Nur</w:t>
      </w:r>
      <w:r w:rsidRPr="00DA0977">
        <w:rPr>
          <w:rFonts w:cs="Times New Roman"/>
        </w:rPr>
        <w:t xml:space="preserve">, at para. 68). Indeed, the use of reasonably foreseeable scenarios is expressly designed to test the lower end of the spectrum of conduct captured by the offence (see, e.g., </w:t>
      </w:r>
      <w:r w:rsidRPr="00DA0977">
        <w:rPr>
          <w:rFonts w:cs="Times New Roman"/>
          <w:i/>
        </w:rPr>
        <w:t>Hills</w:t>
      </w:r>
      <w:r w:rsidRPr="00DA0977">
        <w:rPr>
          <w:rFonts w:cs="Times New Roman"/>
        </w:rPr>
        <w:t xml:space="preserve">, at para. 169). </w:t>
      </w:r>
    </w:p>
    <w:p w14:paraId="6FC957DF"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The present constitutional analysis does not disturb the maximum sentence established by Parliament, the sentencing range for luring affirmed in </w:t>
      </w:r>
      <w:r w:rsidRPr="00DA0977">
        <w:rPr>
          <w:rFonts w:cs="Times New Roman"/>
          <w:i/>
        </w:rPr>
        <w:t>Morrison</w:t>
      </w:r>
      <w:r w:rsidRPr="00DA0977">
        <w:rPr>
          <w:rFonts w:cs="Times New Roman"/>
        </w:rPr>
        <w:t xml:space="preserve"> or this Court’s clear guidance in </w:t>
      </w:r>
      <w:r w:rsidRPr="00DA0977">
        <w:rPr>
          <w:rFonts w:cs="Times New Roman"/>
          <w:i/>
        </w:rPr>
        <w:t>Friesen</w:t>
      </w:r>
      <w:r w:rsidRPr="00DA0977">
        <w:rPr>
          <w:rFonts w:cs="Times New Roman"/>
        </w:rPr>
        <w:t xml:space="preserve">. The sole question is whether the mandatory </w:t>
      </w:r>
      <w:r w:rsidRPr="00DA0977">
        <w:rPr>
          <w:rFonts w:cs="Times New Roman"/>
        </w:rPr>
        <w:lastRenderedPageBreak/>
        <w:t>minimum sentences in s. 172.1(2), which deprive courts of the ability to “tailor proportionate sentences at the lower end of a sentencing range” (</w:t>
      </w:r>
      <w:r w:rsidRPr="00DA0977">
        <w:rPr>
          <w:rFonts w:cs="Times New Roman"/>
          <w:i/>
        </w:rPr>
        <w:t>Nur</w:t>
      </w:r>
      <w:r w:rsidRPr="00DA0977">
        <w:rPr>
          <w:rFonts w:cs="Times New Roman"/>
        </w:rPr>
        <w:t xml:space="preserve">, at para. 44), impose cruel and unusual punishment in reasonably foreseeable cases. </w:t>
      </w:r>
    </w:p>
    <w:p w14:paraId="1A3D01DF"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Put simply, the constituent elements of the child luring offence are so broad and unconstrained as to capture conduct that is only remotely related to the heart of the offence (see, e.g., </w:t>
      </w:r>
      <w:r w:rsidRPr="00DA0977">
        <w:rPr>
          <w:rFonts w:cs="Times New Roman"/>
          <w:i/>
        </w:rPr>
        <w:t>Hills</w:t>
      </w:r>
      <w:r w:rsidRPr="00DA0977">
        <w:rPr>
          <w:rFonts w:cs="Times New Roman"/>
        </w:rPr>
        <w:t>, at para. 122). This is ultimately what makes the mandatory minimum provisions constitutionally suspect. Parliament could have limited the conduct captured by the mandatory minimums or built in a “safety valve that would allow judges to exempt outliers for whom the mandatory minimum will constitute cruel and unusual punishment” (</w:t>
      </w:r>
      <w:r w:rsidRPr="00DA0977">
        <w:rPr>
          <w:rFonts w:cs="Times New Roman"/>
          <w:i/>
        </w:rPr>
        <w:t>R. v. Lloyd</w:t>
      </w:r>
      <w:r w:rsidRPr="00DA0977">
        <w:rPr>
          <w:rFonts w:cs="Times New Roman"/>
        </w:rPr>
        <w:t>, 2016 SCC 13, [2016] 1 S.C.R. 130, at para. 36); it did not do so here. As with any other challenged provision, this Court must carefully evaluate the constitutionality of the mandatory minimum sentences at issue.</w:t>
      </w:r>
    </w:p>
    <w:p w14:paraId="317D853B"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For a mandatory minimum sentence to be found unconstitutional pursuant to s. 12 of the </w:t>
      </w:r>
      <w:r w:rsidRPr="00DA0977">
        <w:rPr>
          <w:rFonts w:cs="Times New Roman"/>
          <w:i/>
          <w:iCs/>
        </w:rPr>
        <w:t>Charter</w:t>
      </w:r>
      <w:r w:rsidRPr="00DA0977">
        <w:rPr>
          <w:rFonts w:cs="Times New Roman"/>
        </w:rPr>
        <w:t>,</w:t>
      </w:r>
      <w:r w:rsidRPr="00DA0977">
        <w:rPr>
          <w:rFonts w:cs="Times New Roman"/>
          <w:i/>
          <w:iCs/>
        </w:rPr>
        <w:t xml:space="preserve"> </w:t>
      </w:r>
      <w:r w:rsidRPr="00DA0977">
        <w:rPr>
          <w:rFonts w:cs="Times New Roman"/>
        </w:rPr>
        <w:t>it must be “so excessive as to outrage standards of decency” (</w:t>
      </w:r>
      <w:r w:rsidRPr="00DA0977">
        <w:rPr>
          <w:rFonts w:cs="Times New Roman"/>
          <w:i/>
          <w:iCs/>
        </w:rPr>
        <w:t>Hills</w:t>
      </w:r>
      <w:r w:rsidRPr="00DA0977">
        <w:rPr>
          <w:rFonts w:cs="Times New Roman"/>
        </w:rPr>
        <w:t xml:space="preserve">, at para. 109, citing </w:t>
      </w:r>
      <w:r w:rsidRPr="00DA0977">
        <w:rPr>
          <w:rFonts w:cs="Times New Roman"/>
          <w:i/>
          <w:iCs/>
        </w:rPr>
        <w:t>R. v. Boudreault</w:t>
      </w:r>
      <w:r w:rsidRPr="00DA0977">
        <w:rPr>
          <w:rFonts w:cs="Times New Roman"/>
        </w:rPr>
        <w:t xml:space="preserve">, 2018 SCC 58, [2018] 3 S.C.R. 599, at para. 45; </w:t>
      </w:r>
      <w:r w:rsidRPr="00DA0977">
        <w:rPr>
          <w:rFonts w:cs="Times New Roman"/>
          <w:i/>
          <w:iCs/>
        </w:rPr>
        <w:t>Lloyd</w:t>
      </w:r>
      <w:r w:rsidRPr="00DA0977">
        <w:rPr>
          <w:rFonts w:cs="Times New Roman"/>
        </w:rPr>
        <w:t xml:space="preserve">, at para. 24, citing </w:t>
      </w:r>
      <w:r w:rsidRPr="00DA0977">
        <w:rPr>
          <w:rFonts w:cs="Times New Roman"/>
          <w:i/>
          <w:iCs/>
        </w:rPr>
        <w:t>R. v. Morrisey</w:t>
      </w:r>
      <w:r w:rsidRPr="00DA0977">
        <w:rPr>
          <w:rFonts w:cs="Times New Roman"/>
        </w:rPr>
        <w:t xml:space="preserve">, 2000 SCC 39, [2000] 2 S.C.R. 90, at para. 26; </w:t>
      </w:r>
      <w:r w:rsidRPr="00DA0977">
        <w:rPr>
          <w:rFonts w:cs="Times New Roman"/>
          <w:i/>
          <w:iCs/>
        </w:rPr>
        <w:t>R. v. Wiles</w:t>
      </w:r>
      <w:r w:rsidRPr="00DA0977">
        <w:rPr>
          <w:rFonts w:cs="Times New Roman"/>
        </w:rPr>
        <w:t xml:space="preserve">, 2005 SCC 84, [2005] 3 S.C.R. 895, at para. 4, citing </w:t>
      </w:r>
      <w:r w:rsidRPr="00DA0977">
        <w:rPr>
          <w:rFonts w:cs="Times New Roman"/>
          <w:i/>
          <w:iCs/>
        </w:rPr>
        <w:t>Smith</w:t>
      </w:r>
      <w:r w:rsidRPr="00DA0977">
        <w:rPr>
          <w:rFonts w:cs="Times New Roman"/>
        </w:rPr>
        <w:t>, at p. 1072). Only on “rare and unique occasions” will a sentence infringe s. 12 (</w:t>
      </w:r>
      <w:r w:rsidRPr="00DA0977">
        <w:rPr>
          <w:rFonts w:cs="Times New Roman"/>
          <w:i/>
          <w:iCs/>
        </w:rPr>
        <w:t>Steele v. Mountain Institution</w:t>
      </w:r>
      <w:r w:rsidRPr="00DA0977">
        <w:rPr>
          <w:rFonts w:cs="Times New Roman"/>
        </w:rPr>
        <w:t xml:space="preserve">, [1990] 2 S.C.R. 1385, at p. 1417). As I outline below, the mandatory minimum sentences for luring meet this high threshold and must be struck. Although the mandatory minimum penalties are not grossly disproportionate as applied </w:t>
      </w:r>
      <w:r w:rsidRPr="00DA0977">
        <w:rPr>
          <w:rFonts w:cs="Times New Roman"/>
        </w:rPr>
        <w:lastRenderedPageBreak/>
        <w:t>to Mr. Bertrand Marchand and H.V., they are when applied to reasonably foreseeable scenarios.</w:t>
      </w:r>
    </w:p>
    <w:p w14:paraId="376CEB45" w14:textId="77777777" w:rsidR="00DA0977" w:rsidRPr="00DA0977" w:rsidRDefault="00DA0977" w:rsidP="00DA0977">
      <w:pPr>
        <w:pStyle w:val="Title2LevelTitre2Niveau"/>
        <w:numPr>
          <w:ilvl w:val="1"/>
          <w:numId w:val="29"/>
        </w:numPr>
        <w:rPr>
          <w:rFonts w:cs="Times New Roman"/>
          <w:lang w:eastAsia="en-CA"/>
        </w:rPr>
      </w:pPr>
      <w:bookmarkStart w:id="181" w:name="_Toc135041587"/>
      <w:bookmarkStart w:id="182" w:name="_Toc135322945"/>
      <w:bookmarkStart w:id="183" w:name="_Toc137199880"/>
      <w:bookmarkStart w:id="184" w:name="_Toc140673995"/>
      <w:bookmarkStart w:id="185" w:name="_Toc141096940"/>
      <w:bookmarkStart w:id="186" w:name="_Toc141694560"/>
      <w:bookmarkStart w:id="187" w:name="_Toc146612966"/>
      <w:r w:rsidRPr="00DA0977">
        <w:rPr>
          <w:rFonts w:cs="Times New Roman"/>
        </w:rPr>
        <w:t>A Fit, Proportionate Sentence</w:t>
      </w:r>
      <w:bookmarkEnd w:id="181"/>
      <w:bookmarkEnd w:id="182"/>
      <w:bookmarkEnd w:id="183"/>
      <w:bookmarkEnd w:id="184"/>
      <w:bookmarkEnd w:id="185"/>
      <w:bookmarkEnd w:id="186"/>
      <w:bookmarkEnd w:id="187"/>
    </w:p>
    <w:p w14:paraId="688A90CD"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eastAsiaTheme="minorHAnsi" w:cs="Times New Roman"/>
          <w:lang w:eastAsia="en-CA"/>
        </w:rPr>
        <w:t>As explained, the fit and proportionate sentence for Mr. Bertrand Marchand’s luring of the victim is 12 months’ incarceration, which mirrors the mandatory minimum for the indictable offence to which he pleaded guilty. As a result, s. 172.1(2)(a)’s mandated minimum sentence is not grossly disproportionate in his circumstances.</w:t>
      </w:r>
    </w:p>
    <w:p w14:paraId="26E20767" w14:textId="77777777" w:rsidR="00DA0977" w:rsidRPr="00DA0977" w:rsidRDefault="00DA0977" w:rsidP="00DA0977">
      <w:pPr>
        <w:pStyle w:val="ParaNoNdepar-AltN"/>
        <w:tabs>
          <w:tab w:val="clear" w:pos="7107"/>
          <w:tab w:val="num" w:pos="1152"/>
        </w:tabs>
        <w:ind w:left="0"/>
        <w:rPr>
          <w:rFonts w:cs="Times New Roman"/>
        </w:rPr>
      </w:pPr>
      <w:r w:rsidRPr="00DA0977">
        <w:rPr>
          <w:rFonts w:eastAsiaTheme="minorHAnsi" w:cs="Times New Roman"/>
          <w:lang w:eastAsia="en-CA"/>
        </w:rPr>
        <w:t>In the appeal concerning H.V., who was 52 years old at the material time, he pleaded guilty to child luring prosecuted by summary conviction, under s. 172.1(1)(a), for texts sent to the victim, his 16</w:t>
      </w:r>
      <w:r w:rsidRPr="00DA0977">
        <w:rPr>
          <w:rFonts w:eastAsiaTheme="minorHAnsi" w:cs="Times New Roman"/>
          <w:lang w:eastAsia="en-CA"/>
        </w:rPr>
        <w:noBreakHyphen/>
        <w:t>year</w:t>
      </w:r>
      <w:r w:rsidRPr="00DA0977">
        <w:rPr>
          <w:rFonts w:eastAsiaTheme="minorHAnsi" w:cs="Times New Roman"/>
          <w:lang w:eastAsia="en-CA"/>
        </w:rPr>
        <w:noBreakHyphen/>
        <w:t xml:space="preserve">old niece and godchild, between July 31 and August 9, 2017. During a family dinner at his home while he was alone with the victim, H.V. told her that she had nice buttocks and breasts. That same evening, he began sending her sexual text messages, which he continued to do for a </w:t>
      </w:r>
      <w:r w:rsidRPr="00DA0977">
        <w:rPr>
          <w:rFonts w:cs="Times New Roman"/>
        </w:rPr>
        <w:t xml:space="preserve">period of 10 days. In these texts, he repeatedly asked her to delete his communications and keep them to herself. </w:t>
      </w:r>
      <w:r w:rsidRPr="00DA0977">
        <w:t>H.V. suggested to the victim’s mother that she come work for him at the school where he was the principal.</w:t>
      </w:r>
      <w:r w:rsidRPr="00DA0977">
        <w:rPr>
          <w:rFonts w:cs="Times New Roman"/>
        </w:rPr>
        <w:t xml:space="preserve"> On her second day of work, he touched her breasts. She subsequently left her job and filed a criminal complaint.</w:t>
      </w:r>
      <w:r w:rsidRPr="00DA0977">
        <w:t xml:space="preserve"> Although H.V. was also initially charged with secondary offences in relation to the illegal sexual touching of the victim’s breasts, he pleaded guilty to and was sentenced only for the child luring count. At sentencing, H.V. challenged the six</w:t>
      </w:r>
      <w:r w:rsidRPr="00DA0977">
        <w:noBreakHyphen/>
        <w:t xml:space="preserve">month mandatory minimum </w:t>
      </w:r>
      <w:r w:rsidRPr="00DA0977">
        <w:lastRenderedPageBreak/>
        <w:t xml:space="preserve">sentence for luring proceeding by summary conviction under s. 172.1(2)(b), pursuant to s. 12 of the </w:t>
      </w:r>
      <w:r w:rsidRPr="00DA0977">
        <w:rPr>
          <w:i/>
        </w:rPr>
        <w:t>Charter</w:t>
      </w:r>
      <w:r w:rsidRPr="00DA0977">
        <w:t>.</w:t>
      </w:r>
    </w:p>
    <w:p w14:paraId="4842C8B8"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The sentencing judge at the Court of Québec imposed a sentence of 2 years’ probation and 150 hours of community service reasoning that this conduct fell at the lower end of the moral blameworthiness scale and thus warranted a probationary sentence</w:t>
      </w:r>
      <w:bookmarkStart w:id="188" w:name="_Toc133598012"/>
      <w:r w:rsidRPr="00DA0977">
        <w:rPr>
          <w:rFonts w:cs="Times New Roman"/>
        </w:rPr>
        <w:t xml:space="preserve">. </w:t>
      </w:r>
      <w:r w:rsidRPr="00DA0977">
        <w:t>Since the six</w:t>
      </w:r>
      <w:r w:rsidRPr="00DA0977">
        <w:noBreakHyphen/>
        <w:t xml:space="preserve">month mandatory minimum sentence would be grossly disproportionate to this sentence, it infringed s. 12 of the </w:t>
      </w:r>
      <w:r w:rsidRPr="00DA0977">
        <w:rPr>
          <w:i/>
        </w:rPr>
        <w:t>Charter</w:t>
      </w:r>
      <w:r w:rsidRPr="00DA0977">
        <w:t xml:space="preserve"> and the judge declared it </w:t>
      </w:r>
      <w:r w:rsidRPr="00DA0977">
        <w:rPr>
          <w:color w:val="000000"/>
        </w:rPr>
        <w:t xml:space="preserve">inoperable in regards to H.V. </w:t>
      </w:r>
      <w:r w:rsidRPr="00DA0977">
        <w:rPr>
          <w:rFonts w:cs="Times New Roman"/>
        </w:rPr>
        <w:t>On appeal, the Superior Court of Quebec (2021 QCCS 837)</w:t>
      </w:r>
      <w:bookmarkEnd w:id="188"/>
      <w:r w:rsidRPr="00DA0977">
        <w:rPr>
          <w:rFonts w:cs="Times New Roman"/>
        </w:rPr>
        <w:t xml:space="preserve"> allowed the appeal, set aside the sentence and replaced it with a sentence of four months’ imprisonment </w:t>
      </w:r>
      <w:r w:rsidRPr="00DA0977">
        <w:t xml:space="preserve">(which was reduced to 90 days’ imprisonment to be served intermittently to account for time served). </w:t>
      </w:r>
      <w:r w:rsidRPr="00DA0977">
        <w:rPr>
          <w:rFonts w:cs="Times New Roman"/>
        </w:rPr>
        <w:t xml:space="preserve">This was because, among other things, </w:t>
      </w:r>
      <w:r w:rsidRPr="00DA0977">
        <w:t xml:space="preserve">the sentencing judge erred regarding the principle of parity of sentences when he relied on outdated jurisprudence in luring cases which ignored the trend towards increased length of sentences for these types of offences. This error in principle led the judge to impose a conditional sentence which constituted a marked departure from sentences usually inflicted in luring cases even before the release of </w:t>
      </w:r>
      <w:r w:rsidRPr="00DA0977">
        <w:rPr>
          <w:rFonts w:cs="Times New Roman"/>
          <w:i/>
        </w:rPr>
        <w:t>Friesen</w:t>
      </w:r>
      <w:r w:rsidRPr="00DA0977">
        <w:rPr>
          <w:rFonts w:cs="Times New Roman"/>
        </w:rPr>
        <w:t xml:space="preserve"> and </w:t>
      </w:r>
      <w:r w:rsidRPr="00DA0977">
        <w:rPr>
          <w:rFonts w:cs="Times New Roman"/>
          <w:i/>
        </w:rPr>
        <w:t>Montour</w:t>
      </w:r>
      <w:r w:rsidRPr="00DA0977">
        <w:rPr>
          <w:rFonts w:cs="Times New Roman"/>
        </w:rPr>
        <w:t xml:space="preserve">. </w:t>
      </w:r>
      <w:r w:rsidRPr="00DA0977">
        <w:t>The Superior Court also noted errors in the sentencing judge’s analysis of aggravating and mitigating factors which further justified its intervention in order to determine the appropriate sentence of four months’ imprisonment. The court then determined that the six</w:t>
      </w:r>
      <w:r w:rsidRPr="00DA0977">
        <w:noBreakHyphen/>
        <w:t xml:space="preserve">month mandatory minimum sentence was not grossly disproportionate to H.V.’s sentence, but would be grossly disproportionate when applied to reasonably foreseeable scenarios. </w:t>
      </w:r>
      <w:r w:rsidRPr="00DA0977">
        <w:rPr>
          <w:rFonts w:cs="Times New Roman"/>
        </w:rPr>
        <w:t xml:space="preserve">The Quebec Court of Appeal dismissed </w:t>
      </w:r>
      <w:r w:rsidRPr="00DA0977">
        <w:rPr>
          <w:rFonts w:cs="Times New Roman"/>
        </w:rPr>
        <w:lastRenderedPageBreak/>
        <w:t xml:space="preserve">the appeal. It found no error with respect to a four-month custodial sentence and agreed with the court below that the mandatory minimum sentence was unconstitutional (2022 QCCA 16). I accept that the fit and proportionate sentence for H.V. is four months’ imprisonment. </w:t>
      </w:r>
    </w:p>
    <w:p w14:paraId="451B0D91"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rPr>
        <w:t>For his part, H.V. did not argue that the six</w:t>
      </w:r>
      <w:r w:rsidRPr="00DA0977">
        <w:rPr>
          <w:rFonts w:cs="Times New Roman"/>
        </w:rPr>
        <w:noBreakHyphen/>
        <w:t xml:space="preserve">month mandatory minimum outlined in s. 172.1(2)(b) is grossly disproportionate when applied to his circumstances (see R.F., at para. 21). Instead, he argued here and in the courts below that the mandatory minimum sentence imposes a cruel and unusual punishment, thereby violating s. 12 of the </w:t>
      </w:r>
      <w:r w:rsidRPr="00DA0977">
        <w:rPr>
          <w:rFonts w:cs="Times New Roman"/>
          <w:i/>
        </w:rPr>
        <w:t>Charter</w:t>
      </w:r>
      <w:r w:rsidRPr="00DA0977">
        <w:rPr>
          <w:rFonts w:cs="Times New Roman"/>
        </w:rPr>
        <w:t>,</w:t>
      </w:r>
      <w:r w:rsidRPr="00DA0977">
        <w:rPr>
          <w:rFonts w:cs="Times New Roman"/>
          <w:i/>
        </w:rPr>
        <w:t xml:space="preserve"> </w:t>
      </w:r>
      <w:r w:rsidRPr="00DA0977">
        <w:rPr>
          <w:rFonts w:cs="Times New Roman"/>
        </w:rPr>
        <w:t>when applied to reasonably foreseeable scenarios. I agree with H.V. that the six</w:t>
      </w:r>
      <w:r w:rsidRPr="00DA0977">
        <w:rPr>
          <w:rFonts w:cs="Times New Roman"/>
        </w:rPr>
        <w:noBreakHyphen/>
        <w:t>month term of imprisonment required as a result of the mandatory minimum is not grossly disproportionate to the fit sentence of four months’ imprisonment. Given that neither the sentence for Mr. Bertrand Marchand nor H.V. is grossly disproportionate, I will review reasonable hypothetical scenarios to determine whether the mandatory minimum sentences are unconstitutional.</w:t>
      </w:r>
    </w:p>
    <w:p w14:paraId="39E43B88" w14:textId="77777777" w:rsidR="00DA0977" w:rsidRPr="00DA0977" w:rsidRDefault="00DA0977" w:rsidP="00DA0977">
      <w:pPr>
        <w:pStyle w:val="Title2LevelTitre2Niveau"/>
        <w:numPr>
          <w:ilvl w:val="1"/>
          <w:numId w:val="27"/>
        </w:numPr>
        <w:rPr>
          <w:rFonts w:cs="Times New Roman"/>
          <w:lang w:eastAsia="en-CA"/>
        </w:rPr>
      </w:pPr>
      <w:bookmarkStart w:id="189" w:name="_Toc135041588"/>
      <w:bookmarkStart w:id="190" w:name="_Toc135322946"/>
      <w:bookmarkStart w:id="191" w:name="_Toc137199881"/>
      <w:bookmarkStart w:id="192" w:name="_Toc140673996"/>
      <w:bookmarkStart w:id="193" w:name="_Toc141096941"/>
      <w:bookmarkStart w:id="194" w:name="_Toc141694561"/>
      <w:bookmarkStart w:id="195" w:name="_Toc146612967"/>
      <w:bookmarkStart w:id="196" w:name="_Toc132286911"/>
      <w:r w:rsidRPr="00DA0977">
        <w:rPr>
          <w:rFonts w:cs="Times New Roman"/>
          <w:lang w:eastAsia="en-CA"/>
        </w:rPr>
        <w:t>The Reasonably Foreseeable Scenarios Advanced</w:t>
      </w:r>
      <w:bookmarkEnd w:id="189"/>
      <w:bookmarkEnd w:id="190"/>
      <w:bookmarkEnd w:id="191"/>
      <w:bookmarkEnd w:id="192"/>
      <w:bookmarkEnd w:id="193"/>
      <w:bookmarkEnd w:id="194"/>
      <w:bookmarkEnd w:id="195"/>
      <w:r w:rsidRPr="00DA0977">
        <w:rPr>
          <w:rFonts w:cs="Times New Roman"/>
          <w:lang w:eastAsia="en-CA"/>
        </w:rPr>
        <w:t xml:space="preserve"> </w:t>
      </w:r>
      <w:bookmarkEnd w:id="196"/>
    </w:p>
    <w:p w14:paraId="03CCB1AB"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 xml:space="preserve">This Court recently affirmed in </w:t>
      </w:r>
      <w:r w:rsidRPr="00DA0977">
        <w:rPr>
          <w:rFonts w:cs="Times New Roman"/>
          <w:i/>
          <w:lang w:eastAsia="en-CA"/>
        </w:rPr>
        <w:t xml:space="preserve">Hills </w:t>
      </w:r>
      <w:r w:rsidRPr="00DA0977">
        <w:rPr>
          <w:rFonts w:cs="Times New Roman"/>
          <w:lang w:eastAsia="en-CA"/>
        </w:rPr>
        <w:t xml:space="preserve">that punishments can be impugned where they infringe the s. 12 </w:t>
      </w:r>
      <w:r w:rsidRPr="00DA0977">
        <w:rPr>
          <w:rFonts w:cs="Times New Roman"/>
          <w:i/>
          <w:lang w:eastAsia="en-CA"/>
        </w:rPr>
        <w:t>Charter</w:t>
      </w:r>
      <w:r w:rsidRPr="00DA0977">
        <w:rPr>
          <w:rFonts w:cs="Times New Roman"/>
          <w:lang w:eastAsia="en-CA"/>
        </w:rPr>
        <w:t xml:space="preserve"> rights of a reasonably foreseeable offender (para. 68). To foreclose this option would “artificially constrain the inquiry into the law’s constitutionality” (</w:t>
      </w:r>
      <w:r w:rsidRPr="00DA0977">
        <w:rPr>
          <w:rFonts w:cs="Times New Roman"/>
          <w:i/>
          <w:lang w:eastAsia="en-CA"/>
        </w:rPr>
        <w:t>Nur</w:t>
      </w:r>
      <w:r w:rsidRPr="00DA0977">
        <w:rPr>
          <w:rFonts w:cs="Times New Roman"/>
          <w:lang w:eastAsia="en-CA"/>
        </w:rPr>
        <w:t>,</w:t>
      </w:r>
      <w:r w:rsidRPr="00DA0977">
        <w:rPr>
          <w:rFonts w:cs="Times New Roman"/>
          <w:i/>
          <w:lang w:eastAsia="en-CA"/>
        </w:rPr>
        <w:t xml:space="preserve"> </w:t>
      </w:r>
      <w:r w:rsidRPr="00DA0977">
        <w:rPr>
          <w:rFonts w:cs="Times New Roman"/>
          <w:lang w:eastAsia="en-CA"/>
        </w:rPr>
        <w:t>at para. 49). The use of representative offenders is “at the protected core of the s. 12 analysis” (</w:t>
      </w:r>
      <w:r w:rsidRPr="00DA0977">
        <w:rPr>
          <w:rFonts w:cs="Times New Roman"/>
          <w:i/>
          <w:lang w:eastAsia="en-CA"/>
        </w:rPr>
        <w:t>Hills</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at para. 71; see also </w:t>
      </w:r>
      <w:r w:rsidRPr="00DA0977">
        <w:rPr>
          <w:rFonts w:cs="Times New Roman"/>
          <w:i/>
          <w:lang w:eastAsia="en-CA"/>
        </w:rPr>
        <w:t>Nur</w:t>
      </w:r>
      <w:r w:rsidRPr="00DA0977">
        <w:rPr>
          <w:rFonts w:cs="Times New Roman"/>
          <w:lang w:eastAsia="en-CA"/>
        </w:rPr>
        <w:t>, at paras. 47 and 49</w:t>
      </w:r>
      <w:r w:rsidRPr="00DA0977">
        <w:rPr>
          <w:rFonts w:cs="Times New Roman"/>
          <w:lang w:eastAsia="en-CA"/>
        </w:rPr>
        <w:noBreakHyphen/>
        <w:t xml:space="preserve">50). As such, when parties raise hypothetical scenarios as part of the adversarial </w:t>
      </w:r>
      <w:r w:rsidRPr="00DA0977">
        <w:rPr>
          <w:rFonts w:cs="Times New Roman"/>
          <w:lang w:eastAsia="en-CA"/>
        </w:rPr>
        <w:lastRenderedPageBreak/>
        <w:t xml:space="preserve">process, </w:t>
      </w:r>
      <w:r w:rsidRPr="00DA0977">
        <w:t>a court should not dismiss a constitutional challenge without considering</w:t>
      </w:r>
      <w:r w:rsidRPr="00DA0977">
        <w:rPr>
          <w:rFonts w:cs="Times New Roman"/>
          <w:lang w:eastAsia="en-CA"/>
        </w:rPr>
        <w:t xml:space="preserve"> (1) whether the scenario is, in fact, reasonably foreseeable and, if so, (2) whether the representative offender’s scenario could render the impugned law unconstitutional. </w:t>
      </w:r>
    </w:p>
    <w:p w14:paraId="5EC897C1"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 xml:space="preserve">Both Mr. Bertrand Marchand and H.V. proffered several hypothetical scenarios in the courts below that they argue render the mandatory minimum sentences unconstitutional. They are raised again here. Mr. Bertrand Marchand referenced the facts of the representative offender considered by the Nova Scotia Court of Appeal in </w:t>
      </w:r>
      <w:r w:rsidRPr="00DA0977">
        <w:rPr>
          <w:rFonts w:cs="Times New Roman"/>
          <w:i/>
          <w:lang w:eastAsia="en-CA"/>
        </w:rPr>
        <w:t>Hood</w:t>
      </w:r>
      <w:r w:rsidRPr="00DA0977">
        <w:rPr>
          <w:rFonts w:cs="Times New Roman"/>
          <w:lang w:eastAsia="en-CA"/>
        </w:rPr>
        <w:t xml:space="preserve">. All parties in Mr. Bertrand Marchand’s appeal agreed this scenario was reasonably foreseeable. During the hearing for H.V., I raised a scenario inspired by the facts of </w:t>
      </w:r>
      <w:r w:rsidRPr="00DA0977">
        <w:rPr>
          <w:rFonts w:cs="Times New Roman"/>
          <w:i/>
          <w:lang w:eastAsia="en-CA"/>
        </w:rPr>
        <w:t>R. v. John</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2018 ONCA 702, 142 O.R. (3d) 670. I amended it to ensure the facts make out the luring offence. This Court’s reasons in </w:t>
      </w:r>
      <w:r w:rsidRPr="00DA0977">
        <w:rPr>
          <w:rFonts w:cs="Times New Roman"/>
          <w:i/>
          <w:lang w:eastAsia="en-CA"/>
        </w:rPr>
        <w:t xml:space="preserve">Hills </w:t>
      </w:r>
      <w:r w:rsidRPr="00DA0977">
        <w:rPr>
          <w:rFonts w:cs="Times New Roman"/>
          <w:lang w:eastAsia="en-CA"/>
        </w:rPr>
        <w:t xml:space="preserve">direct that hypothetical scenarios are best tested through the adversarial process (para. 93). As such, I put the scenario to the appellants and the contours of the scenario were discussed during the hearing. While both Mr. Bertrand Marchand and H.V. make reference to other reasonably foreseeable scenarios, I am of the view that the scenarios identified in </w:t>
      </w:r>
      <w:r w:rsidRPr="00DA0977">
        <w:rPr>
          <w:rFonts w:cs="Times New Roman"/>
          <w:i/>
          <w:lang w:eastAsia="en-CA"/>
        </w:rPr>
        <w:t xml:space="preserve">Hood </w:t>
      </w:r>
      <w:r w:rsidRPr="00DA0977">
        <w:rPr>
          <w:rFonts w:cs="Times New Roman"/>
          <w:lang w:eastAsia="en-CA"/>
        </w:rPr>
        <w:t xml:space="preserve">and </w:t>
      </w:r>
      <w:r w:rsidRPr="00DA0977">
        <w:rPr>
          <w:rFonts w:cs="Times New Roman"/>
          <w:i/>
          <w:lang w:eastAsia="en-CA"/>
        </w:rPr>
        <w:t xml:space="preserve">John </w:t>
      </w:r>
      <w:r w:rsidRPr="00DA0977">
        <w:rPr>
          <w:rFonts w:cs="Times New Roman"/>
          <w:lang w:eastAsia="en-CA"/>
        </w:rPr>
        <w:t xml:space="preserve">are dispositive of the s. 12 analysis. </w:t>
      </w:r>
    </w:p>
    <w:p w14:paraId="5072AE83"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For the purposes of the constitutionality analysis for the one</w:t>
      </w:r>
      <w:r w:rsidRPr="00DA0977">
        <w:rPr>
          <w:rFonts w:cs="Times New Roman"/>
          <w:lang w:eastAsia="en-CA"/>
        </w:rPr>
        <w:noBreakHyphen/>
        <w:t>year mandatory minimum sentence as outlined in s. 172.1(2)(a), the first scenario is as follows:</w:t>
      </w:r>
    </w:p>
    <w:p w14:paraId="5A9DCAE7" w14:textId="77777777" w:rsidR="00DA0977" w:rsidRPr="00DA0977" w:rsidRDefault="00DA0977" w:rsidP="00DA0977">
      <w:pPr>
        <w:pStyle w:val="Citation-AltC"/>
        <w:numPr>
          <w:ilvl w:val="0"/>
          <w:numId w:val="43"/>
        </w:numPr>
        <w:spacing w:line="480" w:lineRule="auto"/>
      </w:pPr>
      <w:r w:rsidRPr="00DA0977">
        <w:lastRenderedPageBreak/>
        <w:t xml:space="preserve">The representative offender is a first-year high school teacher in her late 20s with no criminal record. The offender has been diagnosed with bipolar disorder. One evening, she texts her 15-year-old student to inquire about a school assignment. Feeling manic, she directs the conversation from casual to sexual. The two meet that same evening in a private location where they both participate in sexual touching. The offender does not engage inappropriately with the student on any further occasions. The offender pleads guilty and expresses remorse on sentencing. See </w:t>
      </w:r>
      <w:r w:rsidRPr="00DA0977">
        <w:rPr>
          <w:i/>
        </w:rPr>
        <w:t>Hood</w:t>
      </w:r>
      <w:r w:rsidRPr="00DA0977">
        <w:t>, at para. 150.</w:t>
      </w:r>
    </w:p>
    <w:p w14:paraId="727DEEA9"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 xml:space="preserve">Mr. Bertrand Marchand also proffered this scenario at the Court of Appeal for the panel’s consideration. Because the majority agreed with the sentencing judge that s. 172.1(2)(a) was unconstitutional as applied to Mr. Bertrand Marchand, it did not consider this scenario. </w:t>
      </w:r>
      <w:r w:rsidRPr="00DA0977">
        <w:t>With respect to the dissenting judge, his refusal to consider any scenario advanced by Mr. Bertrand Marchand as part of his constitutionality analysis was in error.</w:t>
      </w:r>
    </w:p>
    <w:p w14:paraId="6439B511"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 xml:space="preserve">As noted above, this scenario was also previously considered by the Nova Scotia Court of Appeal in </w:t>
      </w:r>
      <w:r w:rsidRPr="00DA0977">
        <w:rPr>
          <w:rFonts w:cs="Times New Roman"/>
          <w:i/>
          <w:lang w:eastAsia="en-CA"/>
        </w:rPr>
        <w:t>Hood</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The court found this scenario was reasonable and not remote or far-fetched. The hypothetical offender in the scenario in </w:t>
      </w:r>
      <w:r w:rsidRPr="00DA0977">
        <w:rPr>
          <w:rFonts w:cs="Times New Roman"/>
          <w:i/>
          <w:lang w:eastAsia="en-CA"/>
        </w:rPr>
        <w:t>Hood</w:t>
      </w:r>
      <w:r w:rsidRPr="00DA0977">
        <w:rPr>
          <w:rFonts w:cs="Times New Roman"/>
          <w:lang w:eastAsia="en-CA"/>
        </w:rPr>
        <w:t xml:space="preserve"> was loosely based on the offender, Ms. Hood, herself: both were teachers diagnosed with bipolar disorder. However, rather than engaging with several victims as was the case for Ms. Hood, the representative offender only engaged in luring on one occasion with one </w:t>
      </w:r>
      <w:r w:rsidRPr="00DA0977">
        <w:rPr>
          <w:rFonts w:cs="Times New Roman"/>
          <w:lang w:eastAsia="en-CA"/>
        </w:rPr>
        <w:lastRenderedPageBreak/>
        <w:t xml:space="preserve">victim. I agree with the Nova Scotia Court of Appeal that this hypothetical scenario is not far-fetched and falls squarely within the scope of the offence, albeit on the less serious end of offending behaviour (para. 152). The scenario does not run afoul of this Court’s direction in </w:t>
      </w:r>
      <w:r w:rsidRPr="00DA0977">
        <w:rPr>
          <w:rFonts w:cs="Times New Roman"/>
          <w:i/>
          <w:lang w:eastAsia="en-CA"/>
        </w:rPr>
        <w:t xml:space="preserve">Hills </w:t>
      </w:r>
      <w:r w:rsidRPr="00DA0977">
        <w:rPr>
          <w:rFonts w:cs="Times New Roman"/>
          <w:lang w:eastAsia="en-CA"/>
        </w:rPr>
        <w:t>that the personal characteristics of representative offenders should not be tailored to create far-fetched examples (para. 78). The court misspoke, however, by describing a portion of the offending conduct as “fond[ling]” (</w:t>
      </w:r>
      <w:r w:rsidRPr="00DA0977">
        <w:rPr>
          <w:rFonts w:cs="Times New Roman"/>
          <w:i/>
          <w:lang w:eastAsia="en-CA"/>
        </w:rPr>
        <w:t>Hood</w:t>
      </w:r>
      <w:r w:rsidRPr="00DA0977">
        <w:rPr>
          <w:rFonts w:cs="Times New Roman"/>
          <w:lang w:eastAsia="en-CA"/>
        </w:rPr>
        <w:t>, at para. 150), because describing sexual violence against children in this way incorrectly implies the behaviour is “inherently less harmful than other forms of sexual violence” (</w:t>
      </w:r>
      <w:r w:rsidRPr="00DA0977">
        <w:rPr>
          <w:rFonts w:cs="Times New Roman"/>
          <w:i/>
          <w:lang w:eastAsia="en-CA"/>
        </w:rPr>
        <w:t>Friesen</w:t>
      </w:r>
      <w:r w:rsidRPr="00DA0977">
        <w:rPr>
          <w:rFonts w:cs="Times New Roman"/>
          <w:lang w:eastAsia="en-CA"/>
        </w:rPr>
        <w:t>,</w:t>
      </w:r>
      <w:r w:rsidRPr="00DA0977">
        <w:rPr>
          <w:rFonts w:cs="Times New Roman"/>
          <w:i/>
          <w:lang w:eastAsia="en-CA"/>
        </w:rPr>
        <w:t xml:space="preserve"> </w:t>
      </w:r>
      <w:r w:rsidRPr="00DA0977">
        <w:rPr>
          <w:rFonts w:cs="Times New Roman"/>
          <w:lang w:eastAsia="en-CA"/>
        </w:rPr>
        <w:t>at para. 144). I have revised the scenario accordingly. With this revision, the first scenario is reasonably foreseeable. The appellants in Mr. Bertrand Marchand’s appeal conceded the same during oral argument.</w:t>
      </w:r>
    </w:p>
    <w:p w14:paraId="14E427C4"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For the purposes of the constitutionality analysis for the six</w:t>
      </w:r>
      <w:r w:rsidRPr="00DA0977">
        <w:rPr>
          <w:rFonts w:cs="Times New Roman"/>
          <w:lang w:eastAsia="en-CA"/>
        </w:rPr>
        <w:noBreakHyphen/>
        <w:t>month mandatory minimum sentence as outlined in s. 172.1(2)(b), the second scenario is as follows:</w:t>
      </w:r>
    </w:p>
    <w:p w14:paraId="0FD654D6" w14:textId="77777777" w:rsidR="00DA0977" w:rsidRPr="00DA0977" w:rsidRDefault="00DA0977" w:rsidP="00DA0977">
      <w:pPr>
        <w:pStyle w:val="Citation-AltC"/>
        <w:numPr>
          <w:ilvl w:val="0"/>
          <w:numId w:val="44"/>
        </w:numPr>
        <w:spacing w:line="480" w:lineRule="auto"/>
      </w:pPr>
      <w:r w:rsidRPr="00DA0977">
        <w:t>The representative offender is an 18-year-old who is in a romantic and sexual relationship with a 17</w:t>
      </w:r>
      <w:r w:rsidRPr="00DA0977">
        <w:noBreakHyphen/>
        <w:t>year</w:t>
      </w:r>
      <w:r w:rsidRPr="00DA0977">
        <w:noBreakHyphen/>
        <w:t xml:space="preserve">old. In one text, the offender asks her to send him an explicit photo. She does, and he then forwards that photo to his friend without his girlfriend’s knowledge. This friend, who is also 18, does not transmit this photo to anyone, but retains it on his mobile phone. See </w:t>
      </w:r>
      <w:r w:rsidRPr="00DA0977">
        <w:rPr>
          <w:i/>
        </w:rPr>
        <w:t>John</w:t>
      </w:r>
      <w:r w:rsidRPr="00DA0977">
        <w:t>, at para. 29.</w:t>
      </w:r>
    </w:p>
    <w:p w14:paraId="2C8145EC"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lastRenderedPageBreak/>
        <w:t xml:space="preserve">This scenario is inspired by one approved by the court in </w:t>
      </w:r>
      <w:r w:rsidRPr="00DA0977">
        <w:rPr>
          <w:rFonts w:cs="Times New Roman"/>
          <w:i/>
          <w:lang w:eastAsia="en-CA"/>
        </w:rPr>
        <w:t>John</w:t>
      </w:r>
      <w:r w:rsidRPr="00DA0977">
        <w:rPr>
          <w:rFonts w:cs="Times New Roman"/>
          <w:lang w:eastAsia="en-CA"/>
        </w:rPr>
        <w:t>. In that case, the Ontario Court of Appeal considered the constitutionality of the then six</w:t>
      </w:r>
      <w:r w:rsidRPr="00DA0977">
        <w:rPr>
          <w:rFonts w:cs="Times New Roman"/>
          <w:lang w:eastAsia="en-CA"/>
        </w:rPr>
        <w:noBreakHyphen/>
        <w:t xml:space="preserve">month mandatory minimum sentence for possession of child pornography (s. 163.1(4)(a)) pursuant to s. 12 of the </w:t>
      </w:r>
      <w:r w:rsidRPr="00DA0977">
        <w:rPr>
          <w:rFonts w:cs="Times New Roman"/>
          <w:i/>
          <w:lang w:eastAsia="en-CA"/>
        </w:rPr>
        <w:t>Charter</w:t>
      </w:r>
      <w:r w:rsidRPr="00DA0977">
        <w:rPr>
          <w:rFonts w:cs="Times New Roman"/>
          <w:lang w:eastAsia="en-CA"/>
        </w:rPr>
        <w:t>. The scenario proffered involved an 18-year-old whose friend forwards him a “sext” from the friend’s 17-year-old girlfriend without her knowledge (para. 29). Specifically, the court found that the scenario is reasonable because it falls outside the private use exception outlined in</w:t>
      </w:r>
      <w:r w:rsidRPr="00DA0977">
        <w:rPr>
          <w:rFonts w:cs="Times New Roman"/>
          <w:i/>
          <w:lang w:eastAsia="en-CA"/>
        </w:rPr>
        <w:t xml:space="preserve"> Sharpe</w:t>
      </w:r>
      <w:r w:rsidRPr="00DA0977">
        <w:rPr>
          <w:rFonts w:cs="Times New Roman"/>
          <w:lang w:eastAsia="en-CA"/>
        </w:rPr>
        <w:t xml:space="preserve"> and would thereby attract criminal liability (</w:t>
      </w:r>
      <w:r w:rsidRPr="00DA0977">
        <w:rPr>
          <w:rFonts w:cs="Times New Roman"/>
          <w:i/>
          <w:lang w:eastAsia="en-CA"/>
        </w:rPr>
        <w:t>John</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at para. 38). The court ultimately found the mandatory minimum in that case would be grossly disproportionate for this hypothetical offender and it was declared of no force or effect. The scenario I proposed for luring also falls outside the private use exception outlined in </w:t>
      </w:r>
      <w:r w:rsidRPr="00DA0977">
        <w:rPr>
          <w:rFonts w:cs="Times New Roman"/>
          <w:i/>
          <w:lang w:eastAsia="en-CA"/>
        </w:rPr>
        <w:t xml:space="preserve">Sharpe </w:t>
      </w:r>
      <w:r w:rsidRPr="00DA0977">
        <w:rPr>
          <w:rFonts w:cs="Times New Roman"/>
          <w:lang w:eastAsia="en-CA"/>
        </w:rPr>
        <w:t xml:space="preserve">because the exception does not apply to the publishing or distributing of child pornography (see </w:t>
      </w:r>
      <w:r w:rsidRPr="00DA0977">
        <w:rPr>
          <w:rFonts w:cs="Times New Roman"/>
          <w:i/>
          <w:lang w:eastAsia="en-CA"/>
        </w:rPr>
        <w:t>Sharpe</w:t>
      </w:r>
      <w:r w:rsidRPr="00DA0977">
        <w:rPr>
          <w:rFonts w:cs="Times New Roman"/>
          <w:lang w:eastAsia="en-CA"/>
        </w:rPr>
        <w:t xml:space="preserve">, at para. 117). Here the representative offender, the boyfriend, distributed the child pornography to a third party, his friend, contrary to s. 163.1(3) of the </w:t>
      </w:r>
      <w:r w:rsidRPr="00DA0977">
        <w:rPr>
          <w:rFonts w:cs="Times New Roman"/>
          <w:i/>
          <w:lang w:eastAsia="en-CA"/>
        </w:rPr>
        <w:t>Criminal Code</w:t>
      </w:r>
      <w:r w:rsidRPr="00DA0977">
        <w:rPr>
          <w:rFonts w:cs="Times New Roman"/>
          <w:lang w:eastAsia="en-CA"/>
        </w:rPr>
        <w:t xml:space="preserve">. </w:t>
      </w:r>
    </w:p>
    <w:p w14:paraId="766440B4"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lang w:eastAsia="en-CA"/>
        </w:rPr>
        <w:t xml:space="preserve">This scenario makes out the constituent elements of the offence of luring and is reasonable in view of the range of conduct captured by the luring offence (see </w:t>
      </w:r>
      <w:r w:rsidRPr="00DA0977">
        <w:rPr>
          <w:rFonts w:cs="Times New Roman"/>
          <w:i/>
          <w:lang w:eastAsia="en-CA"/>
        </w:rPr>
        <w:t>Hills</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at para. 82). Section 163.1(3) is one of the secondary offences referenced in s. 172.1(1)(a). The representative offender in this scenario texted his underage girlfriend with the purpose of facilitating the secondary offence of distributing child pornography (s. 163.1(3)). Further, though the scenario falls at the less serious end of the spectrum of conduct captured by the child luring offence, I find that it is reasonably foreseeable. Teenagers do send one another sexualized photos involving partial nudity </w:t>
      </w:r>
      <w:r w:rsidRPr="00DA0977">
        <w:rPr>
          <w:rFonts w:cs="Times New Roman"/>
          <w:lang w:eastAsia="en-CA"/>
        </w:rPr>
        <w:lastRenderedPageBreak/>
        <w:t xml:space="preserve">(see L. Karaian and D. Brady, “Revisiting the ‘Private Use Exception’ to Canada’s Child Pornography Laws: Teenage Sexting, Sex-Positivity, Pleasure, and Control in the Digital Age” (2019), 56 </w:t>
      </w:r>
      <w:r w:rsidRPr="00DA0977">
        <w:rPr>
          <w:rFonts w:cs="Times New Roman"/>
          <w:i/>
          <w:lang w:eastAsia="en-CA"/>
        </w:rPr>
        <w:t>Osgoode Hall L.J.</w:t>
      </w:r>
      <w:r w:rsidRPr="00DA0977">
        <w:rPr>
          <w:rFonts w:cs="Times New Roman"/>
          <w:lang w:eastAsia="en-CA"/>
        </w:rPr>
        <w:t xml:space="preserve"> 301, at p. 306). In fact, the practice is commonplace enough that the term “sexting” has gained mainstream recognition. As well, at the hearing, counsel for the appellant His Majesty the King conceded that this scenario was reasonably foreseeable. </w:t>
      </w:r>
    </w:p>
    <w:p w14:paraId="7F132EA6" w14:textId="77777777" w:rsidR="00DA0977" w:rsidRPr="00DA0977" w:rsidRDefault="00DA0977" w:rsidP="00DA0977">
      <w:pPr>
        <w:pStyle w:val="Title2LevelTitre2Niveau"/>
        <w:numPr>
          <w:ilvl w:val="1"/>
          <w:numId w:val="27"/>
        </w:numPr>
        <w:rPr>
          <w:rFonts w:cs="Times New Roman"/>
          <w:lang w:eastAsia="en-CA"/>
        </w:rPr>
      </w:pPr>
      <w:bookmarkStart w:id="197" w:name="_Toc132286912"/>
      <w:bookmarkStart w:id="198" w:name="_Toc135041589"/>
      <w:bookmarkStart w:id="199" w:name="_Toc135322947"/>
      <w:bookmarkStart w:id="200" w:name="_Toc137199882"/>
      <w:bookmarkStart w:id="201" w:name="_Toc140673997"/>
      <w:bookmarkStart w:id="202" w:name="_Toc141096942"/>
      <w:bookmarkStart w:id="203" w:name="_Toc141694562"/>
      <w:bookmarkStart w:id="204" w:name="_Toc146612968"/>
      <w:r w:rsidRPr="00DA0977">
        <w:rPr>
          <w:rFonts w:cs="Times New Roman"/>
          <w:lang w:eastAsia="en-CA"/>
        </w:rPr>
        <w:t>A Fit Sentence for the Representative Offenders</w:t>
      </w:r>
      <w:bookmarkEnd w:id="197"/>
      <w:bookmarkEnd w:id="198"/>
      <w:bookmarkEnd w:id="199"/>
      <w:bookmarkEnd w:id="200"/>
      <w:bookmarkEnd w:id="201"/>
      <w:bookmarkEnd w:id="202"/>
      <w:bookmarkEnd w:id="203"/>
      <w:bookmarkEnd w:id="204"/>
    </w:p>
    <w:p w14:paraId="1DF1A0D9"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lang w:eastAsia="en-CA"/>
        </w:rPr>
        <w:t>In addressing the first stage of the s. 12 analysis and in setting the fit and proportionate sentence for the particular or representative offender,</w:t>
      </w:r>
      <w:r w:rsidRPr="00DA0977">
        <w:rPr>
          <w:rFonts w:cs="Times New Roman"/>
        </w:rPr>
        <w:t xml:space="preserve"> courts must define as specific a sentence as possible (</w:t>
      </w:r>
      <w:r w:rsidRPr="00DA0977">
        <w:rPr>
          <w:rFonts w:cs="Times New Roman"/>
          <w:i/>
        </w:rPr>
        <w:t>Hills</w:t>
      </w:r>
      <w:r w:rsidRPr="00DA0977">
        <w:rPr>
          <w:rFonts w:cs="Times New Roman"/>
        </w:rPr>
        <w:t>, at</w:t>
      </w:r>
      <w:r w:rsidRPr="00DA0977">
        <w:rPr>
          <w:rFonts w:cs="Times New Roman"/>
          <w:i/>
        </w:rPr>
        <w:t xml:space="preserve"> </w:t>
      </w:r>
      <w:r w:rsidRPr="00DA0977">
        <w:rPr>
          <w:rFonts w:cs="Times New Roman"/>
        </w:rPr>
        <w:t>para. 94). “Scrupulously selecting a precise and defined sentence also supports an analytically fair and principled result at the second stage of the s. 12 inquiry” (para. 65).</w:t>
      </w:r>
      <w:r w:rsidRPr="00DA0977">
        <w:rPr>
          <w:rFonts w:cs="Times New Roman"/>
          <w:lang w:eastAsia="en-CA"/>
        </w:rPr>
        <w:t xml:space="preserve"> The comparative exercise central to the gross disproportionality analysis requires careful adherence to established sentencing principles in the first stage. To determine the fit and proportionate sentence for the representative offenders at bar, the Court must consider the sentencing objectives as set out in ss. 718 </w:t>
      </w:r>
      <w:r w:rsidRPr="00DA0977">
        <w:t>and following</w:t>
      </w:r>
      <w:r w:rsidRPr="00DA0977">
        <w:rPr>
          <w:rFonts w:cs="Times New Roman"/>
          <w:lang w:eastAsia="en-CA"/>
        </w:rPr>
        <w:t xml:space="preserve"> of the </w:t>
      </w:r>
      <w:r w:rsidRPr="00DA0977">
        <w:rPr>
          <w:rFonts w:cs="Times New Roman"/>
          <w:i/>
          <w:lang w:eastAsia="en-CA"/>
        </w:rPr>
        <w:t>Criminal Code</w:t>
      </w:r>
      <w:r w:rsidRPr="00DA0977">
        <w:rPr>
          <w:rFonts w:cs="Times New Roman"/>
          <w:lang w:eastAsia="en-CA"/>
        </w:rPr>
        <w:t xml:space="preserve">. </w:t>
      </w:r>
      <w:r w:rsidRPr="00DA0977">
        <w:rPr>
          <w:rFonts w:cs="Times New Roman"/>
        </w:rPr>
        <w:t xml:space="preserve">Any court determining a fit sentence for a representative offender must examine any aggravating and mitigating factors at play and exercise restraint in imposing terms of incarceration (s. 718.2(d) and (e)). Sentencing judges and appellate courts must not magnify aggravating factors or narrow mitigating ones to reach desired conclusions. </w:t>
      </w:r>
    </w:p>
    <w:p w14:paraId="59B47920"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lastRenderedPageBreak/>
        <w:t>Section 718.1 directs that sentences “must be proportionate to the gravity of the offence and the degree of responsibility of the offender”. Additionally, s. 718.01 directs judges to give primary consideration to denunciation and deterrence when sentencing offences involving abuse against children. At the same time, judges do retain judicial discretion to weigh other relevant sentencing objectives in the circumstances. Courts must individualize the sentence by accounting for the gravity of the offence, the offender’s individual circumstances and the offender’s moral culpability (</w:t>
      </w:r>
      <w:r w:rsidRPr="00DA0977">
        <w:rPr>
          <w:rFonts w:cs="Times New Roman"/>
          <w:i/>
        </w:rPr>
        <w:t>R. v. Parranto</w:t>
      </w:r>
      <w:r w:rsidRPr="00DA0977">
        <w:rPr>
          <w:rFonts w:cs="Times New Roman"/>
        </w:rPr>
        <w:t>,</w:t>
      </w:r>
      <w:r w:rsidRPr="00DA0977">
        <w:rPr>
          <w:rFonts w:cs="Times New Roman"/>
          <w:i/>
        </w:rPr>
        <w:t xml:space="preserve"> </w:t>
      </w:r>
      <w:r w:rsidRPr="00DA0977">
        <w:rPr>
          <w:rFonts w:cs="Times New Roman"/>
        </w:rPr>
        <w:t xml:space="preserve">2021 SCC 46, at para. 44; </w:t>
      </w:r>
      <w:r w:rsidRPr="00DA0977">
        <w:rPr>
          <w:rFonts w:cs="Times New Roman"/>
          <w:i/>
        </w:rPr>
        <w:t>Lacasse</w:t>
      </w:r>
      <w:r w:rsidRPr="00DA0977">
        <w:rPr>
          <w:rFonts w:cs="Times New Roman"/>
        </w:rPr>
        <w:t>,</w:t>
      </w:r>
      <w:r w:rsidRPr="00DA0977">
        <w:rPr>
          <w:rFonts w:cs="Times New Roman"/>
          <w:i/>
        </w:rPr>
        <w:t xml:space="preserve"> </w:t>
      </w:r>
      <w:r w:rsidRPr="00DA0977">
        <w:rPr>
          <w:rFonts w:cs="Times New Roman"/>
        </w:rPr>
        <w:t xml:space="preserve">at para. 12; </w:t>
      </w:r>
      <w:r w:rsidRPr="00DA0977">
        <w:rPr>
          <w:rFonts w:cs="Times New Roman"/>
          <w:i/>
        </w:rPr>
        <w:t>R. v. Ipeelee</w:t>
      </w:r>
      <w:r w:rsidRPr="00DA0977">
        <w:rPr>
          <w:rFonts w:cs="Times New Roman"/>
        </w:rPr>
        <w:t>,</w:t>
      </w:r>
      <w:r w:rsidRPr="00DA0977">
        <w:rPr>
          <w:rFonts w:cs="Times New Roman"/>
          <w:i/>
        </w:rPr>
        <w:t xml:space="preserve"> </w:t>
      </w:r>
      <w:r w:rsidRPr="00DA0977">
        <w:rPr>
          <w:rFonts w:cs="Times New Roman"/>
        </w:rPr>
        <w:t>2012 SCC 13, [2012] 1 S.C.R. 433, at para. 51). Even where Parliament has directed that the objectives of denunciation and deterrence are paramount at sentencing, judges must apply all the principles mandated by ss. 718.1 and 718.2 to craft a sentence that “furthers the overall objectives of sentencing” (</w:t>
      </w:r>
      <w:r w:rsidRPr="00DA0977">
        <w:rPr>
          <w:rFonts w:cs="Times New Roman"/>
          <w:i/>
        </w:rPr>
        <w:t>Ipeelee</w:t>
      </w:r>
      <w:r w:rsidRPr="00DA0977">
        <w:rPr>
          <w:rFonts w:cs="Times New Roman"/>
        </w:rPr>
        <w:t>,</w:t>
      </w:r>
      <w:r w:rsidRPr="00DA0977">
        <w:rPr>
          <w:rFonts w:cs="Times New Roman"/>
          <w:i/>
        </w:rPr>
        <w:t xml:space="preserve"> </w:t>
      </w:r>
      <w:r w:rsidRPr="00DA0977">
        <w:rPr>
          <w:rFonts w:cs="Times New Roman"/>
        </w:rPr>
        <w:t>at para. 51). Deference to Parliament’s objectives is not unlimited; to ensure respect for human dignity, the door to rehabilitation must remain open (</w:t>
      </w:r>
      <w:r w:rsidRPr="00DA0977">
        <w:rPr>
          <w:rFonts w:cs="Times New Roman"/>
          <w:i/>
        </w:rPr>
        <w:t>Bissonnette</w:t>
      </w:r>
      <w:r w:rsidRPr="00DA0977">
        <w:rPr>
          <w:rFonts w:cs="Times New Roman"/>
        </w:rPr>
        <w:t xml:space="preserve">, at paras. 46 and 85; </w:t>
      </w:r>
      <w:r w:rsidRPr="00DA0977">
        <w:rPr>
          <w:rFonts w:cs="Times New Roman"/>
          <w:i/>
        </w:rPr>
        <w:t>Hills</w:t>
      </w:r>
      <w:r w:rsidRPr="00DA0977">
        <w:rPr>
          <w:rFonts w:cs="Times New Roman"/>
        </w:rPr>
        <w:t xml:space="preserve">, at paras. 140-41; </w:t>
      </w:r>
      <w:r w:rsidRPr="00DA0977">
        <w:rPr>
          <w:rFonts w:cs="Times New Roman"/>
          <w:i/>
          <w:iCs/>
        </w:rPr>
        <w:t>Nasogaluak</w:t>
      </w:r>
      <w:r w:rsidRPr="00DA0977">
        <w:rPr>
          <w:rFonts w:cs="Times New Roman"/>
        </w:rPr>
        <w:t>, at para. </w:t>
      </w:r>
      <w:r w:rsidRPr="00DA0977">
        <w:rPr>
          <w:rStyle w:val="Hyperlink"/>
          <w:rFonts w:cs="Times New Roman"/>
          <w:color w:val="auto"/>
        </w:rPr>
        <w:t>43</w:t>
      </w:r>
      <w:r w:rsidRPr="00DA0977">
        <w:rPr>
          <w:rFonts w:cs="Times New Roman"/>
        </w:rPr>
        <w:t xml:space="preserve">). </w:t>
      </w:r>
    </w:p>
    <w:p w14:paraId="7B97A7B9" w14:textId="77777777" w:rsidR="00DA0977" w:rsidRPr="00DA0977" w:rsidRDefault="00DA0977" w:rsidP="00DA0977">
      <w:pPr>
        <w:pStyle w:val="Title3LevelTitre3Niveau"/>
        <w:numPr>
          <w:ilvl w:val="2"/>
          <w:numId w:val="29"/>
        </w:numPr>
        <w:rPr>
          <w:rFonts w:cs="Times New Roman"/>
        </w:rPr>
      </w:pPr>
      <w:bookmarkStart w:id="205" w:name="_Toc135322949"/>
      <w:bookmarkStart w:id="206" w:name="_Toc137199883"/>
      <w:bookmarkStart w:id="207" w:name="_Toc140673998"/>
      <w:bookmarkStart w:id="208" w:name="_Toc141096943"/>
      <w:bookmarkStart w:id="209" w:name="_Toc141694563"/>
      <w:bookmarkStart w:id="210" w:name="_Toc146612969"/>
      <w:r w:rsidRPr="00DA0977">
        <w:rPr>
          <w:rFonts w:cs="Times New Roman"/>
        </w:rPr>
        <w:t>A Fit Sentence for Luring in the First Reasonably Foreseeable Scenario</w:t>
      </w:r>
      <w:bookmarkEnd w:id="205"/>
      <w:bookmarkEnd w:id="206"/>
      <w:bookmarkEnd w:id="207"/>
      <w:bookmarkEnd w:id="208"/>
      <w:bookmarkEnd w:id="209"/>
      <w:bookmarkEnd w:id="210"/>
    </w:p>
    <w:p w14:paraId="040A6204"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In </w:t>
      </w:r>
      <w:r w:rsidRPr="00DA0977">
        <w:rPr>
          <w:rFonts w:cs="Times New Roman"/>
          <w:i/>
        </w:rPr>
        <w:t>Hood</w:t>
      </w:r>
      <w:r w:rsidRPr="00DA0977">
        <w:rPr>
          <w:rFonts w:cs="Times New Roman"/>
        </w:rPr>
        <w:t xml:space="preserve">, when the Nova Scotia Court of Appeal considered a scenario similar to that of the first scenario proffered here, it concluded that the hypothetical crime would likely attract a suspended sentence with probation or, </w:t>
      </w:r>
      <w:r w:rsidRPr="00DA0977">
        <w:rPr>
          <w:rFonts w:cs="Times New Roman"/>
          <w:i/>
        </w:rPr>
        <w:t>at most</w:t>
      </w:r>
      <w:r w:rsidRPr="00DA0977">
        <w:rPr>
          <w:rFonts w:cs="Times New Roman"/>
        </w:rPr>
        <w:t xml:space="preserve">, a brief period of incarceration (para. 154). Instead the court found that a global fit sentence for the representative offender would be a suspended sentence with a term of probation. </w:t>
      </w:r>
      <w:r w:rsidRPr="00DA0977">
        <w:rPr>
          <w:rFonts w:cs="Times New Roman"/>
        </w:rPr>
        <w:lastRenderedPageBreak/>
        <w:t xml:space="preserve">However, </w:t>
      </w:r>
      <w:r w:rsidRPr="00DA0977">
        <w:rPr>
          <w:rFonts w:cs="Times New Roman"/>
          <w:i/>
        </w:rPr>
        <w:t xml:space="preserve">Hood </w:t>
      </w:r>
      <w:r w:rsidRPr="00DA0977">
        <w:rPr>
          <w:rFonts w:cs="Times New Roman"/>
        </w:rPr>
        <w:t xml:space="preserve">was decided before this Court’s decision in </w:t>
      </w:r>
      <w:r w:rsidRPr="00DA0977">
        <w:rPr>
          <w:rFonts w:cs="Times New Roman"/>
          <w:i/>
        </w:rPr>
        <w:t>Friesen</w:t>
      </w:r>
      <w:r w:rsidRPr="00DA0977">
        <w:rPr>
          <w:rFonts w:cs="Times New Roman"/>
        </w:rPr>
        <w:t>.</w:t>
      </w:r>
      <w:r w:rsidRPr="00DA0977">
        <w:rPr>
          <w:rFonts w:cs="Times New Roman"/>
          <w:i/>
        </w:rPr>
        <w:t xml:space="preserve"> </w:t>
      </w:r>
      <w:r w:rsidRPr="00DA0977">
        <w:rPr>
          <w:rFonts w:cs="Times New Roman"/>
        </w:rPr>
        <w:t xml:space="preserve">The fit sentence assigned by the Court of Appeal in </w:t>
      </w:r>
      <w:r w:rsidRPr="00DA0977">
        <w:rPr>
          <w:rFonts w:cs="Times New Roman"/>
          <w:i/>
        </w:rPr>
        <w:t xml:space="preserve">Hood </w:t>
      </w:r>
      <w:r w:rsidRPr="00DA0977">
        <w:rPr>
          <w:rFonts w:cs="Times New Roman"/>
        </w:rPr>
        <w:t xml:space="preserve">is not reflective of the directive from </w:t>
      </w:r>
      <w:r w:rsidRPr="00DA0977">
        <w:rPr>
          <w:rFonts w:cs="Times New Roman"/>
          <w:i/>
        </w:rPr>
        <w:t xml:space="preserve">Friesen </w:t>
      </w:r>
      <w:r w:rsidRPr="00DA0977">
        <w:rPr>
          <w:rFonts w:cs="Times New Roman"/>
        </w:rPr>
        <w:t xml:space="preserve">that sexual offences against children are violent crimes that “wrongfully exploit children’s vulnerability” and as such “[s]entences for these crimes must increase” (para. 5). Interestingly, in </w:t>
      </w:r>
      <w:r w:rsidRPr="00DA0977">
        <w:rPr>
          <w:rFonts w:cs="Times New Roman"/>
          <w:i/>
        </w:rPr>
        <w:t>Friesen</w:t>
      </w:r>
      <w:r w:rsidRPr="00DA0977">
        <w:rPr>
          <w:rFonts w:cs="Times New Roman"/>
        </w:rPr>
        <w:t xml:space="preserve">, this Court cited </w:t>
      </w:r>
      <w:r w:rsidRPr="00DA0977">
        <w:rPr>
          <w:rFonts w:cs="Times New Roman"/>
          <w:i/>
        </w:rPr>
        <w:t>Hood</w:t>
      </w:r>
      <w:r w:rsidRPr="00DA0977">
        <w:rPr>
          <w:rFonts w:cs="Times New Roman"/>
        </w:rPr>
        <w:t xml:space="preserve"> as an example of an offender whose serious cognitive limitations would likely reduce her moral culpability at sentencing (para. 91).</w:t>
      </w:r>
    </w:p>
    <w:p w14:paraId="1D5EE608"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In the unique circumstances of this hypothetical scenario, the inherent wrongfulness and severity of the offence must be balanced against the offender’s mental illness, remorse, and prospects of rehabilitation. A fit sentence for the luring offence committed by the </w:t>
      </w:r>
      <w:r w:rsidRPr="00DA0977">
        <w:rPr>
          <w:rFonts w:cs="Times New Roman"/>
          <w:lang w:eastAsia="en-CA"/>
        </w:rPr>
        <w:t>representative</w:t>
      </w:r>
      <w:r w:rsidRPr="00DA0977">
        <w:rPr>
          <w:rFonts w:cs="Times New Roman"/>
        </w:rPr>
        <w:t xml:space="preserve"> offender in the first scenario is a 30</w:t>
      </w:r>
      <w:r w:rsidRPr="00DA0977">
        <w:rPr>
          <w:rFonts w:cs="Times New Roman"/>
        </w:rPr>
        <w:noBreakHyphen/>
        <w:t xml:space="preserve">day intermittent sentence. </w:t>
      </w:r>
    </w:p>
    <w:p w14:paraId="5CAB8BAF"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The representative offender is a high school teacher in her late 20s who committed a serious breach of her professional duties and inappropriately directed a conversation with her 15</w:t>
      </w:r>
      <w:r w:rsidRPr="00DA0977">
        <w:rPr>
          <w:rFonts w:cs="Times New Roman"/>
        </w:rPr>
        <w:noBreakHyphen/>
        <w:t>year</w:t>
      </w:r>
      <w:r w:rsidRPr="00DA0977">
        <w:rPr>
          <w:rFonts w:cs="Times New Roman"/>
        </w:rPr>
        <w:noBreakHyphen/>
        <w:t xml:space="preserve">old student towards sexual matters with the intention of facilitating the secondary offence under s. 151 of the </w:t>
      </w:r>
      <w:r w:rsidRPr="00DA0977">
        <w:rPr>
          <w:rFonts w:cs="Times New Roman"/>
          <w:i/>
        </w:rPr>
        <w:t>Criminal Code</w:t>
      </w:r>
      <w:r w:rsidRPr="00DA0977">
        <w:rPr>
          <w:rFonts w:cs="Times New Roman"/>
        </w:rPr>
        <w:t>. Although this teacher would presumably be relatively junior as compared to her colleagues, she holds a position of trust and authority in relation to her student per s. 718.2(a)(iii). A breach of trust is “likely to increase the harm to the victim and thus the gravity of the offence” (</w:t>
      </w:r>
      <w:r w:rsidRPr="00DA0977">
        <w:rPr>
          <w:rFonts w:cs="Times New Roman"/>
          <w:i/>
        </w:rPr>
        <w:t>Friesen</w:t>
      </w:r>
      <w:r w:rsidRPr="00DA0977">
        <w:rPr>
          <w:rFonts w:cs="Times New Roman"/>
        </w:rPr>
        <w:t xml:space="preserve">, at para. 126). The severity of such a breach is not to be taken lightly: teachers are entrusted to educate and serve as role models for children, not to sexualize them for </w:t>
      </w:r>
      <w:r w:rsidRPr="00DA0977">
        <w:rPr>
          <w:rFonts w:cs="Times New Roman"/>
        </w:rPr>
        <w:lastRenderedPageBreak/>
        <w:t>their own purposes. In this case in particular, the representative offender exploited her position of authority in the commission of the offence, including by using her relationship to the victim to gain access by texting him under the guise of discussing homework. This element increases her moral blameworthiness and serves as an aggravating factor. As well, the wide age gap between the offender and the victim is further aggravating: as the offender was in her late 20s, there is at least a 10</w:t>
      </w:r>
      <w:r w:rsidRPr="00DA0977">
        <w:rPr>
          <w:rFonts w:cs="Times New Roman"/>
        </w:rPr>
        <w:noBreakHyphen/>
        <w:t xml:space="preserve">year age difference. </w:t>
      </w:r>
    </w:p>
    <w:p w14:paraId="3C1A9D0E"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At the same time, it is important to acknowledge that while the representative offender’s conduct was serious, it likely falls at the lower end of the range of gravity in all the circumstances. All offences of this type have the potential to cause substantial harm to victims. However, it remains significant that this offender’s actions were spontaneous and of short duration, rather than malicious and calculated. Unlike in many other child luring cases that are typically associated with prolonged contact, and thereby far greater harm, in this case there is no evidence of grooming or long term planning. While these factors are not mitigating, they do provide insight into the overall gravity of the offence and culpability of the offender, which is comparatively lower than in other cases. It is well established that spontaneous or spur of the moment crimes should be punished less severely than planned or premeditated ones (see, e.g., </w:t>
      </w:r>
      <w:r w:rsidRPr="00DA0977">
        <w:rPr>
          <w:rFonts w:cs="Times New Roman"/>
          <w:i/>
        </w:rPr>
        <w:t>R. v. Laberge</w:t>
      </w:r>
      <w:r w:rsidRPr="00DA0977">
        <w:rPr>
          <w:rFonts w:cs="Times New Roman"/>
        </w:rPr>
        <w:t xml:space="preserve"> (1995), 165 A.R. 375 (C.A.), at para. 18; </w:t>
      </w:r>
      <w:r w:rsidRPr="00DA0977">
        <w:rPr>
          <w:rFonts w:cs="Times New Roman"/>
          <w:i/>
        </w:rPr>
        <w:t>R. v. Murphy</w:t>
      </w:r>
      <w:r w:rsidRPr="00DA0977">
        <w:rPr>
          <w:rFonts w:cs="Times New Roman"/>
        </w:rPr>
        <w:t xml:space="preserve">, 2014 ABCA 409, 593 A.R. 60, at para. 42; </w:t>
      </w:r>
      <w:r w:rsidRPr="00DA0977">
        <w:rPr>
          <w:rFonts w:cs="Times New Roman"/>
          <w:i/>
        </w:rPr>
        <w:t>R. v. Vienneau</w:t>
      </w:r>
      <w:r w:rsidRPr="00DA0977">
        <w:rPr>
          <w:rFonts w:cs="Times New Roman"/>
        </w:rPr>
        <w:t>, 2015 ONCA 898, at para. 12 (CanLII)).</w:t>
      </w:r>
      <w:r w:rsidRPr="00DA0977">
        <w:rPr>
          <w:rFonts w:cs="Times New Roman"/>
          <w:i/>
        </w:rPr>
        <w:t xml:space="preserve"> </w:t>
      </w:r>
      <w:r w:rsidRPr="00DA0977">
        <w:rPr>
          <w:rFonts w:cs="Times New Roman"/>
        </w:rPr>
        <w:t xml:space="preserve">Furthermore, the representative offender entered a guilty plea, expressed </w:t>
      </w:r>
      <w:r w:rsidRPr="00DA0977">
        <w:rPr>
          <w:rFonts w:cs="Times New Roman"/>
        </w:rPr>
        <w:lastRenderedPageBreak/>
        <w:t xml:space="preserve">remorse on sentencing and has no prior criminal record — all of which </w:t>
      </w:r>
      <w:r w:rsidRPr="00DA0977">
        <w:rPr>
          <w:rFonts w:cs="Times New Roman"/>
          <w:i/>
        </w:rPr>
        <w:t xml:space="preserve">are </w:t>
      </w:r>
      <w:r w:rsidRPr="00DA0977">
        <w:rPr>
          <w:rFonts w:cs="Times New Roman"/>
        </w:rPr>
        <w:t xml:space="preserve">significant mitigating factors. </w:t>
      </w:r>
    </w:p>
    <w:p w14:paraId="6407EBD0"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Finally, in assessing the offender’s moral culpability, it is significant that the </w:t>
      </w:r>
      <w:r w:rsidRPr="00DA0977">
        <w:rPr>
          <w:rFonts w:cs="Times New Roman"/>
          <w:lang w:eastAsia="en-CA"/>
        </w:rPr>
        <w:t xml:space="preserve">representative offender in the first scenario was diagnosed with bipolar disorder and her symptoms were similar to the actual offender described in </w:t>
      </w:r>
      <w:r w:rsidRPr="00DA0977">
        <w:rPr>
          <w:rFonts w:cs="Times New Roman"/>
          <w:i/>
          <w:lang w:eastAsia="en-CA"/>
        </w:rPr>
        <w:t>Hood</w:t>
      </w:r>
      <w:r w:rsidRPr="00DA0977">
        <w:rPr>
          <w:rFonts w:cs="Times New Roman"/>
          <w:lang w:eastAsia="en-CA"/>
        </w:rPr>
        <w:t>. At trial, Ms. Hood’s criminal responsibility was an issue of real controversy (</w:t>
      </w:r>
      <w:r w:rsidRPr="00DA0977">
        <w:rPr>
          <w:rFonts w:cs="Times New Roman"/>
          <w:i/>
          <w:lang w:eastAsia="en-CA"/>
        </w:rPr>
        <w:t>R. v. Hood</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2016 NSPC 19, 371 N.S.R. (2d) 324; see also the reasons for sentence in </w:t>
      </w:r>
      <w:r w:rsidRPr="00DA0977">
        <w:rPr>
          <w:rFonts w:cs="Times New Roman"/>
          <w:i/>
          <w:lang w:eastAsia="en-CA"/>
        </w:rPr>
        <w:t>R. v. Hood</w:t>
      </w:r>
      <w:r w:rsidRPr="00DA0977">
        <w:rPr>
          <w:rFonts w:cs="Times New Roman"/>
          <w:lang w:eastAsia="en-CA"/>
        </w:rPr>
        <w:t>, 2016 NSPC 78). Although the trial judge did find her to be criminally responsible, he accepted that Ms. Hood experienced bipolar disorder type I. As a result, Ms. Hood’s “mania rendered her profoundly disinhibited and prone to risk taking, elevated by a sense of invincibility, and impaired by defective insight and inhibition” ((</w:t>
      </w:r>
      <w:r w:rsidRPr="00DA0977">
        <w:rPr>
          <w:rFonts w:cs="Times New Roman"/>
          <w:i/>
          <w:lang w:eastAsia="en-CA"/>
        </w:rPr>
        <w:t xml:space="preserve">Hood </w:t>
      </w:r>
      <w:r w:rsidRPr="00DA0977">
        <w:rPr>
          <w:rFonts w:cs="Times New Roman"/>
          <w:lang w:eastAsia="en-CA"/>
        </w:rPr>
        <w:t>(sentencing reasons), at para. 55 (CanLII))</w:t>
      </w:r>
      <w:r w:rsidRPr="00DA0977">
        <w:rPr>
          <w:rFonts w:cs="Times New Roman"/>
        </w:rPr>
        <w:t xml:space="preserve">. The sentencing judge in </w:t>
      </w:r>
      <w:r w:rsidRPr="00DA0977">
        <w:rPr>
          <w:rFonts w:cs="Times New Roman"/>
          <w:i/>
        </w:rPr>
        <w:t xml:space="preserve">Hood </w:t>
      </w:r>
      <w:r w:rsidRPr="00DA0977">
        <w:rPr>
          <w:rFonts w:cs="Times New Roman"/>
        </w:rPr>
        <w:t>found that her symptoms had “a nexus with her crimes” (para. 55). Similarly, in the instant case the representative offender’s bipolar diagnosis, though it serves as no justification or excuse for her behaviour, attenuates her degree of responsibility and acts as a mitigating factor on sentencing (</w:t>
      </w:r>
      <w:r w:rsidRPr="00DA0977">
        <w:rPr>
          <w:rFonts w:cs="Times New Roman"/>
          <w:i/>
        </w:rPr>
        <w:t>R. v. Ayorech</w:t>
      </w:r>
      <w:r w:rsidRPr="00DA0977">
        <w:rPr>
          <w:rFonts w:cs="Times New Roman"/>
        </w:rPr>
        <w:t>, 2012 ABCA 82, 522 A.R. 306, at paras. 10</w:t>
      </w:r>
      <w:r w:rsidRPr="00DA0977">
        <w:rPr>
          <w:rFonts w:cs="Times New Roman"/>
        </w:rPr>
        <w:noBreakHyphen/>
        <w:t xml:space="preserve">13; </w:t>
      </w:r>
      <w:r w:rsidRPr="00DA0977">
        <w:rPr>
          <w:rFonts w:cs="Times New Roman"/>
          <w:i/>
        </w:rPr>
        <w:t>R. v. Tremblay</w:t>
      </w:r>
      <w:r w:rsidRPr="00DA0977">
        <w:rPr>
          <w:rFonts w:cs="Times New Roman"/>
        </w:rPr>
        <w:t xml:space="preserve">, 2006 ABCA 252, 401 A.R. 9, at para. 7; </w:t>
      </w:r>
      <w:r w:rsidRPr="00DA0977">
        <w:rPr>
          <w:rFonts w:cs="Times New Roman"/>
          <w:i/>
        </w:rPr>
        <w:t>R. v. Belcourt</w:t>
      </w:r>
      <w:r w:rsidRPr="00DA0977">
        <w:rPr>
          <w:rFonts w:cs="Times New Roman"/>
        </w:rPr>
        <w:t xml:space="preserve">, 2010 ABCA 319, 490 A.R. 224, at para. 8; </w:t>
      </w:r>
      <w:r w:rsidRPr="00DA0977">
        <w:rPr>
          <w:rFonts w:cs="Times New Roman"/>
          <w:i/>
        </w:rPr>
        <w:t>R. v. Resler</w:t>
      </w:r>
      <w:r w:rsidRPr="00DA0977">
        <w:rPr>
          <w:rFonts w:cs="Times New Roman"/>
        </w:rPr>
        <w:t>, 2011 ABCA 167, 505 A.R. 330, at para. 14). Where a mental illness existed at the time of the offence and contributed to the offender’s behaviour, sentencing judges should consider prioritizing rehabilitation and treatment through community intervention (</w:t>
      </w:r>
      <w:r w:rsidRPr="00DA0977">
        <w:rPr>
          <w:rFonts w:cs="Times New Roman"/>
          <w:i/>
        </w:rPr>
        <w:t>R. v. Lundrigan</w:t>
      </w:r>
      <w:r w:rsidRPr="00DA0977">
        <w:rPr>
          <w:rFonts w:cs="Times New Roman"/>
        </w:rPr>
        <w:t xml:space="preserve">, 2012 NLCA 43, 324 Nfld. &amp; P.E.I.R. 270, at paras. 20-21; </w:t>
      </w:r>
      <w:r w:rsidRPr="00DA0977">
        <w:rPr>
          <w:rFonts w:cs="Times New Roman"/>
          <w:i/>
        </w:rPr>
        <w:t>R. v. Ellis</w:t>
      </w:r>
      <w:r w:rsidRPr="00DA0977">
        <w:rPr>
          <w:rFonts w:cs="Times New Roman"/>
        </w:rPr>
        <w:t xml:space="preserve">, 2013 ONCA 739, 303 C.C.C. (3d) 228, at </w:t>
      </w:r>
      <w:r w:rsidRPr="00DA0977">
        <w:rPr>
          <w:rFonts w:cs="Times New Roman"/>
        </w:rPr>
        <w:lastRenderedPageBreak/>
        <w:t xml:space="preserve">para. 117). This is especially the case given that offenders with mental illnesses are often distinctly negatively affected by imprisonment (see Ruby, at </w:t>
      </w:r>
      <w:r w:rsidRPr="00DA0977">
        <w:t>§§5.325 and 5.332</w:t>
      </w:r>
      <w:r w:rsidRPr="00DA0977">
        <w:rPr>
          <w:rFonts w:cs="Times New Roman"/>
        </w:rPr>
        <w:t>).</w:t>
      </w:r>
    </w:p>
    <w:p w14:paraId="1EEE8094"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Even so, while rehabilitation must be prioritized for this offender, a non-custodial sentence is not appropriate given the seriousness of the offence. In the result, I find a 30</w:t>
      </w:r>
      <w:r w:rsidRPr="00DA0977">
        <w:rPr>
          <w:rFonts w:cs="Times New Roman"/>
        </w:rPr>
        <w:noBreakHyphen/>
        <w:t xml:space="preserve">day intermittent sentence is a fit sentence for the </w:t>
      </w:r>
      <w:r w:rsidRPr="00DA0977">
        <w:rPr>
          <w:rFonts w:cs="Times New Roman"/>
          <w:lang w:eastAsia="en-CA"/>
        </w:rPr>
        <w:t>representative</w:t>
      </w:r>
      <w:r w:rsidRPr="00DA0977">
        <w:rPr>
          <w:rFonts w:cs="Times New Roman"/>
        </w:rPr>
        <w:t xml:space="preserve"> offender at bar. Such a sentence recognizes the inherent seriousness and potential harms associated with the offence and appropriately denounces her conduct, while also being mindful of her diminished moral blameworthiness and the mitigating factors at play. </w:t>
      </w:r>
    </w:p>
    <w:p w14:paraId="3EC76477" w14:textId="77777777" w:rsidR="00DA0977" w:rsidRPr="00DA0977" w:rsidRDefault="00DA0977" w:rsidP="00DA0977">
      <w:pPr>
        <w:pStyle w:val="Title3LevelTitre3Niveau"/>
        <w:jc w:val="both"/>
        <w:rPr>
          <w:rFonts w:cs="Times New Roman"/>
        </w:rPr>
      </w:pPr>
      <w:bookmarkStart w:id="211" w:name="_Toc135041591"/>
      <w:bookmarkStart w:id="212" w:name="_Toc135322950"/>
      <w:bookmarkStart w:id="213" w:name="_Toc137199884"/>
      <w:bookmarkStart w:id="214" w:name="_Toc140673999"/>
      <w:bookmarkStart w:id="215" w:name="_Toc141096944"/>
      <w:bookmarkStart w:id="216" w:name="_Toc141694564"/>
      <w:bookmarkStart w:id="217" w:name="_Toc146612970"/>
      <w:r w:rsidRPr="00DA0977">
        <w:rPr>
          <w:rFonts w:cs="Times New Roman"/>
        </w:rPr>
        <w:t>A Fit Sentence for Luring in the Second Reasonably Foreseeable Scenario</w:t>
      </w:r>
      <w:bookmarkEnd w:id="211"/>
      <w:bookmarkEnd w:id="212"/>
      <w:bookmarkEnd w:id="213"/>
      <w:bookmarkEnd w:id="214"/>
      <w:bookmarkEnd w:id="215"/>
      <w:bookmarkEnd w:id="216"/>
      <w:bookmarkEnd w:id="217"/>
    </w:p>
    <w:p w14:paraId="0265F3A3"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The representative offender in the second scenario engaged in a serious breach of the victim’s privacy and dignity that should be condemned by a criminal sanction. However, the significant mitigating factors in this scenario warrant a sentence on the low end of the spectrum. A fit sentence for the luring that the </w:t>
      </w:r>
      <w:r w:rsidRPr="00DA0977">
        <w:rPr>
          <w:rFonts w:cs="Times New Roman"/>
          <w:lang w:eastAsia="en-CA"/>
        </w:rPr>
        <w:t>representative</w:t>
      </w:r>
      <w:r w:rsidRPr="00DA0977">
        <w:rPr>
          <w:rFonts w:cs="Times New Roman"/>
        </w:rPr>
        <w:t xml:space="preserve"> offender in the second scenario engaged in is a conditional discharge. </w:t>
      </w:r>
    </w:p>
    <w:p w14:paraId="1C4075DB"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The 18</w:t>
      </w:r>
      <w:r w:rsidRPr="00DA0977">
        <w:rPr>
          <w:rFonts w:cs="Times New Roman"/>
        </w:rPr>
        <w:noBreakHyphen/>
        <w:t>year</w:t>
      </w:r>
      <w:r w:rsidRPr="00DA0977">
        <w:rPr>
          <w:rFonts w:cs="Times New Roman"/>
        </w:rPr>
        <w:noBreakHyphen/>
        <w:t>old offender texted his 17</w:t>
      </w:r>
      <w:r w:rsidRPr="00DA0977">
        <w:rPr>
          <w:rFonts w:cs="Times New Roman"/>
        </w:rPr>
        <w:noBreakHyphen/>
        <w:t>year</w:t>
      </w:r>
      <w:r w:rsidRPr="00DA0977">
        <w:rPr>
          <w:rFonts w:cs="Times New Roman"/>
        </w:rPr>
        <w:noBreakHyphen/>
        <w:t xml:space="preserve">old girlfriend with the intent to wrongfully transmit a pornographic photo of her to his friend. It is important to emphasize that this was far from an innocent communication: the basis for criminal liability is the accused’s intent to send the photo on to a person for whom it was </w:t>
      </w:r>
      <w:r w:rsidRPr="00DA0977">
        <w:rPr>
          <w:rFonts w:cs="Times New Roman"/>
          <w:i/>
        </w:rPr>
        <w:t xml:space="preserve">not </w:t>
      </w:r>
      <w:r w:rsidRPr="00DA0977">
        <w:rPr>
          <w:rFonts w:cs="Times New Roman"/>
        </w:rPr>
        <w:t>intended, as he could not have been convicted of luring if the photo was for his own private use (see</w:t>
      </w:r>
      <w:r w:rsidRPr="00DA0977">
        <w:rPr>
          <w:rFonts w:cs="Times New Roman"/>
          <w:i/>
        </w:rPr>
        <w:t xml:space="preserve"> Sharpe</w:t>
      </w:r>
      <w:r w:rsidRPr="00DA0977">
        <w:rPr>
          <w:rFonts w:cs="Times New Roman"/>
        </w:rPr>
        <w:t xml:space="preserve">). The representative offender should have known that sharing </w:t>
      </w:r>
      <w:r w:rsidRPr="00DA0977">
        <w:rPr>
          <w:rFonts w:cs="Times New Roman"/>
        </w:rPr>
        <w:lastRenderedPageBreak/>
        <w:t xml:space="preserve">a sexualized photo of his underage, adolescent partner with a third party was not only impermissible, but harmful, particularly given the risk that the photo could have been distributed on to other recipients and could have thereby exposed the victim to bullying and sexual extortion (see A. Carlton, “Sextortion: The Hybrid ‘Cyber-Sex’ Crime” (2020), 21:3 </w:t>
      </w:r>
      <w:r w:rsidRPr="00DA0977">
        <w:rPr>
          <w:rFonts w:cs="Times New Roman"/>
          <w:i/>
        </w:rPr>
        <w:t>N.C. J.L. &amp; Tech.</w:t>
      </w:r>
      <w:r w:rsidRPr="00DA0977">
        <w:rPr>
          <w:rFonts w:cs="Times New Roman"/>
        </w:rPr>
        <w:t xml:space="preserve"> 177, at p. 180). Even putting aside that this risk of further distribution did not materialize, non-consensual distribution of an intimate image is inherently associated with loss of dignity and autonomy, and could lead to a profound sense of shame as well as reduced trust in future romantic partners. In light of the seriousness of the representative offender’s behaviour at the expense of the adolescent victim, a criminal sanction is warranted. </w:t>
      </w:r>
    </w:p>
    <w:p w14:paraId="6FF60A88"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That said, the most significant mitigating factor in this second scenario is that the offender is a youthful first offender. Although the 18</w:t>
      </w:r>
      <w:r w:rsidRPr="00DA0977">
        <w:rPr>
          <w:rFonts w:cs="Times New Roman"/>
        </w:rPr>
        <w:noBreakHyphen/>
        <w:t>year</w:t>
      </w:r>
      <w:r w:rsidRPr="00DA0977">
        <w:rPr>
          <w:rFonts w:cs="Times New Roman"/>
        </w:rPr>
        <w:noBreakHyphen/>
        <w:t>old offender is legally an adult and the 17</w:t>
      </w:r>
      <w:r w:rsidRPr="00DA0977">
        <w:rPr>
          <w:rFonts w:cs="Times New Roman"/>
        </w:rPr>
        <w:noBreakHyphen/>
        <w:t>year</w:t>
      </w:r>
      <w:r w:rsidRPr="00DA0977">
        <w:rPr>
          <w:rFonts w:cs="Times New Roman"/>
        </w:rPr>
        <w:noBreakHyphen/>
        <w:t xml:space="preserve">old victim is not, without minimizing the impact of the offence on the victim, an appropriate sentence must account for the fact that </w:t>
      </w:r>
      <w:r w:rsidRPr="00DA0977">
        <w:rPr>
          <w:rFonts w:cs="Times New Roman"/>
          <w:i/>
        </w:rPr>
        <w:t xml:space="preserve">both </w:t>
      </w:r>
      <w:r w:rsidRPr="00DA0977">
        <w:rPr>
          <w:rFonts w:cs="Times New Roman"/>
        </w:rPr>
        <w:t xml:space="preserve">parties are young, close in age, and in a consensual relationship that shows no signs of the long-term exploitation or grooming that is involved in many child luring cases. Similar to the </w:t>
      </w:r>
      <w:r w:rsidRPr="00DA0977">
        <w:rPr>
          <w:rFonts w:cs="Times New Roman"/>
          <w:lang w:eastAsia="en-CA"/>
        </w:rPr>
        <w:t>representative</w:t>
      </w:r>
      <w:r w:rsidRPr="00DA0977">
        <w:rPr>
          <w:rFonts w:cs="Times New Roman"/>
        </w:rPr>
        <w:t xml:space="preserve"> offender considered in </w:t>
      </w:r>
      <w:r w:rsidRPr="00DA0977">
        <w:rPr>
          <w:rFonts w:cs="Times New Roman"/>
          <w:i/>
        </w:rPr>
        <w:t>Hills</w:t>
      </w:r>
      <w:r w:rsidRPr="00DA0977">
        <w:rPr>
          <w:rFonts w:cs="Times New Roman"/>
        </w:rPr>
        <w:t>, the criminalized conduct in this case indicates a lack of guidance or adult mentorship more than it does the offender’s criminal intent (para. 161). Rehabilitation and individual deterrence are primary sentencing objectives when sentencing youthful first offenders. Even though an 18-year-old offender falls outside the scope of the youth criminal justice system, his lack of maturity remains an important consideration (</w:t>
      </w:r>
      <w:r w:rsidRPr="00DA0977">
        <w:rPr>
          <w:rFonts w:cs="Times New Roman"/>
          <w:i/>
        </w:rPr>
        <w:t>R. v. Priest</w:t>
      </w:r>
      <w:r w:rsidRPr="00DA0977">
        <w:rPr>
          <w:rFonts w:cs="Times New Roman"/>
        </w:rPr>
        <w:t xml:space="preserve"> (1996), 30 O.R. (3d) 538 </w:t>
      </w:r>
      <w:r w:rsidRPr="00DA0977">
        <w:rPr>
          <w:rFonts w:cs="Times New Roman"/>
        </w:rPr>
        <w:lastRenderedPageBreak/>
        <w:t xml:space="preserve">(C.A.), at pp. 543-44; </w:t>
      </w:r>
      <w:r w:rsidRPr="00DA0977">
        <w:rPr>
          <w:rFonts w:cs="Times New Roman"/>
          <w:i/>
        </w:rPr>
        <w:t>R. v. Tan</w:t>
      </w:r>
      <w:r w:rsidRPr="00DA0977">
        <w:rPr>
          <w:rFonts w:cs="Times New Roman"/>
        </w:rPr>
        <w:t xml:space="preserve">, 2008 ONCA 574, 268 O.A.C. 385, at para. 32; </w:t>
      </w:r>
      <w:r w:rsidRPr="00DA0977">
        <w:rPr>
          <w:rFonts w:cs="Times New Roman"/>
          <w:i/>
        </w:rPr>
        <w:t>R. v. T. (K.)</w:t>
      </w:r>
      <w:r w:rsidRPr="00DA0977">
        <w:rPr>
          <w:rFonts w:cs="Times New Roman"/>
        </w:rPr>
        <w:t xml:space="preserve">, 2008 ONCA 91, 89 O.R. (3d) 99, at paras. 41-42). It is crucial that all other dispositions be explored before imposing custodial sentences on youthful first </w:t>
      </w:r>
      <w:r w:rsidRPr="00DA0977">
        <w:rPr>
          <w:rFonts w:cs="Times New Roman"/>
          <w:szCs w:val="24"/>
        </w:rPr>
        <w:t>offenders (</w:t>
      </w:r>
      <w:r w:rsidRPr="00DA0977">
        <w:rPr>
          <w:rFonts w:cs="Times New Roman"/>
          <w:i/>
          <w:szCs w:val="24"/>
        </w:rPr>
        <w:t xml:space="preserve">R. v. Stein </w:t>
      </w:r>
      <w:r w:rsidRPr="00DA0977">
        <w:rPr>
          <w:rFonts w:cs="Times New Roman"/>
          <w:szCs w:val="24"/>
        </w:rPr>
        <w:t xml:space="preserve">(1974), 15 C.C.C. (2d) 376 (Ont. C.A.), at p. 377). </w:t>
      </w:r>
    </w:p>
    <w:p w14:paraId="4CFEE82F"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szCs w:val="24"/>
        </w:rPr>
        <w:t>Here, a conditional discharge with strict probationary terms would serve</w:t>
      </w:r>
      <w:r w:rsidRPr="00DA0977">
        <w:rPr>
          <w:rFonts w:cs="Times New Roman"/>
        </w:rPr>
        <w:t xml:space="preserve"> the objectives of deterrence and denunciation. </w:t>
      </w:r>
      <w:r w:rsidRPr="00DA0977">
        <w:t>By contrast, a custodial sentence would be disproportionate and would not reflect the reduced degree of responsibility of a youthful first offender who would primarily benefit from re-education, not excess punishment</w:t>
      </w:r>
      <w:r w:rsidRPr="00DA0977">
        <w:rPr>
          <w:rFonts w:cs="Times New Roman"/>
        </w:rPr>
        <w:t>. As a result, I would sentence this representative offender to a six</w:t>
      </w:r>
      <w:r w:rsidRPr="00DA0977">
        <w:rPr>
          <w:rFonts w:cs="Times New Roman"/>
        </w:rPr>
        <w:noBreakHyphen/>
        <w:t xml:space="preserve">month conditional discharge with probation. </w:t>
      </w:r>
    </w:p>
    <w:p w14:paraId="6A1E38C0" w14:textId="77777777" w:rsidR="00DA0977" w:rsidRPr="00DA0977" w:rsidRDefault="00DA0977" w:rsidP="00DA0977">
      <w:pPr>
        <w:pStyle w:val="Title2LevelTitre2Niveau"/>
        <w:numPr>
          <w:ilvl w:val="1"/>
          <w:numId w:val="27"/>
        </w:numPr>
        <w:jc w:val="both"/>
        <w:rPr>
          <w:rFonts w:cs="Times New Roman"/>
          <w:lang w:eastAsia="en-CA"/>
        </w:rPr>
      </w:pPr>
      <w:bookmarkStart w:id="218" w:name="_Toc132286913"/>
      <w:bookmarkStart w:id="219" w:name="_Toc135041592"/>
      <w:bookmarkStart w:id="220" w:name="_Toc135322951"/>
      <w:bookmarkStart w:id="221" w:name="_Toc137199885"/>
      <w:bookmarkStart w:id="222" w:name="_Toc140674000"/>
      <w:bookmarkStart w:id="223" w:name="_Toc141096945"/>
      <w:bookmarkStart w:id="224" w:name="_Toc141694565"/>
      <w:bookmarkStart w:id="225" w:name="_Toc146612971"/>
      <w:r w:rsidRPr="00DA0977">
        <w:rPr>
          <w:rFonts w:cs="Times New Roman"/>
          <w:lang w:eastAsia="en-CA"/>
        </w:rPr>
        <w:t>The Mandatory Minimum Penalties Are Grossly Disproportionate to the Fit Sentences for the Representative Offender</w:t>
      </w:r>
      <w:bookmarkEnd w:id="218"/>
      <w:bookmarkEnd w:id="219"/>
      <w:r w:rsidRPr="00DA0977">
        <w:rPr>
          <w:rFonts w:cs="Times New Roman"/>
          <w:lang w:eastAsia="en-CA"/>
        </w:rPr>
        <w:t>s</w:t>
      </w:r>
      <w:bookmarkEnd w:id="220"/>
      <w:bookmarkEnd w:id="221"/>
      <w:bookmarkEnd w:id="222"/>
      <w:bookmarkEnd w:id="223"/>
      <w:bookmarkEnd w:id="224"/>
      <w:bookmarkEnd w:id="225"/>
    </w:p>
    <w:p w14:paraId="24740A40" w14:textId="77777777" w:rsidR="00DA0977" w:rsidRPr="00DA0977" w:rsidRDefault="00DA0977" w:rsidP="00DA0977">
      <w:pPr>
        <w:pStyle w:val="Title3LevelTitre3Niveau"/>
        <w:numPr>
          <w:ilvl w:val="2"/>
          <w:numId w:val="27"/>
        </w:numPr>
        <w:rPr>
          <w:rFonts w:cs="Times New Roman"/>
          <w:lang w:eastAsia="en-CA"/>
        </w:rPr>
      </w:pPr>
      <w:bookmarkStart w:id="226" w:name="_Toc132286914"/>
      <w:bookmarkStart w:id="227" w:name="_Toc135041593"/>
      <w:bookmarkStart w:id="228" w:name="_Toc135322952"/>
      <w:bookmarkStart w:id="229" w:name="_Toc137199886"/>
      <w:bookmarkStart w:id="230" w:name="_Toc140674001"/>
      <w:bookmarkStart w:id="231" w:name="_Toc141096946"/>
      <w:bookmarkStart w:id="232" w:name="_Toc141694566"/>
      <w:bookmarkStart w:id="233" w:name="_Toc146612972"/>
      <w:r w:rsidRPr="00DA0977">
        <w:rPr>
          <w:rFonts w:cs="Times New Roman"/>
          <w:lang w:eastAsia="en-CA"/>
        </w:rPr>
        <w:t>Scope and Reach of the Offence</w:t>
      </w:r>
      <w:bookmarkEnd w:id="226"/>
      <w:bookmarkEnd w:id="227"/>
      <w:bookmarkEnd w:id="228"/>
      <w:bookmarkEnd w:id="229"/>
      <w:bookmarkEnd w:id="230"/>
      <w:bookmarkEnd w:id="231"/>
      <w:bookmarkEnd w:id="232"/>
      <w:bookmarkEnd w:id="233"/>
    </w:p>
    <w:p w14:paraId="12B9ED54"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The scope and reach of the luring offence renders it constitutionally suspect. The jurisprudence instructs that where a mandatory minimum sentence captures disparate conduct of widely varying gravity and degrees of offender culpability, it may be more vulnerable to constitutional challenge (</w:t>
      </w:r>
      <w:r w:rsidRPr="00DA0977">
        <w:rPr>
          <w:rFonts w:cs="Times New Roman"/>
          <w:i/>
          <w:lang w:eastAsia="en-CA"/>
        </w:rPr>
        <w:t>Hills</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at para. 125; </w:t>
      </w:r>
      <w:r w:rsidRPr="00DA0977">
        <w:rPr>
          <w:rFonts w:cs="Times New Roman"/>
          <w:i/>
          <w:iCs/>
        </w:rPr>
        <w:t>Lloyd</w:t>
      </w:r>
      <w:r w:rsidRPr="00DA0977">
        <w:rPr>
          <w:rFonts w:cs="Times New Roman"/>
          <w:iCs/>
        </w:rPr>
        <w:t>,</w:t>
      </w:r>
      <w:r w:rsidRPr="00DA0977">
        <w:rPr>
          <w:rFonts w:cs="Times New Roman"/>
          <w:i/>
          <w:iCs/>
        </w:rPr>
        <w:t xml:space="preserve"> </w:t>
      </w:r>
      <w:r w:rsidRPr="00DA0977">
        <w:rPr>
          <w:rFonts w:cs="Times New Roman"/>
        </w:rPr>
        <w:t xml:space="preserve">at para. 24; </w:t>
      </w:r>
      <w:r w:rsidRPr="00DA0977">
        <w:rPr>
          <w:rFonts w:cs="Times New Roman"/>
          <w:i/>
          <w:iCs/>
        </w:rPr>
        <w:t>Smith</w:t>
      </w:r>
      <w:r w:rsidRPr="00DA0977">
        <w:rPr>
          <w:rFonts w:cs="Times New Roman"/>
          <w:iCs/>
        </w:rPr>
        <w:t>,</w:t>
      </w:r>
      <w:r w:rsidRPr="00DA0977">
        <w:rPr>
          <w:rFonts w:cs="Times New Roman"/>
          <w:i/>
          <w:iCs/>
        </w:rPr>
        <w:t xml:space="preserve"> </w:t>
      </w:r>
      <w:r w:rsidRPr="00DA0977">
        <w:rPr>
          <w:rFonts w:cs="Times New Roman"/>
        </w:rPr>
        <w:t xml:space="preserve">at p. 1078). This Court noted in </w:t>
      </w:r>
      <w:r w:rsidRPr="00DA0977">
        <w:rPr>
          <w:rFonts w:cs="Times New Roman"/>
          <w:i/>
        </w:rPr>
        <w:t xml:space="preserve">Lloyd </w:t>
      </w:r>
      <w:r w:rsidRPr="00DA0977">
        <w:rPr>
          <w:rFonts w:cs="Times New Roman"/>
        </w:rPr>
        <w:t xml:space="preserve">that mandatory minimum penalties for offences “that can be committed in many ways and under many different circumstances by a wide range of people are constitutionally vulnerable” </w:t>
      </w:r>
      <w:r w:rsidRPr="00DA0977">
        <w:rPr>
          <w:rFonts w:cs="Times New Roman"/>
        </w:rPr>
        <w:lastRenderedPageBreak/>
        <w:t>(para. 3</w:t>
      </w:r>
      <w:r w:rsidRPr="00DA0977">
        <w:rPr>
          <w:rFonts w:cs="Times New Roman"/>
          <w:lang w:eastAsia="en-CA"/>
        </w:rPr>
        <w:t>). This is because when an offence is inordinately broad, the mandatory sentence may be proportionate or permissible for most offenders, but grossly disproportionate for other offenders who are far less culpable or whose conduct is far less harmful (</w:t>
      </w:r>
      <w:r w:rsidRPr="00DA0977">
        <w:rPr>
          <w:rFonts w:cs="Times New Roman"/>
          <w:i/>
          <w:lang w:eastAsia="en-CA"/>
        </w:rPr>
        <w:t>Nur</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at para. 83; </w:t>
      </w:r>
      <w:r w:rsidRPr="00DA0977">
        <w:rPr>
          <w:rFonts w:cs="Times New Roman"/>
          <w:i/>
          <w:lang w:eastAsia="en-CA"/>
        </w:rPr>
        <w:t>Hills</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at para. 125). As part of this analysis, courts should assess how broad a range of conduct is captured by the </w:t>
      </w:r>
      <w:r w:rsidRPr="00DA0977">
        <w:rPr>
          <w:rFonts w:cs="Times New Roman"/>
          <w:i/>
          <w:lang w:eastAsia="en-CA"/>
        </w:rPr>
        <w:t xml:space="preserve">actus reus </w:t>
      </w:r>
      <w:r w:rsidRPr="00DA0977">
        <w:rPr>
          <w:rFonts w:cs="Times New Roman"/>
          <w:lang w:eastAsia="en-CA"/>
        </w:rPr>
        <w:t xml:space="preserve">and </w:t>
      </w:r>
      <w:r w:rsidRPr="00DA0977">
        <w:rPr>
          <w:rFonts w:cs="Times New Roman"/>
          <w:i/>
          <w:lang w:eastAsia="en-CA"/>
        </w:rPr>
        <w:t xml:space="preserve">mens rea </w:t>
      </w:r>
      <w:r w:rsidRPr="00DA0977">
        <w:rPr>
          <w:rFonts w:cs="Times New Roman"/>
          <w:lang w:eastAsia="en-CA"/>
        </w:rPr>
        <w:t>of the offence and consider the included degree of variation in the offence’s gravity and the offender’s culpability (</w:t>
      </w:r>
      <w:r w:rsidRPr="00DA0977">
        <w:rPr>
          <w:rFonts w:cs="Times New Roman"/>
          <w:i/>
          <w:lang w:eastAsia="en-CA"/>
        </w:rPr>
        <w:t>Hills</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at para. 129). While Parliament is not precluded from legislating mandatory minimum sentences, Parliament must not mandate grossly disproportionate sentences that subject any offender to cruel and unusual punishment. </w:t>
      </w:r>
    </w:p>
    <w:p w14:paraId="01D26C36"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The three elements of child luring pursuant to s. 172.1 are: (1) the accused communicated </w:t>
      </w:r>
      <w:r w:rsidRPr="00DA0977">
        <w:rPr>
          <w:rFonts w:cs="Times New Roman"/>
          <w:i/>
        </w:rPr>
        <w:t xml:space="preserve">intentionally </w:t>
      </w:r>
      <w:r w:rsidRPr="00DA0977">
        <w:rPr>
          <w:rFonts w:cs="Times New Roman"/>
        </w:rPr>
        <w:t>by telecommunication; (2) with someone the accused knows or believes is under 18 years of age (or 16 or 14, depending on the applicable paragraph); and (3) the accused’s communication was for the specific purpose of facilitating the commission of a designated secondary offence with respect to the underage person (</w:t>
      </w:r>
      <w:r w:rsidRPr="00DA0977">
        <w:rPr>
          <w:rFonts w:cs="Times New Roman"/>
          <w:i/>
        </w:rPr>
        <w:t>Legare</w:t>
      </w:r>
      <w:r w:rsidRPr="00DA0977">
        <w:rPr>
          <w:rFonts w:cs="Times New Roman"/>
        </w:rPr>
        <w:t xml:space="preserve">, at para. 36; </w:t>
      </w:r>
      <w:r w:rsidRPr="00DA0977">
        <w:rPr>
          <w:rFonts w:cs="Times New Roman"/>
          <w:i/>
        </w:rPr>
        <w:t>Levigne</w:t>
      </w:r>
      <w:r w:rsidRPr="00DA0977">
        <w:rPr>
          <w:rFonts w:cs="Times New Roman"/>
        </w:rPr>
        <w:t>,</w:t>
      </w:r>
      <w:r w:rsidRPr="00DA0977">
        <w:rPr>
          <w:rFonts w:cs="Times New Roman"/>
          <w:i/>
        </w:rPr>
        <w:t xml:space="preserve"> </w:t>
      </w:r>
      <w:r w:rsidRPr="00DA0977">
        <w:rPr>
          <w:rFonts w:cs="Times New Roman"/>
        </w:rPr>
        <w:t xml:space="preserve">at para. 23). In the context of a police “sting” operation, where the complainant is not in fact a child, the knowledge/wilful blindness element is replaced by the accused’s </w:t>
      </w:r>
      <w:r w:rsidRPr="00DA0977">
        <w:rPr>
          <w:rFonts w:cs="Times New Roman"/>
          <w:i/>
        </w:rPr>
        <w:t>belief</w:t>
      </w:r>
      <w:r w:rsidRPr="00DA0977">
        <w:rPr>
          <w:rFonts w:cs="Times New Roman"/>
        </w:rPr>
        <w:t xml:space="preserve"> that their interlocutor is a child.</w:t>
      </w:r>
    </w:p>
    <w:p w14:paraId="008E0C0B"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rPr>
        <w:t xml:space="preserve">The </w:t>
      </w:r>
      <w:r w:rsidRPr="00DA0977">
        <w:rPr>
          <w:rFonts w:cs="Times New Roman"/>
          <w:i/>
        </w:rPr>
        <w:t>actus reus</w:t>
      </w:r>
      <w:r w:rsidRPr="00DA0977">
        <w:rPr>
          <w:rFonts w:cs="Times New Roman"/>
        </w:rPr>
        <w:t xml:space="preserve"> of child luring includes communication with the complainant by means of telecommunications. The term “telecommunications” is defined in s. 35(1) of the </w:t>
      </w:r>
      <w:r w:rsidRPr="00DA0977">
        <w:rPr>
          <w:rFonts w:cs="Times New Roman"/>
          <w:i/>
        </w:rPr>
        <w:t>Interpretation Act</w:t>
      </w:r>
      <w:r w:rsidRPr="00DA0977">
        <w:rPr>
          <w:rFonts w:cs="Times New Roman"/>
        </w:rPr>
        <w:t xml:space="preserve"> as “the emission, transmission or reception of signs, signals, writing, images, sounds or intelligence of any nature by any wire, </w:t>
      </w:r>
      <w:r w:rsidRPr="00DA0977">
        <w:rPr>
          <w:rFonts w:cs="Times New Roman"/>
        </w:rPr>
        <w:lastRenderedPageBreak/>
        <w:t xml:space="preserve">cable, radio, optical or other electromagnetic system, or by any similar technical system”. </w:t>
      </w:r>
      <w:r w:rsidRPr="00DA0977">
        <w:rPr>
          <w:rFonts w:cs="Times New Roman"/>
          <w:lang w:eastAsia="en-CA"/>
        </w:rPr>
        <w:t>As an inchoate offence, child luring stands separate and apart from the designated secondary offences. Moreover, it attaches to a broad range of secondary offences, and “can be committed in various ways, under a broad array of circumstances” (</w:t>
      </w:r>
      <w:r w:rsidRPr="00DA0977">
        <w:rPr>
          <w:rFonts w:cs="Times New Roman"/>
          <w:i/>
          <w:lang w:eastAsia="en-CA"/>
        </w:rPr>
        <w:t>Morrison</w:t>
      </w:r>
      <w:r w:rsidRPr="00DA0977">
        <w:rPr>
          <w:rFonts w:cs="Times New Roman"/>
          <w:lang w:eastAsia="en-CA"/>
        </w:rPr>
        <w:t>, at para. 179, per Karakatsanis J., concurring). In the context of the luring offence, “facilitating” means “helping to bring about and making easier or more probable” (</w:t>
      </w:r>
      <w:r w:rsidRPr="00DA0977">
        <w:rPr>
          <w:rFonts w:cs="Times New Roman"/>
          <w:i/>
          <w:lang w:eastAsia="en-CA"/>
        </w:rPr>
        <w:t>Legare</w:t>
      </w:r>
      <w:r w:rsidRPr="00DA0977">
        <w:rPr>
          <w:rFonts w:cs="Times New Roman"/>
          <w:lang w:eastAsia="en-CA"/>
        </w:rPr>
        <w:t xml:space="preserve">, at para. 28 (emphasis deleted)). </w:t>
      </w:r>
    </w:p>
    <w:p w14:paraId="6470ACDB"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 xml:space="preserve">Relying on </w:t>
      </w:r>
      <w:r w:rsidRPr="00DA0977">
        <w:rPr>
          <w:rFonts w:cs="Times New Roman"/>
          <w:i/>
          <w:lang w:eastAsia="en-CA"/>
        </w:rPr>
        <w:t>Paradee</w:t>
      </w:r>
      <w:r w:rsidRPr="00DA0977">
        <w:rPr>
          <w:rFonts w:cs="Times New Roman"/>
          <w:lang w:eastAsia="en-CA"/>
        </w:rPr>
        <w:t xml:space="preserve">, the intervener the Attorney General of Alberta argues that the </w:t>
      </w:r>
      <w:r w:rsidRPr="00DA0977">
        <w:rPr>
          <w:rFonts w:cs="Times New Roman"/>
          <w:i/>
          <w:lang w:eastAsia="en-CA"/>
        </w:rPr>
        <w:t>mens rea</w:t>
      </w:r>
      <w:r w:rsidRPr="00DA0977">
        <w:rPr>
          <w:rFonts w:cs="Times New Roman"/>
          <w:lang w:eastAsia="en-CA"/>
        </w:rPr>
        <w:t xml:space="preserve"> for child luring is narrow and specific. In its view, the Crown must prove that the accused subjectively foresaw that the luring communication would facilitate an offence involving abuse of a child and that the accused acted with the intention to facilitate that goal. In </w:t>
      </w:r>
      <w:r w:rsidRPr="00DA0977">
        <w:rPr>
          <w:rFonts w:cs="Times New Roman"/>
          <w:i/>
          <w:lang w:eastAsia="en-CA"/>
        </w:rPr>
        <w:t>Paradee</w:t>
      </w:r>
      <w:r w:rsidRPr="00DA0977">
        <w:rPr>
          <w:rFonts w:cs="Times New Roman"/>
          <w:lang w:eastAsia="en-CA"/>
        </w:rPr>
        <w:t>, the Court of Appeal of Alberta stated that luring “involves pre-meditated conduct specifically designed to engage an underage person in a relationship with the offender, with the goal of reducing the inhibitions of the young person so that he or she will be prepared to engage in further conduct that is not only criminal but extremely harmful” (para. 12). Similarly, this Court has previously discussed child luring by reference to “predators lurking in cyberspace, cloaked in anonymity, using online communications as a tool for meeting and grooming children with a view to sexually exploiting them” (</w:t>
      </w:r>
      <w:r w:rsidRPr="00DA0977">
        <w:rPr>
          <w:rFonts w:cs="Times New Roman"/>
          <w:i/>
          <w:lang w:eastAsia="en-CA"/>
        </w:rPr>
        <w:t>Morrison</w:t>
      </w:r>
      <w:r w:rsidRPr="00DA0977">
        <w:rPr>
          <w:rFonts w:cs="Times New Roman"/>
          <w:lang w:eastAsia="en-CA"/>
        </w:rPr>
        <w:t>, at para. 2).</w:t>
      </w:r>
    </w:p>
    <w:p w14:paraId="51A43A7F"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lang w:eastAsia="en-CA"/>
        </w:rPr>
        <w:t xml:space="preserve">However, common characteristics of an offence should not be conflated with its essential elements. </w:t>
      </w:r>
      <w:r w:rsidRPr="00DA0977">
        <w:rPr>
          <w:rFonts w:cs="Times New Roman"/>
        </w:rPr>
        <w:t xml:space="preserve">While the luring offence certainly captures the mental states </w:t>
      </w:r>
      <w:r w:rsidRPr="00DA0977">
        <w:rPr>
          <w:rFonts w:cs="Times New Roman"/>
        </w:rPr>
        <w:lastRenderedPageBreak/>
        <w:t xml:space="preserve">described in </w:t>
      </w:r>
      <w:r w:rsidRPr="00DA0977">
        <w:rPr>
          <w:rFonts w:cs="Times New Roman"/>
          <w:i/>
        </w:rPr>
        <w:t>Paradee</w:t>
      </w:r>
      <w:r w:rsidRPr="00DA0977">
        <w:rPr>
          <w:rFonts w:cs="Times New Roman"/>
        </w:rPr>
        <w:t xml:space="preserve">, they are not part of its requisite </w:t>
      </w:r>
      <w:r w:rsidRPr="00DA0977">
        <w:rPr>
          <w:rFonts w:cs="Times New Roman"/>
          <w:i/>
        </w:rPr>
        <w:t>mens rea</w:t>
      </w:r>
      <w:r w:rsidRPr="00DA0977">
        <w:rPr>
          <w:rFonts w:cs="Times New Roman"/>
        </w:rPr>
        <w:t xml:space="preserve">. Pre-meditation or planning may not always be present where the elements of child luring are made out. An accused may impulsively communicate in a sexual manner — and </w:t>
      </w:r>
      <w:r w:rsidRPr="00DA0977">
        <w:rPr>
          <w:rFonts w:cs="Times New Roman"/>
          <w:i/>
        </w:rPr>
        <w:t>in that moment</w:t>
      </w:r>
      <w:r w:rsidRPr="00DA0977">
        <w:rPr>
          <w:rFonts w:cs="Times New Roman"/>
        </w:rPr>
        <w:t xml:space="preserve"> have the specific intent required to ground a conviction for child luring — without having taken time beforehand to plan, contemplate, or prepare to execute a secondary offence. Neither does “grooming” necessarily accompany the commission of the child luring offence. Evidence of grooming may often be present where child luring is made out, but it is not a required element.</w:t>
      </w:r>
    </w:p>
    <w:p w14:paraId="24650B48"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 xml:space="preserve">In this way, the specific intent element </w:t>
      </w:r>
      <w:r w:rsidRPr="00DA0977">
        <w:rPr>
          <w:rFonts w:cs="Times New Roman"/>
        </w:rPr>
        <w:t>—</w:t>
      </w:r>
      <w:r w:rsidRPr="00DA0977">
        <w:rPr>
          <w:rFonts w:cs="Times New Roman"/>
          <w:lang w:eastAsia="en-CA"/>
        </w:rPr>
        <w:t xml:space="preserve"> that the accused must communicate with the purpose of facilitating a designated offence </w:t>
      </w:r>
      <w:r w:rsidRPr="00DA0977">
        <w:rPr>
          <w:rFonts w:cs="Times New Roman"/>
        </w:rPr>
        <w:t>—</w:t>
      </w:r>
      <w:r w:rsidRPr="00DA0977">
        <w:rPr>
          <w:rFonts w:cs="Times New Roman"/>
          <w:lang w:eastAsia="en-CA"/>
        </w:rPr>
        <w:t xml:space="preserve"> is not narrow but broad. Section 172.1(1) captures a wide range of designated illicit purposes with varying degrees of moral culpability. For example, the jurisprudence demonstrates that offenders with developmental disabilities, though less morally blameworthy, are often convicted of child luring (</w:t>
      </w:r>
      <w:r w:rsidRPr="00DA0977">
        <w:rPr>
          <w:rFonts w:cs="Times New Roman"/>
          <w:i/>
          <w:lang w:eastAsia="en-CA"/>
        </w:rPr>
        <w:t>Melrose</w:t>
      </w:r>
      <w:r w:rsidRPr="00DA0977">
        <w:rPr>
          <w:rFonts w:cs="Times New Roman"/>
          <w:lang w:eastAsia="en-CA"/>
        </w:rPr>
        <w:t xml:space="preserve">; </w:t>
      </w:r>
      <w:r w:rsidRPr="00DA0977">
        <w:rPr>
          <w:rFonts w:cs="Times New Roman"/>
          <w:i/>
          <w:lang w:eastAsia="en-CA"/>
        </w:rPr>
        <w:t>Deren</w:t>
      </w:r>
      <w:r w:rsidRPr="00DA0977">
        <w:rPr>
          <w:rFonts w:cs="Times New Roman"/>
          <w:lang w:eastAsia="en-CA"/>
        </w:rPr>
        <w:t xml:space="preserve">; </w:t>
      </w:r>
      <w:r w:rsidRPr="00DA0977">
        <w:rPr>
          <w:rFonts w:cs="Times New Roman"/>
          <w:i/>
          <w:lang w:eastAsia="en-CA"/>
        </w:rPr>
        <w:t>R. v. S. (S.)</w:t>
      </w:r>
      <w:r w:rsidRPr="00DA0977">
        <w:rPr>
          <w:rFonts w:cs="Times New Roman"/>
          <w:lang w:eastAsia="en-CA"/>
        </w:rPr>
        <w:t xml:space="preserve">, 2014 ONCJ 184, 307 C.R.R. (2d) 147). In </w:t>
      </w:r>
      <w:r w:rsidRPr="00DA0977">
        <w:rPr>
          <w:rFonts w:cs="Times New Roman"/>
          <w:i/>
          <w:lang w:eastAsia="en-CA"/>
        </w:rPr>
        <w:t>Morrison</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Justice Karakatsanis noted that s. 172.1(2)(a) is vulnerable to constitutional challenge because “[t]he range of conduct that constitutes an offence under this section is extremely broad” (para. 181). </w:t>
      </w:r>
    </w:p>
    <w:p w14:paraId="536E8745"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 xml:space="preserve">As mentioned above, the luring offence is triggered by the use of </w:t>
      </w:r>
      <w:r w:rsidRPr="00DA0977">
        <w:rPr>
          <w:rFonts w:cs="Times New Roman"/>
          <w:i/>
          <w:lang w:eastAsia="en-CA"/>
        </w:rPr>
        <w:t>any</w:t>
      </w:r>
      <w:r w:rsidRPr="00DA0977">
        <w:rPr>
          <w:rFonts w:cs="Times New Roman"/>
          <w:lang w:eastAsia="en-CA"/>
        </w:rPr>
        <w:t xml:space="preserve"> telecommunication platform. This includes any and all internet platforms, be it Facebook, Instagram, TikTok, Snapchat, Twitch, Hinge, Tinder or other popular messaging, streaming or dating applications. Not only does this demonstrate the </w:t>
      </w:r>
      <w:r w:rsidRPr="00DA0977">
        <w:rPr>
          <w:rFonts w:cs="Times New Roman"/>
          <w:lang w:eastAsia="en-CA"/>
        </w:rPr>
        <w:lastRenderedPageBreak/>
        <w:t xml:space="preserve">massive breadth of the luring offence, it also raises the issue of the medium and its effect on the message. For example, certain online applications require users to indicate they are the age of the majority and old enough to be present on the platform. However, this requirement can be bypassed by underage users with the click of a button. Or, as was the case in </w:t>
      </w:r>
      <w:r w:rsidRPr="00DA0977">
        <w:rPr>
          <w:rFonts w:cs="Times New Roman"/>
          <w:i/>
          <w:lang w:eastAsia="en-CA"/>
        </w:rPr>
        <w:t>Koenig</w:t>
      </w:r>
      <w:r w:rsidRPr="00DA0977">
        <w:rPr>
          <w:rFonts w:cs="Times New Roman"/>
          <w:lang w:eastAsia="en-CA"/>
        </w:rPr>
        <w:t>, adult users who use internet sites not designed for predatory purposes may wrongfully engage in conversation with a minor that constitutes luring without making best efforts to verify the age of other users they engage with online.</w:t>
      </w:r>
    </w:p>
    <w:p w14:paraId="52485229"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 xml:space="preserve">This is not to say that individuals who engage sexually with children online are not morally blameworthy. However, in certain cases the impugned conduct may not rightly attract jail time. In </w:t>
      </w:r>
      <w:r w:rsidRPr="00DA0977">
        <w:rPr>
          <w:rFonts w:cs="Times New Roman"/>
          <w:i/>
          <w:lang w:eastAsia="en-CA"/>
        </w:rPr>
        <w:t>Koenig</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Justice Skilnick noted that “the Accused is not the typical offender that Parliament had in mind when it passed its legislation. He did not seek out or attempt to “lure” a child, and in fact his communications were on a website that does not allow the user to pick the person he is communicating with” (para. 5 (CanLII)). </w:t>
      </w:r>
    </w:p>
    <w:p w14:paraId="3B84BE8B"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 xml:space="preserve">The child luring offence also, rightly, punishes both offenders who communicate with actual children and offenders who ultimately communicate with police officers posing as children through sting operations. In </w:t>
      </w:r>
      <w:r w:rsidRPr="00DA0977">
        <w:rPr>
          <w:rFonts w:cs="Times New Roman"/>
          <w:i/>
          <w:lang w:eastAsia="en-CA"/>
        </w:rPr>
        <w:t>Friesen</w:t>
      </w:r>
      <w:r w:rsidRPr="00DA0977">
        <w:rPr>
          <w:rFonts w:cs="Times New Roman"/>
          <w:lang w:eastAsia="en-CA"/>
        </w:rPr>
        <w:t>,</w:t>
      </w:r>
      <w:r w:rsidRPr="00DA0977">
        <w:rPr>
          <w:rFonts w:cs="Times New Roman"/>
          <w:i/>
          <w:lang w:eastAsia="en-CA"/>
        </w:rPr>
        <w:t xml:space="preserve"> </w:t>
      </w:r>
      <w:r w:rsidRPr="00DA0977">
        <w:rPr>
          <w:rFonts w:cs="Times New Roman"/>
          <w:lang w:eastAsia="en-CA"/>
        </w:rPr>
        <w:t>this Court noted that though the absence of a specific child victim should not be overemphasized in setting a fit sentence, it remains relevant to the proportionality analysis (para. 93). In this way, this Court acknowledged a material difference between the two main ways child luring may be committed: where the offender</w:t>
      </w:r>
      <w:r w:rsidRPr="00DA0977">
        <w:rPr>
          <w:rFonts w:cs="Times New Roman"/>
        </w:rPr>
        <w:t xml:space="preserve"> is actually communicating with an </w:t>
      </w:r>
      <w:r w:rsidRPr="00DA0977">
        <w:rPr>
          <w:rFonts w:cs="Times New Roman"/>
        </w:rPr>
        <w:lastRenderedPageBreak/>
        <w:t xml:space="preserve">underage person versus where the offender is under the impression he is communicating with someone underage but in actuality is communicating with law enforcement. </w:t>
      </w:r>
      <w:r w:rsidRPr="00DA0977">
        <w:rPr>
          <w:rFonts w:cs="Times New Roman"/>
          <w:lang w:eastAsia="en-CA"/>
        </w:rPr>
        <w:t>This further demonstrates the provision’s breadth.</w:t>
      </w:r>
    </w:p>
    <w:p w14:paraId="6E8EB78E" w14:textId="77777777" w:rsidR="00DA0977" w:rsidRPr="00DA0977" w:rsidRDefault="00DA0977" w:rsidP="00DA0977">
      <w:pPr>
        <w:pStyle w:val="ParaNoNdepar-AltN"/>
        <w:tabs>
          <w:tab w:val="clear" w:pos="7107"/>
          <w:tab w:val="num" w:pos="1152"/>
        </w:tabs>
        <w:ind w:left="0"/>
        <w:rPr>
          <w:lang w:eastAsia="en-CA"/>
        </w:rPr>
      </w:pPr>
      <w:r w:rsidRPr="00DA0977">
        <w:rPr>
          <w:lang w:eastAsia="en-CA"/>
        </w:rPr>
        <w:t xml:space="preserve">The range of conduct captured is staggering. Notably, the offender need not actually commit any secondary offence. He need only communicate with an underage person for the purpose of facilitating one of the </w:t>
      </w:r>
      <w:r w:rsidRPr="00DA0977">
        <w:rPr>
          <w:i/>
          <w:lang w:eastAsia="en-CA"/>
        </w:rPr>
        <w:t xml:space="preserve">twenty </w:t>
      </w:r>
      <w:r w:rsidRPr="00DA0977">
        <w:rPr>
          <w:lang w:eastAsia="en-CA"/>
        </w:rPr>
        <w:t xml:space="preserve">secondary offences including: sexual exploitation (s. 153(1)), incest (s. 155), child pornography (s. 163.1), procuring sexual activity (parent or guardian) (s. 170), permitting prohibited sexual activity (householder) (s. 171), trafficking of </w:t>
      </w:r>
      <w:r w:rsidRPr="00DA0977">
        <w:rPr>
          <w:rFonts w:cs="Times New Roman"/>
          <w:lang w:eastAsia="en-CA"/>
        </w:rPr>
        <w:t xml:space="preserve">persons under 18 </w:t>
      </w:r>
      <w:r w:rsidRPr="00DA0977">
        <w:rPr>
          <w:lang w:eastAsia="en-CA"/>
        </w:rPr>
        <w:t xml:space="preserve">(s. 279.011), receiving benefit from the trafficking of </w:t>
      </w:r>
      <w:r w:rsidRPr="00DA0977">
        <w:rPr>
          <w:rFonts w:cs="Times New Roman"/>
          <w:lang w:eastAsia="en-CA"/>
        </w:rPr>
        <w:t xml:space="preserve">persons under 18 </w:t>
      </w:r>
      <w:r w:rsidRPr="00DA0977">
        <w:rPr>
          <w:lang w:eastAsia="en-CA"/>
        </w:rPr>
        <w:t xml:space="preserve">(s. 279.02(2)), withholding or destroying travel documents in service of trafficking </w:t>
      </w:r>
      <w:r w:rsidRPr="00DA0977">
        <w:rPr>
          <w:rFonts w:cs="Times New Roman"/>
          <w:lang w:eastAsia="en-CA"/>
        </w:rPr>
        <w:t xml:space="preserve">persons under 18 </w:t>
      </w:r>
      <w:r w:rsidRPr="00DA0977">
        <w:rPr>
          <w:lang w:eastAsia="en-CA"/>
        </w:rPr>
        <w:t xml:space="preserve">(s. 279.03(2)), obtaining sexual services for consideration from a </w:t>
      </w:r>
      <w:r w:rsidRPr="00DA0977">
        <w:rPr>
          <w:rFonts w:cs="Times New Roman"/>
          <w:lang w:eastAsia="en-CA"/>
        </w:rPr>
        <w:t xml:space="preserve">person under 18 </w:t>
      </w:r>
      <w:r w:rsidRPr="00DA0977">
        <w:rPr>
          <w:lang w:eastAsia="en-CA"/>
        </w:rPr>
        <w:t xml:space="preserve">(s. 286.1(2)), receiving materials benefit from the sexual services provided by a person under 18 (s. 286.2(2)), procuring a </w:t>
      </w:r>
      <w:r w:rsidRPr="00DA0977">
        <w:rPr>
          <w:rFonts w:cs="Times New Roman"/>
          <w:lang w:eastAsia="en-CA"/>
        </w:rPr>
        <w:t xml:space="preserve">person under 18 </w:t>
      </w:r>
      <w:r w:rsidRPr="00DA0977">
        <w:rPr>
          <w:lang w:eastAsia="en-CA"/>
        </w:rPr>
        <w:t xml:space="preserve">to provide sexual services (s. 286.3(2)), sexual interference (s. 151), invitation to sexual touching of a </w:t>
      </w:r>
      <w:r w:rsidRPr="00DA0977">
        <w:rPr>
          <w:rFonts w:cs="Times New Roman"/>
          <w:lang w:eastAsia="en-CA"/>
        </w:rPr>
        <w:t xml:space="preserve">person under 18 </w:t>
      </w:r>
      <w:r w:rsidRPr="00DA0977">
        <w:rPr>
          <w:lang w:eastAsia="en-CA"/>
        </w:rPr>
        <w:t xml:space="preserve">(s. 152), bestiality in the presence of or by a child (s. 160(3)), exposure to a person under 16 (s. 173(2)), sexual assault of a person under 16 (s. 271), sexual assault with a weapon of a person under 16 (s. 272), aggravated sexual assault of a person under 16 (s. 273), abduction of a person under 16 (s. 280), and abduction of a person under 14 (s. 281). In turn, while all of the secondary offences have the potential to cause devastating harm to victims and typically warrant harsh sentences, those offences are, amongst themselves, of varying degrees of seriousness, and the scope of several of them is </w:t>
      </w:r>
      <w:r w:rsidRPr="00DA0977">
        <w:rPr>
          <w:i/>
          <w:lang w:eastAsia="en-CA"/>
        </w:rPr>
        <w:t>also</w:t>
      </w:r>
      <w:r w:rsidRPr="00DA0977">
        <w:rPr>
          <w:lang w:eastAsia="en-CA"/>
        </w:rPr>
        <w:t xml:space="preserve"> </w:t>
      </w:r>
      <w:r w:rsidRPr="00DA0977">
        <w:rPr>
          <w:lang w:eastAsia="en-CA"/>
        </w:rPr>
        <w:lastRenderedPageBreak/>
        <w:t>wide. These features of the luring offence further threaten the constitutionality of its mandatory penalties.</w:t>
      </w:r>
    </w:p>
    <w:p w14:paraId="7424B35A"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Lower courts have increasingly noted that the luring offence applies to a wide range of conduct and captures varying degrees of moral blameworthiness (</w:t>
      </w:r>
      <w:r w:rsidRPr="00DA0977">
        <w:rPr>
          <w:rFonts w:cs="Times New Roman"/>
          <w:i/>
          <w:lang w:eastAsia="en-CA"/>
        </w:rPr>
        <w:t>R. v. Saffari</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2019 ONCJ 861, at para. 88 (CanLII); </w:t>
      </w:r>
      <w:r w:rsidRPr="00DA0977">
        <w:rPr>
          <w:rFonts w:cs="Times New Roman"/>
          <w:i/>
          <w:lang w:eastAsia="en-CA"/>
        </w:rPr>
        <w:t>Sutherland</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at para. 47). This was also previously recognized by Justice Karakatsanis in her concurring reasons in </w:t>
      </w:r>
      <w:r w:rsidRPr="00DA0977">
        <w:rPr>
          <w:rFonts w:cs="Times New Roman"/>
          <w:i/>
          <w:lang w:eastAsia="en-CA"/>
        </w:rPr>
        <w:t>Morrison</w:t>
      </w:r>
      <w:r w:rsidRPr="00DA0977">
        <w:rPr>
          <w:rFonts w:cs="Times New Roman"/>
          <w:lang w:eastAsia="en-CA"/>
        </w:rPr>
        <w:t xml:space="preserve">. There, Justice Karakatsanis explained that the purpose of the luring can vary: offenders might use the internet to “target children for the purpose of physically exploiting them” or offenders might have “no intention of meeting their victims in person” (para. 182). Similarly, the duration of the communications can vary: some cases may involve “extended dialogue with the victim in order to ‘groom’ him or her” but other cases might involve “a short series of messages lasting only a few minutes” or even “a single text” (para. 182). Finally, she noted that the communications could be between the offender and an actual child, or between an offender and a police officer conducting a sting operation. Justice Karakatsanis aptly noted that this range of conduct and of moral blameworthiness “may impact the level of harm caused by the offence, thereby informing what constitutes a fit and proportionate sentence” (para. 182). </w:t>
      </w:r>
    </w:p>
    <w:p w14:paraId="3F016BC5"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An examination of the jurisprudence offers additional insight into the range of moral blameworthiness foreseeably captured by s. 172.1. For example, the offender in</w:t>
      </w:r>
      <w:r w:rsidRPr="00DA0977">
        <w:rPr>
          <w:rFonts w:cs="Times New Roman"/>
          <w:i/>
          <w:lang w:eastAsia="en-CA"/>
        </w:rPr>
        <w:t xml:space="preserve"> Melrose</w:t>
      </w:r>
      <w:r w:rsidRPr="00DA0977">
        <w:rPr>
          <w:rFonts w:cs="Times New Roman"/>
          <w:lang w:eastAsia="en-CA"/>
        </w:rPr>
        <w:t xml:space="preserve">, who pleaded guilty to offences including luring, was a developmentally delayed adult aged 27 with an IQ that corresponded to the mental age of around a </w:t>
      </w:r>
      <w:r w:rsidRPr="00DA0977">
        <w:rPr>
          <w:rFonts w:cs="Times New Roman"/>
          <w:lang w:eastAsia="en-CA"/>
        </w:rPr>
        <w:lastRenderedPageBreak/>
        <w:t>9</w:t>
      </w:r>
      <w:r w:rsidRPr="00DA0977">
        <w:rPr>
          <w:rFonts w:cs="Times New Roman"/>
          <w:lang w:eastAsia="en-CA"/>
        </w:rPr>
        <w:noBreakHyphen/>
        <w:t>year</w:t>
      </w:r>
      <w:r w:rsidRPr="00DA0977">
        <w:rPr>
          <w:rFonts w:cs="Times New Roman"/>
          <w:lang w:eastAsia="en-CA"/>
        </w:rPr>
        <w:noBreakHyphen/>
        <w:t xml:space="preserve">old (para. 132). The victim was 13. The sentencing judge, Justice Renke, found that the offender’s mental age was below the victim’s chronological age. The evidence revealed that Mr. Melrose was unable to anticipate the long-term consequences of his actions and the effect his actions may have on the underage victim (para. 145). The sentencing judge found that the offender “did not understand the types of harms risked by his conduct” and reasoned that Mr. Melrose’s cognitive difficulties greatly reduced the offender’s moral blameworthiness (paras. 229-32). Justice Renke noted that luring’s requirement that the offender attempt to “facilitate” a secondary offence “runs the gamut from the impulsive (albeit still intentional) to the carefully calculated” (para. 331). Because proof of facilitation does not necessarily include proof of complex planning, the luring offence can capture conduct that is bereft of sophistication or considered intention. In the result, the </w:t>
      </w:r>
      <w:r w:rsidRPr="00DA0977">
        <w:rPr>
          <w:rFonts w:cs="Times New Roman"/>
          <w:i/>
          <w:lang w:eastAsia="en-CA"/>
        </w:rPr>
        <w:t xml:space="preserve">mens rea </w:t>
      </w:r>
      <w:r w:rsidRPr="00DA0977">
        <w:rPr>
          <w:rFonts w:cs="Times New Roman"/>
          <w:lang w:eastAsia="en-CA"/>
        </w:rPr>
        <w:t>of the offence does not necessitate a high degree of moral blameworthiness and instead captures a broad range of culpable conduct.</w:t>
      </w:r>
    </w:p>
    <w:p w14:paraId="349049F2"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 xml:space="preserve">Despite this breadth, the distinct harm of luring will, in many cases, rightly attract a term of imprisonment that falls within the range of the mandatory minimum sentence. This is because in many cases the gravity of the offence is high: the harms are distinct and the conduct is inherently wrongful. As set out in </w:t>
      </w:r>
      <w:r w:rsidRPr="00DA0977">
        <w:rPr>
          <w:rFonts w:cs="Times New Roman"/>
          <w:i/>
          <w:lang w:eastAsia="en-CA"/>
        </w:rPr>
        <w:t xml:space="preserve">Friesen </w:t>
      </w:r>
      <w:r w:rsidRPr="00DA0977">
        <w:rPr>
          <w:rFonts w:cs="Times New Roman"/>
          <w:lang w:eastAsia="en-CA"/>
        </w:rPr>
        <w:t xml:space="preserve">and reiterated above, luring involves </w:t>
      </w:r>
      <w:r w:rsidRPr="00DA0977">
        <w:rPr>
          <w:rFonts w:cs="Times New Roman"/>
        </w:rPr>
        <w:t xml:space="preserve">sexual violence, carried out via the internet, and can cause pervasive and permanent serious psychological harm to victims (paras. 56-58 and 82). </w:t>
      </w:r>
      <w:r w:rsidRPr="00DA0977">
        <w:rPr>
          <w:rFonts w:cs="Times New Roman"/>
          <w:lang w:eastAsia="en-CA"/>
        </w:rPr>
        <w:t xml:space="preserve">Despite the inherent gravity of the offence, the Court in </w:t>
      </w:r>
      <w:r w:rsidRPr="00DA0977">
        <w:rPr>
          <w:rFonts w:cs="Times New Roman"/>
          <w:i/>
          <w:lang w:eastAsia="en-CA"/>
        </w:rPr>
        <w:t xml:space="preserve">Friesen </w:t>
      </w:r>
      <w:r w:rsidRPr="00DA0977">
        <w:rPr>
          <w:rFonts w:cs="Times New Roman"/>
          <w:lang w:eastAsia="en-CA"/>
        </w:rPr>
        <w:t xml:space="preserve">directed that factors that reduce the offender’s moral culpability remain relevant. Chief Justice Wagner and </w:t>
      </w:r>
      <w:r w:rsidRPr="00DA0977">
        <w:rPr>
          <w:rFonts w:cs="Times New Roman"/>
          <w:lang w:eastAsia="en-CA"/>
        </w:rPr>
        <w:lastRenderedPageBreak/>
        <w:t xml:space="preserve">Justice Rowe, writing for a unanimous Court, acknowledged that in the case of sexual assault and sexual interference committed against children, these are “broadly-defined offences that embrace a wide spectrum of conduct” so, as a result, “the offender’s conduct will be less morally blameworthy in some cases than in others” (para. 91). The impugned offence typifies this reality. The incredible breadth of offending conduct is not reflected in the rigidity of the mandatory minimum sentence. While Parliament must be afforded deference in crafting sentencing provisions, s. 12 of the </w:t>
      </w:r>
      <w:r w:rsidRPr="00DA0977">
        <w:rPr>
          <w:rFonts w:cs="Times New Roman"/>
          <w:i/>
          <w:lang w:eastAsia="en-CA"/>
        </w:rPr>
        <w:t xml:space="preserve">Charter </w:t>
      </w:r>
      <w:r w:rsidRPr="00DA0977">
        <w:rPr>
          <w:rFonts w:cs="Times New Roman"/>
          <w:lang w:eastAsia="en-CA"/>
        </w:rPr>
        <w:t>imposes certain constitutional limits (</w:t>
      </w:r>
      <w:r w:rsidRPr="00DA0977">
        <w:rPr>
          <w:rFonts w:cs="Times New Roman"/>
          <w:i/>
          <w:lang w:eastAsia="en-CA"/>
        </w:rPr>
        <w:t>Hills</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at para. 140). </w:t>
      </w:r>
    </w:p>
    <w:p w14:paraId="1E71998A" w14:textId="77777777" w:rsidR="00DA0977" w:rsidRPr="00DA0977" w:rsidRDefault="00DA0977" w:rsidP="00DA0977">
      <w:pPr>
        <w:pStyle w:val="Title3LevelTitre3Niveau"/>
        <w:numPr>
          <w:ilvl w:val="2"/>
          <w:numId w:val="27"/>
        </w:numPr>
        <w:rPr>
          <w:rFonts w:cs="Times New Roman"/>
          <w:lang w:eastAsia="en-CA"/>
        </w:rPr>
      </w:pPr>
      <w:bookmarkStart w:id="234" w:name="_Toc132286915"/>
      <w:bookmarkStart w:id="235" w:name="_Toc135041594"/>
      <w:bookmarkStart w:id="236" w:name="_Toc135322953"/>
      <w:bookmarkStart w:id="237" w:name="_Toc137199887"/>
      <w:bookmarkStart w:id="238" w:name="_Toc140674002"/>
      <w:bookmarkStart w:id="239" w:name="_Toc141096947"/>
      <w:bookmarkStart w:id="240" w:name="_Toc141694567"/>
      <w:bookmarkStart w:id="241" w:name="_Toc146612973"/>
      <w:r w:rsidRPr="00DA0977">
        <w:rPr>
          <w:rFonts w:cs="Times New Roman"/>
          <w:lang w:eastAsia="en-CA"/>
        </w:rPr>
        <w:t>The Effect of the Punishment on the Offender</w:t>
      </w:r>
      <w:bookmarkEnd w:id="234"/>
      <w:bookmarkEnd w:id="235"/>
      <w:r w:rsidRPr="00DA0977">
        <w:rPr>
          <w:rFonts w:cs="Times New Roman"/>
          <w:lang w:eastAsia="en-CA"/>
        </w:rPr>
        <w:t>s</w:t>
      </w:r>
      <w:bookmarkEnd w:id="236"/>
      <w:bookmarkEnd w:id="237"/>
      <w:bookmarkEnd w:id="238"/>
      <w:bookmarkEnd w:id="239"/>
      <w:bookmarkEnd w:id="240"/>
      <w:bookmarkEnd w:id="241"/>
    </w:p>
    <w:p w14:paraId="071C07B2"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 xml:space="preserve">The effect of the punishment on both representative offenders in this case is harsh. This Court directed in </w:t>
      </w:r>
      <w:r w:rsidRPr="00DA0977">
        <w:rPr>
          <w:rFonts w:cs="Times New Roman"/>
          <w:i/>
          <w:lang w:eastAsia="en-CA"/>
        </w:rPr>
        <w:t xml:space="preserve">Hills </w:t>
      </w:r>
      <w:r w:rsidRPr="00DA0977">
        <w:rPr>
          <w:rFonts w:cs="Times New Roman"/>
          <w:lang w:eastAsia="en-CA"/>
        </w:rPr>
        <w:t xml:space="preserve">that the gross disproportionality analysis must include consideration of what material effects the mandatory minimum may have on offenders subject to it (para. 133). Courts must examine the particular characteristics of the individual offender before them or consider the qualities of the reasonably foreseeable offender, and then evaluate what harm may result from the impugned punishment. In the instant scenarios, the mandatory minimum punishment is alternatively 12 months’ or 6 months’ incarceration. </w:t>
      </w:r>
    </w:p>
    <w:p w14:paraId="595FF2DB" w14:textId="77777777" w:rsidR="00DA0977" w:rsidRPr="00DA0977" w:rsidRDefault="00DA0977" w:rsidP="00DA0977">
      <w:pPr>
        <w:pStyle w:val="Title4LevelTitre4Niveau"/>
        <w:numPr>
          <w:ilvl w:val="3"/>
          <w:numId w:val="29"/>
        </w:numPr>
        <w:rPr>
          <w:rFonts w:cs="Times New Roman"/>
          <w:lang w:eastAsia="en-CA"/>
        </w:rPr>
      </w:pPr>
      <w:bookmarkStart w:id="242" w:name="_Toc135322954"/>
      <w:bookmarkStart w:id="243" w:name="_Toc137199888"/>
      <w:bookmarkStart w:id="244" w:name="_Toc140674003"/>
      <w:bookmarkStart w:id="245" w:name="_Toc141096948"/>
      <w:bookmarkStart w:id="246" w:name="_Toc141694568"/>
      <w:bookmarkStart w:id="247" w:name="_Toc146612974"/>
      <w:r w:rsidRPr="00DA0977">
        <w:rPr>
          <w:rFonts w:cs="Times New Roman"/>
          <w:lang w:eastAsia="en-CA"/>
        </w:rPr>
        <w:t>The First Representative Offender</w:t>
      </w:r>
      <w:bookmarkEnd w:id="242"/>
      <w:bookmarkEnd w:id="243"/>
      <w:bookmarkEnd w:id="244"/>
      <w:bookmarkEnd w:id="245"/>
      <w:bookmarkEnd w:id="246"/>
      <w:bookmarkEnd w:id="247"/>
    </w:p>
    <w:p w14:paraId="50F4A86E"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Evidence that imprisonment would have significant deleterious effects on an offender should be considered at this stage (</w:t>
      </w:r>
      <w:r w:rsidRPr="00DA0977">
        <w:rPr>
          <w:rFonts w:cs="Times New Roman"/>
          <w:i/>
          <w:lang w:eastAsia="en-CA"/>
        </w:rPr>
        <w:t>Hills</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at paras. 133-35). The </w:t>
      </w:r>
      <w:r w:rsidRPr="00DA0977">
        <w:rPr>
          <w:rFonts w:cs="Times New Roman"/>
          <w:lang w:eastAsia="en-CA"/>
        </w:rPr>
        <w:lastRenderedPageBreak/>
        <w:t xml:space="preserve">representative offender in the first scenario was diagnosed with bipolar disorder and her symptoms mirrored that of the actual offender described in </w:t>
      </w:r>
      <w:r w:rsidRPr="00DA0977">
        <w:rPr>
          <w:rFonts w:cs="Times New Roman"/>
          <w:i/>
          <w:lang w:eastAsia="en-CA"/>
        </w:rPr>
        <w:t>Hood</w:t>
      </w:r>
      <w:r w:rsidRPr="00DA0977">
        <w:rPr>
          <w:rFonts w:cs="Times New Roman"/>
          <w:lang w:eastAsia="en-CA"/>
        </w:rPr>
        <w:t xml:space="preserve">. In certain circumstances, courts have found extended periods of incarceration served in custody inappropriate for individuals with bipolar disorder and have instead ordered offenders to seek psychiatric care, attend treatment programs and/or serve their sentences in community in lieu of a custodial sentence (see </w:t>
      </w:r>
      <w:r w:rsidRPr="00DA0977">
        <w:rPr>
          <w:rFonts w:cs="Times New Roman"/>
          <w:i/>
          <w:lang w:eastAsia="en-CA"/>
        </w:rPr>
        <w:t>R. v. Dickson</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2007 BCCA 561, 228 C.C.C. (3d) 450; </w:t>
      </w:r>
      <w:r w:rsidRPr="00DA0977">
        <w:rPr>
          <w:rFonts w:cs="Times New Roman"/>
          <w:i/>
          <w:lang w:eastAsia="en-CA"/>
        </w:rPr>
        <w:t>R. v. Shevchenko</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2018 ABCA 31, at paras. 60-63 (CanLII); </w:t>
      </w:r>
      <w:r w:rsidRPr="00DA0977">
        <w:rPr>
          <w:rFonts w:cs="Times New Roman"/>
          <w:i/>
          <w:lang w:eastAsia="en-CA"/>
        </w:rPr>
        <w:t>R. v. Vivian</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2001 ABQB 468, 289 A.R. 378, at para. 16; </w:t>
      </w:r>
      <w:r w:rsidRPr="00DA0977">
        <w:rPr>
          <w:rFonts w:cs="Times New Roman"/>
          <w:i/>
          <w:lang w:eastAsia="en-CA"/>
        </w:rPr>
        <w:t>R. v. Sulek</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2011 ABPC 314, 21 M.V.R. (6th) 336; </w:t>
      </w:r>
      <w:r w:rsidRPr="00DA0977">
        <w:rPr>
          <w:rFonts w:cs="Times New Roman"/>
          <w:i/>
          <w:lang w:eastAsia="en-CA"/>
        </w:rPr>
        <w:t>R. v. Legg</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2014 ABPC 238, 26 Alta. L.R. (6th) 181, at para. 28). </w:t>
      </w:r>
    </w:p>
    <w:p w14:paraId="54EE5AE0" w14:textId="77777777" w:rsidR="00DA0977" w:rsidRPr="00DA0977" w:rsidRDefault="00DA0977" w:rsidP="00DA0977">
      <w:pPr>
        <w:pStyle w:val="ParaNoNdepar-AltN"/>
        <w:tabs>
          <w:tab w:val="clear" w:pos="7107"/>
          <w:tab w:val="num" w:pos="1152"/>
        </w:tabs>
        <w:ind w:left="0"/>
        <w:rPr>
          <w:lang w:eastAsia="en-CA"/>
        </w:rPr>
      </w:pPr>
      <w:r w:rsidRPr="00DA0977">
        <w:rPr>
          <w:lang w:eastAsia="en-CA"/>
        </w:rPr>
        <w:t xml:space="preserve">The Office of the Correctional Investigator has accepted that the conditions of confinement can be disproportionately harsh on individuals with mental disorders. The carceral setting can induce or augment disordered symptoms and, in turn, these symptoms may be met with security-driven interventions that exacerbate mental health issues in offenders (see, e.g., Office of the Correctional Investigator, </w:t>
      </w:r>
      <w:r w:rsidRPr="00DA0977">
        <w:rPr>
          <w:i/>
          <w:lang w:eastAsia="en-CA"/>
        </w:rPr>
        <w:t xml:space="preserve">Annual Report 2021-2022 </w:t>
      </w:r>
      <w:r w:rsidRPr="00DA0977">
        <w:rPr>
          <w:lang w:eastAsia="en-CA"/>
        </w:rPr>
        <w:t xml:space="preserve">(2022), at p. 25; Office of the Correctional Investigator, </w:t>
      </w:r>
      <w:r w:rsidRPr="00DA0977">
        <w:rPr>
          <w:i/>
          <w:lang w:eastAsia="en-CA"/>
        </w:rPr>
        <w:t>A Legacy of Missed Opportunities: The Case of Ashley Smith</w:t>
      </w:r>
      <w:r w:rsidRPr="00DA0977">
        <w:rPr>
          <w:lang w:eastAsia="en-CA"/>
        </w:rPr>
        <w:t>,</w:t>
      </w:r>
      <w:r w:rsidRPr="00DA0977">
        <w:rPr>
          <w:i/>
          <w:lang w:eastAsia="en-CA"/>
        </w:rPr>
        <w:t xml:space="preserve"> </w:t>
      </w:r>
      <w:r w:rsidRPr="00DA0977">
        <w:rPr>
          <w:lang w:eastAsia="en-CA"/>
        </w:rPr>
        <w:t xml:space="preserve">November 23, 2011 (online)). Further, prisoners in certain federal institutions may wait up to 12 months before gaining access to mental health services (see </w:t>
      </w:r>
      <w:r w:rsidRPr="00DA0977">
        <w:rPr>
          <w:i/>
          <w:lang w:eastAsia="en-CA"/>
        </w:rPr>
        <w:t>Annual Report 2021-2022</w:t>
      </w:r>
      <w:r w:rsidRPr="00DA0977">
        <w:rPr>
          <w:lang w:eastAsia="en-CA"/>
        </w:rPr>
        <w:t xml:space="preserve">, at p. 14). In </w:t>
      </w:r>
      <w:r w:rsidRPr="00DA0977">
        <w:rPr>
          <w:i/>
          <w:lang w:eastAsia="en-CA"/>
        </w:rPr>
        <w:t>Ayorech</w:t>
      </w:r>
      <w:r w:rsidRPr="00DA0977">
        <w:rPr>
          <w:lang w:eastAsia="en-CA"/>
        </w:rPr>
        <w:t xml:space="preserve">, the offender was diagnosed with schizophrenia and a developmental disorder. The Court of Appeal found that Mr. Ayorech’s mental disorders left him vulnerable in an institutional setting and accepted the expert witness’ conclusion that the offender was “ill equipped to survive in the prison system” (para. 13). </w:t>
      </w:r>
    </w:p>
    <w:p w14:paraId="57213830"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lastRenderedPageBreak/>
        <w:t xml:space="preserve">Although the first representative offender is not developmentally delayed, several </w:t>
      </w:r>
      <w:r w:rsidRPr="00DA0977">
        <w:t>lower courts have struck mandatory minimums for luring or declined to apply them</w:t>
      </w:r>
      <w:r w:rsidRPr="00DA0977">
        <w:rPr>
          <w:rFonts w:cs="Times New Roman"/>
          <w:lang w:eastAsia="en-CA"/>
        </w:rPr>
        <w:t xml:space="preserve"> in the context of offenders with severe developmental disabilities with a view to the harsh impacts of imprisonment on these individuals (see </w:t>
      </w:r>
      <w:r w:rsidRPr="00DA0977">
        <w:rPr>
          <w:rFonts w:cs="Times New Roman"/>
          <w:i/>
          <w:lang w:eastAsia="en-CA"/>
        </w:rPr>
        <w:t>Melrose</w:t>
      </w:r>
      <w:r w:rsidRPr="00DA0977">
        <w:rPr>
          <w:rFonts w:cs="Times New Roman"/>
          <w:lang w:eastAsia="en-CA"/>
        </w:rPr>
        <w:t xml:space="preserve">; </w:t>
      </w:r>
      <w:r w:rsidRPr="00DA0977">
        <w:rPr>
          <w:rFonts w:cs="Times New Roman"/>
          <w:i/>
          <w:lang w:eastAsia="en-CA"/>
        </w:rPr>
        <w:t>Deren</w:t>
      </w:r>
      <w:r w:rsidRPr="00DA0977">
        <w:rPr>
          <w:rFonts w:cs="Times New Roman"/>
          <w:lang w:eastAsia="en-CA"/>
        </w:rPr>
        <w:t xml:space="preserve">; </w:t>
      </w:r>
      <w:r w:rsidRPr="00DA0977">
        <w:rPr>
          <w:rFonts w:cs="Times New Roman"/>
          <w:i/>
          <w:lang w:eastAsia="en-CA"/>
        </w:rPr>
        <w:t>Fawcett</w:t>
      </w:r>
      <w:r w:rsidRPr="00DA0977">
        <w:rPr>
          <w:rFonts w:cs="Times New Roman"/>
          <w:lang w:eastAsia="en-CA"/>
        </w:rPr>
        <w:t xml:space="preserve">). In </w:t>
      </w:r>
      <w:r w:rsidRPr="00DA0977">
        <w:rPr>
          <w:rFonts w:cs="Times New Roman"/>
          <w:i/>
          <w:lang w:eastAsia="en-CA"/>
        </w:rPr>
        <w:t>Melrose</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the sentencing judge found that the offender would be a “child among men” in a custodial setting and would be taken advantage of by members of the institution’s general population (para. 250). Justice Renke found that Mr. Melrose “would be harmed, emotionally, psychologically, and likely physically, should he be sentenced to any significant period of imprisonment” (para. 250). Incarceration also has a disproportionate effect on individuals with significant cognitive impairments by disrupting the necessary supports that have been implemented to help these individuals live a life of dignity. The sentencing judge in </w:t>
      </w:r>
      <w:r w:rsidRPr="00DA0977">
        <w:rPr>
          <w:rFonts w:cs="Times New Roman"/>
          <w:i/>
          <w:lang w:eastAsia="en-CA"/>
        </w:rPr>
        <w:t xml:space="preserve">Deren </w:t>
      </w:r>
      <w:r w:rsidRPr="00DA0977">
        <w:rPr>
          <w:rFonts w:cs="Times New Roman"/>
          <w:lang w:eastAsia="en-CA"/>
        </w:rPr>
        <w:t>declined to impose the six</w:t>
      </w:r>
      <w:r w:rsidRPr="00DA0977">
        <w:rPr>
          <w:rFonts w:cs="Times New Roman"/>
          <w:lang w:eastAsia="en-CA"/>
        </w:rPr>
        <w:noBreakHyphen/>
        <w:t xml:space="preserve">month mandatory minimum for luring on an offender with severe developmental disabilities, in part because a jail sentence of that length would impact his access to Assured Income for the Severely Handicapped, as well as his housing and limited employment (para. 70). </w:t>
      </w:r>
    </w:p>
    <w:p w14:paraId="30756A19"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The effect of the one</w:t>
      </w:r>
      <w:r w:rsidRPr="00DA0977">
        <w:rPr>
          <w:rFonts w:cs="Times New Roman"/>
          <w:lang w:eastAsia="en-CA"/>
        </w:rPr>
        <w:noBreakHyphen/>
        <w:t xml:space="preserve">year mandatory minimum on the first representative offender is harsh. Not only does it replace a short intermittent sentence with a year of incarceration, the offender’s individual circumstances would likely make her experience of incarceration perilously grave. In </w:t>
      </w:r>
      <w:r w:rsidRPr="00DA0977">
        <w:rPr>
          <w:rFonts w:cs="Times New Roman"/>
          <w:i/>
          <w:lang w:eastAsia="en-CA"/>
        </w:rPr>
        <w:t xml:space="preserve">R. v. Valiquette </w:t>
      </w:r>
      <w:r w:rsidRPr="00DA0977">
        <w:rPr>
          <w:rFonts w:cs="Times New Roman"/>
          <w:lang w:eastAsia="en-CA"/>
        </w:rPr>
        <w:t xml:space="preserve">(1990), 60 C.C.C. (3d) 325 (Que. C.A.), the court noted “most people understand that the mentally ill require treatment and supervision, not punishment” (p. 331). Most often, mental illness is </w:t>
      </w:r>
      <w:r w:rsidRPr="00DA0977">
        <w:rPr>
          <w:rFonts w:cs="Times New Roman"/>
          <w:lang w:eastAsia="en-CA"/>
        </w:rPr>
        <w:lastRenderedPageBreak/>
        <w:t>viewed as a mitigating factor at sentencing as it may reduce an offender’s moral culpability and sentencing judges recognize that offenders with mental disorders are particularly affected by imprisonment (see Ruby). Each of these factors indicate the mandatory minimum’s constitutional infirmity.</w:t>
      </w:r>
    </w:p>
    <w:p w14:paraId="237400B3" w14:textId="77777777" w:rsidR="00DA0977" w:rsidRPr="00DA0977" w:rsidRDefault="00DA0977" w:rsidP="00DA0977">
      <w:pPr>
        <w:pStyle w:val="Title4LevelTitre4Niveau"/>
        <w:numPr>
          <w:ilvl w:val="3"/>
          <w:numId w:val="29"/>
        </w:numPr>
        <w:rPr>
          <w:rFonts w:cs="Times New Roman"/>
          <w:lang w:eastAsia="en-CA"/>
        </w:rPr>
      </w:pPr>
      <w:bookmarkStart w:id="248" w:name="_Toc135322955"/>
      <w:bookmarkStart w:id="249" w:name="_Toc137199889"/>
      <w:bookmarkStart w:id="250" w:name="_Toc140674004"/>
      <w:bookmarkStart w:id="251" w:name="_Toc141096949"/>
      <w:bookmarkStart w:id="252" w:name="_Toc141694569"/>
      <w:bookmarkStart w:id="253" w:name="_Toc146612975"/>
      <w:r w:rsidRPr="00DA0977">
        <w:rPr>
          <w:rFonts w:cs="Times New Roman"/>
          <w:lang w:eastAsia="en-CA"/>
        </w:rPr>
        <w:t>The Second Representative Offender</w:t>
      </w:r>
      <w:bookmarkEnd w:id="248"/>
      <w:bookmarkEnd w:id="249"/>
      <w:bookmarkEnd w:id="250"/>
      <w:bookmarkEnd w:id="251"/>
      <w:bookmarkEnd w:id="252"/>
      <w:bookmarkEnd w:id="253"/>
    </w:p>
    <w:p w14:paraId="344B8EAC"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 xml:space="preserve">The second representative offender is a youthful offender — a group the criminal law views as holding high rehabilitative prospects. The mandatory minimum in the instance case would replace the fit sentence of a conditional discharge with a substantial custodial sentence (see also </w:t>
      </w:r>
      <w:r w:rsidRPr="00DA0977">
        <w:rPr>
          <w:rFonts w:cs="Times New Roman"/>
          <w:i/>
          <w:lang w:eastAsia="en-CA"/>
        </w:rPr>
        <w:t>Hills</w:t>
      </w:r>
      <w:r w:rsidRPr="00DA0977">
        <w:rPr>
          <w:rFonts w:cs="Times New Roman"/>
          <w:lang w:eastAsia="en-CA"/>
        </w:rPr>
        <w:t>, at para. 143). As a youthful first</w:t>
      </w:r>
      <w:r w:rsidRPr="00DA0977">
        <w:rPr>
          <w:rFonts w:cs="Times New Roman"/>
          <w:lang w:eastAsia="en-CA"/>
        </w:rPr>
        <w:noBreakHyphen/>
        <w:t>time offender, the representative offender should benefit from the shortest possible sentence proportionate to the offence at issue (</w:t>
      </w:r>
      <w:r w:rsidRPr="00DA0977">
        <w:rPr>
          <w:rFonts w:cs="Times New Roman"/>
        </w:rPr>
        <w:t xml:space="preserve">see </w:t>
      </w:r>
      <w:r w:rsidRPr="00DA0977">
        <w:rPr>
          <w:rFonts w:cs="Times New Roman"/>
          <w:i/>
          <w:iCs/>
        </w:rPr>
        <w:t>R. v. Brown</w:t>
      </w:r>
      <w:r w:rsidRPr="00DA0977">
        <w:rPr>
          <w:rFonts w:cs="Times New Roman"/>
        </w:rPr>
        <w:t xml:space="preserve">, </w:t>
      </w:r>
      <w:r w:rsidRPr="00DA0977">
        <w:rPr>
          <w:rStyle w:val="Hyperlink"/>
          <w:rFonts w:cs="Times New Roman"/>
          <w:color w:val="auto"/>
        </w:rPr>
        <w:t>2015 ONCA 361</w:t>
      </w:r>
      <w:r w:rsidRPr="00DA0977">
        <w:rPr>
          <w:rFonts w:cs="Times New Roman"/>
        </w:rPr>
        <w:t>, 126 O.R. (3d) 797,</w:t>
      </w:r>
      <w:r w:rsidRPr="00DA0977">
        <w:rPr>
          <w:rFonts w:cs="Times New Roman"/>
          <w:i/>
          <w:iCs/>
        </w:rPr>
        <w:t xml:space="preserve"> </w:t>
      </w:r>
      <w:r w:rsidRPr="00DA0977">
        <w:rPr>
          <w:rFonts w:cs="Times New Roman"/>
        </w:rPr>
        <w:t>at para. </w:t>
      </w:r>
      <w:r w:rsidRPr="00DA0977">
        <w:rPr>
          <w:rStyle w:val="Hyperlink"/>
          <w:rFonts w:cs="Times New Roman"/>
          <w:color w:val="auto"/>
        </w:rPr>
        <w:t>7</w:t>
      </w:r>
      <w:r w:rsidRPr="00DA0977">
        <w:rPr>
          <w:rFonts w:cs="Times New Roman"/>
        </w:rPr>
        <w:t xml:space="preserve">; </w:t>
      </w:r>
      <w:r w:rsidRPr="00DA0977">
        <w:rPr>
          <w:rFonts w:cs="Times New Roman"/>
          <w:i/>
          <w:iCs/>
        </w:rPr>
        <w:t>R. v. Laine</w:t>
      </w:r>
      <w:r w:rsidRPr="00DA0977">
        <w:rPr>
          <w:rFonts w:cs="Times New Roman"/>
        </w:rPr>
        <w:t xml:space="preserve">, </w:t>
      </w:r>
      <w:r w:rsidRPr="00DA0977">
        <w:rPr>
          <w:rStyle w:val="Hyperlink"/>
          <w:rFonts w:cs="Times New Roman"/>
          <w:color w:val="auto"/>
        </w:rPr>
        <w:t>2015 ONCA 519</w:t>
      </w:r>
      <w:r w:rsidRPr="00DA0977">
        <w:rPr>
          <w:rFonts w:cs="Times New Roman"/>
        </w:rPr>
        <w:t>, 338 O.A.C. 264, at para. </w:t>
      </w:r>
      <w:r w:rsidRPr="00DA0977">
        <w:rPr>
          <w:rStyle w:val="Hyperlink"/>
          <w:rFonts w:cs="Times New Roman"/>
          <w:color w:val="auto"/>
        </w:rPr>
        <w:t>85</w:t>
      </w:r>
      <w:r w:rsidRPr="00DA0977">
        <w:rPr>
          <w:rFonts w:cs="Times New Roman"/>
        </w:rPr>
        <w:t>).</w:t>
      </w:r>
      <w:r w:rsidRPr="00DA0977">
        <w:rPr>
          <w:rFonts w:cs="Times New Roman"/>
          <w:lang w:eastAsia="en-CA"/>
        </w:rPr>
        <w:t xml:space="preserve"> Youthful offenders are often bullied, pressured to join adult prison gangs, and are vulnerable to segregation placements (</w:t>
      </w:r>
      <w:r w:rsidRPr="00DA0977">
        <w:rPr>
          <w:rFonts w:cs="Times New Roman"/>
          <w:i/>
          <w:lang w:eastAsia="en-CA"/>
        </w:rPr>
        <w:t>Hills</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at para. 165; Office of the Correctional Investigator and Office of the Provincial Advocate for Children and Youth, </w:t>
      </w:r>
      <w:r w:rsidRPr="00DA0977">
        <w:rPr>
          <w:rFonts w:cs="Times New Roman"/>
          <w:i/>
          <w:lang w:eastAsia="en-CA"/>
        </w:rPr>
        <w:t>Missed Opportunities: The Experience of Young Adults Incarcerated in Federal Penitentiaries</w:t>
      </w:r>
      <w:r w:rsidRPr="00DA0977">
        <w:rPr>
          <w:rFonts w:cs="Times New Roman"/>
          <w:lang w:eastAsia="en-CA"/>
        </w:rPr>
        <w:t xml:space="preserve"> (2017)). The six</w:t>
      </w:r>
      <w:r w:rsidRPr="00DA0977">
        <w:rPr>
          <w:rFonts w:cs="Times New Roman"/>
          <w:lang w:eastAsia="en-CA"/>
        </w:rPr>
        <w:noBreakHyphen/>
        <w:t xml:space="preserve">month mandatory minimum in this case is a far cry from the shortest possible rehabilitative sentence for this offender. </w:t>
      </w:r>
    </w:p>
    <w:p w14:paraId="51AD2670" w14:textId="77777777" w:rsidR="00DA0977" w:rsidRPr="00DA0977" w:rsidRDefault="00DA0977" w:rsidP="00DA0977">
      <w:pPr>
        <w:pStyle w:val="Title3LevelTitre3Niveau"/>
        <w:numPr>
          <w:ilvl w:val="2"/>
          <w:numId w:val="27"/>
        </w:numPr>
        <w:rPr>
          <w:rFonts w:cs="Times New Roman"/>
          <w:lang w:eastAsia="en-CA"/>
        </w:rPr>
      </w:pPr>
      <w:bookmarkStart w:id="254" w:name="_Toc132286916"/>
      <w:bookmarkStart w:id="255" w:name="_Toc135041595"/>
      <w:bookmarkStart w:id="256" w:name="_Toc135322956"/>
      <w:bookmarkStart w:id="257" w:name="_Toc137199890"/>
      <w:bookmarkStart w:id="258" w:name="_Toc140674005"/>
      <w:bookmarkStart w:id="259" w:name="_Toc141096950"/>
      <w:bookmarkStart w:id="260" w:name="_Toc141694570"/>
      <w:bookmarkStart w:id="261" w:name="_Toc146612976"/>
      <w:r w:rsidRPr="00DA0977">
        <w:rPr>
          <w:rFonts w:cs="Times New Roman"/>
          <w:lang w:eastAsia="en-CA"/>
        </w:rPr>
        <w:t>The Penalty and its Objectives</w:t>
      </w:r>
      <w:bookmarkEnd w:id="254"/>
      <w:bookmarkEnd w:id="255"/>
      <w:bookmarkEnd w:id="256"/>
      <w:bookmarkEnd w:id="257"/>
      <w:bookmarkEnd w:id="258"/>
      <w:bookmarkEnd w:id="259"/>
      <w:bookmarkEnd w:id="260"/>
      <w:bookmarkEnd w:id="261"/>
    </w:p>
    <w:p w14:paraId="7AA87B3D"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lastRenderedPageBreak/>
        <w:t xml:space="preserve">Luring is a serious offence that must be punished accordingly. The offence dovetails with s. 718.01 of the </w:t>
      </w:r>
      <w:r w:rsidRPr="00DA0977">
        <w:rPr>
          <w:rFonts w:cs="Times New Roman"/>
          <w:i/>
        </w:rPr>
        <w:t>Criminal Code</w:t>
      </w:r>
      <w:r w:rsidRPr="00DA0977">
        <w:rPr>
          <w:rFonts w:cs="Times New Roman"/>
        </w:rPr>
        <w:t>,</w:t>
      </w:r>
      <w:r w:rsidRPr="00DA0977">
        <w:rPr>
          <w:rFonts w:cs="Times New Roman"/>
          <w:i/>
        </w:rPr>
        <w:t xml:space="preserve"> </w:t>
      </w:r>
      <w:r w:rsidRPr="00DA0977">
        <w:rPr>
          <w:rFonts w:cs="Times New Roman"/>
        </w:rPr>
        <w:t>which, as mentioned above,</w:t>
      </w:r>
      <w:r w:rsidRPr="00DA0977">
        <w:rPr>
          <w:rFonts w:cs="Times New Roman"/>
          <w:i/>
        </w:rPr>
        <w:t xml:space="preserve"> </w:t>
      </w:r>
      <w:r w:rsidRPr="00DA0977">
        <w:rPr>
          <w:rFonts w:cs="Times New Roman"/>
        </w:rPr>
        <w:t xml:space="preserve">directs that in imposing sentences for offences involving abuse of children, primary consideration must be given to the objectives of denunciation and deterrence. Parliament’s decision to increase the maximum penalties for the luring offence in 2015 as part of the </w:t>
      </w:r>
      <w:r w:rsidRPr="00DA0977">
        <w:rPr>
          <w:rFonts w:cs="Times New Roman"/>
          <w:i/>
        </w:rPr>
        <w:t xml:space="preserve">Tougher Penalties for Child Predators Act </w:t>
      </w:r>
      <w:r w:rsidRPr="00DA0977">
        <w:rPr>
          <w:rFonts w:cs="Times New Roman"/>
        </w:rPr>
        <w:t>further indicates Parliament’s view of the gravity of the offence. These legislative amendments should have an upward pull on sentences for this offence, regardless of whether the mandatory minimum remains intact.</w:t>
      </w:r>
    </w:p>
    <w:p w14:paraId="2C8CCA39"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Parliament enacted s. 172.1 in response to the growth of the internet as a burgeoning domain for predators to target children (</w:t>
      </w:r>
      <w:r w:rsidRPr="00DA0977">
        <w:rPr>
          <w:rFonts w:cs="Times New Roman"/>
          <w:i/>
        </w:rPr>
        <w:t>Morrison</w:t>
      </w:r>
      <w:r w:rsidRPr="00DA0977">
        <w:rPr>
          <w:rFonts w:cs="Times New Roman"/>
        </w:rPr>
        <w:t>,</w:t>
      </w:r>
      <w:r w:rsidRPr="00DA0977">
        <w:rPr>
          <w:rFonts w:cs="Times New Roman"/>
          <w:i/>
        </w:rPr>
        <w:t xml:space="preserve"> </w:t>
      </w:r>
      <w:r w:rsidRPr="00DA0977">
        <w:rPr>
          <w:rFonts w:cs="Times New Roman"/>
        </w:rPr>
        <w:t>at paras. 1-3). The access that sexual offenders have to children through social media is “unprecedented” (</w:t>
      </w:r>
      <w:r w:rsidRPr="00DA0977">
        <w:rPr>
          <w:rFonts w:cs="Times New Roman"/>
          <w:i/>
        </w:rPr>
        <w:t>R. v. K.R.J.</w:t>
      </w:r>
      <w:r w:rsidRPr="00DA0977">
        <w:rPr>
          <w:rFonts w:cs="Times New Roman"/>
        </w:rPr>
        <w:t xml:space="preserve">, 2016 SCC 31, [2016] 1 S.C.R. 906, at para. 102). Young people are perpetually available online through their smartphones, tablets, computers and other electronic devices — all sites where they are vulnerable to being targeted. </w:t>
      </w:r>
    </w:p>
    <w:p w14:paraId="3036B850"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Child luring not only lays the foundation for dangerous in-person criminal offences, it also causes its own distinct harm to child victims.</w:t>
      </w:r>
    </w:p>
    <w:p w14:paraId="3E49931B"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That being said, the attached mandatory minimum sentences go beyond what is necessary to achieve Parliament’s sentencing objectives. </w:t>
      </w:r>
      <w:r w:rsidRPr="00DA0977">
        <w:t>The offence’s wide net of potential liability, while an asset for the preventative nature of the offence, also serves as the constitutional undoing of its penalties.</w:t>
      </w:r>
      <w:r w:rsidRPr="00DA0977">
        <w:rPr>
          <w:rFonts w:cs="Times New Roman"/>
        </w:rPr>
        <w:t xml:space="preserve"> The broad nature of the offence captures a range of conduct with varying culpability. As a result, it thrusts a mandatory </w:t>
      </w:r>
      <w:r w:rsidRPr="00DA0977">
        <w:rPr>
          <w:rFonts w:cs="Times New Roman"/>
        </w:rPr>
        <w:lastRenderedPageBreak/>
        <w:t xml:space="preserve">punishment on conduct far removed and disconnected from that which Parliament sought to prevent. </w:t>
      </w:r>
    </w:p>
    <w:p w14:paraId="279D3592"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 xml:space="preserve">A comparison between the punishments imposed for several of the secondary offences and the mandatory minimum for luring further reveals a significant disproportion. While several of the 20 secondary offences associated with luring themselves attract no mandatory minimum penalty, </w:t>
      </w:r>
      <w:r w:rsidRPr="00DA0977">
        <w:t xml:space="preserve">others may attract far lower penalties than </w:t>
      </w:r>
      <w:r w:rsidRPr="00DA0977">
        <w:rPr>
          <w:i/>
        </w:rPr>
        <w:t>either</w:t>
      </w:r>
      <w:r w:rsidRPr="00DA0977">
        <w:t xml:space="preserve"> mandatory minimum for the luring offence</w:t>
      </w:r>
      <w:r w:rsidRPr="00DA0977">
        <w:rPr>
          <w:rFonts w:cs="Times New Roman"/>
          <w:lang w:eastAsia="en-CA"/>
        </w:rPr>
        <w:t xml:space="preserve">. For example, exposure prosecuted on summary conviction attracts a mandatory minimum of 30 days’ imprisonment (see s. 173(2)(b)). This is not to suggest that luring does not create its own distinct harm, but it is clear the range of conduct captured by the offence’s </w:t>
      </w:r>
      <w:r w:rsidRPr="00DA0977">
        <w:rPr>
          <w:rFonts w:cs="Times New Roman"/>
          <w:i/>
          <w:lang w:eastAsia="en-CA"/>
        </w:rPr>
        <w:t xml:space="preserve">actus reus </w:t>
      </w:r>
      <w:r w:rsidRPr="00DA0977">
        <w:rPr>
          <w:rFonts w:cs="Times New Roman"/>
          <w:lang w:eastAsia="en-CA"/>
        </w:rPr>
        <w:t>includes anything from years of careful grooming to a single online message to a complainant. It is striking that an impulsive message alone could attract a one</w:t>
      </w:r>
      <w:r w:rsidRPr="00DA0977">
        <w:rPr>
          <w:rFonts w:cs="Times New Roman"/>
          <w:lang w:eastAsia="en-CA"/>
        </w:rPr>
        <w:noBreakHyphen/>
        <w:t xml:space="preserve">year term of imprisonment, while the offence the text attempted to facilitate could itself attract little to no incarceration. </w:t>
      </w:r>
    </w:p>
    <w:p w14:paraId="551CF5CF"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In the case of both representative offenders, the length of imprisonment required by the mandatory minimum sentences is excessive in light of alternative sentences that would be sufficient to meet Parliament’s sentencing objectives. While a one</w:t>
      </w:r>
      <w:r w:rsidRPr="00DA0977">
        <w:rPr>
          <w:rFonts w:cs="Times New Roman"/>
          <w:lang w:eastAsia="en-CA"/>
        </w:rPr>
        <w:noBreakHyphen/>
        <w:t>year or six</w:t>
      </w:r>
      <w:r w:rsidRPr="00DA0977">
        <w:rPr>
          <w:rFonts w:cs="Times New Roman"/>
          <w:lang w:eastAsia="en-CA"/>
        </w:rPr>
        <w:noBreakHyphen/>
        <w:t xml:space="preserve">month minimum term of imprisonment for child luring will not be grossly disproportionate for most offenders, it is a severe punishment for certain offenders, particularly youthful offenders, offenders with mental disorders and those with severe developmental disabilities. Where an offender’s mental illness contributes </w:t>
      </w:r>
      <w:r w:rsidRPr="00DA0977">
        <w:rPr>
          <w:rFonts w:cs="Times New Roman"/>
          <w:lang w:eastAsia="en-CA"/>
        </w:rPr>
        <w:lastRenderedPageBreak/>
        <w:t xml:space="preserve">to the commission of the luring offence, specific deterrence, general deterrence and denunciation are of little use because “such an offender is not an appropriate medium for making an example of others” and because people with mental illnesses will likely not be deterred by the punishment of others (Ruby, at </w:t>
      </w:r>
      <w:r w:rsidRPr="00DA0977">
        <w:t>§§5.316-5.321</w:t>
      </w:r>
      <w:r w:rsidRPr="00DA0977">
        <w:rPr>
          <w:rFonts w:cs="Times New Roman"/>
          <w:lang w:eastAsia="en-CA"/>
        </w:rPr>
        <w:t xml:space="preserve">; see </w:t>
      </w:r>
      <w:r w:rsidRPr="00DA0977">
        <w:rPr>
          <w:rFonts w:cs="Times New Roman"/>
          <w:i/>
          <w:lang w:eastAsia="en-CA"/>
        </w:rPr>
        <w:t>Resler</w:t>
      </w:r>
      <w:r w:rsidRPr="00DA0977">
        <w:rPr>
          <w:rFonts w:cs="Times New Roman"/>
          <w:lang w:eastAsia="en-CA"/>
        </w:rPr>
        <w:t>, at para. </w:t>
      </w:r>
      <w:r w:rsidRPr="00DA0977">
        <w:rPr>
          <w:rFonts w:cs="Times New Roman"/>
          <w:lang w:val="en-US" w:eastAsia="en-CA"/>
        </w:rPr>
        <w:t xml:space="preserve">14; </w:t>
      </w:r>
      <w:r w:rsidRPr="00DA0977">
        <w:rPr>
          <w:rFonts w:cs="Times New Roman"/>
          <w:i/>
          <w:lang w:val="en-US" w:eastAsia="en-CA"/>
        </w:rPr>
        <w:t xml:space="preserve">R. v. Robinson </w:t>
      </w:r>
      <w:r w:rsidRPr="00DA0977">
        <w:rPr>
          <w:rFonts w:cs="Times New Roman"/>
          <w:lang w:val="en-US" w:eastAsia="en-CA"/>
        </w:rPr>
        <w:t xml:space="preserve">(1974), 19 C.C.C. (2d) 193 (Ont. C.A.), at p. 197; </w:t>
      </w:r>
      <w:r w:rsidRPr="00DA0977">
        <w:rPr>
          <w:rFonts w:cs="Times New Roman"/>
          <w:i/>
          <w:lang w:val="en-US" w:eastAsia="en-CA"/>
        </w:rPr>
        <w:t>Deren</w:t>
      </w:r>
      <w:r w:rsidRPr="00DA0977">
        <w:rPr>
          <w:rFonts w:cs="Times New Roman"/>
          <w:lang w:val="en-US" w:eastAsia="en-CA"/>
        </w:rPr>
        <w:t xml:space="preserve">, at para. 65). </w:t>
      </w:r>
      <w:r w:rsidRPr="00DA0977">
        <w:rPr>
          <w:rFonts w:cs="Times New Roman"/>
          <w:lang w:eastAsia="en-CA"/>
        </w:rPr>
        <w:t>Instead, rehabilitation should hold greater weight when sentencing mentally ill offenders like the representative offender at bar (</w:t>
      </w:r>
      <w:r w:rsidRPr="00DA0977">
        <w:rPr>
          <w:rFonts w:cs="Times New Roman"/>
          <w:i/>
          <w:lang w:eastAsia="en-CA"/>
        </w:rPr>
        <w:t>R. v. Hynes</w:t>
      </w:r>
      <w:r w:rsidRPr="00DA0977">
        <w:rPr>
          <w:rFonts w:cs="Times New Roman"/>
          <w:lang w:eastAsia="en-CA"/>
        </w:rPr>
        <w:t xml:space="preserve"> (1991), 89 Nfld. &amp; P.E.I.R. 316 (N.L.C.A.), at para. 53). While this Court directed in </w:t>
      </w:r>
      <w:r w:rsidRPr="00DA0977">
        <w:rPr>
          <w:rFonts w:cs="Times New Roman"/>
          <w:i/>
          <w:lang w:eastAsia="en-CA"/>
        </w:rPr>
        <w:t xml:space="preserve">Friesen </w:t>
      </w:r>
      <w:r w:rsidRPr="00DA0977">
        <w:rPr>
          <w:rFonts w:cs="Times New Roman"/>
          <w:lang w:eastAsia="en-CA"/>
        </w:rPr>
        <w:t xml:space="preserve">that sentences for sexual offences against children should properly reflect the offender’s moral blameworthiness, the Court also acknowledged that the personal circumstances of an offender can have a mitigating effect and reduce the offender’s moral culpability (para. 91). </w:t>
      </w:r>
    </w:p>
    <w:p w14:paraId="530EE2E2"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 xml:space="preserve">In light of the reduced moral blameworthiness of mentally ill offenders, the mandatory minimums in relation to the luring offence not only deprive courts of the ability to tailor proportionate sentences at the lower end of the sentencing range when appropriate, they operate in the extreme to impose unjust sentences that violate the principle of proportionality (see </w:t>
      </w:r>
      <w:r w:rsidRPr="00DA0977">
        <w:rPr>
          <w:rFonts w:cs="Times New Roman"/>
          <w:i/>
          <w:lang w:eastAsia="en-CA"/>
        </w:rPr>
        <w:t>Nur</w:t>
      </w:r>
      <w:r w:rsidRPr="00DA0977">
        <w:rPr>
          <w:rFonts w:cs="Times New Roman"/>
          <w:lang w:eastAsia="en-CA"/>
        </w:rPr>
        <w:t>,</w:t>
      </w:r>
      <w:r w:rsidRPr="00DA0977">
        <w:rPr>
          <w:rFonts w:cs="Times New Roman"/>
          <w:i/>
          <w:lang w:eastAsia="en-CA"/>
        </w:rPr>
        <w:t xml:space="preserve"> </w:t>
      </w:r>
      <w:r w:rsidRPr="00DA0977">
        <w:rPr>
          <w:rFonts w:cs="Times New Roman"/>
          <w:lang w:eastAsia="en-CA"/>
        </w:rPr>
        <w:t>at para. 44).</w:t>
      </w:r>
      <w:r w:rsidRPr="00DA0977">
        <w:rPr>
          <w:rFonts w:cs="Times New Roman"/>
          <w:i/>
          <w:lang w:eastAsia="en-CA"/>
        </w:rPr>
        <w:t xml:space="preserve"> </w:t>
      </w:r>
      <w:r w:rsidRPr="00DA0977">
        <w:rPr>
          <w:rFonts w:cs="Times New Roman"/>
          <w:lang w:eastAsia="en-CA"/>
        </w:rPr>
        <w:t>As a result, the mandatory sentences demonstrate the “state’s complete disregard for the specific circumstances of the sentenced individual and for the proportionality of the punishment inflicted on them” (</w:t>
      </w:r>
      <w:r w:rsidRPr="00DA0977">
        <w:rPr>
          <w:rFonts w:cs="Times New Roman"/>
          <w:i/>
          <w:lang w:eastAsia="en-CA"/>
        </w:rPr>
        <w:t>Bissonnette</w:t>
      </w:r>
      <w:r w:rsidRPr="00DA0977">
        <w:rPr>
          <w:rFonts w:cs="Times New Roman"/>
          <w:lang w:eastAsia="en-CA"/>
        </w:rPr>
        <w:t>, at para. 61). Imposing six</w:t>
      </w:r>
      <w:r w:rsidRPr="00DA0977">
        <w:rPr>
          <w:rFonts w:cs="Times New Roman"/>
          <w:lang w:eastAsia="en-CA"/>
        </w:rPr>
        <w:noBreakHyphen/>
        <w:t>months’ or one year’s incarceration on a mentally ill offender when the fit sentence is a relatively short intermittent sentence does not respect the fundamental principle of proportionality (</w:t>
      </w:r>
      <w:r w:rsidRPr="00DA0977">
        <w:rPr>
          <w:rFonts w:cs="Times New Roman"/>
          <w:i/>
          <w:lang w:eastAsia="en-CA"/>
        </w:rPr>
        <w:t>Nasogaluak</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at para. 40). </w:t>
      </w:r>
      <w:r w:rsidRPr="00DA0977">
        <w:rPr>
          <w:rFonts w:cs="Times New Roman"/>
          <w:lang w:eastAsia="en-CA"/>
        </w:rPr>
        <w:lastRenderedPageBreak/>
        <w:t xml:space="preserve">Instead, it indicates Parliament has prioritized denunciation and deterrence to the near complete exclusion of rehabilitation. This Court noted in </w:t>
      </w:r>
      <w:r w:rsidRPr="00DA0977">
        <w:rPr>
          <w:rFonts w:cs="Times New Roman"/>
          <w:i/>
          <w:lang w:eastAsia="en-CA"/>
        </w:rPr>
        <w:t xml:space="preserve">Hills </w:t>
      </w:r>
      <w:r w:rsidRPr="00DA0977">
        <w:rPr>
          <w:rFonts w:cs="Times New Roman"/>
          <w:lang w:eastAsia="en-CA"/>
        </w:rPr>
        <w:t xml:space="preserve">that while deference is owed to Parliament’s sentencing choices, “[n]o single sentencing objective should be applied to the exclusion of all others” (para. 140; </w:t>
      </w:r>
      <w:r w:rsidRPr="00DA0977">
        <w:rPr>
          <w:rFonts w:cs="Times New Roman"/>
          <w:i/>
          <w:lang w:eastAsia="en-CA"/>
        </w:rPr>
        <w:t>Nasogaluak</w:t>
      </w:r>
      <w:r w:rsidRPr="00DA0977">
        <w:rPr>
          <w:rFonts w:cs="Times New Roman"/>
          <w:lang w:eastAsia="en-CA"/>
        </w:rPr>
        <w:t>,</w:t>
      </w:r>
      <w:r w:rsidRPr="00DA0977">
        <w:rPr>
          <w:rFonts w:cs="Times New Roman"/>
          <w:i/>
          <w:lang w:eastAsia="en-CA"/>
        </w:rPr>
        <w:t xml:space="preserve"> </w:t>
      </w:r>
      <w:r w:rsidRPr="00DA0977">
        <w:rPr>
          <w:rFonts w:cs="Times New Roman"/>
          <w:lang w:eastAsia="en-CA"/>
        </w:rPr>
        <w:t>at para. 43).</w:t>
      </w:r>
    </w:p>
    <w:p w14:paraId="7D22EC63"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Because intermittent sentences are only available for sentences of 90 days or less, the impugned mandatory minimum provides no discretion for courts to impose a sentence of this kind. While an intermittent sentence is a form of imprisonment, it is materially distinct from a full</w:t>
      </w:r>
      <w:r w:rsidRPr="00DA0977">
        <w:rPr>
          <w:rFonts w:cs="Times New Roman"/>
          <w:lang w:eastAsia="en-CA"/>
        </w:rPr>
        <w:noBreakHyphen/>
        <w:t xml:space="preserve">time carceral sentence in that it allows offenders to serve their jail term in truncated periods while being subject to probation outside of jail. An intermittent sentence prioritizes rehabilitation by allowing offenders to potentially preserve their employment, maintain familial and community ties and continue specialized treatment that may not be available at a correctional institution. Here, the fact that the mandatory minimum does not permit courts to impose intermittent sentences where that sentence is the fit and proportionate sentence renders the provision constitutionally suspect (see </w:t>
      </w:r>
      <w:r w:rsidRPr="00DA0977">
        <w:rPr>
          <w:rFonts w:cs="Times New Roman"/>
          <w:i/>
          <w:lang w:eastAsia="en-CA"/>
        </w:rPr>
        <w:t>Hills</w:t>
      </w:r>
      <w:r w:rsidRPr="00DA0977">
        <w:rPr>
          <w:rFonts w:cs="Times New Roman"/>
          <w:lang w:eastAsia="en-CA"/>
        </w:rPr>
        <w:t>,</w:t>
      </w:r>
      <w:r w:rsidRPr="00DA0977">
        <w:rPr>
          <w:rFonts w:cs="Times New Roman"/>
          <w:i/>
          <w:lang w:eastAsia="en-CA"/>
        </w:rPr>
        <w:t xml:space="preserve"> </w:t>
      </w:r>
      <w:r w:rsidRPr="00DA0977">
        <w:rPr>
          <w:rFonts w:cs="Times New Roman"/>
          <w:lang w:eastAsia="en-CA"/>
        </w:rPr>
        <w:t xml:space="preserve">at para. 144). </w:t>
      </w:r>
    </w:p>
    <w:p w14:paraId="3FD38E92"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Child luring is a hybrid offence, meaning that the Crown can choose, based on factors such as the seriousness of the accused’s actions and the harm caused, to proceed either by indictment or summarily. In turn, that choice impacts the severity of the sentence imposed, as the mandatory minimum attached to a summary luring conviction is six</w:t>
      </w:r>
      <w:r w:rsidRPr="00DA0977">
        <w:rPr>
          <w:rFonts w:cs="Times New Roman"/>
        </w:rPr>
        <w:noBreakHyphen/>
        <w:t xml:space="preserve">months rather than a year for luring proceeding by indictment. Justice Karakatsanis noted that this legislative choice “clearly demonstrates that </w:t>
      </w:r>
      <w:r w:rsidRPr="00DA0977">
        <w:rPr>
          <w:rFonts w:cs="Times New Roman"/>
        </w:rPr>
        <w:lastRenderedPageBreak/>
        <w:t>Parliament understood that, in certain circumstances, a sentence far below that required by the one-year mandatory minimum would be appropriate” (</w:t>
      </w:r>
      <w:r w:rsidRPr="00DA0977">
        <w:rPr>
          <w:rFonts w:cs="Times New Roman"/>
          <w:i/>
        </w:rPr>
        <w:t>Morrison</w:t>
      </w:r>
      <w:r w:rsidRPr="00DA0977">
        <w:rPr>
          <w:rFonts w:cs="Times New Roman"/>
        </w:rPr>
        <w:t xml:space="preserve">, at para. 185). The disparity between the two mandatory minimum sentences outlined in s. 172.1(2)(a) and (b) is disquieting. </w:t>
      </w:r>
    </w:p>
    <w:p w14:paraId="32115394"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The hybrid nature of the child luring offence cannot shield it from constitutional scrutiny. This Court has found that an unconstitutional mandatory minimum cannot be saved by the Crown’s discretion to proceed summarily. Sentencing is a judicial function, while Crown prosecutors are in an adversarial role to accused persons (</w:t>
      </w:r>
      <w:r w:rsidRPr="00DA0977">
        <w:rPr>
          <w:rFonts w:cs="Times New Roman"/>
          <w:i/>
        </w:rPr>
        <w:t>Nur</w:t>
      </w:r>
      <w:r w:rsidRPr="00DA0977">
        <w:rPr>
          <w:rFonts w:cs="Times New Roman"/>
        </w:rPr>
        <w:t>,</w:t>
      </w:r>
      <w:r w:rsidRPr="00DA0977">
        <w:rPr>
          <w:rFonts w:cs="Times New Roman"/>
          <w:i/>
        </w:rPr>
        <w:t xml:space="preserve"> </w:t>
      </w:r>
      <w:r w:rsidRPr="00DA0977">
        <w:rPr>
          <w:rFonts w:cs="Times New Roman"/>
        </w:rPr>
        <w:t xml:space="preserve">at paras. 85-86). For the impugned offence, there is no clear delineation between cases that proceed summarily versus cases that proceed by indictment. In </w:t>
      </w:r>
      <w:r w:rsidRPr="00DA0977">
        <w:rPr>
          <w:rFonts w:cs="Times New Roman"/>
          <w:i/>
        </w:rPr>
        <w:t>R. v. C.D.R.</w:t>
      </w:r>
      <w:r w:rsidRPr="00DA0977">
        <w:rPr>
          <w:rFonts w:cs="Times New Roman"/>
        </w:rPr>
        <w:t>,</w:t>
      </w:r>
      <w:r w:rsidRPr="00DA0977">
        <w:rPr>
          <w:rFonts w:cs="Times New Roman"/>
          <w:i/>
        </w:rPr>
        <w:t xml:space="preserve"> </w:t>
      </w:r>
      <w:r w:rsidRPr="00DA0977">
        <w:rPr>
          <w:rFonts w:cs="Times New Roman"/>
        </w:rPr>
        <w:t xml:space="preserve">2020 ONSC 645, the accused was caught by a police sting operation and pleaded guilty to, amongst other offences, child luring. The Crown confirmed that cases of a similar nature may proceed either summarily or by indictment — little distinguished them (paras. 31-33 (CanLII)). Justice De Sa rightly queried, “[h]ow can a seemingly arbitrary imposition of an additional 6 months incarceration in this case not be grossly disproportionate?” (para. 33). </w:t>
      </w:r>
    </w:p>
    <w:p w14:paraId="5DC014C1"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Where a six</w:t>
      </w:r>
      <w:r w:rsidRPr="00DA0977">
        <w:rPr>
          <w:rFonts w:cs="Times New Roman"/>
        </w:rPr>
        <w:noBreakHyphen/>
        <w:t>month sentence may be an appropriate sentence for a certain set of conduct but a one</w:t>
      </w:r>
      <w:r w:rsidRPr="00DA0977">
        <w:rPr>
          <w:rFonts w:cs="Times New Roman"/>
        </w:rPr>
        <w:noBreakHyphen/>
        <w:t xml:space="preserve">year sentence is arbitrarily imposed instead, solely as a result of prosecutorial discretion, that leads to the same uncertainty and unpredictability in the law that this Court attempted to guard against in </w:t>
      </w:r>
      <w:r w:rsidRPr="00DA0977">
        <w:rPr>
          <w:rFonts w:cs="Times New Roman"/>
          <w:i/>
        </w:rPr>
        <w:t>R. v. Ferguson</w:t>
      </w:r>
      <w:r w:rsidRPr="00DA0977">
        <w:rPr>
          <w:rFonts w:cs="Times New Roman"/>
        </w:rPr>
        <w:t xml:space="preserve">, 2008 SCC 6, [2008] 1 S.C.R. 96 (see para. 72) and </w:t>
      </w:r>
      <w:r w:rsidRPr="00DA0977">
        <w:rPr>
          <w:rFonts w:cs="Times New Roman"/>
          <w:i/>
        </w:rPr>
        <w:t>Nur</w:t>
      </w:r>
      <w:r w:rsidRPr="00DA0977">
        <w:rPr>
          <w:rFonts w:cs="Times New Roman"/>
        </w:rPr>
        <w:t xml:space="preserve"> (see para. 91). The Crown’s election should not </w:t>
      </w:r>
      <w:r w:rsidRPr="00DA0977">
        <w:rPr>
          <w:rFonts w:cs="Times New Roman"/>
        </w:rPr>
        <w:lastRenderedPageBreak/>
        <w:t xml:space="preserve">determine whether an offender receives a fit sentence or an excessive sentence. This aspect of the sentencing regime would be intolerable and shocking to Canadians (see </w:t>
      </w:r>
      <w:r w:rsidRPr="00DA0977">
        <w:rPr>
          <w:rFonts w:cs="Times New Roman"/>
          <w:i/>
        </w:rPr>
        <w:t>Saffari</w:t>
      </w:r>
      <w:r w:rsidRPr="00DA0977">
        <w:rPr>
          <w:rFonts w:cs="Times New Roman"/>
        </w:rPr>
        <w:t xml:space="preserve">, at para. 90; </w:t>
      </w:r>
      <w:r w:rsidRPr="00DA0977">
        <w:rPr>
          <w:rFonts w:cs="Times New Roman"/>
          <w:i/>
        </w:rPr>
        <w:t>C.D.R.</w:t>
      </w:r>
      <w:r w:rsidRPr="00DA0977">
        <w:rPr>
          <w:rFonts w:cs="Times New Roman"/>
        </w:rPr>
        <w:t>, at paras. 31-33 and 38).</w:t>
      </w:r>
    </w:p>
    <w:p w14:paraId="2CE90E99"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Simply striking the one</w:t>
      </w:r>
      <w:r w:rsidRPr="00DA0977">
        <w:rPr>
          <w:rFonts w:cs="Times New Roman"/>
        </w:rPr>
        <w:noBreakHyphen/>
        <w:t>year mandatory minimum and leaving the six</w:t>
      </w:r>
      <w:r w:rsidRPr="00DA0977">
        <w:rPr>
          <w:rFonts w:cs="Times New Roman"/>
        </w:rPr>
        <w:noBreakHyphen/>
        <w:t xml:space="preserve">month punishment intact presents its own set of related issues — including an issue of parity. If the summary conviction punishment remains, an individual may be charged summarily for ostensibly less serious conduct than would be charged by indictment and potentially face a more serious punishment by virtue of the mandatory minimum. This potential outcome further highlights the difference between the role of a sentencing judge and the role of a Crown prosecutor. It is the judge’s role to craft a fit and proportionate sentence in light of the circumstances of the offender and the gravity of the offence after being presented with evidence of the offender’s background and individual circumstances. In contrast, the Crown prosecutor is tasked with using their discretion to choose a path to conviction with little information about the offender’s individual circumstances and while balancing other priorities. These include local judicial resources, considerations of delay and limitation periods, and the prospect of the complainant potentially being required to testify twice, given that the 14-year maximum penalty for the luring offence when prosecuted by indictment triggers the availability of a preliminary hearing. </w:t>
      </w:r>
    </w:p>
    <w:p w14:paraId="03E1DF4C"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That arrangement would locate this offence squarely within a zone deemed problematic by this Court in </w:t>
      </w:r>
      <w:r w:rsidRPr="00DA0977">
        <w:rPr>
          <w:rFonts w:cs="Times New Roman"/>
          <w:i/>
        </w:rPr>
        <w:t>Nur</w:t>
      </w:r>
      <w:r w:rsidRPr="00DA0977">
        <w:rPr>
          <w:rFonts w:cs="Times New Roman"/>
        </w:rPr>
        <w:t xml:space="preserve">. To accept this state of affairs could “result in </w:t>
      </w:r>
      <w:r w:rsidRPr="00DA0977">
        <w:rPr>
          <w:rFonts w:cs="Times New Roman"/>
        </w:rPr>
        <w:lastRenderedPageBreak/>
        <w:t xml:space="preserve">replacing a public hearing on the constitutionality of [the provision] before an independent and impartial court with the discretionary decision of a Crown prosecutor” (para. 86). It would create the potential for an “uneven and unequal application of the law” (para. 91) where an individual can face a fixed mandatory minimum punishment instead of a fit and proportionate sentence crafted by a judge, depending solely on a discretionary decision by the assigned Crown prosecutor. The public’s perception of this imbalance may undermine its confidence in the administration of justice. </w:t>
      </w:r>
    </w:p>
    <w:p w14:paraId="0B4026AD"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 xml:space="preserve">The incredible breadth of the luring offence and its harsh effect on representative offenders paired with the discordant internal scheme of the penalty </w:t>
      </w:r>
      <w:r w:rsidRPr="00DA0977">
        <w:t>renders the mandatory minimums in s. 172.1(2) constitutionally infirm</w:t>
      </w:r>
      <w:r w:rsidRPr="00DA0977">
        <w:rPr>
          <w:rFonts w:cs="Times New Roman"/>
          <w:lang w:eastAsia="en-CA"/>
        </w:rPr>
        <w:t xml:space="preserve">. </w:t>
      </w:r>
    </w:p>
    <w:p w14:paraId="371879F0" w14:textId="77777777" w:rsidR="00DA0977" w:rsidRPr="00DA0977" w:rsidRDefault="00DA0977" w:rsidP="00DA0977">
      <w:pPr>
        <w:pStyle w:val="ParaNoNdepar-AltN"/>
        <w:tabs>
          <w:tab w:val="clear" w:pos="7107"/>
          <w:tab w:val="num" w:pos="1152"/>
        </w:tabs>
        <w:ind w:left="0"/>
        <w:rPr>
          <w:rFonts w:cs="Times New Roman"/>
          <w:lang w:eastAsia="en-CA"/>
        </w:rPr>
      </w:pPr>
      <w:r w:rsidRPr="00DA0977">
        <w:rPr>
          <w:rFonts w:cs="Times New Roman"/>
          <w:lang w:eastAsia="en-CA"/>
        </w:rPr>
        <w:t xml:space="preserve">Let me be clear. Sexual offences against children are serious crimes and often warrant strict sanctions. For this reason, applying </w:t>
      </w:r>
      <w:r w:rsidRPr="00DA0977">
        <w:rPr>
          <w:rFonts w:cs="Times New Roman"/>
          <w:i/>
          <w:lang w:eastAsia="en-CA"/>
        </w:rPr>
        <w:t>Friesen</w:t>
      </w:r>
      <w:r w:rsidRPr="00DA0977">
        <w:rPr>
          <w:rFonts w:cs="Times New Roman"/>
          <w:lang w:eastAsia="en-CA"/>
        </w:rPr>
        <w:t>’s</w:t>
      </w:r>
      <w:r w:rsidRPr="00DA0977">
        <w:rPr>
          <w:rFonts w:cs="Times New Roman"/>
          <w:i/>
          <w:lang w:eastAsia="en-CA"/>
        </w:rPr>
        <w:t xml:space="preserve"> </w:t>
      </w:r>
      <w:r w:rsidRPr="00DA0977">
        <w:rPr>
          <w:rFonts w:cs="Times New Roman"/>
          <w:lang w:eastAsia="en-CA"/>
        </w:rPr>
        <w:t xml:space="preserve">principles to child luring will generally result in an increase in the sentences previously ascribed for these crimes. </w:t>
      </w:r>
      <w:r w:rsidRPr="00DA0977">
        <w:rPr>
          <w:rFonts w:cs="Times New Roman"/>
        </w:rPr>
        <w:t>However, there is no incongruity between affirming the severe wrongfulness and harms that often accompany child luring offences and finding the mandatory minimums ascribed to these sentences unconstitutional</w:t>
      </w:r>
      <w:r w:rsidRPr="00DA0977">
        <w:rPr>
          <w:rFonts w:cs="Times New Roman"/>
          <w:lang w:eastAsia="en-CA"/>
        </w:rPr>
        <w:t xml:space="preserve">. Mandatory minimum sentences establish the lowest possible punishment courts may render for the least culpable offender. They do not prevent judges from assigning lengthier sentences for more blameworthy conduct. As such, striking the mandatory minimum sentence should not disturb the effect that the maximum sentence has on sentencing outcomes. The guidance of </w:t>
      </w:r>
      <w:r w:rsidRPr="00DA0977">
        <w:rPr>
          <w:rFonts w:cs="Times New Roman"/>
          <w:i/>
          <w:lang w:eastAsia="en-CA"/>
        </w:rPr>
        <w:t xml:space="preserve">Friesen </w:t>
      </w:r>
      <w:r w:rsidRPr="00DA0977">
        <w:rPr>
          <w:rFonts w:cs="Times New Roman"/>
          <w:lang w:eastAsia="en-CA"/>
        </w:rPr>
        <w:t xml:space="preserve">on the primacy of denunciation and deterrence when sentencing </w:t>
      </w:r>
      <w:r w:rsidRPr="00DA0977">
        <w:rPr>
          <w:rFonts w:cs="Times New Roman"/>
          <w:lang w:eastAsia="en-CA"/>
        </w:rPr>
        <w:lastRenderedPageBreak/>
        <w:t xml:space="preserve">offenders for sexual offences against children remains. Removal of the mandatory minimum should not drain the deterrent effect of s. 172.1(2) any more than other offences where Parliament has directed denunciation and deterrence as primary sentencing objectives without assigning a mandatory minimum sentence. </w:t>
      </w:r>
    </w:p>
    <w:p w14:paraId="410AC3C7" w14:textId="77777777" w:rsidR="00DA0977" w:rsidRPr="00DA0977" w:rsidRDefault="00DA0977" w:rsidP="00DA0977">
      <w:pPr>
        <w:pStyle w:val="Title1LevelTitre1Niveau-AltL"/>
        <w:jc w:val="both"/>
        <w:rPr>
          <w:rFonts w:cs="Times New Roman"/>
        </w:rPr>
      </w:pPr>
      <w:bookmarkStart w:id="262" w:name="_Toc135041596"/>
      <w:bookmarkStart w:id="263" w:name="_Toc135322957"/>
      <w:bookmarkStart w:id="264" w:name="_Toc137199891"/>
      <w:bookmarkStart w:id="265" w:name="_Toc140674006"/>
      <w:bookmarkStart w:id="266" w:name="_Toc141096951"/>
      <w:bookmarkStart w:id="267" w:name="_Toc141694571"/>
      <w:bookmarkStart w:id="268" w:name="_Toc146612977"/>
      <w:r w:rsidRPr="00DA0977">
        <w:rPr>
          <w:rFonts w:cs="Times New Roman"/>
        </w:rPr>
        <w:t>Conclusion</w:t>
      </w:r>
      <w:bookmarkEnd w:id="262"/>
      <w:bookmarkEnd w:id="263"/>
      <w:bookmarkEnd w:id="264"/>
      <w:bookmarkEnd w:id="265"/>
      <w:bookmarkEnd w:id="266"/>
      <w:bookmarkEnd w:id="267"/>
      <w:bookmarkEnd w:id="268"/>
      <w:r w:rsidRPr="00DA0977">
        <w:rPr>
          <w:rFonts w:cs="Times New Roman"/>
        </w:rPr>
        <w:t xml:space="preserve"> </w:t>
      </w:r>
    </w:p>
    <w:p w14:paraId="55059018" w14:textId="77777777" w:rsidR="00DA0977" w:rsidRPr="00DA0977" w:rsidRDefault="00DA0977" w:rsidP="00DA0977">
      <w:pPr>
        <w:pStyle w:val="ParaNoNdepar-AltN"/>
        <w:tabs>
          <w:tab w:val="clear" w:pos="7107"/>
          <w:tab w:val="left" w:pos="1166"/>
        </w:tabs>
        <w:ind w:left="0"/>
        <w:rPr>
          <w:rFonts w:cs="Times New Roman"/>
        </w:rPr>
      </w:pPr>
      <w:r w:rsidRPr="00DA0977">
        <w:rPr>
          <w:rFonts w:cs="Times New Roman"/>
        </w:rPr>
        <w:t>Parliament is entitled to create criminal offences for broad purposes and with wide applications. Similarly, it may prioritize deterrence and denunciation in the crafting of fit and proportionate sentences and impose high maximum sentences to convey its view of the gravity of a particular offence.</w:t>
      </w:r>
    </w:p>
    <w:p w14:paraId="5175CAA6" w14:textId="77777777" w:rsidR="00DA0977" w:rsidRPr="00DA0977" w:rsidRDefault="00DA0977" w:rsidP="00DA0977">
      <w:pPr>
        <w:pStyle w:val="ParaNoNdepar-AltN"/>
        <w:tabs>
          <w:tab w:val="clear" w:pos="7107"/>
          <w:tab w:val="left" w:pos="1166"/>
        </w:tabs>
        <w:ind w:left="0"/>
        <w:rPr>
          <w:rFonts w:cs="Times New Roman"/>
        </w:rPr>
      </w:pPr>
      <w:r w:rsidRPr="00DA0977">
        <w:rPr>
          <w:rFonts w:cs="Times New Roman"/>
        </w:rPr>
        <w:t xml:space="preserve">However, when it imposes a mandatory minimum sentence for a given offence, which applies to all cases without discretion or discernment, it runs the risk of creating a grossly disproportionate and unconstitutional penalty. Exceptionally broad offences, even inherently serious ones, can be committed in a variety of ways and with different levels of harm and moral culpability. </w:t>
      </w:r>
      <w:r w:rsidRPr="00DA0977">
        <w:t>A predatory adult who communicates by means of telecommunication over a long period of time to manipulate a child for the purpose of facilitating one of the secondary offences in s. 172.1(1) may well merit a custodial sentence considerably in excess of the mandatory minimum. On the other hand, there will be cases in which the gravity of the offence and the degree of moral blameworthiness of the offender may not merit a custodial sentence at all — and in which the public would be shocked to hear that a legislated period of imprisonment automatically applies.</w:t>
      </w:r>
      <w:r w:rsidRPr="00DA0977">
        <w:rPr>
          <w:rFonts w:cs="Times New Roman"/>
        </w:rPr>
        <w:t xml:space="preserve"> </w:t>
      </w:r>
    </w:p>
    <w:p w14:paraId="2EEC2BA8" w14:textId="77777777" w:rsidR="00DA0977" w:rsidRPr="00DA0977" w:rsidRDefault="00DA0977" w:rsidP="00DA0977">
      <w:pPr>
        <w:pStyle w:val="ParaNoNdepar-AltN"/>
        <w:tabs>
          <w:tab w:val="clear" w:pos="7107"/>
          <w:tab w:val="left" w:pos="1166"/>
        </w:tabs>
        <w:ind w:left="0"/>
        <w:rPr>
          <w:rFonts w:cs="Times New Roman"/>
        </w:rPr>
      </w:pPr>
      <w:r w:rsidRPr="00DA0977">
        <w:lastRenderedPageBreak/>
        <w:t xml:space="preserve">This Court’s decision in </w:t>
      </w:r>
      <w:r w:rsidRPr="00DA0977">
        <w:rPr>
          <w:i/>
        </w:rPr>
        <w:t>Friesen</w:t>
      </w:r>
      <w:r w:rsidRPr="00DA0977">
        <w:t xml:space="preserve"> demands a more robust understanding of the wrongfulness and harms of luring, which will often yield greater penalties. However, given the enormous breadth of the luring offences, there will still be cases in which the mandatory minimum will be so out of sync with the realities of the gravity of the offence and the moral blameworthiness of the offender so as to shock the conscience of an informed public.</w:t>
      </w:r>
    </w:p>
    <w:p w14:paraId="35538E58" w14:textId="77777777" w:rsidR="00DA0977" w:rsidRPr="00DA0977" w:rsidRDefault="00DA0977" w:rsidP="00DA0977">
      <w:pPr>
        <w:pStyle w:val="ParaNoNdepar-AltN"/>
        <w:tabs>
          <w:tab w:val="clear" w:pos="7107"/>
          <w:tab w:val="left" w:pos="1166"/>
        </w:tabs>
        <w:ind w:left="0"/>
        <w:rPr>
          <w:rFonts w:cs="Times New Roman"/>
        </w:rPr>
      </w:pPr>
      <w:r w:rsidRPr="00DA0977">
        <w:rPr>
          <w:rFonts w:cs="Times New Roman"/>
        </w:rPr>
        <w:t>Indeed, despite strong statements in</w:t>
      </w:r>
      <w:r w:rsidRPr="00DA0977">
        <w:rPr>
          <w:rFonts w:cs="Times New Roman"/>
          <w:b/>
        </w:rPr>
        <w:t xml:space="preserve"> </w:t>
      </w:r>
      <w:r w:rsidRPr="00DA0977">
        <w:rPr>
          <w:rFonts w:cs="Times New Roman"/>
          <w:i/>
        </w:rPr>
        <w:t>Friesen</w:t>
      </w:r>
      <w:r w:rsidRPr="00DA0977">
        <w:rPr>
          <w:rFonts w:cs="Times New Roman"/>
          <w:b/>
        </w:rPr>
        <w:t xml:space="preserve"> </w:t>
      </w:r>
      <w:r w:rsidRPr="00DA0977">
        <w:rPr>
          <w:rFonts w:cs="Times New Roman"/>
        </w:rPr>
        <w:t xml:space="preserve">about the inherent wrongfulness and harmfulness of sexual violence against children, the Court expressly cautioned that their comments should not be taken as a direction to disregard relevant factors that may reduce the offender’s moral culpability. The proportionality principle still governs to require that “the punishment imposed be ‘just and appropriate . . . and nothing more’” (para. 91, quoting </w:t>
      </w:r>
      <w:r w:rsidRPr="00DA0977">
        <w:rPr>
          <w:rFonts w:cs="Times New Roman"/>
          <w:i/>
        </w:rPr>
        <w:t>M. (C.A.)</w:t>
      </w:r>
      <w:r w:rsidRPr="00DA0977">
        <w:rPr>
          <w:rFonts w:cs="Times New Roman"/>
        </w:rPr>
        <w:t xml:space="preserve">, at para. 80 (emphasis deleted)). </w:t>
      </w:r>
    </w:p>
    <w:p w14:paraId="6188964A" w14:textId="77777777" w:rsidR="00DA0977" w:rsidRPr="00DA0977" w:rsidRDefault="00DA0977" w:rsidP="00DA0977">
      <w:pPr>
        <w:pStyle w:val="ParaNoNdepar-AltN"/>
        <w:tabs>
          <w:tab w:val="clear" w:pos="7107"/>
          <w:tab w:val="left" w:pos="1166"/>
        </w:tabs>
        <w:ind w:left="0"/>
        <w:rPr>
          <w:rFonts w:cs="Times New Roman"/>
        </w:rPr>
      </w:pPr>
      <w:r w:rsidRPr="00DA0977">
        <w:rPr>
          <w:rFonts w:cs="Times New Roman"/>
        </w:rPr>
        <w:t>For the above reasons, I would allow the appeal in Mr. Bertrand Marchand’s case in part and increase Mr. Bertrand Marchand’s luring sentence to 12 months’ incarceration to be served consecutively to his sexual interference sentence. Both parties in that appeal have agreed that the remainder of the respondent’s sentence be permanently suspended. Accordingly, I order a permanent stay of execution of the modified sentence. I would affirm the conclusion in the courts below that the mandatory minimum sentence in s. 172.1(2)(a) is unconstitutional.</w:t>
      </w:r>
    </w:p>
    <w:p w14:paraId="4FFA8A4B" w14:textId="77777777" w:rsidR="00DA0977" w:rsidRPr="00DA0977" w:rsidRDefault="00DA0977" w:rsidP="00DA0977">
      <w:pPr>
        <w:pStyle w:val="ParaNoNdepar-AltN"/>
        <w:tabs>
          <w:tab w:val="clear" w:pos="7107"/>
          <w:tab w:val="left" w:pos="1166"/>
        </w:tabs>
        <w:ind w:left="0"/>
        <w:rPr>
          <w:rFonts w:cs="Times New Roman"/>
        </w:rPr>
      </w:pPr>
      <w:r w:rsidRPr="00DA0977">
        <w:rPr>
          <w:rFonts w:cs="Times New Roman"/>
        </w:rPr>
        <w:t>I would dismiss the appeal in H.V.’s case, which has the effect of affirming that the mandatory minimum sentence in s. 172.1(2)(b) is unconstitutional.</w:t>
      </w:r>
    </w:p>
    <w:p w14:paraId="59985149" w14:textId="77777777" w:rsidR="00DA0977" w:rsidRPr="00DA0977" w:rsidRDefault="00DA0977" w:rsidP="00DA0977">
      <w:pPr>
        <w:pStyle w:val="ParaNoNdepar-AltN"/>
        <w:tabs>
          <w:tab w:val="clear" w:pos="7107"/>
          <w:tab w:val="left" w:pos="1166"/>
          <w:tab w:val="num" w:pos="1422"/>
        </w:tabs>
        <w:ind w:left="0"/>
        <w:rPr>
          <w:rFonts w:cs="Times New Roman"/>
        </w:rPr>
      </w:pPr>
      <w:r w:rsidRPr="00DA0977">
        <w:rPr>
          <w:rFonts w:cs="Times New Roman"/>
        </w:rPr>
        <w:lastRenderedPageBreak/>
        <w:t xml:space="preserve">The mandatory minimum sentences in s. 172.1(2)(a) and (b) of the </w:t>
      </w:r>
      <w:r w:rsidRPr="00DA0977">
        <w:rPr>
          <w:rFonts w:cs="Times New Roman"/>
          <w:i/>
        </w:rPr>
        <w:t>Criminal Code</w:t>
      </w:r>
      <w:r w:rsidRPr="00DA0977">
        <w:rPr>
          <w:rFonts w:cs="Times New Roman"/>
        </w:rPr>
        <w:t xml:space="preserve"> are inconsistent with s. 12 of the </w:t>
      </w:r>
      <w:r w:rsidRPr="00DA0977">
        <w:rPr>
          <w:rFonts w:cs="Times New Roman"/>
          <w:i/>
        </w:rPr>
        <w:t>Charter</w:t>
      </w:r>
      <w:r w:rsidRPr="00DA0977">
        <w:rPr>
          <w:rFonts w:cs="Times New Roman"/>
        </w:rPr>
        <w:t xml:space="preserve">, are not saved by s. 1 and are declared of no force or effect under s. 52 of the </w:t>
      </w:r>
      <w:r w:rsidRPr="00DA0977">
        <w:rPr>
          <w:rFonts w:cs="Times New Roman"/>
          <w:i/>
        </w:rPr>
        <w:t>Constitution Act, 1982</w:t>
      </w:r>
      <w:r w:rsidRPr="00DA0977">
        <w:rPr>
          <w:rFonts w:cs="Times New Roman"/>
        </w:rPr>
        <w:t>.</w:t>
      </w:r>
      <w:r w:rsidRPr="00DA0977">
        <w:rPr>
          <w:rFonts w:cs="Times New Roman"/>
          <w:i/>
        </w:rPr>
        <w:t xml:space="preserve"> </w:t>
      </w:r>
    </w:p>
    <w:p w14:paraId="7AC60F15" w14:textId="77777777" w:rsidR="00DA0977" w:rsidRPr="00DA0977" w:rsidRDefault="00DA0977" w:rsidP="00DA0977">
      <w:pPr>
        <w:tabs>
          <w:tab w:val="left" w:pos="1134"/>
        </w:tabs>
      </w:pPr>
      <w:r w:rsidRPr="001F12F7">
        <w:rPr>
          <w:lang w:val="en-US"/>
        </w:rPr>
        <w:tab/>
      </w:r>
      <w:r w:rsidRPr="00DA0977">
        <w:t>English version of the reasons delivered by</w:t>
      </w:r>
    </w:p>
    <w:p w14:paraId="1B3D911E" w14:textId="77777777" w:rsidR="00DA0977" w:rsidRPr="00DA0977" w:rsidRDefault="00DA0977" w:rsidP="00DA0977">
      <w:pPr>
        <w:tabs>
          <w:tab w:val="left" w:pos="1134"/>
        </w:tabs>
      </w:pPr>
    </w:p>
    <w:p w14:paraId="1B3004FA" w14:textId="77777777" w:rsidR="00DA0977" w:rsidRPr="00DA0977" w:rsidRDefault="00DA0977" w:rsidP="00DA0977">
      <w:pPr>
        <w:pStyle w:val="JudgeJuge"/>
        <w:spacing w:before="240"/>
      </w:pPr>
      <w:r w:rsidRPr="00DA0977">
        <w:tab/>
        <w:t xml:space="preserve">Côté J. —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DA0977" w:rsidRPr="00DA0977" w14:paraId="3964F68E" w14:textId="77777777" w:rsidTr="00B64CF0">
        <w:trPr>
          <w:trHeight w:val="432"/>
        </w:trPr>
        <w:tc>
          <w:tcPr>
            <w:tcW w:w="9356" w:type="dxa"/>
            <w:gridSpan w:val="2"/>
          </w:tcPr>
          <w:p w14:paraId="1C3BB394" w14:textId="77777777" w:rsidR="00DA0977" w:rsidRPr="00DA0977" w:rsidRDefault="00DA0977" w:rsidP="00B64CF0">
            <w:pPr>
              <w:tabs>
                <w:tab w:val="center" w:pos="4050"/>
              </w:tabs>
              <w:rPr>
                <w:b/>
                <w:szCs w:val="24"/>
              </w:rPr>
            </w:pPr>
            <w:r w:rsidRPr="00DA0977">
              <w:rPr>
                <w:b/>
                <w:szCs w:val="24"/>
              </w:rPr>
              <w:tab/>
              <w:t>TABLE OF CONTENTS</w:t>
            </w:r>
          </w:p>
        </w:tc>
      </w:tr>
      <w:tr w:rsidR="00DA0977" w:rsidRPr="00DA0977" w14:paraId="284FACAC" w14:textId="77777777" w:rsidTr="00B64CF0">
        <w:trPr>
          <w:trHeight w:val="432"/>
        </w:trPr>
        <w:tc>
          <w:tcPr>
            <w:tcW w:w="9356" w:type="dxa"/>
            <w:gridSpan w:val="2"/>
          </w:tcPr>
          <w:p w14:paraId="71536B7E" w14:textId="77777777" w:rsidR="00DA0977" w:rsidRPr="00DA0977" w:rsidRDefault="00DA0977" w:rsidP="00B64CF0">
            <w:pPr>
              <w:tabs>
                <w:tab w:val="center" w:pos="4050"/>
              </w:tabs>
              <w:jc w:val="right"/>
              <w:rPr>
                <w:szCs w:val="24"/>
              </w:rPr>
            </w:pPr>
            <w:r w:rsidRPr="00DA0977">
              <w:rPr>
                <w:szCs w:val="24"/>
              </w:rPr>
              <w:t>Paragraph</w:t>
            </w:r>
          </w:p>
        </w:tc>
      </w:tr>
      <w:tr w:rsidR="00DA0977" w:rsidRPr="00DA0977" w14:paraId="36C46989" w14:textId="77777777" w:rsidTr="00B64CF0">
        <w:trPr>
          <w:trHeight w:val="432"/>
        </w:trPr>
        <w:tc>
          <w:tcPr>
            <w:tcW w:w="8505" w:type="dxa"/>
          </w:tcPr>
          <w:p w14:paraId="13A00B8B" w14:textId="77777777" w:rsidR="00DA0977" w:rsidRPr="00DA0977" w:rsidRDefault="00DA0977" w:rsidP="00B64CF0">
            <w:pPr>
              <w:tabs>
                <w:tab w:val="left" w:pos="480"/>
                <w:tab w:val="right" w:leader="dot" w:pos="8270"/>
              </w:tabs>
              <w:spacing w:after="100"/>
              <w:rPr>
                <w:szCs w:val="24"/>
              </w:rPr>
            </w:pPr>
            <w:r w:rsidRPr="00DA0977">
              <w:rPr>
                <w:szCs w:val="24"/>
                <w:lang w:bidi="en-US"/>
              </w:rPr>
              <w:t>I.</w:t>
            </w:r>
            <w:r w:rsidRPr="00DA0977">
              <w:rPr>
                <w:szCs w:val="24"/>
              </w:rPr>
              <w:tab/>
            </w:r>
            <w:r w:rsidRPr="00DA0977">
              <w:rPr>
                <w:szCs w:val="24"/>
                <w:u w:val="single"/>
              </w:rPr>
              <w:t>Overview</w:t>
            </w:r>
          </w:p>
        </w:tc>
        <w:tc>
          <w:tcPr>
            <w:tcW w:w="851" w:type="dxa"/>
          </w:tcPr>
          <w:p w14:paraId="7DE78ACA" w14:textId="77777777" w:rsidR="00DA0977" w:rsidRPr="00DA0977" w:rsidRDefault="00DA0977" w:rsidP="007F7C45">
            <w:pPr>
              <w:tabs>
                <w:tab w:val="left" w:pos="480"/>
                <w:tab w:val="right" w:leader="dot" w:pos="8270"/>
              </w:tabs>
              <w:spacing w:after="100"/>
              <w:jc w:val="center"/>
              <w:rPr>
                <w:szCs w:val="24"/>
                <w:lang w:bidi="en-US"/>
              </w:rPr>
            </w:pPr>
            <w:r w:rsidRPr="00DA0977">
              <w:rPr>
                <w:szCs w:val="24"/>
                <w:lang w:bidi="en-US"/>
              </w:rPr>
              <w:t>175</w:t>
            </w:r>
          </w:p>
        </w:tc>
      </w:tr>
      <w:tr w:rsidR="00DA0977" w:rsidRPr="00DA0977" w14:paraId="059900B2" w14:textId="77777777" w:rsidTr="00B64CF0">
        <w:trPr>
          <w:trHeight w:val="432"/>
        </w:trPr>
        <w:tc>
          <w:tcPr>
            <w:tcW w:w="8505" w:type="dxa"/>
          </w:tcPr>
          <w:p w14:paraId="281173E1" w14:textId="77777777" w:rsidR="00DA0977" w:rsidRPr="00DA0977" w:rsidRDefault="00DA0977" w:rsidP="00B64CF0">
            <w:pPr>
              <w:tabs>
                <w:tab w:val="left" w:pos="480"/>
                <w:tab w:val="right" w:leader="dot" w:pos="8270"/>
              </w:tabs>
              <w:spacing w:after="100"/>
              <w:rPr>
                <w:szCs w:val="24"/>
              </w:rPr>
            </w:pPr>
            <w:r w:rsidRPr="00DA0977">
              <w:rPr>
                <w:szCs w:val="24"/>
                <w:lang w:bidi="en-US"/>
              </w:rPr>
              <w:t>II.</w:t>
            </w:r>
            <w:r w:rsidRPr="00DA0977">
              <w:rPr>
                <w:szCs w:val="24"/>
              </w:rPr>
              <w:tab/>
            </w:r>
            <w:r w:rsidRPr="00DA0977">
              <w:rPr>
                <w:szCs w:val="24"/>
                <w:u w:val="single"/>
              </w:rPr>
              <w:t>Analysis</w:t>
            </w:r>
          </w:p>
        </w:tc>
        <w:tc>
          <w:tcPr>
            <w:tcW w:w="851" w:type="dxa"/>
          </w:tcPr>
          <w:p w14:paraId="409740AD" w14:textId="77777777" w:rsidR="00DA0977" w:rsidRPr="00DA0977" w:rsidRDefault="00DA0977" w:rsidP="007F7C45">
            <w:pPr>
              <w:tabs>
                <w:tab w:val="left" w:pos="480"/>
                <w:tab w:val="right" w:leader="dot" w:pos="8270"/>
              </w:tabs>
              <w:spacing w:after="100"/>
              <w:jc w:val="center"/>
              <w:rPr>
                <w:szCs w:val="24"/>
                <w:lang w:bidi="en-US"/>
              </w:rPr>
            </w:pPr>
            <w:r w:rsidRPr="00DA0977">
              <w:rPr>
                <w:szCs w:val="24"/>
                <w:lang w:bidi="en-US"/>
              </w:rPr>
              <w:t>182</w:t>
            </w:r>
          </w:p>
        </w:tc>
      </w:tr>
      <w:tr w:rsidR="00DA0977" w:rsidRPr="00DA0977" w14:paraId="3A9ACCD1" w14:textId="77777777" w:rsidTr="00B64CF0">
        <w:trPr>
          <w:trHeight w:val="432"/>
        </w:trPr>
        <w:tc>
          <w:tcPr>
            <w:tcW w:w="8505" w:type="dxa"/>
          </w:tcPr>
          <w:p w14:paraId="59BC69F4" w14:textId="77777777" w:rsidR="00DA0977" w:rsidRPr="00DA0977" w:rsidRDefault="00DA0977" w:rsidP="00B64CF0">
            <w:pPr>
              <w:tabs>
                <w:tab w:val="left" w:pos="480"/>
                <w:tab w:val="right" w:leader="dot" w:pos="8270"/>
              </w:tabs>
              <w:spacing w:after="100"/>
              <w:rPr>
                <w:szCs w:val="24"/>
                <w:lang w:bidi="en-US"/>
              </w:rPr>
            </w:pPr>
            <w:r w:rsidRPr="00DA0977">
              <w:rPr>
                <w:szCs w:val="24"/>
              </w:rPr>
              <w:tab/>
            </w:r>
            <w:r w:rsidRPr="00DA0977">
              <w:rPr>
                <w:i/>
              </w:rPr>
              <w:t>Section 172.1(2) Cr. C. Does Not Violate Section 12 of the Charter</w:t>
            </w:r>
          </w:p>
        </w:tc>
        <w:tc>
          <w:tcPr>
            <w:tcW w:w="851" w:type="dxa"/>
          </w:tcPr>
          <w:p w14:paraId="2C39A5CF" w14:textId="77777777" w:rsidR="00DA0977" w:rsidRPr="00DA0977" w:rsidRDefault="00DA0977" w:rsidP="007F7C45">
            <w:pPr>
              <w:tabs>
                <w:tab w:val="left" w:pos="480"/>
                <w:tab w:val="right" w:leader="dot" w:pos="8270"/>
              </w:tabs>
              <w:spacing w:after="100"/>
              <w:jc w:val="center"/>
              <w:rPr>
                <w:szCs w:val="24"/>
                <w:lang w:bidi="en-US"/>
              </w:rPr>
            </w:pPr>
            <w:r w:rsidRPr="00DA0977">
              <w:rPr>
                <w:szCs w:val="24"/>
                <w:lang w:bidi="en-US"/>
              </w:rPr>
              <w:t>182</w:t>
            </w:r>
          </w:p>
        </w:tc>
      </w:tr>
      <w:tr w:rsidR="00DA0977" w:rsidRPr="00DA0977" w14:paraId="5027A313" w14:textId="77777777" w:rsidTr="00B64CF0">
        <w:trPr>
          <w:trHeight w:val="432"/>
        </w:trPr>
        <w:tc>
          <w:tcPr>
            <w:tcW w:w="8505" w:type="dxa"/>
          </w:tcPr>
          <w:p w14:paraId="5FB046DD" w14:textId="77777777" w:rsidR="00DA0977" w:rsidRPr="00DA0977" w:rsidRDefault="00DA0977" w:rsidP="00B64CF0">
            <w:pPr>
              <w:tabs>
                <w:tab w:val="left" w:pos="1100"/>
                <w:tab w:val="right" w:leader="dot" w:pos="8270"/>
              </w:tabs>
              <w:spacing w:after="100"/>
              <w:ind w:left="1080" w:hanging="540"/>
              <w:rPr>
                <w:szCs w:val="24"/>
                <w:lang w:bidi="en-US"/>
              </w:rPr>
            </w:pPr>
            <w:r w:rsidRPr="00DA0977">
              <w:rPr>
                <w:szCs w:val="24"/>
                <w:lang w:bidi="en-US"/>
                <w14:scene3d>
                  <w14:camera w14:prst="orthographicFront"/>
                  <w14:lightRig w14:rig="threePt" w14:dir="t">
                    <w14:rot w14:lat="0" w14:lon="0" w14:rev="0"/>
                  </w14:lightRig>
                </w14:scene3d>
              </w:rPr>
              <w:t>(1)</w:t>
            </w:r>
            <w:r w:rsidRPr="00DA0977">
              <w:rPr>
                <w:szCs w:val="24"/>
              </w:rPr>
              <w:tab/>
            </w:r>
            <w:r w:rsidRPr="00DA0977">
              <w:rPr>
                <w:szCs w:val="24"/>
                <w:u w:val="single"/>
              </w:rPr>
              <w:t>The Fit and Appropriate</w:t>
            </w:r>
            <w:r w:rsidRPr="00DA0977">
              <w:rPr>
                <w:u w:val="single"/>
              </w:rPr>
              <w:t xml:space="preserve"> Sentence for the Offender in the First Reasonably Foreseeable Hypothetical Scenario</w:t>
            </w:r>
          </w:p>
        </w:tc>
        <w:tc>
          <w:tcPr>
            <w:tcW w:w="851" w:type="dxa"/>
          </w:tcPr>
          <w:p w14:paraId="089B7D6E" w14:textId="77777777" w:rsidR="00DA0977" w:rsidRPr="00DA0977" w:rsidRDefault="00DA0977" w:rsidP="007F7C45">
            <w:pPr>
              <w:tabs>
                <w:tab w:val="left" w:pos="480"/>
                <w:tab w:val="right" w:leader="dot" w:pos="8270"/>
              </w:tabs>
              <w:spacing w:after="100"/>
              <w:jc w:val="center"/>
              <w:rPr>
                <w:szCs w:val="24"/>
                <w:lang w:bidi="en-US"/>
              </w:rPr>
            </w:pPr>
            <w:r w:rsidRPr="00DA0977">
              <w:rPr>
                <w:szCs w:val="24"/>
                <w:lang w:bidi="en-US"/>
              </w:rPr>
              <w:t>184</w:t>
            </w:r>
          </w:p>
        </w:tc>
      </w:tr>
      <w:tr w:rsidR="00DA0977" w:rsidRPr="00DA0977" w14:paraId="0EAF3295" w14:textId="77777777" w:rsidTr="00B64CF0">
        <w:trPr>
          <w:trHeight w:val="432"/>
        </w:trPr>
        <w:tc>
          <w:tcPr>
            <w:tcW w:w="8505" w:type="dxa"/>
          </w:tcPr>
          <w:p w14:paraId="1BA7FFFF" w14:textId="77777777" w:rsidR="00DA0977" w:rsidRPr="00DA0977" w:rsidRDefault="00DA0977" w:rsidP="00B64CF0">
            <w:pPr>
              <w:tabs>
                <w:tab w:val="left" w:pos="1100"/>
                <w:tab w:val="right" w:leader="dot" w:pos="8270"/>
              </w:tabs>
              <w:spacing w:after="100"/>
              <w:ind w:left="1080" w:hanging="540"/>
              <w:rPr>
                <w:szCs w:val="24"/>
                <w:lang w:bidi="en-US"/>
              </w:rPr>
            </w:pPr>
            <w:r w:rsidRPr="00DA0977">
              <w:rPr>
                <w:szCs w:val="24"/>
                <w:lang w:bidi="en-US"/>
                <w14:scene3d>
                  <w14:camera w14:prst="orthographicFront"/>
                  <w14:lightRig w14:rig="threePt" w14:dir="t">
                    <w14:rot w14:lat="0" w14:lon="0" w14:rev="0"/>
                  </w14:lightRig>
                </w14:scene3d>
              </w:rPr>
              <w:t>(2)</w:t>
            </w:r>
            <w:r w:rsidRPr="00DA0977">
              <w:rPr>
                <w:szCs w:val="24"/>
              </w:rPr>
              <w:tab/>
            </w:r>
            <w:r w:rsidRPr="00DA0977">
              <w:rPr>
                <w:szCs w:val="24"/>
                <w:u w:val="single"/>
              </w:rPr>
              <w:t>The Fit and Appropriate</w:t>
            </w:r>
            <w:r w:rsidRPr="00DA0977">
              <w:rPr>
                <w:u w:val="single"/>
              </w:rPr>
              <w:t xml:space="preserve"> Sentence for the Offender in the Second Reasonably Foreseeable Hypothetical Scenario</w:t>
            </w:r>
          </w:p>
        </w:tc>
        <w:tc>
          <w:tcPr>
            <w:tcW w:w="851" w:type="dxa"/>
          </w:tcPr>
          <w:p w14:paraId="1714A94A" w14:textId="77777777" w:rsidR="00DA0977" w:rsidRPr="00DA0977" w:rsidRDefault="00DA0977" w:rsidP="007F7C45">
            <w:pPr>
              <w:tabs>
                <w:tab w:val="left" w:pos="480"/>
                <w:tab w:val="right" w:leader="dot" w:pos="8270"/>
              </w:tabs>
              <w:spacing w:after="100"/>
              <w:jc w:val="center"/>
              <w:rPr>
                <w:szCs w:val="24"/>
                <w:lang w:bidi="en-US"/>
              </w:rPr>
            </w:pPr>
            <w:r w:rsidRPr="00DA0977">
              <w:rPr>
                <w:szCs w:val="24"/>
                <w:lang w:bidi="en-US"/>
              </w:rPr>
              <w:t>201</w:t>
            </w:r>
          </w:p>
        </w:tc>
      </w:tr>
      <w:tr w:rsidR="00DA0977" w:rsidRPr="00DA0977" w14:paraId="633E811D" w14:textId="77777777" w:rsidTr="00B64CF0">
        <w:trPr>
          <w:trHeight w:val="432"/>
        </w:trPr>
        <w:tc>
          <w:tcPr>
            <w:tcW w:w="8505" w:type="dxa"/>
          </w:tcPr>
          <w:p w14:paraId="72344888" w14:textId="77777777" w:rsidR="00DA0977" w:rsidRPr="00DA0977" w:rsidRDefault="00DA0977" w:rsidP="00B64CF0">
            <w:pPr>
              <w:tabs>
                <w:tab w:val="left" w:pos="1100"/>
                <w:tab w:val="right" w:leader="dot" w:pos="8270"/>
              </w:tabs>
              <w:spacing w:after="100"/>
              <w:ind w:left="1080" w:hanging="540"/>
              <w:rPr>
                <w:szCs w:val="24"/>
                <w:lang w:bidi="en-US"/>
              </w:rPr>
            </w:pPr>
            <w:r w:rsidRPr="00DA0977">
              <w:rPr>
                <w:szCs w:val="24"/>
                <w:lang w:bidi="en-US"/>
                <w14:scene3d>
                  <w14:camera w14:prst="orthographicFront"/>
                  <w14:lightRig w14:rig="threePt" w14:dir="t">
                    <w14:rot w14:lat="0" w14:lon="0" w14:rev="0"/>
                  </w14:lightRig>
                </w14:scene3d>
              </w:rPr>
              <w:t>(3)</w:t>
            </w:r>
            <w:r w:rsidRPr="00DA0977">
              <w:rPr>
                <w:szCs w:val="24"/>
              </w:rPr>
              <w:tab/>
            </w:r>
            <w:r w:rsidRPr="00DA0977">
              <w:rPr>
                <w:u w:val="single"/>
              </w:rPr>
              <w:t xml:space="preserve">The Difference Between the Fit and Appropriate Sentences for the Offenders in the Reasonably Foreseeable Hypothetical Scenarios and the Minimum Term of Imprisonment Provided for in Section 172.1(2)(a) </w:t>
            </w:r>
            <w:r w:rsidRPr="00DA0977">
              <w:rPr>
                <w:i/>
                <w:u w:val="single"/>
              </w:rPr>
              <w:t>Cr. C.</w:t>
            </w:r>
            <w:r w:rsidRPr="00DA0977">
              <w:rPr>
                <w:u w:val="single"/>
              </w:rPr>
              <w:t xml:space="preserve"> Is Not Grossly Disproportionate</w:t>
            </w:r>
          </w:p>
        </w:tc>
        <w:tc>
          <w:tcPr>
            <w:tcW w:w="851" w:type="dxa"/>
          </w:tcPr>
          <w:p w14:paraId="5ACF7168" w14:textId="77777777" w:rsidR="00DA0977" w:rsidRPr="00DA0977" w:rsidRDefault="00DA0977" w:rsidP="007F7C45">
            <w:pPr>
              <w:tabs>
                <w:tab w:val="left" w:pos="480"/>
                <w:tab w:val="right" w:leader="dot" w:pos="8270"/>
              </w:tabs>
              <w:spacing w:after="100"/>
              <w:jc w:val="center"/>
              <w:rPr>
                <w:szCs w:val="24"/>
                <w:lang w:bidi="en-US"/>
              </w:rPr>
            </w:pPr>
            <w:r w:rsidRPr="00DA0977">
              <w:rPr>
                <w:szCs w:val="24"/>
                <w:lang w:bidi="en-US"/>
              </w:rPr>
              <w:t>212</w:t>
            </w:r>
          </w:p>
        </w:tc>
      </w:tr>
      <w:tr w:rsidR="00DA0977" w:rsidRPr="00DA0977" w14:paraId="08B1AEF3" w14:textId="77777777" w:rsidTr="00B64CF0">
        <w:trPr>
          <w:trHeight w:val="432"/>
        </w:trPr>
        <w:tc>
          <w:tcPr>
            <w:tcW w:w="8505" w:type="dxa"/>
            <w:hideMark/>
          </w:tcPr>
          <w:p w14:paraId="6FEC29AC" w14:textId="77777777" w:rsidR="00DA0977" w:rsidRPr="00DA0977" w:rsidRDefault="00DA0977" w:rsidP="00315C0C">
            <w:pPr>
              <w:tabs>
                <w:tab w:val="left" w:pos="1080"/>
                <w:tab w:val="right" w:leader="dot" w:pos="8270"/>
              </w:tabs>
              <w:spacing w:after="100"/>
              <w:ind w:left="1080" w:hanging="540"/>
              <w:rPr>
                <w:szCs w:val="24"/>
              </w:rPr>
            </w:pPr>
            <w:r w:rsidRPr="00DA0977">
              <w:rPr>
                <w:szCs w:val="24"/>
                <w14:scene3d>
                  <w14:camera w14:prst="orthographicFront"/>
                  <w14:lightRig w14:rig="threePt" w14:dir="t">
                    <w14:rot w14:lat="0" w14:lon="0" w14:rev="0"/>
                  </w14:lightRig>
                </w14:scene3d>
              </w:rPr>
              <w:t>(a)</w:t>
            </w:r>
            <w:r w:rsidRPr="00DA0977">
              <w:rPr>
                <w:szCs w:val="24"/>
              </w:rPr>
              <w:tab/>
            </w:r>
            <w:r w:rsidRPr="00DA0977">
              <w:rPr>
                <w:i/>
                <w:iCs/>
                <w:szCs w:val="24"/>
              </w:rPr>
              <w:t>The Offence of Child Luring Is Broad in Scope but Always Involves Conduct With a High Degree of Moral Blameworthiness as Well as Harm or a Risk of Harm</w:t>
            </w:r>
          </w:p>
        </w:tc>
        <w:tc>
          <w:tcPr>
            <w:tcW w:w="851" w:type="dxa"/>
          </w:tcPr>
          <w:p w14:paraId="52079A27" w14:textId="77777777" w:rsidR="00DA0977" w:rsidRPr="00DA0977" w:rsidRDefault="00DA0977" w:rsidP="007F7C45">
            <w:pPr>
              <w:tabs>
                <w:tab w:val="left" w:pos="480"/>
                <w:tab w:val="right" w:leader="dot" w:pos="8270"/>
              </w:tabs>
              <w:spacing w:after="100"/>
              <w:jc w:val="center"/>
              <w:rPr>
                <w:lang w:bidi="en-US"/>
              </w:rPr>
            </w:pPr>
            <w:r w:rsidRPr="00DA0977">
              <w:rPr>
                <w:lang w:bidi="en-US"/>
              </w:rPr>
              <w:t>212</w:t>
            </w:r>
          </w:p>
        </w:tc>
      </w:tr>
      <w:tr w:rsidR="00DA0977" w:rsidRPr="00DA0977" w14:paraId="70F2BD3E" w14:textId="77777777" w:rsidTr="00B64CF0">
        <w:trPr>
          <w:trHeight w:val="432"/>
        </w:trPr>
        <w:tc>
          <w:tcPr>
            <w:tcW w:w="8505" w:type="dxa"/>
          </w:tcPr>
          <w:p w14:paraId="23915F85" w14:textId="4410816E" w:rsidR="00DA0977" w:rsidRPr="00DA0977" w:rsidRDefault="00DA0977" w:rsidP="00315C0C">
            <w:pPr>
              <w:tabs>
                <w:tab w:val="right" w:pos="8270"/>
              </w:tabs>
              <w:spacing w:after="100"/>
              <w:ind w:left="1080" w:hanging="540"/>
              <w:rPr>
                <w:szCs w:val="24"/>
                <w:lang w:bidi="en-US"/>
                <w14:scene3d>
                  <w14:camera w14:prst="orthographicFront"/>
                  <w14:lightRig w14:rig="threePt" w14:dir="t">
                    <w14:rot w14:lat="0" w14:lon="0" w14:rev="0"/>
                  </w14:lightRig>
                </w14:scene3d>
              </w:rPr>
            </w:pPr>
            <w:r w:rsidRPr="00DA0977">
              <w:rPr>
                <w:szCs w:val="24"/>
                <w14:scene3d>
                  <w14:camera w14:prst="orthographicFront"/>
                  <w14:lightRig w14:rig="threePt" w14:dir="t">
                    <w14:rot w14:lat="0" w14:lon="0" w14:rev="0"/>
                  </w14:lightRig>
                </w14:scene3d>
              </w:rPr>
              <w:t>(b)</w:t>
            </w:r>
            <w:r w:rsidR="00315C0C" w:rsidRPr="00DA0977">
              <w:rPr>
                <w:szCs w:val="24"/>
              </w:rPr>
              <w:tab/>
            </w:r>
            <w:r w:rsidRPr="00DA0977">
              <w:rPr>
                <w:i/>
                <w:iCs/>
                <w:szCs w:val="24"/>
              </w:rPr>
              <w:t>The Effects of the Minimum Term of Imprisonment on the Offenders in the Reasonably Foreseeable Hypothetical Scenarios Are Not Incompatible With Human Dignity</w:t>
            </w:r>
          </w:p>
        </w:tc>
        <w:tc>
          <w:tcPr>
            <w:tcW w:w="851" w:type="dxa"/>
          </w:tcPr>
          <w:p w14:paraId="1B0A307C" w14:textId="77777777" w:rsidR="00DA0977" w:rsidRPr="00DA0977" w:rsidRDefault="00DA0977" w:rsidP="007F7C45">
            <w:pPr>
              <w:tabs>
                <w:tab w:val="left" w:pos="480"/>
                <w:tab w:val="right" w:leader="dot" w:pos="8270"/>
              </w:tabs>
              <w:spacing w:after="100"/>
              <w:jc w:val="center"/>
              <w:rPr>
                <w:lang w:bidi="en-US"/>
              </w:rPr>
            </w:pPr>
            <w:r w:rsidRPr="00DA0977">
              <w:rPr>
                <w:lang w:bidi="en-US"/>
              </w:rPr>
              <w:t>222</w:t>
            </w:r>
          </w:p>
        </w:tc>
      </w:tr>
      <w:tr w:rsidR="00DA0977" w:rsidRPr="00DA0977" w14:paraId="595022DC" w14:textId="77777777" w:rsidTr="00B64CF0">
        <w:trPr>
          <w:trHeight w:val="432"/>
        </w:trPr>
        <w:tc>
          <w:tcPr>
            <w:tcW w:w="8505" w:type="dxa"/>
          </w:tcPr>
          <w:p w14:paraId="2B52D635" w14:textId="77777777" w:rsidR="00DA0977" w:rsidRPr="00DA0977" w:rsidRDefault="00DA0977" w:rsidP="00315C0C">
            <w:pPr>
              <w:tabs>
                <w:tab w:val="right" w:pos="8270"/>
              </w:tabs>
              <w:spacing w:after="100"/>
              <w:ind w:left="1080" w:hanging="540"/>
              <w:rPr>
                <w:szCs w:val="24"/>
                <w:lang w:bidi="en-US"/>
                <w14:scene3d>
                  <w14:camera w14:prst="orthographicFront"/>
                  <w14:lightRig w14:rig="threePt" w14:dir="t">
                    <w14:rot w14:lat="0" w14:lon="0" w14:rev="0"/>
                  </w14:lightRig>
                </w14:scene3d>
              </w:rPr>
            </w:pPr>
            <w:r w:rsidRPr="00DA0977">
              <w:rPr>
                <w:szCs w:val="24"/>
                <w14:scene3d>
                  <w14:camera w14:prst="orthographicFront"/>
                  <w14:lightRig w14:rig="threePt" w14:dir="t">
                    <w14:rot w14:lat="0" w14:lon="0" w14:rev="0"/>
                  </w14:lightRig>
                </w14:scene3d>
              </w:rPr>
              <w:t>(c)</w:t>
            </w:r>
            <w:r w:rsidRPr="00DA0977">
              <w:rPr>
                <w:szCs w:val="24"/>
              </w:rPr>
              <w:tab/>
            </w:r>
            <w:bookmarkStart w:id="269" w:name="_Hlk143677499"/>
            <w:r w:rsidRPr="00DA0977">
              <w:rPr>
                <w:i/>
                <w:iCs/>
                <w:szCs w:val="24"/>
              </w:rPr>
              <w:t>The Minimum Term of Imprisonment Is Not Grossly Disproportionate to What Is Necessary to Achieve Parliament’s Objectives</w:t>
            </w:r>
            <w:bookmarkEnd w:id="269"/>
          </w:p>
        </w:tc>
        <w:tc>
          <w:tcPr>
            <w:tcW w:w="851" w:type="dxa"/>
          </w:tcPr>
          <w:p w14:paraId="23F06B46" w14:textId="77777777" w:rsidR="00DA0977" w:rsidRPr="00DA0977" w:rsidRDefault="00DA0977" w:rsidP="007F7C45">
            <w:pPr>
              <w:tabs>
                <w:tab w:val="left" w:pos="480"/>
                <w:tab w:val="right" w:leader="dot" w:pos="8270"/>
              </w:tabs>
              <w:spacing w:after="100"/>
              <w:jc w:val="center"/>
              <w:rPr>
                <w:lang w:bidi="en-US"/>
              </w:rPr>
            </w:pPr>
            <w:r w:rsidRPr="00DA0977">
              <w:rPr>
                <w:lang w:bidi="en-US"/>
              </w:rPr>
              <w:t>226</w:t>
            </w:r>
          </w:p>
        </w:tc>
      </w:tr>
      <w:tr w:rsidR="00DA0977" w:rsidRPr="00DA0977" w14:paraId="5FCE0E94" w14:textId="77777777" w:rsidTr="00B64CF0">
        <w:trPr>
          <w:trHeight w:val="432"/>
        </w:trPr>
        <w:tc>
          <w:tcPr>
            <w:tcW w:w="8505" w:type="dxa"/>
          </w:tcPr>
          <w:p w14:paraId="7256483B" w14:textId="77777777" w:rsidR="00DA0977" w:rsidRPr="00DA0977" w:rsidRDefault="00DA0977" w:rsidP="00B64CF0">
            <w:pPr>
              <w:tabs>
                <w:tab w:val="left" w:pos="480"/>
                <w:tab w:val="right" w:leader="dot" w:pos="8270"/>
              </w:tabs>
              <w:spacing w:after="100"/>
              <w:rPr>
                <w:szCs w:val="24"/>
                <w:lang w:bidi="en-US"/>
              </w:rPr>
            </w:pPr>
            <w:r w:rsidRPr="00DA0977">
              <w:rPr>
                <w:szCs w:val="24"/>
                <w:lang w:bidi="en-US"/>
              </w:rPr>
              <w:t>III.</w:t>
            </w:r>
            <w:r w:rsidRPr="00DA0977">
              <w:rPr>
                <w:szCs w:val="24"/>
              </w:rPr>
              <w:tab/>
            </w:r>
            <w:r w:rsidRPr="00DA0977">
              <w:rPr>
                <w:szCs w:val="24"/>
                <w:u w:val="single"/>
              </w:rPr>
              <w:t>Conclusion</w:t>
            </w:r>
          </w:p>
        </w:tc>
        <w:tc>
          <w:tcPr>
            <w:tcW w:w="851" w:type="dxa"/>
          </w:tcPr>
          <w:p w14:paraId="731DF85D" w14:textId="77777777" w:rsidR="00DA0977" w:rsidRPr="00DA0977" w:rsidRDefault="00DA0977" w:rsidP="007F7C45">
            <w:pPr>
              <w:tabs>
                <w:tab w:val="left" w:pos="480"/>
                <w:tab w:val="right" w:leader="dot" w:pos="8270"/>
              </w:tabs>
              <w:spacing w:after="100"/>
              <w:jc w:val="center"/>
              <w:rPr>
                <w:szCs w:val="24"/>
                <w:lang w:bidi="en-US"/>
              </w:rPr>
            </w:pPr>
            <w:r w:rsidRPr="00DA0977">
              <w:rPr>
                <w:szCs w:val="24"/>
                <w:lang w:bidi="en-US"/>
              </w:rPr>
              <w:t>231</w:t>
            </w:r>
          </w:p>
        </w:tc>
      </w:tr>
    </w:tbl>
    <w:p w14:paraId="7F123B46" w14:textId="77777777" w:rsidR="00DA0977" w:rsidRPr="00B60194" w:rsidRDefault="00DA0977" w:rsidP="00B60194">
      <w:pPr>
        <w:pStyle w:val="Title1LevelTitre1Niveau-AltL"/>
        <w:numPr>
          <w:ilvl w:val="0"/>
          <w:numId w:val="48"/>
        </w:numPr>
        <w:jc w:val="both"/>
        <w:rPr>
          <w:rFonts w:cs="Times New Roman"/>
        </w:rPr>
      </w:pPr>
      <w:r w:rsidRPr="00B60194">
        <w:rPr>
          <w:rFonts w:cs="Times New Roman"/>
        </w:rPr>
        <w:t>Overview</w:t>
      </w:r>
    </w:p>
    <w:p w14:paraId="7978E1C4"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lastRenderedPageBreak/>
        <w:t>Sexual violence against children is an evil that afflicts our society and deprives its victims of the childhood to which they were entitled by exposing them to various forms of serious harm that can interfere with their development and self</w:t>
      </w:r>
      <w:r w:rsidRPr="00DA0977">
        <w:rPr>
          <w:rFonts w:cs="Times New Roman"/>
        </w:rPr>
        <w:noBreakHyphen/>
        <w:t>fulfillment (</w:t>
      </w:r>
      <w:r w:rsidRPr="00DA0977">
        <w:rPr>
          <w:rFonts w:cs="Times New Roman"/>
          <w:i/>
        </w:rPr>
        <w:t xml:space="preserve">R. v. </w:t>
      </w:r>
      <w:r w:rsidRPr="00DA0977">
        <w:rPr>
          <w:rFonts w:cs="Times New Roman"/>
          <w:i/>
          <w:iCs/>
        </w:rPr>
        <w:t>Friesen</w:t>
      </w:r>
      <w:r w:rsidRPr="00DA0977">
        <w:rPr>
          <w:rFonts w:cs="Times New Roman"/>
          <w:iCs/>
        </w:rPr>
        <w:t xml:space="preserve">, 2020 SCC 9, [2020] 1 S.C.R. 424, </w:t>
      </w:r>
      <w:r w:rsidRPr="00DA0977">
        <w:rPr>
          <w:rFonts w:cs="Times New Roman"/>
        </w:rPr>
        <w:t>at para. 58). Like concentric circles, the harm caused by the commission of such offences affects not only the children who are the immediate victims of the offences but also their families, their communities and, ultimately, society as a whole, which “is diminished and degraded” (</w:t>
      </w:r>
      <w:r w:rsidRPr="00DA0977">
        <w:rPr>
          <w:rFonts w:cs="Times New Roman"/>
          <w:i/>
        </w:rPr>
        <w:t>Friesen</w:t>
      </w:r>
      <w:r w:rsidRPr="00DA0977">
        <w:rPr>
          <w:rFonts w:cs="Times New Roman"/>
        </w:rPr>
        <w:t>, at paras. 62</w:t>
      </w:r>
      <w:r w:rsidRPr="00DA0977">
        <w:rPr>
          <w:rFonts w:cs="Times New Roman"/>
        </w:rPr>
        <w:noBreakHyphen/>
        <w:t xml:space="preserve">64, quoting </w:t>
      </w:r>
      <w:r w:rsidRPr="00DA0977">
        <w:rPr>
          <w:rFonts w:cs="Times New Roman"/>
          <w:i/>
        </w:rPr>
        <w:t>R. v. Hajar</w:t>
      </w:r>
      <w:r w:rsidRPr="00DA0977">
        <w:rPr>
          <w:rFonts w:cs="Times New Roman"/>
        </w:rPr>
        <w:t>, 2016 ABCA 222, [2016] 12 W.W.R. 435, at para. 67).</w:t>
      </w:r>
    </w:p>
    <w:p w14:paraId="2D7A076D"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The criminalization of sexual violence against minors attests to the cardinal importance that Canada attaches to the protection of its children (</w:t>
      </w:r>
      <w:r w:rsidRPr="00DA0977">
        <w:rPr>
          <w:rFonts w:cs="Times New Roman"/>
          <w:i/>
        </w:rPr>
        <w:t>R. v. L. (J.</w:t>
      </w:r>
      <w:r w:rsidRPr="00DA0977">
        <w:rPr>
          <w:rFonts w:cs="Times New Roman"/>
          <w:i/>
        </w:rPr>
        <w:noBreakHyphen/>
        <w:t xml:space="preserve">J.) </w:t>
      </w:r>
      <w:r w:rsidRPr="00DA0977">
        <w:rPr>
          <w:rFonts w:cs="Times New Roman"/>
        </w:rPr>
        <w:t>(1998), 126 C.C.C. (3d) 235 (Que. C.A.), at p. 250), which is one of the most fundamental values of Canadian society (</w:t>
      </w:r>
      <w:r w:rsidRPr="00DA0977">
        <w:rPr>
          <w:rFonts w:cs="Times New Roman"/>
          <w:i/>
        </w:rPr>
        <w:t>Friesen</w:t>
      </w:r>
      <w:r w:rsidRPr="00DA0977">
        <w:rPr>
          <w:rFonts w:cs="Times New Roman"/>
        </w:rPr>
        <w:t xml:space="preserve">, at para. 65). As this Court noted in </w:t>
      </w:r>
      <w:r w:rsidRPr="00DA0977">
        <w:rPr>
          <w:rFonts w:cs="Times New Roman"/>
          <w:i/>
        </w:rPr>
        <w:t>Friesen</w:t>
      </w:r>
      <w:r w:rsidRPr="00DA0977">
        <w:rPr>
          <w:rFonts w:cs="Times New Roman"/>
        </w:rPr>
        <w:t>, “the criminal law in general and sentencing law specifically are important mechanisms that Parliament has chosen to employ to protect children from sexual violence” (para. 45). Further, sentencing is a way for our society to express, through the courts, its abhorrence of such offences, which encroach on the system of values shared by all Canadians (</w:t>
      </w:r>
      <w:r w:rsidRPr="00DA0977">
        <w:rPr>
          <w:rFonts w:cs="Times New Roman"/>
          <w:i/>
        </w:rPr>
        <w:t>R. v. M. (C.A.)</w:t>
      </w:r>
      <w:r w:rsidRPr="00DA0977">
        <w:rPr>
          <w:rFonts w:cs="Times New Roman"/>
        </w:rPr>
        <w:t>,</w:t>
      </w:r>
      <w:r w:rsidRPr="00DA0977">
        <w:rPr>
          <w:rFonts w:cs="Times New Roman"/>
          <w:i/>
        </w:rPr>
        <w:t xml:space="preserve"> </w:t>
      </w:r>
      <w:r w:rsidRPr="00DA0977">
        <w:rPr>
          <w:rFonts w:cs="Times New Roman"/>
        </w:rPr>
        <w:t>[1996] 1 S.C.R. 500, at para. 81).</w:t>
      </w:r>
    </w:p>
    <w:p w14:paraId="3D7BB7BD"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 xml:space="preserve">In this regard, Parliament decided, through the enactment of s. 718.01 of the </w:t>
      </w:r>
      <w:r w:rsidRPr="00DA0977">
        <w:rPr>
          <w:rFonts w:cs="Times New Roman"/>
          <w:i/>
        </w:rPr>
        <w:t>Criminal Code</w:t>
      </w:r>
      <w:r w:rsidRPr="00DA0977">
        <w:rPr>
          <w:rFonts w:cs="Times New Roman"/>
        </w:rPr>
        <w:t>, R.S.C. 1985, c. C</w:t>
      </w:r>
      <w:r w:rsidRPr="00DA0977">
        <w:rPr>
          <w:rFonts w:cs="Times New Roman"/>
        </w:rPr>
        <w:noBreakHyphen/>
        <w:t>46 (“</w:t>
      </w:r>
      <w:r w:rsidRPr="00DA0977">
        <w:rPr>
          <w:rFonts w:cs="Times New Roman"/>
          <w:i/>
          <w:iCs/>
        </w:rPr>
        <w:t>Cr. C</w:t>
      </w:r>
      <w:r w:rsidRPr="00DA0977">
        <w:rPr>
          <w:rFonts w:cs="Times New Roman"/>
          <w:i/>
        </w:rPr>
        <w:t>.</w:t>
      </w:r>
      <w:r w:rsidRPr="00DA0977">
        <w:rPr>
          <w:rFonts w:cs="Times New Roman"/>
        </w:rPr>
        <w:t xml:space="preserve">”), to prioritize the objectives of denunciation and deterrence in the sentencing process for such offences. It also chose </w:t>
      </w:r>
      <w:r w:rsidRPr="00DA0977">
        <w:rPr>
          <w:rFonts w:cs="Times New Roman"/>
        </w:rPr>
        <w:lastRenderedPageBreak/>
        <w:t>to increase the maximum sentences for offences of this kind, thereby recognizing “the profound harm . . . cause[d]” by such conduct (</w:t>
      </w:r>
      <w:r w:rsidRPr="00DA0977">
        <w:rPr>
          <w:rFonts w:cs="Times New Roman"/>
          <w:i/>
        </w:rPr>
        <w:t>Friesen</w:t>
      </w:r>
      <w:r w:rsidRPr="00DA0977">
        <w:rPr>
          <w:rFonts w:cs="Times New Roman"/>
        </w:rPr>
        <w:t>,</w:t>
      </w:r>
      <w:r w:rsidRPr="00DA0977">
        <w:rPr>
          <w:rFonts w:cs="Times New Roman"/>
          <w:i/>
        </w:rPr>
        <w:t xml:space="preserve"> </w:t>
      </w:r>
      <w:r w:rsidRPr="00DA0977">
        <w:rPr>
          <w:rFonts w:cs="Times New Roman"/>
        </w:rPr>
        <w:t xml:space="preserve">at para. 95). Lastly, Parliament decided, in some cases, to enact mandatory minimum sentences. Notably, it did so for the offence of child luring in s. 172.1 </w:t>
      </w:r>
      <w:r w:rsidRPr="00DA0977">
        <w:rPr>
          <w:rFonts w:cs="Times New Roman"/>
          <w:i/>
        </w:rPr>
        <w:t>Cr. C.</w:t>
      </w:r>
      <w:r w:rsidRPr="00DA0977">
        <w:rPr>
          <w:rFonts w:cs="Times New Roman"/>
        </w:rPr>
        <w:t xml:space="preserve">, which provides for a minimum term of imprisonment of six months or one year, depending on whether the Crown proceeds summarily or by indictment. In these appeals, this Court must determine whether these minimum terms of imprisonment are cruel and unusual within the meaning of s. 12 of the </w:t>
      </w:r>
      <w:r w:rsidRPr="00DA0977">
        <w:rPr>
          <w:rFonts w:cs="Times New Roman"/>
          <w:i/>
          <w:iCs/>
        </w:rPr>
        <w:t>Canadian Charter of Rights and Freedoms</w:t>
      </w:r>
      <w:r w:rsidRPr="00DA0977">
        <w:rPr>
          <w:rFonts w:cs="Times New Roman"/>
        </w:rPr>
        <w:t>.</w:t>
      </w:r>
    </w:p>
    <w:p w14:paraId="4E44B104"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 xml:space="preserve">In addressing this issue, it is important to keep in mind that there is no constitutional provision that protects against the imposition of a disproportionate punishment; s. 12 of the </w:t>
      </w:r>
      <w:r w:rsidRPr="00DA0977">
        <w:rPr>
          <w:rFonts w:cs="Times New Roman"/>
          <w:i/>
          <w:iCs/>
        </w:rPr>
        <w:t>Charter</w:t>
      </w:r>
      <w:r w:rsidRPr="00DA0977">
        <w:rPr>
          <w:rFonts w:cs="Times New Roman"/>
        </w:rPr>
        <w:t xml:space="preserve"> protects against the imposition of a </w:t>
      </w:r>
      <w:r w:rsidRPr="00DA0977">
        <w:rPr>
          <w:rFonts w:cs="Times New Roman"/>
          <w:i/>
        </w:rPr>
        <w:t>grossly disproportionate</w:t>
      </w:r>
      <w:r w:rsidRPr="00DA0977">
        <w:rPr>
          <w:rFonts w:cs="Times New Roman"/>
        </w:rPr>
        <w:t xml:space="preserve"> punishment. Proportionality is certainly an essential principle of sentencing. However, this principle has not been constitutionalized (</w:t>
      </w:r>
      <w:r w:rsidRPr="00DA0977">
        <w:rPr>
          <w:rFonts w:cs="Times New Roman"/>
          <w:i/>
        </w:rPr>
        <w:t>R. v. Safarzadeh</w:t>
      </w:r>
      <w:r w:rsidRPr="00DA0977">
        <w:rPr>
          <w:rFonts w:cs="Times New Roman"/>
          <w:i/>
        </w:rPr>
        <w:noBreakHyphen/>
        <w:t>Markhali</w:t>
      </w:r>
      <w:r w:rsidRPr="00DA0977">
        <w:rPr>
          <w:rFonts w:cs="Times New Roman"/>
        </w:rPr>
        <w:t xml:space="preserve">, 2016 SCC 14, [2016] 1 S.C.R. 180, at para. 71; </w:t>
      </w:r>
      <w:r w:rsidRPr="00DA0977">
        <w:rPr>
          <w:rFonts w:cs="Times New Roman"/>
          <w:i/>
        </w:rPr>
        <w:t>R. v. Malmo</w:t>
      </w:r>
      <w:r w:rsidRPr="00DA0977">
        <w:rPr>
          <w:rFonts w:cs="Times New Roman"/>
          <w:i/>
        </w:rPr>
        <w:noBreakHyphen/>
        <w:t>Levine</w:t>
      </w:r>
      <w:r w:rsidRPr="00DA0977">
        <w:rPr>
          <w:rFonts w:cs="Times New Roman"/>
        </w:rPr>
        <w:t xml:space="preserve">, 2003 SCC 74, [2003] 3 S.C.R. 571, at para. 169). As this Court explained in </w:t>
      </w:r>
      <w:r w:rsidRPr="00DA0977">
        <w:rPr>
          <w:rFonts w:cs="Times New Roman"/>
          <w:i/>
        </w:rPr>
        <w:t>Safarzadeh</w:t>
      </w:r>
      <w:r w:rsidRPr="00DA0977">
        <w:rPr>
          <w:rFonts w:cs="Times New Roman"/>
          <w:i/>
        </w:rPr>
        <w:noBreakHyphen/>
        <w:t>Markhali</w:t>
      </w:r>
      <w:r w:rsidRPr="00DA0977">
        <w:rPr>
          <w:rFonts w:cs="Times New Roman"/>
        </w:rPr>
        <w:t xml:space="preserve">, “[t]he principles and purposes for determining a fit sentence, enumerated in s. 718 of the </w:t>
      </w:r>
      <w:r w:rsidRPr="00DA0977">
        <w:rPr>
          <w:rFonts w:cs="Times New Roman"/>
          <w:i/>
        </w:rPr>
        <w:t>Criminal Code</w:t>
      </w:r>
      <w:r w:rsidRPr="00DA0977">
        <w:rPr>
          <w:rFonts w:cs="Times New Roman"/>
        </w:rPr>
        <w:t xml:space="preserve"> and provisions that follow — including the fundamental principle of proportionality in s. 718.1 — do not have constitutional status” (para. 71). Indeed, “Parliament is entitled to modify and abrogate them as it sees fit, subject only to s. 12 of the </w:t>
      </w:r>
      <w:r w:rsidRPr="00DA0977">
        <w:rPr>
          <w:rFonts w:cs="Times New Roman"/>
          <w:i/>
        </w:rPr>
        <w:t>Charter</w:t>
      </w:r>
      <w:r w:rsidRPr="00DA0977">
        <w:rPr>
          <w:rFonts w:cs="Times New Roman"/>
          <w:iCs/>
        </w:rPr>
        <w:t>”</w:t>
      </w:r>
      <w:r w:rsidRPr="00DA0977">
        <w:rPr>
          <w:rFonts w:cs="Times New Roman"/>
        </w:rPr>
        <w:t xml:space="preserve"> (para. 71; see also </w:t>
      </w:r>
      <w:r w:rsidRPr="00DA0977">
        <w:rPr>
          <w:rFonts w:cs="Times New Roman"/>
          <w:i/>
        </w:rPr>
        <w:t>R. v. Bissonnette</w:t>
      </w:r>
      <w:r w:rsidRPr="00DA0977">
        <w:rPr>
          <w:rFonts w:cs="Times New Roman"/>
        </w:rPr>
        <w:t>, 2022 SCC 23, at paras. 52</w:t>
      </w:r>
      <w:r w:rsidRPr="00DA0977">
        <w:rPr>
          <w:rFonts w:cs="Times New Roman"/>
        </w:rPr>
        <w:noBreakHyphen/>
        <w:t>53).</w:t>
      </w:r>
    </w:p>
    <w:p w14:paraId="3C47BABF"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lastRenderedPageBreak/>
        <w:t xml:space="preserve">The standard of gross disproportionality “is intended to be demanding and will be attained only </w:t>
      </w:r>
      <w:r w:rsidRPr="00DA0977">
        <w:rPr>
          <w:rFonts w:cs="Times New Roman"/>
          <w:u w:val="single"/>
        </w:rPr>
        <w:t>rarely</w:t>
      </w:r>
      <w:r w:rsidRPr="00DA0977">
        <w:rPr>
          <w:rFonts w:cs="Times New Roman"/>
        </w:rPr>
        <w:t>” (</w:t>
      </w:r>
      <w:r w:rsidRPr="00DA0977">
        <w:rPr>
          <w:rFonts w:cs="Times New Roman"/>
          <w:i/>
        </w:rPr>
        <w:t>Bissonnette</w:t>
      </w:r>
      <w:r w:rsidRPr="00DA0977">
        <w:rPr>
          <w:rFonts w:cs="Times New Roman"/>
        </w:rPr>
        <w:t>, at para. 70 (emphasis added), citing, among others,</w:t>
      </w:r>
      <w:r w:rsidRPr="00DA0977">
        <w:rPr>
          <w:rFonts w:cs="Times New Roman"/>
          <w:i/>
        </w:rPr>
        <w:t xml:space="preserve"> R. v. Boudreault</w:t>
      </w:r>
      <w:r w:rsidRPr="00DA0977">
        <w:rPr>
          <w:rFonts w:cs="Times New Roman"/>
        </w:rPr>
        <w:t>, 2018 SCC 58, [2018] 3 S.C.R. 599, at para. 45). Accordingly, showing that a sentence is demonstrably unfit, or even excessive, is not sufficient (</w:t>
      </w:r>
      <w:r w:rsidRPr="00DA0977">
        <w:rPr>
          <w:rFonts w:cs="Times New Roman"/>
          <w:i/>
        </w:rPr>
        <w:t>Boudreault</w:t>
      </w:r>
      <w:r w:rsidRPr="00DA0977">
        <w:rPr>
          <w:rFonts w:cs="Times New Roman"/>
        </w:rPr>
        <w:t xml:space="preserve">, at para. 45; </w:t>
      </w:r>
      <w:r w:rsidRPr="00DA0977">
        <w:rPr>
          <w:rFonts w:cs="Times New Roman"/>
          <w:i/>
        </w:rPr>
        <w:t>R. v. Hills</w:t>
      </w:r>
      <w:r w:rsidRPr="00DA0977">
        <w:rPr>
          <w:rFonts w:cs="Times New Roman"/>
        </w:rPr>
        <w:t>, 2023 SCC 2, at paras. 113</w:t>
      </w:r>
      <w:r w:rsidRPr="00DA0977">
        <w:rPr>
          <w:rFonts w:cs="Times New Roman"/>
        </w:rPr>
        <w:noBreakHyphen/>
        <w:t>14). To be grossly disproportionate, a minimum sentence must be “so excessive as to outrage standards of decency” and “‘abhorrent or intolerable’ to society” (</w:t>
      </w:r>
      <w:r w:rsidRPr="00DA0977">
        <w:rPr>
          <w:rFonts w:cs="Times New Roman"/>
          <w:i/>
        </w:rPr>
        <w:t>R. v. Lloyd</w:t>
      </w:r>
      <w:r w:rsidRPr="00DA0977">
        <w:rPr>
          <w:rFonts w:cs="Times New Roman"/>
        </w:rPr>
        <w:t xml:space="preserve">, 2016 SCC 13, [2016] S.C.R. 130, at para. 24). </w:t>
      </w:r>
      <w:bookmarkStart w:id="270" w:name="_Hlk143845164"/>
      <w:r w:rsidRPr="00DA0977">
        <w:rPr>
          <w:rFonts w:cs="Times New Roman"/>
        </w:rPr>
        <w:t>By setting such a high bar, courts ensure that the necessary deference is shown to Parliament’s public policy choices with regard to sentencing (</w:t>
      </w:r>
      <w:r w:rsidRPr="00DA0977">
        <w:rPr>
          <w:rFonts w:cs="Times New Roman"/>
          <w:i/>
        </w:rPr>
        <w:t>Hills</w:t>
      </w:r>
      <w:r w:rsidRPr="00DA0977">
        <w:rPr>
          <w:rFonts w:cs="Times New Roman"/>
        </w:rPr>
        <w:t>, at para. 113). With respect, my colleague’s reasons completely erode such deference.</w:t>
      </w:r>
    </w:p>
    <w:bookmarkEnd w:id="270"/>
    <w:p w14:paraId="26D4187D"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In light of this Court’s recent pronouncements in </w:t>
      </w:r>
      <w:r w:rsidRPr="00DA0977">
        <w:rPr>
          <w:rFonts w:cs="Times New Roman"/>
          <w:i/>
          <w:iCs/>
        </w:rPr>
        <w:t>Friesen</w:t>
      </w:r>
      <w:r w:rsidRPr="00DA0977">
        <w:rPr>
          <w:rFonts w:cs="Times New Roman"/>
        </w:rPr>
        <w:t xml:space="preserve"> and the high standard that applies in an analysis under s. 12 of the </w:t>
      </w:r>
      <w:r w:rsidRPr="00DA0977">
        <w:rPr>
          <w:rFonts w:cs="Times New Roman"/>
          <w:i/>
          <w:iCs/>
        </w:rPr>
        <w:t>Charter</w:t>
      </w:r>
      <w:r w:rsidRPr="00DA0977">
        <w:rPr>
          <w:rFonts w:cs="Times New Roman"/>
        </w:rPr>
        <w:t>, I cannot conclude that sentencing an offender to imprisonment for six months or one year for communicating with a minor for the purpose of facilitating the commission of a sexual offence or other specified offence against the minor is one of the instances in which the demanding and “rarely” attained standard of gross disproportionality is met.</w:t>
      </w:r>
    </w:p>
    <w:p w14:paraId="31BC4ADA"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 xml:space="preserve">Consequently, unlike my colleague, I am of the view that the mandatory minimum sentences provided for in s. 172.1(2)(a) and (b) </w:t>
      </w:r>
      <w:r w:rsidRPr="00DA0977">
        <w:rPr>
          <w:rFonts w:cs="Times New Roman"/>
          <w:i/>
        </w:rPr>
        <w:t>Cr. C.</w:t>
      </w:r>
      <w:r w:rsidRPr="00DA0977">
        <w:rPr>
          <w:rFonts w:cs="Times New Roman"/>
        </w:rPr>
        <w:t xml:space="preserve"> are not contrary to s. 12 of the </w:t>
      </w:r>
      <w:r w:rsidRPr="00DA0977">
        <w:rPr>
          <w:rFonts w:cs="Times New Roman"/>
          <w:i/>
          <w:iCs/>
        </w:rPr>
        <w:t>Charter</w:t>
      </w:r>
      <w:r w:rsidRPr="00DA0977">
        <w:rPr>
          <w:rFonts w:cs="Times New Roman"/>
        </w:rPr>
        <w:t>. I agree with my colleague’s disposition with regard to the sentence to be imposed on Mr. Bertrand Marchand. However, I would set aside the four</w:t>
      </w:r>
      <w:r w:rsidRPr="00DA0977">
        <w:rPr>
          <w:rFonts w:cs="Times New Roman"/>
        </w:rPr>
        <w:noBreakHyphen/>
        <w:t xml:space="preserve">month </w:t>
      </w:r>
      <w:r w:rsidRPr="00DA0977">
        <w:rPr>
          <w:rFonts w:cs="Times New Roman"/>
        </w:rPr>
        <w:lastRenderedPageBreak/>
        <w:t>sentence given to H.V. and impose the mandatory minimum sentence of six months’ imprisonment. Since the Crown conceded in oral argument that reincarceration is not necessary in the circumstances, I would order a permanent stay of execution of the modified sentence.</w:t>
      </w:r>
    </w:p>
    <w:p w14:paraId="1F906610" w14:textId="77777777" w:rsidR="00DA0977" w:rsidRPr="00DA0977" w:rsidRDefault="00DA0977" w:rsidP="00DA0977">
      <w:pPr>
        <w:pStyle w:val="Title1LevelTitre1Niveau-AltL"/>
        <w:numPr>
          <w:ilvl w:val="0"/>
          <w:numId w:val="29"/>
        </w:numPr>
        <w:spacing w:before="0"/>
        <w:jc w:val="both"/>
        <w:rPr>
          <w:rFonts w:cs="Times New Roman"/>
        </w:rPr>
      </w:pPr>
      <w:bookmarkStart w:id="271" w:name="_Toc140071960"/>
      <w:r w:rsidRPr="00DA0977">
        <w:rPr>
          <w:rFonts w:cs="Times New Roman"/>
        </w:rPr>
        <w:t>Analys</w:t>
      </w:r>
      <w:bookmarkEnd w:id="271"/>
      <w:r w:rsidRPr="00DA0977">
        <w:rPr>
          <w:rFonts w:cs="Times New Roman"/>
        </w:rPr>
        <w:t>is</w:t>
      </w:r>
    </w:p>
    <w:p w14:paraId="01A837A0" w14:textId="77777777" w:rsidR="00DA0977" w:rsidRPr="00DA0977" w:rsidRDefault="00DA0977" w:rsidP="00DA0977">
      <w:pPr>
        <w:pStyle w:val="Title2LevelTitre2Niveau"/>
        <w:numPr>
          <w:ilvl w:val="0"/>
          <w:numId w:val="0"/>
        </w:numPr>
        <w:tabs>
          <w:tab w:val="left" w:pos="540"/>
        </w:tabs>
        <w:spacing w:before="0"/>
        <w:ind w:firstLine="547"/>
        <w:rPr>
          <w:rFonts w:cs="Times New Roman"/>
        </w:rPr>
      </w:pPr>
      <w:bookmarkStart w:id="272" w:name="_Toc140071961"/>
      <w:r w:rsidRPr="00DA0977">
        <w:rPr>
          <w:rFonts w:cs="Times New Roman"/>
        </w:rPr>
        <w:t xml:space="preserve">Section 172.1(2) Cr. C. Does Not Violate Section 12 of the </w:t>
      </w:r>
      <w:bookmarkEnd w:id="272"/>
      <w:r w:rsidRPr="00DA0977">
        <w:rPr>
          <w:rFonts w:cs="Times New Roman"/>
        </w:rPr>
        <w:t>Charter</w:t>
      </w:r>
    </w:p>
    <w:p w14:paraId="2D6AB75D"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lang w:bidi="en-US"/>
        </w:rPr>
        <w:t xml:space="preserve">The analytical framework that must be applied under s. 12 of the </w:t>
      </w:r>
      <w:r w:rsidRPr="00DA0977">
        <w:rPr>
          <w:rFonts w:cs="Times New Roman"/>
          <w:i/>
          <w:iCs/>
          <w:lang w:bidi="en-US"/>
        </w:rPr>
        <w:t>Charter</w:t>
      </w:r>
      <w:r w:rsidRPr="00DA0977">
        <w:rPr>
          <w:rFonts w:cs="Times New Roman"/>
          <w:lang w:bidi="en-US"/>
        </w:rPr>
        <w:t xml:space="preserve"> consists of two stages. At the first stage, “the court must determine what constitutes a proportionate sentence for the offence having regard to the objectives and principles of sentencing in the</w:t>
      </w:r>
      <w:r w:rsidRPr="00DA0977">
        <w:rPr>
          <w:rFonts w:cs="Times New Roman"/>
        </w:rPr>
        <w:t xml:space="preserve"> </w:t>
      </w:r>
      <w:r w:rsidRPr="00DA0977">
        <w:rPr>
          <w:rFonts w:cs="Times New Roman"/>
          <w:i/>
          <w:iCs/>
        </w:rPr>
        <w:t>Criminal Code</w:t>
      </w:r>
      <w:r w:rsidRPr="00DA0977">
        <w:rPr>
          <w:rFonts w:cs="Times New Roman"/>
        </w:rPr>
        <w:t>” (</w:t>
      </w:r>
      <w:r w:rsidRPr="00DA0977">
        <w:rPr>
          <w:rFonts w:cs="Times New Roman"/>
          <w:i/>
        </w:rPr>
        <w:t>R. v.</w:t>
      </w:r>
      <w:r w:rsidRPr="00DA0977">
        <w:rPr>
          <w:rFonts w:cs="Times New Roman"/>
        </w:rPr>
        <w:t xml:space="preserve"> </w:t>
      </w:r>
      <w:r w:rsidRPr="00DA0977">
        <w:rPr>
          <w:rFonts w:cs="Times New Roman"/>
          <w:i/>
        </w:rPr>
        <w:t>Nur</w:t>
      </w:r>
      <w:r w:rsidRPr="00DA0977">
        <w:rPr>
          <w:rFonts w:cs="Times New Roman"/>
        </w:rPr>
        <w:t>, 2015 SCC 15, [2015] 1 S.C.R. 773,</w:t>
      </w:r>
      <w:r w:rsidRPr="00DA0977">
        <w:rPr>
          <w:rFonts w:cs="Times New Roman"/>
          <w:i/>
        </w:rPr>
        <w:t xml:space="preserve"> </w:t>
      </w:r>
      <w:r w:rsidRPr="00DA0977">
        <w:rPr>
          <w:rFonts w:cs="Times New Roman"/>
        </w:rPr>
        <w:t>at para. 46). At the second stage, the court must decide “whether the mandatory punishment is grossly disproportionate when compared to the fit sentence for either the claimant or for a reasonable hypothetical offender”</w:t>
      </w:r>
      <w:r w:rsidRPr="00DA0977">
        <w:rPr>
          <w:rFonts w:cs="Times New Roman"/>
          <w:i/>
        </w:rPr>
        <w:t xml:space="preserve"> </w:t>
      </w:r>
      <w:r w:rsidRPr="00DA0977">
        <w:rPr>
          <w:rFonts w:cs="Times New Roman"/>
        </w:rPr>
        <w:t>(</w:t>
      </w:r>
      <w:r w:rsidRPr="00DA0977">
        <w:rPr>
          <w:rFonts w:cs="Times New Roman"/>
          <w:i/>
        </w:rPr>
        <w:t>Boudreault</w:t>
      </w:r>
      <w:r w:rsidRPr="00DA0977">
        <w:rPr>
          <w:rFonts w:cs="Times New Roman"/>
        </w:rPr>
        <w:t xml:space="preserve">, at para. 46, citing </w:t>
      </w:r>
      <w:r w:rsidRPr="00DA0977">
        <w:rPr>
          <w:rFonts w:cs="Times New Roman"/>
          <w:i/>
          <w:iCs/>
        </w:rPr>
        <w:t>Nur</w:t>
      </w:r>
      <w:r w:rsidRPr="00DA0977">
        <w:rPr>
          <w:rFonts w:cs="Times New Roman"/>
        </w:rPr>
        <w:t>, at paras. 46 and 77). This “requires a contextual comparison between the fit sentence and the impugned mandatory minimum to see whether the latter complies with the widely</w:t>
      </w:r>
      <w:r w:rsidRPr="00DA0977">
        <w:rPr>
          <w:rFonts w:cs="Times New Roman"/>
        </w:rPr>
        <w:noBreakHyphen/>
        <w:t>worded right set out in s. 12” (</w:t>
      </w:r>
      <w:r w:rsidRPr="00DA0977">
        <w:rPr>
          <w:rFonts w:cs="Times New Roman"/>
          <w:i/>
        </w:rPr>
        <w:t>Hills</w:t>
      </w:r>
      <w:r w:rsidRPr="00DA0977">
        <w:rPr>
          <w:rFonts w:cs="Times New Roman"/>
        </w:rPr>
        <w:t>, at para. 45). To do so, the court must consider (1) the scope and reach of the offence, (2) the effects of the penalty on the offender, and (3) the penalty itself, including the balance struck by its objectives (</w:t>
      </w:r>
      <w:r w:rsidRPr="00DA0977">
        <w:rPr>
          <w:rFonts w:cs="Times New Roman"/>
          <w:i/>
        </w:rPr>
        <w:t>Hills</w:t>
      </w:r>
      <w:r w:rsidRPr="00DA0977">
        <w:rPr>
          <w:rFonts w:cs="Times New Roman"/>
        </w:rPr>
        <w:t>, at para. 122).</w:t>
      </w:r>
    </w:p>
    <w:p w14:paraId="72093423"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lastRenderedPageBreak/>
        <w:t>In the present appeals, my colleague finds that the imposition of minimum terms of imprisonment on Mr. Bertrand Marchand and H.V. is not cruel and unusual. However, she declares the impugned provisions unconstitutional on the basis of two hypothetical scenarios that she considers reasonably foreseeable. It is therefore appropriate to analyze the constitutionality of the mandatory minimum sentences provided for in s. 172.1(2)(a) and (b) in light of these two scenarios.</w:t>
      </w:r>
    </w:p>
    <w:p w14:paraId="662227BF" w14:textId="77777777" w:rsidR="00DA0977" w:rsidRPr="00DA0977" w:rsidRDefault="00DA0977" w:rsidP="00DA0977">
      <w:pPr>
        <w:pStyle w:val="Title3LevelTitre3Niveau"/>
        <w:numPr>
          <w:ilvl w:val="2"/>
          <w:numId w:val="29"/>
        </w:numPr>
        <w:spacing w:before="0"/>
        <w:jc w:val="both"/>
        <w:rPr>
          <w:rFonts w:cs="Times New Roman"/>
        </w:rPr>
      </w:pPr>
      <w:bookmarkStart w:id="273" w:name="_Toc140071962"/>
      <w:r w:rsidRPr="00DA0977">
        <w:rPr>
          <w:rFonts w:cs="Times New Roman"/>
        </w:rPr>
        <w:t>The Fit and Appropriate Sentence for the Offender in the First Reasonably Foreseeable Hypothetical</w:t>
      </w:r>
      <w:bookmarkEnd w:id="273"/>
      <w:r w:rsidRPr="00DA0977">
        <w:rPr>
          <w:rFonts w:cs="Times New Roman"/>
        </w:rPr>
        <w:t xml:space="preserve"> Scenario</w:t>
      </w:r>
    </w:p>
    <w:p w14:paraId="475BCABD" w14:textId="77777777" w:rsidR="00DA0977" w:rsidRPr="00DA0977" w:rsidRDefault="00DA0977" w:rsidP="00DA0977">
      <w:pPr>
        <w:pStyle w:val="ParaNoNdepar-AltN"/>
        <w:tabs>
          <w:tab w:val="clear" w:pos="7107"/>
          <w:tab w:val="num" w:pos="1134"/>
        </w:tabs>
        <w:spacing w:before="0"/>
        <w:ind w:left="0"/>
        <w:rPr>
          <w:rFonts w:cs="Times New Roman"/>
        </w:rPr>
      </w:pPr>
      <w:r w:rsidRPr="00DA0977">
        <w:rPr>
          <w:rFonts w:cs="Times New Roman"/>
        </w:rPr>
        <w:t xml:space="preserve">The first hypothetical scenario identified by my colleague is based on the one proposed in </w:t>
      </w:r>
      <w:r w:rsidRPr="00DA0977">
        <w:rPr>
          <w:rFonts w:cs="Times New Roman"/>
          <w:i/>
        </w:rPr>
        <w:t>R. v. Hood</w:t>
      </w:r>
      <w:r w:rsidRPr="00DA0977">
        <w:rPr>
          <w:rFonts w:cs="Times New Roman"/>
        </w:rPr>
        <w:t>,</w:t>
      </w:r>
      <w:r w:rsidRPr="00DA0977">
        <w:rPr>
          <w:rFonts w:cs="Times New Roman"/>
          <w:i/>
        </w:rPr>
        <w:t xml:space="preserve"> </w:t>
      </w:r>
      <w:r w:rsidRPr="00DA0977">
        <w:rPr>
          <w:rFonts w:cs="Times New Roman"/>
        </w:rPr>
        <w:t>2018 NSCA 18, 45 C.R. (7th) 269. Drawing on the Court of Appeal’s reasoning in that case, my colleague sets out the following reasonably foreseeable hypothetical scenario (para. 116):</w:t>
      </w:r>
    </w:p>
    <w:p w14:paraId="277D9445" w14:textId="77777777" w:rsidR="00DA0977" w:rsidRPr="00DA0977" w:rsidRDefault="00DA0977" w:rsidP="00DA0977">
      <w:pPr>
        <w:pStyle w:val="Citation-AltC"/>
        <w:numPr>
          <w:ilvl w:val="0"/>
          <w:numId w:val="47"/>
        </w:numPr>
        <w:ind w:left="1526"/>
        <w:contextualSpacing w:val="0"/>
      </w:pPr>
      <w:r w:rsidRPr="00DA0977">
        <w:t>The representative offender is a first</w:t>
      </w:r>
      <w:r w:rsidRPr="00DA0977">
        <w:noBreakHyphen/>
        <w:t>year high school teacher in her late 20s with no criminal record. The offender has been diagnosed with bipolar disorder. One evening, she texts her 15</w:t>
      </w:r>
      <w:r w:rsidRPr="00DA0977">
        <w:noBreakHyphen/>
        <w:t>year</w:t>
      </w:r>
      <w:r w:rsidRPr="00DA0977">
        <w:noBreakHyphen/>
        <w:t xml:space="preserve">old student to inquire about a school assignment. Feeling manic, she directs the conversation from casual to sexual. The two meet that same evening in a private location where they both participate in sexual touching. The offender does not engage inappropriately with the student on any further occasions. The offender pleads guilty and expresses remorse on sentencing. See </w:t>
      </w:r>
      <w:r w:rsidRPr="00DA0977">
        <w:rPr>
          <w:i/>
        </w:rPr>
        <w:t>Hood</w:t>
      </w:r>
      <w:r w:rsidRPr="00DA0977">
        <w:t>, at para. 150.</w:t>
      </w:r>
    </w:p>
    <w:p w14:paraId="17ADEC37"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In this regard, my disagreement with my colleague relates mainly to the sentence that she considers fit and appropriate for this offender. With respect, a 30</w:t>
      </w:r>
      <w:r w:rsidRPr="00DA0977">
        <w:rPr>
          <w:rFonts w:cs="Times New Roman"/>
        </w:rPr>
        <w:noBreakHyphen/>
        <w:t xml:space="preserve">day </w:t>
      </w:r>
      <w:r w:rsidRPr="00DA0977">
        <w:rPr>
          <w:rFonts w:cs="Times New Roman"/>
        </w:rPr>
        <w:lastRenderedPageBreak/>
        <w:t>term of imprisonment to be served intermittently is far too lenient a sentence having regard to the gravity of the offence and the moral blameworthiness</w:t>
      </w:r>
      <w:r w:rsidRPr="00DA0977" w:rsidDel="00FE674A">
        <w:rPr>
          <w:rFonts w:cs="Times New Roman"/>
        </w:rPr>
        <w:t xml:space="preserve"> </w:t>
      </w:r>
      <w:r w:rsidRPr="00DA0977">
        <w:rPr>
          <w:rFonts w:cs="Times New Roman"/>
        </w:rPr>
        <w:t>of the offender.</w:t>
      </w:r>
    </w:p>
    <w:p w14:paraId="064BC8F5"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 xml:space="preserve">In </w:t>
      </w:r>
      <w:r w:rsidRPr="00DA0977">
        <w:rPr>
          <w:rFonts w:cs="Times New Roman"/>
          <w:i/>
        </w:rPr>
        <w:t>Friesen</w:t>
      </w:r>
      <w:r w:rsidRPr="00DA0977">
        <w:rPr>
          <w:rFonts w:cs="Times New Roman"/>
        </w:rPr>
        <w:t>,</w:t>
      </w:r>
      <w:r w:rsidRPr="00DA0977">
        <w:rPr>
          <w:rFonts w:cs="Times New Roman"/>
          <w:i/>
        </w:rPr>
        <w:t xml:space="preserve"> </w:t>
      </w:r>
      <w:r w:rsidRPr="00DA0977">
        <w:rPr>
          <w:rFonts w:cs="Times New Roman"/>
        </w:rPr>
        <w:t>this Court called on courts to impose more severe sentences on offenders who have committed sexual offences against children. It also found that the successive increases in maximum sentences indicated Parliament’s intention that these offences be treated as more grave and that the sentences imposed for them therefore be higher than they had been in the past (paras. 99</w:t>
      </w:r>
      <w:r w:rsidRPr="00DA0977">
        <w:rPr>
          <w:rFonts w:cs="Times New Roman"/>
        </w:rPr>
        <w:noBreakHyphen/>
        <w:t xml:space="preserve">100). The message sent by this Court was unequivocal: </w:t>
      </w:r>
      <w:r w:rsidRPr="00DA0977">
        <w:rPr>
          <w:rFonts w:eastAsia="Times New Roman" w:cs="Times New Roman"/>
        </w:rPr>
        <w:t>“S</w:t>
      </w:r>
      <w:r w:rsidRPr="00DA0977">
        <w:rPr>
          <w:rFonts w:cs="Times New Roman"/>
        </w:rPr>
        <w:t>entences must accurately reflect the wrongfulness of sexual violence against children and the far</w:t>
      </w:r>
      <w:r w:rsidRPr="00DA0977">
        <w:rPr>
          <w:rFonts w:cs="Times New Roman"/>
        </w:rPr>
        <w:noBreakHyphen/>
        <w:t>reaching and ongoing harm that it causes to children, families, and society at large”</w:t>
      </w:r>
      <w:r w:rsidRPr="00DA0977">
        <w:rPr>
          <w:rFonts w:eastAsia="Times New Roman" w:cs="Times New Roman"/>
        </w:rPr>
        <w:t xml:space="preserve"> (para. 5).</w:t>
      </w:r>
    </w:p>
    <w:p w14:paraId="246923B7"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 xml:space="preserve">Without establishing a sentencing range, the Court made some comments concerning the factors that courts must consider in determining a fit and appropriate sentence for offences of this kind: (i) any manner of physical sexual contact between an adult and a child is inherently violent and harmful (para. 82); (ii) in child luring cases where all interactions occur online, the offender’s conduct can constitute a form of psychological sexual violence that has the potential to cause serious harm (para. 82); (iii) it is important to give effect to Parliament’s clear and repeated signals to increase the sentences imposed for sexual offences against children (para. 100). In this regard, courts should generally impose higher sentences than those imposed in cases that preceded the increases in maximum sentences (para. 100). With respect, although my </w:t>
      </w:r>
      <w:r w:rsidRPr="00DA0977">
        <w:rPr>
          <w:rFonts w:cs="Times New Roman"/>
        </w:rPr>
        <w:lastRenderedPageBreak/>
        <w:t xml:space="preserve">colleague emphasizes the principles set out in </w:t>
      </w:r>
      <w:r w:rsidRPr="00DA0977">
        <w:rPr>
          <w:rFonts w:cs="Times New Roman"/>
          <w:i/>
          <w:iCs/>
        </w:rPr>
        <w:t>Friesen</w:t>
      </w:r>
      <w:r w:rsidRPr="00DA0977">
        <w:rPr>
          <w:rFonts w:cs="Times New Roman"/>
        </w:rPr>
        <w:t>, the approach she uses to determine the fit and appropriate sentence is inconsistent with that decision.</w:t>
      </w:r>
    </w:p>
    <w:p w14:paraId="708BEC9C"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Indeed, despite her statement to the contrary, my colleague treats the absence of grooming and premeditation as mitigating. She first points out that the offender’s actions were spontaneous and of short duration rather than premeditated and calculated. While she acknowledges that these circumstances are not in themselves mitigating, she nevertheless concludes that they “provide insight into the overall gravity of the offence and culpability of the offender” (para. 127). She adds, at para. 127, that “[i]t is well established that spontaneous or spur of the moment crimes should be punished less severely than planned or premeditated ones (see, e.g., </w:t>
      </w:r>
      <w:r w:rsidRPr="00DA0977">
        <w:rPr>
          <w:rFonts w:cs="Times New Roman"/>
          <w:i/>
        </w:rPr>
        <w:t>R. v. Laberge</w:t>
      </w:r>
      <w:r w:rsidRPr="00DA0977">
        <w:rPr>
          <w:rFonts w:cs="Times New Roman"/>
        </w:rPr>
        <w:t xml:space="preserve"> (1995), 165 A.R. 375 (C.A.), at para. 18; </w:t>
      </w:r>
      <w:r w:rsidRPr="00DA0977">
        <w:rPr>
          <w:rFonts w:cs="Times New Roman"/>
          <w:i/>
        </w:rPr>
        <w:t>R. v. Murphy</w:t>
      </w:r>
      <w:r w:rsidRPr="00DA0977">
        <w:rPr>
          <w:rFonts w:cs="Times New Roman"/>
        </w:rPr>
        <w:t xml:space="preserve">, 2014 ABCA 409, 593 A.R. 60, at para. 42; </w:t>
      </w:r>
      <w:r w:rsidRPr="00DA0977">
        <w:rPr>
          <w:rFonts w:cs="Times New Roman"/>
          <w:i/>
        </w:rPr>
        <w:t>R. v. Vienneau</w:t>
      </w:r>
      <w:r w:rsidRPr="00DA0977">
        <w:rPr>
          <w:rFonts w:cs="Times New Roman"/>
        </w:rPr>
        <w:t>, 2015 ONCA 898, at para. 12 (CanLII))”. I agree that, “</w:t>
      </w:r>
      <w:r w:rsidRPr="00DA0977">
        <w:rPr>
          <w:rFonts w:cs="Times New Roman"/>
          <w:u w:val="single"/>
        </w:rPr>
        <w:t>all other things being equal</w:t>
      </w:r>
      <w:r w:rsidRPr="00DA0977">
        <w:rPr>
          <w:rFonts w:cs="Times New Roman"/>
        </w:rPr>
        <w:t>, impulsivity is less blameworthy than planned or repeated conduct”</w:t>
      </w:r>
      <w:r w:rsidRPr="00DA0977">
        <w:rPr>
          <w:rFonts w:cs="Times New Roman"/>
          <w:i/>
        </w:rPr>
        <w:t xml:space="preserve"> </w:t>
      </w:r>
      <w:r w:rsidRPr="00DA0977">
        <w:rPr>
          <w:rFonts w:cs="Times New Roman"/>
        </w:rPr>
        <w:t>(</w:t>
      </w:r>
      <w:r w:rsidRPr="00DA0977">
        <w:rPr>
          <w:rFonts w:cs="Times New Roman"/>
          <w:i/>
        </w:rPr>
        <w:t>Laberge</w:t>
      </w:r>
      <w:r w:rsidRPr="00DA0977">
        <w:rPr>
          <w:rFonts w:cs="Times New Roman"/>
        </w:rPr>
        <w:t xml:space="preserve">, at para. 18 (emphasis added)). In </w:t>
      </w:r>
      <w:r w:rsidRPr="00DA0977">
        <w:rPr>
          <w:rFonts w:cs="Times New Roman"/>
          <w:i/>
        </w:rPr>
        <w:t>Laberge</w:t>
      </w:r>
      <w:r w:rsidRPr="00DA0977">
        <w:rPr>
          <w:rFonts w:cs="Times New Roman"/>
        </w:rPr>
        <w:t xml:space="preserve">, Fraser C.J. specified, however, that the fact that an act was committed spontaneously does not automatically lead to the conclusion that the accused had no subjective intent to act and that the conduct in question is therefore less blameworthy: “[the existence of such an intent] depends on a constellation of factors and not simply on the degree of planning that went into the unlawful act” (para. 20). Thus, “even in the case of impulsive acts, other factors in the context must be examined to determine whether there really is a low level of culpability” (C. C. Ruby, </w:t>
      </w:r>
      <w:r w:rsidRPr="00DA0977">
        <w:rPr>
          <w:rFonts w:cs="Times New Roman"/>
          <w:i/>
        </w:rPr>
        <w:t>Sentencing</w:t>
      </w:r>
      <w:r w:rsidRPr="00DA0977">
        <w:rPr>
          <w:rFonts w:cs="Times New Roman"/>
        </w:rPr>
        <w:t xml:space="preserve"> (10th ed. 2020), at p. 252, citing </w:t>
      </w:r>
      <w:r w:rsidRPr="00DA0977">
        <w:rPr>
          <w:rFonts w:cs="Times New Roman"/>
          <w:i/>
        </w:rPr>
        <w:t>Laberge</w:t>
      </w:r>
      <w:r w:rsidRPr="00DA0977">
        <w:rPr>
          <w:rFonts w:cs="Times New Roman"/>
        </w:rPr>
        <w:t>).</w:t>
      </w:r>
    </w:p>
    <w:p w14:paraId="4301014D"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lastRenderedPageBreak/>
        <w:t xml:space="preserve">However, </w:t>
      </w:r>
      <w:r w:rsidRPr="00DA0977">
        <w:rPr>
          <w:rFonts w:cs="Times New Roman"/>
          <w:i/>
        </w:rPr>
        <w:t>the absence</w:t>
      </w:r>
      <w:r w:rsidRPr="00DA0977">
        <w:rPr>
          <w:rFonts w:cs="Times New Roman"/>
        </w:rPr>
        <w:t xml:space="preserve"> of grooming and premeditation must have a neutral effect on sentencing (</w:t>
      </w:r>
      <w:r w:rsidRPr="00DA0977">
        <w:rPr>
          <w:rFonts w:cs="Times New Roman"/>
          <w:i/>
        </w:rPr>
        <w:t>R. v. S.R.</w:t>
      </w:r>
      <w:r w:rsidRPr="00DA0977">
        <w:rPr>
          <w:rFonts w:cs="Times New Roman"/>
        </w:rPr>
        <w:t xml:space="preserve">, 2008 QCCA 2359, at para. 18 (CanLII); </w:t>
      </w:r>
      <w:r w:rsidRPr="00DA0977">
        <w:rPr>
          <w:rFonts w:cs="Times New Roman"/>
          <w:i/>
        </w:rPr>
        <w:t>R. v. Barrett</w:t>
      </w:r>
      <w:r w:rsidRPr="00DA0977">
        <w:rPr>
          <w:rFonts w:cs="Times New Roman"/>
        </w:rPr>
        <w:t>, 2013 QCCA 1351, at paras. 24</w:t>
      </w:r>
      <w:r w:rsidRPr="00DA0977">
        <w:rPr>
          <w:rFonts w:cs="Times New Roman"/>
        </w:rPr>
        <w:noBreakHyphen/>
        <w:t xml:space="preserve">25 (CanLII); </w:t>
      </w:r>
      <w:r w:rsidRPr="00DA0977">
        <w:rPr>
          <w:rFonts w:cs="Times New Roman"/>
          <w:i/>
        </w:rPr>
        <w:t>R. v. D.B.</w:t>
      </w:r>
      <w:r w:rsidRPr="00DA0977">
        <w:rPr>
          <w:rFonts w:cs="Times New Roman"/>
        </w:rPr>
        <w:t xml:space="preserve">, 2013 QCCA 2199, at para. 13 (CanLII); </w:t>
      </w:r>
      <w:r w:rsidRPr="00DA0977">
        <w:rPr>
          <w:rFonts w:cs="Times New Roman"/>
          <w:i/>
        </w:rPr>
        <w:t>R. v. S.J.B.</w:t>
      </w:r>
      <w:r w:rsidRPr="00DA0977">
        <w:rPr>
          <w:rFonts w:cs="Times New Roman"/>
        </w:rPr>
        <w:t>, 2018 MBCA 62, at paras. </w:t>
      </w:r>
      <w:r w:rsidRPr="001F12F7">
        <w:rPr>
          <w:rFonts w:cs="Times New Roman"/>
          <w:lang w:val="fr-CA"/>
        </w:rPr>
        <w:t>19</w:t>
      </w:r>
      <w:r w:rsidRPr="001F12F7">
        <w:rPr>
          <w:rFonts w:cs="Times New Roman"/>
          <w:lang w:val="fr-CA"/>
        </w:rPr>
        <w:noBreakHyphen/>
        <w:t xml:space="preserve">20 (CanLII); H. Parent and J. Desrosiers, </w:t>
      </w:r>
      <w:r w:rsidRPr="001F12F7">
        <w:rPr>
          <w:rFonts w:cs="Times New Roman"/>
          <w:i/>
          <w:lang w:val="fr-CA"/>
        </w:rPr>
        <w:t>Traité de droit criminel</w:t>
      </w:r>
      <w:r w:rsidRPr="001F12F7">
        <w:rPr>
          <w:rFonts w:cs="Times New Roman"/>
          <w:lang w:val="fr-CA"/>
        </w:rPr>
        <w:t xml:space="preserve">, t. III, </w:t>
      </w:r>
      <w:r w:rsidRPr="001F12F7">
        <w:rPr>
          <w:rFonts w:cs="Times New Roman"/>
          <w:i/>
          <w:lang w:val="fr-CA"/>
        </w:rPr>
        <w:t>La peine</w:t>
      </w:r>
      <w:r w:rsidRPr="001F12F7">
        <w:rPr>
          <w:rFonts w:cs="Times New Roman"/>
          <w:lang w:val="fr-CA"/>
        </w:rPr>
        <w:t xml:space="preserve"> (3rd ed. 2020), at p. 98). </w:t>
      </w:r>
      <w:r w:rsidRPr="00DA0977">
        <w:rPr>
          <w:rFonts w:cs="Times New Roman"/>
        </w:rPr>
        <w:t xml:space="preserve">I find it difficult to understand how a neutral factor can provide insight into the gravity of the crime and the moral blameworthiness of the offender. If this is the case, it must be because the factor is seen, wrongly, as mitigating. Giving a </w:t>
      </w:r>
      <w:r w:rsidRPr="00DA0977">
        <w:rPr>
          <w:rFonts w:cs="Times New Roman"/>
          <w:i/>
          <w:iCs/>
        </w:rPr>
        <w:t>de facto</w:t>
      </w:r>
      <w:r w:rsidRPr="00DA0977">
        <w:rPr>
          <w:rFonts w:cs="Times New Roman"/>
        </w:rPr>
        <w:t xml:space="preserve"> mitigating effect to a neutral factor amounts, in my view, to underestimating the subjective gravity of the offence.</w:t>
      </w:r>
    </w:p>
    <w:p w14:paraId="189BBEB7"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szCs w:val="24"/>
        </w:rPr>
        <w:t>The offender’s conduct in this hypothetical scenario is highly blameworthy. Teachers are presumed to be in a relationship of trust with their students and in a position of authority toward them (</w:t>
      </w:r>
      <w:r w:rsidRPr="00DA0977">
        <w:rPr>
          <w:rFonts w:cs="Times New Roman"/>
          <w:i/>
          <w:iCs/>
          <w:szCs w:val="24"/>
        </w:rPr>
        <w:t>R. v. Audet</w:t>
      </w:r>
      <w:r w:rsidRPr="00DA0977">
        <w:rPr>
          <w:rFonts w:cs="Times New Roman"/>
          <w:szCs w:val="24"/>
        </w:rPr>
        <w:t>, [1996] 2 S.C.R. 171, at paras. 41</w:t>
      </w:r>
      <w:r w:rsidRPr="00DA0977">
        <w:rPr>
          <w:rFonts w:cs="Times New Roman"/>
          <w:szCs w:val="24"/>
        </w:rPr>
        <w:noBreakHyphen/>
        <w:t>43). It is difficult to imagine a more demanding task than the one resting on them, that is, to ensure the well</w:t>
      </w:r>
      <w:r w:rsidRPr="00DA0977">
        <w:rPr>
          <w:rFonts w:cs="Times New Roman"/>
          <w:szCs w:val="24"/>
        </w:rPr>
        <w:noBreakHyphen/>
        <w:t>being, safety and education of our children (</w:t>
      </w:r>
      <w:r w:rsidRPr="00DA0977">
        <w:rPr>
          <w:rFonts w:cs="Times New Roman"/>
          <w:i/>
          <w:iCs/>
          <w:szCs w:val="24"/>
        </w:rPr>
        <w:t>R. v. M. (M.R.)</w:t>
      </w:r>
      <w:r w:rsidRPr="00DA0977">
        <w:rPr>
          <w:rFonts w:cs="Times New Roman"/>
          <w:szCs w:val="24"/>
        </w:rPr>
        <w:t xml:space="preserve">, [1998] 3 S.C.R. 393, at para. 1; </w:t>
      </w:r>
      <w:r w:rsidRPr="00DA0977">
        <w:rPr>
          <w:rFonts w:cs="Times New Roman"/>
          <w:i/>
          <w:iCs/>
          <w:szCs w:val="24"/>
        </w:rPr>
        <w:t>R. v. Jarvis</w:t>
      </w:r>
      <w:r w:rsidRPr="00DA0977">
        <w:rPr>
          <w:rFonts w:cs="Times New Roman"/>
          <w:szCs w:val="24"/>
        </w:rPr>
        <w:t>, 2019 SCC 10, [2019] 1 S.C.R. 488, at para. 84). When parents entrust their children to a school, they delegate part of their parental authority to the teaching staff working there “and entrust them with the responsibility of instilling in their children a large part of the store of learning they will acquire during their development” (</w:t>
      </w:r>
      <w:r w:rsidRPr="00DA0977">
        <w:rPr>
          <w:rFonts w:cs="Times New Roman"/>
          <w:i/>
          <w:szCs w:val="24"/>
        </w:rPr>
        <w:t>Audet</w:t>
      </w:r>
      <w:r w:rsidRPr="00DA0977">
        <w:rPr>
          <w:rFonts w:cs="Times New Roman"/>
          <w:szCs w:val="24"/>
        </w:rPr>
        <w:t>, at para. 41; on the power dependency relationships inherent in a student</w:t>
      </w:r>
      <w:r w:rsidRPr="00DA0977">
        <w:rPr>
          <w:rFonts w:cs="Times New Roman"/>
          <w:szCs w:val="24"/>
        </w:rPr>
        <w:noBreakHyphen/>
        <w:t xml:space="preserve">teacher relationship, see also P. Coleman, “Sex in Power Dependency Relationships: Taking Unfair Advantage of the ‘Fair’ Sex” (1988), </w:t>
      </w:r>
      <w:r w:rsidRPr="00DA0977">
        <w:rPr>
          <w:rFonts w:cs="Times New Roman"/>
          <w:szCs w:val="24"/>
        </w:rPr>
        <w:lastRenderedPageBreak/>
        <w:t xml:space="preserve">53 </w:t>
      </w:r>
      <w:r w:rsidRPr="00DA0977">
        <w:rPr>
          <w:rFonts w:cs="Times New Roman"/>
          <w:i/>
          <w:szCs w:val="24"/>
        </w:rPr>
        <w:t>Alb. L. Rev.</w:t>
      </w:r>
      <w:r w:rsidRPr="00DA0977">
        <w:rPr>
          <w:rFonts w:cs="Times New Roman"/>
          <w:szCs w:val="24"/>
        </w:rPr>
        <w:t xml:space="preserve"> 95, at pp. 120</w:t>
      </w:r>
      <w:r w:rsidRPr="00DA0977">
        <w:rPr>
          <w:rFonts w:cs="Times New Roman"/>
          <w:szCs w:val="24"/>
        </w:rPr>
        <w:noBreakHyphen/>
        <w:t xml:space="preserve">21, cited in </w:t>
      </w:r>
      <w:r w:rsidRPr="00DA0977">
        <w:rPr>
          <w:rFonts w:cs="Times New Roman"/>
          <w:i/>
          <w:szCs w:val="24"/>
        </w:rPr>
        <w:t>Audet</w:t>
      </w:r>
      <w:r w:rsidRPr="00DA0977">
        <w:rPr>
          <w:rFonts w:cs="Times New Roman"/>
          <w:szCs w:val="24"/>
        </w:rPr>
        <w:t>, at para. 40).</w:t>
      </w:r>
      <w:r w:rsidRPr="00DA0977">
        <w:rPr>
          <w:rFonts w:cs="Times New Roman"/>
        </w:rPr>
        <w:t xml:space="preserve"> </w:t>
      </w:r>
      <w:r w:rsidRPr="00DA0977">
        <w:rPr>
          <w:rFonts w:cs="Times New Roman"/>
          <w:szCs w:val="24"/>
        </w:rPr>
        <w:t>In discharging this heavy responsibility, teachers may not abuse the authority they exercise over their students to gratify their sexual desires. Such sexual interference involves heightened levels of exploitation (</w:t>
      </w:r>
      <w:r w:rsidRPr="00DA0977">
        <w:rPr>
          <w:rFonts w:cs="Times New Roman"/>
          <w:i/>
          <w:iCs/>
          <w:szCs w:val="24"/>
        </w:rPr>
        <w:t>Hajar</w:t>
      </w:r>
      <w:r w:rsidRPr="00DA0977">
        <w:rPr>
          <w:rFonts w:cs="Times New Roman"/>
          <w:szCs w:val="24"/>
        </w:rPr>
        <w:t>, at para. 232, per Slatter J.A., dissenting).</w:t>
      </w:r>
    </w:p>
    <w:p w14:paraId="29F040DB"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szCs w:val="24"/>
        </w:rPr>
        <w:t>A teacher who disregards this moral and social duty and engages in such conduct is committing a very serious act that has deleterious social effects. Indeed, such behaviour has the potential to undermine and erode public confidence in the school system, because “[t]he conduct of a teacher bears directly upon the community’s perception of the ability of the teacher to fulfil such a position of trust and influence, and upon the community’s confidence in the public school system as a whole” (</w:t>
      </w:r>
      <w:r w:rsidRPr="00DA0977">
        <w:rPr>
          <w:rFonts w:cs="Times New Roman"/>
          <w:i/>
          <w:iCs/>
          <w:szCs w:val="24"/>
        </w:rPr>
        <w:t>Ross v. New Brunswick School District No. 15</w:t>
      </w:r>
      <w:r w:rsidRPr="00DA0977">
        <w:rPr>
          <w:rFonts w:cs="Times New Roman"/>
          <w:iCs/>
          <w:szCs w:val="24"/>
        </w:rPr>
        <w:t xml:space="preserve">, </w:t>
      </w:r>
      <w:r w:rsidRPr="00DA0977">
        <w:rPr>
          <w:rFonts w:cs="Times New Roman"/>
          <w:szCs w:val="24"/>
        </w:rPr>
        <w:t>[1996] 1 S.C.R. 825, at para. 43).</w:t>
      </w:r>
    </w:p>
    <w:p w14:paraId="00F4EB40"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More immediately, the commission of such acts is likely to have devastating consequences for the child victims, consequences that are glossed over in my colleague’s analysis. Yet</w:t>
      </w:r>
      <w:r w:rsidRPr="00DA0977">
        <w:rPr>
          <w:rFonts w:cs="Times New Roman"/>
          <w:i/>
        </w:rPr>
        <w:t xml:space="preserve"> </w:t>
      </w:r>
      <w:r w:rsidRPr="00DA0977">
        <w:rPr>
          <w:rFonts w:cs="Times New Roman"/>
        </w:rPr>
        <w:t xml:space="preserve">this Court recognized in </w:t>
      </w:r>
      <w:r w:rsidRPr="00DA0977">
        <w:rPr>
          <w:rFonts w:cs="Times New Roman"/>
          <w:i/>
        </w:rPr>
        <w:t>Friesen</w:t>
      </w:r>
      <w:r w:rsidRPr="00DA0977">
        <w:rPr>
          <w:rFonts w:cs="Times New Roman"/>
        </w:rPr>
        <w:t xml:space="preserve"> that “sexual offences against children are inherently wrongful and always put children at risk of serious harm, even as the degree of wrongfulness, the extent to which potential harm materializes, and actual harm vary from case to case” (para. 76). In light of this, the Court instructed lower courts to </w:t>
      </w:r>
      <w:r w:rsidRPr="00DA0977">
        <w:rPr>
          <w:rFonts w:cs="Times New Roman"/>
          <w:i/>
          <w:iCs/>
        </w:rPr>
        <w:t>always</w:t>
      </w:r>
      <w:r w:rsidRPr="00DA0977">
        <w:rPr>
          <w:rFonts w:cs="Times New Roman"/>
        </w:rPr>
        <w:t xml:space="preserve"> “</w:t>
      </w:r>
      <w:r w:rsidRPr="00DA0977">
        <w:rPr>
          <w:rFonts w:cs="Times New Roman"/>
          <w:iCs/>
        </w:rPr>
        <w:t>take into account forms of potential harm that have yet to materialize at the time of sentencing but that are a reasonably foreseeable consequence of the offence and may in fact materialize later in childhood or in adulthood”</w:t>
      </w:r>
      <w:r w:rsidRPr="00DA0977">
        <w:rPr>
          <w:rFonts w:cs="Times New Roman"/>
        </w:rPr>
        <w:t xml:space="preserve"> (para. 84). During childhood, these forms of harm may include</w:t>
      </w:r>
    </w:p>
    <w:p w14:paraId="4EF1B9FC" w14:textId="77777777" w:rsidR="00DA0977" w:rsidRPr="00DA0977" w:rsidRDefault="00DA0977" w:rsidP="00DA0977">
      <w:pPr>
        <w:pStyle w:val="Citation-AltC"/>
        <w:spacing w:after="240"/>
        <w:ind w:hanging="360"/>
        <w:contextualSpacing w:val="0"/>
      </w:pPr>
      <w:r w:rsidRPr="00DA0977">
        <w:lastRenderedPageBreak/>
        <w:tab/>
        <w:t>. . . overly compliant behaviour and an intense need to please; self</w:t>
      </w:r>
      <w:r w:rsidRPr="00DA0977">
        <w:noBreakHyphen/>
        <w:t>destructive behaviour, such as suicide, self</w:t>
      </w:r>
      <w:r w:rsidRPr="00DA0977">
        <w:noBreakHyphen/>
        <w:t>mutilation, chemical abuse, and prostitution; loss of patience and frequent temper tantrums; acting out aggressive behaviour and frustration; sexually aggressive behaviour; an inability to make friends and non</w:t>
      </w:r>
      <w:r w:rsidRPr="00DA0977">
        <w:noBreakHyphen/>
        <w:t>participation in school activities; guilty feelings and shame; a lack of trust, particularly with significant others; low self</w:t>
      </w:r>
      <w:r w:rsidRPr="00DA0977">
        <w:noBreakHyphen/>
        <w:t>esteem; an inability to concentrate in school and a sudden drop in school performance; an extraordinary fear of males; running away from home; sleep disturbances and nightmares; regressive behaviours, such as bedwetting, clinging behaviour, thumb sucking, and baby talk; anxiety and extreme levels of fear; and depression.</w:t>
      </w:r>
    </w:p>
    <w:p w14:paraId="2A78DA2E" w14:textId="77777777" w:rsidR="00DA0977" w:rsidRPr="00DA0977" w:rsidRDefault="00DA0977" w:rsidP="00DA0977">
      <w:pPr>
        <w:pStyle w:val="Citation-AltC"/>
        <w:ind w:hanging="360"/>
        <w:contextualSpacing w:val="0"/>
      </w:pPr>
      <w:r w:rsidRPr="00DA0977">
        <w:tab/>
        <w:t>(C.</w:t>
      </w:r>
      <w:r w:rsidRPr="00DA0977">
        <w:noBreakHyphen/>
        <w:t xml:space="preserve">A. Bauman, “The Sentencing of Sexual Offences against Children” (1998), 17 </w:t>
      </w:r>
      <w:r w:rsidRPr="00DA0977">
        <w:rPr>
          <w:i/>
        </w:rPr>
        <w:t>C.R.</w:t>
      </w:r>
      <w:r w:rsidRPr="00DA0977">
        <w:t xml:space="preserve"> (5th) 352, at pp. 354</w:t>
      </w:r>
      <w:r w:rsidRPr="00DA0977">
        <w:noBreakHyphen/>
        <w:t xml:space="preserve">55, quoted in </w:t>
      </w:r>
      <w:r w:rsidRPr="00DA0977">
        <w:rPr>
          <w:i/>
        </w:rPr>
        <w:t>Friesen</w:t>
      </w:r>
      <w:r w:rsidRPr="00DA0977">
        <w:t>, at para. 80.)</w:t>
      </w:r>
    </w:p>
    <w:p w14:paraId="7956EFA6"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In the long run, the consequences of sexual violence may impair the ability of child victims to form emotional relationships with another adult. They may make these children, when they reach adulthood, more prone to engage in sexual violence themselves against other children or make them more likely to “struggle with substance abuse, mental illness, post</w:t>
      </w:r>
      <w:r w:rsidRPr="00DA0977">
        <w:rPr>
          <w:rFonts w:cs="Times New Roman"/>
        </w:rPr>
        <w:noBreakHyphen/>
        <w:t>traumatic stress disorder, eating disorders, suicidal ideation, self</w:t>
      </w:r>
      <w:r w:rsidRPr="00DA0977">
        <w:rPr>
          <w:rFonts w:cs="Times New Roman"/>
        </w:rPr>
        <w:noBreakHyphen/>
        <w:t>harming behaviour, anxiety, depression, sleep disturbances, anger, hostility, and poor self</w:t>
      </w:r>
      <w:r w:rsidRPr="00DA0977">
        <w:rPr>
          <w:rFonts w:cs="Times New Roman"/>
        </w:rPr>
        <w:noBreakHyphen/>
        <w:t>esteem as adults” (</w:t>
      </w:r>
      <w:r w:rsidRPr="00DA0977">
        <w:rPr>
          <w:rFonts w:cs="Times New Roman"/>
          <w:i/>
        </w:rPr>
        <w:t>Friesen</w:t>
      </w:r>
      <w:r w:rsidRPr="00DA0977">
        <w:rPr>
          <w:rFonts w:cs="Times New Roman"/>
        </w:rPr>
        <w:t>, at para. 81).</w:t>
      </w:r>
    </w:p>
    <w:p w14:paraId="1734A473"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bCs/>
        </w:rPr>
        <w:t>In the case of the offender in my colleague’s first hypothetical scenario, this harm is all the more serious given the fact that the commission of the offence involves abuse of a position of trust and authority (</w:t>
      </w:r>
      <w:r w:rsidRPr="00DA0977">
        <w:rPr>
          <w:rFonts w:cs="Times New Roman"/>
          <w:bCs/>
          <w:i/>
        </w:rPr>
        <w:t>Friesen</w:t>
      </w:r>
      <w:r w:rsidRPr="00DA0977">
        <w:rPr>
          <w:rFonts w:cs="Times New Roman"/>
          <w:bCs/>
        </w:rPr>
        <w:t>, at para. 126). This is why an “offender who abuses a position of trust to commit a sexual offence against a child should receive a lengthier sentence than an offender who is a stranger to the child” (</w:t>
      </w:r>
      <w:r w:rsidRPr="00DA0977">
        <w:rPr>
          <w:rFonts w:cs="Times New Roman"/>
          <w:bCs/>
          <w:i/>
        </w:rPr>
        <w:t>Friesen</w:t>
      </w:r>
      <w:r w:rsidRPr="00DA0977">
        <w:rPr>
          <w:rFonts w:cs="Times New Roman"/>
          <w:bCs/>
        </w:rPr>
        <w:t>, at para. 130).</w:t>
      </w:r>
    </w:p>
    <w:p w14:paraId="59958E0B"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lastRenderedPageBreak/>
        <w:t>My colleague is of the view that rehabilitation “must be prioritized for this offender</w:t>
      </w:r>
      <w:r w:rsidRPr="00DA0977">
        <w:rPr>
          <w:rFonts w:cs="Times New Roman"/>
          <w:iCs/>
        </w:rPr>
        <w:t>”</w:t>
      </w:r>
      <w:r w:rsidRPr="00DA0977">
        <w:rPr>
          <w:rFonts w:cs="Times New Roman"/>
        </w:rPr>
        <w:t xml:space="preserve"> (para. 129), which runs counter to the very wording of s. 718.01 </w:t>
      </w:r>
      <w:r w:rsidRPr="00DA0977">
        <w:rPr>
          <w:rFonts w:cs="Times New Roman"/>
          <w:i/>
        </w:rPr>
        <w:t>Cr. C.</w:t>
      </w:r>
      <w:r w:rsidRPr="00DA0977">
        <w:rPr>
          <w:rFonts w:cs="Times New Roman"/>
        </w:rPr>
        <w:t>, the constitutionality of which is not being challenged here. It is important to remember that this section makes it necessary to “prioritize denunciation and deterrence for offences that involve the abuse of children” (</w:t>
      </w:r>
      <w:r w:rsidRPr="00DA0977">
        <w:rPr>
          <w:rFonts w:cs="Times New Roman"/>
          <w:i/>
        </w:rPr>
        <w:t>Friesen</w:t>
      </w:r>
      <w:r w:rsidRPr="00DA0977">
        <w:rPr>
          <w:rFonts w:cs="Times New Roman"/>
        </w:rPr>
        <w:t>,</w:t>
      </w:r>
      <w:r w:rsidRPr="00DA0977">
        <w:rPr>
          <w:rFonts w:cs="Times New Roman"/>
          <w:i/>
        </w:rPr>
        <w:t xml:space="preserve"> </w:t>
      </w:r>
      <w:r w:rsidRPr="00DA0977">
        <w:rPr>
          <w:rFonts w:cs="Times New Roman"/>
        </w:rPr>
        <w:t xml:space="preserve">at para. 101; see also </w:t>
      </w:r>
      <w:r w:rsidRPr="00DA0977">
        <w:rPr>
          <w:rFonts w:cs="Times New Roman"/>
          <w:i/>
        </w:rPr>
        <w:t>R. v. Rayo</w:t>
      </w:r>
      <w:r w:rsidRPr="00DA0977">
        <w:rPr>
          <w:rFonts w:cs="Times New Roman"/>
        </w:rPr>
        <w:t xml:space="preserve">, 2018 QCCA 824, at para. 103 (CanLII)). Let me be clear: in these circumstances, my colleague cannot prioritize another penological objective, as that is the role of Parliament. Although my colleague makes reference to s. 718.01 </w:t>
      </w:r>
      <w:r w:rsidRPr="00DA0977">
        <w:rPr>
          <w:rFonts w:cs="Times New Roman"/>
          <w:i/>
          <w:iCs/>
        </w:rPr>
        <w:t>Cr. C</w:t>
      </w:r>
      <w:r w:rsidRPr="00DA0977">
        <w:rPr>
          <w:rFonts w:cs="Times New Roman"/>
          <w:i/>
        </w:rPr>
        <w:t>.</w:t>
      </w:r>
      <w:r w:rsidRPr="00DA0977">
        <w:rPr>
          <w:rFonts w:cs="Times New Roman"/>
        </w:rPr>
        <w:t>, there is nothing in her reasons to indicate that [</w:t>
      </w:r>
      <w:r w:rsidRPr="00DA0977">
        <w:rPr>
          <w:rFonts w:cs="Times New Roman"/>
          <w:smallCaps/>
        </w:rPr>
        <w:t>translation</w:t>
      </w:r>
      <w:r w:rsidRPr="00DA0977">
        <w:rPr>
          <w:rFonts w:cs="Times New Roman"/>
        </w:rPr>
        <w:t xml:space="preserve">] “the relative precedence of [the] objectives [set out in s. 718.01 </w:t>
      </w:r>
      <w:r w:rsidRPr="00DA0977">
        <w:rPr>
          <w:rFonts w:cs="Times New Roman"/>
          <w:i/>
        </w:rPr>
        <w:t>Cr. C.</w:t>
      </w:r>
      <w:r w:rsidRPr="00DA0977">
        <w:rPr>
          <w:rFonts w:cs="Times New Roman"/>
        </w:rPr>
        <w:t>] will be clear” in the sentence she would impose on the offender in her hypothetical scenario (</w:t>
      </w:r>
      <w:r w:rsidRPr="00DA0977">
        <w:rPr>
          <w:rFonts w:cs="Times New Roman"/>
          <w:i/>
        </w:rPr>
        <w:t>Rayo</w:t>
      </w:r>
      <w:r w:rsidRPr="00DA0977">
        <w:rPr>
          <w:rFonts w:cs="Times New Roman"/>
        </w:rPr>
        <w:t>,</w:t>
      </w:r>
      <w:r w:rsidRPr="00DA0977">
        <w:rPr>
          <w:rFonts w:cs="Times New Roman"/>
          <w:i/>
        </w:rPr>
        <w:t xml:space="preserve"> </w:t>
      </w:r>
      <w:r w:rsidRPr="00DA0977">
        <w:rPr>
          <w:rFonts w:cs="Times New Roman"/>
        </w:rPr>
        <w:t xml:space="preserve">at para. 112; see also </w:t>
      </w:r>
      <w:r w:rsidRPr="00DA0977">
        <w:rPr>
          <w:rFonts w:cs="Times New Roman"/>
          <w:i/>
        </w:rPr>
        <w:t>R. v. Bergeron</w:t>
      </w:r>
      <w:r w:rsidRPr="00DA0977">
        <w:rPr>
          <w:rFonts w:cs="Times New Roman"/>
        </w:rPr>
        <w:t>, 2016 QCCA 339, at para. 32 (CanLII)).</w:t>
      </w:r>
    </w:p>
    <w:p w14:paraId="597713A9"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It is true that courts “must not magnify aggravating factors or narrow mitigating ones to reach desired conclusions” (Martin J.’s reasons, at para. 122). But conversely, mitigating factors cannot be overestimated at the expense of aggravating circumstances in order to achieve a certain outcome. I find that a nine</w:t>
      </w:r>
      <w:r w:rsidRPr="00DA0977">
        <w:rPr>
          <w:rFonts w:cs="Times New Roman"/>
        </w:rPr>
        <w:noBreakHyphen/>
        <w:t>month term of imprisonment is a fit and appropriate sentence for the offender in the first hypothetical scenario.</w:t>
      </w:r>
    </w:p>
    <w:p w14:paraId="483A282A"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In </w:t>
      </w:r>
      <w:r w:rsidRPr="00DA0977">
        <w:rPr>
          <w:rFonts w:cs="Times New Roman"/>
          <w:i/>
          <w:iCs/>
        </w:rPr>
        <w:t>Rayo</w:t>
      </w:r>
      <w:r w:rsidRPr="00DA0977">
        <w:rPr>
          <w:rFonts w:cs="Times New Roman"/>
        </w:rPr>
        <w:t>, which was rendered in 2018, the Quebec Court of Appeal noted that the sentencing range for the offence of child luring is between 12 and 24 months when the offence is prosecuted by indictment (paras. 125</w:t>
      </w:r>
      <w:r w:rsidRPr="00DA0977">
        <w:rPr>
          <w:rFonts w:cs="Times New Roman"/>
        </w:rPr>
        <w:noBreakHyphen/>
        <w:t xml:space="preserve">26). I note that such a range </w:t>
      </w:r>
      <w:r w:rsidRPr="00DA0977">
        <w:rPr>
          <w:rFonts w:cs="Times New Roman"/>
        </w:rPr>
        <w:lastRenderedPageBreak/>
        <w:t xml:space="preserve">was proposed in 2006, </w:t>
      </w:r>
      <w:r w:rsidRPr="00DA0977">
        <w:rPr>
          <w:rFonts w:eastAsia="Times New Roman" w:cs="Times New Roman"/>
        </w:rPr>
        <w:t>well before the 2012 and 2015 legislative amendments introducing the minimum sentences challenged in this case (</w:t>
      </w:r>
      <w:r w:rsidRPr="00DA0977">
        <w:rPr>
          <w:rFonts w:cs="Times New Roman"/>
          <w:i/>
        </w:rPr>
        <w:t>R. v.</w:t>
      </w:r>
      <w:r w:rsidRPr="00DA0977">
        <w:rPr>
          <w:rFonts w:cs="Times New Roman"/>
        </w:rPr>
        <w:t xml:space="preserve"> </w:t>
      </w:r>
      <w:r w:rsidRPr="00DA0977">
        <w:rPr>
          <w:rFonts w:cs="Times New Roman"/>
          <w:i/>
        </w:rPr>
        <w:t xml:space="preserve">Jarvis </w:t>
      </w:r>
      <w:r w:rsidRPr="00DA0977">
        <w:rPr>
          <w:rFonts w:cs="Times New Roman"/>
        </w:rPr>
        <w:t>(2006), 211 C.C.C. (3d) 20</w:t>
      </w:r>
      <w:r w:rsidRPr="00DA0977">
        <w:rPr>
          <w:rFonts w:eastAsia="Times New Roman" w:cs="Times New Roman"/>
        </w:rPr>
        <w:t xml:space="preserve"> (Ont. C.A.), at para. 31).</w:t>
      </w:r>
      <w:r w:rsidRPr="00DA0977">
        <w:rPr>
          <w:rFonts w:cs="Times New Roman"/>
        </w:rPr>
        <w:t xml:space="preserve"> </w:t>
      </w:r>
      <w:r w:rsidRPr="00DA0977">
        <w:rPr>
          <w:rFonts w:eastAsia="Times New Roman" w:cs="Times New Roman"/>
        </w:rPr>
        <w:t xml:space="preserve">In </w:t>
      </w:r>
      <w:r w:rsidRPr="00DA0977">
        <w:rPr>
          <w:rFonts w:cs="Times New Roman"/>
          <w:i/>
        </w:rPr>
        <w:t>Montour v. R.</w:t>
      </w:r>
      <w:r w:rsidRPr="00DA0977">
        <w:rPr>
          <w:rFonts w:cs="Times New Roman"/>
        </w:rPr>
        <w:t>, 2020 QCCA 1648</w:t>
      </w:r>
      <w:r w:rsidRPr="00DA0977">
        <w:rPr>
          <w:rFonts w:eastAsia="Times New Roman" w:cs="Times New Roman"/>
        </w:rPr>
        <w:t xml:space="preserve">, the Court of Appeal indicated that this range could be revised upwards as a result of </w:t>
      </w:r>
      <w:r w:rsidRPr="00DA0977">
        <w:rPr>
          <w:rFonts w:eastAsia="Times New Roman" w:cs="Times New Roman"/>
          <w:i/>
        </w:rPr>
        <w:t>Friesen</w:t>
      </w:r>
      <w:r w:rsidRPr="00DA0977">
        <w:rPr>
          <w:rFonts w:eastAsia="Times New Roman" w:cs="Times New Roman"/>
        </w:rPr>
        <w:t xml:space="preserve"> (paras. 55</w:t>
      </w:r>
      <w:r w:rsidRPr="00DA0977">
        <w:rPr>
          <w:rFonts w:eastAsia="Times New Roman" w:cs="Times New Roman"/>
        </w:rPr>
        <w:noBreakHyphen/>
        <w:t xml:space="preserve">60 (CanLII)). Similarly, in </w:t>
      </w:r>
      <w:r w:rsidRPr="00DA0977">
        <w:rPr>
          <w:rFonts w:eastAsia="Times New Roman" w:cs="Times New Roman"/>
          <w:i/>
          <w:iCs/>
        </w:rPr>
        <w:t>Traité de droit criminel</w:t>
      </w:r>
      <w:r w:rsidRPr="00DA0977">
        <w:rPr>
          <w:rFonts w:eastAsia="Times New Roman" w:cs="Times New Roman"/>
        </w:rPr>
        <w:t>, Parent and Desrosiers state that the general sentencing range is from 6 to 24 months’ imprisonment. According to them, short prison sentences range from 6 to 12 months (pp. 869</w:t>
      </w:r>
      <w:r w:rsidRPr="00DA0977">
        <w:rPr>
          <w:rFonts w:eastAsia="Times New Roman" w:cs="Times New Roman"/>
        </w:rPr>
        <w:noBreakHyphen/>
        <w:t>72), intermediate sentences from 9 to 18 months (pp. 872</w:t>
      </w:r>
      <w:r w:rsidRPr="00DA0977">
        <w:rPr>
          <w:rFonts w:eastAsia="Times New Roman" w:cs="Times New Roman"/>
        </w:rPr>
        <w:noBreakHyphen/>
        <w:t>76), and longer sentences from 18 months to 5 years (pp. 876</w:t>
      </w:r>
      <w:r w:rsidRPr="00DA0977">
        <w:rPr>
          <w:rFonts w:eastAsia="Times New Roman" w:cs="Times New Roman"/>
        </w:rPr>
        <w:noBreakHyphen/>
        <w:t>77). Generally, offences in the intermediate category involve a mix of aggravating and mitigating circumstances (p. 874). Mitigating circumstances that have been identified include a guilty plea, the expression of remorse and a low risk of reoffending (p. 874). Aggravating factors include the exploitation of a relationship of trust and of the victim’s vulnerability for the purpose of having sexual relations with the victim (pp. 874</w:t>
      </w:r>
      <w:r w:rsidRPr="00DA0977">
        <w:rPr>
          <w:rFonts w:eastAsia="Times New Roman" w:cs="Times New Roman"/>
        </w:rPr>
        <w:noBreakHyphen/>
        <w:t xml:space="preserve">75, citing </w:t>
      </w:r>
      <w:r w:rsidRPr="00DA0977">
        <w:rPr>
          <w:rFonts w:eastAsia="Times New Roman" w:cs="Times New Roman"/>
          <w:i/>
        </w:rPr>
        <w:t>Rayo</w:t>
      </w:r>
      <w:r w:rsidRPr="00DA0977">
        <w:rPr>
          <w:rFonts w:eastAsia="Times New Roman" w:cs="Times New Roman"/>
        </w:rPr>
        <w:t xml:space="preserve">, at para. 29). </w:t>
      </w:r>
      <w:r w:rsidRPr="00DA0977">
        <w:rPr>
          <w:rFonts w:cs="Times New Roman"/>
        </w:rPr>
        <w:t>In addition, [</w:t>
      </w:r>
      <w:r w:rsidRPr="00DA0977">
        <w:rPr>
          <w:rFonts w:cs="Times New Roman"/>
          <w:smallCaps/>
        </w:rPr>
        <w:t>translation</w:t>
      </w:r>
      <w:r w:rsidRPr="00DA0977">
        <w:rPr>
          <w:rFonts w:cs="Times New Roman"/>
        </w:rPr>
        <w:t>] “where luring gives rise to related offences involving the actual assault of a child, the global sentences are generally more significant” (</w:t>
      </w:r>
      <w:r w:rsidRPr="00DA0977">
        <w:rPr>
          <w:rFonts w:cs="Times New Roman"/>
          <w:i/>
        </w:rPr>
        <w:t>Rayo</w:t>
      </w:r>
      <w:r w:rsidRPr="00DA0977">
        <w:rPr>
          <w:rFonts w:cs="Times New Roman"/>
        </w:rPr>
        <w:t xml:space="preserve">, at para. 171; see also </w:t>
      </w:r>
      <w:r w:rsidRPr="00DA0977">
        <w:rPr>
          <w:rFonts w:cs="Times New Roman"/>
          <w:i/>
        </w:rPr>
        <w:t>Hajar</w:t>
      </w:r>
      <w:r w:rsidRPr="00DA0977">
        <w:rPr>
          <w:rFonts w:cs="Times New Roman"/>
        </w:rPr>
        <w:t>, at para. 156).</w:t>
      </w:r>
    </w:p>
    <w:p w14:paraId="7A23B111"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eastAsia="Times New Roman" w:cs="Times New Roman"/>
        </w:rPr>
        <w:t>A review of the case law also shows that 12</w:t>
      </w:r>
      <w:r w:rsidRPr="00DA0977">
        <w:rPr>
          <w:rFonts w:eastAsia="Times New Roman" w:cs="Times New Roman"/>
        </w:rPr>
        <w:noBreakHyphen/>
        <w:t xml:space="preserve">month terms of imprisonment have been imposed for child luring offences committed in a context involving abuse of a position of trust (see, e.g., </w:t>
      </w:r>
      <w:r w:rsidRPr="00DA0977">
        <w:rPr>
          <w:rFonts w:cs="Times New Roman"/>
          <w:i/>
        </w:rPr>
        <w:t>R. v. Faille</w:t>
      </w:r>
      <w:r w:rsidRPr="00DA0977">
        <w:rPr>
          <w:rFonts w:cs="Times New Roman"/>
        </w:rPr>
        <w:t>, 2021 QCCQ 4945</w:t>
      </w:r>
      <w:r w:rsidRPr="00DA0977">
        <w:rPr>
          <w:rFonts w:eastAsia="Times New Roman" w:cs="Times New Roman"/>
        </w:rPr>
        <w:t xml:space="preserve">; </w:t>
      </w:r>
      <w:r w:rsidRPr="00DA0977">
        <w:rPr>
          <w:rFonts w:cs="Times New Roman"/>
          <w:i/>
        </w:rPr>
        <w:t>R. v. Jissink</w:t>
      </w:r>
      <w:r w:rsidRPr="00DA0977">
        <w:rPr>
          <w:rFonts w:cs="Times New Roman"/>
        </w:rPr>
        <w:t>, 2021 ABQB 102, 482 C.R.R. (2d) 167</w:t>
      </w:r>
      <w:r w:rsidRPr="00DA0977">
        <w:rPr>
          <w:rFonts w:eastAsia="Times New Roman" w:cs="Times New Roman"/>
        </w:rPr>
        <w:t xml:space="preserve">). In </w:t>
      </w:r>
      <w:r w:rsidRPr="00DA0977">
        <w:rPr>
          <w:rFonts w:eastAsia="Times New Roman" w:cs="Times New Roman"/>
          <w:i/>
          <w:iCs/>
        </w:rPr>
        <w:t>Faille</w:t>
      </w:r>
      <w:r w:rsidRPr="00DA0977">
        <w:rPr>
          <w:rFonts w:eastAsia="Times New Roman" w:cs="Times New Roman"/>
        </w:rPr>
        <w:t>, a 12</w:t>
      </w:r>
      <w:r w:rsidRPr="00DA0977">
        <w:rPr>
          <w:rFonts w:eastAsia="Times New Roman" w:cs="Times New Roman"/>
        </w:rPr>
        <w:noBreakHyphen/>
        <w:t xml:space="preserve">month term of imprisonment for child luring was imposed on a teacher who had conversations with the victim during which he </w:t>
      </w:r>
      <w:r w:rsidRPr="00DA0977">
        <w:rPr>
          <w:rFonts w:eastAsia="Times New Roman" w:cs="Times New Roman"/>
        </w:rPr>
        <w:lastRenderedPageBreak/>
        <w:t xml:space="preserve">frequently talked about sex and drug and alcohol use. He then tried to contact the victim by web video, which she refused, and he later sent her a photograph of a sexual nature. The judge found abuse of a position of trust to be an aggravating factor, noting that </w:t>
      </w:r>
      <w:r w:rsidRPr="00DA0977">
        <w:rPr>
          <w:rFonts w:eastAsia="Times New Roman" w:cs="Times New Roman"/>
          <w:smallCaps/>
        </w:rPr>
        <w:t>[translation]</w:t>
      </w:r>
      <w:r w:rsidRPr="00DA0977">
        <w:rPr>
          <w:rFonts w:eastAsia="Times New Roman" w:cs="Times New Roman"/>
        </w:rPr>
        <w:t xml:space="preserve"> “it was as a teacher, and thus a known figure, that [the accused] established ties with the two victims” (para. 57 (CanLII)), which is also the case in the scenario being considered. A guilty plea and the absence of a criminal record were mitigating factors.</w:t>
      </w:r>
    </w:p>
    <w:p w14:paraId="464CC2E6"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 xml:space="preserve">In </w:t>
      </w:r>
      <w:r w:rsidRPr="00DA0977">
        <w:rPr>
          <w:rFonts w:cs="Times New Roman"/>
          <w:i/>
        </w:rPr>
        <w:t>Jissink</w:t>
      </w:r>
      <w:r w:rsidRPr="00DA0977">
        <w:rPr>
          <w:rFonts w:cs="Times New Roman"/>
        </w:rPr>
        <w:t>, a teacher pleaded guilty to one count of child luring for having sent sexually explicit messages to a 16</w:t>
      </w:r>
      <w:r w:rsidRPr="00DA0977">
        <w:rPr>
          <w:rFonts w:cs="Times New Roman"/>
        </w:rPr>
        <w:noBreakHyphen/>
        <w:t>year</w:t>
      </w:r>
      <w:r w:rsidRPr="00DA0977">
        <w:rPr>
          <w:rFonts w:cs="Times New Roman"/>
        </w:rPr>
        <w:noBreakHyphen/>
        <w:t>old student. In that case, the Court of Queen’s Bench imposed a one</w:t>
      </w:r>
      <w:r w:rsidRPr="00DA0977">
        <w:rPr>
          <w:rFonts w:cs="Times New Roman"/>
        </w:rPr>
        <w:noBreakHyphen/>
        <w:t>year term of imprisonment even though the communications had never led to a meeting for sexual purposes between the offender and the complainant. The aggravating factors considered by the court included the significant age difference between the offender and the victim as well as abuse of a position of trust and authority because of the offender’s status as a teacher. In that case, which involved circumstances analogous to the scenario being considered here, the court noted that a sentence of 12 months’ imprisonment “is on par with sentences imposed on similar offenders for similar offences committed in similar circumstances” (para. 77).</w:t>
      </w:r>
    </w:p>
    <w:p w14:paraId="09DDD6C9"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In the scenario being considered, an offender takes advantage of her status as a teacher to exploit a 15</w:t>
      </w:r>
      <w:r w:rsidRPr="00DA0977">
        <w:rPr>
          <w:rFonts w:cs="Times New Roman"/>
        </w:rPr>
        <w:noBreakHyphen/>
        <w:t>year</w:t>
      </w:r>
      <w:r w:rsidRPr="00DA0977">
        <w:rPr>
          <w:rFonts w:cs="Times New Roman"/>
        </w:rPr>
        <w:noBreakHyphen/>
        <w:t>old child for sexual purposes. This is a “classic breach of trust situatio[n]” that increases the offender’s moral blameworthiness (</w:t>
      </w:r>
      <w:r w:rsidRPr="00DA0977">
        <w:rPr>
          <w:rFonts w:cs="Times New Roman"/>
          <w:i/>
          <w:iCs/>
        </w:rPr>
        <w:t>Friesen</w:t>
      </w:r>
      <w:r w:rsidRPr="00DA0977">
        <w:rPr>
          <w:rFonts w:cs="Times New Roman"/>
        </w:rPr>
        <w:t xml:space="preserve">, at </w:t>
      </w:r>
      <w:r w:rsidRPr="00DA0977">
        <w:rPr>
          <w:rFonts w:cs="Times New Roman"/>
        </w:rPr>
        <w:lastRenderedPageBreak/>
        <w:t>paras. 126 and 129). A nine</w:t>
      </w:r>
      <w:r w:rsidRPr="00DA0977">
        <w:rPr>
          <w:rFonts w:cs="Times New Roman"/>
        </w:rPr>
        <w:noBreakHyphen/>
        <w:t>month term of imprisonment takes into account the moral blameworthiness inherent in an offence like child luring, the abuse of a position of trust and the commission of an underlying offence. It also takes into account the significant age difference between the offender and the complainant as well as the complainant’s vulnerability. Nevertheless, I am of the view that such a penalty acknowledges the role that the offender’s mental illness played in the events, along with her guilty plea and the remorse she expressed.</w:t>
      </w:r>
    </w:p>
    <w:p w14:paraId="1E859FB5" w14:textId="77777777" w:rsidR="00DA0977" w:rsidRPr="00DA0977" w:rsidRDefault="00DA0977" w:rsidP="00DA0977">
      <w:pPr>
        <w:pStyle w:val="Title3LevelTitre3Niveau"/>
        <w:numPr>
          <w:ilvl w:val="2"/>
          <w:numId w:val="29"/>
        </w:numPr>
        <w:spacing w:before="0"/>
        <w:jc w:val="both"/>
        <w:rPr>
          <w:rFonts w:cs="Times New Roman"/>
        </w:rPr>
      </w:pPr>
      <w:bookmarkStart w:id="274" w:name="_Toc140071963"/>
      <w:r w:rsidRPr="00DA0977">
        <w:rPr>
          <w:rFonts w:cs="Times New Roman"/>
        </w:rPr>
        <w:t>The Fit and Appropriate Sentence for the Offender in the Second Reasonably Foreseeable Hypothetical</w:t>
      </w:r>
      <w:bookmarkEnd w:id="274"/>
      <w:r w:rsidRPr="00DA0977">
        <w:rPr>
          <w:rFonts w:cs="Times New Roman"/>
        </w:rPr>
        <w:t xml:space="preserve"> Scenario</w:t>
      </w:r>
    </w:p>
    <w:p w14:paraId="074CAF8F"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My colleague proposes a second reasonably foreseeable hypothetical scenario to assess the constitutionality of the six</w:t>
      </w:r>
      <w:r w:rsidRPr="00DA0977">
        <w:rPr>
          <w:rFonts w:cs="Times New Roman"/>
        </w:rPr>
        <w:noBreakHyphen/>
        <w:t xml:space="preserve">month minimum term of imprisonment provided for in s. 172.1(2)(b) </w:t>
      </w:r>
      <w:r w:rsidRPr="00DA0977">
        <w:rPr>
          <w:rFonts w:cs="Times New Roman"/>
          <w:i/>
        </w:rPr>
        <w:t>Cr. C.</w:t>
      </w:r>
      <w:r w:rsidRPr="00DA0977">
        <w:rPr>
          <w:rFonts w:cs="Times New Roman"/>
        </w:rPr>
        <w:t xml:space="preserve"> (para. 119):</w:t>
      </w:r>
    </w:p>
    <w:p w14:paraId="23F7BB65" w14:textId="77777777" w:rsidR="00DA0977" w:rsidRPr="00DA0977" w:rsidRDefault="00DA0977" w:rsidP="00DA0977">
      <w:pPr>
        <w:pStyle w:val="Citation-AltC"/>
        <w:numPr>
          <w:ilvl w:val="0"/>
          <w:numId w:val="47"/>
        </w:numPr>
        <w:ind w:left="1526"/>
        <w:contextualSpacing w:val="0"/>
      </w:pPr>
      <w:r w:rsidRPr="00DA0977">
        <w:t>The representative offender is an 18</w:t>
      </w:r>
      <w:r w:rsidRPr="00DA0977">
        <w:noBreakHyphen/>
        <w:t>year</w:t>
      </w:r>
      <w:r w:rsidRPr="00DA0977">
        <w:noBreakHyphen/>
        <w:t>old who is in a romantic and sexual relationship with a 17</w:t>
      </w:r>
      <w:r w:rsidRPr="00DA0977">
        <w:noBreakHyphen/>
        <w:t>year</w:t>
      </w:r>
      <w:r w:rsidRPr="00DA0977">
        <w:noBreakHyphen/>
        <w:t>old. In one text, the offender asks her to send him an explicit photo. She does, and he then forwards that photo to his friend without his girlfriend’s knowledge. This friend, who is also 18, does not transmit this photo to anyone, but retains it on his mobile phone. See [</w:t>
      </w:r>
      <w:r w:rsidRPr="00DA0977">
        <w:rPr>
          <w:i/>
        </w:rPr>
        <w:t>R. v.</w:t>
      </w:r>
      <w:r w:rsidRPr="00DA0977">
        <w:t>]</w:t>
      </w:r>
      <w:r w:rsidRPr="00DA0977">
        <w:rPr>
          <w:i/>
        </w:rPr>
        <w:t xml:space="preserve"> John</w:t>
      </w:r>
      <w:r w:rsidRPr="00DA0977">
        <w:t>, [2018 ONCA 702, 142 O.R. (3d) 670,] at para. 29.</w:t>
      </w:r>
    </w:p>
    <w:p w14:paraId="71DCDF3D"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 xml:space="preserve">This hypothetical scenario is based on a scenario considered by the Ontario Court of Appeal in </w:t>
      </w:r>
      <w:r w:rsidRPr="00DA0977">
        <w:rPr>
          <w:rFonts w:cs="Times New Roman"/>
          <w:i/>
          <w:iCs/>
        </w:rPr>
        <w:t>John</w:t>
      </w:r>
      <w:r w:rsidRPr="00DA0977">
        <w:rPr>
          <w:rFonts w:cs="Times New Roman"/>
        </w:rPr>
        <w:t xml:space="preserve">, in which that court declared the minimum sentence provided for in s. 163.1(4)(a) </w:t>
      </w:r>
      <w:r w:rsidRPr="00DA0977">
        <w:rPr>
          <w:rFonts w:cs="Times New Roman"/>
          <w:i/>
        </w:rPr>
        <w:t>Cr. C.</w:t>
      </w:r>
      <w:r w:rsidRPr="00DA0977">
        <w:rPr>
          <w:rFonts w:cs="Times New Roman"/>
        </w:rPr>
        <w:t xml:space="preserve"> for possession of child pornography unconstitutional.</w:t>
      </w:r>
    </w:p>
    <w:p w14:paraId="416D274A"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lastRenderedPageBreak/>
        <w:t>In my colleague’s opinion, the fit and appropriate punishment for this offender is a conditional discharge (para. 130). Again, I cannot agree with that position.</w:t>
      </w:r>
    </w:p>
    <w:p w14:paraId="13890CBD"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It is true that, as a general rule, there is no offence for which a discharge is unavailable “other than an offence for which a minimum punishment is prescribed by law or an offence punishable by imprisonment for fourteen years or for life” (s. 730(1) </w:t>
      </w:r>
      <w:r w:rsidRPr="00DA0977">
        <w:rPr>
          <w:rFonts w:cs="Times New Roman"/>
          <w:i/>
        </w:rPr>
        <w:t>Cr. C.</w:t>
      </w:r>
      <w:r w:rsidRPr="00DA0977">
        <w:rPr>
          <w:rFonts w:cs="Times New Roman"/>
        </w:rPr>
        <w:t xml:space="preserve">). However, in the case of offences committed against a child or an intimate partner, </w:t>
      </w:r>
      <w:r w:rsidRPr="00DA0977">
        <w:rPr>
          <w:rFonts w:cs="Times New Roman"/>
          <w:smallCaps/>
        </w:rPr>
        <w:t xml:space="preserve">[translation] </w:t>
      </w:r>
      <w:r w:rsidRPr="00DA0977">
        <w:rPr>
          <w:rFonts w:cs="Times New Roman"/>
        </w:rPr>
        <w:t xml:space="preserve">“it will be more difficult to grant a discharge” (Parent and Desrosiers, at p. 305 (footnote omitted); see also </w:t>
      </w:r>
      <w:r w:rsidRPr="00DA0977">
        <w:rPr>
          <w:rFonts w:cs="Times New Roman"/>
          <w:i/>
        </w:rPr>
        <w:t>Medvedev v. R.</w:t>
      </w:r>
      <w:r w:rsidRPr="00DA0977">
        <w:rPr>
          <w:rFonts w:cs="Times New Roman"/>
        </w:rPr>
        <w:t>, 2013 QCCA 540, at para. 4 (CanLII)). The jurisprudence also establishes that a conditional discharge is rarely granted in cases involving domestic violence (Parent and Desrosiers, at pp. 305</w:t>
      </w:r>
      <w:r w:rsidRPr="00DA0977">
        <w:rPr>
          <w:rFonts w:cs="Times New Roman"/>
        </w:rPr>
        <w:noBreakHyphen/>
        <w:t xml:space="preserve">8; </w:t>
      </w:r>
      <w:r w:rsidRPr="00DA0977">
        <w:rPr>
          <w:rFonts w:cs="Times New Roman"/>
          <w:i/>
        </w:rPr>
        <w:t>R. v. Laurendeau</w:t>
      </w:r>
      <w:r w:rsidRPr="00DA0977">
        <w:rPr>
          <w:rFonts w:cs="Times New Roman"/>
        </w:rPr>
        <w:t>, 2007 QCCA 1593, at paras. 18</w:t>
      </w:r>
      <w:r w:rsidRPr="00DA0977">
        <w:rPr>
          <w:rFonts w:cs="Times New Roman"/>
        </w:rPr>
        <w:noBreakHyphen/>
        <w:t xml:space="preserve">19 (CanLII)). This is so because the sentence imposed in such cases must align with two imperatives, </w:t>
      </w:r>
      <w:r w:rsidRPr="00DA0977">
        <w:rPr>
          <w:rFonts w:cs="Times New Roman"/>
          <w:smallCaps/>
        </w:rPr>
        <w:t xml:space="preserve">[translation] </w:t>
      </w:r>
      <w:r w:rsidRPr="00DA0977">
        <w:rPr>
          <w:rFonts w:cs="Times New Roman"/>
        </w:rPr>
        <w:t>“[t]hat of denouncing the unacceptable and criminal nature of domestic violence and that of increasing the confidence of victims and the public in the administration of justice” (</w:t>
      </w:r>
      <w:r w:rsidRPr="00DA0977">
        <w:rPr>
          <w:rFonts w:cs="Times New Roman"/>
          <w:i/>
        </w:rPr>
        <w:t>Laurendeau</w:t>
      </w:r>
      <w:r w:rsidRPr="00DA0977">
        <w:rPr>
          <w:rFonts w:cs="Times New Roman"/>
        </w:rPr>
        <w:t xml:space="preserve">, at para. 19; see also </w:t>
      </w:r>
      <w:r w:rsidRPr="00DA0977">
        <w:rPr>
          <w:rFonts w:cs="Times New Roman"/>
          <w:i/>
        </w:rPr>
        <w:t>R. v. Davidson</w:t>
      </w:r>
      <w:r w:rsidRPr="00DA0977">
        <w:rPr>
          <w:rFonts w:cs="Times New Roman"/>
        </w:rPr>
        <w:t>, 2021 QCCA 545, at paras. 32 and 34 (CanLII)).</w:t>
      </w:r>
    </w:p>
    <w:p w14:paraId="0BBA73BF"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 xml:space="preserve">In this second hypothetical scenario, the offender was in a romantic relationship with the victim at the time of the offence. However, the conditional discharge proposed by my colleague fails to take into account s. 718.2(a)(ii) </w:t>
      </w:r>
      <w:r w:rsidRPr="00DA0977">
        <w:rPr>
          <w:rFonts w:cs="Times New Roman"/>
          <w:i/>
          <w:iCs/>
        </w:rPr>
        <w:t>Cr. C</w:t>
      </w:r>
      <w:r w:rsidRPr="00DA0977">
        <w:rPr>
          <w:rFonts w:cs="Times New Roman"/>
          <w:i/>
        </w:rPr>
        <w:t>.</w:t>
      </w:r>
      <w:r w:rsidRPr="00DA0977">
        <w:rPr>
          <w:rFonts w:cs="Times New Roman"/>
        </w:rPr>
        <w:t xml:space="preserve">, which provides that the commission of an offence that involved the abuse of the offender’s intimate partner is an aggravating circumstance. In this context, the </w:t>
      </w:r>
      <w:r w:rsidRPr="00DA0977">
        <w:rPr>
          <w:rFonts w:cs="Times New Roman"/>
        </w:rPr>
        <w:lastRenderedPageBreak/>
        <w:t>objectives of denunciation and deterrence must be prioritized in sentencing (</w:t>
      </w:r>
      <w:r w:rsidRPr="00DA0977">
        <w:rPr>
          <w:rFonts w:cs="Times New Roman"/>
          <w:i/>
        </w:rPr>
        <w:t>R. v. Cunningham</w:t>
      </w:r>
      <w:r w:rsidRPr="00DA0977">
        <w:rPr>
          <w:rFonts w:cs="Times New Roman"/>
        </w:rPr>
        <w:t xml:space="preserve">, 2023 ONCA 36, 166 O.R. (3d) 147, at paras. 26 and 52; </w:t>
      </w:r>
      <w:r w:rsidRPr="00DA0977">
        <w:rPr>
          <w:rFonts w:cs="Times New Roman"/>
          <w:i/>
        </w:rPr>
        <w:t>Davidson</w:t>
      </w:r>
      <w:r w:rsidRPr="00DA0977">
        <w:rPr>
          <w:rFonts w:cs="Times New Roman"/>
        </w:rPr>
        <w:t>, at paras. 32 and 34). Not only did the offender engage in conduct that involved the abuse of his intimate partner, but he also committed that offence against a minor, and both of these factors increase the subjective gravity of the offence.</w:t>
      </w:r>
    </w:p>
    <w:p w14:paraId="0AF72C00"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 xml:space="preserve">Added to this is another aggravating circumstance, namely the fact that the offender abused a position of trust in relation to the complainant (s. 718.2(a)(iii) </w:t>
      </w:r>
      <w:r w:rsidRPr="00DA0977">
        <w:rPr>
          <w:rFonts w:cs="Times New Roman"/>
          <w:i/>
          <w:iCs/>
        </w:rPr>
        <w:t>Cr. C</w:t>
      </w:r>
      <w:r w:rsidRPr="00DA0977">
        <w:rPr>
          <w:rFonts w:cs="Times New Roman"/>
          <w:i/>
        </w:rPr>
        <w:t>.</w:t>
      </w:r>
      <w:r w:rsidRPr="00DA0977">
        <w:rPr>
          <w:rFonts w:cs="Times New Roman"/>
        </w:rPr>
        <w:t>), who was entitled to expect that her sexually explicit photo would be for the exclusive use of her boyfriend. Trust is an intrinsic part of any romantic relationship (</w:t>
      </w:r>
      <w:r w:rsidRPr="00DA0977">
        <w:rPr>
          <w:rFonts w:cs="Times New Roman"/>
          <w:i/>
        </w:rPr>
        <w:t>R. v. Stone</w:t>
      </w:r>
      <w:r w:rsidRPr="00DA0977">
        <w:rPr>
          <w:rFonts w:cs="Times New Roman"/>
        </w:rPr>
        <w:t xml:space="preserve">, [1999] 2 S.C.R. 290, at para. 240; </w:t>
      </w:r>
      <w:r w:rsidRPr="00DA0977">
        <w:rPr>
          <w:rFonts w:cs="Times New Roman"/>
          <w:i/>
        </w:rPr>
        <w:t>R. v. Butcher</w:t>
      </w:r>
      <w:r w:rsidRPr="00DA0977">
        <w:rPr>
          <w:rFonts w:cs="Times New Roman"/>
        </w:rPr>
        <w:t>, 2020 NSCA 50, 387 C.C.C. (3d) 417, at para. 140). Taking advantage of the existence of such a relationship of trust to deceive one’s girlfriend is “likely to increase the harm to the victim and thus the gravity of the offence” (</w:t>
      </w:r>
      <w:r w:rsidRPr="00DA0977">
        <w:rPr>
          <w:rFonts w:cs="Times New Roman"/>
          <w:i/>
        </w:rPr>
        <w:t>Friesen</w:t>
      </w:r>
      <w:r w:rsidRPr="00DA0977">
        <w:rPr>
          <w:rFonts w:cs="Times New Roman"/>
        </w:rPr>
        <w:t>, at para. 126).</w:t>
      </w:r>
    </w:p>
    <w:p w14:paraId="475FA5A9"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The hypothetical offender’s actions could have many negative consequences for the complainant. These include not only humiliation and shame but also a violation of her sexual integrity and her interests in personal autonomy, dignity and privacy (</w:t>
      </w:r>
      <w:r w:rsidRPr="00DA0977">
        <w:rPr>
          <w:rFonts w:cs="Times New Roman"/>
          <w:i/>
        </w:rPr>
        <w:t>Friesen</w:t>
      </w:r>
      <w:r w:rsidRPr="00DA0977">
        <w:rPr>
          <w:rFonts w:cs="Times New Roman"/>
        </w:rPr>
        <w:t>, at paras. 51 and 152; J. Bailey and C. Mathen, “Technology</w:t>
      </w:r>
      <w:r w:rsidRPr="00DA0977">
        <w:rPr>
          <w:rFonts w:cs="Times New Roman"/>
        </w:rPr>
        <w:noBreakHyphen/>
        <w:t xml:space="preserve">Facilitated Violence Against Women &amp; Girls: Assessing the Canadian Criminal Law Response” (2019), 97 </w:t>
      </w:r>
      <w:r w:rsidRPr="00DA0977">
        <w:rPr>
          <w:rFonts w:cs="Times New Roman"/>
          <w:i/>
        </w:rPr>
        <w:t>Can. Bar Rev.</w:t>
      </w:r>
      <w:r w:rsidRPr="00DA0977">
        <w:rPr>
          <w:rFonts w:cs="Times New Roman"/>
        </w:rPr>
        <w:t xml:space="preserve"> 664, at p. 677). Moreover, the fact that the offence was committed through technological means amplifies the potential harm given the ease with which the photo can be redistributed by the same means to a </w:t>
      </w:r>
      <w:r w:rsidRPr="00DA0977">
        <w:rPr>
          <w:rFonts w:cs="Times New Roman"/>
        </w:rPr>
        <w:lastRenderedPageBreak/>
        <w:t>theoretically unlimited audience. Once the photo has been transmitted without the complainant’s consent, she loses all control over its future dissemination, which exponentially increases her psychological harm and potential emotional suffering (Bailey and Mathen, at pp. 676</w:t>
      </w:r>
      <w:r w:rsidRPr="00DA0977">
        <w:rPr>
          <w:rFonts w:cs="Times New Roman"/>
        </w:rPr>
        <w:noBreakHyphen/>
        <w:t>77). Finally, the offender’s actions involved the abuse of an adolescent girl, and the vulnerability of adolescent girls to sexual violence has been recognized (</w:t>
      </w:r>
      <w:r w:rsidRPr="00DA0977">
        <w:rPr>
          <w:rFonts w:cs="Times New Roman"/>
          <w:i/>
        </w:rPr>
        <w:t>Friesen</w:t>
      </w:r>
      <w:r w:rsidRPr="00DA0977">
        <w:rPr>
          <w:rFonts w:cs="Times New Roman"/>
        </w:rPr>
        <w:t>, at para. 136).</w:t>
      </w:r>
    </w:p>
    <w:p w14:paraId="3B631DEF"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I acknowledge that the hypothetical offender is young and has no criminal record. However, I cannot give these factors the weight given to them by my colleague in light of the above</w:t>
      </w:r>
      <w:r w:rsidRPr="00DA0977">
        <w:rPr>
          <w:rFonts w:cs="Times New Roman"/>
        </w:rPr>
        <w:noBreakHyphen/>
        <w:t>mentioned aggravating factors. Indeed, I cannot subscribe to the view that in all cases involving a youthful first offender, “[r]ehabilitation and individual deterrence are primary sentencing objectives</w:t>
      </w:r>
      <w:r w:rsidRPr="00DA0977">
        <w:rPr>
          <w:rFonts w:cs="Times New Roman"/>
          <w:iCs/>
        </w:rPr>
        <w:t>”</w:t>
      </w:r>
      <w:r w:rsidRPr="00DA0977">
        <w:rPr>
          <w:rFonts w:cs="Times New Roman"/>
        </w:rPr>
        <w:t xml:space="preserve"> (para. 132). First of all, the decisions cited in support of that view are more nuanced. In </w:t>
      </w:r>
      <w:r w:rsidRPr="00DA0977">
        <w:rPr>
          <w:rFonts w:cs="Times New Roman"/>
          <w:i/>
        </w:rPr>
        <w:t xml:space="preserve">R. v. Priest </w:t>
      </w:r>
      <w:r w:rsidRPr="00DA0977">
        <w:rPr>
          <w:rFonts w:cs="Times New Roman"/>
        </w:rPr>
        <w:t>(1996), 30 O.R. (3d) 538, the Ontario Court of Appeal held that the fact that a youthful offender has no criminal record is a mitigating factor and that the sentencing objectives in such a case should normally be individual deterrence and rehabilitation. In the same breath, however, the Court of Appeal stated that rehabilitation is not a paramount factor for serious offences or offences involving violence (pp. 543</w:t>
      </w:r>
      <w:r w:rsidRPr="00DA0977">
        <w:rPr>
          <w:rFonts w:cs="Times New Roman"/>
        </w:rPr>
        <w:noBreakHyphen/>
        <w:t xml:space="preserve">45; see also </w:t>
      </w:r>
      <w:r w:rsidRPr="00DA0977">
        <w:rPr>
          <w:rFonts w:cs="Times New Roman"/>
          <w:i/>
        </w:rPr>
        <w:t>R. v. Tan</w:t>
      </w:r>
      <w:r w:rsidRPr="00DA0977">
        <w:rPr>
          <w:rFonts w:cs="Times New Roman"/>
        </w:rPr>
        <w:t xml:space="preserve">, 2008 ONCA 574, 268 O.A.C. 385, at para. 32; </w:t>
      </w:r>
      <w:r w:rsidRPr="00DA0977">
        <w:rPr>
          <w:rFonts w:cs="Times New Roman"/>
          <w:i/>
        </w:rPr>
        <w:t>R. v. T. (K.)</w:t>
      </w:r>
      <w:r w:rsidRPr="00DA0977">
        <w:rPr>
          <w:rFonts w:cs="Times New Roman"/>
        </w:rPr>
        <w:t>, 2008 ONCA 91, 89 O.R. (3d) 99, at paras. 41</w:t>
      </w:r>
      <w:r w:rsidRPr="00DA0977">
        <w:rPr>
          <w:rFonts w:cs="Times New Roman"/>
        </w:rPr>
        <w:noBreakHyphen/>
        <w:t>42, decisions that are also cited by my colleague and are to the same effect). The weight to be given to the offender’s age therefore depends on the nature of the offence of which the offender is convicted. The same is true for the weight to be given to the absence of a criminal record (</w:t>
      </w:r>
      <w:r w:rsidRPr="00DA0977">
        <w:rPr>
          <w:rFonts w:cs="Times New Roman"/>
          <w:i/>
        </w:rPr>
        <w:t>R. v. Ahmed</w:t>
      </w:r>
      <w:r w:rsidRPr="00DA0977">
        <w:rPr>
          <w:rFonts w:cs="Times New Roman"/>
        </w:rPr>
        <w:t xml:space="preserve">, 2017 ONCA 76, 136 O.R. (3d) 403, at para. 65, citing </w:t>
      </w:r>
      <w:r w:rsidRPr="00DA0977">
        <w:rPr>
          <w:rFonts w:cs="Times New Roman"/>
          <w:i/>
        </w:rPr>
        <w:lastRenderedPageBreak/>
        <w:t>T. (K.)</w:t>
      </w:r>
      <w:r w:rsidRPr="00DA0977">
        <w:rPr>
          <w:rFonts w:cs="Times New Roman"/>
        </w:rPr>
        <w:t>, at paras. 41</w:t>
      </w:r>
      <w:r w:rsidRPr="00DA0977">
        <w:rPr>
          <w:rFonts w:cs="Times New Roman"/>
        </w:rPr>
        <w:noBreakHyphen/>
        <w:t xml:space="preserve">42; </w:t>
      </w:r>
      <w:r w:rsidRPr="00DA0977">
        <w:rPr>
          <w:rFonts w:cs="Times New Roman"/>
          <w:i/>
        </w:rPr>
        <w:t>R. v. Brown</w:t>
      </w:r>
      <w:r w:rsidRPr="00DA0977">
        <w:rPr>
          <w:rFonts w:cs="Times New Roman"/>
        </w:rPr>
        <w:t xml:space="preserve">, 2015 ONCA 361, 126 O.R. (3d) 797, at para. 5; and </w:t>
      </w:r>
      <w:r w:rsidRPr="00DA0977">
        <w:rPr>
          <w:rFonts w:cs="Times New Roman"/>
          <w:i/>
        </w:rPr>
        <w:t>R. v.</w:t>
      </w:r>
      <w:r w:rsidRPr="00DA0977">
        <w:rPr>
          <w:rFonts w:cs="Times New Roman"/>
        </w:rPr>
        <w:t xml:space="preserve"> </w:t>
      </w:r>
      <w:r w:rsidRPr="00DA0977">
        <w:rPr>
          <w:rFonts w:cs="Times New Roman"/>
          <w:i/>
        </w:rPr>
        <w:t>Khalid</w:t>
      </w:r>
      <w:r w:rsidRPr="00DA0977">
        <w:rPr>
          <w:rFonts w:cs="Times New Roman"/>
        </w:rPr>
        <w:t>, 2010 ONCA 861, 103 O.R. (3d) 600, at para. 43).</w:t>
      </w:r>
    </w:p>
    <w:p w14:paraId="648035FC"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 xml:space="preserve">At the risk of repeating myself, in cases involving sexual violence against a minor, rehabilitation simply cannot be prioritized. Rather, Parliament’s choice, expressed in s. 718.01 </w:t>
      </w:r>
      <w:r w:rsidRPr="00DA0977">
        <w:rPr>
          <w:rFonts w:cs="Times New Roman"/>
          <w:i/>
          <w:iCs/>
        </w:rPr>
        <w:t>Cr. C</w:t>
      </w:r>
      <w:r w:rsidRPr="00DA0977">
        <w:rPr>
          <w:rFonts w:cs="Times New Roman"/>
          <w:i/>
        </w:rPr>
        <w:t>.</w:t>
      </w:r>
      <w:r w:rsidRPr="00DA0977">
        <w:rPr>
          <w:rFonts w:cs="Times New Roman"/>
        </w:rPr>
        <w:t xml:space="preserve">, to prioritize denunciation and deterrence must be given full effect. As this Court explained in </w:t>
      </w:r>
      <w:r w:rsidRPr="00DA0977">
        <w:rPr>
          <w:rFonts w:cs="Times New Roman"/>
          <w:i/>
          <w:iCs/>
        </w:rPr>
        <w:t>Friesen</w:t>
      </w:r>
      <w:r w:rsidRPr="00DA0977">
        <w:rPr>
          <w:rFonts w:cs="Times New Roman"/>
        </w:rPr>
        <w:t xml:space="preserve">, “[w]here Parliament has indicated which sentencing objectives are to receive priority in certain cases, the sentencing judge’s discretion is thereby limited, such that it is no longer open to the judge to elevate other sentencing objectives to an equal or higher priority” (para. 104, citing </w:t>
      </w:r>
      <w:r w:rsidRPr="00DA0977">
        <w:rPr>
          <w:rFonts w:cs="Times New Roman"/>
          <w:i/>
          <w:iCs/>
        </w:rPr>
        <w:t>Rayo</w:t>
      </w:r>
      <w:r w:rsidRPr="00DA0977">
        <w:rPr>
          <w:rFonts w:cs="Times New Roman"/>
        </w:rPr>
        <w:t>, at paras. 103 and 107</w:t>
      </w:r>
      <w:r w:rsidRPr="00DA0977">
        <w:rPr>
          <w:rFonts w:cs="Times New Roman"/>
        </w:rPr>
        <w:noBreakHyphen/>
        <w:t xml:space="preserve">8; see also </w:t>
      </w:r>
      <w:r w:rsidRPr="00DA0977">
        <w:rPr>
          <w:rFonts w:cs="Times New Roman"/>
          <w:i/>
        </w:rPr>
        <w:t>Lévesque v. R.</w:t>
      </w:r>
      <w:r w:rsidRPr="00DA0977">
        <w:rPr>
          <w:rFonts w:cs="Times New Roman"/>
        </w:rPr>
        <w:t>, 2021 QCCA 1072, at paras. 19</w:t>
      </w:r>
      <w:r w:rsidRPr="00DA0977">
        <w:rPr>
          <w:rFonts w:cs="Times New Roman"/>
        </w:rPr>
        <w:noBreakHyphen/>
        <w:t xml:space="preserve">20 (CanLII); </w:t>
      </w:r>
      <w:r w:rsidRPr="00DA0977">
        <w:rPr>
          <w:rFonts w:cs="Times New Roman"/>
          <w:i/>
        </w:rPr>
        <w:t>Davidson</w:t>
      </w:r>
      <w:r w:rsidRPr="00DA0977">
        <w:rPr>
          <w:rFonts w:cs="Times New Roman"/>
        </w:rPr>
        <w:t xml:space="preserve">, at paras. 32 and 34; </w:t>
      </w:r>
      <w:r w:rsidRPr="00DA0977">
        <w:rPr>
          <w:rFonts w:cs="Times New Roman"/>
          <w:i/>
        </w:rPr>
        <w:t>Cunningham</w:t>
      </w:r>
      <w:r w:rsidRPr="00DA0977">
        <w:rPr>
          <w:rFonts w:cs="Times New Roman"/>
        </w:rPr>
        <w:t>, at paras. 26 and 52).</w:t>
      </w:r>
    </w:p>
    <w:p w14:paraId="25A3EE6C"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The offender’s conduct in this hypothetical scenario is at the lower end of the scale of gravity for the offence, since it involves an isolated act committed by an 18</w:t>
      </w:r>
      <w:r w:rsidRPr="00DA0977">
        <w:rPr>
          <w:rFonts w:cs="Times New Roman"/>
        </w:rPr>
        <w:noBreakHyphen/>
        <w:t>year</w:t>
      </w:r>
      <w:r w:rsidRPr="00DA0977">
        <w:rPr>
          <w:rFonts w:cs="Times New Roman"/>
        </w:rPr>
        <w:noBreakHyphen/>
        <w:t>old with no criminal record (see Parent and Desrosiers, at pp. 869</w:t>
      </w:r>
      <w:r w:rsidRPr="00DA0977">
        <w:rPr>
          <w:rFonts w:cs="Times New Roman"/>
        </w:rPr>
        <w:noBreakHyphen/>
        <w:t xml:space="preserve">71). I note once more that short sentences for the offence of child luring ranged from 6 to </w:t>
      </w:r>
      <w:r w:rsidRPr="00DA0977">
        <w:rPr>
          <w:rFonts w:cs="Times New Roman"/>
          <w:lang w:val="en-US"/>
        </w:rPr>
        <w:t>12 months</w:t>
      </w:r>
      <w:r w:rsidRPr="00DA0977">
        <w:rPr>
          <w:rFonts w:cs="Times New Roman"/>
        </w:rPr>
        <w:t xml:space="preserve"> (Parent and Desrosiers, at p. 869), and this was so even before the 6</w:t>
      </w:r>
      <w:r w:rsidRPr="00DA0977">
        <w:rPr>
          <w:rFonts w:cs="Times New Roman"/>
        </w:rPr>
        <w:noBreakHyphen/>
        <w:t xml:space="preserve">month minimum term of imprisonment in s. 172.1(2)(b) </w:t>
      </w:r>
      <w:r w:rsidRPr="00DA0977">
        <w:rPr>
          <w:rFonts w:cs="Times New Roman"/>
          <w:i/>
          <w:iCs/>
        </w:rPr>
        <w:t>Cr. C</w:t>
      </w:r>
      <w:r w:rsidRPr="00DA0977">
        <w:rPr>
          <w:rFonts w:cs="Times New Roman"/>
          <w:i/>
        </w:rPr>
        <w:t>.</w:t>
      </w:r>
      <w:r w:rsidRPr="00DA0977">
        <w:rPr>
          <w:rFonts w:cs="Times New Roman"/>
        </w:rPr>
        <w:t xml:space="preserve"> was introduced (</w:t>
      </w:r>
      <w:r w:rsidRPr="00DA0977">
        <w:rPr>
          <w:rFonts w:cs="Times New Roman"/>
          <w:i/>
        </w:rPr>
        <w:t xml:space="preserve">R. v. </w:t>
      </w:r>
      <w:r w:rsidRPr="00DA0977">
        <w:rPr>
          <w:rFonts w:cs="Times New Roman"/>
          <w:i/>
          <w:iCs/>
        </w:rPr>
        <w:t>Bergeron</w:t>
      </w:r>
      <w:r w:rsidRPr="00DA0977">
        <w:rPr>
          <w:rFonts w:cs="Times New Roman"/>
        </w:rPr>
        <w:t>, 2013 QCCA 7, at para. 75 (CanLII)). In short, having regard to the circumstances set out above and the general sentencing range, the fit and appropriate punishment is not a conditional discharge but rather a six</w:t>
      </w:r>
      <w:r w:rsidRPr="00DA0977">
        <w:rPr>
          <w:rFonts w:cs="Times New Roman"/>
        </w:rPr>
        <w:noBreakHyphen/>
        <w:t>month term of imprisonment.</w:t>
      </w:r>
    </w:p>
    <w:p w14:paraId="1CFE71F7"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lastRenderedPageBreak/>
        <w:t>Given that, for both reasonably foreseeable hypothetical scenarios, I conclude that the fit and appropriate sentence is equal to or greater than a six</w:t>
      </w:r>
      <w:r w:rsidRPr="00DA0977">
        <w:rPr>
          <w:rFonts w:cs="Times New Roman"/>
        </w:rPr>
        <w:noBreakHyphen/>
        <w:t xml:space="preserve">month term of imprisonment, this decides the constitutionality of s. 172.1(2)(b) </w:t>
      </w:r>
      <w:r w:rsidRPr="00DA0977">
        <w:rPr>
          <w:rFonts w:cs="Times New Roman"/>
          <w:i/>
        </w:rPr>
        <w:t>Cr. C.</w:t>
      </w:r>
      <w:r w:rsidRPr="00DA0977">
        <w:rPr>
          <w:rFonts w:cs="Times New Roman"/>
        </w:rPr>
        <w:t xml:space="preserve"> The following analysis therefore concerns the constitutionality of the one</w:t>
      </w:r>
      <w:r w:rsidRPr="00DA0977">
        <w:rPr>
          <w:rFonts w:cs="Times New Roman"/>
        </w:rPr>
        <w:noBreakHyphen/>
        <w:t>year minimum term of imprisonment set out in s. 172.1(2)(a).</w:t>
      </w:r>
    </w:p>
    <w:p w14:paraId="6866C434" w14:textId="77777777" w:rsidR="00DA0977" w:rsidRPr="00DA0977" w:rsidRDefault="00DA0977" w:rsidP="00DA0977">
      <w:pPr>
        <w:pStyle w:val="Title3LevelTitre3Niveau"/>
        <w:numPr>
          <w:ilvl w:val="2"/>
          <w:numId w:val="29"/>
        </w:numPr>
        <w:spacing w:before="0"/>
        <w:jc w:val="both"/>
        <w:rPr>
          <w:rFonts w:cs="Times New Roman"/>
        </w:rPr>
      </w:pPr>
      <w:bookmarkStart w:id="275" w:name="_Toc140071964"/>
      <w:r w:rsidRPr="00DA0977">
        <w:rPr>
          <w:rFonts w:cs="Times New Roman"/>
        </w:rPr>
        <w:t xml:space="preserve">The Difference Between the Fit and Appropriate Sentences for the Offenders in the Reasonably Foreseeable Hypothetical Scenarios and the Minimum Term of Imprisonment Provided for in Section 172.1(2)(a) </w:t>
      </w:r>
      <w:r w:rsidRPr="00DA0977">
        <w:rPr>
          <w:rFonts w:cs="Times New Roman"/>
          <w:i/>
        </w:rPr>
        <w:t>Cr. C.</w:t>
      </w:r>
      <w:r w:rsidRPr="00DA0977">
        <w:rPr>
          <w:rFonts w:cs="Times New Roman"/>
        </w:rPr>
        <w:t xml:space="preserve"> Is Not Grossly Disproportionate</w:t>
      </w:r>
      <w:bookmarkEnd w:id="275"/>
    </w:p>
    <w:p w14:paraId="4981F6ED" w14:textId="77777777" w:rsidR="00DA0977" w:rsidRPr="00DA0977" w:rsidRDefault="00DA0977" w:rsidP="00DA0977">
      <w:pPr>
        <w:pStyle w:val="Title4LevelTitre4Niveau"/>
        <w:numPr>
          <w:ilvl w:val="3"/>
          <w:numId w:val="29"/>
        </w:numPr>
        <w:spacing w:before="0"/>
        <w:jc w:val="both"/>
        <w:rPr>
          <w:rFonts w:cs="Times New Roman"/>
        </w:rPr>
      </w:pPr>
      <w:bookmarkStart w:id="276" w:name="_Toc140071965"/>
      <w:r w:rsidRPr="00DA0977">
        <w:rPr>
          <w:rFonts w:cs="Times New Roman"/>
          <w:iCs/>
        </w:rPr>
        <w:t>The Offence of Child Luring Is Broad in Scope but Always Involves Conduct With a High Degree of Moral Blameworthiness as Well as Harm or a Risk of Harm</w:t>
      </w:r>
      <w:bookmarkEnd w:id="276"/>
    </w:p>
    <w:p w14:paraId="19EABB7D"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 xml:space="preserve">In my colleague’s opinion, the </w:t>
      </w:r>
      <w:r w:rsidRPr="00DA0977">
        <w:rPr>
          <w:rFonts w:cs="Times New Roman"/>
          <w:i/>
          <w:iCs/>
        </w:rPr>
        <w:t>mens rea</w:t>
      </w:r>
      <w:r w:rsidRPr="00DA0977">
        <w:rPr>
          <w:rFonts w:cs="Times New Roman"/>
        </w:rPr>
        <w:t xml:space="preserve"> required for the offence of child luring “</w:t>
      </w:r>
      <w:r w:rsidRPr="00DA0977">
        <w:rPr>
          <w:rFonts w:cs="Times New Roman"/>
          <w:iCs/>
        </w:rPr>
        <w:t>is not narrow but broad</w:t>
      </w:r>
      <w:r w:rsidRPr="00DA0977">
        <w:rPr>
          <w:rFonts w:cs="Times New Roman"/>
        </w:rPr>
        <w:t xml:space="preserve">”, such that s. 172.1(1) </w:t>
      </w:r>
      <w:r w:rsidRPr="00DA0977">
        <w:rPr>
          <w:rFonts w:cs="Times New Roman"/>
          <w:i/>
          <w:iCs/>
        </w:rPr>
        <w:t>Cr. C</w:t>
      </w:r>
      <w:r w:rsidRPr="00DA0977">
        <w:rPr>
          <w:rFonts w:cs="Times New Roman"/>
          <w:i/>
        </w:rPr>
        <w:t>.</w:t>
      </w:r>
      <w:r w:rsidRPr="00DA0977">
        <w:rPr>
          <w:rFonts w:cs="Times New Roman"/>
        </w:rPr>
        <w:t xml:space="preserve"> “</w:t>
      </w:r>
      <w:r w:rsidRPr="00DA0977">
        <w:rPr>
          <w:rFonts w:cs="Times New Roman"/>
          <w:lang w:eastAsia="en-CA"/>
        </w:rPr>
        <w:t>captures a wide range of designated illicit purposes with varying degrees of moral culpability</w:t>
      </w:r>
      <w:r w:rsidRPr="00DA0977">
        <w:rPr>
          <w:rFonts w:cs="Times New Roman"/>
        </w:rPr>
        <w:t xml:space="preserve">” (para. 139). It is true that when an offence carrying a mandatory minimum sentence can be committed in a way that involves a low degree of moral blameworthiness and no harm or real risk of harm, this indicates that the minimum sentence may be grossly disproportionate (see, e.g., </w:t>
      </w:r>
      <w:r w:rsidRPr="00DA0977">
        <w:rPr>
          <w:rFonts w:cs="Times New Roman"/>
          <w:i/>
          <w:iCs/>
        </w:rPr>
        <w:t>Nur</w:t>
      </w:r>
      <w:r w:rsidRPr="00DA0977">
        <w:rPr>
          <w:rFonts w:cs="Times New Roman"/>
        </w:rPr>
        <w:t xml:space="preserve">, at para. 83, cited in </w:t>
      </w:r>
      <w:r w:rsidRPr="00DA0977">
        <w:rPr>
          <w:rFonts w:cs="Times New Roman"/>
          <w:i/>
          <w:iCs/>
        </w:rPr>
        <w:t>Hills</w:t>
      </w:r>
      <w:r w:rsidRPr="00DA0977">
        <w:rPr>
          <w:rFonts w:cs="Times New Roman"/>
        </w:rPr>
        <w:t>, at para. 125). However, this is not the case for the offence of child luring, which involves conduct that is always morally blameworthy and that always involves harm or a risk of harm.</w:t>
      </w:r>
    </w:p>
    <w:p w14:paraId="5D2778A2"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lastRenderedPageBreak/>
        <w:t>To begin with, I agree that s. 172.1(1) applies to a wide range of situations (</w:t>
      </w:r>
      <w:r w:rsidRPr="00DA0977">
        <w:rPr>
          <w:rFonts w:cs="Times New Roman"/>
          <w:i/>
          <w:szCs w:val="24"/>
        </w:rPr>
        <w:t>R. v. Morrison</w:t>
      </w:r>
      <w:r w:rsidRPr="00DA0977">
        <w:rPr>
          <w:rFonts w:cs="Times New Roman"/>
          <w:szCs w:val="24"/>
        </w:rPr>
        <w:t>,</w:t>
      </w:r>
      <w:r w:rsidRPr="00DA0977">
        <w:rPr>
          <w:rFonts w:cs="Times New Roman"/>
          <w:i/>
          <w:szCs w:val="24"/>
        </w:rPr>
        <w:t xml:space="preserve"> </w:t>
      </w:r>
      <w:r w:rsidRPr="00DA0977">
        <w:rPr>
          <w:rFonts w:cs="Times New Roman"/>
          <w:szCs w:val="24"/>
        </w:rPr>
        <w:t>2019 SCC 15, [2019] 2 S.C.R. 3</w:t>
      </w:r>
      <w:r w:rsidRPr="00DA0977">
        <w:rPr>
          <w:rFonts w:cs="Times New Roman"/>
        </w:rPr>
        <w:t>, at paras. 146</w:t>
      </w:r>
      <w:r w:rsidRPr="00DA0977">
        <w:rPr>
          <w:rFonts w:cs="Times New Roman"/>
        </w:rPr>
        <w:noBreakHyphen/>
        <w:t xml:space="preserve">48). In spite of this, I am of the view that the offence of child luring always involves a high degree of moral blameworthiness. As was recognized by Moldaver J., writing for a majority of this Court in </w:t>
      </w:r>
      <w:r w:rsidRPr="00DA0977">
        <w:rPr>
          <w:rFonts w:cs="Times New Roman"/>
          <w:i/>
          <w:iCs/>
        </w:rPr>
        <w:t>Morrison</w:t>
      </w:r>
      <w:r w:rsidRPr="00DA0977">
        <w:rPr>
          <w:rFonts w:cs="Times New Roman"/>
        </w:rPr>
        <w:t xml:space="preserve">, luring “requires a high level of </w:t>
      </w:r>
      <w:r w:rsidRPr="00DA0977">
        <w:rPr>
          <w:rFonts w:cs="Times New Roman"/>
          <w:i/>
          <w:iCs/>
        </w:rPr>
        <w:t>mens rea</w:t>
      </w:r>
      <w:r w:rsidRPr="00DA0977">
        <w:rPr>
          <w:rFonts w:cs="Times New Roman"/>
        </w:rPr>
        <w:t xml:space="preserve"> and involves a high degree of moral blameworthiness” (para. 153). This is so because s. 172.1(1) </w:t>
      </w:r>
      <w:r w:rsidRPr="00DA0977">
        <w:rPr>
          <w:rFonts w:cs="Times New Roman"/>
          <w:i/>
          <w:iCs/>
        </w:rPr>
        <w:t>Cr. C.</w:t>
      </w:r>
      <w:r w:rsidRPr="00DA0977">
        <w:rPr>
          <w:rFonts w:cs="Times New Roman"/>
        </w:rPr>
        <w:t xml:space="preserve"> requires proof beyond a reasonable doubt that “the accused . . . ‘engage[d] in the prohibited communication with the specific intent</w:t>
      </w:r>
      <w:r w:rsidRPr="00DA0977">
        <w:rPr>
          <w:rFonts w:cs="Times New Roman"/>
          <w:i/>
          <w:iCs/>
        </w:rPr>
        <w:t xml:space="preserve"> </w:t>
      </w:r>
      <w:r w:rsidRPr="00DA0977">
        <w:rPr>
          <w:rFonts w:cs="Times New Roman"/>
        </w:rPr>
        <w:t>of facilitating the commission of one of the designated offences’ with respect to the underage person who was the intended recipient of communication” (</w:t>
      </w:r>
      <w:r w:rsidRPr="00DA0977">
        <w:rPr>
          <w:rFonts w:cs="Times New Roman"/>
          <w:i/>
        </w:rPr>
        <w:t>R. v.</w:t>
      </w:r>
      <w:r w:rsidRPr="00DA0977">
        <w:rPr>
          <w:rFonts w:cs="Times New Roman"/>
        </w:rPr>
        <w:t xml:space="preserve"> </w:t>
      </w:r>
      <w:r w:rsidRPr="00DA0977">
        <w:rPr>
          <w:rFonts w:cs="Times New Roman"/>
          <w:i/>
        </w:rPr>
        <w:t>Legare</w:t>
      </w:r>
      <w:r w:rsidRPr="00DA0977">
        <w:rPr>
          <w:rFonts w:cs="Times New Roman"/>
        </w:rPr>
        <w:t xml:space="preserve">, 2009 SCC 56, [2009] 3 S.C.R. 551, at para. 32 (emphasis deleted), quoting </w:t>
      </w:r>
      <w:r w:rsidRPr="00DA0977">
        <w:rPr>
          <w:rFonts w:cs="Times New Roman"/>
          <w:i/>
        </w:rPr>
        <w:t xml:space="preserve">R. v. </w:t>
      </w:r>
      <w:r w:rsidRPr="00DA0977">
        <w:rPr>
          <w:rStyle w:val="reflex"/>
          <w:rFonts w:cs="Times New Roman"/>
          <w:i/>
          <w:iCs/>
        </w:rPr>
        <w:t>Alicandro</w:t>
      </w:r>
      <w:r w:rsidRPr="00DA0977">
        <w:rPr>
          <w:rStyle w:val="reflex"/>
          <w:rFonts w:cs="Times New Roman"/>
        </w:rPr>
        <w:t>,</w:t>
      </w:r>
      <w:r w:rsidRPr="00DA0977">
        <w:rPr>
          <w:rFonts w:cs="Times New Roman"/>
        </w:rPr>
        <w:t xml:space="preserve"> 2009 ONCA 133, 246 C.C.C. (3d) 1, at para. 31). Consequently, requiring proof of such a </w:t>
      </w:r>
      <w:r w:rsidRPr="00DA0977">
        <w:rPr>
          <w:rFonts w:cs="Times New Roman"/>
          <w:i/>
          <w:iCs/>
        </w:rPr>
        <w:t>mens rea</w:t>
      </w:r>
      <w:r w:rsidRPr="00DA0977">
        <w:rPr>
          <w:rFonts w:cs="Times New Roman"/>
        </w:rPr>
        <w:t xml:space="preserve"> “helps to ensure that innocent communication will not be unintentionally captured by the </w:t>
      </w:r>
      <w:r w:rsidRPr="00DA0977">
        <w:rPr>
          <w:rFonts w:cs="Times New Roman"/>
          <w:i/>
          <w:iCs/>
        </w:rPr>
        <w:t>Code</w:t>
      </w:r>
      <w:r w:rsidRPr="00DA0977">
        <w:rPr>
          <w:rFonts w:cs="Times New Roman"/>
        </w:rPr>
        <w:t>” (para. 35).</w:t>
      </w:r>
    </w:p>
    <w:p w14:paraId="4E4BD0F8"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I therefore fail to see the relevance of my colleague’s assertion that “[</w:t>
      </w:r>
      <w:r w:rsidRPr="00DA0977">
        <w:rPr>
          <w:rFonts w:cs="Times New Roman"/>
          <w:iCs/>
        </w:rPr>
        <w:t>b]ecause</w:t>
      </w:r>
      <w:r w:rsidRPr="00DA0977">
        <w:rPr>
          <w:rFonts w:cs="Times New Roman"/>
          <w:lang w:eastAsia="en-CA"/>
        </w:rPr>
        <w:t xml:space="preserve"> proof of facilitation does not necessarily include proof of complex planning, the luring offence can capture conduct that is bereft of sophistication or considered intention</w:t>
      </w:r>
      <w:r w:rsidRPr="00DA0977">
        <w:rPr>
          <w:rFonts w:cs="Times New Roman"/>
        </w:rPr>
        <w:t xml:space="preserve">” (para. 145). With respect, this amounts to conflating the existence of aggravating circumstances with the constituent elements of an offence. Sophistication and premeditation are certainly aggravating factors, but they are not essential elements of the offence. For the purposes of the analysis under s. 12 of the </w:t>
      </w:r>
      <w:r w:rsidRPr="00DA0977">
        <w:rPr>
          <w:rFonts w:cs="Times New Roman"/>
          <w:i/>
        </w:rPr>
        <w:t>Charter</w:t>
      </w:r>
      <w:r w:rsidRPr="00DA0977">
        <w:rPr>
          <w:rFonts w:cs="Times New Roman"/>
        </w:rPr>
        <w:t>, these factors tell us nothing about the scope of an offence.</w:t>
      </w:r>
    </w:p>
    <w:p w14:paraId="4D9C8612" w14:textId="77777777" w:rsidR="00DA0977" w:rsidRPr="00DA0977" w:rsidRDefault="00DA0977" w:rsidP="00DA0977">
      <w:pPr>
        <w:pStyle w:val="ParaNoNdepar-AltN"/>
        <w:tabs>
          <w:tab w:val="clear" w:pos="7107"/>
          <w:tab w:val="left" w:pos="1170"/>
        </w:tabs>
        <w:spacing w:before="0"/>
        <w:ind w:left="0"/>
        <w:rPr>
          <w:rFonts w:cs="Times New Roman"/>
        </w:rPr>
      </w:pPr>
      <w:r w:rsidRPr="00DA0977">
        <w:rPr>
          <w:rFonts w:cs="Times New Roman"/>
        </w:rPr>
        <w:lastRenderedPageBreak/>
        <w:t xml:space="preserve">This error illustrates a fundamental conceptual flaw in such reasoning. In the section of her reasons that deals with the scope of the offence, my colleague does not limit herself to an objective analysis that involves “consider[ing] whether the offence necessarily involves harm to a person or simply the risk of harm, whether there are ways of committing the offence that pose relatively little danger, and to what degree the offence’s </w:t>
      </w:r>
      <w:r w:rsidRPr="00DA0977">
        <w:rPr>
          <w:rFonts w:cs="Times New Roman"/>
          <w:i/>
          <w:iCs/>
        </w:rPr>
        <w:t xml:space="preserve">mens rea </w:t>
      </w:r>
      <w:r w:rsidRPr="00DA0977">
        <w:rPr>
          <w:rFonts w:cs="Times New Roman"/>
        </w:rPr>
        <w:t>requires an</w:t>
      </w:r>
      <w:r w:rsidRPr="00DA0977">
        <w:rPr>
          <w:rFonts w:cs="Times New Roman"/>
          <w:i/>
          <w:iCs/>
        </w:rPr>
        <w:t xml:space="preserve"> </w:t>
      </w:r>
      <w:r w:rsidRPr="00DA0977">
        <w:rPr>
          <w:rFonts w:cs="Times New Roman"/>
        </w:rPr>
        <w:t>elevated degree of culpability of the offender” (</w:t>
      </w:r>
      <w:r w:rsidRPr="00DA0977">
        <w:rPr>
          <w:rFonts w:cs="Times New Roman"/>
          <w:i/>
        </w:rPr>
        <w:t>Hills</w:t>
      </w:r>
      <w:r w:rsidRPr="00DA0977">
        <w:rPr>
          <w:rFonts w:cs="Times New Roman"/>
        </w:rPr>
        <w:t>, at para. 129). Rather, she assesses the scope of the offence in question in light of circumstances relating to the degree of subjective fault of a particular offender, irrespective of the inherent wrongfulness of the offence (</w:t>
      </w:r>
      <w:r w:rsidRPr="00DA0977">
        <w:rPr>
          <w:rFonts w:cs="Times New Roman"/>
          <w:i/>
        </w:rPr>
        <w:t>Friesen</w:t>
      </w:r>
      <w:r w:rsidRPr="00DA0977">
        <w:rPr>
          <w:rFonts w:cs="Times New Roman"/>
        </w:rPr>
        <w:t>,</w:t>
      </w:r>
      <w:r w:rsidRPr="00DA0977">
        <w:rPr>
          <w:rFonts w:cs="Times New Roman"/>
          <w:i/>
        </w:rPr>
        <w:t xml:space="preserve"> </w:t>
      </w:r>
      <w:r w:rsidRPr="00DA0977">
        <w:rPr>
          <w:rFonts w:cs="Times New Roman"/>
        </w:rPr>
        <w:t>at para. 76).</w:t>
      </w:r>
    </w:p>
    <w:p w14:paraId="08D0416D"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In addition, one must be careful not to emphasize the fact that it is not necessary for the offender to have committed one of the underlying offences listed in s. 172.1(1) in order to be convicted of child luring (Martin J.’s reasons, at para. 143). I would also note that the underlying offences are serious offences that criminalize the sexual abuse, trafficking or abduction of children. If s. 172.1(1) casts a wide net, it is because Parliament’s objective was to “close the cyberspace door before the predator gets in to prey” (</w:t>
      </w:r>
      <w:r w:rsidRPr="00DA0977">
        <w:rPr>
          <w:rFonts w:cs="Times New Roman"/>
          <w:i/>
          <w:iCs/>
        </w:rPr>
        <w:t>Legare</w:t>
      </w:r>
      <w:r w:rsidRPr="00DA0977">
        <w:rPr>
          <w:rFonts w:cs="Times New Roman"/>
        </w:rPr>
        <w:t>, at para. 25). In keeping with this objective, s. 172.1(1) “criminalizes conduct that precedes the commission of the sexual offences to which it refers, and even an attempt to commit them” (</w:t>
      </w:r>
      <w:r w:rsidRPr="00DA0977">
        <w:rPr>
          <w:rFonts w:cs="Times New Roman"/>
          <w:i/>
        </w:rPr>
        <w:t>Legare</w:t>
      </w:r>
      <w:r w:rsidRPr="00DA0977">
        <w:rPr>
          <w:rFonts w:cs="Times New Roman"/>
        </w:rPr>
        <w:t>, at para. 25 (emphasis deleted)).</w:t>
      </w:r>
    </w:p>
    <w:p w14:paraId="386AA0C1"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 xml:space="preserve">In the same vein, in analyzing the constitutionality of s. 172.1(2) </w:t>
      </w:r>
      <w:r w:rsidRPr="00DA0977">
        <w:rPr>
          <w:rFonts w:cs="Times New Roman"/>
          <w:i/>
          <w:iCs/>
        </w:rPr>
        <w:t>Cr. C.</w:t>
      </w:r>
      <w:r w:rsidRPr="00DA0977">
        <w:rPr>
          <w:rFonts w:cs="Times New Roman"/>
          <w:iCs/>
        </w:rPr>
        <w:t xml:space="preserve">, </w:t>
      </w:r>
      <w:r w:rsidRPr="00DA0977">
        <w:rPr>
          <w:rFonts w:cs="Times New Roman"/>
        </w:rPr>
        <w:t xml:space="preserve">I cannot assign the weight my colleague does to the fact that the offence of child luring </w:t>
      </w:r>
      <w:r w:rsidRPr="00DA0977">
        <w:rPr>
          <w:rFonts w:cs="Times New Roman"/>
        </w:rPr>
        <w:lastRenderedPageBreak/>
        <w:t>may be committed in the context of a police sting operation that does not involve children (para. 142).</w:t>
      </w:r>
    </w:p>
    <w:p w14:paraId="6DA5E1C1"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Even when the offence of luring is committed in the context of a police operation, it involves conduct that is undeniably very serious. An offender charged as a result of a police sting cannot rely on the absence of a victim to demonstrate lower moral blameworthiness:</w:t>
      </w:r>
    </w:p>
    <w:p w14:paraId="0FD29A8F" w14:textId="77777777" w:rsidR="00DA0977" w:rsidRPr="00DA0977" w:rsidRDefault="00DA0977" w:rsidP="00DA0977">
      <w:pPr>
        <w:pStyle w:val="Citation-AltC"/>
        <w:tabs>
          <w:tab w:val="left" w:pos="1440"/>
        </w:tabs>
        <w:spacing w:after="240"/>
        <w:ind w:firstLine="4"/>
        <w:contextualSpacing w:val="0"/>
      </w:pPr>
      <w:r w:rsidRPr="00DA0977">
        <w:tab/>
        <w:t xml:space="preserve">Courts must give effect to the moral culpability of the offender in sentencing even where the facts giving rise to the conviction involve a police sting operation rather than a child victim. Child luring may be committed in two ways: the offender is actually communicating with an underage person, or the offender believes the person he is communicating with is under age even though this is not in fact the case. In particular, the offence of child luring is often prosecuted through sting operations: an undercover officer poses online as a child and waits for an offender to initiate communication with a sexual purpose (see, e.g., </w:t>
      </w:r>
      <w:r w:rsidRPr="00DA0977">
        <w:rPr>
          <w:i/>
          <w:iCs/>
        </w:rPr>
        <w:t>R. v. Levigne</w:t>
      </w:r>
      <w:r w:rsidRPr="00DA0977">
        <w:t xml:space="preserve">, 2010 SCC 25, [2010] 2 S.C.R. 3, at para. 7; </w:t>
      </w:r>
      <w:r w:rsidRPr="00DA0977">
        <w:rPr>
          <w:i/>
          <w:iCs/>
        </w:rPr>
        <w:t>Morrison</w:t>
      </w:r>
      <w:r w:rsidRPr="00DA0977">
        <w:t xml:space="preserve">, at para. 4). Although the absence of a specific victim is relevant, it should not be overemphasized in arriving at a fit sentence. </w:t>
      </w:r>
      <w:r w:rsidRPr="00DA0977">
        <w:rPr>
          <w:u w:val="single"/>
        </w:rPr>
        <w:t>The accused can take no credit for this factor. As such, it does not detract from the degree of responsibility of the offender for that offence. After all, to be convicted of child luring in the context of a police sting operation where the person the offender was communicating with was not in fact under age, the offender both must have intentionally communicated with a person who the offender believed to be under age and must have had the specific intent to facilitate the commission of a sexual or other specified offence against that person</w:t>
      </w:r>
      <w:r w:rsidRPr="00DA0977">
        <w:t xml:space="preserve"> (</w:t>
      </w:r>
      <w:r w:rsidRPr="00DA0977">
        <w:rPr>
          <w:i/>
          <w:iCs/>
        </w:rPr>
        <w:t>Morrison</w:t>
      </w:r>
      <w:r w:rsidRPr="00DA0977">
        <w:t>, at para. 153). [Emphasis added; footnote omitted.]</w:t>
      </w:r>
    </w:p>
    <w:p w14:paraId="1D8013BA" w14:textId="77777777" w:rsidR="00DA0977" w:rsidRPr="00DA0977" w:rsidRDefault="00DA0977" w:rsidP="00DA0977">
      <w:pPr>
        <w:pStyle w:val="Citation-AltC"/>
        <w:ind w:hanging="360"/>
        <w:contextualSpacing w:val="0"/>
        <w:jc w:val="left"/>
      </w:pPr>
      <w:r w:rsidRPr="00DA0977">
        <w:tab/>
        <w:t>(</w:t>
      </w:r>
      <w:r w:rsidRPr="00DA0977">
        <w:rPr>
          <w:i/>
        </w:rPr>
        <w:t>Friesen</w:t>
      </w:r>
      <w:r w:rsidRPr="00DA0977">
        <w:t>, at para. 93)</w:t>
      </w:r>
    </w:p>
    <w:p w14:paraId="55818DC0"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It must be remembered that even when child luring is committed in the context of a police operation, it must never be seen “as a victimless crime” (</w:t>
      </w:r>
      <w:r w:rsidRPr="00DA0977">
        <w:rPr>
          <w:rFonts w:cs="Times New Roman"/>
          <w:i/>
          <w:iCs/>
        </w:rPr>
        <w:t>Friesen</w:t>
      </w:r>
      <w:r w:rsidRPr="00DA0977">
        <w:rPr>
          <w:rFonts w:cs="Times New Roman"/>
        </w:rPr>
        <w:t>, at para. 94).</w:t>
      </w:r>
    </w:p>
    <w:p w14:paraId="6627EE04"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lastRenderedPageBreak/>
        <w:t>It is difficult to claim that the conduct of an offender arrested as a result of a sting operation poses no risk of harm. Parliament designed the offence of child luring precisely to prevent such a risk from materializing, that is, to apprehend “offenders before they can successfully target and harm children” (</w:t>
      </w:r>
      <w:r w:rsidRPr="00DA0977">
        <w:rPr>
          <w:rFonts w:cs="Times New Roman"/>
          <w:i/>
        </w:rPr>
        <w:t>Friesen</w:t>
      </w:r>
      <w:r w:rsidRPr="00DA0977">
        <w:rPr>
          <w:rFonts w:cs="Times New Roman"/>
        </w:rPr>
        <w:t>, at para. 94). In this sense, police operations are a key element in the arsenal available to law enforcement agencies to apprehend offenders before it is too late (para. 94).</w:t>
      </w:r>
    </w:p>
    <w:p w14:paraId="24E3058B" w14:textId="77777777" w:rsidR="00DA0977" w:rsidRPr="00DA0977" w:rsidRDefault="00DA0977" w:rsidP="00DA0977">
      <w:pPr>
        <w:pStyle w:val="ParaNoNdepar-AltN"/>
        <w:tabs>
          <w:tab w:val="clear" w:pos="7107"/>
          <w:tab w:val="num" w:pos="1152"/>
        </w:tabs>
        <w:spacing w:before="0"/>
        <w:ind w:left="0"/>
        <w:rPr>
          <w:rFonts w:cs="Times New Roman"/>
        </w:rPr>
      </w:pPr>
      <w:r w:rsidRPr="00DA0977">
        <w:rPr>
          <w:rFonts w:cs="Times New Roman"/>
        </w:rPr>
        <w:t xml:space="preserve">In short, requiring a high level of </w:t>
      </w:r>
      <w:r w:rsidRPr="00DA0977">
        <w:rPr>
          <w:rFonts w:cs="Times New Roman"/>
          <w:i/>
          <w:iCs/>
        </w:rPr>
        <w:t>mens rea</w:t>
      </w:r>
      <w:r w:rsidRPr="00DA0977">
        <w:rPr>
          <w:rFonts w:cs="Times New Roman"/>
        </w:rPr>
        <w:t xml:space="preserve"> ensures that the offence of child luring captures only conduct that involves a high degree of moral blameworthiness as well as serious harm or a risk of such harm (</w:t>
      </w:r>
      <w:r w:rsidRPr="00DA0977">
        <w:rPr>
          <w:rFonts w:cs="Times New Roman"/>
          <w:i/>
        </w:rPr>
        <w:t>Friesen</w:t>
      </w:r>
      <w:r w:rsidRPr="00DA0977">
        <w:rPr>
          <w:rFonts w:cs="Times New Roman"/>
        </w:rPr>
        <w:t>, at para. 76).</w:t>
      </w:r>
    </w:p>
    <w:p w14:paraId="3458632A" w14:textId="77777777" w:rsidR="00DA0977" w:rsidRPr="00DA0977" w:rsidRDefault="00DA0977" w:rsidP="00DA0977">
      <w:pPr>
        <w:pStyle w:val="Title4LevelTitre4Niveau"/>
        <w:numPr>
          <w:ilvl w:val="3"/>
          <w:numId w:val="29"/>
        </w:numPr>
        <w:spacing w:before="0"/>
        <w:jc w:val="both"/>
        <w:rPr>
          <w:rFonts w:cs="Times New Roman"/>
        </w:rPr>
      </w:pPr>
      <w:bookmarkStart w:id="277" w:name="_Toc140071966"/>
      <w:r w:rsidRPr="00DA0977">
        <w:rPr>
          <w:rFonts w:cs="Times New Roman"/>
          <w:iCs/>
        </w:rPr>
        <w:t>The Effects of the Minimum Term of Imprisonment on the Offenders in the Reasonably Foreseeable Hypothetical Scenarios Are Not Incompatible With Human Dignity</w:t>
      </w:r>
    </w:p>
    <w:p w14:paraId="3DE1088A" w14:textId="77777777" w:rsidR="00DA0977" w:rsidRPr="00DA0977" w:rsidRDefault="00DA0977" w:rsidP="00DA0977">
      <w:pPr>
        <w:pStyle w:val="ParaNoNdepar-AltN"/>
        <w:tabs>
          <w:tab w:val="clear" w:pos="7107"/>
          <w:tab w:val="left" w:pos="1166"/>
        </w:tabs>
        <w:spacing w:before="0"/>
        <w:ind w:left="0"/>
        <w:rPr>
          <w:rFonts w:cs="Times New Roman"/>
        </w:rPr>
      </w:pPr>
      <w:r w:rsidRPr="00DA0977">
        <w:rPr>
          <w:rFonts w:cs="Times New Roman"/>
        </w:rPr>
        <w:t>In addition to the scope of the offence, the grossly disproportionate nature of a mandatory minimum sentence is assessed in light of the effects that the penalty may have on the reasonably foreseeable offender (</w:t>
      </w:r>
      <w:r w:rsidRPr="00DA0977">
        <w:rPr>
          <w:rFonts w:cs="Times New Roman"/>
          <w:i/>
          <w:iCs/>
        </w:rPr>
        <w:t>Hills</w:t>
      </w:r>
      <w:r w:rsidRPr="00DA0977">
        <w:rPr>
          <w:rFonts w:cs="Times New Roman"/>
        </w:rPr>
        <w:t>, at para. 133). If these effects entail so much pain and suffering that they undermine human dignity, the impugned provision cannot survive constitutional scrutiny (para. 133). That is not the case here.</w:t>
      </w:r>
    </w:p>
    <w:p w14:paraId="7D117E81" w14:textId="77777777" w:rsidR="00DA0977" w:rsidRPr="00DA0977" w:rsidRDefault="00DA0977" w:rsidP="00DA0977">
      <w:pPr>
        <w:pStyle w:val="ParaNoNdepar-AltN"/>
        <w:tabs>
          <w:tab w:val="clear" w:pos="7107"/>
          <w:tab w:val="left" w:pos="1166"/>
        </w:tabs>
        <w:spacing w:before="0"/>
        <w:ind w:left="0"/>
        <w:rPr>
          <w:rFonts w:cs="Times New Roman"/>
        </w:rPr>
      </w:pPr>
      <w:r w:rsidRPr="00DA0977">
        <w:rPr>
          <w:rFonts w:cs="Times New Roman"/>
        </w:rPr>
        <w:t xml:space="preserve">For both of the hypothetical offenders, the effects identified by my colleague relate to the treatment they might receive in prison. It seems that imprisonment itself — and not its length — is what plays a major role in her analysis. Although my colleague refrains from concluding that the effects in question, which, I </w:t>
      </w:r>
      <w:r w:rsidRPr="00DA0977">
        <w:rPr>
          <w:rFonts w:cs="Times New Roman"/>
        </w:rPr>
        <w:lastRenderedPageBreak/>
        <w:t>might add, are inherent to incarceration, are such as to undermine human dignity, she nevertheless finds that the first offender’s individual circumstances “</w:t>
      </w:r>
      <w:r w:rsidRPr="00DA0977">
        <w:rPr>
          <w:rFonts w:cs="Times New Roman"/>
          <w:lang w:eastAsia="en-CA"/>
        </w:rPr>
        <w:t>would likely make her experience of incarceration perilously grave</w:t>
      </w:r>
      <w:r w:rsidRPr="00DA0977">
        <w:rPr>
          <w:rFonts w:cs="Times New Roman"/>
        </w:rPr>
        <w:t>” (para. 151) and that, for the second offender, “[t]</w:t>
      </w:r>
      <w:r w:rsidRPr="00DA0977">
        <w:rPr>
          <w:rFonts w:cs="Times New Roman"/>
          <w:lang w:eastAsia="en-CA"/>
        </w:rPr>
        <w:t>he six</w:t>
      </w:r>
      <w:r w:rsidRPr="00DA0977">
        <w:rPr>
          <w:rFonts w:cs="Times New Roman"/>
          <w:lang w:eastAsia="en-CA"/>
        </w:rPr>
        <w:noBreakHyphen/>
        <w:t>month mandatory minimum in this case is a far cry from the shortest possible rehabilitative sentence</w:t>
      </w:r>
      <w:r w:rsidRPr="00DA0977">
        <w:rPr>
          <w:rFonts w:cs="Times New Roman"/>
        </w:rPr>
        <w:t>” (para. 152). Such reasoning has major implications; its logical consequence is that any minimum term of imprisonment that may be imposed on an offender who has just reached adulthood or on a person with a mental illness will be grossly disproportionate, regardless of the gravity of the offence or the circumstances surrounding its commission. Such an outcome seems to me to be entirely inconsistent with the deference owed to Parliament. Indeed, “if few mandatory minimums can survive the scrutiny exemplified in [my colleague’s] reasons on s. 12, then one must question what role is left for Parliament’s legitimate policy choices in setting punishment” (</w:t>
      </w:r>
      <w:r w:rsidRPr="00DA0977">
        <w:rPr>
          <w:rFonts w:cs="Times New Roman"/>
          <w:i/>
          <w:iCs/>
        </w:rPr>
        <w:t>Lloyd</w:t>
      </w:r>
      <w:r w:rsidRPr="00DA0977">
        <w:rPr>
          <w:rFonts w:cs="Times New Roman"/>
        </w:rPr>
        <w:t>, at para. 107, per Wagner J. (as he then was), Gascon and Brown JJ., dissenting).</w:t>
      </w:r>
    </w:p>
    <w:p w14:paraId="232F1C0B" w14:textId="77777777" w:rsidR="00DA0977" w:rsidRPr="00DA0977" w:rsidRDefault="00DA0977" w:rsidP="00DA0977">
      <w:pPr>
        <w:pStyle w:val="ParaNoNdepar-AltN"/>
        <w:tabs>
          <w:tab w:val="clear" w:pos="7107"/>
          <w:tab w:val="left" w:pos="1166"/>
        </w:tabs>
        <w:spacing w:before="0"/>
        <w:ind w:left="0"/>
        <w:rPr>
          <w:rFonts w:cs="Times New Roman"/>
        </w:rPr>
      </w:pPr>
      <w:r w:rsidRPr="00DA0977">
        <w:rPr>
          <w:rFonts w:cs="Times New Roman"/>
        </w:rPr>
        <w:t>In any event, as explained above, I conclude that a nine</w:t>
      </w:r>
      <w:r w:rsidRPr="00DA0977">
        <w:rPr>
          <w:rFonts w:cs="Times New Roman"/>
        </w:rPr>
        <w:noBreakHyphen/>
        <w:t>month term of imprisonment would be fit and appropriate for the offender in the first hypothetical scenario and that a six</w:t>
      </w:r>
      <w:r w:rsidRPr="00DA0977">
        <w:rPr>
          <w:rFonts w:cs="Times New Roman"/>
        </w:rPr>
        <w:noBreakHyphen/>
        <w:t xml:space="preserve">month term of imprisonment is a fit and appropriate punishment in the second hypothetical scenario. In the first case, the imposition of the mandatory minimum sentence provided for in s. 172.1(2)(a) results in an additional period of imprisonment of three months. In the second case, the application of s. 172.1(2) </w:t>
      </w:r>
      <w:r w:rsidRPr="00DA0977">
        <w:rPr>
          <w:rFonts w:cs="Times New Roman"/>
          <w:i/>
          <w:iCs/>
        </w:rPr>
        <w:t>Cr. C.</w:t>
      </w:r>
      <w:r w:rsidRPr="00DA0977">
        <w:rPr>
          <w:rFonts w:cs="Times New Roman"/>
        </w:rPr>
        <w:t xml:space="preserve"> would therefore result in an additional six months’ imprisonment if the offence were prosecuted by indictment.</w:t>
      </w:r>
    </w:p>
    <w:p w14:paraId="61538B2A" w14:textId="77777777" w:rsidR="00DA0977" w:rsidRPr="00DA0977" w:rsidRDefault="00DA0977" w:rsidP="00DA0977">
      <w:pPr>
        <w:pStyle w:val="ParaNoNdepar-AltN"/>
        <w:tabs>
          <w:tab w:val="clear" w:pos="7107"/>
          <w:tab w:val="left" w:pos="1166"/>
        </w:tabs>
        <w:spacing w:before="0"/>
        <w:ind w:left="0"/>
        <w:rPr>
          <w:rFonts w:cs="Times New Roman"/>
        </w:rPr>
      </w:pPr>
      <w:r w:rsidRPr="00DA0977">
        <w:rPr>
          <w:rFonts w:cs="Times New Roman"/>
        </w:rPr>
        <w:lastRenderedPageBreak/>
        <w:t>I cannot bring myself to conclude that any additional period of imprisonment has effects that are incompatible with human dignity, because this would amount to indirectly introducing a standard of proportionality. I wish to make one important clarification. My remarks should not be taken to mean that, once incarceration is found to be the fit and appropriate punishment, any additional period of imprisonment is immune from constitutional scrutiny because the offender in question already has to deal with the negative effects associated with imprisonment. In this case, however, there is nothing in the record that allows me to identify “the precise harm associated” with this additional period of imprisonment (</w:t>
      </w:r>
      <w:r w:rsidRPr="00DA0977">
        <w:rPr>
          <w:rFonts w:cs="Times New Roman"/>
          <w:i/>
          <w:iCs/>
        </w:rPr>
        <w:t>Hills</w:t>
      </w:r>
      <w:r w:rsidRPr="00DA0977">
        <w:rPr>
          <w:rFonts w:cs="Times New Roman"/>
        </w:rPr>
        <w:t>, at para. 133). Nevertheless, since the period is relatively short, I am of the view that its effects are not incompatible with human dignity.</w:t>
      </w:r>
    </w:p>
    <w:p w14:paraId="5D0EBACC" w14:textId="77777777" w:rsidR="00DA0977" w:rsidRPr="00DA0977" w:rsidRDefault="00DA0977" w:rsidP="00DA0977">
      <w:pPr>
        <w:pStyle w:val="Title4LevelTitre4Niveau"/>
        <w:numPr>
          <w:ilvl w:val="3"/>
          <w:numId w:val="29"/>
        </w:numPr>
        <w:spacing w:before="0"/>
        <w:jc w:val="both"/>
        <w:rPr>
          <w:rFonts w:cs="Times New Roman"/>
        </w:rPr>
      </w:pPr>
      <w:r w:rsidRPr="00DA0977">
        <w:rPr>
          <w:rFonts w:cs="Times New Roman"/>
          <w:iCs/>
        </w:rPr>
        <w:t>The Minimum Term of Imprisonment Is Not Grossly Disproportionate to What Is Necessary To Achieve Parliament’s Objectives</w:t>
      </w:r>
    </w:p>
    <w:p w14:paraId="19211D92" w14:textId="77777777" w:rsidR="00DA0977" w:rsidRPr="00DA0977" w:rsidRDefault="00DA0977" w:rsidP="00DA0977">
      <w:pPr>
        <w:pStyle w:val="ParaNoNdepar-AltN"/>
        <w:tabs>
          <w:tab w:val="clear" w:pos="7107"/>
          <w:tab w:val="num" w:pos="1152"/>
        </w:tabs>
        <w:ind w:left="0"/>
        <w:rPr>
          <w:rFonts w:cs="Times New Roman"/>
        </w:rPr>
      </w:pPr>
      <w:r w:rsidRPr="00DA0977">
        <w:rPr>
          <w:rFonts w:cs="Times New Roman"/>
        </w:rPr>
        <w:t xml:space="preserve">The final stage of the analysis is meant to determine whether the minimum sentence “goes beyond what is necessary to achieve Parliament’s sentencing objectives relevant to the offence” </w:t>
      </w:r>
      <w:r w:rsidRPr="00DA0977">
        <w:rPr>
          <w:rFonts w:cs="Times New Roman"/>
          <w:iCs/>
        </w:rPr>
        <w:t>(</w:t>
      </w:r>
      <w:r w:rsidRPr="00DA0977">
        <w:rPr>
          <w:rFonts w:cs="Times New Roman"/>
          <w:i/>
          <w:iCs/>
        </w:rPr>
        <w:t>Hills</w:t>
      </w:r>
      <w:r w:rsidRPr="00DA0977">
        <w:rPr>
          <w:rFonts w:cs="Times New Roman"/>
        </w:rPr>
        <w:t>, at para. 138). In this inquiry, courts must consider “the legitimate purposes of punishment and the adequacy of possible alternatives” (</w:t>
      </w:r>
      <w:r w:rsidRPr="00DA0977">
        <w:rPr>
          <w:rFonts w:cs="Times New Roman"/>
          <w:i/>
          <w:iCs/>
        </w:rPr>
        <w:t>Hills</w:t>
      </w:r>
      <w:r w:rsidRPr="00DA0977">
        <w:rPr>
          <w:rFonts w:cs="Times New Roman"/>
        </w:rPr>
        <w:t xml:space="preserve">, at para. 138, quoting </w:t>
      </w:r>
      <w:r w:rsidRPr="00DA0977">
        <w:rPr>
          <w:rFonts w:cs="Times New Roman"/>
          <w:i/>
        </w:rPr>
        <w:t>R. v. Smith</w:t>
      </w:r>
      <w:r w:rsidRPr="00DA0977">
        <w:rPr>
          <w:rFonts w:cs="Times New Roman"/>
        </w:rPr>
        <w:t>, [1987] 1 S.C.R. 1045, at pp. 1099</w:t>
      </w:r>
      <w:r w:rsidRPr="00DA0977">
        <w:rPr>
          <w:rFonts w:cs="Times New Roman"/>
        </w:rPr>
        <w:noBreakHyphen/>
        <w:t xml:space="preserve">1100). However, it is essential to bear in mind at this stage that gross disproportionality is the constitutional standard that applies in the analysis under s. 12 of the </w:t>
      </w:r>
      <w:r w:rsidRPr="00DA0977">
        <w:rPr>
          <w:rFonts w:cs="Times New Roman"/>
          <w:i/>
          <w:iCs/>
        </w:rPr>
        <w:t>Charter</w:t>
      </w:r>
      <w:r w:rsidRPr="00DA0977">
        <w:rPr>
          <w:rFonts w:cs="Times New Roman"/>
        </w:rPr>
        <w:t>. I reiterate this because, in my opinion, my colleague’s reasoning transforms the standard of gross disproportionality into one of proportionality.</w:t>
      </w:r>
    </w:p>
    <w:p w14:paraId="26782E60" w14:textId="77777777" w:rsidR="00DA0977" w:rsidRPr="00DA0977" w:rsidRDefault="00DA0977" w:rsidP="00DA0977">
      <w:pPr>
        <w:pStyle w:val="ParaNoNdepar-AltN"/>
        <w:tabs>
          <w:tab w:val="clear" w:pos="7107"/>
          <w:tab w:val="left" w:pos="1166"/>
        </w:tabs>
        <w:spacing w:before="0"/>
        <w:ind w:left="0"/>
        <w:rPr>
          <w:rFonts w:cs="Times New Roman"/>
        </w:rPr>
      </w:pPr>
      <w:r w:rsidRPr="00DA0977">
        <w:rPr>
          <w:rFonts w:cs="Times New Roman"/>
        </w:rPr>
        <w:lastRenderedPageBreak/>
        <w:t>This shift in her analysis can first be seen at para. 158, where she argues that, for offenders whose mental illness contributed to the commission of an offence, “</w:t>
      </w:r>
      <w:r w:rsidRPr="00DA0977">
        <w:rPr>
          <w:rFonts w:cs="Times New Roman"/>
          <w:lang w:eastAsia="en-CA"/>
        </w:rPr>
        <w:t>specific deterrence, general deterrence and denunciation are of little use</w:t>
      </w:r>
      <w:r w:rsidRPr="00DA0977">
        <w:rPr>
          <w:rFonts w:cs="Times New Roman"/>
        </w:rPr>
        <w:t>”. With respect, this argument misses the mark.</w:t>
      </w:r>
    </w:p>
    <w:p w14:paraId="6B97E586" w14:textId="77777777" w:rsidR="00DA0977" w:rsidRPr="00DA0977" w:rsidRDefault="00DA0977" w:rsidP="00DA0977">
      <w:pPr>
        <w:pStyle w:val="ParaNoNdepar-AltN"/>
        <w:tabs>
          <w:tab w:val="clear" w:pos="7107"/>
          <w:tab w:val="left" w:pos="1166"/>
        </w:tabs>
        <w:spacing w:before="0"/>
        <w:ind w:left="0"/>
        <w:rPr>
          <w:rFonts w:cs="Times New Roman"/>
        </w:rPr>
      </w:pPr>
      <w:r w:rsidRPr="00DA0977">
        <w:rPr>
          <w:rFonts w:cs="Times New Roman"/>
        </w:rPr>
        <w:t xml:space="preserve">It is not for this Court to question the appropriateness or usefulness of the penological objectives set by Parliament. The Court’s role at this stage of the analysis — and indeed the role of any court tasked with assessing the constitutionality of a mandatory minimum sentence — is to determine whether the punishment goes so far beyond what is necessary to “achieve </w:t>
      </w:r>
      <w:r w:rsidRPr="00DA0977">
        <w:rPr>
          <w:rFonts w:cs="Times New Roman"/>
          <w:u w:val="single"/>
        </w:rPr>
        <w:t>Parliament’s sentencing objectives relevant to the offence</w:t>
      </w:r>
      <w:r w:rsidRPr="00DA0977">
        <w:rPr>
          <w:rFonts w:cs="Times New Roman"/>
        </w:rPr>
        <w:t>” (</w:t>
      </w:r>
      <w:r w:rsidRPr="00DA0977">
        <w:rPr>
          <w:rFonts w:cs="Times New Roman"/>
          <w:i/>
          <w:iCs/>
        </w:rPr>
        <w:t>Hills</w:t>
      </w:r>
      <w:r w:rsidRPr="00DA0977">
        <w:rPr>
          <w:rFonts w:cs="Times New Roman"/>
        </w:rPr>
        <w:t>, at para. 138 (emphasis added)) that it is grossly disproportionate. The distinction is a subtle but very important one. Otherwise, courts are stepping into a role that is — and must remain — exclusive to Parliament, namely that of assessing the utility of means of responding to social problems (</w:t>
      </w:r>
      <w:r w:rsidRPr="00DA0977">
        <w:rPr>
          <w:rFonts w:cs="Times New Roman"/>
          <w:i/>
          <w:iCs/>
        </w:rPr>
        <w:t>Malmo</w:t>
      </w:r>
      <w:r w:rsidRPr="00DA0977">
        <w:rPr>
          <w:rFonts w:cs="Times New Roman"/>
          <w:i/>
          <w:iCs/>
        </w:rPr>
        <w:noBreakHyphen/>
        <w:t>Levine</w:t>
      </w:r>
      <w:r w:rsidRPr="00DA0977">
        <w:rPr>
          <w:rFonts w:cs="Times New Roman"/>
        </w:rPr>
        <w:t xml:space="preserve">, at para. 177; </w:t>
      </w:r>
      <w:r w:rsidRPr="00DA0977">
        <w:rPr>
          <w:rFonts w:cs="Times New Roman"/>
          <w:i/>
          <w:iCs/>
        </w:rPr>
        <w:t>Lloyd</w:t>
      </w:r>
      <w:r w:rsidRPr="00DA0977">
        <w:rPr>
          <w:rFonts w:cs="Times New Roman"/>
        </w:rPr>
        <w:t xml:space="preserve">, at para. 45). I note that the question is not whether Parliament chose the least restrictive means to achieve its objectives, an inquiry more akin to the one made in the context of applying s. 1 of the </w:t>
      </w:r>
      <w:r w:rsidRPr="00DA0977">
        <w:rPr>
          <w:rFonts w:cs="Times New Roman"/>
          <w:i/>
          <w:iCs/>
        </w:rPr>
        <w:t>Charter</w:t>
      </w:r>
      <w:r w:rsidRPr="00DA0977">
        <w:rPr>
          <w:rFonts w:cs="Times New Roman"/>
        </w:rPr>
        <w:t xml:space="preserve"> than to the scrutiny required under s. 12.</w:t>
      </w:r>
    </w:p>
    <w:p w14:paraId="3D4D3EEA" w14:textId="77777777" w:rsidR="00DA0977" w:rsidRPr="00DA0977" w:rsidRDefault="00DA0977" w:rsidP="00DA0977">
      <w:pPr>
        <w:pStyle w:val="ParaNoNdepar-AltN"/>
        <w:tabs>
          <w:tab w:val="clear" w:pos="7107"/>
          <w:tab w:val="left" w:pos="1166"/>
        </w:tabs>
        <w:spacing w:before="0"/>
        <w:ind w:left="0"/>
        <w:rPr>
          <w:rFonts w:cs="Times New Roman"/>
        </w:rPr>
      </w:pPr>
      <w:r w:rsidRPr="00DA0977">
        <w:rPr>
          <w:rFonts w:cs="Times New Roman"/>
        </w:rPr>
        <w:t>With respect, I am of the view that the shift continues in the following paragraph of my colleague’s reasons, where she writes that the imposition of a minimum term of imprisonment of 6 or 12 months undermines the principle of proportionality and indicates that “P</w:t>
      </w:r>
      <w:r w:rsidRPr="00DA0977">
        <w:rPr>
          <w:rFonts w:cs="Times New Roman"/>
          <w:lang w:eastAsia="en-CA"/>
        </w:rPr>
        <w:t xml:space="preserve">arliament has prioritized denunciation and deterrence </w:t>
      </w:r>
      <w:r w:rsidRPr="00DA0977">
        <w:rPr>
          <w:rFonts w:cs="Times New Roman"/>
          <w:u w:val="single"/>
          <w:lang w:eastAsia="en-CA"/>
        </w:rPr>
        <w:t>to the near complete exclusion of rehabilitation</w:t>
      </w:r>
      <w:r w:rsidRPr="00DA0977">
        <w:rPr>
          <w:rFonts w:cs="Times New Roman"/>
          <w:iCs/>
        </w:rPr>
        <w:t>”</w:t>
      </w:r>
      <w:r w:rsidRPr="00DA0977">
        <w:rPr>
          <w:rFonts w:cs="Times New Roman"/>
        </w:rPr>
        <w:t xml:space="preserve"> (para. 159 (emphasis </w:t>
      </w:r>
      <w:r w:rsidRPr="00DA0977">
        <w:rPr>
          <w:rFonts w:cs="Times New Roman"/>
        </w:rPr>
        <w:lastRenderedPageBreak/>
        <w:t>added)). But Parliament is perfectly at liberty to do so, provided that it leaves a door open for rehabilitation “even in cases where this objective is of minimal importance” (</w:t>
      </w:r>
      <w:r w:rsidRPr="00DA0977">
        <w:rPr>
          <w:rFonts w:cs="Times New Roman"/>
          <w:i/>
        </w:rPr>
        <w:t>Hills</w:t>
      </w:r>
      <w:r w:rsidRPr="00DA0977">
        <w:rPr>
          <w:rFonts w:cs="Times New Roman"/>
        </w:rPr>
        <w:t>, at paras. 141</w:t>
      </w:r>
      <w:r w:rsidRPr="00DA0977">
        <w:rPr>
          <w:rFonts w:cs="Times New Roman"/>
        </w:rPr>
        <w:noBreakHyphen/>
        <w:t xml:space="preserve">42, quoting </w:t>
      </w:r>
      <w:r w:rsidRPr="00DA0977">
        <w:rPr>
          <w:rFonts w:cs="Times New Roman"/>
          <w:i/>
          <w:iCs/>
        </w:rPr>
        <w:t>Bissonnette</w:t>
      </w:r>
      <w:r w:rsidRPr="00DA0977">
        <w:rPr>
          <w:rFonts w:cs="Times New Roman"/>
        </w:rPr>
        <w:t xml:space="preserve">, at para. 85). It has not been shown here how, by creating minimum terms of imprisonment of six months and one year in s. 172.1(2) </w:t>
      </w:r>
      <w:r w:rsidRPr="00DA0977">
        <w:rPr>
          <w:rFonts w:cs="Times New Roman"/>
          <w:i/>
          <w:iCs/>
        </w:rPr>
        <w:t>Cr. C</w:t>
      </w:r>
      <w:r w:rsidRPr="00DA0977">
        <w:rPr>
          <w:rFonts w:cs="Times New Roman"/>
          <w:i/>
        </w:rPr>
        <w:t>.</w:t>
      </w:r>
      <w:r w:rsidRPr="00DA0977">
        <w:rPr>
          <w:rFonts w:cs="Times New Roman"/>
        </w:rPr>
        <w:t>, Parliament has completely excluded this objective.</w:t>
      </w:r>
    </w:p>
    <w:p w14:paraId="57736CF3" w14:textId="77777777" w:rsidR="00DA0977" w:rsidRPr="00DA0977" w:rsidRDefault="00DA0977" w:rsidP="00DA0977">
      <w:pPr>
        <w:pStyle w:val="ParaNoNdepar-AltN"/>
        <w:tabs>
          <w:tab w:val="clear" w:pos="7107"/>
          <w:tab w:val="left" w:pos="1166"/>
        </w:tabs>
        <w:spacing w:before="0"/>
        <w:ind w:left="0"/>
        <w:rPr>
          <w:rFonts w:cs="Times New Roman"/>
          <w:i/>
        </w:rPr>
      </w:pPr>
      <w:r w:rsidRPr="00DA0977">
        <w:rPr>
          <w:rFonts w:cs="Times New Roman"/>
        </w:rPr>
        <w:t xml:space="preserve">There is a difference of three months (for the offender in the first hypothetical scenario) or six months (for the offender in the second hypothetical scenario) between the fit and appropriate sentence and the sentence provided for in s. 172.1(2)(a) </w:t>
      </w:r>
      <w:r w:rsidRPr="00DA0977">
        <w:rPr>
          <w:rFonts w:cs="Times New Roman"/>
          <w:i/>
          <w:iCs/>
        </w:rPr>
        <w:t>Cr. C.</w:t>
      </w:r>
      <w:r w:rsidRPr="00DA0977">
        <w:rPr>
          <w:rFonts w:cs="Times New Roman"/>
        </w:rPr>
        <w:t xml:space="preserve"> In my opinion, this difference is not so great as to show that the punishment chosen by Parliament grossly exceeds what is necessary to achieve its objectives of deterrence and denunciation of sexual violence against children. Perhaps there is some disproportion the application of which leads to a demonstrably unfit punishment, but this is not sufficient to declare s. 172.1(2)(a) and (b) </w:t>
      </w:r>
      <w:r w:rsidRPr="00DA0977">
        <w:rPr>
          <w:rFonts w:cs="Times New Roman"/>
          <w:i/>
          <w:iCs/>
        </w:rPr>
        <w:t>Cr. C</w:t>
      </w:r>
      <w:r w:rsidRPr="00DA0977">
        <w:rPr>
          <w:rFonts w:cs="Times New Roman"/>
          <w:i/>
        </w:rPr>
        <w:t>.</w:t>
      </w:r>
      <w:r w:rsidRPr="00DA0977">
        <w:rPr>
          <w:rFonts w:cs="Times New Roman"/>
        </w:rPr>
        <w:t xml:space="preserve"> unconstitutional.</w:t>
      </w:r>
    </w:p>
    <w:p w14:paraId="02278D3C" w14:textId="77777777" w:rsidR="00DA0977" w:rsidRPr="00DA0977" w:rsidRDefault="00DA0977" w:rsidP="00DA0977">
      <w:pPr>
        <w:pStyle w:val="Title1LevelTitre1Niveau-AltL"/>
        <w:numPr>
          <w:ilvl w:val="0"/>
          <w:numId w:val="29"/>
        </w:numPr>
        <w:spacing w:before="0"/>
        <w:jc w:val="both"/>
        <w:rPr>
          <w:rFonts w:cs="Times New Roman"/>
        </w:rPr>
      </w:pPr>
      <w:r w:rsidRPr="00DA0977">
        <w:rPr>
          <w:rFonts w:cs="Times New Roman"/>
        </w:rPr>
        <w:t>Conclusion</w:t>
      </w:r>
    </w:p>
    <w:p w14:paraId="4261D9F0" w14:textId="77777777" w:rsidR="00DA0977" w:rsidRPr="00DA0977" w:rsidRDefault="00DA0977" w:rsidP="00DA0977">
      <w:pPr>
        <w:pStyle w:val="ParaNoNdepar-AltN"/>
        <w:tabs>
          <w:tab w:val="clear" w:pos="7107"/>
          <w:tab w:val="left" w:pos="1166"/>
        </w:tabs>
        <w:spacing w:before="0"/>
        <w:ind w:left="0"/>
        <w:rPr>
          <w:rFonts w:cs="Times New Roman"/>
        </w:rPr>
      </w:pPr>
      <w:r w:rsidRPr="00DA0977">
        <w:rPr>
          <w:rFonts w:cs="Times New Roman"/>
        </w:rPr>
        <w:t xml:space="preserve">In summary, the reasonably foreseeable hypothetical scenarios discussed by my colleague do not persuade me that the minimum sentences provided for in s. 172.1(2) </w:t>
      </w:r>
      <w:r w:rsidRPr="00DA0977">
        <w:rPr>
          <w:rFonts w:cs="Times New Roman"/>
          <w:i/>
          <w:iCs/>
        </w:rPr>
        <w:t>Cr. C.</w:t>
      </w:r>
      <w:r w:rsidRPr="00DA0977">
        <w:rPr>
          <w:rFonts w:cs="Times New Roman"/>
        </w:rPr>
        <w:t xml:space="preserve"> are grossly disproportionate. In view of the gravity of this offence, the fact that its scope is clearly circumscribed by the high level of </w:t>
      </w:r>
      <w:r w:rsidRPr="00DA0977">
        <w:rPr>
          <w:rFonts w:cs="Times New Roman"/>
          <w:i/>
          <w:iCs/>
        </w:rPr>
        <w:t>mens rea</w:t>
      </w:r>
      <w:r w:rsidRPr="00DA0977">
        <w:rPr>
          <w:rFonts w:cs="Times New Roman"/>
          <w:iCs/>
        </w:rPr>
        <w:t xml:space="preserve"> required</w:t>
      </w:r>
      <w:r w:rsidRPr="00DA0977">
        <w:rPr>
          <w:rFonts w:cs="Times New Roman"/>
        </w:rPr>
        <w:t xml:space="preserve">, the morally blameworthy and extremely harmful conduct targeted by the offence of child luring, and the deference owed to Parliament’s public policy decisions with regard </w:t>
      </w:r>
      <w:r w:rsidRPr="00DA0977">
        <w:rPr>
          <w:rFonts w:cs="Times New Roman"/>
        </w:rPr>
        <w:lastRenderedPageBreak/>
        <w:t xml:space="preserve">to sentencing, I am of the view that the impugned mandatory minimum sentences are not contrary to s. 12 of the </w:t>
      </w:r>
      <w:r w:rsidRPr="00DA0977">
        <w:rPr>
          <w:rFonts w:cs="Times New Roman"/>
          <w:i/>
          <w:iCs/>
        </w:rPr>
        <w:t>Charter</w:t>
      </w:r>
      <w:r w:rsidRPr="00DA0977">
        <w:rPr>
          <w:rFonts w:cs="Times New Roman"/>
        </w:rPr>
        <w:t>.</w:t>
      </w:r>
    </w:p>
    <w:p w14:paraId="3EF2AD4C" w14:textId="77777777" w:rsidR="00DA0977" w:rsidRPr="00DA0977" w:rsidRDefault="00DA0977" w:rsidP="00DA0977">
      <w:pPr>
        <w:pStyle w:val="ParaNoNdepar-AltN"/>
        <w:tabs>
          <w:tab w:val="clear" w:pos="7107"/>
          <w:tab w:val="left" w:pos="1166"/>
        </w:tabs>
        <w:ind w:left="0"/>
        <w:rPr>
          <w:rFonts w:cs="Times New Roman"/>
        </w:rPr>
      </w:pPr>
      <w:r w:rsidRPr="00DA0977">
        <w:rPr>
          <w:rFonts w:cs="Times New Roman"/>
        </w:rPr>
        <w:t xml:space="preserve">Accordingly, I would allow the appeal of the Attorney General of Quebec and the Crown in Mr. Bertrand Marchand’s case. I would set aside the Quebec Court of Appeal’s declaration that s. 172.1(2)(a) </w:t>
      </w:r>
      <w:r w:rsidRPr="00DA0977">
        <w:rPr>
          <w:rFonts w:cs="Times New Roman"/>
          <w:i/>
          <w:iCs/>
        </w:rPr>
        <w:t>Cr. C.</w:t>
      </w:r>
      <w:r w:rsidRPr="00DA0977">
        <w:rPr>
          <w:rFonts w:cs="Times New Roman"/>
        </w:rPr>
        <w:t xml:space="preserve"> is of no force or effect, and I would declare that the one</w:t>
      </w:r>
      <w:r w:rsidRPr="00DA0977">
        <w:rPr>
          <w:rFonts w:cs="Times New Roman"/>
        </w:rPr>
        <w:noBreakHyphen/>
        <w:t>year minimum term of imprisonment provided for in that section is constitutional. For the reasons given by my colleague, I would set aside the sentence of five months’ imprisonment imposed on March 11, 2020, on the count of child luring, and I would impose on Mr. Bertrand Marchand a one</w:t>
      </w:r>
      <w:r w:rsidRPr="00DA0977">
        <w:rPr>
          <w:rFonts w:cs="Times New Roman"/>
        </w:rPr>
        <w:noBreakHyphen/>
        <w:t xml:space="preserve">year term of imprisonment on that count, to be served consecutively to his term of imprisonment for sexual interference. I would order a permanent stay of execution of the modified sentence. I would also allow the appeal of the Attorney General of Quebec and the Crown in H.V.’s case. I would set aside the Quebec Superior Court’s declaration that s. 172.1(2)(b) </w:t>
      </w:r>
      <w:r w:rsidRPr="00DA0977">
        <w:rPr>
          <w:rFonts w:cs="Times New Roman"/>
          <w:i/>
          <w:iCs/>
        </w:rPr>
        <w:t>Cr. C.</w:t>
      </w:r>
      <w:r w:rsidRPr="00DA0977">
        <w:rPr>
          <w:rFonts w:cs="Times New Roman"/>
        </w:rPr>
        <w:t xml:space="preserve"> is invalid and of no force or effect, and I would declare that the six</w:t>
      </w:r>
      <w:r w:rsidRPr="00DA0977">
        <w:rPr>
          <w:rFonts w:cs="Times New Roman"/>
        </w:rPr>
        <w:noBreakHyphen/>
        <w:t>month minimum term of imprisonment provided for in that section is constitutional.</w:t>
      </w:r>
      <w:bookmarkEnd w:id="277"/>
      <w:r w:rsidRPr="00DA0977">
        <w:rPr>
          <w:rFonts w:cs="Times New Roman"/>
        </w:rPr>
        <w:t xml:space="preserve"> Consequently, I would set aside the sentence imposed on H.V. on February 25, 2021, and I would impose the mandatory minimum sentence of six months’ imprisonment on him. I would order a permanent stay of execution of the modified sentence.</w:t>
      </w:r>
    </w:p>
    <w:p w14:paraId="7C03F5A5" w14:textId="5B538E09" w:rsidR="009B57B3" w:rsidRPr="00DA0977" w:rsidRDefault="009B57B3" w:rsidP="00CF3581">
      <w:pPr>
        <w:pStyle w:val="SCCNormalDoubleSpacing"/>
        <w:spacing w:after="480"/>
        <w:rPr>
          <w:i/>
          <w:lang w:val="en-US"/>
        </w:rPr>
      </w:pPr>
      <w:r w:rsidRPr="00DA0977">
        <w:tab/>
      </w:r>
      <w:r w:rsidR="00656313" w:rsidRPr="00DA0977">
        <w:rPr>
          <w:i/>
          <w:lang w:val="en-US"/>
        </w:rPr>
        <w:t>Appeal</w:t>
      </w:r>
      <w:r w:rsidR="00504EAE" w:rsidRPr="00DA0977">
        <w:rPr>
          <w:lang w:val="en-US"/>
        </w:rPr>
        <w:t xml:space="preserve"> </w:t>
      </w:r>
      <w:r w:rsidR="00504EAE" w:rsidRPr="00DA0977">
        <w:rPr>
          <w:i/>
          <w:lang w:val="en-US"/>
        </w:rPr>
        <w:t xml:space="preserve">allowed in part, </w:t>
      </w:r>
      <w:r w:rsidR="00504EAE" w:rsidRPr="00DA0977">
        <w:rPr>
          <w:smallCaps/>
          <w:lang w:val="en-US"/>
        </w:rPr>
        <w:t xml:space="preserve">Côté J. </w:t>
      </w:r>
      <w:r w:rsidR="00504EAE" w:rsidRPr="00DA0977">
        <w:rPr>
          <w:i/>
          <w:lang w:val="en-US"/>
        </w:rPr>
        <w:t xml:space="preserve">dissenting in part (39935). Appeal dismissed, </w:t>
      </w:r>
      <w:r w:rsidR="00504EAE" w:rsidRPr="00DA0977">
        <w:rPr>
          <w:smallCaps/>
          <w:lang w:val="en-US"/>
        </w:rPr>
        <w:t xml:space="preserve">Côté J. </w:t>
      </w:r>
      <w:r w:rsidR="00504EAE" w:rsidRPr="00DA0977">
        <w:rPr>
          <w:i/>
          <w:lang w:val="en-US"/>
        </w:rPr>
        <w:t>dissenting (40093).</w:t>
      </w:r>
    </w:p>
    <w:p w14:paraId="247C8D80" w14:textId="7677C451" w:rsidR="006F637B" w:rsidRPr="00DA0977" w:rsidRDefault="000C6466" w:rsidP="00CF3581">
      <w:pPr>
        <w:pStyle w:val="SCCLawFirm"/>
        <w:spacing w:after="480"/>
        <w:rPr>
          <w:lang w:val="en-US"/>
        </w:rPr>
      </w:pPr>
      <w:r w:rsidRPr="00DA0977">
        <w:rPr>
          <w:lang w:val="en-US"/>
        </w:rPr>
        <w:lastRenderedPageBreak/>
        <w:tab/>
        <w:t>Solicitor</w:t>
      </w:r>
      <w:r w:rsidR="003C0BA9" w:rsidRPr="00DA0977">
        <w:rPr>
          <w:lang w:val="en-US"/>
        </w:rPr>
        <w:t xml:space="preserve"> for the appellant</w:t>
      </w:r>
      <w:r w:rsidR="00476737" w:rsidRPr="00DA0977">
        <w:rPr>
          <w:lang w:val="en-US"/>
        </w:rPr>
        <w:t xml:space="preserve"> His Majesty The King</w:t>
      </w:r>
      <w:r w:rsidR="0093569B" w:rsidRPr="00DA0977">
        <w:rPr>
          <w:lang w:val="en-US"/>
        </w:rPr>
        <w:t xml:space="preserve"> </w:t>
      </w:r>
      <w:r w:rsidR="0093569B" w:rsidRPr="00DA0977">
        <w:rPr>
          <w:rStyle w:val="SCCCounselPartyRoleChar"/>
          <w:lang w:val="en-US"/>
        </w:rPr>
        <w:t>(</w:t>
      </w:r>
      <w:r w:rsidR="0093569B" w:rsidRPr="00DA0977">
        <w:rPr>
          <w:lang w:val="en-US"/>
        </w:rPr>
        <w:t>39935)</w:t>
      </w:r>
      <w:r w:rsidR="003C0BA9" w:rsidRPr="00DA0977">
        <w:rPr>
          <w:lang w:val="en-US"/>
        </w:rPr>
        <w:t xml:space="preserve">: </w:t>
      </w:r>
      <w:r w:rsidR="00FD37F7" w:rsidRPr="00DA0977">
        <w:t>Director of Criminal and Penal Prosecutions</w:t>
      </w:r>
      <w:r w:rsidR="003C0BA9" w:rsidRPr="00DA0977">
        <w:rPr>
          <w:lang w:val="en-US"/>
        </w:rPr>
        <w:t>, Montréal.</w:t>
      </w:r>
    </w:p>
    <w:p w14:paraId="214D6A73" w14:textId="4E688383" w:rsidR="007C19C6" w:rsidRPr="00DA0977" w:rsidRDefault="007C19C6" w:rsidP="007C19C6">
      <w:pPr>
        <w:pStyle w:val="SCCLawFirm"/>
        <w:spacing w:after="480"/>
        <w:rPr>
          <w:lang w:val="en-US"/>
        </w:rPr>
      </w:pPr>
      <w:r w:rsidRPr="00DA0977">
        <w:rPr>
          <w:lang w:val="en-US"/>
        </w:rPr>
        <w:tab/>
        <w:t xml:space="preserve">Solicitor for the appellant His Majesty The King (40093): </w:t>
      </w:r>
      <w:r w:rsidRPr="00DA0977">
        <w:t>Director of Criminal and Penal Prosecutions</w:t>
      </w:r>
      <w:r w:rsidRPr="00DA0977">
        <w:rPr>
          <w:lang w:val="en-US"/>
        </w:rPr>
        <w:t>, Saint</w:t>
      </w:r>
      <w:r w:rsidRPr="00DA0977">
        <w:rPr>
          <w:lang w:val="en-US"/>
        </w:rPr>
        <w:noBreakHyphen/>
        <w:t>Jérôme.</w:t>
      </w:r>
    </w:p>
    <w:p w14:paraId="03941AFF" w14:textId="1643BBBD" w:rsidR="006F637B" w:rsidRPr="00DA0977" w:rsidRDefault="003C0BA9" w:rsidP="00CF3581">
      <w:pPr>
        <w:pStyle w:val="SCCLawFirm"/>
        <w:spacing w:after="480"/>
        <w:rPr>
          <w:lang w:val="fr-CA"/>
        </w:rPr>
      </w:pPr>
      <w:r w:rsidRPr="00DA0977">
        <w:rPr>
          <w:lang w:val="en-US"/>
        </w:rPr>
        <w:tab/>
      </w:r>
      <w:r w:rsidR="00476737" w:rsidRPr="00DA0977">
        <w:rPr>
          <w:lang w:val="fr-CA"/>
        </w:rPr>
        <w:t>Solicitor</w:t>
      </w:r>
      <w:r w:rsidRPr="00DA0977">
        <w:rPr>
          <w:lang w:val="fr-CA"/>
        </w:rPr>
        <w:t>s for the appellant</w:t>
      </w:r>
      <w:r w:rsidR="00476737" w:rsidRPr="00DA0977">
        <w:rPr>
          <w:rStyle w:val="SCCCounselPartyRoleChar"/>
          <w:lang w:val="fr-CA"/>
        </w:rPr>
        <w:t xml:space="preserve"> the </w:t>
      </w:r>
      <w:r w:rsidR="00476737" w:rsidRPr="00DA0977">
        <w:rPr>
          <w:lang w:val="fr-CA"/>
        </w:rPr>
        <w:t>Attorney General of Quebec</w:t>
      </w:r>
      <w:r w:rsidR="0093569B" w:rsidRPr="00DA0977">
        <w:rPr>
          <w:lang w:val="fr-CA"/>
        </w:rPr>
        <w:t xml:space="preserve"> </w:t>
      </w:r>
      <w:r w:rsidR="0093569B" w:rsidRPr="00DA0977">
        <w:rPr>
          <w:rStyle w:val="SCCCounselPartyRoleChar"/>
          <w:lang w:val="fr-CA"/>
        </w:rPr>
        <w:t>(</w:t>
      </w:r>
      <w:r w:rsidR="0093569B" w:rsidRPr="00DA0977">
        <w:rPr>
          <w:lang w:val="fr-CA"/>
        </w:rPr>
        <w:t>39935)</w:t>
      </w:r>
      <w:r w:rsidRPr="00DA0977">
        <w:rPr>
          <w:lang w:val="fr-CA"/>
        </w:rPr>
        <w:t xml:space="preserve">: Bernard, Roy </w:t>
      </w:r>
      <w:r w:rsidR="00476737" w:rsidRPr="00DA0977">
        <w:rPr>
          <w:lang w:val="fr-CA"/>
        </w:rPr>
        <w:t>(Justice</w:t>
      </w:r>
      <w:r w:rsidR="00E75578" w:rsidRPr="00DA0977">
        <w:rPr>
          <w:lang w:val="fr-CA"/>
        </w:rPr>
        <w:t xml:space="preserve"> </w:t>
      </w:r>
      <w:r w:rsidR="00476737" w:rsidRPr="00DA0977">
        <w:rPr>
          <w:lang w:val="fr-CA"/>
        </w:rPr>
        <w:t>Québec)</w:t>
      </w:r>
      <w:r w:rsidRPr="00DA0977">
        <w:rPr>
          <w:lang w:val="fr-CA"/>
        </w:rPr>
        <w:t>, Montréal</w:t>
      </w:r>
      <w:r w:rsidR="00476737" w:rsidRPr="00DA0977">
        <w:rPr>
          <w:lang w:val="fr-CA"/>
        </w:rPr>
        <w:t xml:space="preserve">; </w:t>
      </w:r>
      <w:r w:rsidR="00BF057B" w:rsidRPr="00DA0977">
        <w:rPr>
          <w:lang w:val="fr-CA"/>
        </w:rPr>
        <w:t>Ministère de la Justice du Québec — Direction du droit constitutionnel et autochtone</w:t>
      </w:r>
      <w:r w:rsidR="00476737" w:rsidRPr="00DA0977">
        <w:rPr>
          <w:lang w:val="fr-CA"/>
        </w:rPr>
        <w:t xml:space="preserve">, </w:t>
      </w:r>
      <w:r w:rsidR="00FC72FF" w:rsidRPr="00DA0977">
        <w:rPr>
          <w:lang w:val="fr-CA"/>
        </w:rPr>
        <w:t>Québec</w:t>
      </w:r>
      <w:r w:rsidRPr="00DA0977">
        <w:rPr>
          <w:lang w:val="fr-CA"/>
        </w:rPr>
        <w:t>.</w:t>
      </w:r>
    </w:p>
    <w:p w14:paraId="698082DB" w14:textId="42F362F1" w:rsidR="0093569B" w:rsidRPr="00DA0977" w:rsidRDefault="0093569B" w:rsidP="00CF3581">
      <w:pPr>
        <w:pStyle w:val="SCCLawFirm"/>
        <w:spacing w:after="480"/>
        <w:rPr>
          <w:lang w:val="fr-CA"/>
        </w:rPr>
      </w:pPr>
      <w:r w:rsidRPr="00DA0977">
        <w:rPr>
          <w:lang w:val="fr-CA"/>
        </w:rPr>
        <w:tab/>
        <w:t>Solicitors for the appellant</w:t>
      </w:r>
      <w:r w:rsidRPr="00DA0977">
        <w:rPr>
          <w:rStyle w:val="SCCCounselPartyRoleChar"/>
          <w:lang w:val="fr-CA"/>
        </w:rPr>
        <w:t xml:space="preserve"> the </w:t>
      </w:r>
      <w:r w:rsidRPr="00DA0977">
        <w:rPr>
          <w:lang w:val="fr-CA"/>
        </w:rPr>
        <w:t xml:space="preserve">Attorney General of Quebec (40093): Ministère de la Justice du Québec — Direction du contentieux, Montréal; Ministère de la Justice du Québec — Direction du droit constitutionnel et autochtone, </w:t>
      </w:r>
      <w:r w:rsidR="00FC72FF" w:rsidRPr="00DA0977">
        <w:rPr>
          <w:lang w:val="fr-CA"/>
        </w:rPr>
        <w:t>Québec</w:t>
      </w:r>
      <w:r w:rsidRPr="00DA0977">
        <w:rPr>
          <w:lang w:val="fr-CA"/>
        </w:rPr>
        <w:t>.</w:t>
      </w:r>
    </w:p>
    <w:p w14:paraId="192DE60B" w14:textId="23D713E2" w:rsidR="006F637B" w:rsidRPr="00DA0977" w:rsidRDefault="003C0BA9" w:rsidP="00CF3581">
      <w:pPr>
        <w:pStyle w:val="SCCLawFirm"/>
        <w:spacing w:after="480"/>
        <w:rPr>
          <w:lang w:val="fr-CA"/>
        </w:rPr>
      </w:pPr>
      <w:r w:rsidRPr="00DA0977">
        <w:rPr>
          <w:lang w:val="fr-CA"/>
        </w:rPr>
        <w:tab/>
      </w:r>
      <w:r w:rsidR="005B4AD6" w:rsidRPr="00DA0977">
        <w:rPr>
          <w:lang w:val="fr-CA"/>
        </w:rPr>
        <w:t>Solicitor</w:t>
      </w:r>
      <w:r w:rsidRPr="00DA0977">
        <w:rPr>
          <w:lang w:val="fr-CA"/>
        </w:rPr>
        <w:t xml:space="preserve"> for the respondent</w:t>
      </w:r>
      <w:r w:rsidR="0093569B" w:rsidRPr="00DA0977">
        <w:rPr>
          <w:lang w:val="fr-CA"/>
        </w:rPr>
        <w:t xml:space="preserve"> </w:t>
      </w:r>
      <w:r w:rsidR="00167E46" w:rsidRPr="00DA0977">
        <w:rPr>
          <w:lang w:val="fr-CA"/>
        </w:rPr>
        <w:t>Maxime Bertrand Marchand</w:t>
      </w:r>
      <w:r w:rsidRPr="00DA0977">
        <w:rPr>
          <w:lang w:val="fr-CA"/>
        </w:rPr>
        <w:t xml:space="preserve">: </w:t>
      </w:r>
      <w:r w:rsidR="005B4AD6" w:rsidRPr="00DA0977">
        <w:rPr>
          <w:lang w:val="fr-CA"/>
        </w:rPr>
        <w:t>Centre Communautaire juridique</w:t>
      </w:r>
      <w:r w:rsidR="00A456B2" w:rsidRPr="00DA0977">
        <w:rPr>
          <w:lang w:val="fr-CA"/>
        </w:rPr>
        <w:t xml:space="preserve"> d’Alma</w:t>
      </w:r>
      <w:r w:rsidRPr="00DA0977">
        <w:rPr>
          <w:lang w:val="fr-CA"/>
        </w:rPr>
        <w:t>, Alma.</w:t>
      </w:r>
    </w:p>
    <w:p w14:paraId="32C24ADD" w14:textId="05A88B32" w:rsidR="0093569B" w:rsidRPr="00DA0977" w:rsidRDefault="0093569B" w:rsidP="00CF3581">
      <w:pPr>
        <w:pStyle w:val="SCCLawFirm"/>
        <w:spacing w:after="480"/>
        <w:rPr>
          <w:lang w:val="fr-CA"/>
        </w:rPr>
      </w:pPr>
      <w:r w:rsidRPr="00DA0977">
        <w:rPr>
          <w:lang w:val="fr-CA"/>
        </w:rPr>
        <w:tab/>
        <w:t xml:space="preserve">Solicitors for the respondent </w:t>
      </w:r>
      <w:r w:rsidR="00D003BB" w:rsidRPr="00DA0977">
        <w:rPr>
          <w:lang w:val="fr-CA"/>
        </w:rPr>
        <w:t>H.V.</w:t>
      </w:r>
      <w:r w:rsidRPr="00DA0977">
        <w:rPr>
          <w:lang w:val="fr-CA"/>
        </w:rPr>
        <w:t>: Desjardins Côté, Montréal.</w:t>
      </w:r>
    </w:p>
    <w:p w14:paraId="559BD983" w14:textId="1310A0FF" w:rsidR="005B4AD6" w:rsidRPr="00DA0977" w:rsidRDefault="005B4AD6" w:rsidP="00CF3581">
      <w:pPr>
        <w:pStyle w:val="SCCLawFirm"/>
        <w:spacing w:after="480"/>
      </w:pPr>
      <w:r w:rsidRPr="00DA0977">
        <w:rPr>
          <w:lang w:val="fr-CA"/>
        </w:rPr>
        <w:tab/>
      </w:r>
      <w:r w:rsidRPr="00DA0977">
        <w:t>Solicitor for the intervener the Director of Public Prosecutions: Public Prose</w:t>
      </w:r>
      <w:r w:rsidR="001072D0" w:rsidRPr="00DA0977">
        <w:t>cution Service of Canada, Montré</w:t>
      </w:r>
      <w:r w:rsidRPr="00DA0977">
        <w:t>al.</w:t>
      </w:r>
    </w:p>
    <w:p w14:paraId="76A73328" w14:textId="7FFD2143" w:rsidR="006F637B" w:rsidRPr="00DA0977" w:rsidRDefault="003C0BA9" w:rsidP="00CF3581">
      <w:pPr>
        <w:pStyle w:val="SCCLawFirm"/>
        <w:spacing w:after="480"/>
      </w:pPr>
      <w:r w:rsidRPr="00DA0977">
        <w:rPr>
          <w:lang w:val="en-US"/>
        </w:rPr>
        <w:tab/>
      </w:r>
      <w:r w:rsidRPr="00DA0977">
        <w:t xml:space="preserve">Solicitor for the intervener </w:t>
      </w:r>
      <w:r w:rsidR="005B4AD6" w:rsidRPr="00DA0977">
        <w:t xml:space="preserve">the </w:t>
      </w:r>
      <w:r w:rsidRPr="00DA0977">
        <w:t xml:space="preserve">Attorney General of Ontario: </w:t>
      </w:r>
      <w:r w:rsidR="005B4AD6" w:rsidRPr="00DA0977">
        <w:rPr>
          <w:lang w:val="en-US"/>
        </w:rPr>
        <w:t>Attorney General of Ontario, Crown Law Office — Criminal</w:t>
      </w:r>
      <w:r w:rsidRPr="00DA0977">
        <w:t>, Toronto.</w:t>
      </w:r>
    </w:p>
    <w:p w14:paraId="4113C7BE" w14:textId="2CF2043F" w:rsidR="00AB6B9C" w:rsidRPr="00DA0977" w:rsidRDefault="00AB6B9C" w:rsidP="00CF3581">
      <w:pPr>
        <w:pStyle w:val="SCCLawFirm"/>
        <w:spacing w:after="480"/>
      </w:pPr>
      <w:r w:rsidRPr="00DA0977">
        <w:lastRenderedPageBreak/>
        <w:tab/>
        <w:t>Solicitor for the intervener</w:t>
      </w:r>
      <w:r w:rsidR="003C0BA9" w:rsidRPr="00DA0977">
        <w:t xml:space="preserve"> the</w:t>
      </w:r>
      <w:r w:rsidRPr="00DA0977">
        <w:t xml:space="preserve"> Attorney General of Saskatchewan: Attorney General </w:t>
      </w:r>
      <w:r w:rsidR="00276635" w:rsidRPr="00DA0977">
        <w:t>of</w:t>
      </w:r>
      <w:r w:rsidRPr="00DA0977">
        <w:t xml:space="preserve"> Saskatchewan, Regina.</w:t>
      </w:r>
    </w:p>
    <w:p w14:paraId="65981E52" w14:textId="5B99B6EF" w:rsidR="006F637B" w:rsidRPr="00DA0977" w:rsidRDefault="005B4AD6" w:rsidP="00CF3581">
      <w:pPr>
        <w:pStyle w:val="SCCLawFirm"/>
        <w:spacing w:after="480"/>
      </w:pPr>
      <w:r w:rsidRPr="00DA0977">
        <w:tab/>
        <w:t>Solicitor</w:t>
      </w:r>
      <w:r w:rsidR="003C0BA9" w:rsidRPr="00DA0977">
        <w:t xml:space="preserve"> for the intervener </w:t>
      </w:r>
      <w:r w:rsidRPr="00DA0977">
        <w:t xml:space="preserve">the </w:t>
      </w:r>
      <w:r w:rsidR="003C0BA9" w:rsidRPr="00DA0977">
        <w:t xml:space="preserve">Attorney General of Alberta: </w:t>
      </w:r>
      <w:r w:rsidRPr="00DA0977">
        <w:rPr>
          <w:lang w:val="en-US"/>
        </w:rPr>
        <w:t>Alberta Crown Prosecution Service — Appeals and Specialized Prosecutions Office</w:t>
      </w:r>
      <w:r w:rsidR="003C0BA9" w:rsidRPr="00DA0977">
        <w:t>, Calgary.</w:t>
      </w:r>
    </w:p>
    <w:p w14:paraId="03041DF1" w14:textId="05A2F0EF" w:rsidR="006F637B" w:rsidRPr="00DA0977" w:rsidRDefault="003C0BA9" w:rsidP="00CF3581">
      <w:pPr>
        <w:pStyle w:val="SCCLawFirm"/>
        <w:spacing w:after="480"/>
      </w:pPr>
      <w:r w:rsidRPr="00DA0977">
        <w:tab/>
        <w:t xml:space="preserve">Solicitor for the intervener </w:t>
      </w:r>
      <w:r w:rsidR="00606F9E" w:rsidRPr="00DA0977">
        <w:t xml:space="preserve">the </w:t>
      </w:r>
      <w:r w:rsidRPr="00DA0977">
        <w:t>Nunavik Civil Liberties Association: Christine Renaud, Montréal.</w:t>
      </w:r>
    </w:p>
    <w:p w14:paraId="471A1D35" w14:textId="5701B858" w:rsidR="006F637B" w:rsidRPr="00DA0977" w:rsidRDefault="003C0BA9" w:rsidP="00CF3581">
      <w:pPr>
        <w:pStyle w:val="SCCLawFirm"/>
        <w:spacing w:after="480"/>
        <w:rPr>
          <w:lang w:val="fr-CA"/>
        </w:rPr>
      </w:pPr>
      <w:r w:rsidRPr="00DA0977">
        <w:tab/>
      </w:r>
      <w:r w:rsidR="00E437B7" w:rsidRPr="00DA0977">
        <w:rPr>
          <w:lang w:val="fr-CA"/>
        </w:rPr>
        <w:t>Solicitor</w:t>
      </w:r>
      <w:r w:rsidRPr="00DA0977">
        <w:rPr>
          <w:lang w:val="fr-CA"/>
        </w:rPr>
        <w:t xml:space="preserve"> for the intervener Association québécoise des avocats et avocates de la défense: </w:t>
      </w:r>
      <w:r w:rsidR="00E437B7" w:rsidRPr="00DA0977">
        <w:rPr>
          <w:lang w:val="fr-CA"/>
        </w:rPr>
        <w:t>Hugo Caissy Avocat</w:t>
      </w:r>
      <w:r w:rsidRPr="00DA0977">
        <w:rPr>
          <w:lang w:val="fr-CA"/>
        </w:rPr>
        <w:t xml:space="preserve"> (ad hoc), Amqui</w:t>
      </w:r>
      <w:r w:rsidR="004222C1" w:rsidRPr="00DA0977">
        <w:rPr>
          <w:lang w:val="fr-CA"/>
        </w:rPr>
        <w:t>,</w:t>
      </w:r>
      <w:r w:rsidR="00E437B7" w:rsidRPr="00DA0977">
        <w:rPr>
          <w:lang w:val="fr-CA"/>
        </w:rPr>
        <w:t xml:space="preserve"> Que.</w:t>
      </w:r>
    </w:p>
    <w:p w14:paraId="447EFBD7" w14:textId="6C310041" w:rsidR="006F637B" w:rsidRPr="00DA0977" w:rsidRDefault="003C0BA9" w:rsidP="00CF3581">
      <w:pPr>
        <w:pStyle w:val="SCCLawFirm"/>
        <w:spacing w:after="480"/>
      </w:pPr>
      <w:r w:rsidRPr="00DA0977">
        <w:rPr>
          <w:lang w:val="fr-CA"/>
        </w:rPr>
        <w:tab/>
      </w:r>
      <w:r w:rsidR="00D402EF" w:rsidRPr="00DA0977">
        <w:t>Solicitor</w:t>
      </w:r>
      <w:r w:rsidRPr="00DA0977">
        <w:t xml:space="preserve">s for the intervener </w:t>
      </w:r>
      <w:r w:rsidR="006071FC" w:rsidRPr="00DA0977">
        <w:t xml:space="preserve">the </w:t>
      </w:r>
      <w:r w:rsidRPr="00DA0977">
        <w:t xml:space="preserve">Barbra Schlifer Commemorative Clinic: </w:t>
      </w:r>
      <w:r w:rsidR="00D402EF" w:rsidRPr="00DA0977">
        <w:rPr>
          <w:lang w:val="en-US"/>
        </w:rPr>
        <w:t>Chugh Law Professional Corporation</w:t>
      </w:r>
      <w:r w:rsidRPr="00DA0977">
        <w:t>, Cornwall.</w:t>
      </w:r>
    </w:p>
    <w:p w14:paraId="02B33BE0" w14:textId="2EE3A565" w:rsidR="0093569B" w:rsidRPr="00DA0977" w:rsidRDefault="0093569B" w:rsidP="00CF3581">
      <w:pPr>
        <w:pStyle w:val="SCCLawFirm"/>
        <w:spacing w:after="480"/>
        <w:rPr>
          <w:lang w:val="fr-CA"/>
        </w:rPr>
      </w:pPr>
      <w:r w:rsidRPr="00DA0977">
        <w:tab/>
      </w:r>
      <w:r w:rsidRPr="00DA0977">
        <w:rPr>
          <w:lang w:val="fr-CA"/>
        </w:rPr>
        <w:t>Solicitors for the intervener Association des avocats de la défense de Montréal: Réginal Victorin, Montréal; Walid Hijazi, Montréal.</w:t>
      </w:r>
    </w:p>
    <w:p w14:paraId="78040AFA" w14:textId="37DC1235" w:rsidR="006F637B" w:rsidRDefault="00D402EF" w:rsidP="00CF3581">
      <w:pPr>
        <w:pStyle w:val="SCCLawFirm"/>
        <w:spacing w:after="480"/>
      </w:pPr>
      <w:r w:rsidRPr="00DA0977">
        <w:rPr>
          <w:lang w:val="fr-CA"/>
        </w:rPr>
        <w:tab/>
      </w:r>
      <w:r w:rsidRPr="00DA0977">
        <w:t>Solicitor</w:t>
      </w:r>
      <w:r w:rsidR="003C0BA9" w:rsidRPr="00DA0977">
        <w:t>s for the intervener</w:t>
      </w:r>
      <w:r w:rsidR="006071FC" w:rsidRPr="00DA0977">
        <w:t xml:space="preserve"> the</w:t>
      </w:r>
      <w:r w:rsidR="003C0BA9" w:rsidRPr="00DA0977">
        <w:t xml:space="preserve"> Independent Criminal Defence Advocacy Society: Peck and Company, Vancouver.</w:t>
      </w:r>
    </w:p>
    <w:sectPr w:rsidR="006F637B" w:rsidSect="000648CC">
      <w:headerReference w:type="even" r:id="rId13"/>
      <w:headerReference w:type="default" r:id="rId14"/>
      <w:footerReference w:type="even" r:id="rId15"/>
      <w:footerReference w:type="default" r:id="rId16"/>
      <w:headerReference w:type="first" r:id="rId17"/>
      <w:footerReference w:type="first" r:id="rId18"/>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3367E" w14:textId="77777777" w:rsidR="00922CF4" w:rsidRDefault="00922CF4">
      <w:r>
        <w:separator/>
      </w:r>
    </w:p>
  </w:endnote>
  <w:endnote w:type="continuationSeparator" w:id="0">
    <w:p w14:paraId="0A5894E1" w14:textId="77777777" w:rsidR="00922CF4" w:rsidRDefault="00922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4DE78" w14:textId="77777777" w:rsidR="00C62C39" w:rsidRDefault="00C62C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2158C" w14:textId="77777777" w:rsidR="00C62C39" w:rsidRDefault="00C62C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BED09" w14:textId="77777777" w:rsidR="00C62C39" w:rsidRDefault="00C62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DFCAD" w14:textId="77777777" w:rsidR="00922CF4" w:rsidRDefault="00922CF4">
      <w:r>
        <w:separator/>
      </w:r>
    </w:p>
  </w:footnote>
  <w:footnote w:type="continuationSeparator" w:id="0">
    <w:p w14:paraId="62C892F1" w14:textId="77777777" w:rsidR="00922CF4" w:rsidRDefault="00922CF4">
      <w:r>
        <w:continuationSeparator/>
      </w:r>
    </w:p>
  </w:footnote>
  <w:footnote w:id="1">
    <w:p w14:paraId="437348E4" w14:textId="77777777" w:rsidR="00DA0977" w:rsidRDefault="00DA0977" w:rsidP="00DA0977">
      <w:pPr>
        <w:pStyle w:val="FootnoteText"/>
      </w:pPr>
      <w:r>
        <w:rPr>
          <w:rStyle w:val="FootnoteReference"/>
        </w:rPr>
        <w:footnoteRef/>
      </w:r>
      <w:r>
        <w:t xml:space="preserve"> For the purposes of these reasons, the terms “child” and “children” mean persons under the age of 18. References to “underage person”, “young people”, “teenagers”, “minors”, and “adolescents” should all be understood to refer to persons who are children. Where specific statutory provisions distinguish between persons under the age of 16 and persons under the age of 18, this is made clear in the reasons.</w:t>
      </w:r>
    </w:p>
  </w:footnote>
  <w:footnote w:id="2">
    <w:p w14:paraId="38C037D5" w14:textId="77777777" w:rsidR="00DA0977" w:rsidRDefault="00DA0977" w:rsidP="00DA0977">
      <w:pPr>
        <w:pStyle w:val="FootnoteText"/>
      </w:pPr>
      <w:r>
        <w:rPr>
          <w:rStyle w:val="FootnoteReference"/>
        </w:rPr>
        <w:footnoteRef/>
      </w:r>
      <w:r>
        <w:t xml:space="preserve">  As mentioned in </w:t>
      </w:r>
      <w:r w:rsidRPr="004003E6">
        <w:rPr>
          <w:i/>
        </w:rPr>
        <w:t>R. v. Friesen</w:t>
      </w:r>
      <w:r>
        <w:t>, 2020 SCC 9, [2020] 1 S.C.R. 424, in addition to various sexual offences, the child luring provision also applies to the trafficking of a person under the age of 18 years (</w:t>
      </w:r>
      <w:r w:rsidRPr="00074DBB">
        <w:rPr>
          <w:i/>
        </w:rPr>
        <w:t>Criminal Code</w:t>
      </w:r>
      <w:r>
        <w:t>, s. 279.011), receiving a material benefit from the trafficking of a person under the age of 18 years (s. 279.02(2)), and withholding or destroying documents for the purpose of committing or facilitating the trafficking of a person under the age of 18 years (s. 279.03(2)).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34200" w14:textId="77777777" w:rsidR="00C62C39" w:rsidRDefault="00C62C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BAD0F" w14:textId="77777777" w:rsidR="00450352" w:rsidRPr="00EE2F28" w:rsidRDefault="00450352" w:rsidP="00EE2F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EF1DB" w14:textId="77777777" w:rsidR="00C62C39" w:rsidRDefault="00C62C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2D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440FA0"/>
    <w:multiLevelType w:val="multilevel"/>
    <w:tmpl w:val="0C207154"/>
    <w:lvl w:ilvl="0">
      <w:start w:val="3"/>
      <w:numFmt w:val="upperRoman"/>
      <w:lvlText w:val="%1."/>
      <w:lvlJc w:val="left"/>
      <w:pPr>
        <w:tabs>
          <w:tab w:val="num" w:pos="576"/>
        </w:tabs>
        <w:ind w:left="576" w:hanging="576"/>
      </w:pPr>
      <w:rPr>
        <w:rFonts w:hint="default"/>
        <w:sz w:val="24"/>
      </w:rPr>
    </w:lvl>
    <w:lvl w:ilvl="1">
      <w:start w:val="1"/>
      <w:numFmt w:val="upperLetter"/>
      <w:lvlText w:val="%2."/>
      <w:lvlJc w:val="left"/>
      <w:pPr>
        <w:tabs>
          <w:tab w:val="num" w:pos="576"/>
        </w:tabs>
        <w:ind w:left="576" w:hanging="576"/>
      </w:pPr>
      <w:rPr>
        <w:rFonts w:ascii="Times New Roman" w:hAnsi="Times New Roman" w:hint="default"/>
        <w:b w:val="0"/>
        <w:i w:val="0"/>
        <w:sz w:val="24"/>
      </w:rPr>
    </w:lvl>
    <w:lvl w:ilvl="2">
      <w:start w:val="2"/>
      <w:numFmt w:val="decimal"/>
      <w:lvlText w:val="(%3)"/>
      <w:lvlJc w:val="left"/>
      <w:pPr>
        <w:tabs>
          <w:tab w:val="num" w:pos="1152"/>
        </w:tabs>
        <w:ind w:left="1152" w:hanging="576"/>
      </w:pPr>
      <w:rPr>
        <w:rFonts w:ascii="Times New Roman" w:hAnsi="Times New Roman" w:hint="default"/>
        <w:b w:val="0"/>
        <w:i w:val="0"/>
        <w:sz w:val="24"/>
      </w:rPr>
    </w:lvl>
    <w:lvl w:ilvl="3">
      <w:start w:val="9"/>
      <w:numFmt w:val="lowerLetter"/>
      <w:lvlText w:val="(%4)"/>
      <w:lvlJc w:val="left"/>
      <w:pPr>
        <w:tabs>
          <w:tab w:val="num" w:pos="1152"/>
        </w:tabs>
        <w:ind w:left="1152" w:hanging="576"/>
      </w:pPr>
      <w:rPr>
        <w:rFonts w:hint="default"/>
        <w:b w:val="0"/>
        <w:i w:val="0"/>
      </w:rPr>
    </w:lvl>
    <w:lvl w:ilvl="4">
      <w:start w:val="1"/>
      <w:numFmt w:val="lowerRoman"/>
      <w:lvlText w:val="(%5)"/>
      <w:lvlJc w:val="left"/>
      <w:pPr>
        <w:tabs>
          <w:tab w:val="num" w:pos="1728"/>
        </w:tabs>
        <w:ind w:left="1728" w:hanging="576"/>
      </w:pPr>
      <w:rPr>
        <w:rFonts w:hint="default"/>
      </w:rPr>
    </w:lvl>
    <w:lvl w:ilvl="5">
      <w:start w:val="1"/>
      <w:numFmt w:val="decimal"/>
      <w:lvlText w:val="%6."/>
      <w:lvlJc w:val="left"/>
      <w:pPr>
        <w:tabs>
          <w:tab w:val="num" w:pos="1728"/>
        </w:tabs>
        <w:ind w:left="1728" w:hanging="576"/>
      </w:pPr>
      <w:rPr>
        <w:rFonts w:hint="default"/>
        <w:b w:val="0"/>
        <w:i w:val="0"/>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1" w15:restartNumberingAfterBreak="0">
    <w:nsid w:val="07A91B7A"/>
    <w:multiLevelType w:val="hybridMultilevel"/>
    <w:tmpl w:val="A01487C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CEF6AA3"/>
    <w:multiLevelType w:val="hybridMultilevel"/>
    <w:tmpl w:val="8EDAB8CC"/>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17CB6E7A"/>
    <w:multiLevelType w:val="multilevel"/>
    <w:tmpl w:val="0C207154"/>
    <w:lvl w:ilvl="0">
      <w:start w:val="3"/>
      <w:numFmt w:val="upperRoman"/>
      <w:lvlText w:val="%1."/>
      <w:lvlJc w:val="left"/>
      <w:pPr>
        <w:tabs>
          <w:tab w:val="num" w:pos="576"/>
        </w:tabs>
        <w:ind w:left="576" w:hanging="576"/>
      </w:pPr>
      <w:rPr>
        <w:rFonts w:hint="default"/>
        <w:sz w:val="24"/>
      </w:rPr>
    </w:lvl>
    <w:lvl w:ilvl="1">
      <w:start w:val="1"/>
      <w:numFmt w:val="upperLetter"/>
      <w:lvlText w:val="%2."/>
      <w:lvlJc w:val="left"/>
      <w:pPr>
        <w:tabs>
          <w:tab w:val="num" w:pos="576"/>
        </w:tabs>
        <w:ind w:left="576" w:hanging="576"/>
      </w:pPr>
      <w:rPr>
        <w:rFonts w:ascii="Times New Roman" w:hAnsi="Times New Roman" w:hint="default"/>
        <w:b w:val="0"/>
        <w:i w:val="0"/>
        <w:sz w:val="24"/>
      </w:rPr>
    </w:lvl>
    <w:lvl w:ilvl="2">
      <w:start w:val="2"/>
      <w:numFmt w:val="decimal"/>
      <w:lvlText w:val="(%3)"/>
      <w:lvlJc w:val="left"/>
      <w:pPr>
        <w:tabs>
          <w:tab w:val="num" w:pos="1152"/>
        </w:tabs>
        <w:ind w:left="1152" w:hanging="576"/>
      </w:pPr>
      <w:rPr>
        <w:rFonts w:ascii="Times New Roman" w:hAnsi="Times New Roman" w:hint="default"/>
        <w:b w:val="0"/>
        <w:i w:val="0"/>
        <w:sz w:val="24"/>
      </w:rPr>
    </w:lvl>
    <w:lvl w:ilvl="3">
      <w:start w:val="9"/>
      <w:numFmt w:val="lowerLetter"/>
      <w:lvlText w:val="(%4)"/>
      <w:lvlJc w:val="left"/>
      <w:pPr>
        <w:tabs>
          <w:tab w:val="num" w:pos="1152"/>
        </w:tabs>
        <w:ind w:left="1152" w:hanging="576"/>
      </w:pPr>
      <w:rPr>
        <w:rFonts w:hint="default"/>
        <w:b w:val="0"/>
        <w:i w:val="0"/>
      </w:rPr>
    </w:lvl>
    <w:lvl w:ilvl="4">
      <w:start w:val="1"/>
      <w:numFmt w:val="lowerRoman"/>
      <w:lvlText w:val="(%5)"/>
      <w:lvlJc w:val="left"/>
      <w:pPr>
        <w:tabs>
          <w:tab w:val="num" w:pos="1728"/>
        </w:tabs>
        <w:ind w:left="1728" w:hanging="576"/>
      </w:pPr>
      <w:rPr>
        <w:rFonts w:hint="default"/>
      </w:rPr>
    </w:lvl>
    <w:lvl w:ilvl="5">
      <w:start w:val="1"/>
      <w:numFmt w:val="decimal"/>
      <w:lvlText w:val="%6."/>
      <w:lvlJc w:val="left"/>
      <w:pPr>
        <w:tabs>
          <w:tab w:val="num" w:pos="1728"/>
        </w:tabs>
        <w:ind w:left="1728" w:hanging="576"/>
      </w:pPr>
      <w:rPr>
        <w:rFonts w:hint="default"/>
        <w:b w:val="0"/>
        <w:i w:val="0"/>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5" w15:restartNumberingAfterBreak="0">
    <w:nsid w:val="1A4911FC"/>
    <w:multiLevelType w:val="hybridMultilevel"/>
    <w:tmpl w:val="4B2C33DA"/>
    <w:lvl w:ilvl="0" w:tplc="ACFCAD3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1A40C05"/>
    <w:multiLevelType w:val="multilevel"/>
    <w:tmpl w:val="BF42D392"/>
    <w:lvl w:ilvl="0">
      <w:start w:val="1"/>
      <w:numFmt w:val="bullet"/>
      <w:lvlText w:val=""/>
      <w:lvlJc w:val="left"/>
      <w:pPr>
        <w:tabs>
          <w:tab w:val="num" w:pos="1152"/>
        </w:tabs>
        <w:ind w:left="0" w:firstLine="0"/>
      </w:pPr>
      <w:rPr>
        <w:rFonts w:ascii="Symbol" w:hAnsi="Symbol" w:hint="default"/>
        <w:b w:val="0"/>
        <w:strike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481797E"/>
    <w:multiLevelType w:val="hybridMultilevel"/>
    <w:tmpl w:val="C124F46E"/>
    <w:lvl w:ilvl="0" w:tplc="87A67A64">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9"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21" w15:restartNumberingAfterBreak="0">
    <w:nsid w:val="4AAD05E1"/>
    <w:multiLevelType w:val="hybridMultilevel"/>
    <w:tmpl w:val="592A12C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24"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D2C5C66"/>
    <w:multiLevelType w:val="hybridMultilevel"/>
    <w:tmpl w:val="024C5C06"/>
    <w:lvl w:ilvl="0" w:tplc="10090001">
      <w:start w:val="1"/>
      <w:numFmt w:val="bullet"/>
      <w:lvlText w:val=""/>
      <w:lvlJc w:val="left"/>
      <w:pPr>
        <w:ind w:left="1886" w:hanging="360"/>
      </w:pPr>
      <w:rPr>
        <w:rFonts w:ascii="Symbol" w:hAnsi="Symbol" w:hint="default"/>
      </w:rPr>
    </w:lvl>
    <w:lvl w:ilvl="1" w:tplc="10090003" w:tentative="1">
      <w:start w:val="1"/>
      <w:numFmt w:val="bullet"/>
      <w:lvlText w:val="o"/>
      <w:lvlJc w:val="left"/>
      <w:pPr>
        <w:ind w:left="2606" w:hanging="360"/>
      </w:pPr>
      <w:rPr>
        <w:rFonts w:ascii="Courier New" w:hAnsi="Courier New" w:cs="Courier New" w:hint="default"/>
      </w:rPr>
    </w:lvl>
    <w:lvl w:ilvl="2" w:tplc="10090005" w:tentative="1">
      <w:start w:val="1"/>
      <w:numFmt w:val="bullet"/>
      <w:lvlText w:val=""/>
      <w:lvlJc w:val="left"/>
      <w:pPr>
        <w:ind w:left="3326" w:hanging="360"/>
      </w:pPr>
      <w:rPr>
        <w:rFonts w:ascii="Wingdings" w:hAnsi="Wingdings" w:hint="default"/>
      </w:rPr>
    </w:lvl>
    <w:lvl w:ilvl="3" w:tplc="10090001" w:tentative="1">
      <w:start w:val="1"/>
      <w:numFmt w:val="bullet"/>
      <w:lvlText w:val=""/>
      <w:lvlJc w:val="left"/>
      <w:pPr>
        <w:ind w:left="4046" w:hanging="360"/>
      </w:pPr>
      <w:rPr>
        <w:rFonts w:ascii="Symbol" w:hAnsi="Symbol" w:hint="default"/>
      </w:rPr>
    </w:lvl>
    <w:lvl w:ilvl="4" w:tplc="10090003" w:tentative="1">
      <w:start w:val="1"/>
      <w:numFmt w:val="bullet"/>
      <w:lvlText w:val="o"/>
      <w:lvlJc w:val="left"/>
      <w:pPr>
        <w:ind w:left="4766" w:hanging="360"/>
      </w:pPr>
      <w:rPr>
        <w:rFonts w:ascii="Courier New" w:hAnsi="Courier New" w:cs="Courier New" w:hint="default"/>
      </w:rPr>
    </w:lvl>
    <w:lvl w:ilvl="5" w:tplc="10090005" w:tentative="1">
      <w:start w:val="1"/>
      <w:numFmt w:val="bullet"/>
      <w:lvlText w:val=""/>
      <w:lvlJc w:val="left"/>
      <w:pPr>
        <w:ind w:left="5486" w:hanging="360"/>
      </w:pPr>
      <w:rPr>
        <w:rFonts w:ascii="Wingdings" w:hAnsi="Wingdings" w:hint="default"/>
      </w:rPr>
    </w:lvl>
    <w:lvl w:ilvl="6" w:tplc="10090001" w:tentative="1">
      <w:start w:val="1"/>
      <w:numFmt w:val="bullet"/>
      <w:lvlText w:val=""/>
      <w:lvlJc w:val="left"/>
      <w:pPr>
        <w:ind w:left="6206" w:hanging="360"/>
      </w:pPr>
      <w:rPr>
        <w:rFonts w:ascii="Symbol" w:hAnsi="Symbol" w:hint="default"/>
      </w:rPr>
    </w:lvl>
    <w:lvl w:ilvl="7" w:tplc="10090003" w:tentative="1">
      <w:start w:val="1"/>
      <w:numFmt w:val="bullet"/>
      <w:lvlText w:val="o"/>
      <w:lvlJc w:val="left"/>
      <w:pPr>
        <w:ind w:left="6926" w:hanging="360"/>
      </w:pPr>
      <w:rPr>
        <w:rFonts w:ascii="Courier New" w:hAnsi="Courier New" w:cs="Courier New" w:hint="default"/>
      </w:rPr>
    </w:lvl>
    <w:lvl w:ilvl="8" w:tplc="10090005" w:tentative="1">
      <w:start w:val="1"/>
      <w:numFmt w:val="bullet"/>
      <w:lvlText w:val=""/>
      <w:lvlJc w:val="left"/>
      <w:pPr>
        <w:ind w:left="7646" w:hanging="360"/>
      </w:pPr>
      <w:rPr>
        <w:rFonts w:ascii="Wingdings" w:hAnsi="Wingdings" w:hint="default"/>
      </w:rPr>
    </w:lvl>
  </w:abstractNum>
  <w:abstractNum w:abstractNumId="26" w15:restartNumberingAfterBreak="0">
    <w:nsid w:val="54283EE8"/>
    <w:multiLevelType w:val="multilevel"/>
    <w:tmpl w:val="88F2340E"/>
    <w:lvl w:ilvl="0">
      <w:start w:val="1"/>
      <w:numFmt w:val="decimal"/>
      <w:pStyle w:val="ParaNoNdepar-AltN"/>
      <w:lvlText w:val="[%1]"/>
      <w:lvlJc w:val="left"/>
      <w:pPr>
        <w:tabs>
          <w:tab w:val="num" w:pos="7107"/>
        </w:tabs>
        <w:ind w:left="5955" w:firstLine="0"/>
      </w:pPr>
      <w:rPr>
        <w:rFonts w:ascii="Times New Roman" w:hAnsi="Times New Roman" w:hint="default"/>
        <w:b w:val="0"/>
        <w:i w:val="0"/>
        <w:strike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strik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6FD6A29"/>
    <w:multiLevelType w:val="hybridMultilevel"/>
    <w:tmpl w:val="972ACB44"/>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28"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A162D53"/>
    <w:multiLevelType w:val="hybridMultilevel"/>
    <w:tmpl w:val="EEEC7AD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C180020"/>
    <w:multiLevelType w:val="hybridMultilevel"/>
    <w:tmpl w:val="CE588968"/>
    <w:lvl w:ilvl="0" w:tplc="8104E250">
      <w:start w:val="1"/>
      <w:numFmt w:val="bullet"/>
      <w:lvlText w:val=""/>
      <w:lvlJc w:val="left"/>
      <w:pPr>
        <w:tabs>
          <w:tab w:val="num" w:pos="1512"/>
        </w:tabs>
        <w:ind w:left="1512" w:hanging="360"/>
      </w:pPr>
      <w:rPr>
        <w:rFonts w:ascii="Symbol" w:hAnsi="Symbol" w:hint="default"/>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16cid:durableId="445392812">
    <w:abstractNumId w:val="26"/>
  </w:num>
  <w:num w:numId="2" w16cid:durableId="1709915288">
    <w:abstractNumId w:val="20"/>
  </w:num>
  <w:num w:numId="3" w16cid:durableId="432824351">
    <w:abstractNumId w:val="20"/>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trike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color w:val="auto"/>
          <w:sz w:val="24"/>
        </w:rPr>
      </w:lvl>
    </w:lvlOverride>
    <w:lvlOverride w:ilvl="3">
      <w:lvl w:ilvl="3">
        <w:start w:val="1"/>
        <w:numFmt w:val="lowerLetter"/>
        <w:pStyle w:val="Title4LevelTitre4Niveau"/>
        <w:lvlText w:val="(%4)"/>
        <w:lvlJc w:val="left"/>
        <w:pPr>
          <w:tabs>
            <w:tab w:val="num" w:pos="1296"/>
          </w:tabs>
          <w:ind w:left="1296" w:hanging="576"/>
        </w:pPr>
        <w:rPr>
          <w:rFonts w:hint="default"/>
          <w:b w:val="0"/>
          <w:i w:val="0"/>
          <w:strike w:val="0"/>
          <w:color w:val="auto"/>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4" w16cid:durableId="1127969594">
    <w:abstractNumId w:val="20"/>
    <w:lvlOverride w:ilvl="0">
      <w:lvl w:ilvl="0">
        <w:start w:val="1"/>
        <w:numFmt w:val="upperRoman"/>
        <w:pStyle w:val="Title1LevelTitre1Niveau-AltL"/>
        <w:lvlText w:val="%1."/>
        <w:lvlJc w:val="left"/>
        <w:pPr>
          <w:tabs>
            <w:tab w:val="num" w:pos="576"/>
          </w:tabs>
          <w:ind w:left="576" w:hanging="576"/>
        </w:pPr>
        <w:rPr>
          <w:rFonts w:hint="default"/>
          <w:b w:val="0"/>
          <w:strike w:val="0"/>
          <w:color w:val="auto"/>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trike/>
          <w:color w:val="auto"/>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206"/>
          </w:tabs>
          <w:ind w:left="1206"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972" w:hanging="432"/>
        </w:pPr>
        <w:rPr>
          <w:rFonts w:hint="default"/>
        </w:rPr>
      </w:lvl>
    </w:lvlOverride>
    <w:lvlOverride w:ilvl="8">
      <w:lvl w:ilvl="8">
        <w:start w:val="1"/>
        <w:numFmt w:val="lowerRoman"/>
        <w:lvlText w:val="%9."/>
        <w:lvlJc w:val="left"/>
        <w:pPr>
          <w:ind w:left="9072" w:hanging="432"/>
        </w:pPr>
        <w:rPr>
          <w:rFonts w:hint="default"/>
        </w:rPr>
      </w:lvl>
    </w:lvlOverride>
  </w:num>
  <w:num w:numId="5" w16cid:durableId="58407709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283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741008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510422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07673285">
    <w:abstractNumId w:val="28"/>
  </w:num>
  <w:num w:numId="10" w16cid:durableId="238829200">
    <w:abstractNumId w:val="12"/>
  </w:num>
  <w:num w:numId="11" w16cid:durableId="145367430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26576330">
    <w:abstractNumId w:val="16"/>
  </w:num>
  <w:num w:numId="13" w16cid:durableId="977492348">
    <w:abstractNumId w:val="23"/>
  </w:num>
  <w:num w:numId="14" w16cid:durableId="1821270346">
    <w:abstractNumId w:val="24"/>
  </w:num>
  <w:num w:numId="15" w16cid:durableId="1779711146">
    <w:abstractNumId w:val="22"/>
  </w:num>
  <w:num w:numId="16" w16cid:durableId="1043411237">
    <w:abstractNumId w:val="9"/>
  </w:num>
  <w:num w:numId="17" w16cid:durableId="298151582">
    <w:abstractNumId w:val="7"/>
  </w:num>
  <w:num w:numId="18" w16cid:durableId="1491410459">
    <w:abstractNumId w:val="6"/>
  </w:num>
  <w:num w:numId="19" w16cid:durableId="1956323519">
    <w:abstractNumId w:val="5"/>
  </w:num>
  <w:num w:numId="20" w16cid:durableId="451291975">
    <w:abstractNumId w:val="4"/>
  </w:num>
  <w:num w:numId="21" w16cid:durableId="42565611">
    <w:abstractNumId w:val="8"/>
  </w:num>
  <w:num w:numId="22" w16cid:durableId="817378816">
    <w:abstractNumId w:val="3"/>
  </w:num>
  <w:num w:numId="23" w16cid:durableId="1509053182">
    <w:abstractNumId w:val="2"/>
  </w:num>
  <w:num w:numId="24" w16cid:durableId="1600866835">
    <w:abstractNumId w:val="1"/>
  </w:num>
  <w:num w:numId="25" w16cid:durableId="1422332485">
    <w:abstractNumId w:val="0"/>
  </w:num>
  <w:num w:numId="26" w16cid:durableId="186910001">
    <w:abstractNumId w:val="19"/>
  </w:num>
  <w:num w:numId="27" w16cid:durableId="1952126996">
    <w:abstractNumId w:val="20"/>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trike w:val="0"/>
          <w:color w:val="auto"/>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206"/>
          </w:tabs>
          <w:ind w:left="1206"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972" w:hanging="432"/>
        </w:pPr>
        <w:rPr>
          <w:rFonts w:hint="default"/>
        </w:rPr>
      </w:lvl>
    </w:lvlOverride>
    <w:lvlOverride w:ilvl="8">
      <w:lvl w:ilvl="8">
        <w:start w:val="1"/>
        <w:numFmt w:val="lowerRoman"/>
        <w:lvlText w:val="%9."/>
        <w:lvlJc w:val="left"/>
        <w:pPr>
          <w:ind w:left="9072" w:hanging="432"/>
        </w:pPr>
        <w:rPr>
          <w:rFonts w:hint="default"/>
        </w:rPr>
      </w:lvl>
    </w:lvlOverride>
  </w:num>
  <w:num w:numId="28" w16cid:durableId="1010303410">
    <w:abstractNumId w:val="15"/>
  </w:num>
  <w:num w:numId="29" w16cid:durableId="92828707">
    <w:abstractNumId w:val="20"/>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30" w16cid:durableId="1755199053">
    <w:abstractNumId w:val="17"/>
  </w:num>
  <w:num w:numId="31" w16cid:durableId="1956137089">
    <w:abstractNumId w:val="10"/>
  </w:num>
  <w:num w:numId="32" w16cid:durableId="1476951649">
    <w:abstractNumId w:val="14"/>
  </w:num>
  <w:num w:numId="33" w16cid:durableId="1213350166">
    <w:abstractNumId w:val="29"/>
  </w:num>
  <w:num w:numId="34" w16cid:durableId="1411777017">
    <w:abstractNumId w:val="21"/>
  </w:num>
  <w:num w:numId="35" w16cid:durableId="1284924031">
    <w:abstractNumId w:val="20"/>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36" w16cid:durableId="1665818517">
    <w:abstractNumId w:val="20"/>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37" w16cid:durableId="157690892">
    <w:abstractNumId w:val="20"/>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38" w16cid:durableId="2039773092">
    <w:abstractNumId w:val="25"/>
  </w:num>
  <w:num w:numId="39" w16cid:durableId="248540247">
    <w:abstractNumId w:val="20"/>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40" w16cid:durableId="15811951">
    <w:abstractNumId w:val="20"/>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41" w16cid:durableId="85923667">
    <w:abstractNumId w:val="20"/>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42" w16cid:durableId="2084178293">
    <w:abstractNumId w:val="20"/>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43" w16cid:durableId="2147114684">
    <w:abstractNumId w:val="18"/>
  </w:num>
  <w:num w:numId="44" w16cid:durableId="322046690">
    <w:abstractNumId w:val="30"/>
  </w:num>
  <w:num w:numId="45" w16cid:durableId="1100611699">
    <w:abstractNumId w:val="13"/>
  </w:num>
  <w:num w:numId="46" w16cid:durableId="525631173">
    <w:abstractNumId w:val="11"/>
  </w:num>
  <w:num w:numId="47" w16cid:durableId="1049647231">
    <w:abstractNumId w:val="27"/>
  </w:num>
  <w:num w:numId="48" w16cid:durableId="73086675">
    <w:abstractNumId w:val="20"/>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14C"/>
    <w:rsid w:val="00000ED4"/>
    <w:rsid w:val="000028B8"/>
    <w:rsid w:val="00006D5F"/>
    <w:rsid w:val="00023946"/>
    <w:rsid w:val="000248EF"/>
    <w:rsid w:val="00025198"/>
    <w:rsid w:val="00037392"/>
    <w:rsid w:val="00042BAD"/>
    <w:rsid w:val="000443E6"/>
    <w:rsid w:val="00050F48"/>
    <w:rsid w:val="000578A3"/>
    <w:rsid w:val="00061B8A"/>
    <w:rsid w:val="000648CC"/>
    <w:rsid w:val="00076FAB"/>
    <w:rsid w:val="00080856"/>
    <w:rsid w:val="00092CC7"/>
    <w:rsid w:val="000A5715"/>
    <w:rsid w:val="000A612D"/>
    <w:rsid w:val="000B1076"/>
    <w:rsid w:val="000B2599"/>
    <w:rsid w:val="000C2AC8"/>
    <w:rsid w:val="000C480F"/>
    <w:rsid w:val="000C59B8"/>
    <w:rsid w:val="000C62B2"/>
    <w:rsid w:val="000C6466"/>
    <w:rsid w:val="000C6AF0"/>
    <w:rsid w:val="000D5727"/>
    <w:rsid w:val="000D6496"/>
    <w:rsid w:val="000F089D"/>
    <w:rsid w:val="000F5524"/>
    <w:rsid w:val="00104F33"/>
    <w:rsid w:val="001072D0"/>
    <w:rsid w:val="00111D7C"/>
    <w:rsid w:val="00111DE2"/>
    <w:rsid w:val="00115D7B"/>
    <w:rsid w:val="00116B38"/>
    <w:rsid w:val="00120140"/>
    <w:rsid w:val="001302AF"/>
    <w:rsid w:val="00135406"/>
    <w:rsid w:val="00135972"/>
    <w:rsid w:val="001405BD"/>
    <w:rsid w:val="00140964"/>
    <w:rsid w:val="00140ADF"/>
    <w:rsid w:val="001426A9"/>
    <w:rsid w:val="00154D7C"/>
    <w:rsid w:val="001570B0"/>
    <w:rsid w:val="0015752C"/>
    <w:rsid w:val="00157737"/>
    <w:rsid w:val="00160110"/>
    <w:rsid w:val="00162D2F"/>
    <w:rsid w:val="00165277"/>
    <w:rsid w:val="00167E46"/>
    <w:rsid w:val="00170592"/>
    <w:rsid w:val="0018315F"/>
    <w:rsid w:val="00186351"/>
    <w:rsid w:val="001944D4"/>
    <w:rsid w:val="00195D83"/>
    <w:rsid w:val="001A00C1"/>
    <w:rsid w:val="001A254D"/>
    <w:rsid w:val="001B33E0"/>
    <w:rsid w:val="001B4573"/>
    <w:rsid w:val="001B48C7"/>
    <w:rsid w:val="001C2954"/>
    <w:rsid w:val="001C3B63"/>
    <w:rsid w:val="001C779F"/>
    <w:rsid w:val="001D2AC1"/>
    <w:rsid w:val="001D4E88"/>
    <w:rsid w:val="001D5047"/>
    <w:rsid w:val="001E23F1"/>
    <w:rsid w:val="001F0724"/>
    <w:rsid w:val="001F12F7"/>
    <w:rsid w:val="001F2431"/>
    <w:rsid w:val="001F42E3"/>
    <w:rsid w:val="001F634D"/>
    <w:rsid w:val="001F6632"/>
    <w:rsid w:val="00201EF3"/>
    <w:rsid w:val="00205544"/>
    <w:rsid w:val="002058EA"/>
    <w:rsid w:val="002125C1"/>
    <w:rsid w:val="00220FC2"/>
    <w:rsid w:val="00221DB1"/>
    <w:rsid w:val="002222F4"/>
    <w:rsid w:val="00223A21"/>
    <w:rsid w:val="00224FC0"/>
    <w:rsid w:val="002253EB"/>
    <w:rsid w:val="00225EA4"/>
    <w:rsid w:val="00226EAF"/>
    <w:rsid w:val="00231F3A"/>
    <w:rsid w:val="002332E1"/>
    <w:rsid w:val="00234199"/>
    <w:rsid w:val="00236940"/>
    <w:rsid w:val="002406EE"/>
    <w:rsid w:val="00243EC8"/>
    <w:rsid w:val="00246BC3"/>
    <w:rsid w:val="002471F6"/>
    <w:rsid w:val="002478AD"/>
    <w:rsid w:val="00252103"/>
    <w:rsid w:val="002618BA"/>
    <w:rsid w:val="00270D93"/>
    <w:rsid w:val="002745CC"/>
    <w:rsid w:val="00276635"/>
    <w:rsid w:val="002804CA"/>
    <w:rsid w:val="00284071"/>
    <w:rsid w:val="00292CAC"/>
    <w:rsid w:val="002B2862"/>
    <w:rsid w:val="002B4424"/>
    <w:rsid w:val="002B7924"/>
    <w:rsid w:val="002C6FAB"/>
    <w:rsid w:val="002D0015"/>
    <w:rsid w:val="002D0F72"/>
    <w:rsid w:val="002D1288"/>
    <w:rsid w:val="002D23C0"/>
    <w:rsid w:val="002D28C3"/>
    <w:rsid w:val="002D39A4"/>
    <w:rsid w:val="002D3D36"/>
    <w:rsid w:val="002D6933"/>
    <w:rsid w:val="002E560A"/>
    <w:rsid w:val="002E6705"/>
    <w:rsid w:val="002E76B6"/>
    <w:rsid w:val="002F0B6D"/>
    <w:rsid w:val="002F48C2"/>
    <w:rsid w:val="00301D08"/>
    <w:rsid w:val="0030329A"/>
    <w:rsid w:val="00303476"/>
    <w:rsid w:val="003050D5"/>
    <w:rsid w:val="0031086F"/>
    <w:rsid w:val="0031147E"/>
    <w:rsid w:val="00311E6F"/>
    <w:rsid w:val="0031414C"/>
    <w:rsid w:val="00314B1C"/>
    <w:rsid w:val="00314E01"/>
    <w:rsid w:val="00315C0C"/>
    <w:rsid w:val="003167B6"/>
    <w:rsid w:val="0032089D"/>
    <w:rsid w:val="003310DE"/>
    <w:rsid w:val="00331B6C"/>
    <w:rsid w:val="003323B0"/>
    <w:rsid w:val="0034059D"/>
    <w:rsid w:val="00346F31"/>
    <w:rsid w:val="0035169A"/>
    <w:rsid w:val="00351997"/>
    <w:rsid w:val="0035259D"/>
    <w:rsid w:val="00352E57"/>
    <w:rsid w:val="00355E3A"/>
    <w:rsid w:val="00361407"/>
    <w:rsid w:val="00362111"/>
    <w:rsid w:val="00362383"/>
    <w:rsid w:val="00364B18"/>
    <w:rsid w:val="00372407"/>
    <w:rsid w:val="0037242D"/>
    <w:rsid w:val="00375104"/>
    <w:rsid w:val="00393E25"/>
    <w:rsid w:val="003948B5"/>
    <w:rsid w:val="003975EB"/>
    <w:rsid w:val="003A125D"/>
    <w:rsid w:val="003A1376"/>
    <w:rsid w:val="003A4C70"/>
    <w:rsid w:val="003A6062"/>
    <w:rsid w:val="003B215F"/>
    <w:rsid w:val="003B6475"/>
    <w:rsid w:val="003C0BA9"/>
    <w:rsid w:val="003C5A5E"/>
    <w:rsid w:val="003C799C"/>
    <w:rsid w:val="003D0399"/>
    <w:rsid w:val="003E056F"/>
    <w:rsid w:val="003E1C71"/>
    <w:rsid w:val="003E665A"/>
    <w:rsid w:val="003F327B"/>
    <w:rsid w:val="00402166"/>
    <w:rsid w:val="00406166"/>
    <w:rsid w:val="0040704B"/>
    <w:rsid w:val="00410A55"/>
    <w:rsid w:val="00411300"/>
    <w:rsid w:val="00412168"/>
    <w:rsid w:val="00415417"/>
    <w:rsid w:val="004222C1"/>
    <w:rsid w:val="00422D6D"/>
    <w:rsid w:val="00426659"/>
    <w:rsid w:val="004311E1"/>
    <w:rsid w:val="00441110"/>
    <w:rsid w:val="00450300"/>
    <w:rsid w:val="00450352"/>
    <w:rsid w:val="00454BDB"/>
    <w:rsid w:val="004571AC"/>
    <w:rsid w:val="004600FD"/>
    <w:rsid w:val="00464800"/>
    <w:rsid w:val="00465132"/>
    <w:rsid w:val="00476737"/>
    <w:rsid w:val="00480C90"/>
    <w:rsid w:val="00480CDD"/>
    <w:rsid w:val="0048396F"/>
    <w:rsid w:val="00492E34"/>
    <w:rsid w:val="00493C18"/>
    <w:rsid w:val="00495CB7"/>
    <w:rsid w:val="004A600C"/>
    <w:rsid w:val="004A6118"/>
    <w:rsid w:val="004B25CF"/>
    <w:rsid w:val="004C478D"/>
    <w:rsid w:val="004C7FB7"/>
    <w:rsid w:val="004D0219"/>
    <w:rsid w:val="004D14CF"/>
    <w:rsid w:val="004E0B28"/>
    <w:rsid w:val="004E1907"/>
    <w:rsid w:val="004E2A76"/>
    <w:rsid w:val="004E2C26"/>
    <w:rsid w:val="004E72A2"/>
    <w:rsid w:val="004F36FF"/>
    <w:rsid w:val="004F5862"/>
    <w:rsid w:val="004F7F2E"/>
    <w:rsid w:val="00504EAE"/>
    <w:rsid w:val="005125A8"/>
    <w:rsid w:val="00514372"/>
    <w:rsid w:val="00521AE8"/>
    <w:rsid w:val="00527180"/>
    <w:rsid w:val="0053201C"/>
    <w:rsid w:val="0054201E"/>
    <w:rsid w:val="00555097"/>
    <w:rsid w:val="00555291"/>
    <w:rsid w:val="00557F29"/>
    <w:rsid w:val="00565018"/>
    <w:rsid w:val="00566AD1"/>
    <w:rsid w:val="0056752A"/>
    <w:rsid w:val="00572080"/>
    <w:rsid w:val="00574BC3"/>
    <w:rsid w:val="00583EDE"/>
    <w:rsid w:val="005846E3"/>
    <w:rsid w:val="005857A1"/>
    <w:rsid w:val="005A3745"/>
    <w:rsid w:val="005A51A3"/>
    <w:rsid w:val="005A5506"/>
    <w:rsid w:val="005A6079"/>
    <w:rsid w:val="005B2A61"/>
    <w:rsid w:val="005B3910"/>
    <w:rsid w:val="005B3D94"/>
    <w:rsid w:val="005B4AD6"/>
    <w:rsid w:val="005B5D25"/>
    <w:rsid w:val="005C08A8"/>
    <w:rsid w:val="005D2FA5"/>
    <w:rsid w:val="005E2E51"/>
    <w:rsid w:val="005E4698"/>
    <w:rsid w:val="005E5356"/>
    <w:rsid w:val="005E5C24"/>
    <w:rsid w:val="005F0DBC"/>
    <w:rsid w:val="005F12A3"/>
    <w:rsid w:val="005F1323"/>
    <w:rsid w:val="005F537C"/>
    <w:rsid w:val="006037B0"/>
    <w:rsid w:val="00606F9E"/>
    <w:rsid w:val="006071FC"/>
    <w:rsid w:val="00610539"/>
    <w:rsid w:val="00610795"/>
    <w:rsid w:val="00613969"/>
    <w:rsid w:val="00617B55"/>
    <w:rsid w:val="006217C2"/>
    <w:rsid w:val="006220E0"/>
    <w:rsid w:val="00625071"/>
    <w:rsid w:val="00625C35"/>
    <w:rsid w:val="00626BA9"/>
    <w:rsid w:val="00627542"/>
    <w:rsid w:val="00632395"/>
    <w:rsid w:val="0064150A"/>
    <w:rsid w:val="00652A2E"/>
    <w:rsid w:val="00656313"/>
    <w:rsid w:val="006565F4"/>
    <w:rsid w:val="00657859"/>
    <w:rsid w:val="006602FF"/>
    <w:rsid w:val="00660369"/>
    <w:rsid w:val="00661793"/>
    <w:rsid w:val="00667319"/>
    <w:rsid w:val="0067503A"/>
    <w:rsid w:val="00684D77"/>
    <w:rsid w:val="00684EEA"/>
    <w:rsid w:val="00686A9A"/>
    <w:rsid w:val="0069689B"/>
    <w:rsid w:val="006A1551"/>
    <w:rsid w:val="006A518F"/>
    <w:rsid w:val="006A7039"/>
    <w:rsid w:val="006B5FF5"/>
    <w:rsid w:val="006C374C"/>
    <w:rsid w:val="006D69A9"/>
    <w:rsid w:val="006E5A14"/>
    <w:rsid w:val="006F0D63"/>
    <w:rsid w:val="006F30AF"/>
    <w:rsid w:val="006F3F22"/>
    <w:rsid w:val="006F4E04"/>
    <w:rsid w:val="006F4E71"/>
    <w:rsid w:val="006F637B"/>
    <w:rsid w:val="0070157A"/>
    <w:rsid w:val="00701759"/>
    <w:rsid w:val="00705C15"/>
    <w:rsid w:val="007067B5"/>
    <w:rsid w:val="0071600E"/>
    <w:rsid w:val="007208D1"/>
    <w:rsid w:val="00720E7C"/>
    <w:rsid w:val="007300DD"/>
    <w:rsid w:val="00733410"/>
    <w:rsid w:val="00735CAB"/>
    <w:rsid w:val="00743F51"/>
    <w:rsid w:val="00747288"/>
    <w:rsid w:val="00747DD3"/>
    <w:rsid w:val="0075095D"/>
    <w:rsid w:val="00751A25"/>
    <w:rsid w:val="007549C8"/>
    <w:rsid w:val="00754A0B"/>
    <w:rsid w:val="0075740A"/>
    <w:rsid w:val="00760A25"/>
    <w:rsid w:val="0076106E"/>
    <w:rsid w:val="007611AF"/>
    <w:rsid w:val="007667B9"/>
    <w:rsid w:val="00766D14"/>
    <w:rsid w:val="00766F39"/>
    <w:rsid w:val="00767A0F"/>
    <w:rsid w:val="0077370B"/>
    <w:rsid w:val="00774AA3"/>
    <w:rsid w:val="00776936"/>
    <w:rsid w:val="00783949"/>
    <w:rsid w:val="0078733B"/>
    <w:rsid w:val="007A05F6"/>
    <w:rsid w:val="007A3A44"/>
    <w:rsid w:val="007B3984"/>
    <w:rsid w:val="007B6F4A"/>
    <w:rsid w:val="007C19C6"/>
    <w:rsid w:val="007C23FB"/>
    <w:rsid w:val="007C377D"/>
    <w:rsid w:val="007E1C47"/>
    <w:rsid w:val="007E337A"/>
    <w:rsid w:val="007E4EED"/>
    <w:rsid w:val="007E5C70"/>
    <w:rsid w:val="007F2FF5"/>
    <w:rsid w:val="007F3F08"/>
    <w:rsid w:val="007F4CCF"/>
    <w:rsid w:val="007F5365"/>
    <w:rsid w:val="007F7C45"/>
    <w:rsid w:val="008004FF"/>
    <w:rsid w:val="00800E68"/>
    <w:rsid w:val="00804CC6"/>
    <w:rsid w:val="008066A0"/>
    <w:rsid w:val="00811392"/>
    <w:rsid w:val="00811EFA"/>
    <w:rsid w:val="00813A96"/>
    <w:rsid w:val="00813D8A"/>
    <w:rsid w:val="00815B2E"/>
    <w:rsid w:val="00817190"/>
    <w:rsid w:val="008172BF"/>
    <w:rsid w:val="00820EE5"/>
    <w:rsid w:val="008260E2"/>
    <w:rsid w:val="008277FE"/>
    <w:rsid w:val="00827DC9"/>
    <w:rsid w:val="0083038F"/>
    <w:rsid w:val="00830C0B"/>
    <w:rsid w:val="00830EA5"/>
    <w:rsid w:val="008322BD"/>
    <w:rsid w:val="00833E0A"/>
    <w:rsid w:val="00834F73"/>
    <w:rsid w:val="00840340"/>
    <w:rsid w:val="0084680E"/>
    <w:rsid w:val="008469C6"/>
    <w:rsid w:val="00846E87"/>
    <w:rsid w:val="00864CF8"/>
    <w:rsid w:val="00872819"/>
    <w:rsid w:val="00873039"/>
    <w:rsid w:val="00874914"/>
    <w:rsid w:val="00877A4B"/>
    <w:rsid w:val="008907A6"/>
    <w:rsid w:val="00891422"/>
    <w:rsid w:val="00892E1A"/>
    <w:rsid w:val="008A03E9"/>
    <w:rsid w:val="008A3F29"/>
    <w:rsid w:val="008A5AB9"/>
    <w:rsid w:val="008B09BA"/>
    <w:rsid w:val="008B3FFE"/>
    <w:rsid w:val="008B660A"/>
    <w:rsid w:val="008B76A9"/>
    <w:rsid w:val="008B7832"/>
    <w:rsid w:val="008C01DA"/>
    <w:rsid w:val="008C614B"/>
    <w:rsid w:val="008D13A3"/>
    <w:rsid w:val="008D5AB4"/>
    <w:rsid w:val="008E2004"/>
    <w:rsid w:val="008F5641"/>
    <w:rsid w:val="008F78E9"/>
    <w:rsid w:val="00900E13"/>
    <w:rsid w:val="00904B4F"/>
    <w:rsid w:val="00905FE2"/>
    <w:rsid w:val="00911989"/>
    <w:rsid w:val="00914A90"/>
    <w:rsid w:val="00915223"/>
    <w:rsid w:val="00916E03"/>
    <w:rsid w:val="009179F9"/>
    <w:rsid w:val="00921261"/>
    <w:rsid w:val="00922CF4"/>
    <w:rsid w:val="009241A3"/>
    <w:rsid w:val="00933E5E"/>
    <w:rsid w:val="00934016"/>
    <w:rsid w:val="00935218"/>
    <w:rsid w:val="0093569B"/>
    <w:rsid w:val="009403F3"/>
    <w:rsid w:val="009470CD"/>
    <w:rsid w:val="00947D28"/>
    <w:rsid w:val="00954FDD"/>
    <w:rsid w:val="009555B7"/>
    <w:rsid w:val="009567AA"/>
    <w:rsid w:val="00967374"/>
    <w:rsid w:val="0097009E"/>
    <w:rsid w:val="009772CD"/>
    <w:rsid w:val="009775C4"/>
    <w:rsid w:val="009870AD"/>
    <w:rsid w:val="009A0523"/>
    <w:rsid w:val="009A343A"/>
    <w:rsid w:val="009B1676"/>
    <w:rsid w:val="009B2F23"/>
    <w:rsid w:val="009B34EA"/>
    <w:rsid w:val="009B57B3"/>
    <w:rsid w:val="009C5B92"/>
    <w:rsid w:val="009D2920"/>
    <w:rsid w:val="009D4996"/>
    <w:rsid w:val="009D5AEB"/>
    <w:rsid w:val="009E34CF"/>
    <w:rsid w:val="009F0B5F"/>
    <w:rsid w:val="009F0BA5"/>
    <w:rsid w:val="009F0E33"/>
    <w:rsid w:val="009F10EC"/>
    <w:rsid w:val="009F1DB6"/>
    <w:rsid w:val="009F4F1C"/>
    <w:rsid w:val="009F51CD"/>
    <w:rsid w:val="00A030CE"/>
    <w:rsid w:val="00A04590"/>
    <w:rsid w:val="00A06A16"/>
    <w:rsid w:val="00A12DFA"/>
    <w:rsid w:val="00A149DF"/>
    <w:rsid w:val="00A1755C"/>
    <w:rsid w:val="00A21B90"/>
    <w:rsid w:val="00A26D92"/>
    <w:rsid w:val="00A26FCE"/>
    <w:rsid w:val="00A33123"/>
    <w:rsid w:val="00A35C9E"/>
    <w:rsid w:val="00A41805"/>
    <w:rsid w:val="00A42DCD"/>
    <w:rsid w:val="00A456B2"/>
    <w:rsid w:val="00A51A1A"/>
    <w:rsid w:val="00A52AFB"/>
    <w:rsid w:val="00A52CB2"/>
    <w:rsid w:val="00A548CB"/>
    <w:rsid w:val="00A5521C"/>
    <w:rsid w:val="00A643E7"/>
    <w:rsid w:val="00A704E2"/>
    <w:rsid w:val="00A73C38"/>
    <w:rsid w:val="00A82DA5"/>
    <w:rsid w:val="00A92C71"/>
    <w:rsid w:val="00A94B3A"/>
    <w:rsid w:val="00AA0C5A"/>
    <w:rsid w:val="00AA5FE2"/>
    <w:rsid w:val="00AB1009"/>
    <w:rsid w:val="00AB670D"/>
    <w:rsid w:val="00AB6B9C"/>
    <w:rsid w:val="00AC384C"/>
    <w:rsid w:val="00AD69EF"/>
    <w:rsid w:val="00AE2870"/>
    <w:rsid w:val="00AE4535"/>
    <w:rsid w:val="00AE5774"/>
    <w:rsid w:val="00AF03C5"/>
    <w:rsid w:val="00AF3171"/>
    <w:rsid w:val="00B00048"/>
    <w:rsid w:val="00B000D8"/>
    <w:rsid w:val="00B00F75"/>
    <w:rsid w:val="00B145B6"/>
    <w:rsid w:val="00B279EB"/>
    <w:rsid w:val="00B31FBE"/>
    <w:rsid w:val="00B34E2D"/>
    <w:rsid w:val="00B421FD"/>
    <w:rsid w:val="00B4538A"/>
    <w:rsid w:val="00B4722A"/>
    <w:rsid w:val="00B50C81"/>
    <w:rsid w:val="00B5150E"/>
    <w:rsid w:val="00B536AB"/>
    <w:rsid w:val="00B557F8"/>
    <w:rsid w:val="00B579C2"/>
    <w:rsid w:val="00B60194"/>
    <w:rsid w:val="00B6089E"/>
    <w:rsid w:val="00B6319F"/>
    <w:rsid w:val="00B668E8"/>
    <w:rsid w:val="00B7407E"/>
    <w:rsid w:val="00B778E5"/>
    <w:rsid w:val="00B815FC"/>
    <w:rsid w:val="00B819F4"/>
    <w:rsid w:val="00B92767"/>
    <w:rsid w:val="00B93FBC"/>
    <w:rsid w:val="00BA0559"/>
    <w:rsid w:val="00BA7DA0"/>
    <w:rsid w:val="00BB0A5A"/>
    <w:rsid w:val="00BB0B41"/>
    <w:rsid w:val="00BB280B"/>
    <w:rsid w:val="00BB2EE4"/>
    <w:rsid w:val="00BC16EC"/>
    <w:rsid w:val="00BC2108"/>
    <w:rsid w:val="00BC49D8"/>
    <w:rsid w:val="00BC7FB1"/>
    <w:rsid w:val="00BD0E9E"/>
    <w:rsid w:val="00BD1BEC"/>
    <w:rsid w:val="00BD32FF"/>
    <w:rsid w:val="00BE2F01"/>
    <w:rsid w:val="00BF057B"/>
    <w:rsid w:val="00C02092"/>
    <w:rsid w:val="00C04195"/>
    <w:rsid w:val="00C21D8B"/>
    <w:rsid w:val="00C24D91"/>
    <w:rsid w:val="00C3234A"/>
    <w:rsid w:val="00C35A31"/>
    <w:rsid w:val="00C36762"/>
    <w:rsid w:val="00C4039D"/>
    <w:rsid w:val="00C53C3F"/>
    <w:rsid w:val="00C53F14"/>
    <w:rsid w:val="00C5589D"/>
    <w:rsid w:val="00C600CF"/>
    <w:rsid w:val="00C6084F"/>
    <w:rsid w:val="00C62A66"/>
    <w:rsid w:val="00C62C39"/>
    <w:rsid w:val="00C6511A"/>
    <w:rsid w:val="00C71458"/>
    <w:rsid w:val="00C741E9"/>
    <w:rsid w:val="00C77613"/>
    <w:rsid w:val="00C82212"/>
    <w:rsid w:val="00C828E7"/>
    <w:rsid w:val="00C86719"/>
    <w:rsid w:val="00C86AC2"/>
    <w:rsid w:val="00C8792B"/>
    <w:rsid w:val="00C921DD"/>
    <w:rsid w:val="00C93DA6"/>
    <w:rsid w:val="00CA6391"/>
    <w:rsid w:val="00CB08FF"/>
    <w:rsid w:val="00CB1B37"/>
    <w:rsid w:val="00CC34BD"/>
    <w:rsid w:val="00CC4D3A"/>
    <w:rsid w:val="00CD1439"/>
    <w:rsid w:val="00CD7BCC"/>
    <w:rsid w:val="00CE161A"/>
    <w:rsid w:val="00CE3171"/>
    <w:rsid w:val="00CF0CBA"/>
    <w:rsid w:val="00CF0FC5"/>
    <w:rsid w:val="00CF1601"/>
    <w:rsid w:val="00CF3581"/>
    <w:rsid w:val="00D003BB"/>
    <w:rsid w:val="00D0172F"/>
    <w:rsid w:val="00D068A7"/>
    <w:rsid w:val="00D1331E"/>
    <w:rsid w:val="00D17476"/>
    <w:rsid w:val="00D30BDC"/>
    <w:rsid w:val="00D32086"/>
    <w:rsid w:val="00D34582"/>
    <w:rsid w:val="00D37A3F"/>
    <w:rsid w:val="00D402EF"/>
    <w:rsid w:val="00D418FF"/>
    <w:rsid w:val="00D4431D"/>
    <w:rsid w:val="00D4667A"/>
    <w:rsid w:val="00D52267"/>
    <w:rsid w:val="00D61C8D"/>
    <w:rsid w:val="00D62CD4"/>
    <w:rsid w:val="00D63A1C"/>
    <w:rsid w:val="00D662B3"/>
    <w:rsid w:val="00D67779"/>
    <w:rsid w:val="00D7516F"/>
    <w:rsid w:val="00D804CE"/>
    <w:rsid w:val="00D82B95"/>
    <w:rsid w:val="00D838F3"/>
    <w:rsid w:val="00D84321"/>
    <w:rsid w:val="00D8579F"/>
    <w:rsid w:val="00D9505B"/>
    <w:rsid w:val="00D95F8E"/>
    <w:rsid w:val="00DA0590"/>
    <w:rsid w:val="00DA0977"/>
    <w:rsid w:val="00DA39CF"/>
    <w:rsid w:val="00DB7BEA"/>
    <w:rsid w:val="00DC0700"/>
    <w:rsid w:val="00DC1739"/>
    <w:rsid w:val="00DC1788"/>
    <w:rsid w:val="00DC2E92"/>
    <w:rsid w:val="00DC342F"/>
    <w:rsid w:val="00DD4C95"/>
    <w:rsid w:val="00DE319C"/>
    <w:rsid w:val="00DF0CA8"/>
    <w:rsid w:val="00DF2B48"/>
    <w:rsid w:val="00DF49A7"/>
    <w:rsid w:val="00E0319C"/>
    <w:rsid w:val="00E06140"/>
    <w:rsid w:val="00E06E61"/>
    <w:rsid w:val="00E07EE2"/>
    <w:rsid w:val="00E07FD1"/>
    <w:rsid w:val="00E10279"/>
    <w:rsid w:val="00E129D0"/>
    <w:rsid w:val="00E176D8"/>
    <w:rsid w:val="00E24573"/>
    <w:rsid w:val="00E25E1E"/>
    <w:rsid w:val="00E25E33"/>
    <w:rsid w:val="00E27EE7"/>
    <w:rsid w:val="00E3433F"/>
    <w:rsid w:val="00E35404"/>
    <w:rsid w:val="00E437B7"/>
    <w:rsid w:val="00E45109"/>
    <w:rsid w:val="00E45577"/>
    <w:rsid w:val="00E47B7A"/>
    <w:rsid w:val="00E56A44"/>
    <w:rsid w:val="00E60269"/>
    <w:rsid w:val="00E61145"/>
    <w:rsid w:val="00E72A4B"/>
    <w:rsid w:val="00E74AD2"/>
    <w:rsid w:val="00E75578"/>
    <w:rsid w:val="00E77932"/>
    <w:rsid w:val="00E77E56"/>
    <w:rsid w:val="00E8113A"/>
    <w:rsid w:val="00E846CD"/>
    <w:rsid w:val="00E87BDA"/>
    <w:rsid w:val="00E87DF6"/>
    <w:rsid w:val="00E95DEA"/>
    <w:rsid w:val="00E97830"/>
    <w:rsid w:val="00EA39A1"/>
    <w:rsid w:val="00EA65ED"/>
    <w:rsid w:val="00EB0767"/>
    <w:rsid w:val="00EB4C09"/>
    <w:rsid w:val="00EC6838"/>
    <w:rsid w:val="00EC7FF6"/>
    <w:rsid w:val="00EE09F5"/>
    <w:rsid w:val="00EE2F28"/>
    <w:rsid w:val="00EE643C"/>
    <w:rsid w:val="00EF0683"/>
    <w:rsid w:val="00EF394C"/>
    <w:rsid w:val="00EF417B"/>
    <w:rsid w:val="00EF419E"/>
    <w:rsid w:val="00EF69D2"/>
    <w:rsid w:val="00EF766E"/>
    <w:rsid w:val="00F0070C"/>
    <w:rsid w:val="00F00EB7"/>
    <w:rsid w:val="00F0391D"/>
    <w:rsid w:val="00F21A21"/>
    <w:rsid w:val="00F34417"/>
    <w:rsid w:val="00F3449A"/>
    <w:rsid w:val="00F36AB6"/>
    <w:rsid w:val="00F37A09"/>
    <w:rsid w:val="00F40862"/>
    <w:rsid w:val="00F409CE"/>
    <w:rsid w:val="00F4379D"/>
    <w:rsid w:val="00F474EE"/>
    <w:rsid w:val="00F509DC"/>
    <w:rsid w:val="00F50D2D"/>
    <w:rsid w:val="00F52410"/>
    <w:rsid w:val="00F5636A"/>
    <w:rsid w:val="00F56C8B"/>
    <w:rsid w:val="00F621E9"/>
    <w:rsid w:val="00F66810"/>
    <w:rsid w:val="00F80190"/>
    <w:rsid w:val="00F846D9"/>
    <w:rsid w:val="00F84DF4"/>
    <w:rsid w:val="00F85C97"/>
    <w:rsid w:val="00F9581F"/>
    <w:rsid w:val="00F96F57"/>
    <w:rsid w:val="00FA0838"/>
    <w:rsid w:val="00FA0ABE"/>
    <w:rsid w:val="00FA3800"/>
    <w:rsid w:val="00FA6AE8"/>
    <w:rsid w:val="00FB37D2"/>
    <w:rsid w:val="00FB4774"/>
    <w:rsid w:val="00FB68EC"/>
    <w:rsid w:val="00FC4EFB"/>
    <w:rsid w:val="00FC6C03"/>
    <w:rsid w:val="00FC72FF"/>
    <w:rsid w:val="00FD068D"/>
    <w:rsid w:val="00FD0B82"/>
    <w:rsid w:val="00FD37F7"/>
    <w:rsid w:val="00FD3BD7"/>
    <w:rsid w:val="00FD4F28"/>
    <w:rsid w:val="00FE0497"/>
    <w:rsid w:val="00FE5C83"/>
    <w:rsid w:val="00FE61CD"/>
    <w:rsid w:val="00FE6784"/>
    <w:rsid w:val="00FF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C5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DC9"/>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48C2"/>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DA0977"/>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DA0977"/>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DA0977"/>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DA0977"/>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DA0977"/>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DA0977"/>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827DC9"/>
    <w:rPr>
      <w:color w:val="660000"/>
      <w:u w:val="none"/>
    </w:rPr>
  </w:style>
  <w:style w:type="character" w:styleId="FollowedHyperlink">
    <w:name w:val="FollowedHyperlink"/>
    <w:basedOn w:val="DefaultParagraphFont"/>
    <w:uiPriority w:val="99"/>
    <w:semiHidden/>
    <w:unhideWhenUsed/>
    <w:rsid w:val="002C6FAB"/>
    <w:rPr>
      <w:color w:val="800080" w:themeColor="followedHyperlink"/>
      <w:u w:val="single"/>
    </w:rPr>
  </w:style>
  <w:style w:type="character" w:styleId="CommentReference">
    <w:name w:val="annotation reference"/>
    <w:basedOn w:val="DefaultParagraphFont"/>
    <w:uiPriority w:val="99"/>
    <w:semiHidden/>
    <w:unhideWhenUsed/>
    <w:rsid w:val="00D30BDC"/>
    <w:rPr>
      <w:sz w:val="16"/>
      <w:szCs w:val="16"/>
    </w:rPr>
  </w:style>
  <w:style w:type="paragraph" w:styleId="CommentText">
    <w:name w:val="annotation text"/>
    <w:basedOn w:val="Normal"/>
    <w:link w:val="CommentTextChar"/>
    <w:uiPriority w:val="99"/>
    <w:unhideWhenUsed/>
    <w:qFormat/>
    <w:rsid w:val="00D30BDC"/>
    <w:rPr>
      <w:sz w:val="20"/>
    </w:rPr>
  </w:style>
  <w:style w:type="character" w:customStyle="1" w:styleId="CommentTextChar">
    <w:name w:val="Comment Text Char"/>
    <w:basedOn w:val="DefaultParagraphFont"/>
    <w:link w:val="CommentText"/>
    <w:uiPriority w:val="99"/>
    <w:rsid w:val="00D30BDC"/>
  </w:style>
  <w:style w:type="paragraph" w:styleId="CommentSubject">
    <w:name w:val="annotation subject"/>
    <w:basedOn w:val="CommentText"/>
    <w:next w:val="CommentText"/>
    <w:link w:val="CommentSubjectChar"/>
    <w:uiPriority w:val="99"/>
    <w:semiHidden/>
    <w:unhideWhenUsed/>
    <w:rsid w:val="00D30BDC"/>
    <w:rPr>
      <w:b/>
      <w:bCs/>
    </w:rPr>
  </w:style>
  <w:style w:type="character" w:customStyle="1" w:styleId="CommentSubjectChar">
    <w:name w:val="Comment Subject Char"/>
    <w:basedOn w:val="CommentTextChar"/>
    <w:link w:val="CommentSubject"/>
    <w:uiPriority w:val="99"/>
    <w:semiHidden/>
    <w:rsid w:val="00D30BDC"/>
    <w:rPr>
      <w:b/>
      <w:bCs/>
    </w:rPr>
  </w:style>
  <w:style w:type="character" w:customStyle="1" w:styleId="reflex">
    <w:name w:val="reflex"/>
    <w:basedOn w:val="DefaultParagraphFont"/>
    <w:rsid w:val="00B819F4"/>
  </w:style>
  <w:style w:type="character" w:customStyle="1" w:styleId="solexhl">
    <w:name w:val="solexhl"/>
    <w:basedOn w:val="DefaultParagraphFont"/>
    <w:rsid w:val="00873039"/>
  </w:style>
  <w:style w:type="character" w:customStyle="1" w:styleId="fontstyle01">
    <w:name w:val="fontstyle01"/>
    <w:basedOn w:val="DefaultParagraphFont"/>
    <w:rsid w:val="00EE09F5"/>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EE09F5"/>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412168"/>
    <w:rPr>
      <w:rFonts w:ascii="TimesNewRomanPS-BoldMT" w:hAnsi="TimesNewRomanPS-BoldMT" w:hint="default"/>
      <w:b/>
      <w:bCs/>
      <w:i w:val="0"/>
      <w:iCs w:val="0"/>
      <w:color w:val="000000"/>
      <w:sz w:val="20"/>
      <w:szCs w:val="20"/>
    </w:rPr>
  </w:style>
  <w:style w:type="character" w:customStyle="1" w:styleId="Heading3Char">
    <w:name w:val="Heading 3 Char"/>
    <w:basedOn w:val="DefaultParagraphFont"/>
    <w:link w:val="Heading3"/>
    <w:uiPriority w:val="9"/>
    <w:semiHidden/>
    <w:rsid w:val="002F48C2"/>
    <w:rPr>
      <w:rFonts w:asciiTheme="majorHAnsi" w:eastAsiaTheme="majorEastAsia" w:hAnsiTheme="majorHAnsi" w:cstheme="majorBidi"/>
      <w:color w:val="243F60" w:themeColor="accent1" w:themeShade="7F"/>
      <w:sz w:val="24"/>
      <w:szCs w:val="24"/>
    </w:rPr>
  </w:style>
  <w:style w:type="paragraph" w:customStyle="1" w:styleId="ParaNoNdepar-AltN">
    <w:name w:val="Para. No. / Nº de par. - Alt N"/>
    <w:link w:val="ParaNoNdepar-AltNChar"/>
    <w:qFormat/>
    <w:rsid w:val="00921261"/>
    <w:pPr>
      <w:numPr>
        <w:numId w:val="1"/>
      </w:numPr>
      <w:spacing w:before="480" w:after="480" w:line="480" w:lineRule="auto"/>
      <w:jc w:val="both"/>
    </w:pPr>
    <w:rPr>
      <w:rFonts w:eastAsiaTheme="minorEastAsia" w:cstheme="minorBidi"/>
      <w:sz w:val="24"/>
      <w:szCs w:val="22"/>
      <w:lang w:eastAsia="en-US"/>
    </w:rPr>
  </w:style>
  <w:style w:type="character" w:customStyle="1" w:styleId="Heading4Char">
    <w:name w:val="Heading 4 Char"/>
    <w:basedOn w:val="DefaultParagraphFont"/>
    <w:link w:val="Heading4"/>
    <w:uiPriority w:val="9"/>
    <w:semiHidden/>
    <w:rsid w:val="00DA0977"/>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DA0977"/>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DA0977"/>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DA0977"/>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DA0977"/>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DA0977"/>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DA0977"/>
    <w:pPr>
      <w:spacing w:after="480"/>
    </w:pPr>
    <w:rPr>
      <w:rFonts w:eastAsiaTheme="minorHAnsi" w:cstheme="minorBidi"/>
      <w:szCs w:val="22"/>
      <w:lang w:val="en-US" w:eastAsia="en-US" w:bidi="en-US"/>
    </w:rPr>
  </w:style>
  <w:style w:type="paragraph" w:customStyle="1" w:styleId="SCCCoram">
    <w:name w:val="SCC.Coram"/>
    <w:basedOn w:val="Normal"/>
    <w:next w:val="Normal"/>
    <w:link w:val="SCCCoramChar"/>
    <w:rsid w:val="00DA0977"/>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DA0977"/>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DA0977"/>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DA0977"/>
    <w:rPr>
      <w:b/>
      <w:sz w:val="24"/>
    </w:rPr>
  </w:style>
  <w:style w:type="table" w:styleId="TableGrid">
    <w:name w:val="Table Grid"/>
    <w:basedOn w:val="TableNormal"/>
    <w:uiPriority w:val="59"/>
    <w:rsid w:val="00DA0977"/>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DA0977"/>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DA0977"/>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DA0977"/>
    <w:pPr>
      <w:tabs>
        <w:tab w:val="left" w:pos="1260"/>
      </w:tabs>
      <w:spacing w:after="480" w:line="480" w:lineRule="auto"/>
    </w:pPr>
    <w:rPr>
      <w:smallCaps/>
      <w:sz w:val="24"/>
    </w:rPr>
  </w:style>
  <w:style w:type="paragraph" w:customStyle="1" w:styleId="Title1LevelTitre1Niveau-AltL">
    <w:name w:val="Title 1 Level / Titre 1 Niveau - Alt L"/>
    <w:next w:val="ParaNoNdepar-AltN"/>
    <w:uiPriority w:val="4"/>
    <w:qFormat/>
    <w:rsid w:val="00DA0977"/>
    <w:pPr>
      <w:numPr>
        <w:numId w:val="2"/>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DA0977"/>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DA0977"/>
    <w:pPr>
      <w:numPr>
        <w:ilvl w:val="2"/>
      </w:numPr>
      <w:outlineLvl w:val="2"/>
    </w:pPr>
  </w:style>
  <w:style w:type="paragraph" w:customStyle="1" w:styleId="Title4LevelTitre4Niveau">
    <w:name w:val="Title 4 Level / Titre 4 Niveau"/>
    <w:basedOn w:val="Title3LevelTitre3Niveau"/>
    <w:next w:val="ParaNoNdepar-AltN"/>
    <w:uiPriority w:val="4"/>
    <w:qFormat/>
    <w:rsid w:val="00DA0977"/>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DA0977"/>
    <w:pPr>
      <w:numPr>
        <w:ilvl w:val="4"/>
      </w:numPr>
      <w:outlineLvl w:val="4"/>
    </w:pPr>
  </w:style>
  <w:style w:type="paragraph" w:styleId="TOC1">
    <w:name w:val="toc 1"/>
    <w:basedOn w:val="Normal"/>
    <w:next w:val="Normal"/>
    <w:autoRedefine/>
    <w:uiPriority w:val="39"/>
    <w:unhideWhenUsed/>
    <w:rsid w:val="00DA0977"/>
    <w:pPr>
      <w:tabs>
        <w:tab w:val="left" w:pos="360"/>
        <w:tab w:val="right" w:leader="dot" w:pos="8270"/>
      </w:tabs>
      <w:spacing w:before="120" w:after="120"/>
    </w:pPr>
    <w:rPr>
      <w:rFonts w:eastAsiaTheme="minorHAnsi" w:cstheme="minorBidi"/>
      <w:noProof/>
      <w:u w:val="single"/>
      <w:lang w:val="en-US" w:eastAsia="en-US" w:bidi="en-US"/>
    </w:rPr>
  </w:style>
  <w:style w:type="paragraph" w:styleId="TOC2">
    <w:name w:val="toc 2"/>
    <w:basedOn w:val="Normal"/>
    <w:next w:val="Normal"/>
    <w:autoRedefine/>
    <w:uiPriority w:val="39"/>
    <w:unhideWhenUsed/>
    <w:rsid w:val="00DA0977"/>
    <w:pPr>
      <w:tabs>
        <w:tab w:val="left" w:pos="720"/>
        <w:tab w:val="right" w:leader="dot" w:pos="8270"/>
      </w:tabs>
      <w:spacing w:before="120" w:after="120"/>
      <w:ind w:left="432" w:hanging="432"/>
    </w:pPr>
    <w:rPr>
      <w:rFonts w:eastAsiaTheme="minorHAnsi" w:cstheme="minorBidi"/>
      <w:i/>
      <w:szCs w:val="22"/>
      <w:lang w:val="en-US" w:eastAsia="en-US" w:bidi="en-US"/>
    </w:rPr>
  </w:style>
  <w:style w:type="paragraph" w:styleId="TOC3">
    <w:name w:val="toc 3"/>
    <w:basedOn w:val="Normal"/>
    <w:next w:val="Normal"/>
    <w:autoRedefine/>
    <w:uiPriority w:val="39"/>
    <w:unhideWhenUsed/>
    <w:rsid w:val="00DA0977"/>
    <w:pPr>
      <w:tabs>
        <w:tab w:val="left" w:pos="1080"/>
        <w:tab w:val="right" w:leader="dot" w:pos="8270"/>
      </w:tabs>
      <w:spacing w:before="120" w:after="120"/>
      <w:ind w:left="864" w:hanging="432"/>
    </w:pPr>
    <w:rPr>
      <w:rFonts w:eastAsiaTheme="minorHAnsi" w:cstheme="minorBidi"/>
      <w:noProof/>
      <w:u w:val="single"/>
      <w:lang w:val="en-US" w:eastAsia="en-US" w:bidi="en-US"/>
    </w:rPr>
  </w:style>
  <w:style w:type="paragraph" w:styleId="TOC4">
    <w:name w:val="toc 4"/>
    <w:basedOn w:val="Normal"/>
    <w:next w:val="Normal"/>
    <w:autoRedefine/>
    <w:uiPriority w:val="39"/>
    <w:unhideWhenUsed/>
    <w:rsid w:val="00DA0977"/>
    <w:pPr>
      <w:tabs>
        <w:tab w:val="left" w:pos="900"/>
        <w:tab w:val="right" w:leader="dot" w:pos="8270"/>
      </w:tabs>
      <w:spacing w:before="120" w:after="120"/>
      <w:ind w:left="900" w:hanging="450"/>
    </w:pPr>
    <w:rPr>
      <w:rFonts w:eastAsiaTheme="minorEastAsia" w:cstheme="minorBidi"/>
      <w:i/>
      <w:noProof/>
      <w:szCs w:val="22"/>
      <w:lang w:val="en-US" w:eastAsia="en-US" w:bidi="en-US"/>
    </w:rPr>
  </w:style>
  <w:style w:type="paragraph" w:styleId="TOC5">
    <w:name w:val="toc 5"/>
    <w:basedOn w:val="Normal"/>
    <w:next w:val="Normal"/>
    <w:autoRedefine/>
    <w:uiPriority w:val="39"/>
    <w:unhideWhenUsed/>
    <w:rsid w:val="00DA0977"/>
    <w:pPr>
      <w:tabs>
        <w:tab w:val="left" w:pos="1440"/>
        <w:tab w:val="right" w:leader="dot" w:pos="8270"/>
      </w:tabs>
      <w:spacing w:before="120" w:after="120"/>
      <w:ind w:left="1454" w:hanging="547"/>
    </w:pPr>
    <w:rPr>
      <w:rFonts w:eastAsiaTheme="minorHAnsi" w:cstheme="minorBidi"/>
      <w:noProof/>
      <w:u w:val="single"/>
      <w:lang w:val="en-US" w:eastAsia="en-US" w:bidi="en-US"/>
    </w:rPr>
  </w:style>
  <w:style w:type="paragraph" w:styleId="TOC6">
    <w:name w:val="toc 6"/>
    <w:basedOn w:val="Normal"/>
    <w:next w:val="Normal"/>
    <w:autoRedefine/>
    <w:uiPriority w:val="39"/>
    <w:unhideWhenUsed/>
    <w:rsid w:val="00DA0977"/>
    <w:pPr>
      <w:tabs>
        <w:tab w:val="left" w:pos="2160"/>
        <w:tab w:val="right" w:leader="dot" w:pos="8270"/>
      </w:tabs>
      <w:spacing w:after="100"/>
      <w:ind w:left="1800"/>
    </w:pPr>
    <w:rPr>
      <w:rFonts w:eastAsiaTheme="minorHAnsi" w:cstheme="minorBidi"/>
      <w:noProof/>
      <w:lang w:val="en-US" w:eastAsia="en-US" w:bidi="en-US"/>
    </w:rPr>
  </w:style>
  <w:style w:type="table" w:customStyle="1" w:styleId="TableGrid1">
    <w:name w:val="Table Grid1"/>
    <w:basedOn w:val="TableNormal"/>
    <w:uiPriority w:val="59"/>
    <w:rsid w:val="00DA0977"/>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DA0977"/>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DA0977"/>
    <w:pPr>
      <w:numPr>
        <w:ilvl w:val="5"/>
      </w:numPr>
      <w:jc w:val="both"/>
      <w:outlineLvl w:val="5"/>
    </w:pPr>
    <w:rPr>
      <w:i/>
      <w:u w:val="none"/>
    </w:rPr>
  </w:style>
  <w:style w:type="paragraph" w:styleId="FootnoteText">
    <w:name w:val="footnote text"/>
    <w:basedOn w:val="Normal"/>
    <w:link w:val="FootnoteTextChar"/>
    <w:uiPriority w:val="99"/>
    <w:unhideWhenUsed/>
    <w:rsid w:val="00DA0977"/>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DA0977"/>
  </w:style>
  <w:style w:type="character" w:styleId="FootnoteReference">
    <w:name w:val="footnote reference"/>
    <w:basedOn w:val="DefaultParagraphFont"/>
    <w:uiPriority w:val="99"/>
    <w:semiHidden/>
    <w:unhideWhenUsed/>
    <w:rsid w:val="00DA0977"/>
    <w:rPr>
      <w:vertAlign w:val="superscript"/>
    </w:rPr>
  </w:style>
  <w:style w:type="character" w:customStyle="1" w:styleId="normaltextrun">
    <w:name w:val="normaltextrun"/>
    <w:basedOn w:val="DefaultParagraphFont"/>
    <w:rsid w:val="00DA0977"/>
  </w:style>
  <w:style w:type="character" w:customStyle="1" w:styleId="eop">
    <w:name w:val="eop"/>
    <w:basedOn w:val="DefaultParagraphFont"/>
    <w:rsid w:val="00DA0977"/>
  </w:style>
  <w:style w:type="paragraph" w:styleId="ListParagraph">
    <w:name w:val="List Paragraph"/>
    <w:basedOn w:val="Normal"/>
    <w:uiPriority w:val="34"/>
    <w:qFormat/>
    <w:rsid w:val="00DA0977"/>
    <w:pPr>
      <w:ind w:left="720"/>
      <w:contextualSpacing/>
    </w:pPr>
    <w:rPr>
      <w:rFonts w:eastAsiaTheme="minorHAnsi" w:cstheme="minorBidi"/>
      <w:szCs w:val="22"/>
      <w:lang w:val="en-US" w:eastAsia="en-US" w:bidi="en-US"/>
    </w:rPr>
  </w:style>
  <w:style w:type="paragraph" w:customStyle="1" w:styleId="SCCLowerCourtText">
    <w:name w:val="SCC.LowerCourtText"/>
    <w:basedOn w:val="Normal"/>
    <w:next w:val="Normal"/>
    <w:link w:val="SCCLowerCourtTextChar"/>
    <w:qFormat/>
    <w:rsid w:val="00DA0977"/>
    <w:pPr>
      <w:jc w:val="both"/>
    </w:pPr>
    <w:rPr>
      <w:rFonts w:eastAsiaTheme="minorHAnsi" w:cstheme="minorBidi"/>
      <w:lang w:val="en-US" w:eastAsia="en-US" w:bidi="en-US"/>
    </w:rPr>
  </w:style>
  <w:style w:type="character" w:customStyle="1" w:styleId="SCCLowerCourtTextChar">
    <w:name w:val="SCC.LowerCourtText Char"/>
    <w:basedOn w:val="DefaultParagraphFont"/>
    <w:link w:val="SCCLowerCourtText"/>
    <w:rsid w:val="00DA0977"/>
    <w:rPr>
      <w:rFonts w:eastAsiaTheme="minorHAnsi" w:cstheme="minorBidi"/>
      <w:sz w:val="24"/>
      <w:lang w:val="en-US" w:eastAsia="en-US" w:bidi="en-US"/>
    </w:rPr>
  </w:style>
  <w:style w:type="character" w:styleId="SubtleEmphasis">
    <w:name w:val="Subtle Emphasis"/>
    <w:basedOn w:val="DefaultParagraphFont"/>
    <w:uiPriority w:val="19"/>
    <w:rsid w:val="00DA0977"/>
    <w:rPr>
      <w:i/>
      <w:iCs/>
      <w:color w:val="808080" w:themeColor="text1" w:themeTint="7F"/>
    </w:rPr>
  </w:style>
  <w:style w:type="paragraph" w:styleId="TOCHeading">
    <w:name w:val="TOC Heading"/>
    <w:basedOn w:val="Heading1"/>
    <w:next w:val="Normal"/>
    <w:uiPriority w:val="39"/>
    <w:unhideWhenUsed/>
    <w:qFormat/>
    <w:rsid w:val="00DA0977"/>
    <w:pPr>
      <w:spacing w:before="480" w:after="0"/>
      <w:ind w:left="0" w:firstLine="0"/>
      <w:outlineLvl w:val="9"/>
    </w:pPr>
    <w:rPr>
      <w:lang w:val="en-US" w:eastAsia="en-US" w:bidi="en-US"/>
    </w:rPr>
  </w:style>
  <w:style w:type="character" w:customStyle="1" w:styleId="JudgeJugeChar">
    <w:name w:val="Judge / Juge Char"/>
    <w:basedOn w:val="DefaultParagraphFont"/>
    <w:link w:val="JudgeJuge"/>
    <w:uiPriority w:val="3"/>
    <w:rsid w:val="00DA0977"/>
    <w:rPr>
      <w:smallCaps/>
      <w:sz w:val="24"/>
    </w:rPr>
  </w:style>
  <w:style w:type="paragraph" w:styleId="NoSpacing">
    <w:name w:val="No Spacing"/>
    <w:uiPriority w:val="1"/>
    <w:rsid w:val="00DA0977"/>
    <w:rPr>
      <w:rFonts w:eastAsiaTheme="minorHAnsi" w:cstheme="minorBidi"/>
      <w:sz w:val="24"/>
      <w:szCs w:val="22"/>
      <w:lang w:val="en-US" w:eastAsia="en-US" w:bidi="en-US"/>
    </w:rPr>
  </w:style>
  <w:style w:type="paragraph" w:styleId="Caption">
    <w:name w:val="caption"/>
    <w:basedOn w:val="Normal"/>
    <w:next w:val="Normal"/>
    <w:uiPriority w:val="35"/>
    <w:semiHidden/>
    <w:unhideWhenUsed/>
    <w:qFormat/>
    <w:rsid w:val="00DA0977"/>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DA09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DA0977"/>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DA0977"/>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DA0977"/>
    <w:rPr>
      <w:rFonts w:asciiTheme="majorHAnsi" w:eastAsiaTheme="majorEastAsia" w:hAnsiTheme="majorHAnsi" w:cstheme="majorBidi"/>
      <w:i/>
      <w:iCs/>
      <w:color w:val="4F81BD" w:themeColor="accent1"/>
      <w:spacing w:val="15"/>
      <w:sz w:val="24"/>
      <w:szCs w:val="24"/>
      <w:lang w:val="en-US" w:eastAsia="en-US" w:bidi="en-US"/>
    </w:rPr>
  </w:style>
  <w:style w:type="character" w:styleId="Emphasis">
    <w:name w:val="Emphasis"/>
    <w:basedOn w:val="DefaultParagraphFont"/>
    <w:uiPriority w:val="20"/>
    <w:qFormat/>
    <w:rsid w:val="00DA0977"/>
    <w:rPr>
      <w:i/>
      <w:iCs/>
    </w:rPr>
  </w:style>
  <w:style w:type="paragraph" w:styleId="IntenseQuote">
    <w:name w:val="Intense Quote"/>
    <w:basedOn w:val="Normal"/>
    <w:next w:val="Normal"/>
    <w:link w:val="IntenseQuoteChar"/>
    <w:uiPriority w:val="30"/>
    <w:rsid w:val="00DA0977"/>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DA0977"/>
    <w:rPr>
      <w:rFonts w:eastAsiaTheme="minorHAnsi" w:cstheme="minorBidi"/>
      <w:b/>
      <w:bCs/>
      <w:i/>
      <w:iCs/>
      <w:color w:val="4F81BD" w:themeColor="accent1"/>
      <w:sz w:val="24"/>
      <w:szCs w:val="22"/>
      <w:lang w:val="en-US" w:eastAsia="en-US" w:bidi="en-US"/>
    </w:rPr>
  </w:style>
  <w:style w:type="character" w:styleId="IntenseEmphasis">
    <w:name w:val="Intense Emphasis"/>
    <w:basedOn w:val="DefaultParagraphFont"/>
    <w:uiPriority w:val="21"/>
    <w:rsid w:val="00DA0977"/>
    <w:rPr>
      <w:b/>
      <w:bCs/>
      <w:i/>
      <w:iCs/>
      <w:color w:val="4F81BD" w:themeColor="accent1"/>
    </w:rPr>
  </w:style>
  <w:style w:type="character" w:styleId="SubtleReference">
    <w:name w:val="Subtle Reference"/>
    <w:basedOn w:val="DefaultParagraphFont"/>
    <w:uiPriority w:val="31"/>
    <w:rsid w:val="00DA0977"/>
    <w:rPr>
      <w:smallCaps/>
      <w:color w:val="C0504D" w:themeColor="accent2"/>
      <w:u w:val="single"/>
    </w:rPr>
  </w:style>
  <w:style w:type="character" w:styleId="IntenseReference">
    <w:name w:val="Intense Reference"/>
    <w:basedOn w:val="DefaultParagraphFont"/>
    <w:uiPriority w:val="32"/>
    <w:rsid w:val="00DA0977"/>
    <w:rPr>
      <w:b/>
      <w:bCs/>
      <w:smallCaps/>
      <w:color w:val="C0504D" w:themeColor="accent2"/>
      <w:spacing w:val="5"/>
      <w:u w:val="single"/>
    </w:rPr>
  </w:style>
  <w:style w:type="character" w:styleId="BookTitle">
    <w:name w:val="Book Title"/>
    <w:basedOn w:val="DefaultParagraphFont"/>
    <w:uiPriority w:val="33"/>
    <w:rsid w:val="00DA0977"/>
    <w:rPr>
      <w:b/>
      <w:bCs/>
      <w:smallCaps/>
      <w:spacing w:val="5"/>
    </w:rPr>
  </w:style>
  <w:style w:type="paragraph" w:styleId="Revision">
    <w:name w:val="Revision"/>
    <w:hidden/>
    <w:uiPriority w:val="99"/>
    <w:semiHidden/>
    <w:rsid w:val="00DA0977"/>
    <w:rPr>
      <w:rFonts w:eastAsiaTheme="minorHAnsi" w:cstheme="minorBidi"/>
      <w:sz w:val="24"/>
      <w:szCs w:val="22"/>
      <w:lang w:val="en-US" w:eastAsia="en-US" w:bidi="en-US"/>
    </w:rPr>
  </w:style>
  <w:style w:type="paragraph" w:styleId="NormalWeb">
    <w:name w:val="Normal (Web)"/>
    <w:basedOn w:val="Normal"/>
    <w:uiPriority w:val="99"/>
    <w:semiHidden/>
    <w:unhideWhenUsed/>
    <w:rsid w:val="00DA0977"/>
    <w:pPr>
      <w:spacing w:before="100" w:beforeAutospacing="1" w:after="100" w:afterAutospacing="1"/>
    </w:pPr>
    <w:rPr>
      <w:szCs w:val="24"/>
      <w:lang w:val="en-US" w:eastAsia="en-US"/>
    </w:rPr>
  </w:style>
  <w:style w:type="paragraph" w:styleId="EndnoteText">
    <w:name w:val="endnote text"/>
    <w:basedOn w:val="Normal"/>
    <w:link w:val="EndnoteTextChar"/>
    <w:uiPriority w:val="99"/>
    <w:semiHidden/>
    <w:unhideWhenUsed/>
    <w:rsid w:val="00DA0977"/>
    <w:rPr>
      <w:rFonts w:eastAsiaTheme="minorHAnsi" w:cstheme="minorBidi"/>
      <w:sz w:val="20"/>
      <w:lang w:val="en-US" w:eastAsia="en-US" w:bidi="en-US"/>
    </w:rPr>
  </w:style>
  <w:style w:type="character" w:customStyle="1" w:styleId="EndnoteTextChar">
    <w:name w:val="Endnote Text Char"/>
    <w:basedOn w:val="DefaultParagraphFont"/>
    <w:link w:val="EndnoteText"/>
    <w:uiPriority w:val="99"/>
    <w:semiHidden/>
    <w:rsid w:val="00DA0977"/>
    <w:rPr>
      <w:rFonts w:eastAsiaTheme="minorHAnsi" w:cstheme="minorBidi"/>
      <w:lang w:val="en-US" w:eastAsia="en-US" w:bidi="en-US"/>
    </w:rPr>
  </w:style>
  <w:style w:type="character" w:styleId="EndnoteReference">
    <w:name w:val="endnote reference"/>
    <w:basedOn w:val="DefaultParagraphFont"/>
    <w:uiPriority w:val="99"/>
    <w:semiHidden/>
    <w:unhideWhenUsed/>
    <w:rsid w:val="00DA0977"/>
    <w:rPr>
      <w:vertAlign w:val="superscript"/>
    </w:rPr>
  </w:style>
  <w:style w:type="character" w:customStyle="1" w:styleId="ParaNoNdepar-AltNChar">
    <w:name w:val="Para. No. / Nº de par. - Alt N Char"/>
    <w:basedOn w:val="DefaultParagraphFont"/>
    <w:link w:val="ParaNoNdepar-AltN"/>
    <w:locked/>
    <w:rsid w:val="00DA0977"/>
    <w:rPr>
      <w:rFonts w:eastAsiaTheme="minorEastAsia" w:cstheme="minorBidi"/>
      <w:sz w:val="24"/>
      <w:szCs w:val="22"/>
      <w:lang w:eastAsia="en-US"/>
    </w:rPr>
  </w:style>
  <w:style w:type="paragraph" w:customStyle="1" w:styleId="citation-altc0">
    <w:name w:val="citation-altc"/>
    <w:basedOn w:val="Normal"/>
    <w:rsid w:val="00DA0977"/>
    <w:pPr>
      <w:spacing w:before="100" w:beforeAutospacing="1" w:after="100" w:afterAutospacing="1"/>
    </w:pPr>
    <w:rPr>
      <w:szCs w:val="24"/>
      <w:lang w:val="en-US" w:eastAsia="en-US"/>
    </w:rPr>
  </w:style>
  <w:style w:type="character" w:customStyle="1" w:styleId="sectionlabel">
    <w:name w:val="sectionlabel"/>
    <w:basedOn w:val="DefaultParagraphFont"/>
    <w:rsid w:val="00DA0977"/>
  </w:style>
  <w:style w:type="character" w:customStyle="1" w:styleId="reflex2-link">
    <w:name w:val="reflex2-link"/>
    <w:basedOn w:val="DefaultParagraphFont"/>
    <w:rsid w:val="00DA0977"/>
  </w:style>
  <w:style w:type="paragraph" w:customStyle="1" w:styleId="paragraphe">
    <w:name w:val="paragraphe"/>
    <w:basedOn w:val="Normal"/>
    <w:rsid w:val="00DA0977"/>
    <w:pPr>
      <w:spacing w:before="100" w:beforeAutospacing="1" w:after="100" w:afterAutospacing="1"/>
    </w:pPr>
    <w:rPr>
      <w:szCs w:val="24"/>
      <w:lang w:val="en-US" w:eastAsia="en-US"/>
    </w:rPr>
  </w:style>
  <w:style w:type="character" w:customStyle="1" w:styleId="reflex3-block">
    <w:name w:val="reflex3-block"/>
    <w:basedOn w:val="DefaultParagraphFont"/>
    <w:rsid w:val="00DA0977"/>
  </w:style>
  <w:style w:type="character" w:customStyle="1" w:styleId="reflex3-missing">
    <w:name w:val="reflex3-missing"/>
    <w:basedOn w:val="DefaultParagraphFont"/>
    <w:rsid w:val="00DA0977"/>
  </w:style>
  <w:style w:type="table" w:customStyle="1" w:styleId="TableGrid2">
    <w:name w:val="Table Grid2"/>
    <w:basedOn w:val="TableNormal"/>
    <w:next w:val="TableGrid"/>
    <w:uiPriority w:val="59"/>
    <w:rsid w:val="00DA0977"/>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11121">
      <w:bodyDiv w:val="1"/>
      <w:marLeft w:val="0"/>
      <w:marRight w:val="0"/>
      <w:marTop w:val="0"/>
      <w:marBottom w:val="0"/>
      <w:divBdr>
        <w:top w:val="none" w:sz="0" w:space="0" w:color="auto"/>
        <w:left w:val="none" w:sz="0" w:space="0" w:color="auto"/>
        <w:bottom w:val="none" w:sz="0" w:space="0" w:color="auto"/>
        <w:right w:val="none" w:sz="0" w:space="0" w:color="auto"/>
      </w:divBdr>
    </w:div>
    <w:div w:id="391539240">
      <w:bodyDiv w:val="1"/>
      <w:marLeft w:val="0"/>
      <w:marRight w:val="0"/>
      <w:marTop w:val="0"/>
      <w:marBottom w:val="0"/>
      <w:divBdr>
        <w:top w:val="none" w:sz="0" w:space="0" w:color="auto"/>
        <w:left w:val="none" w:sz="0" w:space="0" w:color="auto"/>
        <w:bottom w:val="none" w:sz="0" w:space="0" w:color="auto"/>
        <w:right w:val="none" w:sz="0" w:space="0" w:color="auto"/>
      </w:divBdr>
    </w:div>
    <w:div w:id="548146597">
      <w:bodyDiv w:val="1"/>
      <w:marLeft w:val="0"/>
      <w:marRight w:val="0"/>
      <w:marTop w:val="0"/>
      <w:marBottom w:val="0"/>
      <w:divBdr>
        <w:top w:val="none" w:sz="0" w:space="0" w:color="auto"/>
        <w:left w:val="none" w:sz="0" w:space="0" w:color="auto"/>
        <w:bottom w:val="none" w:sz="0" w:space="0" w:color="auto"/>
        <w:right w:val="none" w:sz="0" w:space="0" w:color="auto"/>
      </w:divBdr>
    </w:div>
    <w:div w:id="635721412">
      <w:bodyDiv w:val="1"/>
      <w:marLeft w:val="0"/>
      <w:marRight w:val="0"/>
      <w:marTop w:val="0"/>
      <w:marBottom w:val="0"/>
      <w:divBdr>
        <w:top w:val="none" w:sz="0" w:space="0" w:color="auto"/>
        <w:left w:val="none" w:sz="0" w:space="0" w:color="auto"/>
        <w:bottom w:val="none" w:sz="0" w:space="0" w:color="auto"/>
        <w:right w:val="none" w:sz="0" w:space="0" w:color="auto"/>
      </w:divBdr>
    </w:div>
    <w:div w:id="854997948">
      <w:bodyDiv w:val="1"/>
      <w:marLeft w:val="0"/>
      <w:marRight w:val="0"/>
      <w:marTop w:val="0"/>
      <w:marBottom w:val="0"/>
      <w:divBdr>
        <w:top w:val="none" w:sz="0" w:space="0" w:color="auto"/>
        <w:left w:val="none" w:sz="0" w:space="0" w:color="auto"/>
        <w:bottom w:val="none" w:sz="0" w:space="0" w:color="auto"/>
        <w:right w:val="none" w:sz="0" w:space="0" w:color="auto"/>
      </w:divBdr>
    </w:div>
    <w:div w:id="1828589584">
      <w:bodyDiv w:val="1"/>
      <w:marLeft w:val="0"/>
      <w:marRight w:val="0"/>
      <w:marTop w:val="0"/>
      <w:marBottom w:val="0"/>
      <w:divBdr>
        <w:top w:val="none" w:sz="0" w:space="0" w:color="auto"/>
        <w:left w:val="none" w:sz="0" w:space="0" w:color="auto"/>
        <w:bottom w:val="none" w:sz="0" w:space="0" w:color="auto"/>
        <w:right w:val="none" w:sz="0" w:space="0" w:color="auto"/>
      </w:divBdr>
    </w:div>
    <w:div w:id="1882356474">
      <w:bodyDiv w:val="1"/>
      <w:marLeft w:val="0"/>
      <w:marRight w:val="0"/>
      <w:marTop w:val="0"/>
      <w:marBottom w:val="0"/>
      <w:divBdr>
        <w:top w:val="none" w:sz="0" w:space="0" w:color="auto"/>
        <w:left w:val="none" w:sz="0" w:space="0" w:color="auto"/>
        <w:bottom w:val="none" w:sz="0" w:space="0" w:color="auto"/>
        <w:right w:val="none" w:sz="0" w:space="0" w:color="auto"/>
      </w:divBdr>
    </w:div>
    <w:div w:id="197004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soquij.ca/g6L5Y"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lii.ca/t/jr5mz"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cc-csc.ca/cso-dce/2023SCC-CSC26_1_eng.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4643C-BD5F-4B39-AE51-2A17CE036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142</Pages>
  <Words>34023</Words>
  <Characters>193936</Characters>
  <Application>Microsoft Office Word</Application>
  <DocSecurity>0</DocSecurity>
  <Lines>1616</Lines>
  <Paragraphs>455</Paragraphs>
  <ScaleCrop>false</ScaleCrop>
  <Company/>
  <LinksUpToDate>false</LinksUpToDate>
  <CharactersWithSpaces>227504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2023-11-03T11:47:00Z</dcterms:created>
  <dcterms:modified xsi:type="dcterms:W3CDTF">2024-01-09T22:06:00Z</dcterms:modified>
</cp:coreProperties>
</file>