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3"/>
        <w:gridCol w:w="3490"/>
      </w:tblGrid>
      <w:tr w:rsidR="00A45B4A" w:rsidRPr="00A45B4A" w:rsidTr="00324424">
        <w:trPr>
          <w:trHeight w:val="2103"/>
        </w:trPr>
        <w:tc>
          <w:tcPr>
            <w:tcW w:w="5000" w:type="pct"/>
            <w:gridSpan w:val="4"/>
          </w:tcPr>
          <w:p w:rsidR="00A45B4A" w:rsidRPr="00A45B4A" w:rsidRDefault="00A45B4A" w:rsidP="00A45B4A">
            <w:pPr>
              <w:jc w:val="center"/>
              <w:rPr>
                <w:b/>
              </w:rPr>
            </w:pPr>
            <w:r w:rsidRPr="00A45B4A">
              <w:rPr>
                <w:b/>
                <w:noProof/>
              </w:rPr>
              <w:drawing>
                <wp:inline distT="0" distB="0" distL="0" distR="0" wp14:anchorId="3251C756" wp14:editId="0658E9D0">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rsidR="00A45B4A" w:rsidRPr="00A45B4A" w:rsidRDefault="00A45B4A" w:rsidP="00A45B4A">
            <w:pPr>
              <w:spacing w:before="120" w:after="100" w:afterAutospacing="1"/>
              <w:jc w:val="center"/>
            </w:pPr>
            <w:r w:rsidRPr="00A45B4A">
              <w:rPr>
                <w:b/>
              </w:rPr>
              <w:t>SUPREME COURT OF CANADA</w:t>
            </w:r>
          </w:p>
        </w:tc>
      </w:tr>
      <w:tr w:rsidR="00A45B4A" w:rsidRPr="00A45B4A" w:rsidTr="00324424">
        <w:tblPrEx>
          <w:tblCellMar>
            <w:top w:w="58" w:type="dxa"/>
            <w:left w:w="58" w:type="dxa"/>
            <w:bottom w:w="58" w:type="dxa"/>
            <w:right w:w="58" w:type="dxa"/>
          </w:tblCellMar>
        </w:tblPrEx>
        <w:trPr>
          <w:cantSplit/>
        </w:trPr>
        <w:tc>
          <w:tcPr>
            <w:tcW w:w="2078" w:type="pct"/>
            <w:gridSpan w:val="2"/>
          </w:tcPr>
          <w:p w:rsidR="00A45B4A" w:rsidRPr="00A45B4A" w:rsidRDefault="00A45B4A" w:rsidP="00A45B4A">
            <w:pPr>
              <w:rPr>
                <w:b/>
                <w:smallCaps/>
              </w:rPr>
            </w:pPr>
          </w:p>
          <w:p w:rsidR="00A45B4A" w:rsidRPr="00A45B4A" w:rsidRDefault="00A45B4A" w:rsidP="00A45B4A">
            <w:pPr>
              <w:rPr>
                <w:b/>
                <w:smallCaps/>
              </w:rPr>
            </w:pPr>
            <w:r w:rsidRPr="00A45B4A">
              <w:rPr>
                <w:b/>
                <w:smallCaps/>
              </w:rPr>
              <w:t>Citation:</w:t>
            </w:r>
            <w:r w:rsidRPr="00A45B4A">
              <w:t xml:space="preserve"> Canadian Broadcasting Corp. </w:t>
            </w:r>
            <w:r w:rsidRPr="00A45B4A">
              <w:rPr>
                <w:i/>
              </w:rPr>
              <w:t>v.</w:t>
            </w:r>
            <w:r w:rsidRPr="00A45B4A">
              <w:t xml:space="preserve"> Manitoba, 2023 SCC 27</w:t>
            </w:r>
          </w:p>
        </w:tc>
        <w:tc>
          <w:tcPr>
            <w:tcW w:w="781" w:type="pct"/>
          </w:tcPr>
          <w:p w:rsidR="00A45B4A" w:rsidRPr="00A45B4A" w:rsidRDefault="00A45B4A" w:rsidP="00A45B4A"/>
        </w:tc>
        <w:tc>
          <w:tcPr>
            <w:tcW w:w="2141" w:type="pct"/>
          </w:tcPr>
          <w:p w:rsidR="00A45B4A" w:rsidRPr="00A45B4A" w:rsidRDefault="00A45B4A" w:rsidP="00A45B4A">
            <w:pPr>
              <w:rPr>
                <w:b/>
                <w:smallCaps/>
              </w:rPr>
            </w:pPr>
          </w:p>
          <w:p w:rsidR="00A45B4A" w:rsidRPr="00A45B4A" w:rsidRDefault="00A45B4A" w:rsidP="00A45B4A">
            <w:pPr>
              <w:jc w:val="both"/>
            </w:pPr>
            <w:r w:rsidRPr="00A45B4A">
              <w:rPr>
                <w:b/>
                <w:smallCaps/>
              </w:rPr>
              <w:t>Appeal Heard and Judgment Rendered:</w:t>
            </w:r>
            <w:r w:rsidRPr="00A45B4A">
              <w:t xml:space="preserve"> October 19, 2023</w:t>
            </w:r>
          </w:p>
          <w:p w:rsidR="00A45B4A" w:rsidRPr="00A45B4A" w:rsidRDefault="00A45B4A" w:rsidP="00A45B4A">
            <w:r w:rsidRPr="00A45B4A">
              <w:rPr>
                <w:b/>
                <w:smallCaps/>
              </w:rPr>
              <w:t>Reasons for Judgment:</w:t>
            </w:r>
            <w:r w:rsidRPr="00A45B4A">
              <w:t xml:space="preserve"> November 9, 2023</w:t>
            </w:r>
          </w:p>
          <w:p w:rsidR="00A45B4A" w:rsidRPr="00A45B4A" w:rsidRDefault="00A45B4A" w:rsidP="00A45B4A">
            <w:r w:rsidRPr="00A45B4A">
              <w:rPr>
                <w:b/>
                <w:smallCaps/>
              </w:rPr>
              <w:t>Docket:</w:t>
            </w:r>
            <w:r w:rsidRPr="00A45B4A">
              <w:t xml:space="preserve"> 38992</w:t>
            </w:r>
          </w:p>
        </w:tc>
      </w:tr>
      <w:tr w:rsidR="00A45B4A" w:rsidRPr="00A45B4A" w:rsidTr="00324424">
        <w:tblPrEx>
          <w:tblCellMar>
            <w:top w:w="58" w:type="dxa"/>
            <w:left w:w="58" w:type="dxa"/>
            <w:bottom w:w="58" w:type="dxa"/>
            <w:right w:w="58" w:type="dxa"/>
          </w:tblCellMar>
        </w:tblPrEx>
        <w:trPr>
          <w:cantSplit/>
        </w:trPr>
        <w:tc>
          <w:tcPr>
            <w:tcW w:w="5000" w:type="pct"/>
            <w:gridSpan w:val="4"/>
          </w:tcPr>
          <w:p w:rsidR="00A45B4A" w:rsidRPr="00A45B4A" w:rsidRDefault="00A45B4A" w:rsidP="00A45B4A"/>
          <w:p w:rsidR="00A45B4A" w:rsidRPr="00A45B4A" w:rsidRDefault="00A45B4A" w:rsidP="00A45B4A">
            <w:pPr>
              <w:rPr>
                <w:b/>
                <w:smallCaps/>
              </w:rPr>
            </w:pPr>
            <w:r w:rsidRPr="00A45B4A">
              <w:rPr>
                <w:b/>
                <w:smallCaps/>
              </w:rPr>
              <w:t>Between:</w:t>
            </w:r>
          </w:p>
          <w:p w:rsidR="00A45B4A" w:rsidRPr="00A45B4A" w:rsidRDefault="00A45B4A" w:rsidP="00A45B4A"/>
          <w:p w:rsidR="00A45B4A" w:rsidRPr="00A45B4A" w:rsidRDefault="00A45B4A" w:rsidP="00A45B4A">
            <w:pPr>
              <w:jc w:val="center"/>
              <w:rPr>
                <w:b/>
              </w:rPr>
            </w:pPr>
            <w:r w:rsidRPr="00A45B4A">
              <w:rPr>
                <w:b/>
              </w:rPr>
              <w:t>Canadian Broadcasting Corporation</w:t>
            </w:r>
          </w:p>
          <w:p w:rsidR="00A45B4A" w:rsidRPr="00A45B4A" w:rsidRDefault="00A45B4A" w:rsidP="00A45B4A">
            <w:pPr>
              <w:jc w:val="center"/>
            </w:pPr>
            <w:r w:rsidRPr="00A45B4A">
              <w:t>Appellant</w:t>
            </w:r>
          </w:p>
          <w:p w:rsidR="00A45B4A" w:rsidRPr="00A45B4A" w:rsidRDefault="00A45B4A" w:rsidP="00A45B4A"/>
          <w:p w:rsidR="00A45B4A" w:rsidRPr="00A45B4A" w:rsidRDefault="00A45B4A" w:rsidP="00A45B4A">
            <w:pPr>
              <w:jc w:val="center"/>
            </w:pPr>
            <w:r w:rsidRPr="00A45B4A">
              <w:t>and</w:t>
            </w:r>
          </w:p>
          <w:p w:rsidR="00A45B4A" w:rsidRPr="00A45B4A" w:rsidRDefault="00A45B4A" w:rsidP="00A45B4A">
            <w:pPr>
              <w:jc w:val="center"/>
            </w:pPr>
          </w:p>
          <w:p w:rsidR="00A45B4A" w:rsidRPr="00A45B4A" w:rsidRDefault="00A45B4A" w:rsidP="00A45B4A">
            <w:pPr>
              <w:jc w:val="center"/>
              <w:rPr>
                <w:b/>
              </w:rPr>
            </w:pPr>
            <w:r w:rsidRPr="00A45B4A">
              <w:rPr>
                <w:b/>
              </w:rPr>
              <w:t>His Majesty The King, B.B., spouse of the late M.D., and J.D., in his capacity as executor of the estate of the late M.D.</w:t>
            </w:r>
          </w:p>
          <w:p w:rsidR="00A45B4A" w:rsidRPr="00A45B4A" w:rsidRDefault="00A45B4A" w:rsidP="00A45B4A">
            <w:pPr>
              <w:jc w:val="center"/>
            </w:pPr>
            <w:r w:rsidRPr="00A45B4A">
              <w:t>Respondents</w:t>
            </w:r>
          </w:p>
          <w:p w:rsidR="00A45B4A" w:rsidRPr="00A45B4A" w:rsidRDefault="00A45B4A" w:rsidP="00A45B4A">
            <w:pPr>
              <w:jc w:val="center"/>
            </w:pPr>
          </w:p>
          <w:p w:rsidR="00A45B4A" w:rsidRPr="00A45B4A" w:rsidRDefault="00A45B4A" w:rsidP="00A45B4A">
            <w:pPr>
              <w:jc w:val="center"/>
            </w:pPr>
            <w:r w:rsidRPr="00A45B4A">
              <w:t>- and -</w:t>
            </w:r>
          </w:p>
          <w:p w:rsidR="00A45B4A" w:rsidRPr="00A45B4A" w:rsidRDefault="00A45B4A" w:rsidP="00A45B4A">
            <w:pPr>
              <w:jc w:val="center"/>
            </w:pPr>
          </w:p>
          <w:p w:rsidR="00A45B4A" w:rsidRPr="00A45B4A" w:rsidRDefault="00A45B4A" w:rsidP="00A45B4A">
            <w:pPr>
              <w:jc w:val="center"/>
              <w:rPr>
                <w:b/>
              </w:rPr>
            </w:pPr>
            <w:r w:rsidRPr="00A45B4A">
              <w:rPr>
                <w:b/>
              </w:rPr>
              <w:t>Attorney General of Ontario, Attorney General of British Columbia, Centre for Free Expression, Canadian Association of Journalists, News Media Canada, Communications Workers of America/Canada and Ad Idem/Canadian Media Lawyers Association</w:t>
            </w:r>
          </w:p>
          <w:p w:rsidR="00A45B4A" w:rsidRPr="00A45B4A" w:rsidRDefault="00A45B4A" w:rsidP="00A45B4A">
            <w:pPr>
              <w:jc w:val="center"/>
            </w:pPr>
            <w:r w:rsidRPr="00A45B4A">
              <w:t>Interveners</w:t>
            </w:r>
          </w:p>
          <w:p w:rsidR="00A45B4A" w:rsidRPr="00A45B4A" w:rsidRDefault="00A45B4A" w:rsidP="00A45B4A"/>
          <w:p w:rsidR="00A45B4A" w:rsidRPr="00A45B4A" w:rsidRDefault="00A45B4A" w:rsidP="00A45B4A">
            <w:pPr>
              <w:jc w:val="center"/>
              <w:rPr>
                <w:b/>
                <w:smallCaps/>
              </w:rPr>
            </w:pPr>
          </w:p>
          <w:p w:rsidR="00A45B4A" w:rsidRPr="00A45B4A" w:rsidRDefault="00A45B4A" w:rsidP="00A45B4A">
            <w:pPr>
              <w:rPr>
                <w:b/>
                <w:smallCaps/>
              </w:rPr>
            </w:pPr>
          </w:p>
        </w:tc>
      </w:tr>
      <w:tr w:rsidR="00A45B4A" w:rsidRPr="00A45B4A" w:rsidTr="00324424">
        <w:tblPrEx>
          <w:tblCellMar>
            <w:top w:w="58" w:type="dxa"/>
            <w:left w:w="58" w:type="dxa"/>
            <w:bottom w:w="58" w:type="dxa"/>
            <w:right w:w="58" w:type="dxa"/>
          </w:tblCellMar>
        </w:tblPrEx>
        <w:trPr>
          <w:cantSplit/>
          <w:trHeight w:val="504"/>
        </w:trPr>
        <w:tc>
          <w:tcPr>
            <w:tcW w:w="5000" w:type="pct"/>
            <w:gridSpan w:val="4"/>
          </w:tcPr>
          <w:p w:rsidR="00A45B4A" w:rsidRPr="00A45B4A" w:rsidRDefault="00A45B4A" w:rsidP="00A45B4A">
            <w:pPr>
              <w:spacing w:before="120"/>
            </w:pPr>
            <w:r w:rsidRPr="00A45B4A">
              <w:rPr>
                <w:b/>
                <w:smallCaps/>
              </w:rPr>
              <w:t>Coram</w:t>
            </w:r>
            <w:r w:rsidRPr="00A45B4A">
              <w:rPr>
                <w:b/>
              </w:rPr>
              <w:t>:</w:t>
            </w:r>
            <w:r w:rsidRPr="00A45B4A">
              <w:t xml:space="preserve"> </w:t>
            </w:r>
            <w:r w:rsidRPr="00A45B4A">
              <w:rPr>
                <w:color w:val="000000"/>
              </w:rPr>
              <w:t>Wagner C.J. and Karakatsanis, Côté, Rowe, Martin, Kasirer and Jamal JJ.</w:t>
            </w:r>
          </w:p>
        </w:tc>
      </w:tr>
      <w:tr w:rsidR="00A45B4A" w:rsidRPr="00A45B4A" w:rsidTr="00324424">
        <w:tblPrEx>
          <w:tblCellMar>
            <w:top w:w="58" w:type="dxa"/>
            <w:left w:w="58" w:type="dxa"/>
            <w:bottom w:w="58" w:type="dxa"/>
            <w:right w:w="58" w:type="dxa"/>
          </w:tblCellMar>
        </w:tblPrEx>
        <w:trPr>
          <w:cantSplit/>
          <w:trHeight w:val="504"/>
        </w:trPr>
        <w:tc>
          <w:tcPr>
            <w:tcW w:w="1231" w:type="pct"/>
          </w:tcPr>
          <w:p w:rsidR="00A45B4A" w:rsidRPr="00A45B4A" w:rsidRDefault="00A45B4A" w:rsidP="00A45B4A">
            <w:pPr>
              <w:rPr>
                <w:color w:val="000000"/>
                <w:szCs w:val="27"/>
              </w:rPr>
            </w:pPr>
            <w:r w:rsidRPr="00A45B4A">
              <w:rPr>
                <w:b/>
                <w:bCs/>
                <w:color w:val="000000"/>
                <w:szCs w:val="27"/>
              </w:rPr>
              <w:t>R</w:t>
            </w:r>
            <w:r w:rsidRPr="00A45B4A">
              <w:rPr>
                <w:b/>
                <w:bCs/>
                <w:smallCaps/>
                <w:color w:val="000000"/>
                <w:szCs w:val="27"/>
              </w:rPr>
              <w:t>easons </w:t>
            </w:r>
          </w:p>
          <w:p w:rsidR="00A45B4A" w:rsidRPr="00A45B4A" w:rsidRDefault="00A45B4A" w:rsidP="00A45B4A">
            <w:pPr>
              <w:rPr>
                <w:color w:val="000000"/>
                <w:szCs w:val="27"/>
              </w:rPr>
            </w:pPr>
            <w:r w:rsidRPr="00A45B4A">
              <w:rPr>
                <w:b/>
                <w:bCs/>
                <w:smallCaps/>
                <w:color w:val="000000"/>
                <w:szCs w:val="27"/>
              </w:rPr>
              <w:t>For</w:t>
            </w:r>
            <w:r w:rsidRPr="00A45B4A">
              <w:rPr>
                <w:b/>
                <w:bCs/>
                <w:color w:val="000000"/>
                <w:szCs w:val="27"/>
              </w:rPr>
              <w:t> J</w:t>
            </w:r>
            <w:r w:rsidRPr="00A45B4A">
              <w:rPr>
                <w:b/>
                <w:bCs/>
                <w:smallCaps/>
                <w:color w:val="000000"/>
                <w:szCs w:val="27"/>
              </w:rPr>
              <w:t>udgment</w:t>
            </w:r>
            <w:r w:rsidRPr="00A45B4A">
              <w:rPr>
                <w:b/>
                <w:bCs/>
                <w:color w:val="000000"/>
                <w:szCs w:val="27"/>
              </w:rPr>
              <w:t>:</w:t>
            </w:r>
          </w:p>
          <w:p w:rsidR="00A45B4A" w:rsidRPr="00A45B4A" w:rsidRDefault="00A45B4A" w:rsidP="00A45B4A">
            <w:r w:rsidRPr="00A45B4A">
              <w:t>(paras. 1 to 15)</w:t>
            </w:r>
          </w:p>
        </w:tc>
        <w:tc>
          <w:tcPr>
            <w:tcW w:w="3769" w:type="pct"/>
            <w:gridSpan w:val="3"/>
          </w:tcPr>
          <w:p w:rsidR="00A45B4A" w:rsidRPr="00A45B4A" w:rsidRDefault="00A45B4A" w:rsidP="00A45B4A">
            <w:pPr>
              <w:spacing w:before="120"/>
            </w:pPr>
            <w:r w:rsidRPr="00A45B4A">
              <w:rPr>
                <w:color w:val="000000"/>
              </w:rPr>
              <w:t>The Court</w:t>
            </w:r>
          </w:p>
        </w:tc>
      </w:tr>
    </w:tbl>
    <w:p w:rsidR="00A45B4A" w:rsidRPr="00A45B4A" w:rsidRDefault="00A45B4A" w:rsidP="00A45B4A">
      <w:pPr>
        <w:rPr>
          <w:rFonts w:eastAsiaTheme="minorHAnsi" w:cstheme="minorBidi"/>
          <w:szCs w:val="24"/>
          <w:lang w:eastAsia="en-US"/>
        </w:rPr>
      </w:pPr>
    </w:p>
    <w:p w:rsidR="00A45B4A" w:rsidRPr="00A45B4A" w:rsidRDefault="00A45B4A" w:rsidP="00A45B4A">
      <w:pPr>
        <w:rPr>
          <w:rFonts w:eastAsiaTheme="minorHAnsi" w:cstheme="minorBidi"/>
          <w:szCs w:val="24"/>
          <w:lang w:eastAsia="en-US"/>
        </w:rPr>
      </w:pPr>
    </w:p>
    <w:p w:rsidR="00A45B4A" w:rsidRPr="00A45B4A" w:rsidRDefault="00A45B4A" w:rsidP="00A45B4A">
      <w:pPr>
        <w:rPr>
          <w:rFonts w:eastAsiaTheme="minorHAnsi" w:cstheme="minorBidi"/>
          <w:szCs w:val="24"/>
          <w:lang w:eastAsia="en-US"/>
        </w:rPr>
      </w:pPr>
      <w:r w:rsidRPr="00A45B4A">
        <w:rPr>
          <w:rFonts w:eastAsiaTheme="minorHAnsi" w:cstheme="minorBidi"/>
          <w:b/>
          <w:smallCaps/>
          <w:szCs w:val="24"/>
          <w:lang w:eastAsia="en-US"/>
        </w:rPr>
        <w:t>Note:</w:t>
      </w:r>
      <w:r w:rsidRPr="00A45B4A">
        <w:rPr>
          <w:rFonts w:eastAsiaTheme="minorHAnsi" w:cstheme="minorBidi"/>
          <w:b/>
          <w:szCs w:val="24"/>
          <w:lang w:eastAsia="en-US"/>
        </w:rPr>
        <w:t xml:space="preserve"> </w:t>
      </w:r>
      <w:r w:rsidRPr="00A45B4A">
        <w:rPr>
          <w:rFonts w:eastAsiaTheme="minorHAnsi" w:cstheme="minorBidi"/>
          <w:szCs w:val="24"/>
          <w:lang w:eastAsia="en-US"/>
        </w:rPr>
        <w:t xml:space="preserve">This document is subject to editorial revision before its reproduction in final form in the </w:t>
      </w:r>
      <w:r w:rsidRPr="00A45B4A">
        <w:rPr>
          <w:rFonts w:eastAsiaTheme="minorHAnsi" w:cstheme="minorBidi"/>
          <w:i/>
          <w:szCs w:val="24"/>
          <w:lang w:eastAsia="en-US"/>
        </w:rPr>
        <w:t>Canada Supreme Court Reports</w:t>
      </w:r>
      <w:r w:rsidRPr="00A45B4A">
        <w:rPr>
          <w:rFonts w:eastAsiaTheme="minorHAnsi" w:cstheme="minorBidi"/>
          <w:szCs w:val="24"/>
          <w:lang w:eastAsia="en-US"/>
        </w:rPr>
        <w:t>.</w:t>
      </w:r>
    </w:p>
    <w:p w:rsidR="00A45B4A" w:rsidRPr="00A45B4A" w:rsidRDefault="00A45B4A" w:rsidP="00A45B4A">
      <w:pPr>
        <w:rPr>
          <w:rFonts w:eastAsiaTheme="minorHAnsi" w:cstheme="minorBidi"/>
          <w:szCs w:val="24"/>
          <w:lang w:eastAsia="en-US"/>
        </w:rPr>
      </w:pPr>
    </w:p>
    <w:p w:rsidR="00A45B4A" w:rsidRPr="00A45B4A" w:rsidRDefault="00A45B4A" w:rsidP="00A45B4A">
      <w:pPr>
        <w:rPr>
          <w:rFonts w:eastAsiaTheme="minorHAnsi" w:cstheme="minorBidi"/>
          <w:szCs w:val="24"/>
          <w:lang w:eastAsia="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A45B4A" w:rsidRPr="00A45B4A" w:rsidTr="00324424">
        <w:tc>
          <w:tcPr>
            <w:tcW w:w="1500" w:type="pct"/>
            <w:tcMar>
              <w:top w:w="284" w:type="dxa"/>
            </w:tcMar>
          </w:tcPr>
          <w:p w:rsidR="00A45B4A" w:rsidRPr="00A45B4A" w:rsidRDefault="00A45B4A" w:rsidP="00A45B4A"/>
        </w:tc>
        <w:tc>
          <w:tcPr>
            <w:tcW w:w="2000" w:type="pct"/>
            <w:tcBorders>
              <w:bottom w:val="single" w:sz="4" w:space="0" w:color="auto"/>
            </w:tcBorders>
            <w:tcMar>
              <w:top w:w="284" w:type="dxa"/>
            </w:tcMar>
          </w:tcPr>
          <w:p w:rsidR="00A45B4A" w:rsidRPr="00A45B4A" w:rsidRDefault="00A45B4A" w:rsidP="00A45B4A"/>
        </w:tc>
        <w:tc>
          <w:tcPr>
            <w:tcW w:w="1500" w:type="pct"/>
            <w:tcMar>
              <w:top w:w="284" w:type="dxa"/>
            </w:tcMar>
          </w:tcPr>
          <w:p w:rsidR="00A45B4A" w:rsidRPr="00A45B4A" w:rsidRDefault="00A45B4A" w:rsidP="00A45B4A"/>
        </w:tc>
      </w:tr>
    </w:tbl>
    <w:p w:rsidR="00A45B4A" w:rsidRPr="00A45B4A" w:rsidRDefault="00A45B4A" w:rsidP="00A45B4A">
      <w:pPr>
        <w:rPr>
          <w:rFonts w:eastAsiaTheme="minorHAnsi" w:cstheme="minorBidi"/>
          <w:szCs w:val="24"/>
          <w:lang w:eastAsia="en-US"/>
        </w:rPr>
      </w:pPr>
    </w:p>
    <w:p w:rsidR="00A45B4A" w:rsidRPr="00785491" w:rsidRDefault="00A45B4A">
      <w:pPr>
        <w:rPr>
          <w:b/>
        </w:rPr>
      </w:pPr>
      <w:r w:rsidRPr="00785491">
        <w:br w:type="page"/>
      </w:r>
    </w:p>
    <w:p w:rsidR="00756EFA" w:rsidRPr="00785491" w:rsidRDefault="00C2206A">
      <w:pPr>
        <w:pStyle w:val="SCCLsocLastPartyInRole"/>
      </w:pPr>
      <w:r w:rsidRPr="00785491">
        <w:lastRenderedPageBreak/>
        <w:t>Canadian Broadcasting Corporation</w:t>
      </w:r>
      <w:r w:rsidRPr="00785491">
        <w:rPr>
          <w:rStyle w:val="SCCLsocPartyRole"/>
        </w:rPr>
        <w:tab/>
        <w:t>Appellant</w:t>
      </w:r>
    </w:p>
    <w:p w:rsidR="00756EFA" w:rsidRPr="00785491" w:rsidRDefault="00C2206A">
      <w:pPr>
        <w:pStyle w:val="SCCLsocVersus"/>
      </w:pPr>
      <w:proofErr w:type="gramStart"/>
      <w:r w:rsidRPr="00785491">
        <w:t>v</w:t>
      </w:r>
      <w:proofErr w:type="gramEnd"/>
      <w:r w:rsidRPr="00785491">
        <w:t>.</w:t>
      </w:r>
    </w:p>
    <w:p w:rsidR="00756EFA" w:rsidRPr="00785491" w:rsidRDefault="008E70DD">
      <w:pPr>
        <w:pStyle w:val="SCCLsocParty"/>
      </w:pPr>
      <w:r w:rsidRPr="00785491">
        <w:t xml:space="preserve">His Majesty </w:t>
      </w:r>
      <w:proofErr w:type="gramStart"/>
      <w:r w:rsidRPr="00785491">
        <w:t>T</w:t>
      </w:r>
      <w:r w:rsidR="00C2206A" w:rsidRPr="00785491">
        <w:t>he</w:t>
      </w:r>
      <w:proofErr w:type="gramEnd"/>
      <w:r w:rsidR="00C2206A" w:rsidRPr="00785491">
        <w:t xml:space="preserve"> King,</w:t>
      </w:r>
    </w:p>
    <w:p w:rsidR="00CB1FCD" w:rsidRPr="00785491" w:rsidRDefault="00C2206A" w:rsidP="00CB1FCD">
      <w:pPr>
        <w:pStyle w:val="SCCLsocLastPartyInRole"/>
        <w:spacing w:after="0"/>
      </w:pPr>
      <w:r w:rsidRPr="00785491">
        <w:t>B.B</w:t>
      </w:r>
      <w:r w:rsidR="008D12D0" w:rsidRPr="00785491">
        <w:t>., spouse of the late M.D., and</w:t>
      </w:r>
    </w:p>
    <w:p w:rsidR="00756EFA" w:rsidRPr="00785491" w:rsidRDefault="00C2206A">
      <w:pPr>
        <w:pStyle w:val="SCCLsocLastPartyInRole"/>
      </w:pPr>
      <w:r w:rsidRPr="00785491">
        <w:t>J.D., in his capacity as executor of the estate of the late M.D.</w:t>
      </w:r>
      <w:r w:rsidRPr="00785491">
        <w:rPr>
          <w:rStyle w:val="SCCLsocPartyRole"/>
        </w:rPr>
        <w:tab/>
        <w:t>Respondents</w:t>
      </w:r>
    </w:p>
    <w:p w:rsidR="00756EFA" w:rsidRPr="00785491" w:rsidRDefault="00C2206A">
      <w:pPr>
        <w:pStyle w:val="SCCLsocOtherPartySeparator"/>
      </w:pPr>
      <w:proofErr w:type="gramStart"/>
      <w:r w:rsidRPr="00785491">
        <w:t>and</w:t>
      </w:r>
      <w:proofErr w:type="gramEnd"/>
    </w:p>
    <w:p w:rsidR="00756EFA" w:rsidRPr="00785491" w:rsidRDefault="00C2206A">
      <w:pPr>
        <w:pStyle w:val="SCCLsocParty"/>
      </w:pPr>
      <w:r w:rsidRPr="00785491">
        <w:t xml:space="preserve">Attorney General </w:t>
      </w:r>
      <w:r w:rsidR="00CB1FCD" w:rsidRPr="00785491">
        <w:t>of</w:t>
      </w:r>
      <w:r w:rsidRPr="00785491">
        <w:t xml:space="preserve"> Ontario,</w:t>
      </w:r>
    </w:p>
    <w:p w:rsidR="00756EFA" w:rsidRPr="00785491" w:rsidRDefault="00C2206A">
      <w:pPr>
        <w:pStyle w:val="SCCLsocParty"/>
      </w:pPr>
      <w:r w:rsidRPr="00785491">
        <w:t>Attorney General of British Columbia,</w:t>
      </w:r>
    </w:p>
    <w:p w:rsidR="00756EFA" w:rsidRPr="00785491" w:rsidRDefault="00C2206A">
      <w:pPr>
        <w:pStyle w:val="SCCLsocParty"/>
      </w:pPr>
      <w:r w:rsidRPr="00785491">
        <w:t>Centre for Free Expression,</w:t>
      </w:r>
    </w:p>
    <w:p w:rsidR="00CB1FCD" w:rsidRPr="00785491" w:rsidRDefault="00C2206A">
      <w:pPr>
        <w:pStyle w:val="SCCLsocParty"/>
      </w:pPr>
      <w:r w:rsidRPr="00785491">
        <w:t>Canad</w:t>
      </w:r>
      <w:r w:rsidR="008D12D0" w:rsidRPr="00785491">
        <w:t>ian Association of Journalists,</w:t>
      </w:r>
    </w:p>
    <w:p w:rsidR="00CB1FCD" w:rsidRPr="00785491" w:rsidRDefault="00C2206A">
      <w:pPr>
        <w:pStyle w:val="SCCLsocParty"/>
      </w:pPr>
      <w:r w:rsidRPr="00785491">
        <w:t>News Media Canada</w:t>
      </w:r>
      <w:r w:rsidR="00CB1FCD" w:rsidRPr="00785491">
        <w:t>,</w:t>
      </w:r>
    </w:p>
    <w:p w:rsidR="00756EFA" w:rsidRPr="00785491" w:rsidRDefault="00C2206A">
      <w:pPr>
        <w:pStyle w:val="SCCLsocParty"/>
      </w:pPr>
      <w:r w:rsidRPr="00785491">
        <w:t>Communications Workers of America/Canada</w:t>
      </w:r>
      <w:r w:rsidR="00CB1FCD" w:rsidRPr="00785491">
        <w:t xml:space="preserve"> and</w:t>
      </w:r>
    </w:p>
    <w:p w:rsidR="00756EFA" w:rsidRPr="00785491" w:rsidRDefault="008E70DD" w:rsidP="008D12D0">
      <w:pPr>
        <w:pStyle w:val="SCCLsocLastPartyInRole"/>
      </w:pPr>
      <w:r w:rsidRPr="00785491">
        <w:t>Ad Idem</w:t>
      </w:r>
      <w:r w:rsidR="00C2206A" w:rsidRPr="00785491">
        <w:t>/Canadian Media Lawyers Association</w:t>
      </w:r>
      <w:r w:rsidR="00C2206A" w:rsidRPr="00785491">
        <w:rPr>
          <w:rStyle w:val="SCCLsocPartyRole"/>
        </w:rPr>
        <w:tab/>
        <w:t>Interveners</w:t>
      </w:r>
    </w:p>
    <w:p w:rsidR="00426659" w:rsidRPr="00785491" w:rsidRDefault="00426659" w:rsidP="008D12D0">
      <w:pPr>
        <w:spacing w:after="720"/>
        <w:jc w:val="both"/>
        <w:rPr>
          <w:b/>
        </w:rPr>
      </w:pPr>
      <w:r w:rsidRPr="00785491">
        <w:rPr>
          <w:b/>
        </w:rPr>
        <w:t xml:space="preserve">Indexed as: </w:t>
      </w:r>
      <w:r w:rsidRPr="00785491">
        <w:rPr>
          <w:rStyle w:val="SCCAppellantForIndexChar"/>
        </w:rPr>
        <w:t>Canadian Broadcasting Corp</w:t>
      </w:r>
      <w:r w:rsidR="00CB1FCD" w:rsidRPr="00785491">
        <w:rPr>
          <w:rStyle w:val="SCCAppellantForIndexChar"/>
        </w:rPr>
        <w:t>.</w:t>
      </w:r>
      <w:r w:rsidRPr="00785491">
        <w:rPr>
          <w:b/>
        </w:rPr>
        <w:t xml:space="preserve"> </w:t>
      </w:r>
      <w:r w:rsidRPr="00785491">
        <w:rPr>
          <w:b/>
          <w:i/>
        </w:rPr>
        <w:t>v.</w:t>
      </w:r>
      <w:r w:rsidRPr="00785491">
        <w:rPr>
          <w:b/>
        </w:rPr>
        <w:t xml:space="preserve"> </w:t>
      </w:r>
      <w:r w:rsidR="00CB1FCD" w:rsidRPr="00785491">
        <w:rPr>
          <w:rStyle w:val="SCCRespondentForIndexChar"/>
        </w:rPr>
        <w:t>Manitoba</w:t>
      </w:r>
    </w:p>
    <w:p w:rsidR="00426659" w:rsidRPr="00785491" w:rsidRDefault="00AE4535" w:rsidP="008D12D0">
      <w:pPr>
        <w:pStyle w:val="SCCSystemYear"/>
        <w:spacing w:after="720"/>
        <w:jc w:val="both"/>
      </w:pPr>
      <w:r w:rsidRPr="00785491">
        <w:t>2023</w:t>
      </w:r>
      <w:r w:rsidR="003D0399" w:rsidRPr="00785491">
        <w:t xml:space="preserve"> </w:t>
      </w:r>
      <w:r w:rsidR="008D12D0" w:rsidRPr="00785491">
        <w:t xml:space="preserve">SCC </w:t>
      </w:r>
      <w:r w:rsidR="00BC5C93" w:rsidRPr="00785491">
        <w:t>27</w:t>
      </w:r>
    </w:p>
    <w:p w:rsidR="008322BD" w:rsidRPr="00785491" w:rsidRDefault="009B57B3" w:rsidP="008D12D0">
      <w:pPr>
        <w:spacing w:after="720"/>
        <w:jc w:val="both"/>
      </w:pPr>
      <w:r w:rsidRPr="00785491">
        <w:t>File No.: 38992.</w:t>
      </w:r>
    </w:p>
    <w:p w:rsidR="008322BD" w:rsidRPr="00785491" w:rsidRDefault="00AE4535" w:rsidP="008D12D0">
      <w:pPr>
        <w:spacing w:after="720"/>
        <w:jc w:val="both"/>
      </w:pPr>
      <w:r w:rsidRPr="00785491">
        <w:t>2023: October 19</w:t>
      </w:r>
      <w:r w:rsidR="009B57B3" w:rsidRPr="00785491">
        <w:t xml:space="preserve">; </w:t>
      </w:r>
      <w:r w:rsidRPr="00785491">
        <w:t xml:space="preserve">2023: </w:t>
      </w:r>
      <w:r w:rsidR="00CB1FCD" w:rsidRPr="00785491">
        <w:t>November 9</w:t>
      </w:r>
      <w:r w:rsidR="009B57B3" w:rsidRPr="00785491">
        <w:t>.</w:t>
      </w:r>
    </w:p>
    <w:p w:rsidR="008322BD" w:rsidRPr="00785491" w:rsidRDefault="009B57B3" w:rsidP="008D12D0">
      <w:pPr>
        <w:spacing w:after="720"/>
        <w:jc w:val="both"/>
      </w:pPr>
      <w:r w:rsidRPr="00785491">
        <w:t>Present: Wagner C.J. and Karakatsanis, Côté, Rowe, Martin, Kasirer and Jamal JJ.</w:t>
      </w:r>
    </w:p>
    <w:p w:rsidR="008322BD" w:rsidRPr="00785491" w:rsidRDefault="00656313" w:rsidP="00CD6576">
      <w:pPr>
        <w:pStyle w:val="SCCLowerCourtNameLowercase"/>
        <w:spacing w:after="720" w:line="240" w:lineRule="auto"/>
      </w:pPr>
      <w:r w:rsidRPr="00785491">
        <w:t>o</w:t>
      </w:r>
      <w:r w:rsidR="00170592" w:rsidRPr="00785491">
        <w:t>n</w:t>
      </w:r>
      <w:r w:rsidR="00224FC0" w:rsidRPr="00785491">
        <w:t xml:space="preserve"> </w:t>
      </w:r>
      <w:r w:rsidRPr="00785491">
        <w:t>a</w:t>
      </w:r>
      <w:r w:rsidR="00170592" w:rsidRPr="00785491">
        <w:t>ppeal</w:t>
      </w:r>
      <w:r w:rsidR="00224FC0" w:rsidRPr="00785491">
        <w:t xml:space="preserve"> </w:t>
      </w:r>
      <w:r w:rsidR="00170592" w:rsidRPr="00785491">
        <w:t>from</w:t>
      </w:r>
      <w:r w:rsidR="009567AA" w:rsidRPr="00785491">
        <w:t xml:space="preserve"> the</w:t>
      </w:r>
      <w:r w:rsidR="00224FC0" w:rsidRPr="00785491">
        <w:t xml:space="preserve"> </w:t>
      </w:r>
      <w:r w:rsidR="009B57B3" w:rsidRPr="00785491">
        <w:t xml:space="preserve">court of appeal of </w:t>
      </w:r>
      <w:proofErr w:type="spellStart"/>
      <w:r w:rsidR="009B57B3" w:rsidRPr="00785491">
        <w:t>manitoba</w:t>
      </w:r>
      <w:proofErr w:type="spellEnd"/>
    </w:p>
    <w:p w:rsidR="00DF1A87" w:rsidRPr="00785491" w:rsidRDefault="00DF1A87" w:rsidP="00CD6576">
      <w:pPr>
        <w:pStyle w:val="SCCNormalDoubleSpacing"/>
        <w:spacing w:after="480"/>
      </w:pPr>
      <w:r w:rsidRPr="00785491">
        <w:lastRenderedPageBreak/>
        <w:tab/>
      </w:r>
      <w:r w:rsidRPr="00785491">
        <w:rPr>
          <w:i/>
        </w:rPr>
        <w:t>Courts — Open court principle — Publication bans — Discretionary limits on court openness — Important public interest — Privacy — Dignity — Court of Appeal ordering publication ban on affidavit filed in criminal proceedings before it — Media representative challenging publication ban — Whether Court of Appeal erred in imposing publication ban</w:t>
      </w:r>
      <w:r w:rsidRPr="00785491">
        <w:t>.</w:t>
      </w:r>
    </w:p>
    <w:p w:rsidR="00DF1A87" w:rsidRPr="00785491" w:rsidRDefault="00DF1A87" w:rsidP="00CD6576">
      <w:pPr>
        <w:pStyle w:val="SCCNormalDoubleSpacing"/>
        <w:spacing w:after="480"/>
      </w:pPr>
      <w:r w:rsidRPr="00785491">
        <w:tab/>
        <w:t>During wrongful conviction proceedings before the Court of Appeal, an accused sought to introduce as new evidence an affidavit concerning the death of a witness involved in those proceedings. The Court of Appeal issued a publication ban over the affidavit and, in its reasons for judgment, ordered that the publication ban remain in effect. The CBC now calls upon the Court to set aside the publication ban.</w:t>
      </w:r>
    </w:p>
    <w:p w:rsidR="00DF1A87" w:rsidRPr="00785491" w:rsidRDefault="00DF1A87" w:rsidP="00CD6576">
      <w:pPr>
        <w:pStyle w:val="SCCNormalDoubleSpacing"/>
        <w:spacing w:after="480"/>
      </w:pPr>
      <w:r w:rsidRPr="00785491">
        <w:tab/>
      </w:r>
      <w:r w:rsidRPr="00785491">
        <w:rPr>
          <w:rStyle w:val="QuoteChar"/>
          <w:color w:val="auto"/>
          <w:lang w:val="en-CA"/>
        </w:rPr>
        <w:t>Held</w:t>
      </w:r>
      <w:r w:rsidRPr="00785491">
        <w:rPr>
          <w:rStyle w:val="QuoteChar"/>
          <w:i w:val="0"/>
          <w:color w:val="auto"/>
          <w:lang w:val="en-CA"/>
        </w:rPr>
        <w:t>:</w:t>
      </w:r>
      <w:r w:rsidRPr="00785491">
        <w:t xml:space="preserve"> The appeal should be dismissed.</w:t>
      </w:r>
    </w:p>
    <w:p w:rsidR="00DF1A87" w:rsidRPr="00785491" w:rsidRDefault="00DF1A87" w:rsidP="00CD6576">
      <w:pPr>
        <w:pStyle w:val="SCCNormalDoubleSpacing"/>
        <w:spacing w:after="480"/>
      </w:pPr>
      <w:r w:rsidRPr="00785491">
        <w:tab/>
        <w:t>The Court of Appeal did not make a reversible error in issuing the publication ban or in ordering that it remain in effect. The publication ban should therefore not be rescinded or varied.</w:t>
      </w:r>
    </w:p>
    <w:p w:rsidR="00DF1A87" w:rsidRPr="00785491" w:rsidRDefault="00DF1A87" w:rsidP="00CD6576">
      <w:pPr>
        <w:pStyle w:val="SCCNormalDoubleSpacing"/>
        <w:spacing w:after="480"/>
      </w:pPr>
      <w:r w:rsidRPr="00785491">
        <w:tab/>
        <w:t xml:space="preserve">Under </w:t>
      </w:r>
      <w:r w:rsidRPr="00785491">
        <w:rPr>
          <w:i/>
        </w:rPr>
        <w:t>Sherman</w:t>
      </w:r>
      <w:r w:rsidRPr="00785491">
        <w:t xml:space="preserve"> </w:t>
      </w:r>
      <w:r w:rsidRPr="00785491">
        <w:rPr>
          <w:i/>
        </w:rPr>
        <w:t>Estate v. Donovan</w:t>
      </w:r>
      <w:r w:rsidRPr="00785491">
        <w:t>, 2021 SCC 25, the person asking a court to exercise discretion in a way that limits the open court principle</w:t>
      </w:r>
      <w:r w:rsidR="00CD6576" w:rsidRPr="00785491">
        <w:t xml:space="preserve"> must establish that: (1) </w:t>
      </w:r>
      <w:r w:rsidRPr="00785491">
        <w:t>court openness poses a serious risk to an important public interest; (2</w:t>
      </w:r>
      <w:r w:rsidR="00CD6576" w:rsidRPr="00785491">
        <w:t>) </w:t>
      </w:r>
      <w:r w:rsidRPr="00785491">
        <w:t>the order sought is necessary to prevent this serious risk to the identified interest because reasonably alternative measures will</w:t>
      </w:r>
      <w:r w:rsidR="00CD6576" w:rsidRPr="00785491">
        <w:t xml:space="preserve"> not prevent this risk; and (3) </w:t>
      </w:r>
      <w:r w:rsidRPr="00785491">
        <w:t>as a matter of proportionality, the benefits of the order outweigh its negative effects.</w:t>
      </w:r>
    </w:p>
    <w:p w:rsidR="00A149DF" w:rsidRPr="00785491" w:rsidRDefault="00DF1A87" w:rsidP="00CD6576">
      <w:pPr>
        <w:pStyle w:val="SCCNormalDoubleSpacing"/>
        <w:spacing w:after="480"/>
      </w:pPr>
      <w:r w:rsidRPr="00785491">
        <w:lastRenderedPageBreak/>
        <w:tab/>
        <w:t xml:space="preserve">In this case, the first branch of the </w:t>
      </w:r>
      <w:r w:rsidRPr="00785491">
        <w:rPr>
          <w:i/>
        </w:rPr>
        <w:t>Sherman</w:t>
      </w:r>
      <w:r w:rsidRPr="00785491">
        <w:t xml:space="preserve"> test is satisfied. There is a strong public interest in protecting the privacy of the spouse of the deceased witness, </w:t>
      </w:r>
      <w:r w:rsidR="00A21D76" w:rsidRPr="00785491">
        <w:t>and</w:t>
      </w:r>
      <w:r w:rsidRPr="00785491">
        <w:t xml:space="preserve"> disclosure of the affidavit would reveal highly sensitive and acutely personal information that would result in an affront to the spouse’s dignity interest in her own right. The second branch of the test is also satisfied, as the publication ban is necessary to prevent a serious risk to the dignity of the witness’s spouse, </w:t>
      </w:r>
      <w:r w:rsidR="00A21D76" w:rsidRPr="00785491">
        <w:t xml:space="preserve">the </w:t>
      </w:r>
      <w:r w:rsidRPr="00785491">
        <w:t>publication ban was not overbroad or vague and there was no reasonable alternative to its terms. Finally, as to the third branch, the benefit of the publication ban</w:t>
      </w:r>
      <w:r w:rsidR="00A21D76" w:rsidRPr="00785491">
        <w:t xml:space="preserve">, </w:t>
      </w:r>
      <w:r w:rsidRPr="00785491">
        <w:t>which is to protect the dignity of the witness’s spouse, significantly outweighs its minimal deleterious effect on the right of free expression and, by extension, the principle of open and accessible court proceedings. The affidavit did not play a role in determining that a wrongful conviction had occurred.</w:t>
      </w:r>
    </w:p>
    <w:p w:rsidR="007E1C47" w:rsidRPr="00785491" w:rsidRDefault="002E6705" w:rsidP="008D12D0">
      <w:pPr>
        <w:pStyle w:val="SCCNormalDoubleSpacing"/>
        <w:widowControl w:val="0"/>
        <w:spacing w:after="720" w:line="240" w:lineRule="auto"/>
        <w:rPr>
          <w:b/>
        </w:rPr>
      </w:pPr>
      <w:r w:rsidRPr="00785491">
        <w:rPr>
          <w:b/>
        </w:rPr>
        <w:t>Cases Cited</w:t>
      </w:r>
    </w:p>
    <w:p w:rsidR="004E2C26" w:rsidRPr="00785491" w:rsidRDefault="002E6705" w:rsidP="007237BC">
      <w:pPr>
        <w:pStyle w:val="SCCNormalDoubleSpacing"/>
        <w:widowControl w:val="0"/>
        <w:spacing w:after="720"/>
      </w:pPr>
      <w:r w:rsidRPr="00785491">
        <w:tab/>
      </w:r>
      <w:r w:rsidR="007237BC" w:rsidRPr="00785491">
        <w:rPr>
          <w:b/>
        </w:rPr>
        <w:t>Applied:</w:t>
      </w:r>
      <w:r w:rsidR="007237BC" w:rsidRPr="00785491">
        <w:t xml:space="preserve"> </w:t>
      </w:r>
      <w:r w:rsidR="007237BC" w:rsidRPr="00785491">
        <w:rPr>
          <w:i/>
        </w:rPr>
        <w:t>Sherman Estate v. Donovan</w:t>
      </w:r>
      <w:r w:rsidR="007237BC" w:rsidRPr="00785491">
        <w:t xml:space="preserve">, 2021 SCC 25; </w:t>
      </w:r>
      <w:r w:rsidR="007237BC" w:rsidRPr="00785491">
        <w:rPr>
          <w:b/>
        </w:rPr>
        <w:t>r</w:t>
      </w:r>
      <w:r w:rsidRPr="00785491">
        <w:rPr>
          <w:b/>
        </w:rPr>
        <w:t>eferred to:</w:t>
      </w:r>
      <w:r w:rsidR="00BD0E9E" w:rsidRPr="00785491">
        <w:t xml:space="preserve"> </w:t>
      </w:r>
      <w:r w:rsidR="007237BC" w:rsidRPr="00785491">
        <w:rPr>
          <w:i/>
        </w:rPr>
        <w:t xml:space="preserve">R. v. </w:t>
      </w:r>
      <w:proofErr w:type="spellStart"/>
      <w:r w:rsidR="007237BC" w:rsidRPr="00785491">
        <w:rPr>
          <w:i/>
        </w:rPr>
        <w:t>Ostrowski</w:t>
      </w:r>
      <w:proofErr w:type="spellEnd"/>
      <w:r w:rsidR="007237BC" w:rsidRPr="00785491">
        <w:t xml:space="preserve">, 2019 MBCA 122; </w:t>
      </w:r>
      <w:r w:rsidR="007237BC" w:rsidRPr="00785491">
        <w:rPr>
          <w:i/>
        </w:rPr>
        <w:t>Canadian Broadcasting Corp. v. Manitoba</w:t>
      </w:r>
      <w:r w:rsidR="007237BC" w:rsidRPr="00785491">
        <w:t xml:space="preserve">, 2021 SCC 33; </w:t>
      </w:r>
      <w:r w:rsidR="007237BC" w:rsidRPr="00785491">
        <w:rPr>
          <w:i/>
        </w:rPr>
        <w:t xml:space="preserve">R. v. </w:t>
      </w:r>
      <w:proofErr w:type="spellStart"/>
      <w:r w:rsidR="007237BC" w:rsidRPr="00785491">
        <w:rPr>
          <w:i/>
        </w:rPr>
        <w:t>Ostrowski</w:t>
      </w:r>
      <w:proofErr w:type="spellEnd"/>
      <w:r w:rsidR="007237BC" w:rsidRPr="00785491">
        <w:t>, 2023 MBCA 6, [2023] 9 W.W.R. 210</w:t>
      </w:r>
      <w:r w:rsidR="002D2C45" w:rsidRPr="00785491">
        <w:t>.</w:t>
      </w:r>
    </w:p>
    <w:p w:rsidR="00656313" w:rsidRPr="00785491" w:rsidRDefault="009B57B3" w:rsidP="008D12D0">
      <w:pPr>
        <w:pStyle w:val="SCCNormalDoubleSpacing"/>
        <w:spacing w:after="480"/>
      </w:pPr>
      <w:r w:rsidRPr="00785491">
        <w:tab/>
        <w:t xml:space="preserve">APPEAL from a judgment of the </w:t>
      </w:r>
      <w:r w:rsidR="00CB1FCD" w:rsidRPr="00785491">
        <w:t xml:space="preserve">Manitoba </w:t>
      </w:r>
      <w:r w:rsidRPr="00785491">
        <w:t>Court of Appeal</w:t>
      </w:r>
      <w:r w:rsidR="00CB1FCD" w:rsidRPr="00785491">
        <w:t xml:space="preserve"> (Beard, Burnett and Pfuetzner JJ.A.), </w:t>
      </w:r>
      <w:hyperlink r:id="rId9" w:history="1">
        <w:r w:rsidR="00C524B5" w:rsidRPr="00785491">
          <w:rPr>
            <w:rStyle w:val="Hyperlink"/>
          </w:rPr>
          <w:t>2018 MBCA 125</w:t>
        </w:r>
      </w:hyperlink>
      <w:r w:rsidR="00C524B5" w:rsidRPr="00785491">
        <w:rPr>
          <w:color w:val="000000"/>
        </w:rPr>
        <w:t>, 369 C.C.C. (3d) 139 (</w:t>
      </w:r>
      <w:r w:rsidR="00C524B5" w:rsidRPr="00785491">
        <w:rPr>
          <w:i/>
          <w:iCs/>
          <w:color w:val="000000"/>
        </w:rPr>
        <w:t xml:space="preserve">sub nom. R. v. </w:t>
      </w:r>
      <w:proofErr w:type="spellStart"/>
      <w:r w:rsidR="00C524B5" w:rsidRPr="00785491">
        <w:rPr>
          <w:i/>
          <w:iCs/>
          <w:color w:val="000000"/>
        </w:rPr>
        <w:t>Ostrowski</w:t>
      </w:r>
      <w:proofErr w:type="spellEnd"/>
      <w:r w:rsidR="00C524B5" w:rsidRPr="00785491">
        <w:rPr>
          <w:color w:val="000000"/>
        </w:rPr>
        <w:t xml:space="preserve">), [2018] M.J. No. 306 (QL), 2018 </w:t>
      </w:r>
      <w:proofErr w:type="spellStart"/>
      <w:r w:rsidR="00C524B5" w:rsidRPr="00785491">
        <w:rPr>
          <w:color w:val="000000"/>
        </w:rPr>
        <w:t>CarswellMan</w:t>
      </w:r>
      <w:proofErr w:type="spellEnd"/>
      <w:r w:rsidR="00C524B5" w:rsidRPr="00785491">
        <w:rPr>
          <w:color w:val="000000"/>
        </w:rPr>
        <w:t xml:space="preserve"> 550 (WL), </w:t>
      </w:r>
      <w:r w:rsidR="008D12D0" w:rsidRPr="00785491">
        <w:rPr>
          <w:color w:val="000000"/>
        </w:rPr>
        <w:t xml:space="preserve">ordering </w:t>
      </w:r>
      <w:r w:rsidR="008D12D0" w:rsidRPr="00785491">
        <w:rPr>
          <w:i/>
          <w:iCs/>
          <w:color w:val="000000"/>
        </w:rPr>
        <w:t xml:space="preserve">inter alia </w:t>
      </w:r>
      <w:r w:rsidR="00C524B5" w:rsidRPr="00785491">
        <w:rPr>
          <w:color w:val="000000"/>
        </w:rPr>
        <w:t>that a publication ban remain in effect</w:t>
      </w:r>
      <w:r w:rsidR="00CB1FCD" w:rsidRPr="00785491">
        <w:rPr>
          <w:color w:val="000000"/>
        </w:rPr>
        <w:t>. Appeal dismissed.</w:t>
      </w:r>
    </w:p>
    <w:p w:rsidR="00756EFA" w:rsidRPr="00785491" w:rsidRDefault="00C2206A" w:rsidP="008D12D0">
      <w:pPr>
        <w:pStyle w:val="SCCNormalDoubleSpacing"/>
        <w:spacing w:after="480"/>
      </w:pPr>
      <w:r w:rsidRPr="00785491">
        <w:rPr>
          <w:rStyle w:val="SCCCounselNameChar"/>
        </w:rPr>
        <w:lastRenderedPageBreak/>
        <w:tab/>
      </w:r>
      <w:r w:rsidR="00CB1FCD" w:rsidRPr="00785491">
        <w:rPr>
          <w:rStyle w:val="scccounselnamechar0"/>
          <w:i/>
          <w:iCs/>
          <w:color w:val="000000"/>
        </w:rPr>
        <w:t>Jonathan B. Kroft</w:t>
      </w:r>
      <w:r w:rsidR="00CB1FCD" w:rsidRPr="00785491">
        <w:rPr>
          <w:rStyle w:val="scccounselnamechar0"/>
          <w:color w:val="000000"/>
        </w:rPr>
        <w:t xml:space="preserve">, </w:t>
      </w:r>
      <w:r w:rsidR="00CB1FCD" w:rsidRPr="00785491">
        <w:rPr>
          <w:rStyle w:val="scccounselnamechar0"/>
          <w:i/>
          <w:iCs/>
          <w:color w:val="000000"/>
        </w:rPr>
        <w:t>K.C.</w:t>
      </w:r>
      <w:r w:rsidR="00CB1FCD" w:rsidRPr="00785491">
        <w:rPr>
          <w:rStyle w:val="scccounselnamechar0"/>
          <w:color w:val="000000"/>
        </w:rPr>
        <w:t xml:space="preserve">, </w:t>
      </w:r>
      <w:r w:rsidR="00CB1FCD" w:rsidRPr="00785491">
        <w:rPr>
          <w:rStyle w:val="scccounselnamechar0"/>
          <w:i/>
          <w:iCs/>
          <w:color w:val="000000"/>
        </w:rPr>
        <w:t xml:space="preserve">Sean </w:t>
      </w:r>
      <w:proofErr w:type="spellStart"/>
      <w:r w:rsidR="00CB1FCD" w:rsidRPr="00785491">
        <w:rPr>
          <w:rStyle w:val="scccounselnamechar0"/>
          <w:i/>
          <w:iCs/>
          <w:color w:val="000000"/>
        </w:rPr>
        <w:t>Moreman</w:t>
      </w:r>
      <w:proofErr w:type="spellEnd"/>
      <w:r w:rsidR="00CB1FCD" w:rsidRPr="00785491">
        <w:rPr>
          <w:rStyle w:val="scccounselnamechar0"/>
          <w:i/>
          <w:iCs/>
          <w:color w:val="000000"/>
        </w:rPr>
        <w:t xml:space="preserve"> </w:t>
      </w:r>
      <w:r w:rsidR="00CB1FCD" w:rsidRPr="00785491">
        <w:rPr>
          <w:rStyle w:val="scccounselnamechar0"/>
          <w:color w:val="000000"/>
        </w:rPr>
        <w:t xml:space="preserve">and </w:t>
      </w:r>
      <w:r w:rsidR="00CB1FCD" w:rsidRPr="00785491">
        <w:rPr>
          <w:rStyle w:val="scccounselnamechar0"/>
          <w:i/>
          <w:iCs/>
          <w:color w:val="000000"/>
        </w:rPr>
        <w:t xml:space="preserve">Jennifer </w:t>
      </w:r>
      <w:proofErr w:type="spellStart"/>
      <w:r w:rsidR="00CB1FCD" w:rsidRPr="00785491">
        <w:rPr>
          <w:rStyle w:val="scccounselnamechar0"/>
          <w:i/>
          <w:iCs/>
          <w:color w:val="000000"/>
        </w:rPr>
        <w:t>Soka</w:t>
      </w:r>
      <w:r w:rsidR="00C46F42" w:rsidRPr="00785491">
        <w:rPr>
          <w:rStyle w:val="scccounselnamechar0"/>
          <w:i/>
          <w:iCs/>
          <w:color w:val="000000"/>
        </w:rPr>
        <w:t>l</w:t>
      </w:r>
      <w:proofErr w:type="spellEnd"/>
      <w:r w:rsidRPr="00785491">
        <w:rPr>
          <w:rStyle w:val="SCCCounselPartyRoleChar"/>
        </w:rPr>
        <w:t>, for the appellant.</w:t>
      </w:r>
    </w:p>
    <w:p w:rsidR="00756EFA" w:rsidRPr="00785491" w:rsidRDefault="00C2206A" w:rsidP="008D12D0">
      <w:pPr>
        <w:pStyle w:val="SCCNormalDoubleSpacing"/>
        <w:spacing w:after="480"/>
      </w:pPr>
      <w:r w:rsidRPr="00785491">
        <w:rPr>
          <w:rStyle w:val="SCCCounselNameChar"/>
        </w:rPr>
        <w:tab/>
      </w:r>
      <w:r w:rsidR="008D12D0" w:rsidRPr="00785491">
        <w:rPr>
          <w:i/>
          <w:iCs/>
          <w:color w:val="000000"/>
        </w:rPr>
        <w:t xml:space="preserve">Michael </w:t>
      </w:r>
      <w:proofErr w:type="spellStart"/>
      <w:r w:rsidR="008D12D0" w:rsidRPr="00785491">
        <w:rPr>
          <w:i/>
          <w:iCs/>
          <w:color w:val="000000"/>
        </w:rPr>
        <w:t>Bodner</w:t>
      </w:r>
      <w:proofErr w:type="spellEnd"/>
      <w:r w:rsidR="008D12D0" w:rsidRPr="00785491">
        <w:rPr>
          <w:i/>
          <w:iCs/>
          <w:color w:val="000000"/>
        </w:rPr>
        <w:t xml:space="preserve"> </w:t>
      </w:r>
      <w:r w:rsidR="008D12D0" w:rsidRPr="00785491">
        <w:rPr>
          <w:color w:val="000000"/>
        </w:rPr>
        <w:t xml:space="preserve">and </w:t>
      </w:r>
      <w:r w:rsidR="00CB1FCD" w:rsidRPr="00785491">
        <w:rPr>
          <w:i/>
          <w:iCs/>
          <w:color w:val="000000"/>
        </w:rPr>
        <w:t xml:space="preserve">Joel N. </w:t>
      </w:r>
      <w:proofErr w:type="spellStart"/>
      <w:r w:rsidR="00CB1FCD" w:rsidRPr="00785491">
        <w:rPr>
          <w:i/>
          <w:iCs/>
          <w:color w:val="000000"/>
        </w:rPr>
        <w:t>Myskiw</w:t>
      </w:r>
      <w:proofErr w:type="spellEnd"/>
      <w:r w:rsidR="00CB1FCD" w:rsidRPr="00785491">
        <w:rPr>
          <w:color w:val="000000"/>
        </w:rPr>
        <w:t xml:space="preserve">, for the respondent His Majesty </w:t>
      </w:r>
      <w:proofErr w:type="gramStart"/>
      <w:r w:rsidR="00CB1FCD" w:rsidRPr="00785491">
        <w:rPr>
          <w:color w:val="000000"/>
        </w:rPr>
        <w:t>The</w:t>
      </w:r>
      <w:proofErr w:type="gramEnd"/>
      <w:r w:rsidR="00CB1FCD" w:rsidRPr="00785491">
        <w:rPr>
          <w:color w:val="000000"/>
        </w:rPr>
        <w:t xml:space="preserve"> King</w:t>
      </w:r>
      <w:r w:rsidRPr="00785491">
        <w:rPr>
          <w:rStyle w:val="SCCCounselPartyRoleChar"/>
        </w:rPr>
        <w:t>.</w:t>
      </w:r>
    </w:p>
    <w:p w:rsidR="00756EFA" w:rsidRPr="00785491" w:rsidRDefault="00C2206A" w:rsidP="008D12D0">
      <w:pPr>
        <w:pStyle w:val="SCCNormalDoubleSpacing"/>
        <w:spacing w:after="480"/>
      </w:pPr>
      <w:r w:rsidRPr="00785491">
        <w:rPr>
          <w:rStyle w:val="SCCCounselNameChar"/>
        </w:rPr>
        <w:tab/>
      </w:r>
      <w:r w:rsidR="00CB1FCD" w:rsidRPr="00785491">
        <w:rPr>
          <w:rStyle w:val="scccounselpartyrolechar0"/>
          <w:i/>
          <w:iCs/>
          <w:color w:val="000000"/>
        </w:rPr>
        <w:t xml:space="preserve">Robert </w:t>
      </w:r>
      <w:proofErr w:type="spellStart"/>
      <w:r w:rsidR="00CB1FCD" w:rsidRPr="00785491">
        <w:rPr>
          <w:rStyle w:val="scccounselpartyrolechar0"/>
          <w:i/>
          <w:iCs/>
          <w:color w:val="000000"/>
        </w:rPr>
        <w:t>Gosman</w:t>
      </w:r>
      <w:proofErr w:type="spellEnd"/>
      <w:r w:rsidR="008D12D0" w:rsidRPr="00785491">
        <w:rPr>
          <w:rStyle w:val="scccounselpartyrolechar0"/>
          <w:color w:val="000000"/>
        </w:rPr>
        <w:t xml:space="preserve">, </w:t>
      </w:r>
      <w:r w:rsidR="008D12D0" w:rsidRPr="00785491">
        <w:rPr>
          <w:color w:val="000000"/>
        </w:rPr>
        <w:t xml:space="preserve">for the respondents </w:t>
      </w:r>
      <w:r w:rsidR="00CB1FCD" w:rsidRPr="00785491">
        <w:rPr>
          <w:color w:val="000000"/>
        </w:rPr>
        <w:t>B.B., spouse of the late M.D., and</w:t>
      </w:r>
      <w:r w:rsidR="008D12D0" w:rsidRPr="00785491">
        <w:rPr>
          <w:i/>
          <w:iCs/>
          <w:color w:val="000000"/>
        </w:rPr>
        <w:t xml:space="preserve"> </w:t>
      </w:r>
      <w:r w:rsidR="00CB1FCD" w:rsidRPr="00785491">
        <w:rPr>
          <w:color w:val="000000"/>
        </w:rPr>
        <w:t>J.D., in his capacity as executor of the estate of the late M.D</w:t>
      </w:r>
      <w:r w:rsidRPr="00785491">
        <w:rPr>
          <w:rStyle w:val="SCCCounselPartyRoleChar"/>
        </w:rPr>
        <w:t>.</w:t>
      </w:r>
    </w:p>
    <w:p w:rsidR="00756EFA" w:rsidRPr="00785491" w:rsidRDefault="00C2206A" w:rsidP="008D12D0">
      <w:pPr>
        <w:pStyle w:val="SCCNormalDoubleSpacing"/>
        <w:spacing w:after="480"/>
      </w:pPr>
      <w:r w:rsidRPr="00785491">
        <w:rPr>
          <w:rStyle w:val="SCCCounselNameChar"/>
        </w:rPr>
        <w:tab/>
      </w:r>
      <w:r w:rsidR="00CB1FCD" w:rsidRPr="00785491">
        <w:rPr>
          <w:rStyle w:val="scccounselpartyrolechar0"/>
          <w:i/>
          <w:iCs/>
          <w:color w:val="000000"/>
        </w:rPr>
        <w:t>Michael Bernstein</w:t>
      </w:r>
      <w:r w:rsidR="00CB1FCD" w:rsidRPr="00785491">
        <w:rPr>
          <w:color w:val="000000"/>
        </w:rPr>
        <w:t>, for the intervener the Attorney General of Ontario</w:t>
      </w:r>
      <w:r w:rsidRPr="00785491">
        <w:rPr>
          <w:rStyle w:val="SCCCounselPartyRoleChar"/>
        </w:rPr>
        <w:t>.</w:t>
      </w:r>
    </w:p>
    <w:p w:rsidR="00756EFA" w:rsidRPr="00785491" w:rsidRDefault="00C2206A" w:rsidP="008D12D0">
      <w:pPr>
        <w:pStyle w:val="SCCNormalDoubleSpacing"/>
        <w:spacing w:after="480"/>
      </w:pPr>
      <w:r w:rsidRPr="00785491">
        <w:rPr>
          <w:rStyle w:val="SCCCounselNameChar"/>
        </w:rPr>
        <w:tab/>
      </w:r>
      <w:r w:rsidR="00CB1FCD" w:rsidRPr="00785491">
        <w:rPr>
          <w:rStyle w:val="scccounselpartyrolechar0"/>
          <w:i/>
          <w:iCs/>
          <w:color w:val="000000"/>
        </w:rPr>
        <w:t xml:space="preserve">Lesley </w:t>
      </w:r>
      <w:proofErr w:type="spellStart"/>
      <w:r w:rsidR="00CB1FCD" w:rsidRPr="00785491">
        <w:rPr>
          <w:rStyle w:val="scccounselpartyrolechar0"/>
          <w:i/>
          <w:iCs/>
          <w:color w:val="000000"/>
        </w:rPr>
        <w:t>Ruzicka</w:t>
      </w:r>
      <w:proofErr w:type="spellEnd"/>
      <w:r w:rsidR="00CB1FCD" w:rsidRPr="00785491">
        <w:rPr>
          <w:rStyle w:val="scccounselpartyrolechar0"/>
          <w:color w:val="000000"/>
        </w:rPr>
        <w:t xml:space="preserve">, </w:t>
      </w:r>
      <w:r w:rsidR="00CB1FCD" w:rsidRPr="00785491">
        <w:rPr>
          <w:rStyle w:val="scccounselpartyrolechar0"/>
          <w:i/>
          <w:iCs/>
          <w:color w:val="000000"/>
        </w:rPr>
        <w:t>K.C.</w:t>
      </w:r>
      <w:r w:rsidR="00CB1FCD" w:rsidRPr="00785491">
        <w:rPr>
          <w:rStyle w:val="scccounselpartyrolechar0"/>
          <w:color w:val="000000"/>
        </w:rPr>
        <w:t xml:space="preserve">, and </w:t>
      </w:r>
      <w:r w:rsidR="00CB1FCD" w:rsidRPr="00785491">
        <w:rPr>
          <w:rStyle w:val="scccounselpartyrolechar0"/>
          <w:i/>
          <w:iCs/>
          <w:color w:val="000000"/>
        </w:rPr>
        <w:t xml:space="preserve">Chantelle </w:t>
      </w:r>
      <w:proofErr w:type="spellStart"/>
      <w:r w:rsidR="00CB1FCD" w:rsidRPr="00785491">
        <w:rPr>
          <w:rStyle w:val="scccounselpartyrolechar0"/>
          <w:i/>
          <w:iCs/>
          <w:color w:val="000000"/>
        </w:rPr>
        <w:t>Rajotte</w:t>
      </w:r>
      <w:proofErr w:type="spellEnd"/>
      <w:r w:rsidR="00CB1FCD" w:rsidRPr="00785491">
        <w:rPr>
          <w:rStyle w:val="scccounselseparatorchar0"/>
          <w:color w:val="000000"/>
        </w:rPr>
        <w:t xml:space="preserve">, </w:t>
      </w:r>
      <w:r w:rsidR="00CB1FCD" w:rsidRPr="00785491">
        <w:rPr>
          <w:rStyle w:val="scccounselpartyrolechar00"/>
          <w:color w:val="000000"/>
        </w:rPr>
        <w:t>for the intervener the Attorney General of British Columbia</w:t>
      </w:r>
      <w:r w:rsidRPr="00785491">
        <w:rPr>
          <w:rStyle w:val="SCCCounselPartyRoleChar"/>
        </w:rPr>
        <w:t>.</w:t>
      </w:r>
    </w:p>
    <w:p w:rsidR="00756EFA" w:rsidRPr="00785491" w:rsidRDefault="00C2206A" w:rsidP="008D12D0">
      <w:pPr>
        <w:pStyle w:val="SCCNormalDoubleSpacing"/>
        <w:spacing w:after="480"/>
      </w:pPr>
      <w:r w:rsidRPr="00785491">
        <w:rPr>
          <w:rStyle w:val="SCCCounselNameChar"/>
        </w:rPr>
        <w:tab/>
      </w:r>
      <w:r w:rsidR="00CB1FCD" w:rsidRPr="00785491">
        <w:rPr>
          <w:rStyle w:val="scccounselpartyrolechar0"/>
          <w:i/>
          <w:iCs/>
          <w:color w:val="000000"/>
        </w:rPr>
        <w:t xml:space="preserve">Fredrick Schumann </w:t>
      </w:r>
      <w:r w:rsidR="00CB1FCD" w:rsidRPr="00785491">
        <w:rPr>
          <w:rStyle w:val="scccounselpartyrolechar0"/>
          <w:color w:val="000000"/>
        </w:rPr>
        <w:t xml:space="preserve">and </w:t>
      </w:r>
      <w:r w:rsidR="00CB1FCD" w:rsidRPr="00785491">
        <w:rPr>
          <w:i/>
          <w:iCs/>
          <w:color w:val="000000"/>
        </w:rPr>
        <w:t xml:space="preserve">Karen </w:t>
      </w:r>
      <w:proofErr w:type="spellStart"/>
      <w:r w:rsidR="00CB1FCD" w:rsidRPr="00785491">
        <w:rPr>
          <w:i/>
          <w:iCs/>
          <w:color w:val="000000"/>
        </w:rPr>
        <w:t>Bernofsky</w:t>
      </w:r>
      <w:proofErr w:type="spellEnd"/>
      <w:r w:rsidR="00CB1FCD" w:rsidRPr="00785491">
        <w:rPr>
          <w:color w:val="000000"/>
        </w:rPr>
        <w:t>, for the interveners the Centre for Free Expression, the Canadian Association of Journalists, News Media Canada and Communications Workers of America/Canada</w:t>
      </w:r>
      <w:r w:rsidRPr="00785491">
        <w:rPr>
          <w:rStyle w:val="SCCCounselPartyRoleChar"/>
        </w:rPr>
        <w:t>.</w:t>
      </w:r>
    </w:p>
    <w:p w:rsidR="00756EFA" w:rsidRPr="00785491" w:rsidRDefault="00C2206A" w:rsidP="008D12D0">
      <w:pPr>
        <w:pStyle w:val="SCCNormalDoubleSpacing"/>
        <w:spacing w:after="480"/>
        <w:rPr>
          <w:rStyle w:val="SCCCounselPartyRoleChar"/>
        </w:rPr>
      </w:pPr>
      <w:r w:rsidRPr="00785491">
        <w:rPr>
          <w:rStyle w:val="SCCCounselNameChar"/>
        </w:rPr>
        <w:tab/>
      </w:r>
      <w:r w:rsidR="00CB1FCD" w:rsidRPr="00785491">
        <w:rPr>
          <w:rStyle w:val="scccounselpartyrolechar0"/>
          <w:i/>
          <w:iCs/>
          <w:color w:val="000000"/>
        </w:rPr>
        <w:t>Iain MacKinnon</w:t>
      </w:r>
      <w:r w:rsidR="00CB1FCD" w:rsidRPr="00785491">
        <w:rPr>
          <w:color w:val="000000"/>
        </w:rPr>
        <w:t xml:space="preserve">, for the intervener Ad </w:t>
      </w:r>
      <w:proofErr w:type="gramStart"/>
      <w:r w:rsidR="00CB1FCD" w:rsidRPr="00785491">
        <w:rPr>
          <w:color w:val="000000"/>
        </w:rPr>
        <w:t>Idem/</w:t>
      </w:r>
      <w:proofErr w:type="gramEnd"/>
      <w:r w:rsidR="00CB1FCD" w:rsidRPr="00785491">
        <w:rPr>
          <w:color w:val="000000"/>
        </w:rPr>
        <w:t>Canadian Media Lawyers Association</w:t>
      </w:r>
      <w:r w:rsidRPr="00785491">
        <w:rPr>
          <w:rStyle w:val="SCCCounselPartyRoleChar"/>
        </w:rPr>
        <w:t>.</w:t>
      </w:r>
    </w:p>
    <w:p w:rsidR="00A45B4A" w:rsidRPr="00785491" w:rsidRDefault="00A45B4A" w:rsidP="00A45B4A">
      <w:pPr>
        <w:tabs>
          <w:tab w:val="left" w:pos="1134"/>
        </w:tabs>
        <w:jc w:val="both"/>
      </w:pPr>
      <w:r w:rsidRPr="00785491">
        <w:rPr>
          <w:szCs w:val="24"/>
        </w:rPr>
        <w:tab/>
      </w:r>
      <w:r w:rsidRPr="00785491">
        <w:t>The following are the reasons for judgment delivered by</w:t>
      </w:r>
    </w:p>
    <w:p w:rsidR="00A45B4A" w:rsidRPr="00785491" w:rsidRDefault="00A45B4A" w:rsidP="00A45B4A">
      <w:pPr>
        <w:tabs>
          <w:tab w:val="left" w:pos="1134"/>
        </w:tabs>
        <w:jc w:val="both"/>
        <w:rPr>
          <w:szCs w:val="24"/>
        </w:rPr>
      </w:pPr>
    </w:p>
    <w:p w:rsidR="00A45B4A" w:rsidRPr="00785491" w:rsidRDefault="00A45B4A" w:rsidP="00A45B4A">
      <w:pPr>
        <w:pStyle w:val="JudgeJuge"/>
        <w:tabs>
          <w:tab w:val="clear" w:pos="1166"/>
          <w:tab w:val="left" w:pos="1134"/>
        </w:tabs>
      </w:pPr>
      <w:r w:rsidRPr="00785491">
        <w:tab/>
        <w:t xml:space="preserve">The Court — </w:t>
      </w:r>
    </w:p>
    <w:p w:rsidR="00A45B4A" w:rsidRPr="00785491" w:rsidRDefault="00A45B4A" w:rsidP="00A45B4A">
      <w:pPr>
        <w:pStyle w:val="ParaNoNdepar-AltN"/>
        <w:numPr>
          <w:ilvl w:val="0"/>
          <w:numId w:val="1"/>
        </w:numPr>
        <w:tabs>
          <w:tab w:val="clear" w:pos="1152"/>
          <w:tab w:val="left" w:pos="1166"/>
        </w:tabs>
        <w:rPr>
          <w:rFonts w:cs="Times New Roman"/>
        </w:rPr>
      </w:pPr>
      <w:r w:rsidRPr="00785491">
        <w:rPr>
          <w:rFonts w:cs="Times New Roman"/>
        </w:rPr>
        <w:lastRenderedPageBreak/>
        <w:t>At the hearing, the Court unanimously dismissed the appeal, without costs, with reasons to follow. These are those reasons.</w:t>
      </w:r>
    </w:p>
    <w:p w:rsidR="00A45B4A" w:rsidRPr="00785491" w:rsidRDefault="00A45B4A" w:rsidP="00A45B4A">
      <w:pPr>
        <w:pStyle w:val="ParaNoNdepar-AltN"/>
        <w:numPr>
          <w:ilvl w:val="0"/>
          <w:numId w:val="1"/>
        </w:numPr>
        <w:tabs>
          <w:tab w:val="clear" w:pos="1152"/>
          <w:tab w:val="left" w:pos="1166"/>
        </w:tabs>
        <w:rPr>
          <w:rFonts w:cs="Times New Roman"/>
        </w:rPr>
      </w:pPr>
      <w:r w:rsidRPr="00785491">
        <w:rPr>
          <w:rFonts w:cs="Times New Roman"/>
        </w:rPr>
        <w:t xml:space="preserve">During wrongful conviction proceedings before the Court of Appeal of Manitoba, an accused sought to introduce as new evidence an affidavit sworn by his lawyer concerning the death of a witness involved in those proceedings. On May 28, 2018, the Court of Appeal issued a publication ban over the affidavit. In its reasons for judgment on the appeal, the court ordered that the publication ban remain in effect (2018 MBCA 125, 369 C.C.C. (3d) 139 (“2018 Publication Ban Judgment”)). The appellant, the Canadian Broadcasting Corporation (“CBC”), filed a motion to set aside the publication ban. In 2019, the Court of Appeal held that it did not have jurisdiction to hear the motion to set aside the publication because it was </w:t>
      </w:r>
      <w:r w:rsidRPr="00785491">
        <w:rPr>
          <w:rFonts w:cs="Times New Roman"/>
          <w:i/>
        </w:rPr>
        <w:t>functus officio</w:t>
      </w:r>
      <w:r w:rsidRPr="00785491">
        <w:rPr>
          <w:rFonts w:cs="Times New Roman"/>
        </w:rPr>
        <w:t xml:space="preserve"> (2019 MBCA 122 (“2019 Jurisdiction Judgment”)). The CBC sought and obtained leave to appeal both judgments to this Court.</w:t>
      </w:r>
    </w:p>
    <w:p w:rsidR="00A45B4A" w:rsidRPr="00785491" w:rsidRDefault="00A45B4A" w:rsidP="00A45B4A">
      <w:pPr>
        <w:pStyle w:val="ParaNoNdepar-AltN"/>
        <w:numPr>
          <w:ilvl w:val="0"/>
          <w:numId w:val="1"/>
        </w:numPr>
        <w:tabs>
          <w:tab w:val="clear" w:pos="1152"/>
          <w:tab w:val="left" w:pos="1166"/>
        </w:tabs>
        <w:rPr>
          <w:rFonts w:cs="Times New Roman"/>
        </w:rPr>
      </w:pPr>
      <w:r w:rsidRPr="00785491">
        <w:rPr>
          <w:rFonts w:cs="Times New Roman"/>
        </w:rPr>
        <w:t xml:space="preserve">In 2021, this Court heard the appeals from the 2018 Publication Ban Judgment and the 2019 Jurisdiction Judgment together. The Court allowed the appeal from the 2019 Jurisdiction Judgment and remanded to the Court of Appeal the motion to have the publication ban set aside. It also adjourned the appeal of the 2018 Publication Ban Judgment </w:t>
      </w:r>
      <w:r w:rsidRPr="00785491">
        <w:rPr>
          <w:rFonts w:cs="Times New Roman"/>
          <w:i/>
        </w:rPr>
        <w:t>sine die</w:t>
      </w:r>
      <w:r w:rsidRPr="00785491">
        <w:rPr>
          <w:rFonts w:cs="Times New Roman"/>
        </w:rPr>
        <w:t xml:space="preserve"> (see 2021 SCC 33, which sets out the procedural background in fuller detail).</w:t>
      </w:r>
    </w:p>
    <w:p w:rsidR="00A45B4A" w:rsidRPr="00785491" w:rsidRDefault="00A45B4A" w:rsidP="00A45B4A">
      <w:pPr>
        <w:pStyle w:val="ParaNoNdepar-AltN"/>
        <w:numPr>
          <w:ilvl w:val="0"/>
          <w:numId w:val="1"/>
        </w:numPr>
        <w:tabs>
          <w:tab w:val="clear" w:pos="1152"/>
          <w:tab w:val="left" w:pos="1166"/>
        </w:tabs>
        <w:rPr>
          <w:rFonts w:cs="Times New Roman"/>
        </w:rPr>
      </w:pPr>
      <w:r w:rsidRPr="00785491">
        <w:rPr>
          <w:rFonts w:cs="Times New Roman"/>
        </w:rPr>
        <w:t xml:space="preserve">On January 23, 2023, the Manitoba Court of Appeal rendered judgment on the CBC’s remanded motion to have the publication ban set aside (2023 MBCA 6, </w:t>
      </w:r>
      <w:r w:rsidRPr="00785491">
        <w:rPr>
          <w:rFonts w:cs="Times New Roman"/>
        </w:rPr>
        <w:lastRenderedPageBreak/>
        <w:t>[2023] 9 W.W.R. 210 (“Judgment on Remand”)). The Court of Appeal dismissed the motion to reconsider the publication ban. First, the Court of Appeal denied the CBC standing to bring the motion as it had notice of the ban. Second, the Court of Appeal declined to hear the motion as the CBC failed to act with due dispatch in seeking to set the ban aside. In addition, the Court of Appeal wrote that in the event that it was wrong to deny standing to the CBC or to decline to hear the motion because of the delay, it would nonetheless have refused to reconsider the ban. Applying the</w:t>
      </w:r>
      <w:r w:rsidRPr="00785491">
        <w:rPr>
          <w:rFonts w:cs="Times New Roman"/>
          <w:i/>
        </w:rPr>
        <w:t xml:space="preserve"> </w:t>
      </w:r>
      <w:r w:rsidRPr="00785491">
        <w:rPr>
          <w:rFonts w:cs="Times New Roman"/>
        </w:rPr>
        <w:t xml:space="preserve">test in </w:t>
      </w:r>
      <w:r w:rsidRPr="00785491">
        <w:rPr>
          <w:rFonts w:cs="Times New Roman"/>
          <w:i/>
        </w:rPr>
        <w:t>Sherman Estate v. Donovan</w:t>
      </w:r>
      <w:r w:rsidRPr="00785491">
        <w:rPr>
          <w:rFonts w:cs="Times New Roman"/>
        </w:rPr>
        <w:t>, 2021 SCC 25, the Court of Appeal was of the view that the ban was necessary to prevent a serious risk to privacy, and in particular to dignity, an important public interest. Moreover, the benefits of the publication ban outweigh any negative effects on court openness.</w:t>
      </w:r>
    </w:p>
    <w:p w:rsidR="00A45B4A" w:rsidRPr="00785491" w:rsidRDefault="00A45B4A" w:rsidP="00A45B4A">
      <w:pPr>
        <w:pStyle w:val="ParaNoNdepar-AltN"/>
        <w:numPr>
          <w:ilvl w:val="0"/>
          <w:numId w:val="1"/>
        </w:numPr>
        <w:tabs>
          <w:tab w:val="clear" w:pos="1152"/>
          <w:tab w:val="left" w:pos="1166"/>
        </w:tabs>
        <w:rPr>
          <w:rFonts w:cs="Times New Roman"/>
        </w:rPr>
      </w:pPr>
      <w:r w:rsidRPr="00785491">
        <w:rPr>
          <w:rFonts w:cs="Times New Roman"/>
        </w:rPr>
        <w:t xml:space="preserve">While the Judgment on Remand has not been appealed to this Court, in coming to our decision we have had the benefit of the Court of Appeal’s reasons. Those reasons explain why, in light of the principles set forth in </w:t>
      </w:r>
      <w:r w:rsidRPr="00785491">
        <w:rPr>
          <w:rFonts w:cs="Times New Roman"/>
          <w:i/>
        </w:rPr>
        <w:t>Sherman</w:t>
      </w:r>
      <w:r w:rsidRPr="00785491">
        <w:rPr>
          <w:rFonts w:cs="Times New Roman"/>
        </w:rPr>
        <w:t>, the publication ban was justified notwithstanding the open court principle.</w:t>
      </w:r>
    </w:p>
    <w:p w:rsidR="00A45B4A" w:rsidRPr="00785491" w:rsidRDefault="00A45B4A" w:rsidP="00A45B4A">
      <w:pPr>
        <w:pStyle w:val="ParaNoNdepar-AltN"/>
        <w:numPr>
          <w:ilvl w:val="0"/>
          <w:numId w:val="1"/>
        </w:numPr>
        <w:tabs>
          <w:tab w:val="clear" w:pos="1152"/>
          <w:tab w:val="left" w:pos="1166"/>
        </w:tabs>
        <w:rPr>
          <w:rFonts w:cs="Times New Roman"/>
        </w:rPr>
      </w:pPr>
      <w:r w:rsidRPr="00785491">
        <w:rPr>
          <w:rFonts w:cs="Times New Roman"/>
        </w:rPr>
        <w:t xml:space="preserve">The CBC now calls upon this Court to decide the appeal of the 2018 Publication Ban Judgment for which leave was granted in 2020 and which was adjourned </w:t>
      </w:r>
      <w:r w:rsidRPr="00785491">
        <w:rPr>
          <w:rFonts w:cs="Times New Roman"/>
          <w:i/>
        </w:rPr>
        <w:t>sine die</w:t>
      </w:r>
      <w:r w:rsidRPr="00785491">
        <w:rPr>
          <w:rFonts w:cs="Times New Roman"/>
        </w:rPr>
        <w:t xml:space="preserve"> in 2021. The parties were invited to provide additional written submissions and a new hearing was held to address the implications of </w:t>
      </w:r>
      <w:r w:rsidRPr="00785491">
        <w:rPr>
          <w:rFonts w:cs="Times New Roman"/>
          <w:i/>
        </w:rPr>
        <w:t>Sherman</w:t>
      </w:r>
      <w:r w:rsidRPr="00785491">
        <w:rPr>
          <w:rFonts w:cs="Times New Roman"/>
        </w:rPr>
        <w:t>, which was decided after the initial hearing of the two appeals before this Court in 2021.</w:t>
      </w:r>
    </w:p>
    <w:p w:rsidR="00A45B4A" w:rsidRPr="00785491" w:rsidRDefault="00A45B4A" w:rsidP="00A45B4A">
      <w:pPr>
        <w:pStyle w:val="ParaNoNdepar-AltN"/>
        <w:numPr>
          <w:ilvl w:val="0"/>
          <w:numId w:val="1"/>
        </w:numPr>
        <w:tabs>
          <w:tab w:val="clear" w:pos="1152"/>
          <w:tab w:val="left" w:pos="1166"/>
        </w:tabs>
        <w:rPr>
          <w:rFonts w:cs="Times New Roman"/>
        </w:rPr>
      </w:pPr>
      <w:r w:rsidRPr="00785491">
        <w:rPr>
          <w:rFonts w:cs="Times New Roman"/>
        </w:rPr>
        <w:lastRenderedPageBreak/>
        <w:t>For the reasons that follow, we are unanimously of the view that the appeal from the 2018 Publication Ban Judgment should be dismissed. The Court of Appeal did not commit a reversible error in issuing the publication ban and ordering that it remain in effect in 2018.</w:t>
      </w:r>
    </w:p>
    <w:p w:rsidR="00A45B4A" w:rsidRPr="00785491" w:rsidRDefault="00A45B4A" w:rsidP="00A45B4A">
      <w:pPr>
        <w:pStyle w:val="ParaNoNdepar-AltN"/>
        <w:numPr>
          <w:ilvl w:val="0"/>
          <w:numId w:val="1"/>
        </w:numPr>
        <w:tabs>
          <w:tab w:val="clear" w:pos="1152"/>
          <w:tab w:val="left" w:pos="1166"/>
        </w:tabs>
        <w:rPr>
          <w:rFonts w:cs="Times New Roman"/>
        </w:rPr>
      </w:pPr>
      <w:r w:rsidRPr="00785491">
        <w:rPr>
          <w:rFonts w:cs="Times New Roman"/>
        </w:rPr>
        <w:t xml:space="preserve">Under </w:t>
      </w:r>
      <w:r w:rsidRPr="00785491">
        <w:rPr>
          <w:rFonts w:cs="Times New Roman"/>
          <w:i/>
        </w:rPr>
        <w:t>Sherman</w:t>
      </w:r>
      <w:r w:rsidRPr="00785491">
        <w:rPr>
          <w:rFonts w:cs="Times New Roman"/>
        </w:rPr>
        <w:t>, “the person asking a court to exercise discretion in a way that limits the open court presumption must establish that: (1) court openness poses a serious risk to an important public interest; (2) the order sought is necessary to prevent this serious risk to the identified interest because reasonably alternative measures will not prevent this risk; and (3) as a matter of proportionality, the benefits of the order outweigh its negative effects” (para. 38). Each branch of the test is deserving of comment.</w:t>
      </w:r>
    </w:p>
    <w:p w:rsidR="00A45B4A" w:rsidRPr="00785491" w:rsidRDefault="00A45B4A" w:rsidP="00A45B4A">
      <w:pPr>
        <w:pStyle w:val="ParaNoNdepar-AltN"/>
        <w:numPr>
          <w:ilvl w:val="0"/>
          <w:numId w:val="1"/>
        </w:numPr>
        <w:tabs>
          <w:tab w:val="clear" w:pos="1152"/>
          <w:tab w:val="left" w:pos="1166"/>
        </w:tabs>
        <w:rPr>
          <w:rFonts w:cs="Times New Roman"/>
        </w:rPr>
      </w:pPr>
      <w:r w:rsidRPr="00785491">
        <w:rPr>
          <w:rFonts w:cs="Times New Roman"/>
        </w:rPr>
        <w:t xml:space="preserve">We agree with the view that, under the first branch of the </w:t>
      </w:r>
      <w:r w:rsidRPr="00785491">
        <w:rPr>
          <w:rFonts w:cs="Times New Roman"/>
          <w:i/>
        </w:rPr>
        <w:t>Sherman</w:t>
      </w:r>
      <w:r w:rsidRPr="00785491">
        <w:rPr>
          <w:rFonts w:cs="Times New Roman"/>
        </w:rPr>
        <w:t xml:space="preserve"> test, there is a strong public interest in protecting the privacy of the witness’s spouse with respect to the witness’s death in order to prevent an affront to the spouse’s dignity (see Judgment on Remand, at para. 77). We agree that personal information in the affidavit is a direct affront to the dignity of the spouse in her own right. In the words of the Court of Appeal, the information “goes to the core of both the witness and the spouse as human beings at their most vulnerable” (para. 77). In this case, disclosure of the affidavit would reveal highly sensitive and acutely personal information that would directly engage the spouse’s dignity interest.</w:t>
      </w:r>
    </w:p>
    <w:p w:rsidR="00A45B4A" w:rsidRPr="00785491" w:rsidRDefault="00A45B4A" w:rsidP="00A45B4A">
      <w:pPr>
        <w:pStyle w:val="ParaNoNdepar-AltN"/>
        <w:numPr>
          <w:ilvl w:val="0"/>
          <w:numId w:val="1"/>
        </w:numPr>
        <w:tabs>
          <w:tab w:val="clear" w:pos="1152"/>
          <w:tab w:val="left" w:pos="1166"/>
        </w:tabs>
        <w:rPr>
          <w:rFonts w:cs="Times New Roman"/>
        </w:rPr>
      </w:pPr>
      <w:r w:rsidRPr="00785491">
        <w:rPr>
          <w:rFonts w:cs="Times New Roman"/>
        </w:rPr>
        <w:lastRenderedPageBreak/>
        <w:t xml:space="preserve">For the purposes of measuring the relevant dignity interest, it is sufficient to observe that the dignity of the witness’s spouse is compromised. It is not necessary to decide the question of whether there is a dignity interest for the deceased witness to justify the publication ban here. The first branch of the </w:t>
      </w:r>
      <w:r w:rsidRPr="00785491">
        <w:rPr>
          <w:rFonts w:cs="Times New Roman"/>
          <w:i/>
        </w:rPr>
        <w:t>Sherman</w:t>
      </w:r>
      <w:r w:rsidRPr="00785491">
        <w:rPr>
          <w:rFonts w:cs="Times New Roman"/>
        </w:rPr>
        <w:t xml:space="preserve"> test is satisfied because court openness would pose a serious risk to the spouse’s dignity as an important public interest.</w:t>
      </w:r>
    </w:p>
    <w:p w:rsidR="00A45B4A" w:rsidRPr="00785491" w:rsidRDefault="00A45B4A" w:rsidP="00A45B4A">
      <w:pPr>
        <w:pStyle w:val="ParaNoNdepar-AltN"/>
        <w:numPr>
          <w:ilvl w:val="0"/>
          <w:numId w:val="1"/>
        </w:numPr>
        <w:tabs>
          <w:tab w:val="clear" w:pos="1152"/>
          <w:tab w:val="left" w:pos="1166"/>
        </w:tabs>
        <w:rPr>
          <w:rFonts w:cs="Times New Roman"/>
        </w:rPr>
      </w:pPr>
      <w:r w:rsidRPr="00785491">
        <w:rPr>
          <w:rFonts w:cs="Times New Roman"/>
        </w:rPr>
        <w:t>We also agree that the publication ban is necessary to prevent a serious risk to the important public interest of protecting the dignity of the witness’s spouse (see Judgment on Remand, at para. 78); that the ban was not overbroad or vague, and should be permanent (para. 80); and that there was no reasonable alternative to the terms of the publication ban (para. 83). In particular, as the Court of Appeal noted in 2023, it would be easy to identify the witness if parts of the affidavit were to be disclosed. In the circumstances, the Court of Appeal was entitled to conclude in 2018 that publishing details of the affidavit without the witness’s name would risk associating the information with the witness and making the publication ban moot (see Judgment on Remand, at para. 81). The second branch of the test is therefore satisfied.</w:t>
      </w:r>
    </w:p>
    <w:p w:rsidR="00A45B4A" w:rsidRPr="00785491" w:rsidRDefault="00A45B4A" w:rsidP="00A45B4A">
      <w:pPr>
        <w:pStyle w:val="ParaNoNdepar-AltN"/>
        <w:numPr>
          <w:ilvl w:val="0"/>
          <w:numId w:val="1"/>
        </w:numPr>
        <w:tabs>
          <w:tab w:val="clear" w:pos="1152"/>
          <w:tab w:val="left" w:pos="1166"/>
        </w:tabs>
        <w:rPr>
          <w:rFonts w:cs="Times New Roman"/>
        </w:rPr>
      </w:pPr>
      <w:r w:rsidRPr="00785491">
        <w:rPr>
          <w:rFonts w:cs="Times New Roman"/>
        </w:rPr>
        <w:t xml:space="preserve">Finally, as to the third branch, we agree with the Court of Appeal in the Judgment on Remand that the benefits of the 2018 publication ban significantly outweigh its minimal deleterious effect on the right of free expression and, by extension, the principle of open and accessible court proceedings. The benefit of the publication ban is to protect the dignity of the witness’s spouse as already explained, whereas the publication ban has a minimal negative effect on the right of free </w:t>
      </w:r>
      <w:r w:rsidRPr="00785491">
        <w:rPr>
          <w:rFonts w:cs="Times New Roman"/>
        </w:rPr>
        <w:lastRenderedPageBreak/>
        <w:t>expression and the open court principle (paras. 92</w:t>
      </w:r>
      <w:r w:rsidRPr="00785491">
        <w:rPr>
          <w:rFonts w:cs="Times New Roman"/>
        </w:rPr>
        <w:noBreakHyphen/>
        <w:t>93). The affidavit did not relate to the wrongful conviction or the legitimacy of the accused’s appeal before the Court of Appeal in 2018. As the Court of Appeal observed in the Judgment on Remand, the affidavit was “capable of proving nothing” (para. 91). Here, the affidavit was not admitted as evidence in the wrongful conviction proceedings and, therefore, did not play a role in determining that a wrongful conviction had occurred.</w:t>
      </w:r>
    </w:p>
    <w:p w:rsidR="00A45B4A" w:rsidRPr="00785491" w:rsidRDefault="00A45B4A" w:rsidP="00A45B4A">
      <w:pPr>
        <w:pStyle w:val="ParaNoNdepar-AltN"/>
        <w:numPr>
          <w:ilvl w:val="0"/>
          <w:numId w:val="1"/>
        </w:numPr>
        <w:tabs>
          <w:tab w:val="clear" w:pos="1152"/>
          <w:tab w:val="left" w:pos="1166"/>
        </w:tabs>
        <w:rPr>
          <w:rFonts w:cs="Times New Roman"/>
        </w:rPr>
      </w:pPr>
      <w:r w:rsidRPr="00785491">
        <w:rPr>
          <w:rFonts w:cs="Times New Roman"/>
        </w:rPr>
        <w:t>In light of the foregoing, no reversible error was made in issuing the 2018 publication ban or ordering it remain in effect and it should not be rescinded or varied in the circumstances.</w:t>
      </w:r>
    </w:p>
    <w:p w:rsidR="00A45B4A" w:rsidRPr="00785491" w:rsidRDefault="00A45B4A" w:rsidP="00A45B4A">
      <w:pPr>
        <w:pStyle w:val="ParaNoNdepar-AltN"/>
        <w:numPr>
          <w:ilvl w:val="0"/>
          <w:numId w:val="1"/>
        </w:numPr>
        <w:tabs>
          <w:tab w:val="clear" w:pos="1152"/>
          <w:tab w:val="left" w:pos="1166"/>
        </w:tabs>
        <w:rPr>
          <w:rFonts w:cs="Times New Roman"/>
        </w:rPr>
      </w:pPr>
      <w:r w:rsidRPr="00785491">
        <w:rPr>
          <w:rFonts w:cs="Times New Roman"/>
        </w:rPr>
        <w:t>None of the parties sought an order for costs.</w:t>
      </w:r>
    </w:p>
    <w:p w:rsidR="00A45B4A" w:rsidRPr="00785491" w:rsidRDefault="00A45B4A" w:rsidP="00A45B4A">
      <w:pPr>
        <w:pStyle w:val="ParaNoNdepar-AltN"/>
        <w:numPr>
          <w:ilvl w:val="0"/>
          <w:numId w:val="1"/>
        </w:numPr>
        <w:tabs>
          <w:tab w:val="clear" w:pos="1152"/>
          <w:tab w:val="left" w:pos="1166"/>
        </w:tabs>
        <w:rPr>
          <w:rFonts w:cs="Times New Roman"/>
        </w:rPr>
      </w:pPr>
      <w:r w:rsidRPr="00785491">
        <w:rPr>
          <w:rFonts w:cs="Times New Roman"/>
        </w:rPr>
        <w:t>For the foregoing reasons, we dismissed the appeal without costs.</w:t>
      </w:r>
    </w:p>
    <w:p w:rsidR="009B57B3" w:rsidRPr="00785491" w:rsidRDefault="009B57B3" w:rsidP="008D12D0">
      <w:pPr>
        <w:pStyle w:val="SCCNormalDoubleSpacing"/>
        <w:spacing w:after="480"/>
      </w:pPr>
      <w:r w:rsidRPr="00785491">
        <w:tab/>
      </w:r>
      <w:r w:rsidR="00877E4F" w:rsidRPr="00785491">
        <w:rPr>
          <w:rStyle w:val="solexhl"/>
          <w:i/>
          <w:iCs/>
          <w:color w:val="000000"/>
        </w:rPr>
        <w:t>Appeal dismissed without costs.</w:t>
      </w:r>
    </w:p>
    <w:p w:rsidR="00756EFA" w:rsidRPr="00785491" w:rsidRDefault="00C2206A" w:rsidP="008D12D0">
      <w:pPr>
        <w:pStyle w:val="SCCLawFirm"/>
        <w:spacing w:after="480"/>
      </w:pPr>
      <w:r w:rsidRPr="00785491">
        <w:tab/>
        <w:t xml:space="preserve">Solicitors for the appellant: </w:t>
      </w:r>
      <w:r w:rsidR="00877E4F" w:rsidRPr="00785491">
        <w:t xml:space="preserve">MLT </w:t>
      </w:r>
      <w:r w:rsidR="008D12D0" w:rsidRPr="00785491">
        <w:t xml:space="preserve">Aikins, Winnipeg; </w:t>
      </w:r>
      <w:r w:rsidR="00B34256" w:rsidRPr="00785491">
        <w:t>Canadian Broadcasting Corporation</w:t>
      </w:r>
      <w:r w:rsidR="00877E4F" w:rsidRPr="00785491">
        <w:t>, Toronto</w:t>
      </w:r>
      <w:r w:rsidRPr="00785491">
        <w:t>.</w:t>
      </w:r>
    </w:p>
    <w:p w:rsidR="00756EFA" w:rsidRPr="00785491" w:rsidRDefault="00C2206A" w:rsidP="008D12D0">
      <w:pPr>
        <w:pStyle w:val="SCCLawFirm"/>
        <w:spacing w:after="480"/>
      </w:pPr>
      <w:r w:rsidRPr="00785491">
        <w:tab/>
        <w:t>Solicitor for the respondent</w:t>
      </w:r>
      <w:r w:rsidR="00877E4F" w:rsidRPr="00785491">
        <w:rPr>
          <w:color w:val="000000"/>
        </w:rPr>
        <w:t xml:space="preserve"> His Majesty </w:t>
      </w:r>
      <w:proofErr w:type="gramStart"/>
      <w:r w:rsidR="00877E4F" w:rsidRPr="00785491">
        <w:rPr>
          <w:color w:val="000000"/>
        </w:rPr>
        <w:t>The</w:t>
      </w:r>
      <w:proofErr w:type="gramEnd"/>
      <w:r w:rsidR="00877E4F" w:rsidRPr="00785491">
        <w:rPr>
          <w:color w:val="000000"/>
        </w:rPr>
        <w:t xml:space="preserve"> King</w:t>
      </w:r>
      <w:r w:rsidRPr="00785491">
        <w:t xml:space="preserve">: </w:t>
      </w:r>
      <w:r w:rsidR="00877E4F" w:rsidRPr="00785491">
        <w:t>Department of Justice Manitoba, Constitutional Law Section</w:t>
      </w:r>
      <w:r w:rsidRPr="00785491">
        <w:t>, Winnipeg.</w:t>
      </w:r>
    </w:p>
    <w:p w:rsidR="00756EFA" w:rsidRPr="00785491" w:rsidRDefault="00C2206A" w:rsidP="008D12D0">
      <w:pPr>
        <w:pStyle w:val="SCCLawFirm"/>
        <w:spacing w:after="480"/>
      </w:pPr>
      <w:r w:rsidRPr="00785491">
        <w:lastRenderedPageBreak/>
        <w:tab/>
        <w:t xml:space="preserve">Solicitors for </w:t>
      </w:r>
      <w:r w:rsidR="008D12D0" w:rsidRPr="00785491">
        <w:rPr>
          <w:color w:val="000000"/>
        </w:rPr>
        <w:t xml:space="preserve">the respondents </w:t>
      </w:r>
      <w:r w:rsidR="00877E4F" w:rsidRPr="00785491">
        <w:rPr>
          <w:color w:val="000000"/>
        </w:rPr>
        <w:t>B.B., spouse of the late M.D., and</w:t>
      </w:r>
      <w:r w:rsidR="008D12D0" w:rsidRPr="00785491">
        <w:rPr>
          <w:i w:val="0"/>
          <w:iCs/>
          <w:color w:val="000000"/>
        </w:rPr>
        <w:t xml:space="preserve"> </w:t>
      </w:r>
      <w:r w:rsidR="00877E4F" w:rsidRPr="00785491">
        <w:rPr>
          <w:color w:val="000000"/>
        </w:rPr>
        <w:t>J.D., in his capacity as executor of the estate of the late M.D</w:t>
      </w:r>
      <w:r w:rsidR="00877E4F" w:rsidRPr="00785491">
        <w:rPr>
          <w:rStyle w:val="SCCCounselPartyRoleChar"/>
        </w:rPr>
        <w:t>.</w:t>
      </w:r>
      <w:r w:rsidRPr="00785491">
        <w:t xml:space="preserve">: Robert </w:t>
      </w:r>
      <w:proofErr w:type="spellStart"/>
      <w:r w:rsidRPr="00785491">
        <w:t>Gosman</w:t>
      </w:r>
      <w:proofErr w:type="spellEnd"/>
      <w:r w:rsidRPr="00785491">
        <w:t xml:space="preserve"> Law Corporation, Winnipeg.</w:t>
      </w:r>
    </w:p>
    <w:p w:rsidR="00756EFA" w:rsidRPr="00785491" w:rsidRDefault="00C2206A" w:rsidP="008D12D0">
      <w:pPr>
        <w:pStyle w:val="SCCLawFirm"/>
        <w:spacing w:after="480"/>
      </w:pPr>
      <w:r w:rsidRPr="00785491">
        <w:tab/>
        <w:t xml:space="preserve">Solicitor for the intervener </w:t>
      </w:r>
      <w:r w:rsidR="00EE38B9" w:rsidRPr="00785491">
        <w:t xml:space="preserve">the </w:t>
      </w:r>
      <w:r w:rsidRPr="00785491">
        <w:t xml:space="preserve">Attorney General </w:t>
      </w:r>
      <w:r w:rsidR="007C782D" w:rsidRPr="00785491">
        <w:t>of</w:t>
      </w:r>
      <w:r w:rsidRPr="00785491">
        <w:t xml:space="preserve"> Ontario: </w:t>
      </w:r>
      <w:r w:rsidR="00EE38B9" w:rsidRPr="00785491">
        <w:t>Crown Law Office — Criminal, Ministry of the Attorney General</w:t>
      </w:r>
      <w:r w:rsidRPr="00785491">
        <w:t>, Toronto.</w:t>
      </w:r>
    </w:p>
    <w:p w:rsidR="00756EFA" w:rsidRPr="00785491" w:rsidRDefault="00C2206A" w:rsidP="008D12D0">
      <w:pPr>
        <w:pStyle w:val="SCCLawFirm"/>
        <w:spacing w:after="480"/>
      </w:pPr>
      <w:r w:rsidRPr="00785491">
        <w:tab/>
        <w:t xml:space="preserve">Solicitor for the intervener </w:t>
      </w:r>
      <w:r w:rsidR="008461D0" w:rsidRPr="00785491">
        <w:t xml:space="preserve">the </w:t>
      </w:r>
      <w:r w:rsidRPr="00785491">
        <w:t>Attorney General of British Columbia: Attorney General of British Columbia</w:t>
      </w:r>
      <w:r w:rsidR="008461D0" w:rsidRPr="00785491">
        <w:t>, Prosecution Service</w:t>
      </w:r>
      <w:r w:rsidRPr="00785491">
        <w:t>, Victoria.</w:t>
      </w:r>
    </w:p>
    <w:p w:rsidR="00756EFA" w:rsidRPr="00785491" w:rsidRDefault="00C2206A" w:rsidP="008D12D0">
      <w:pPr>
        <w:pStyle w:val="SCCLawFirm"/>
        <w:spacing w:after="480"/>
      </w:pPr>
      <w:r w:rsidRPr="00785491">
        <w:tab/>
        <w:t xml:space="preserve">Solicitors for </w:t>
      </w:r>
      <w:r w:rsidR="008461D0" w:rsidRPr="00785491">
        <w:rPr>
          <w:color w:val="000000"/>
        </w:rPr>
        <w:t>the interveners the Centre for Free Expression, the Canadian Association of Journalists, News Media Canada and Communications Workers of America/Canada</w:t>
      </w:r>
      <w:r w:rsidRPr="00785491">
        <w:t>: Stockwoods, Toronto.</w:t>
      </w:r>
    </w:p>
    <w:p w:rsidR="009B57B3" w:rsidRPr="000B7F5B" w:rsidRDefault="00C2206A" w:rsidP="008D12D0">
      <w:pPr>
        <w:pStyle w:val="SCCLawFirm"/>
        <w:spacing w:after="480"/>
      </w:pPr>
      <w:r w:rsidRPr="00785491">
        <w:tab/>
        <w:t>Solic</w:t>
      </w:r>
      <w:r w:rsidR="008E70DD" w:rsidRPr="00785491">
        <w:t xml:space="preserve">itors for the intervener Ad </w:t>
      </w:r>
      <w:proofErr w:type="gramStart"/>
      <w:r w:rsidR="008E70DD" w:rsidRPr="00785491">
        <w:t>Idem</w:t>
      </w:r>
      <w:r w:rsidRPr="00785491">
        <w:t>/</w:t>
      </w:r>
      <w:proofErr w:type="gramEnd"/>
      <w:r w:rsidRPr="00785491">
        <w:t>Canadian Media Lawyers Association: Linden &amp; Associates, Toronto.</w:t>
      </w:r>
      <w:bookmarkStart w:id="0" w:name="_GoBack"/>
      <w:bookmarkEnd w:id="0"/>
    </w:p>
    <w:sectPr w:rsidR="009B57B3" w:rsidRPr="000B7F5B" w:rsidSect="000648CC">
      <w:headerReference w:type="default" r:id="rId10"/>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1A2" w:rsidRDefault="00DA41A2">
      <w:r>
        <w:separator/>
      </w:r>
    </w:p>
  </w:endnote>
  <w:endnote w:type="continuationSeparator" w:id="0">
    <w:p w:rsidR="00DA41A2" w:rsidRDefault="00DA4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1A2" w:rsidRDefault="00DA41A2">
      <w:r>
        <w:separator/>
      </w:r>
    </w:p>
  </w:footnote>
  <w:footnote w:type="continuationSeparator" w:id="0">
    <w:p w:rsidR="00DA41A2" w:rsidRDefault="00DA41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352" w:rsidRPr="008D12D0" w:rsidRDefault="00450352" w:rsidP="008D12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283EE8"/>
    <w:multiLevelType w:val="multilevel"/>
    <w:tmpl w:val="461CEFC6"/>
    <w:lvl w:ilvl="0">
      <w:start w:val="1"/>
      <w:numFmt w:val="decimal"/>
      <w:pStyle w:val="SCCRespondentForRunningHead"/>
      <w:lvlText w:val="[%1]"/>
      <w:lvlJc w:val="left"/>
      <w:pPr>
        <w:tabs>
          <w:tab w:val="num" w:pos="1152"/>
        </w:tabs>
        <w:ind w:left="0" w:firstLine="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25198"/>
    <w:rsid w:val="000578A3"/>
    <w:rsid w:val="00057E87"/>
    <w:rsid w:val="000648CC"/>
    <w:rsid w:val="00084A4D"/>
    <w:rsid w:val="000B7F5B"/>
    <w:rsid w:val="000C59B8"/>
    <w:rsid w:val="000C6AF0"/>
    <w:rsid w:val="00104F33"/>
    <w:rsid w:val="00111DE2"/>
    <w:rsid w:val="00116B38"/>
    <w:rsid w:val="00135406"/>
    <w:rsid w:val="00135972"/>
    <w:rsid w:val="001426A9"/>
    <w:rsid w:val="00154D7C"/>
    <w:rsid w:val="001570B0"/>
    <w:rsid w:val="0015752C"/>
    <w:rsid w:val="00157737"/>
    <w:rsid w:val="00165277"/>
    <w:rsid w:val="00170592"/>
    <w:rsid w:val="00186351"/>
    <w:rsid w:val="00195D83"/>
    <w:rsid w:val="001A00C1"/>
    <w:rsid w:val="001B33E0"/>
    <w:rsid w:val="001B4573"/>
    <w:rsid w:val="001C779F"/>
    <w:rsid w:val="001D2AC1"/>
    <w:rsid w:val="001D4E88"/>
    <w:rsid w:val="00220FC2"/>
    <w:rsid w:val="002222F4"/>
    <w:rsid w:val="00224FC0"/>
    <w:rsid w:val="00225EA4"/>
    <w:rsid w:val="00226EAF"/>
    <w:rsid w:val="00231F3A"/>
    <w:rsid w:val="00234199"/>
    <w:rsid w:val="002406EE"/>
    <w:rsid w:val="00243EC8"/>
    <w:rsid w:val="00270D93"/>
    <w:rsid w:val="002745CC"/>
    <w:rsid w:val="002B7924"/>
    <w:rsid w:val="002D28C3"/>
    <w:rsid w:val="002D2C45"/>
    <w:rsid w:val="002D39A4"/>
    <w:rsid w:val="002E6705"/>
    <w:rsid w:val="00300AF2"/>
    <w:rsid w:val="00301D08"/>
    <w:rsid w:val="0030329A"/>
    <w:rsid w:val="0031086F"/>
    <w:rsid w:val="0031414C"/>
    <w:rsid w:val="00314E01"/>
    <w:rsid w:val="0032089D"/>
    <w:rsid w:val="003310DE"/>
    <w:rsid w:val="003323B0"/>
    <w:rsid w:val="0035169A"/>
    <w:rsid w:val="0035259D"/>
    <w:rsid w:val="00364B18"/>
    <w:rsid w:val="003A125D"/>
    <w:rsid w:val="003A4C70"/>
    <w:rsid w:val="003B215F"/>
    <w:rsid w:val="003C799C"/>
    <w:rsid w:val="003D0399"/>
    <w:rsid w:val="003E1C71"/>
    <w:rsid w:val="003F327B"/>
    <w:rsid w:val="00406166"/>
    <w:rsid w:val="0040704B"/>
    <w:rsid w:val="00410A55"/>
    <w:rsid w:val="00411300"/>
    <w:rsid w:val="00415417"/>
    <w:rsid w:val="00426659"/>
    <w:rsid w:val="004473CD"/>
    <w:rsid w:val="00450352"/>
    <w:rsid w:val="00454BDB"/>
    <w:rsid w:val="00464800"/>
    <w:rsid w:val="00465132"/>
    <w:rsid w:val="00480C90"/>
    <w:rsid w:val="0048396F"/>
    <w:rsid w:val="00493C18"/>
    <w:rsid w:val="004A600C"/>
    <w:rsid w:val="004A6118"/>
    <w:rsid w:val="004C478D"/>
    <w:rsid w:val="004E2C26"/>
    <w:rsid w:val="004F36FF"/>
    <w:rsid w:val="005125A8"/>
    <w:rsid w:val="00521AE8"/>
    <w:rsid w:val="00527180"/>
    <w:rsid w:val="0054201E"/>
    <w:rsid w:val="00555291"/>
    <w:rsid w:val="00566AD1"/>
    <w:rsid w:val="00583EDE"/>
    <w:rsid w:val="005A6079"/>
    <w:rsid w:val="005E4698"/>
    <w:rsid w:val="00610539"/>
    <w:rsid w:val="00613969"/>
    <w:rsid w:val="00625C35"/>
    <w:rsid w:val="00656313"/>
    <w:rsid w:val="006565F4"/>
    <w:rsid w:val="00684EEA"/>
    <w:rsid w:val="0069689B"/>
    <w:rsid w:val="006A1551"/>
    <w:rsid w:val="006A44B5"/>
    <w:rsid w:val="006B5FF5"/>
    <w:rsid w:val="006F30AF"/>
    <w:rsid w:val="00701759"/>
    <w:rsid w:val="00705C15"/>
    <w:rsid w:val="0071600E"/>
    <w:rsid w:val="007208D1"/>
    <w:rsid w:val="007237BC"/>
    <w:rsid w:val="00747288"/>
    <w:rsid w:val="00747DD3"/>
    <w:rsid w:val="007549C8"/>
    <w:rsid w:val="00754A0B"/>
    <w:rsid w:val="00756EFA"/>
    <w:rsid w:val="00766D14"/>
    <w:rsid w:val="00767A0F"/>
    <w:rsid w:val="00785491"/>
    <w:rsid w:val="00786BC2"/>
    <w:rsid w:val="007A05F6"/>
    <w:rsid w:val="007B6F4A"/>
    <w:rsid w:val="007C782D"/>
    <w:rsid w:val="007E1A2A"/>
    <w:rsid w:val="007E1C47"/>
    <w:rsid w:val="007E2C23"/>
    <w:rsid w:val="007E337A"/>
    <w:rsid w:val="007E5C70"/>
    <w:rsid w:val="007F2FF5"/>
    <w:rsid w:val="007F3F08"/>
    <w:rsid w:val="00804CC6"/>
    <w:rsid w:val="00817190"/>
    <w:rsid w:val="00820EE5"/>
    <w:rsid w:val="008260E2"/>
    <w:rsid w:val="008322BD"/>
    <w:rsid w:val="00833E0A"/>
    <w:rsid w:val="00834F73"/>
    <w:rsid w:val="008461D0"/>
    <w:rsid w:val="00864CF8"/>
    <w:rsid w:val="00872819"/>
    <w:rsid w:val="00874914"/>
    <w:rsid w:val="00877E4F"/>
    <w:rsid w:val="00891422"/>
    <w:rsid w:val="00892E1A"/>
    <w:rsid w:val="008A3F29"/>
    <w:rsid w:val="008B660A"/>
    <w:rsid w:val="008C01DA"/>
    <w:rsid w:val="008D12D0"/>
    <w:rsid w:val="008E70DD"/>
    <w:rsid w:val="008F78E9"/>
    <w:rsid w:val="00911989"/>
    <w:rsid w:val="009179F9"/>
    <w:rsid w:val="00933E5E"/>
    <w:rsid w:val="00935218"/>
    <w:rsid w:val="009403F3"/>
    <w:rsid w:val="009555B7"/>
    <w:rsid w:val="009567AA"/>
    <w:rsid w:val="00967374"/>
    <w:rsid w:val="009A343A"/>
    <w:rsid w:val="009B2F23"/>
    <w:rsid w:val="009B57B3"/>
    <w:rsid w:val="009C5B92"/>
    <w:rsid w:val="009D2920"/>
    <w:rsid w:val="009D5AEB"/>
    <w:rsid w:val="009F0E33"/>
    <w:rsid w:val="00A030CE"/>
    <w:rsid w:val="00A149DF"/>
    <w:rsid w:val="00A1755C"/>
    <w:rsid w:val="00A21B90"/>
    <w:rsid w:val="00A21D76"/>
    <w:rsid w:val="00A41805"/>
    <w:rsid w:val="00A42DCD"/>
    <w:rsid w:val="00A45B4A"/>
    <w:rsid w:val="00A52AFB"/>
    <w:rsid w:val="00A548CB"/>
    <w:rsid w:val="00A5521C"/>
    <w:rsid w:val="00A643E7"/>
    <w:rsid w:val="00A73C38"/>
    <w:rsid w:val="00AB670D"/>
    <w:rsid w:val="00AE4535"/>
    <w:rsid w:val="00AF03C5"/>
    <w:rsid w:val="00B000D8"/>
    <w:rsid w:val="00B00F75"/>
    <w:rsid w:val="00B145B6"/>
    <w:rsid w:val="00B279EB"/>
    <w:rsid w:val="00B341B4"/>
    <w:rsid w:val="00B34256"/>
    <w:rsid w:val="00B50C81"/>
    <w:rsid w:val="00B557F8"/>
    <w:rsid w:val="00B815FC"/>
    <w:rsid w:val="00B93FBC"/>
    <w:rsid w:val="00BA7DA0"/>
    <w:rsid w:val="00BB2EE4"/>
    <w:rsid w:val="00BC2108"/>
    <w:rsid w:val="00BC5C93"/>
    <w:rsid w:val="00BD0E9E"/>
    <w:rsid w:val="00BD1BEC"/>
    <w:rsid w:val="00BD32FF"/>
    <w:rsid w:val="00C02092"/>
    <w:rsid w:val="00C2206A"/>
    <w:rsid w:val="00C24D91"/>
    <w:rsid w:val="00C46F42"/>
    <w:rsid w:val="00C524B5"/>
    <w:rsid w:val="00C53F14"/>
    <w:rsid w:val="00C600CF"/>
    <w:rsid w:val="00C6084F"/>
    <w:rsid w:val="00C62A66"/>
    <w:rsid w:val="00C71458"/>
    <w:rsid w:val="00C77613"/>
    <w:rsid w:val="00C828E7"/>
    <w:rsid w:val="00C83634"/>
    <w:rsid w:val="00C86719"/>
    <w:rsid w:val="00C921DD"/>
    <w:rsid w:val="00CA6391"/>
    <w:rsid w:val="00CB1FCD"/>
    <w:rsid w:val="00CC34BD"/>
    <w:rsid w:val="00CD6576"/>
    <w:rsid w:val="00CE161A"/>
    <w:rsid w:val="00CE3171"/>
    <w:rsid w:val="00CF1601"/>
    <w:rsid w:val="00D0172F"/>
    <w:rsid w:val="00D068A7"/>
    <w:rsid w:val="00D17476"/>
    <w:rsid w:val="00D32086"/>
    <w:rsid w:val="00D37A3F"/>
    <w:rsid w:val="00D4431D"/>
    <w:rsid w:val="00D4667A"/>
    <w:rsid w:val="00D63A1C"/>
    <w:rsid w:val="00D7516F"/>
    <w:rsid w:val="00D8579F"/>
    <w:rsid w:val="00D95F8E"/>
    <w:rsid w:val="00DA0590"/>
    <w:rsid w:val="00DA41A2"/>
    <w:rsid w:val="00DB7BEA"/>
    <w:rsid w:val="00DC1739"/>
    <w:rsid w:val="00DC1788"/>
    <w:rsid w:val="00DE319C"/>
    <w:rsid w:val="00DF0CA8"/>
    <w:rsid w:val="00DF1A87"/>
    <w:rsid w:val="00DF2B48"/>
    <w:rsid w:val="00DF49A7"/>
    <w:rsid w:val="00E07EE2"/>
    <w:rsid w:val="00E07FD1"/>
    <w:rsid w:val="00E176D8"/>
    <w:rsid w:val="00E24573"/>
    <w:rsid w:val="00E25E1E"/>
    <w:rsid w:val="00E27EE7"/>
    <w:rsid w:val="00E35404"/>
    <w:rsid w:val="00E45109"/>
    <w:rsid w:val="00E47B50"/>
    <w:rsid w:val="00E47B7A"/>
    <w:rsid w:val="00E56A44"/>
    <w:rsid w:val="00E60269"/>
    <w:rsid w:val="00E77932"/>
    <w:rsid w:val="00E97830"/>
    <w:rsid w:val="00EE38B9"/>
    <w:rsid w:val="00EE643C"/>
    <w:rsid w:val="00EF0683"/>
    <w:rsid w:val="00EF69D2"/>
    <w:rsid w:val="00EF766E"/>
    <w:rsid w:val="00F0070C"/>
    <w:rsid w:val="00F00EB7"/>
    <w:rsid w:val="00F36AB6"/>
    <w:rsid w:val="00F37A09"/>
    <w:rsid w:val="00F409CE"/>
    <w:rsid w:val="00F4379D"/>
    <w:rsid w:val="00F50D2D"/>
    <w:rsid w:val="00F56C8B"/>
    <w:rsid w:val="00F66810"/>
    <w:rsid w:val="00F846D9"/>
    <w:rsid w:val="00F84DF4"/>
    <w:rsid w:val="00F85C97"/>
    <w:rsid w:val="00FB37D2"/>
    <w:rsid w:val="00FC4EFB"/>
    <w:rsid w:val="00FD068D"/>
    <w:rsid w:val="00FD4F28"/>
    <w:rsid w:val="00FE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customStyle="1" w:styleId="scccounselnamechar0">
    <w:name w:val="scccounselnamechar"/>
    <w:basedOn w:val="DefaultParagraphFont"/>
    <w:rsid w:val="00CB1FCD"/>
  </w:style>
  <w:style w:type="character" w:customStyle="1" w:styleId="scccounselpartyrolechar0">
    <w:name w:val="scccounselpartyrolechar"/>
    <w:basedOn w:val="DefaultParagraphFont"/>
    <w:rsid w:val="00CB1FCD"/>
  </w:style>
  <w:style w:type="character" w:customStyle="1" w:styleId="scccounselseparatorchar0">
    <w:name w:val="scccounselseparatorchar0"/>
    <w:basedOn w:val="DefaultParagraphFont"/>
    <w:rsid w:val="00CB1FCD"/>
  </w:style>
  <w:style w:type="character" w:customStyle="1" w:styleId="scccounselpartyrolechar00">
    <w:name w:val="scccounselpartyrolechar0"/>
    <w:basedOn w:val="DefaultParagraphFont"/>
    <w:rsid w:val="00CB1FCD"/>
  </w:style>
  <w:style w:type="character" w:customStyle="1" w:styleId="solexhl">
    <w:name w:val="solexhl"/>
    <w:basedOn w:val="DefaultParagraphFont"/>
    <w:rsid w:val="00877E4F"/>
  </w:style>
  <w:style w:type="character" w:styleId="Hyperlink">
    <w:name w:val="Hyperlink"/>
    <w:basedOn w:val="DefaultParagraphFont"/>
    <w:uiPriority w:val="99"/>
    <w:unhideWhenUsed/>
    <w:rsid w:val="00084A4D"/>
    <w:rPr>
      <w:color w:val="660000"/>
      <w:u w:val="none"/>
    </w:rPr>
  </w:style>
  <w:style w:type="character" w:customStyle="1" w:styleId="UnresolvedMention1">
    <w:name w:val="Unresolved Mention1"/>
    <w:basedOn w:val="DefaultParagraphFont"/>
    <w:uiPriority w:val="99"/>
    <w:semiHidden/>
    <w:unhideWhenUsed/>
    <w:rsid w:val="00C2206A"/>
    <w:rPr>
      <w:color w:val="605E5C"/>
      <w:shd w:val="clear" w:color="auto" w:fill="E1DFDD"/>
    </w:rPr>
  </w:style>
  <w:style w:type="character" w:styleId="FollowedHyperlink">
    <w:name w:val="FollowedHyperlink"/>
    <w:basedOn w:val="DefaultParagraphFont"/>
    <w:uiPriority w:val="99"/>
    <w:semiHidden/>
    <w:unhideWhenUsed/>
    <w:rsid w:val="00B341B4"/>
    <w:rPr>
      <w:color w:val="800080" w:themeColor="followedHyperlink"/>
      <w:u w:val="single"/>
    </w:rPr>
  </w:style>
  <w:style w:type="paragraph" w:customStyle="1" w:styleId="ParaNoNdepar-AltN">
    <w:name w:val="Para. No. / Nº de par. - Alt N"/>
    <w:link w:val="ParaNoNdepar-AltNChar"/>
    <w:qFormat/>
    <w:rsid w:val="00DF1A87"/>
    <w:pPr>
      <w:spacing w:before="480" w:after="480" w:line="480" w:lineRule="auto"/>
      <w:jc w:val="both"/>
    </w:pPr>
    <w:rPr>
      <w:rFonts w:eastAsiaTheme="minorEastAsia" w:cstheme="minorBidi"/>
      <w:sz w:val="24"/>
      <w:szCs w:val="22"/>
      <w:lang w:eastAsia="en-US"/>
    </w:rPr>
  </w:style>
  <w:style w:type="character" w:customStyle="1" w:styleId="ParaNoNdepar-AltNChar">
    <w:name w:val="Para. No. / Nº de par. - Alt N Char"/>
    <w:basedOn w:val="DefaultParagraphFont"/>
    <w:link w:val="ParaNoNdepar-AltN"/>
    <w:rsid w:val="00DF1A87"/>
    <w:rPr>
      <w:rFonts w:eastAsiaTheme="minorEastAsia" w:cstheme="minorBidi"/>
      <w:sz w:val="24"/>
      <w:szCs w:val="22"/>
      <w:lang w:eastAsia="en-US"/>
    </w:rPr>
  </w:style>
  <w:style w:type="paragraph" w:customStyle="1" w:styleId="JudgeJuge">
    <w:name w:val="Judge / Juge"/>
    <w:uiPriority w:val="3"/>
    <w:rsid w:val="00A45B4A"/>
    <w:pPr>
      <w:tabs>
        <w:tab w:val="left" w:pos="1166"/>
      </w:tabs>
      <w:spacing w:after="480" w:line="480" w:lineRule="auto"/>
    </w:pPr>
    <w:rPr>
      <w:smallCaps/>
      <w:sz w:val="24"/>
      <w:szCs w:val="24"/>
    </w:rPr>
  </w:style>
  <w:style w:type="table" w:styleId="TableGrid">
    <w:name w:val="Table Grid"/>
    <w:basedOn w:val="TableNormal"/>
    <w:uiPriority w:val="59"/>
    <w:rsid w:val="00A45B4A"/>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anlii.ca/t/hw8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2208</Words>
  <Characters>11432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2023-11-08T20:43:00Z</dcterms:created>
  <dcterms:modified xsi:type="dcterms:W3CDTF">2023-11-08T20:44:00Z</dcterms:modified>
</cp:coreProperties>
</file>